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ind w:firstLine="440" w:firstLineChars="100"/>
        <w:jc w:val="both"/>
        <w:rPr>
          <w:rFonts w:hint="eastAsia" w:ascii="Times New Roman" w:eastAsia="方正小标宋简体"/>
          <w:kern w:val="2"/>
          <w:sz w:val="44"/>
          <w:szCs w:val="44"/>
        </w:rPr>
      </w:pPr>
      <w:bookmarkStart w:id="0" w:name="_Toc15306267"/>
      <w:bookmarkStart w:id="1" w:name="_Toc15396476"/>
      <w:bookmarkStart w:id="2" w:name="_Toc15396598"/>
      <w:bookmarkStart w:id="3" w:name="_Toc15378442"/>
      <w:bookmarkStart w:id="4" w:name="_Toc15377426"/>
      <w:bookmarkStart w:id="5" w:name="_Toc15377194"/>
    </w:p>
    <w:p>
      <w:pPr>
        <w:pStyle w:val="2"/>
        <w:spacing w:before="93"/>
        <w:ind w:firstLine="440" w:firstLineChars="100"/>
        <w:jc w:val="both"/>
        <w:rPr>
          <w:rFonts w:hint="eastAsia" w:ascii="Times New Roman" w:eastAsia="方正小标宋简体"/>
          <w:kern w:val="2"/>
          <w:sz w:val="44"/>
          <w:szCs w:val="44"/>
        </w:rPr>
      </w:pPr>
    </w:p>
    <w:p>
      <w:pPr>
        <w:pStyle w:val="2"/>
        <w:spacing w:before="93"/>
        <w:ind w:firstLine="440" w:firstLineChars="100"/>
        <w:jc w:val="both"/>
        <w:rPr>
          <w:rFonts w:hint="eastAsia" w:ascii="Times New Roman" w:eastAsia="方正小标宋简体"/>
          <w:kern w:val="2"/>
          <w:sz w:val="44"/>
          <w:szCs w:val="44"/>
        </w:rPr>
      </w:pPr>
    </w:p>
    <w:p>
      <w:pPr>
        <w:pStyle w:val="2"/>
        <w:spacing w:before="93"/>
        <w:ind w:firstLine="440" w:firstLineChars="100"/>
        <w:jc w:val="both"/>
        <w:rPr>
          <w:rFonts w:hint="eastAsia" w:ascii="Times New Roman" w:eastAsia="方正小标宋简体"/>
          <w:kern w:val="2"/>
          <w:sz w:val="44"/>
          <w:szCs w:val="44"/>
        </w:rPr>
      </w:pPr>
    </w:p>
    <w:p>
      <w:pPr>
        <w:pStyle w:val="2"/>
        <w:spacing w:before="93"/>
        <w:ind w:firstLine="440" w:firstLineChars="100"/>
        <w:jc w:val="both"/>
        <w:rPr>
          <w:rFonts w:hint="eastAsia" w:ascii="Times New Roman" w:eastAsia="方正小标宋简体"/>
          <w:kern w:val="2"/>
          <w:sz w:val="44"/>
          <w:szCs w:val="44"/>
        </w:rPr>
      </w:pPr>
    </w:p>
    <w:p>
      <w:pPr>
        <w:pStyle w:val="2"/>
        <w:spacing w:before="93"/>
        <w:ind w:firstLine="440" w:firstLineChars="100"/>
        <w:jc w:val="both"/>
        <w:rPr>
          <w:rFonts w:hint="eastAsia" w:ascii="Times New Roman" w:eastAsia="方正小标宋简体"/>
          <w:kern w:val="2"/>
          <w:sz w:val="44"/>
          <w:szCs w:val="44"/>
        </w:rPr>
      </w:pPr>
    </w:p>
    <w:p>
      <w:pPr>
        <w:pStyle w:val="2"/>
        <w:spacing w:before="93"/>
        <w:jc w:val="both"/>
        <w:rPr>
          <w:rFonts w:hint="eastAsia" w:ascii="Times New Roman" w:eastAsia="方正小标宋简体"/>
          <w:kern w:val="2"/>
          <w:sz w:val="44"/>
          <w:szCs w:val="44"/>
        </w:rPr>
      </w:pPr>
    </w:p>
    <w:p>
      <w:pPr>
        <w:pStyle w:val="2"/>
        <w:spacing w:before="93"/>
        <w:ind w:firstLine="440" w:firstLineChars="100"/>
        <w:jc w:val="center"/>
        <w:rPr>
          <w:rFonts w:hint="eastAsia" w:ascii="Times New Roman" w:eastAsia="方正小标宋简体"/>
          <w:kern w:val="2"/>
          <w:sz w:val="44"/>
          <w:szCs w:val="44"/>
        </w:rPr>
      </w:pPr>
    </w:p>
    <w:p>
      <w:pPr>
        <w:pStyle w:val="2"/>
        <w:spacing w:before="93"/>
        <w:ind w:firstLine="440" w:firstLineChars="100"/>
        <w:jc w:val="center"/>
        <w:rPr>
          <w:rFonts w:hint="eastAsia" w:ascii="Times New Roman" w:eastAsia="方正小标宋简体"/>
          <w:kern w:val="2"/>
          <w:sz w:val="44"/>
          <w:szCs w:val="44"/>
          <w:lang w:eastAsia="zh-CN"/>
        </w:rPr>
      </w:pPr>
      <w:bookmarkStart w:id="59" w:name="_GoBack"/>
      <w:bookmarkEnd w:id="59"/>
      <w:r>
        <w:rPr>
          <w:rFonts w:hint="eastAsia" w:ascii="Times New Roman" w:eastAsia="方正小标宋简体"/>
          <w:kern w:val="2"/>
          <w:sz w:val="44"/>
          <w:szCs w:val="44"/>
        </w:rPr>
        <w:t>2024年度四川省</w:t>
      </w:r>
      <w:bookmarkEnd w:id="0"/>
      <w:bookmarkStart w:id="6" w:name="_Toc15306268"/>
      <w:r>
        <w:rPr>
          <w:rFonts w:hint="eastAsia" w:ascii="Times New Roman" w:eastAsia="方正小标宋简体"/>
          <w:kern w:val="2"/>
          <w:sz w:val="44"/>
          <w:szCs w:val="44"/>
          <w:lang w:eastAsia="zh-CN"/>
        </w:rPr>
        <w:t>马尔康市法院</w:t>
      </w:r>
    </w:p>
    <w:p>
      <w:pPr>
        <w:pStyle w:val="2"/>
        <w:spacing w:before="93"/>
        <w:ind w:firstLine="440" w:firstLineChars="100"/>
        <w:jc w:val="center"/>
        <w:rPr>
          <w:rFonts w:hint="eastAsia" w:ascii="Times New Roman" w:eastAsia="方正小标宋简体"/>
          <w:kern w:val="2"/>
          <w:sz w:val="44"/>
          <w:szCs w:val="44"/>
          <w:lang w:val="en-US" w:eastAsia="zh-CN"/>
        </w:rPr>
      </w:pPr>
      <w:r>
        <w:rPr>
          <w:rFonts w:hint="eastAsia" w:ascii="Times New Roman" w:eastAsia="方正小标宋简体"/>
          <w:kern w:val="2"/>
          <w:sz w:val="44"/>
          <w:szCs w:val="44"/>
        </w:rPr>
        <w:t>部门决</w:t>
      </w:r>
      <w:bookmarkEnd w:id="1"/>
      <w:bookmarkEnd w:id="2"/>
      <w:bookmarkEnd w:id="3"/>
      <w:bookmarkEnd w:id="4"/>
      <w:bookmarkEnd w:id="5"/>
      <w:bookmarkEnd w:id="6"/>
      <w:r>
        <w:rPr>
          <w:rFonts w:hint="eastAsia" w:ascii="Times New Roman" w:eastAsia="方正小标宋简体"/>
          <w:kern w:val="2"/>
          <w:sz w:val="44"/>
          <w:szCs w:val="44"/>
          <w:lang w:eastAsia="zh-CN"/>
        </w:rPr>
        <w:t>算公开</w:t>
      </w:r>
    </w:p>
    <w:p>
      <w:pPr>
        <w:pStyle w:val="14"/>
        <w:adjustRightInd w:val="0"/>
        <w:snapToGrid w:val="0"/>
        <w:spacing w:line="560" w:lineRule="exact"/>
        <w:jc w:val="left"/>
        <w:rPr>
          <w:rFonts w:eastAsia="仿宋_GB2312" w:cs="仿宋_GB2312"/>
          <w:sz w:val="32"/>
          <w:szCs w:val="32"/>
        </w:rPr>
      </w:pPr>
    </w:p>
    <w:p>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pPr>
        <w:widowControl/>
        <w:jc w:val="center"/>
        <w:rPr>
          <w:rFonts w:eastAsia="黑体" w:cstheme="minorBidi"/>
          <w:sz w:val="28"/>
          <w:szCs w:val="28"/>
        </w:rPr>
      </w:pPr>
    </w:p>
    <w:p>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公开时间：2024年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16</w:t>
      </w:r>
      <w:r>
        <w:rPr>
          <w:rFonts w:hint="eastAsia" w:ascii="Times New Roman" w:hAnsi="Times New Roman" w:eastAsia="仿宋_GB2312" w:cs="仿宋_GB2312"/>
          <w:sz w:val="32"/>
          <w:szCs w:val="32"/>
        </w:rPr>
        <w:t>日</w:t>
      </w:r>
    </w:p>
    <w:p/>
    <w:p>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一、部门职责</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p>
    <w:p>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2024年度部门决算情况说明</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十、其他重要事项的情况说明</w:t>
      </w:r>
    </w:p>
    <w:p>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第三部分 名词解释</w:t>
      </w:r>
    </w:p>
    <w:p>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第四部分 附件</w:t>
      </w:r>
    </w:p>
    <w:p>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第五部分 附表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pPr>
        <w:pStyle w:val="14"/>
        <w:adjustRightInd w:val="0"/>
        <w:snapToGrid w:val="0"/>
        <w:spacing w:line="560" w:lineRule="exact"/>
        <w:ind w:left="0" w:leftChars="0" w:firstLine="643" w:firstLineChars="200"/>
        <w:jc w:val="left"/>
        <w:rPr>
          <w:rFonts w:eastAsia="仿宋_GB2312" w:cs="仿宋_GB2312"/>
          <w:b/>
          <w:bCs/>
          <w:sz w:val="32"/>
          <w:szCs w:val="32"/>
        </w:rPr>
      </w:pPr>
      <w:r>
        <w:rPr>
          <w:rFonts w:hint="eastAsia" w:eastAsia="仿宋_GB2312" w:cs="仿宋_GB2312"/>
          <w:b/>
          <w:bCs/>
          <w:sz w:val="32"/>
          <w:szCs w:val="32"/>
        </w:rPr>
        <w:t>（注：请部门根据实际注明页码）</w:t>
      </w:r>
    </w:p>
    <w:p>
      <w:pPr>
        <w:widowControl/>
        <w:spacing w:line="560" w:lineRule="exact"/>
        <w:jc w:val="left"/>
        <w:rPr>
          <w:rFonts w:eastAsia="仿宋_GB2312" w:cs="仿宋_GB2312"/>
          <w:bCs/>
          <w:kern w:val="44"/>
          <w:sz w:val="32"/>
          <w:szCs w:val="32"/>
        </w:rPr>
      </w:pPr>
      <w:bookmarkStart w:id="7" w:name="_Toc15396599"/>
      <w:bookmarkStart w:id="8" w:name="_Toc15377196"/>
      <w:r>
        <w:rPr>
          <w:rFonts w:hint="eastAsia" w:eastAsia="仿宋_GB2312" w:cs="仿宋_GB2312"/>
          <w:b/>
          <w:sz w:val="32"/>
          <w:szCs w:val="32"/>
        </w:rPr>
        <w:br w:type="page"/>
      </w:r>
    </w:p>
    <w:p>
      <w:pPr>
        <w:pStyle w:val="3"/>
        <w:jc w:val="center"/>
        <w:rPr>
          <w:rStyle w:val="28"/>
          <w:rFonts w:eastAsia="方正小标宋简体" w:cs="方正小标宋简体"/>
          <w:b/>
          <w:bCs w:val="0"/>
        </w:rPr>
      </w:pPr>
      <w:r>
        <w:rPr>
          <w:rFonts w:hint="eastAsia" w:eastAsia="方正小标宋简体" w:cs="方正小标宋简体"/>
          <w:b w:val="0"/>
        </w:rPr>
        <w:t>第一部分</w:t>
      </w:r>
      <w:r>
        <w:rPr>
          <w:rStyle w:val="28"/>
          <w:rFonts w:hint="eastAsia" w:eastAsia="方正小标宋简体" w:cs="方正小标宋简体"/>
          <w:b w:val="0"/>
          <w:bCs w:val="0"/>
        </w:rPr>
        <w:t>部门概况</w:t>
      </w:r>
      <w:bookmarkEnd w:id="7"/>
      <w:bookmarkEnd w:id="8"/>
    </w:p>
    <w:p>
      <w:pPr>
        <w:widowControl/>
        <w:jc w:val="left"/>
        <w:rPr>
          <w:rFonts w:eastAsia="黑体"/>
          <w:sz w:val="32"/>
          <w:szCs w:val="32"/>
        </w:rPr>
      </w:pPr>
    </w:p>
    <w:p>
      <w:pPr>
        <w:pStyle w:val="4"/>
        <w:numPr>
          <w:ilvl w:val="0"/>
          <w:numId w:val="1"/>
        </w:numPr>
        <w:rPr>
          <w:rFonts w:hint="eastAsia" w:ascii="Times New Roman" w:hAnsi="Times New Roman" w:eastAsia="黑体"/>
          <w:b w:val="0"/>
        </w:rPr>
      </w:pPr>
      <w:r>
        <w:rPr>
          <w:rFonts w:hint="eastAsia" w:ascii="Times New Roman" w:hAnsi="Times New Roman" w:eastAsia="黑体"/>
          <w:b w:val="0"/>
        </w:rPr>
        <w:t>部门职责</w:t>
      </w:r>
    </w:p>
    <w:p>
      <w:pPr>
        <w:ind w:firstLine="640" w:firstLineChars="200"/>
      </w:pPr>
      <w:r>
        <w:rPr>
          <w:rFonts w:hint="eastAsia" w:ascii="仿宋_GB2312" w:eastAsia="仿宋_GB2312"/>
          <w:sz w:val="32"/>
          <w:szCs w:val="32"/>
          <w:lang w:val="en-US" w:eastAsia="zh-CN"/>
        </w:rPr>
        <w:t>马</w:t>
      </w:r>
      <w:r>
        <w:rPr>
          <w:rFonts w:hint="eastAsia" w:ascii="仿宋_GB2312" w:eastAsia="仿宋_GB2312"/>
          <w:sz w:val="32"/>
          <w:szCs w:val="32"/>
        </w:rPr>
        <w:t>尔康市人民法院充分发挥审判职能，推进社会矛盾化解；及时审理各类民商事纠纷案件；积极稳妥地审理好行政案件；加强执行工作，确保权利人的合法权利得到实现；加强立案、信访接待工作；加强审判质量评查与管理，提高审判质量。</w:t>
      </w:r>
    </w:p>
    <w:p>
      <w:pPr>
        <w:pStyle w:val="4"/>
        <w:rPr>
          <w:rStyle w:val="29"/>
          <w:rFonts w:ascii="Times New Roman" w:hAnsi="Times New Roman"/>
          <w:b w:val="0"/>
          <w:bCs w:val="0"/>
        </w:rPr>
      </w:pPr>
      <w:bookmarkStart w:id="9" w:name="_Toc15396601"/>
      <w:bookmarkStart w:id="10" w:name="_Toc15377200"/>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9"/>
      <w:bookmarkEnd w:id="10"/>
    </w:p>
    <w:p>
      <w:pPr>
        <w:ind w:firstLine="800" w:firstLineChars="250"/>
        <w:rPr>
          <w:rFonts w:eastAsia="仿宋_GB2312" w:cs="仿宋_GB2312"/>
          <w:sz w:val="32"/>
          <w:szCs w:val="32"/>
        </w:rPr>
      </w:pPr>
      <w:r>
        <w:rPr>
          <w:rFonts w:hint="eastAsia" w:ascii="仿宋_GB2312" w:hAnsi="仿宋_GB2312" w:eastAsia="仿宋_GB2312" w:cs="仿宋_GB2312"/>
          <w:sz w:val="32"/>
          <w:szCs w:val="32"/>
        </w:rPr>
        <w:t>四川省阿坝州马尔康市人民法院</w:t>
      </w:r>
      <w:r>
        <w:rPr>
          <w:rFonts w:hint="eastAsia" w:eastAsia="仿宋_GB2312" w:cs="仿宋_GB2312"/>
          <w:sz w:val="32"/>
          <w:szCs w:val="32"/>
        </w:rPr>
        <w:t>下属二级预算单位</w:t>
      </w:r>
      <w:r>
        <w:rPr>
          <w:rFonts w:hint="eastAsia" w:eastAsia="仿宋_GB2312" w:cs="仿宋_GB2312"/>
          <w:sz w:val="32"/>
          <w:szCs w:val="32"/>
          <w:lang w:val="en-US" w:eastAsia="zh-CN"/>
        </w:rPr>
        <w:t>0</w:t>
      </w:r>
      <w:r>
        <w:rPr>
          <w:rFonts w:hint="eastAsia" w:eastAsia="仿宋_GB2312" w:cs="仿宋_GB2312"/>
          <w:sz w:val="32"/>
          <w:szCs w:val="32"/>
        </w:rPr>
        <w:t>个，其中行政单位</w:t>
      </w:r>
      <w:r>
        <w:rPr>
          <w:rFonts w:hint="eastAsia" w:eastAsia="仿宋_GB2312" w:cs="仿宋_GB2312"/>
          <w:sz w:val="32"/>
          <w:szCs w:val="32"/>
          <w:lang w:val="en-US" w:eastAsia="zh-CN"/>
        </w:rPr>
        <w:t>0</w:t>
      </w:r>
      <w:r>
        <w:rPr>
          <w:rFonts w:hint="eastAsia" w:eastAsia="仿宋_GB2312" w:cs="仿宋_GB2312"/>
          <w:sz w:val="32"/>
          <w:szCs w:val="32"/>
        </w:rPr>
        <w:t>个，参照公务员法管理的事业单位</w:t>
      </w:r>
      <w:r>
        <w:rPr>
          <w:rFonts w:hint="eastAsia" w:eastAsia="仿宋_GB2312" w:cs="仿宋_GB2312"/>
          <w:bCs/>
          <w:sz w:val="32"/>
          <w:szCs w:val="32"/>
          <w:lang w:val="en-US" w:eastAsia="zh-CN"/>
        </w:rPr>
        <w:t>0</w:t>
      </w:r>
      <w:r>
        <w:rPr>
          <w:rFonts w:hint="eastAsia" w:eastAsia="仿宋_GB2312" w:cs="仿宋_GB2312"/>
          <w:sz w:val="32"/>
          <w:szCs w:val="32"/>
        </w:rPr>
        <w:t>个，其他事业单位</w:t>
      </w:r>
      <w:r>
        <w:rPr>
          <w:rFonts w:hint="eastAsia" w:eastAsia="仿宋_GB2312" w:cs="仿宋_GB2312"/>
          <w:sz w:val="32"/>
          <w:szCs w:val="32"/>
          <w:lang w:val="en-US" w:eastAsia="zh-CN"/>
        </w:rPr>
        <w:t>0</w:t>
      </w:r>
      <w:r>
        <w:rPr>
          <w:rFonts w:hint="eastAsia" w:eastAsia="仿宋_GB2312" w:cs="仿宋_GB2312"/>
          <w:sz w:val="32"/>
          <w:szCs w:val="32"/>
        </w:rPr>
        <w:t>个。</w:t>
      </w:r>
    </w:p>
    <w:p>
      <w:pPr>
        <w:widowControl/>
        <w:jc w:val="left"/>
        <w:rPr>
          <w:rFonts w:eastAsia="仿宋"/>
          <w:kern w:val="0"/>
          <w:sz w:val="32"/>
          <w:szCs w:val="32"/>
        </w:rPr>
      </w:pPr>
      <w:r>
        <w:rPr>
          <w:rFonts w:eastAsia="仿宋"/>
          <w:sz w:val="32"/>
          <w:szCs w:val="32"/>
        </w:rPr>
        <w:br w:type="page"/>
      </w:r>
    </w:p>
    <w:p>
      <w:pPr>
        <w:pStyle w:val="3"/>
        <w:jc w:val="center"/>
        <w:rPr>
          <w:rFonts w:eastAsia="方正小标宋简体" w:cs="方正小标宋简体"/>
          <w:b w:val="0"/>
        </w:rPr>
      </w:pPr>
      <w:bookmarkStart w:id="11" w:name="_Toc15396602"/>
      <w:bookmarkStart w:id="12" w:name="_Toc15377204"/>
      <w:r>
        <w:rPr>
          <w:rFonts w:hint="eastAsia" w:eastAsia="方正小标宋简体" w:cs="方正小标宋简体"/>
          <w:b w:val="0"/>
        </w:rPr>
        <w:t>第二部分2024年度部门决算情况说明</w:t>
      </w:r>
      <w:bookmarkEnd w:id="11"/>
      <w:bookmarkEnd w:id="12"/>
    </w:p>
    <w:p/>
    <w:p>
      <w:pPr>
        <w:pStyle w:val="27"/>
        <w:spacing w:line="600" w:lineRule="exact"/>
        <w:ind w:firstLine="640"/>
        <w:outlineLvl w:val="1"/>
        <w:rPr>
          <w:rStyle w:val="29"/>
          <w:rFonts w:ascii="Times New Roman" w:hAnsi="Times New Roman" w:eastAsia="黑体"/>
          <w:b w:val="0"/>
        </w:rPr>
      </w:pPr>
      <w:bookmarkStart w:id="13" w:name="_Toc15377205"/>
      <w:bookmarkStart w:id="14"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3"/>
      <w:bookmarkEnd w:id="14"/>
    </w:p>
    <w:p>
      <w:pPr>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年度收</w:t>
      </w:r>
      <w:r>
        <w:rPr>
          <w:rFonts w:hint="eastAsia" w:ascii="仿宋" w:hAnsi="仿宋" w:eastAsia="仿宋"/>
          <w:color w:val="auto"/>
          <w:sz w:val="32"/>
          <w:szCs w:val="32"/>
          <w:highlight w:val="none"/>
          <w:lang w:val="en-US" w:eastAsia="zh-CN"/>
        </w:rPr>
        <w:t>入总计为2822.92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支出总计为2822.92</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w:t>
      </w:r>
      <w:r>
        <w:rPr>
          <w:rFonts w:hint="eastAsia" w:ascii="仿宋" w:hAnsi="仿宋" w:eastAsia="仿宋"/>
          <w:color w:val="auto"/>
          <w:sz w:val="32"/>
          <w:szCs w:val="32"/>
          <w:highlight w:val="none"/>
          <w:lang w:val="en-US" w:eastAsia="zh-CN"/>
        </w:rPr>
        <w:t>入2782.88,</w:t>
      </w:r>
      <w:r>
        <w:rPr>
          <w:rFonts w:hint="eastAsia" w:ascii="仿宋" w:hAnsi="仿宋" w:eastAsia="仿宋"/>
          <w:color w:val="auto"/>
          <w:sz w:val="32"/>
          <w:szCs w:val="32"/>
          <w:highlight w:val="none"/>
        </w:rPr>
        <w:t>总计增加</w:t>
      </w:r>
      <w:r>
        <w:rPr>
          <w:rFonts w:hint="eastAsia" w:ascii="仿宋" w:hAnsi="仿宋" w:eastAsia="仿宋"/>
          <w:color w:val="auto"/>
          <w:sz w:val="32"/>
          <w:szCs w:val="32"/>
          <w:highlight w:val="none"/>
          <w:lang w:val="en-US" w:eastAsia="zh-CN"/>
        </w:rPr>
        <w:t>40.04</w:t>
      </w:r>
      <w:r>
        <w:rPr>
          <w:rFonts w:hint="eastAsia" w:ascii="仿宋" w:hAnsi="仿宋" w:eastAsia="仿宋"/>
          <w:color w:val="auto"/>
          <w:sz w:val="32"/>
          <w:szCs w:val="32"/>
          <w:highlight w:val="none"/>
        </w:rPr>
        <w:t>万元，支</w:t>
      </w:r>
      <w:r>
        <w:rPr>
          <w:rFonts w:hint="eastAsia" w:ascii="仿宋" w:hAnsi="仿宋" w:eastAsia="仿宋"/>
          <w:color w:val="auto"/>
          <w:sz w:val="32"/>
          <w:szCs w:val="32"/>
          <w:highlight w:val="none"/>
          <w:lang w:val="en-US" w:eastAsia="zh-CN"/>
        </w:rPr>
        <w:t>出2782.88,</w:t>
      </w:r>
      <w:r>
        <w:rPr>
          <w:rFonts w:hint="eastAsia" w:ascii="仿宋" w:hAnsi="仿宋" w:eastAsia="仿宋"/>
          <w:color w:val="auto"/>
          <w:sz w:val="32"/>
          <w:szCs w:val="32"/>
          <w:highlight w:val="none"/>
        </w:rPr>
        <w:t>总计增加</w:t>
      </w:r>
      <w:r>
        <w:rPr>
          <w:rFonts w:hint="eastAsia" w:ascii="仿宋" w:hAnsi="仿宋" w:eastAsia="仿宋"/>
          <w:color w:val="auto"/>
          <w:sz w:val="32"/>
          <w:szCs w:val="32"/>
          <w:highlight w:val="none"/>
          <w:lang w:val="en-US" w:eastAsia="zh-CN"/>
        </w:rPr>
        <w:t>40.04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增长</w:t>
      </w:r>
      <w:r>
        <w:rPr>
          <w:rFonts w:hint="eastAsia" w:ascii="仿宋" w:hAnsi="仿宋" w:eastAsia="仿宋"/>
          <w:color w:val="auto"/>
          <w:sz w:val="32"/>
          <w:szCs w:val="32"/>
          <w:highlight w:val="none"/>
          <w:lang w:val="en-US" w:eastAsia="zh-CN"/>
        </w:rPr>
        <w:t>1.44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。主要变动原因是县级财政资金收入增加</w:t>
      </w:r>
      <w:r>
        <w:rPr>
          <w:rFonts w:hint="eastAsia" w:ascii="仿宋" w:hAnsi="仿宋" w:eastAsia="仿宋"/>
          <w:color w:val="auto"/>
          <w:sz w:val="32"/>
          <w:szCs w:val="32"/>
          <w:highlight w:val="none"/>
          <w:lang w:eastAsia="zh-CN"/>
        </w:rPr>
        <w:t>。</w:t>
      </w:r>
    </w:p>
    <w:p>
      <w:pPr>
        <w:ind w:firstLine="420" w:firstLineChars="200"/>
      </w:pPr>
      <w:r>
        <w:drawing>
          <wp:inline distT="0" distB="0" distL="114300" distR="114300">
            <wp:extent cx="4572000" cy="2743200"/>
            <wp:effectExtent l="4445" t="4445" r="14605" b="14605"/>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pPr>
        <w:ind w:firstLine="640" w:firstLineChars="200"/>
        <w:rPr>
          <w:rFonts w:eastAsia="仿宋_GB2312" w:cs="仿宋_GB2312"/>
          <w:sz w:val="32"/>
          <w:szCs w:val="32"/>
        </w:rPr>
      </w:pPr>
    </w:p>
    <w:p>
      <w:pPr>
        <w:pStyle w:val="27"/>
        <w:spacing w:line="600" w:lineRule="exact"/>
        <w:ind w:firstLine="640"/>
        <w:outlineLvl w:val="1"/>
        <w:rPr>
          <w:rFonts w:eastAsia="黑体"/>
          <w:sz w:val="32"/>
          <w:szCs w:val="32"/>
        </w:rPr>
      </w:pPr>
      <w:bookmarkStart w:id="15" w:name="_Toc15377206"/>
      <w:bookmarkStart w:id="16" w:name="_Toc15396604"/>
      <w:r>
        <w:rPr>
          <w:rFonts w:hint="eastAsia" w:eastAsia="黑体"/>
          <w:sz w:val="32"/>
          <w:szCs w:val="32"/>
        </w:rPr>
        <w:t>二、收入决算情况说明</w:t>
      </w:r>
      <w:bookmarkEnd w:id="15"/>
      <w:bookmarkEnd w:id="16"/>
    </w:p>
    <w:p>
      <w:pPr>
        <w:pStyle w:val="27"/>
        <w:spacing w:line="600" w:lineRule="exact"/>
        <w:ind w:firstLine="640"/>
        <w:jc w:val="left"/>
        <w:outlineLvl w:val="1"/>
        <w:rPr>
          <w:rFonts w:hint="eastAsia" w:eastAsia="仿宋_GB2312" w:cs="仿宋_GB2312"/>
          <w:b/>
          <w:bCs/>
          <w:sz w:val="32"/>
          <w:szCs w:val="32"/>
        </w:rPr>
      </w:pPr>
      <w:r>
        <w:rPr>
          <w:rFonts w:hint="eastAsia" w:ascii="仿宋_GB2312" w:hAnsi="仿宋_GB2312" w:eastAsia="仿宋_GB2312" w:cs="仿宋_GB2312"/>
          <w:sz w:val="32"/>
          <w:szCs w:val="32"/>
        </w:rPr>
        <w:t>2024年度本年收入合计2763.73万元，其中：一般公共预算财政拨款收入2224.65万元，占80.49%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其他收入539.07万元，占19.5%。</w:t>
      </w:r>
    </w:p>
    <w:p>
      <w:pPr>
        <w:ind w:firstLine="525" w:firstLineChars="250"/>
        <w:rPr>
          <w:rFonts w:hint="eastAsia" w:eastAsia="仿宋_GB2312" w:cs="仿宋_GB2312"/>
          <w:sz w:val="32"/>
          <w:szCs w:val="32"/>
        </w:rPr>
      </w:pPr>
      <w:r>
        <w:drawing>
          <wp:inline distT="0" distB="0" distL="114300" distR="114300">
            <wp:extent cx="4572000" cy="2743200"/>
            <wp:effectExtent l="4445" t="4445" r="14605" b="14605"/>
            <wp:docPr id="1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rPr>
          <w:rFonts w:eastAsia="仿宋_GB2312" w:cs="仿宋_GB2312"/>
          <w:sz w:val="32"/>
          <w:szCs w:val="32"/>
        </w:rPr>
      </w:pPr>
      <w:r>
        <w:rPr>
          <w:rFonts w:hint="eastAsia" w:eastAsia="仿宋_GB2312" w:cs="仿宋_GB2312"/>
          <w:sz w:val="32"/>
          <w:szCs w:val="32"/>
        </w:rPr>
        <w:t>（图2：收入决算结构图）（饼状图）</w:t>
      </w:r>
    </w:p>
    <w:p>
      <w:pPr>
        <w:pStyle w:val="27"/>
        <w:spacing w:line="600" w:lineRule="exact"/>
        <w:ind w:firstLine="640"/>
        <w:outlineLvl w:val="1"/>
        <w:rPr>
          <w:rStyle w:val="29"/>
          <w:rFonts w:ascii="Times New Roman" w:hAnsi="Times New Roman" w:eastAsia="黑体"/>
          <w:b w:val="0"/>
        </w:rPr>
      </w:pPr>
      <w:bookmarkStart w:id="17" w:name="_Toc15377207"/>
      <w:bookmarkStart w:id="18" w:name="_Toc15396605"/>
      <w:r>
        <w:rPr>
          <w:rFonts w:hint="eastAsia" w:eastAsia="黑体"/>
          <w:sz w:val="32"/>
          <w:szCs w:val="32"/>
        </w:rPr>
        <w:t>三、支</w:t>
      </w:r>
      <w:r>
        <w:rPr>
          <w:rStyle w:val="29"/>
          <w:rFonts w:hint="eastAsia" w:ascii="Times New Roman" w:hAnsi="Times New Roman" w:eastAsia="黑体"/>
          <w:b w:val="0"/>
        </w:rPr>
        <w:t>出决算情况说明</w:t>
      </w:r>
      <w:bookmarkEnd w:id="17"/>
      <w:bookmarkEnd w:id="18"/>
    </w:p>
    <w:p>
      <w:pPr>
        <w:pStyle w:val="27"/>
        <w:spacing w:line="600" w:lineRule="exact"/>
        <w:ind w:firstLine="64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2024年度本年支出合计2779.45万元，其中：基本支出2013.81万元，占72.45%；项目支出765.64万元，占27.54%；</w:t>
      </w:r>
    </w:p>
    <w:p>
      <w:pPr>
        <w:pStyle w:val="27"/>
        <w:spacing w:line="600" w:lineRule="exact"/>
        <w:ind w:firstLine="640"/>
        <w:jc w:val="left"/>
        <w:outlineLvl w:val="1"/>
        <w:rPr>
          <w:rFonts w:hint="eastAsia" w:ascii="仿宋_GB2312" w:hAnsi="仿宋_GB2312" w:eastAsia="仿宋_GB2312" w:cs="仿宋_GB2312"/>
          <w:sz w:val="32"/>
          <w:szCs w:val="32"/>
        </w:rPr>
      </w:pPr>
      <w:r>
        <w:drawing>
          <wp:anchor distT="0" distB="0" distL="114300" distR="114300" simplePos="0" relativeHeight="251659264" behindDoc="0" locked="0" layoutInCell="1" allowOverlap="1">
            <wp:simplePos x="0" y="0"/>
            <wp:positionH relativeFrom="column">
              <wp:posOffset>375920</wp:posOffset>
            </wp:positionH>
            <wp:positionV relativeFrom="paragraph">
              <wp:posOffset>185420</wp:posOffset>
            </wp:positionV>
            <wp:extent cx="4572000" cy="2743200"/>
            <wp:effectExtent l="4445" t="4445" r="14605" b="14605"/>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7"/>
        <w:spacing w:line="600" w:lineRule="exact"/>
        <w:ind w:firstLine="640"/>
        <w:jc w:val="left"/>
        <w:outlineLvl w:val="1"/>
        <w:rPr>
          <w:rFonts w:hint="eastAsia" w:ascii="仿宋_GB2312" w:hAnsi="仿宋_GB2312" w:eastAsia="仿宋_GB2312" w:cs="仿宋_GB2312"/>
          <w:sz w:val="32"/>
          <w:szCs w:val="32"/>
        </w:rPr>
      </w:pPr>
    </w:p>
    <w:p>
      <w:pPr>
        <w:pStyle w:val="27"/>
        <w:spacing w:line="600" w:lineRule="exact"/>
        <w:ind w:firstLine="640"/>
        <w:jc w:val="left"/>
        <w:outlineLvl w:val="1"/>
        <w:rPr>
          <w:rFonts w:hint="eastAsia" w:ascii="仿宋_GB2312" w:hAnsi="仿宋_GB2312" w:eastAsia="仿宋_GB2312" w:cs="仿宋_GB2312"/>
          <w:sz w:val="32"/>
          <w:szCs w:val="32"/>
        </w:rPr>
      </w:pPr>
    </w:p>
    <w:p>
      <w:pPr>
        <w:pStyle w:val="27"/>
        <w:spacing w:line="600" w:lineRule="exact"/>
        <w:ind w:firstLine="640"/>
        <w:jc w:val="left"/>
        <w:outlineLvl w:val="1"/>
        <w:rPr>
          <w:rFonts w:hint="eastAsia" w:ascii="仿宋_GB2312" w:hAnsi="仿宋_GB2312" w:eastAsia="仿宋_GB2312" w:cs="仿宋_GB2312"/>
          <w:sz w:val="32"/>
          <w:szCs w:val="32"/>
        </w:rPr>
      </w:pPr>
    </w:p>
    <w:p>
      <w:pPr>
        <w:pStyle w:val="27"/>
        <w:spacing w:line="600" w:lineRule="exact"/>
        <w:ind w:firstLine="640"/>
        <w:jc w:val="left"/>
        <w:outlineLvl w:val="1"/>
        <w:rPr>
          <w:rFonts w:hint="eastAsia" w:ascii="仿宋_GB2312" w:hAnsi="仿宋_GB2312" w:eastAsia="仿宋_GB2312" w:cs="仿宋_GB2312"/>
          <w:sz w:val="32"/>
          <w:szCs w:val="32"/>
        </w:rPr>
      </w:pPr>
    </w:p>
    <w:p>
      <w:pPr>
        <w:pStyle w:val="27"/>
        <w:spacing w:line="600" w:lineRule="exact"/>
        <w:ind w:firstLine="640"/>
        <w:jc w:val="left"/>
        <w:outlineLvl w:val="1"/>
        <w:rPr>
          <w:rFonts w:hint="eastAsia" w:ascii="仿宋_GB2312" w:hAnsi="仿宋_GB2312" w:eastAsia="仿宋_GB2312" w:cs="仿宋_GB2312"/>
          <w:sz w:val="32"/>
          <w:szCs w:val="32"/>
        </w:rPr>
      </w:pPr>
    </w:p>
    <w:p>
      <w:pPr>
        <w:pStyle w:val="27"/>
        <w:spacing w:line="600" w:lineRule="exact"/>
        <w:ind w:firstLine="640"/>
        <w:jc w:val="left"/>
        <w:outlineLvl w:val="1"/>
        <w:rPr>
          <w:rFonts w:hint="eastAsia" w:ascii="仿宋_GB2312" w:hAnsi="仿宋_GB2312" w:eastAsia="仿宋_GB2312" w:cs="仿宋_GB2312"/>
          <w:sz w:val="32"/>
          <w:szCs w:val="32"/>
        </w:rPr>
      </w:pPr>
    </w:p>
    <w:p>
      <w:pPr>
        <w:ind w:firstLine="800" w:firstLineChars="250"/>
        <w:rPr>
          <w:rFonts w:hint="eastAsia" w:eastAsia="仿宋_GB2312" w:cs="仿宋_GB2312"/>
          <w:sz w:val="32"/>
          <w:szCs w:val="32"/>
        </w:rPr>
      </w:pPr>
    </w:p>
    <w:p>
      <w:pPr>
        <w:ind w:firstLine="800" w:firstLineChars="250"/>
        <w:rPr>
          <w:rFonts w:eastAsia="仿宋_GB2312" w:cs="仿宋_GB2312"/>
          <w:sz w:val="32"/>
          <w:szCs w:val="32"/>
        </w:rPr>
      </w:pPr>
      <w:r>
        <w:rPr>
          <w:rFonts w:hint="eastAsia" w:eastAsia="仿宋_GB2312" w:cs="仿宋_GB2312"/>
          <w:sz w:val="32"/>
          <w:szCs w:val="32"/>
        </w:rPr>
        <w:t>（图3：支出决算结构图）（饼状图）</w:t>
      </w:r>
    </w:p>
    <w:p>
      <w:pPr>
        <w:ind w:firstLine="800" w:firstLineChars="250"/>
        <w:rPr>
          <w:rFonts w:eastAsia="仿宋_GB2312" w:cs="仿宋_GB2312"/>
          <w:sz w:val="32"/>
          <w:szCs w:val="32"/>
        </w:rPr>
      </w:pPr>
    </w:p>
    <w:p>
      <w:pPr>
        <w:spacing w:line="600" w:lineRule="exact"/>
        <w:ind w:firstLine="640" w:firstLineChars="200"/>
        <w:outlineLvl w:val="1"/>
        <w:rPr>
          <w:rStyle w:val="29"/>
          <w:rFonts w:ascii="Times New Roman" w:hAnsi="Times New Roman" w:eastAsia="黑体"/>
          <w:b w:val="0"/>
        </w:rPr>
      </w:pPr>
      <w:bookmarkStart w:id="19" w:name="_Toc15377208"/>
      <w:bookmarkStart w:id="20" w:name="_Toc15396606"/>
      <w:r>
        <w:rPr>
          <w:rFonts w:hint="eastAsia" w:eastAsia="黑体"/>
          <w:sz w:val="32"/>
          <w:szCs w:val="32"/>
        </w:rPr>
        <w:t>四、财</w:t>
      </w:r>
      <w:r>
        <w:rPr>
          <w:rStyle w:val="29"/>
          <w:rFonts w:hint="eastAsia" w:ascii="Times New Roman" w:hAnsi="Times New Roman" w:eastAsia="黑体"/>
          <w:b w:val="0"/>
        </w:rPr>
        <w:t>政拨款收入支出决算总体情况说明</w:t>
      </w:r>
      <w:bookmarkEnd w:id="19"/>
      <w:bookmarkEnd w:id="20"/>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2224.65</w:t>
      </w:r>
      <w:r>
        <w:rPr>
          <w:rFonts w:hint="eastAsia" w:eastAsia="仿宋_GB2312" w:cs="仿宋_GB2312"/>
          <w:sz w:val="32"/>
          <w:szCs w:val="32"/>
        </w:rPr>
        <w:t>万元，</w:t>
      </w:r>
      <w:r>
        <w:rPr>
          <w:rFonts w:hint="eastAsia" w:eastAsia="仿宋_GB2312" w:cs="仿宋_GB2312"/>
          <w:sz w:val="32"/>
          <w:szCs w:val="32"/>
          <w:lang w:val="en-US" w:eastAsia="zh-CN"/>
        </w:rPr>
        <w:t>2023年度</w:t>
      </w:r>
      <w:r>
        <w:rPr>
          <w:rFonts w:hint="eastAsia" w:eastAsia="仿宋_GB2312" w:cs="仿宋_GB2312"/>
          <w:sz w:val="32"/>
          <w:szCs w:val="32"/>
        </w:rPr>
        <w:t>财政拨款收入总计</w:t>
      </w:r>
      <w:r>
        <w:rPr>
          <w:rFonts w:hint="eastAsia" w:eastAsia="仿宋_GB2312" w:cs="仿宋_GB2312"/>
          <w:sz w:val="32"/>
          <w:szCs w:val="32"/>
          <w:lang w:val="en-US" w:eastAsia="zh-CN"/>
        </w:rPr>
        <w:t>2101.81万元</w:t>
      </w:r>
      <w:r>
        <w:rPr>
          <w:rFonts w:hint="eastAsia" w:eastAsia="仿宋_GB2312" w:cs="仿宋_GB2312"/>
          <w:sz w:val="32"/>
          <w:szCs w:val="32"/>
        </w:rPr>
        <w:t>、支出总计</w:t>
      </w:r>
      <w:r>
        <w:rPr>
          <w:rFonts w:hint="eastAsia" w:eastAsia="仿宋_GB2312" w:cs="仿宋_GB2312"/>
          <w:sz w:val="32"/>
          <w:szCs w:val="32"/>
          <w:lang w:val="en-US" w:eastAsia="zh-CN"/>
        </w:rPr>
        <w:t>2101.81万元，</w:t>
      </w:r>
      <w:r>
        <w:rPr>
          <w:rFonts w:hint="eastAsia" w:eastAsia="仿宋_GB2312" w:cs="仿宋_GB2312"/>
          <w:sz w:val="32"/>
          <w:szCs w:val="32"/>
        </w:rPr>
        <w:t>与2023年度相比</w:t>
      </w:r>
      <w:r>
        <w:rPr>
          <w:rFonts w:hint="eastAsia" w:eastAsia="仿宋_GB2312" w:cs="仿宋_GB2312"/>
          <w:sz w:val="32"/>
          <w:szCs w:val="32"/>
          <w:lang w:eastAsia="zh-CN"/>
        </w:rPr>
        <w:t>收入、支出均</w:t>
      </w:r>
      <w:r>
        <w:rPr>
          <w:rFonts w:hint="eastAsia" w:eastAsia="仿宋_GB2312" w:cs="仿宋_GB2312"/>
          <w:sz w:val="32"/>
          <w:szCs w:val="32"/>
        </w:rPr>
        <w:t>增加</w:t>
      </w:r>
      <w:r>
        <w:rPr>
          <w:rFonts w:hint="eastAsia" w:eastAsia="仿宋_GB2312" w:cs="仿宋_GB2312"/>
          <w:sz w:val="32"/>
          <w:szCs w:val="32"/>
          <w:lang w:val="en-US" w:eastAsia="zh-CN"/>
        </w:rPr>
        <w:t>122.84</w:t>
      </w:r>
      <w:r>
        <w:rPr>
          <w:rFonts w:hint="eastAsia" w:eastAsia="仿宋_GB2312" w:cs="仿宋_GB2312"/>
          <w:sz w:val="32"/>
          <w:szCs w:val="32"/>
        </w:rPr>
        <w:t>万元，</w:t>
      </w:r>
      <w:r>
        <w:rPr>
          <w:rFonts w:hint="eastAsia" w:eastAsia="仿宋_GB2312" w:cs="仿宋_GB2312"/>
          <w:sz w:val="32"/>
          <w:szCs w:val="32"/>
          <w:lang w:eastAsia="zh-CN"/>
        </w:rPr>
        <w:t>支出</w:t>
      </w:r>
      <w:r>
        <w:rPr>
          <w:rFonts w:hint="eastAsia" w:eastAsia="仿宋_GB2312" w:cs="仿宋_GB2312"/>
          <w:sz w:val="32"/>
          <w:szCs w:val="32"/>
        </w:rPr>
        <w:t>增长</w:t>
      </w:r>
      <w:r>
        <w:rPr>
          <w:rFonts w:hint="eastAsia" w:eastAsia="仿宋_GB2312" w:cs="仿宋_GB2312"/>
          <w:sz w:val="32"/>
          <w:szCs w:val="32"/>
          <w:lang w:val="en-US" w:eastAsia="zh-CN"/>
        </w:rPr>
        <w:t>5.84</w:t>
      </w:r>
      <w:r>
        <w:rPr>
          <w:rFonts w:hint="eastAsia" w:eastAsia="仿宋_GB2312" w:cs="仿宋_GB2312"/>
          <w:sz w:val="32"/>
          <w:szCs w:val="32"/>
        </w:rPr>
        <w:t>%。主要变动原因是</w:t>
      </w:r>
      <w:r>
        <w:rPr>
          <w:rFonts w:hint="eastAsia" w:eastAsia="仿宋_GB2312" w:cs="仿宋_GB2312"/>
          <w:sz w:val="32"/>
          <w:szCs w:val="32"/>
          <w:lang w:eastAsia="zh-CN"/>
        </w:rPr>
        <w:t>转移支付收入增加。</w:t>
      </w:r>
    </w:p>
    <w:p>
      <w:pPr>
        <w:pStyle w:val="7"/>
        <w:rPr>
          <w:rFonts w:hint="eastAsia" w:eastAsia="仿宋_GB2312" w:cs="仿宋_GB2312"/>
          <w:sz w:val="32"/>
          <w:szCs w:val="32"/>
          <w:lang w:eastAsia="zh-CN"/>
        </w:rPr>
      </w:pPr>
      <w:r>
        <w:drawing>
          <wp:inline distT="0" distB="0" distL="114300" distR="114300">
            <wp:extent cx="4572000" cy="3087370"/>
            <wp:effectExtent l="4445" t="4445" r="14605" b="1333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pPr>
        <w:spacing w:line="600" w:lineRule="exact"/>
        <w:ind w:firstLine="640" w:firstLineChars="200"/>
        <w:outlineLvl w:val="1"/>
        <w:rPr>
          <w:rStyle w:val="29"/>
          <w:rFonts w:ascii="Times New Roman" w:hAnsi="Times New Roman" w:eastAsia="黑体"/>
          <w:b w:val="0"/>
        </w:rPr>
      </w:pPr>
      <w:bookmarkStart w:id="21" w:name="_Toc15377209"/>
      <w:bookmarkStart w:id="22" w:name="_Toc15396607"/>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1"/>
      <w:bookmarkEnd w:id="22"/>
    </w:p>
    <w:p>
      <w:pPr>
        <w:spacing w:line="600" w:lineRule="exact"/>
        <w:ind w:firstLine="643" w:firstLineChars="200"/>
        <w:outlineLvl w:val="2"/>
        <w:rPr>
          <w:rFonts w:eastAsia="楷体_GB2312" w:cs="楷体_GB2312"/>
          <w:b/>
          <w:sz w:val="32"/>
          <w:szCs w:val="32"/>
        </w:rPr>
      </w:pPr>
      <w:bookmarkStart w:id="23" w:name="_Toc15377210"/>
      <w:r>
        <w:rPr>
          <w:rFonts w:hint="eastAsia" w:eastAsia="楷体_GB2312" w:cs="楷体_GB2312"/>
          <w:b/>
          <w:sz w:val="32"/>
          <w:szCs w:val="32"/>
        </w:rPr>
        <w:t>（一）一般公共预算财政拨款支出决算总体情况</w:t>
      </w:r>
      <w:bookmarkEnd w:id="23"/>
    </w:p>
    <w:p>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2024年度一般公共预算财政拨款支出2224.65万元，占本年支出合计的80.03%。与2023年度相比，一般公共预算财政拨款支出增加</w:t>
      </w:r>
      <w:r>
        <w:rPr>
          <w:rFonts w:hint="eastAsia" w:ascii="仿宋_GB2312" w:hAnsi="仿宋_GB2312" w:eastAsia="仿宋_GB2312" w:cs="仿宋_GB2312"/>
          <w:sz w:val="32"/>
          <w:szCs w:val="32"/>
          <w:lang w:val="en-US" w:eastAsia="zh-CN"/>
        </w:rPr>
        <w:t>122.84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5.84</w:t>
      </w:r>
      <w:r>
        <w:rPr>
          <w:rFonts w:hint="eastAsia" w:ascii="仿宋_GB2312" w:hAnsi="仿宋_GB2312" w:eastAsia="仿宋_GB2312" w:cs="仿宋_GB2312"/>
          <w:sz w:val="32"/>
          <w:szCs w:val="32"/>
        </w:rPr>
        <w:t>%。主要变动原因</w:t>
      </w:r>
      <w:r>
        <w:rPr>
          <w:rFonts w:hint="eastAsia" w:ascii="仿宋_GB2312" w:hAnsi="仿宋_GB2312" w:eastAsia="仿宋_GB2312" w:cs="仿宋_GB2312"/>
          <w:sz w:val="32"/>
          <w:szCs w:val="32"/>
          <w:lang w:eastAsia="zh-CN"/>
        </w:rPr>
        <w:t>是草登法庭提升改造项目完成。</w:t>
      </w:r>
    </w:p>
    <w:p>
      <w:pPr>
        <w:pStyle w:val="13"/>
        <w:rPr>
          <w:rFonts w:hint="eastAsia" w:ascii="仿宋_GB2312" w:hAnsi="仿宋_GB2312" w:eastAsia="仿宋_GB2312" w:cs="仿宋_GB2312"/>
          <w:sz w:val="32"/>
          <w:szCs w:val="32"/>
          <w:lang w:eastAsia="zh-CN"/>
        </w:rPr>
      </w:pPr>
    </w:p>
    <w:p>
      <w:pPr>
        <w:pStyle w:val="7"/>
        <w:rPr>
          <w:rFonts w:hint="eastAsia" w:ascii="仿宋_GB2312" w:hAnsi="仿宋_GB2312" w:eastAsia="仿宋_GB2312" w:cs="仿宋_GB2312"/>
          <w:sz w:val="32"/>
          <w:szCs w:val="32"/>
          <w:lang w:eastAsia="zh-CN"/>
        </w:rPr>
      </w:pPr>
    </w:p>
    <w:p>
      <w:pPr>
        <w:pStyle w:val="7"/>
        <w:rPr>
          <w:rFonts w:hint="eastAsia" w:ascii="仿宋_GB2312" w:hAnsi="仿宋_GB2312" w:eastAsia="仿宋_GB2312" w:cs="仿宋_GB2312"/>
          <w:sz w:val="32"/>
          <w:szCs w:val="32"/>
          <w:lang w:eastAsia="zh-CN"/>
        </w:rPr>
      </w:pPr>
      <w:r>
        <w:drawing>
          <wp:inline distT="0" distB="0" distL="114300" distR="114300">
            <wp:extent cx="4572000" cy="274320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pPr>
        <w:spacing w:line="600" w:lineRule="exact"/>
        <w:ind w:firstLine="640"/>
        <w:rPr>
          <w:rFonts w:eastAsia="仿宋_GB2312" w:cs="仿宋_GB2312"/>
          <w:sz w:val="32"/>
          <w:szCs w:val="32"/>
        </w:rPr>
      </w:pPr>
    </w:p>
    <w:p>
      <w:pPr>
        <w:spacing w:line="600" w:lineRule="exact"/>
        <w:ind w:firstLine="643" w:firstLineChars="200"/>
        <w:outlineLvl w:val="2"/>
        <w:rPr>
          <w:rFonts w:eastAsia="楷体_GB2312" w:cs="楷体_GB2312"/>
          <w:b/>
          <w:sz w:val="32"/>
          <w:szCs w:val="32"/>
        </w:rPr>
      </w:pPr>
      <w:bookmarkStart w:id="24" w:name="_Toc15377211"/>
      <w:r>
        <w:rPr>
          <w:rFonts w:hint="eastAsia" w:eastAsia="楷体_GB2312" w:cs="楷体_GB2312"/>
          <w:b/>
          <w:sz w:val="32"/>
          <w:szCs w:val="32"/>
        </w:rPr>
        <w:t>（二）一般公共预算财政拨款支出决算结构情况</w:t>
      </w:r>
      <w:bookmarkEnd w:id="24"/>
    </w:p>
    <w:p>
      <w:pPr>
        <w:spacing w:line="600" w:lineRule="exact"/>
        <w:ind w:firstLine="640"/>
        <w:rPr>
          <w:rFonts w:hint="eastAsia"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2224.65万元</w:t>
      </w:r>
      <w:r>
        <w:rPr>
          <w:rFonts w:hint="eastAsia" w:eastAsia="仿宋_GB2312" w:cs="仿宋_GB2312"/>
          <w:sz w:val="32"/>
          <w:szCs w:val="32"/>
        </w:rPr>
        <w:t>，主要用于以下方面：</w:t>
      </w:r>
      <w:r>
        <w:rPr>
          <w:rFonts w:hint="eastAsia" w:eastAsia="仿宋_GB2312" w:cs="仿宋_GB2312"/>
          <w:sz w:val="32"/>
          <w:szCs w:val="32"/>
          <w:lang w:eastAsia="zh-CN"/>
        </w:rPr>
        <w:t>公共安全</w:t>
      </w:r>
      <w:r>
        <w:rPr>
          <w:rFonts w:hint="eastAsia" w:eastAsia="仿宋_GB2312" w:cs="仿宋_GB2312"/>
          <w:sz w:val="32"/>
          <w:szCs w:val="32"/>
        </w:rPr>
        <w:t>支出</w:t>
      </w:r>
      <w:r>
        <w:rPr>
          <w:rFonts w:hint="eastAsia" w:eastAsia="仿宋_GB2312" w:cs="仿宋_GB2312"/>
          <w:sz w:val="32"/>
          <w:szCs w:val="32"/>
          <w:lang w:val="en-US" w:eastAsia="zh-CN"/>
        </w:rPr>
        <w:t>1794.92</w:t>
      </w:r>
      <w:r>
        <w:rPr>
          <w:rFonts w:hint="eastAsia" w:eastAsia="仿宋_GB2312" w:cs="仿宋_GB2312"/>
          <w:sz w:val="32"/>
          <w:szCs w:val="32"/>
        </w:rPr>
        <w:t>万元，占</w:t>
      </w:r>
      <w:r>
        <w:rPr>
          <w:rFonts w:hint="eastAsia" w:eastAsia="仿宋_GB2312" w:cs="仿宋_GB2312"/>
          <w:sz w:val="32"/>
          <w:szCs w:val="32"/>
          <w:lang w:val="en-US" w:eastAsia="zh-CN"/>
        </w:rPr>
        <w:t>80.68</w:t>
      </w:r>
      <w:r>
        <w:rPr>
          <w:rFonts w:hint="eastAsia" w:eastAsia="仿宋_GB2312" w:cs="仿宋_GB2312"/>
          <w:sz w:val="32"/>
          <w:szCs w:val="32"/>
        </w:rPr>
        <w:t>%；社会保障和就业支出</w:t>
      </w:r>
      <w:r>
        <w:rPr>
          <w:rFonts w:hint="eastAsia" w:eastAsia="仿宋_GB2312" w:cs="仿宋_GB2312"/>
          <w:sz w:val="32"/>
          <w:szCs w:val="32"/>
          <w:lang w:val="en-US" w:eastAsia="zh-CN"/>
        </w:rPr>
        <w:t>199.51</w:t>
      </w:r>
      <w:r>
        <w:rPr>
          <w:rFonts w:hint="eastAsia" w:eastAsia="仿宋_GB2312" w:cs="仿宋_GB2312"/>
          <w:sz w:val="32"/>
          <w:szCs w:val="32"/>
        </w:rPr>
        <w:t>万元，占</w:t>
      </w:r>
      <w:r>
        <w:rPr>
          <w:rFonts w:hint="eastAsia" w:eastAsia="仿宋_GB2312" w:cs="仿宋_GB2312"/>
          <w:sz w:val="32"/>
          <w:szCs w:val="32"/>
          <w:lang w:val="en-US" w:eastAsia="zh-CN"/>
        </w:rPr>
        <w:t>8.97</w:t>
      </w:r>
      <w:r>
        <w:rPr>
          <w:rFonts w:hint="eastAsia" w:eastAsia="仿宋_GB2312" w:cs="仿宋_GB2312"/>
          <w:sz w:val="32"/>
          <w:szCs w:val="32"/>
        </w:rPr>
        <w:t>%；卫生健康支出</w:t>
      </w:r>
      <w:r>
        <w:rPr>
          <w:rFonts w:hint="eastAsia" w:eastAsia="仿宋_GB2312" w:cs="仿宋_GB2312"/>
          <w:sz w:val="32"/>
          <w:szCs w:val="32"/>
          <w:lang w:val="en-US" w:eastAsia="zh-CN"/>
        </w:rPr>
        <w:t>92.59</w:t>
      </w:r>
      <w:r>
        <w:rPr>
          <w:rFonts w:hint="eastAsia" w:eastAsia="仿宋_GB2312" w:cs="仿宋_GB2312"/>
          <w:sz w:val="32"/>
          <w:szCs w:val="32"/>
        </w:rPr>
        <w:t>万元，占</w:t>
      </w:r>
      <w:r>
        <w:rPr>
          <w:rFonts w:hint="eastAsia" w:eastAsia="仿宋_GB2312" w:cs="仿宋_GB2312"/>
          <w:sz w:val="32"/>
          <w:szCs w:val="32"/>
          <w:lang w:val="en-US" w:eastAsia="zh-CN"/>
        </w:rPr>
        <w:t>4.16</w:t>
      </w:r>
      <w:r>
        <w:rPr>
          <w:rFonts w:hint="eastAsia" w:eastAsia="仿宋_GB2312" w:cs="仿宋_GB2312"/>
          <w:sz w:val="32"/>
          <w:szCs w:val="32"/>
        </w:rPr>
        <w:t>%；住房保障支出</w:t>
      </w:r>
      <w:r>
        <w:rPr>
          <w:rFonts w:hint="eastAsia" w:eastAsia="仿宋_GB2312" w:cs="仿宋_GB2312"/>
          <w:sz w:val="32"/>
          <w:szCs w:val="32"/>
          <w:lang w:val="en-US" w:eastAsia="zh-CN"/>
        </w:rPr>
        <w:t>137.63</w:t>
      </w:r>
      <w:r>
        <w:rPr>
          <w:rFonts w:hint="eastAsia" w:eastAsia="仿宋_GB2312" w:cs="仿宋_GB2312"/>
          <w:sz w:val="32"/>
          <w:szCs w:val="32"/>
        </w:rPr>
        <w:t>万元，占</w:t>
      </w:r>
      <w:r>
        <w:rPr>
          <w:rFonts w:hint="eastAsia" w:eastAsia="仿宋_GB2312" w:cs="仿宋_GB2312"/>
          <w:sz w:val="32"/>
          <w:szCs w:val="32"/>
          <w:lang w:val="en-US" w:eastAsia="zh-CN"/>
        </w:rPr>
        <w:t>6.19</w:t>
      </w:r>
      <w:r>
        <w:rPr>
          <w:rFonts w:hint="eastAsia" w:eastAsia="仿宋_GB2312" w:cs="仿宋_GB2312"/>
          <w:sz w:val="32"/>
          <w:szCs w:val="32"/>
        </w:rPr>
        <w:t>%；</w:t>
      </w:r>
    </w:p>
    <w:p>
      <w:pPr>
        <w:pStyle w:val="13"/>
        <w:rPr>
          <w:rFonts w:hint="eastAsia" w:eastAsia="仿宋_GB2312" w:cs="仿宋_GB2312"/>
          <w:sz w:val="32"/>
          <w:szCs w:val="32"/>
        </w:rPr>
      </w:pPr>
    </w:p>
    <w:p>
      <w:pPr>
        <w:pStyle w:val="7"/>
        <w:rPr>
          <w:rFonts w:hint="eastAsia" w:eastAsia="仿宋_GB2312" w:cs="仿宋_GB2312"/>
          <w:sz w:val="32"/>
          <w:szCs w:val="32"/>
        </w:rPr>
      </w:pPr>
    </w:p>
    <w:p>
      <w:pPr>
        <w:pStyle w:val="7"/>
        <w:rPr>
          <w:rFonts w:hint="eastAsia" w:eastAsia="仿宋_GB2312" w:cs="仿宋_GB2312"/>
          <w:sz w:val="32"/>
          <w:szCs w:val="32"/>
        </w:rPr>
      </w:pPr>
      <w: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pPr>
        <w:spacing w:line="600" w:lineRule="exact"/>
        <w:ind w:firstLine="643" w:firstLineChars="200"/>
        <w:outlineLvl w:val="2"/>
        <w:rPr>
          <w:rFonts w:eastAsia="楷体_GB2312" w:cs="楷体_GB2312"/>
          <w:b/>
          <w:sz w:val="32"/>
          <w:szCs w:val="32"/>
        </w:rPr>
      </w:pPr>
      <w:bookmarkStart w:id="25" w:name="_Toc15377212"/>
      <w:r>
        <w:rPr>
          <w:rFonts w:hint="eastAsia" w:eastAsia="楷体_GB2312" w:cs="楷体_GB2312"/>
          <w:b/>
          <w:sz w:val="32"/>
          <w:szCs w:val="32"/>
        </w:rPr>
        <w:t>（三）一般公共预算财政拨款支出决算具体情况</w:t>
      </w:r>
      <w:bookmarkEnd w:id="25"/>
    </w:p>
    <w:p>
      <w:pPr>
        <w:spacing w:line="600" w:lineRule="exact"/>
        <w:ind w:firstLine="640"/>
        <w:rPr>
          <w:rFonts w:eastAsia="仿宋_GB2312" w:cs="仿宋_GB2312"/>
          <w:sz w:val="32"/>
          <w:szCs w:val="32"/>
        </w:rPr>
      </w:pPr>
      <w:bookmarkStart w:id="26" w:name="_Toc15378460"/>
      <w:bookmarkStart w:id="27" w:name="_Toc15377213"/>
      <w:bookmarkStart w:id="28"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2224.65，</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6"/>
      <w:bookmarkEnd w:id="27"/>
      <w:bookmarkEnd w:id="28"/>
    </w:p>
    <w:p>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1.</w:t>
      </w:r>
      <w:r>
        <w:rPr>
          <w:rStyle w:val="17"/>
          <w:rFonts w:hint="eastAsia" w:ascii="仿宋" w:hAnsi="仿宋" w:eastAsia="仿宋"/>
          <w:bCs/>
          <w:color w:val="auto"/>
          <w:sz w:val="32"/>
          <w:szCs w:val="32"/>
          <w:highlight w:val="none"/>
        </w:rPr>
        <w:t>公共安全支出（类）（款）（项）</w:t>
      </w:r>
      <w:r>
        <w:rPr>
          <w:rStyle w:val="17"/>
          <w:rFonts w:hint="eastAsia" w:ascii="仿宋" w:hAnsi="仿宋" w:eastAsia="仿宋"/>
          <w:bCs/>
          <w:color w:val="auto"/>
          <w:sz w:val="32"/>
          <w:szCs w:val="32"/>
          <w:highlight w:val="none"/>
          <w:lang w:eastAsia="zh-CN"/>
        </w:rPr>
        <w:t>行政运行</w:t>
      </w:r>
      <w:r>
        <w:rPr>
          <w:rStyle w:val="17"/>
          <w:rFonts w:hint="eastAsia" w:ascii="仿宋" w:hAnsi="仿宋" w:eastAsia="仿宋"/>
          <w:bCs/>
          <w:color w:val="auto"/>
          <w:sz w:val="32"/>
          <w:szCs w:val="32"/>
          <w:highlight w:val="none"/>
          <w:lang w:val="en-US" w:eastAsia="zh-CN"/>
        </w:rPr>
        <w:t>2040501</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1029.28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2</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公共安全支出（类）（款）（项）一般行政管理事务</w:t>
      </w:r>
      <w:r>
        <w:rPr>
          <w:rStyle w:val="17"/>
          <w:rFonts w:hint="eastAsia" w:ascii="仿宋" w:hAnsi="仿宋" w:eastAsia="仿宋"/>
          <w:bCs/>
          <w:color w:val="auto"/>
          <w:sz w:val="32"/>
          <w:szCs w:val="32"/>
          <w:highlight w:val="none"/>
          <w:lang w:val="en-US" w:eastAsia="zh-CN"/>
        </w:rPr>
        <w:t>2040502</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765.64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3</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公共安全支出（类）法院（款）</w:t>
      </w:r>
      <w:r>
        <w:rPr>
          <w:rStyle w:val="17"/>
          <w:rFonts w:hint="eastAsia" w:ascii="仿宋" w:hAnsi="仿宋" w:eastAsia="仿宋"/>
          <w:bCs/>
          <w:color w:val="auto"/>
          <w:sz w:val="32"/>
          <w:szCs w:val="32"/>
          <w:highlight w:val="none"/>
          <w:lang w:eastAsia="zh-CN"/>
        </w:rPr>
        <w:t>案件执行</w:t>
      </w:r>
      <w:r>
        <w:rPr>
          <w:rStyle w:val="17"/>
          <w:rFonts w:hint="eastAsia" w:ascii="仿宋" w:hAnsi="仿宋" w:eastAsia="仿宋"/>
          <w:bCs/>
          <w:color w:val="auto"/>
          <w:sz w:val="32"/>
          <w:szCs w:val="32"/>
          <w:highlight w:val="none"/>
        </w:rPr>
        <w:t>支出</w:t>
      </w:r>
      <w:r>
        <w:rPr>
          <w:rStyle w:val="17"/>
          <w:rFonts w:hint="eastAsia" w:ascii="仿宋" w:hAnsi="仿宋" w:eastAsia="仿宋"/>
          <w:bCs/>
          <w:color w:val="auto"/>
          <w:sz w:val="32"/>
          <w:szCs w:val="32"/>
          <w:highlight w:val="none"/>
          <w:lang w:val="en-US" w:eastAsia="zh-CN"/>
        </w:rPr>
        <w:t>2040505</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4</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社会保障和就业支出（类）行政事业单位养老支出（款）机关事业单位基本养老保险缴费支出</w:t>
      </w:r>
      <w:r>
        <w:rPr>
          <w:rStyle w:val="17"/>
          <w:rFonts w:hint="eastAsia" w:ascii="仿宋" w:hAnsi="仿宋" w:eastAsia="仿宋"/>
          <w:bCs/>
          <w:color w:val="auto"/>
          <w:sz w:val="32"/>
          <w:szCs w:val="32"/>
          <w:highlight w:val="none"/>
          <w:lang w:val="en-US" w:eastAsia="zh-CN"/>
        </w:rPr>
        <w:t>2080505</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136.61</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5</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社会保障和就业支出（类）机关事业单位职业年金缴费支出</w:t>
      </w:r>
      <w:r>
        <w:rPr>
          <w:rStyle w:val="17"/>
          <w:rFonts w:hint="eastAsia" w:ascii="仿宋" w:hAnsi="仿宋" w:eastAsia="仿宋"/>
          <w:bCs/>
          <w:color w:val="auto"/>
          <w:sz w:val="32"/>
          <w:szCs w:val="32"/>
          <w:highlight w:val="none"/>
          <w:lang w:val="en-US" w:eastAsia="zh-CN"/>
        </w:rPr>
        <w:t>2080506</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62.9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6</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卫生健康支出（类）行政事业单位医疗（款）行政单位医疗</w:t>
      </w:r>
      <w:r>
        <w:rPr>
          <w:rStyle w:val="17"/>
          <w:rFonts w:hint="eastAsia" w:ascii="仿宋" w:hAnsi="仿宋" w:eastAsia="仿宋"/>
          <w:bCs/>
          <w:color w:val="auto"/>
          <w:sz w:val="32"/>
          <w:szCs w:val="32"/>
          <w:highlight w:val="none"/>
          <w:lang w:val="en-US" w:eastAsia="zh-CN"/>
        </w:rPr>
        <w:t>2101101</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74.25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7.</w:t>
      </w:r>
      <w:r>
        <w:rPr>
          <w:rStyle w:val="17"/>
          <w:rFonts w:hint="eastAsia" w:ascii="仿宋" w:hAnsi="仿宋" w:eastAsia="仿宋"/>
          <w:bCs/>
          <w:color w:val="auto"/>
          <w:sz w:val="32"/>
          <w:szCs w:val="32"/>
          <w:highlight w:val="none"/>
        </w:rPr>
        <w:t>卫生健康支出（类）行政事业单位医疗（款）公务员医疗补助</w:t>
      </w:r>
      <w:r>
        <w:rPr>
          <w:rStyle w:val="17"/>
          <w:rFonts w:hint="eastAsia" w:ascii="仿宋" w:hAnsi="仿宋" w:eastAsia="仿宋"/>
          <w:bCs/>
          <w:color w:val="auto"/>
          <w:sz w:val="32"/>
          <w:szCs w:val="32"/>
          <w:highlight w:val="none"/>
          <w:lang w:val="en-US" w:eastAsia="zh-CN"/>
        </w:rPr>
        <w:t>2101103</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18.34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spacing w:line="600" w:lineRule="exact"/>
        <w:ind w:firstLine="643" w:firstLineChars="200"/>
        <w:rPr>
          <w:rFonts w:eastAsia="仿宋_GB2312" w:cs="仿宋_GB2312"/>
          <w:sz w:val="32"/>
          <w:szCs w:val="32"/>
        </w:rPr>
      </w:pPr>
      <w:r>
        <w:rPr>
          <w:rStyle w:val="17"/>
          <w:rFonts w:hint="eastAsia" w:ascii="仿宋" w:hAnsi="仿宋" w:eastAsia="仿宋"/>
          <w:bCs/>
          <w:color w:val="auto"/>
          <w:sz w:val="32"/>
          <w:szCs w:val="32"/>
          <w:highlight w:val="none"/>
          <w:lang w:val="en-US" w:eastAsia="zh-CN"/>
        </w:rPr>
        <w:t>8</w:t>
      </w:r>
      <w:r>
        <w:rPr>
          <w:rStyle w:val="17"/>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住房保障支出</w:t>
      </w:r>
      <w:r>
        <w:rPr>
          <w:rStyle w:val="17"/>
          <w:rFonts w:hint="eastAsia" w:ascii="仿宋" w:hAnsi="仿宋" w:eastAsia="仿宋"/>
          <w:bCs/>
          <w:color w:val="auto"/>
          <w:sz w:val="32"/>
          <w:szCs w:val="32"/>
          <w:highlight w:val="none"/>
        </w:rPr>
        <w:t>（类）住房改革支出（款）住房公积金</w:t>
      </w:r>
      <w:r>
        <w:rPr>
          <w:rStyle w:val="17"/>
          <w:rFonts w:hint="eastAsia" w:ascii="仿宋" w:hAnsi="仿宋" w:eastAsia="仿宋"/>
          <w:bCs/>
          <w:color w:val="auto"/>
          <w:sz w:val="32"/>
          <w:szCs w:val="32"/>
          <w:highlight w:val="none"/>
          <w:lang w:val="en-US" w:eastAsia="zh-CN"/>
        </w:rPr>
        <w:t>2210201</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137.63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pPr>
        <w:tabs>
          <w:tab w:val="right" w:pos="8306"/>
        </w:tabs>
        <w:spacing w:line="600" w:lineRule="exact"/>
        <w:ind w:firstLine="640"/>
        <w:outlineLvl w:val="1"/>
        <w:rPr>
          <w:rStyle w:val="29"/>
          <w:rFonts w:ascii="Times New Roman" w:hAnsi="Times New Roman"/>
        </w:rPr>
      </w:pPr>
      <w:bookmarkStart w:id="29" w:name="_Toc15377214"/>
      <w:bookmarkStart w:id="30" w:name="_Toc15396608"/>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9"/>
      <w:bookmarkEnd w:id="30"/>
      <w:r>
        <w:rPr>
          <w:rStyle w:val="29"/>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1459.01万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1310万</w:t>
      </w:r>
      <w:r>
        <w:rPr>
          <w:rFonts w:hint="eastAsia" w:eastAsia="仿宋_GB2312" w:cs="仿宋_GB2312"/>
          <w:sz w:val="32"/>
          <w:szCs w:val="32"/>
        </w:rPr>
        <w:t>元，主要包括：基本工资、津贴补贴、奖金、伙食补助费、机关事业单位基本养老保险缴费、职业年金缴费、其他社会保障缴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149.01万</w:t>
      </w:r>
      <w:r>
        <w:rPr>
          <w:rFonts w:hint="eastAsia" w:eastAsia="仿宋_GB2312" w:cs="仿宋_GB2312"/>
          <w:sz w:val="32"/>
          <w:szCs w:val="32"/>
        </w:rPr>
        <w:t>元，主要包括：办公费、印刷费、手续费、水费、电费、邮电费、取暖费、物业管理费、差旅费、维修（护）费、培训费、公务接待费、劳务费、委托业务费、工会经费、福利费、公务用车运行维护费</w:t>
      </w:r>
      <w:r>
        <w:rPr>
          <w:rFonts w:hint="eastAsia" w:eastAsia="仿宋_GB2312" w:cs="仿宋_GB2312"/>
          <w:sz w:val="32"/>
          <w:szCs w:val="32"/>
          <w:lang w:eastAsia="zh-CN"/>
        </w:rPr>
        <w:t>。</w:t>
      </w:r>
    </w:p>
    <w:p>
      <w:pPr>
        <w:spacing w:line="600" w:lineRule="exact"/>
        <w:ind w:firstLine="640"/>
        <w:outlineLvl w:val="1"/>
        <w:rPr>
          <w:rStyle w:val="29"/>
          <w:rFonts w:ascii="Times New Roman" w:hAnsi="Times New Roman" w:eastAsia="黑体"/>
          <w:b w:val="0"/>
        </w:rPr>
      </w:pPr>
      <w:bookmarkStart w:id="31" w:name="_Toc15377215"/>
      <w:bookmarkStart w:id="32" w:name="_Toc15396609"/>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1"/>
      <w:bookmarkEnd w:id="32"/>
    </w:p>
    <w:p>
      <w:pPr>
        <w:spacing w:line="600" w:lineRule="exact"/>
        <w:ind w:firstLine="643" w:firstLineChars="200"/>
        <w:outlineLvl w:val="2"/>
        <w:rPr>
          <w:rFonts w:eastAsia="楷体_GB2312" w:cs="楷体_GB2312"/>
          <w:b/>
          <w:sz w:val="32"/>
          <w:szCs w:val="32"/>
        </w:rPr>
      </w:pPr>
      <w:bookmarkStart w:id="33" w:name="_Toc15377216"/>
      <w:r>
        <w:rPr>
          <w:rFonts w:hint="eastAsia" w:eastAsia="楷体_GB2312" w:cs="楷体_GB2312"/>
          <w:b/>
          <w:sz w:val="32"/>
          <w:szCs w:val="32"/>
        </w:rPr>
        <w:t>（一）“三公”经费财政拨款支出决算总体情况说明</w:t>
      </w:r>
      <w:bookmarkEnd w:id="33"/>
    </w:p>
    <w:p>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113.89万元，完成预算</w:t>
      </w:r>
      <w:r>
        <w:rPr>
          <w:rFonts w:hint="eastAsia" w:ascii="仿宋_GB2312" w:hAnsi="仿宋_GB2312" w:eastAsia="仿宋_GB2312" w:cs="仿宋_GB2312"/>
          <w:sz w:val="32"/>
          <w:szCs w:val="32"/>
          <w:lang w:val="en-US" w:eastAsia="zh-CN"/>
        </w:rPr>
        <w:t>95.92</w:t>
      </w:r>
      <w:r>
        <w:rPr>
          <w:rFonts w:hint="eastAsia" w:ascii="仿宋_GB2312" w:hAnsi="仿宋_GB2312" w:eastAsia="仿宋_GB2312" w:cs="仿宋_GB2312"/>
          <w:sz w:val="32"/>
          <w:szCs w:val="32"/>
        </w:rPr>
        <w:t>%，</w:t>
      </w:r>
      <w:r>
        <w:rPr>
          <w:rFonts w:hint="eastAsia" w:eastAsia="仿宋_GB2312" w:cs="仿宋_GB2312"/>
          <w:sz w:val="32"/>
          <w:szCs w:val="32"/>
        </w:rPr>
        <w:t>较上年度增加</w:t>
      </w:r>
      <w:r>
        <w:rPr>
          <w:rFonts w:hint="eastAsia" w:eastAsia="仿宋_GB2312" w:cs="仿宋_GB2312"/>
          <w:sz w:val="32"/>
          <w:szCs w:val="32"/>
          <w:lang w:val="en-US" w:eastAsia="zh-CN"/>
        </w:rPr>
        <w:t>84.46</w:t>
      </w:r>
      <w:r>
        <w:rPr>
          <w:rFonts w:hint="eastAsia" w:eastAsia="仿宋_GB2312" w:cs="仿宋_GB2312"/>
          <w:sz w:val="32"/>
          <w:szCs w:val="32"/>
        </w:rPr>
        <w:t>万元，增长</w:t>
      </w:r>
      <w:r>
        <w:rPr>
          <w:rFonts w:hint="eastAsia" w:eastAsia="仿宋_GB2312" w:cs="仿宋_GB2312"/>
          <w:sz w:val="32"/>
          <w:szCs w:val="32"/>
          <w:lang w:val="en-US" w:eastAsia="zh-CN"/>
        </w:rPr>
        <w:t>286.98</w:t>
      </w:r>
      <w:r>
        <w:rPr>
          <w:rFonts w:hint="eastAsia" w:eastAsia="仿宋_GB2312" w:cs="仿宋_GB2312"/>
          <w:sz w:val="32"/>
          <w:szCs w:val="32"/>
        </w:rPr>
        <w:t>%。决算数小于预算数的主要原因是</w:t>
      </w:r>
      <w:r>
        <w:rPr>
          <w:rFonts w:hint="eastAsia" w:eastAsia="仿宋_GB2312" w:cs="仿宋_GB2312"/>
          <w:sz w:val="32"/>
          <w:szCs w:val="32"/>
          <w:lang w:eastAsia="zh-CN"/>
        </w:rPr>
        <w:t>本年度厉行节约。</w:t>
      </w:r>
    </w:p>
    <w:p>
      <w:pPr>
        <w:spacing w:line="600" w:lineRule="exact"/>
        <w:ind w:firstLine="643" w:firstLineChars="200"/>
        <w:outlineLvl w:val="2"/>
        <w:rPr>
          <w:rFonts w:eastAsia="楷体_GB2312" w:cs="楷体_GB2312"/>
          <w:b/>
          <w:sz w:val="32"/>
          <w:szCs w:val="32"/>
        </w:rPr>
      </w:pPr>
      <w:bookmarkStart w:id="34" w:name="_Toc15377217"/>
      <w:r>
        <w:rPr>
          <w:rFonts w:hint="eastAsia" w:eastAsia="楷体_GB2312" w:cs="楷体_GB2312"/>
          <w:b/>
          <w:sz w:val="32"/>
          <w:szCs w:val="32"/>
        </w:rPr>
        <w:t>（二）“三公”经费财政拨款支出决算具体情况说明</w:t>
      </w:r>
      <w:bookmarkEnd w:id="34"/>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%；公务用车购置及运行维护费支出决算113.2万元，占</w:t>
      </w:r>
      <w:r>
        <w:rPr>
          <w:rFonts w:hint="eastAsia" w:ascii="仿宋_GB2312" w:hAnsi="仿宋_GB2312" w:eastAsia="仿宋_GB2312" w:cs="仿宋_GB2312"/>
          <w:sz w:val="32"/>
          <w:szCs w:val="32"/>
          <w:lang w:val="en-US" w:eastAsia="zh-CN"/>
        </w:rPr>
        <w:t>99.39</w:t>
      </w:r>
      <w:r>
        <w:rPr>
          <w:rFonts w:hint="eastAsia" w:ascii="仿宋_GB2312" w:hAnsi="仿宋_GB2312" w:eastAsia="仿宋_GB2312" w:cs="仿宋_GB2312"/>
          <w:sz w:val="32"/>
          <w:szCs w:val="32"/>
        </w:rPr>
        <w:t>%；公务接待费支出决算0.69万元，占</w:t>
      </w:r>
      <w:r>
        <w:rPr>
          <w:rFonts w:hint="eastAsia" w:ascii="仿宋_GB2312" w:hAnsi="仿宋_GB2312" w:eastAsia="仿宋_GB2312" w:cs="仿宋_GB2312"/>
          <w:sz w:val="32"/>
          <w:szCs w:val="32"/>
          <w:lang w:val="en-US" w:eastAsia="zh-CN"/>
        </w:rPr>
        <w:t>0.61</w:t>
      </w:r>
      <w:r>
        <w:rPr>
          <w:rFonts w:hint="eastAsia" w:ascii="仿宋_GB2312" w:hAnsi="仿宋_GB2312" w:eastAsia="仿宋_GB2312" w:cs="仿宋_GB2312"/>
          <w:sz w:val="32"/>
          <w:szCs w:val="32"/>
        </w:rPr>
        <w:t>%。具体情况如下：</w:t>
      </w:r>
    </w:p>
    <w:p>
      <w:pPr>
        <w:pStyle w:val="2"/>
      </w:pPr>
      <w:r>
        <w:drawing>
          <wp:inline distT="0" distB="0" distL="114300" distR="114300">
            <wp:extent cx="4572000" cy="2743200"/>
            <wp:effectExtent l="4445" t="4445" r="14605" b="1460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113.2万</w:t>
      </w:r>
      <w:r>
        <w:rPr>
          <w:rFonts w:hint="eastAsia" w:eastAsia="仿宋_GB2312" w:cs="仿宋_GB2312"/>
          <w:b/>
          <w:bCs/>
          <w:sz w:val="32"/>
          <w:szCs w:val="32"/>
        </w:rPr>
        <w:t>元，完成预算</w:t>
      </w:r>
      <w:r>
        <w:rPr>
          <w:rFonts w:hint="eastAsia" w:eastAsia="仿宋_GB2312" w:cs="仿宋_GB2312"/>
          <w:b/>
          <w:bCs/>
          <w:sz w:val="32"/>
          <w:szCs w:val="32"/>
          <w:lang w:val="en-US" w:eastAsia="zh-CN"/>
        </w:rPr>
        <w:t>97.23</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公务用车购置及运行维护费支出决算比2023年度增加</w:t>
      </w:r>
      <w:r>
        <w:rPr>
          <w:rFonts w:hint="eastAsia" w:eastAsia="仿宋_GB2312" w:cs="仿宋_GB2312"/>
          <w:sz w:val="32"/>
          <w:szCs w:val="32"/>
          <w:lang w:val="en-US" w:eastAsia="zh-CN"/>
        </w:rPr>
        <w:t>110.05</w:t>
      </w:r>
      <w:r>
        <w:rPr>
          <w:rFonts w:hint="eastAsia" w:eastAsia="仿宋_GB2312" w:cs="仿宋_GB2312"/>
          <w:sz w:val="32"/>
          <w:szCs w:val="32"/>
        </w:rPr>
        <w:t>万元，增长</w:t>
      </w:r>
      <w:r>
        <w:rPr>
          <w:rFonts w:hint="eastAsia" w:eastAsia="仿宋_GB2312" w:cs="仿宋_GB2312"/>
          <w:sz w:val="32"/>
          <w:szCs w:val="32"/>
          <w:lang w:val="en-US" w:eastAsia="zh-CN"/>
        </w:rPr>
        <w:t>3493.65</w:t>
      </w:r>
      <w:r>
        <w:rPr>
          <w:rFonts w:hint="eastAsia" w:eastAsia="仿宋_GB2312" w:cs="仿宋_GB2312"/>
          <w:sz w:val="32"/>
          <w:szCs w:val="32"/>
        </w:rPr>
        <w:t>%。主要原因是</w:t>
      </w:r>
      <w:r>
        <w:rPr>
          <w:rFonts w:hint="eastAsia" w:eastAsia="仿宋_GB2312" w:cs="仿宋_GB2312"/>
          <w:sz w:val="32"/>
          <w:szCs w:val="32"/>
          <w:lang w:eastAsia="zh-CN"/>
        </w:rPr>
        <w:t>本年度新购置三辆执法执勤车辆。</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出106.8</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3</w:t>
      </w:r>
      <w:r>
        <w:rPr>
          <w:rFonts w:hint="eastAsia" w:eastAsia="仿宋_GB2312" w:cs="仿宋_GB2312"/>
          <w:sz w:val="32"/>
          <w:szCs w:val="32"/>
        </w:rPr>
        <w:t>辆，其中：越野车</w:t>
      </w:r>
      <w:r>
        <w:rPr>
          <w:rFonts w:hint="eastAsia" w:eastAsia="仿宋_GB2312" w:cs="仿宋_GB2312"/>
          <w:sz w:val="32"/>
          <w:szCs w:val="32"/>
          <w:lang w:val="en-US" w:eastAsia="zh-CN"/>
        </w:rPr>
        <w:t>2</w:t>
      </w:r>
      <w:r>
        <w:rPr>
          <w:rFonts w:hint="eastAsia" w:eastAsia="仿宋_GB2312" w:cs="仿宋_GB2312"/>
          <w:sz w:val="32"/>
          <w:szCs w:val="32"/>
        </w:rPr>
        <w:t>辆、金额</w:t>
      </w:r>
      <w:r>
        <w:rPr>
          <w:rFonts w:hint="eastAsia" w:eastAsia="仿宋_GB2312" w:cs="仿宋_GB2312"/>
          <w:sz w:val="32"/>
          <w:szCs w:val="32"/>
          <w:lang w:val="en-US" w:eastAsia="zh-CN"/>
        </w:rPr>
        <w:t>47</w:t>
      </w:r>
      <w:r>
        <w:rPr>
          <w:rFonts w:hint="eastAsia" w:eastAsia="仿宋_GB2312" w:cs="仿宋_GB2312"/>
          <w:sz w:val="32"/>
          <w:szCs w:val="32"/>
        </w:rPr>
        <w:t>万元，</w:t>
      </w:r>
      <w:r>
        <w:rPr>
          <w:rFonts w:hint="eastAsia" w:eastAsia="仿宋_GB2312" w:cs="仿宋_GB2312"/>
          <w:sz w:val="32"/>
          <w:szCs w:val="32"/>
          <w:lang w:eastAsia="zh-CN"/>
        </w:rPr>
        <w:t>特种执法执勤车</w:t>
      </w:r>
      <w:r>
        <w:rPr>
          <w:rFonts w:hint="eastAsia" w:eastAsia="仿宋_GB2312" w:cs="仿宋_GB2312"/>
          <w:sz w:val="32"/>
          <w:szCs w:val="32"/>
          <w:lang w:val="en-US" w:eastAsia="zh-CN"/>
        </w:rPr>
        <w:t>1辆、</w:t>
      </w:r>
      <w:r>
        <w:rPr>
          <w:rFonts w:hint="eastAsia" w:eastAsia="仿宋_GB2312" w:cs="仿宋_GB2312"/>
          <w:sz w:val="32"/>
          <w:szCs w:val="32"/>
          <w:lang w:eastAsia="zh-CN"/>
        </w:rPr>
        <w:t>金额</w:t>
      </w:r>
      <w:r>
        <w:rPr>
          <w:rFonts w:hint="eastAsia" w:eastAsia="仿宋_GB2312" w:cs="仿宋_GB2312"/>
          <w:sz w:val="32"/>
          <w:szCs w:val="32"/>
          <w:lang w:val="en-US" w:eastAsia="zh-CN"/>
        </w:rPr>
        <w:t>59.8</w:t>
      </w:r>
      <w:r>
        <w:rPr>
          <w:rFonts w:hint="eastAsia" w:eastAsia="仿宋_GB2312" w:cs="仿宋_GB2312"/>
          <w:sz w:val="32"/>
          <w:szCs w:val="32"/>
          <w:lang w:eastAsia="zh-CN"/>
        </w:rPr>
        <w:t>万元</w:t>
      </w:r>
      <w:r>
        <w:rPr>
          <w:rFonts w:hint="eastAsia" w:eastAsia="仿宋_GB2312" w:cs="仿宋_GB2312"/>
          <w:sz w:val="32"/>
          <w:szCs w:val="32"/>
        </w:rPr>
        <w:t>，主要用于</w:t>
      </w:r>
      <w:r>
        <w:rPr>
          <w:rFonts w:hint="eastAsia" w:eastAsia="仿宋_GB2312" w:cs="仿宋_GB2312"/>
          <w:sz w:val="32"/>
          <w:szCs w:val="32"/>
          <w:lang w:eastAsia="zh-CN"/>
        </w:rPr>
        <w:t>执法执勤</w:t>
      </w:r>
      <w:r>
        <w:rPr>
          <w:rFonts w:hint="eastAsia" w:eastAsia="仿宋_GB2312" w:cs="仿宋_GB2312"/>
          <w:sz w:val="32"/>
          <w:szCs w:val="32"/>
        </w:rPr>
        <w:t>。截至2024年12月31日，单位共有公务用车</w:t>
      </w:r>
      <w:r>
        <w:rPr>
          <w:rFonts w:hint="eastAsia" w:eastAsia="仿宋_GB2312" w:cs="仿宋_GB2312"/>
          <w:sz w:val="32"/>
          <w:szCs w:val="32"/>
          <w:lang w:val="en-US" w:eastAsia="zh-CN"/>
        </w:rPr>
        <w:t>24</w:t>
      </w:r>
      <w:r>
        <w:rPr>
          <w:rFonts w:hint="eastAsia" w:eastAsia="仿宋_GB2312" w:cs="仿宋_GB2312"/>
          <w:sz w:val="32"/>
          <w:szCs w:val="32"/>
        </w:rPr>
        <w:t>辆，其中</w:t>
      </w:r>
      <w:r>
        <w:rPr>
          <w:rFonts w:hint="eastAsia" w:ascii="仿宋_GB2312" w:eastAsia="仿宋_GB2312"/>
          <w:color w:val="auto"/>
          <w:sz w:val="32"/>
          <w:szCs w:val="32"/>
          <w:highlight w:val="none"/>
        </w:rPr>
        <w:t>：执法执勤用车</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辆、特种专业技术用车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p>
    <w:p>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出6.4</w:t>
      </w:r>
      <w:r>
        <w:rPr>
          <w:rFonts w:hint="eastAsia" w:eastAsia="仿宋_GB2312" w:cs="仿宋_GB2312"/>
          <w:sz w:val="32"/>
          <w:szCs w:val="32"/>
        </w:rPr>
        <w:t>万元。主要用于</w:t>
      </w:r>
      <w:r>
        <w:rPr>
          <w:rFonts w:hint="eastAsia" w:eastAsia="仿宋_GB2312" w:cs="仿宋_GB2312"/>
          <w:sz w:val="32"/>
          <w:szCs w:val="32"/>
          <w:lang w:eastAsia="zh-CN"/>
        </w:rPr>
        <w:t>执法执勤车辆</w:t>
      </w:r>
      <w:r>
        <w:rPr>
          <w:rFonts w:hint="eastAsia" w:eastAsia="仿宋_GB2312" w:cs="仿宋_GB2312"/>
          <w:sz w:val="32"/>
          <w:szCs w:val="32"/>
        </w:rPr>
        <w:t>所需的公务用车燃料费、维修费、过路过桥费、保险费等支出。</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0.69万</w:t>
      </w:r>
      <w:r>
        <w:rPr>
          <w:rFonts w:hint="eastAsia" w:eastAsia="仿宋_GB2312" w:cs="仿宋_GB2312"/>
          <w:b/>
          <w:bCs/>
          <w:sz w:val="32"/>
          <w:szCs w:val="32"/>
        </w:rPr>
        <w:t>元，完成预算</w:t>
      </w:r>
      <w:r>
        <w:rPr>
          <w:rFonts w:hint="eastAsia" w:eastAsia="仿宋_GB2312" w:cs="仿宋_GB2312"/>
          <w:b/>
          <w:bCs/>
          <w:sz w:val="32"/>
          <w:szCs w:val="32"/>
          <w:lang w:val="en-US" w:eastAsia="zh-CN"/>
        </w:rPr>
        <w:t>29.87</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hint="eastAsia" w:eastAsia="仿宋_GB2312" w:cs="仿宋_GB2312"/>
          <w:sz w:val="32"/>
          <w:szCs w:val="32"/>
          <w:lang w:val="en-US" w:eastAsia="zh-CN"/>
        </w:rPr>
        <w:t>0.35</w:t>
      </w:r>
      <w:r>
        <w:rPr>
          <w:rFonts w:hint="eastAsia" w:eastAsia="仿宋_GB2312" w:cs="仿宋_GB2312"/>
          <w:sz w:val="32"/>
          <w:szCs w:val="32"/>
        </w:rPr>
        <w:t>万元，下降</w:t>
      </w:r>
      <w:r>
        <w:rPr>
          <w:rFonts w:hint="eastAsia" w:eastAsia="仿宋_GB2312" w:cs="仿宋_GB2312"/>
          <w:sz w:val="32"/>
          <w:szCs w:val="32"/>
          <w:lang w:val="en-US" w:eastAsia="zh-CN"/>
        </w:rPr>
        <w:t>33.65</w:t>
      </w:r>
      <w:r>
        <w:rPr>
          <w:rFonts w:hint="eastAsia" w:eastAsia="仿宋_GB2312" w:cs="仿宋_GB2312"/>
          <w:sz w:val="32"/>
          <w:szCs w:val="32"/>
        </w:rPr>
        <w:t>%。主要原因是</w:t>
      </w:r>
      <w:r>
        <w:rPr>
          <w:rFonts w:hint="eastAsia" w:eastAsia="仿宋_GB2312" w:cs="仿宋_GB2312"/>
          <w:sz w:val="32"/>
          <w:szCs w:val="32"/>
          <w:lang w:eastAsia="zh-CN"/>
        </w:rPr>
        <w:t>厉行节约，公务接待减少</w:t>
      </w:r>
      <w:r>
        <w:rPr>
          <w:rFonts w:hint="eastAsia" w:eastAsia="仿宋_GB2312" w:cs="仿宋_GB2312"/>
          <w:sz w:val="32"/>
          <w:szCs w:val="32"/>
        </w:rPr>
        <w:t>。其中：</w:t>
      </w:r>
    </w:p>
    <w:p>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出0.69万</w:t>
      </w:r>
      <w:r>
        <w:rPr>
          <w:rFonts w:hint="eastAsia" w:eastAsia="仿宋_GB2312" w:cs="仿宋_GB2312"/>
          <w:sz w:val="32"/>
          <w:szCs w:val="32"/>
        </w:rPr>
        <w:t>元，主要用于执行公务、开展业务活动开支的用餐费。国内公务接</w:t>
      </w:r>
      <w:r>
        <w:rPr>
          <w:rFonts w:hint="eastAsia" w:ascii="仿宋_GB2312" w:hAnsi="仿宋_GB2312" w:eastAsia="仿宋_GB2312" w:cs="仿宋_GB2312"/>
          <w:sz w:val="32"/>
          <w:szCs w:val="32"/>
        </w:rPr>
        <w:t>待3批次，</w:t>
      </w:r>
      <w:r>
        <w:rPr>
          <w:rFonts w:hint="eastAsia" w:ascii="仿宋_GB2312" w:hAnsi="仿宋_GB2312" w:eastAsia="仿宋_GB2312" w:cs="仿宋_GB2312"/>
          <w:sz w:val="32"/>
          <w:szCs w:val="32"/>
          <w:lang w:val="en-US" w:eastAsia="zh-CN"/>
        </w:rPr>
        <w:t>51</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0.69</w:t>
      </w:r>
      <w:r>
        <w:rPr>
          <w:rFonts w:hint="eastAsia" w:eastAsia="仿宋_GB2312" w:cs="仿宋_GB2312"/>
          <w:sz w:val="32"/>
          <w:szCs w:val="32"/>
        </w:rPr>
        <w:t>万元，具体内容包括：</w:t>
      </w:r>
      <w:r>
        <w:rPr>
          <w:rFonts w:hint="eastAsia" w:eastAsia="仿宋_GB2312" w:cs="仿宋_GB2312"/>
          <w:sz w:val="32"/>
          <w:szCs w:val="32"/>
          <w:lang w:eastAsia="zh-CN"/>
        </w:rPr>
        <w:t>接待丽水市中级人民法院</w:t>
      </w:r>
      <w:r>
        <w:rPr>
          <w:rFonts w:hint="eastAsia" w:eastAsia="仿宋_GB2312" w:cs="仿宋_GB2312"/>
          <w:sz w:val="32"/>
          <w:szCs w:val="32"/>
          <w:lang w:val="en-US" w:eastAsia="zh-CN"/>
        </w:rPr>
        <w:t>15人、金额1540元；接待绵阳中院一行26人、金额4032；接待简阳市人民法院10人、金额1320元。</w:t>
      </w:r>
    </w:p>
    <w:p>
      <w:pPr>
        <w:spacing w:line="600" w:lineRule="exact"/>
        <w:ind w:left="630"/>
        <w:outlineLvl w:val="1"/>
        <w:rPr>
          <w:rStyle w:val="29"/>
          <w:rFonts w:ascii="Times New Roman" w:hAnsi="Times New Roman" w:eastAsia="黑体"/>
          <w:b w:val="0"/>
        </w:rPr>
      </w:pPr>
      <w:bookmarkStart w:id="35" w:name="_Toc15396612"/>
      <w:bookmarkStart w:id="36" w:name="_Toc15377221"/>
      <w:r>
        <w:rPr>
          <w:rStyle w:val="29"/>
          <w:rFonts w:hint="eastAsia" w:eastAsia="黑体"/>
          <w:b w:val="0"/>
          <w:lang w:eastAsia="zh-CN"/>
        </w:rPr>
        <w:t>八</w:t>
      </w:r>
      <w:r>
        <w:rPr>
          <w:rStyle w:val="29"/>
          <w:rFonts w:hint="eastAsia" w:ascii="Times New Roman" w:hAnsi="Times New Roman" w:eastAsia="黑体"/>
          <w:b w:val="0"/>
        </w:rPr>
        <w:t>、其他重要事项的情况说明</w:t>
      </w:r>
      <w:bookmarkEnd w:id="35"/>
      <w:bookmarkEnd w:id="36"/>
    </w:p>
    <w:p>
      <w:pPr>
        <w:spacing w:line="600" w:lineRule="exact"/>
        <w:ind w:firstLine="643" w:firstLineChars="200"/>
        <w:outlineLvl w:val="2"/>
        <w:rPr>
          <w:rFonts w:eastAsia="楷体_GB2312" w:cs="楷体_GB2312"/>
          <w:b/>
          <w:sz w:val="32"/>
          <w:szCs w:val="32"/>
        </w:rPr>
      </w:pPr>
      <w:bookmarkStart w:id="37" w:name="_Toc15377222"/>
      <w:r>
        <w:rPr>
          <w:rFonts w:hint="eastAsia" w:eastAsia="楷体_GB2312" w:cs="楷体_GB2312"/>
          <w:b/>
          <w:sz w:val="32"/>
          <w:szCs w:val="32"/>
        </w:rPr>
        <w:t>（一）机关运行经费支出情况</w:t>
      </w:r>
      <w:bookmarkEnd w:id="37"/>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，四川省阿坝州马尔康市人民法院机关运行经费支出149.01万</w:t>
      </w:r>
      <w:r>
        <w:rPr>
          <w:rFonts w:hint="eastAsia" w:eastAsia="仿宋_GB2312" w:cs="仿宋_GB2312"/>
          <w:sz w:val="32"/>
          <w:szCs w:val="32"/>
        </w:rPr>
        <w:t>元，比2023年度增加</w:t>
      </w:r>
      <w:r>
        <w:rPr>
          <w:rFonts w:hint="eastAsia" w:eastAsia="仿宋_GB2312" w:cs="仿宋_GB2312"/>
          <w:sz w:val="32"/>
          <w:szCs w:val="32"/>
          <w:lang w:val="en-US" w:eastAsia="zh-CN"/>
        </w:rPr>
        <w:t>3.24</w:t>
      </w:r>
      <w:r>
        <w:rPr>
          <w:rFonts w:hint="eastAsia" w:eastAsia="仿宋_GB2312" w:cs="仿宋_GB2312"/>
          <w:sz w:val="32"/>
          <w:szCs w:val="32"/>
        </w:rPr>
        <w:t>万元，增长</w:t>
      </w:r>
      <w:r>
        <w:rPr>
          <w:rFonts w:hint="eastAsia" w:eastAsia="仿宋_GB2312" w:cs="仿宋_GB2312"/>
          <w:sz w:val="32"/>
          <w:szCs w:val="32"/>
          <w:lang w:val="en-US" w:eastAsia="zh-CN"/>
        </w:rPr>
        <w:t>2.22</w:t>
      </w:r>
      <w:r>
        <w:rPr>
          <w:rFonts w:hint="eastAsia" w:eastAsia="仿宋_GB2312" w:cs="仿宋_GB2312"/>
          <w:sz w:val="32"/>
          <w:szCs w:val="32"/>
        </w:rPr>
        <w:t>%。主要原因是</w:t>
      </w:r>
      <w:r>
        <w:rPr>
          <w:rFonts w:hint="eastAsia" w:eastAsia="仿宋_GB2312" w:cs="仿宋_GB2312"/>
          <w:sz w:val="32"/>
          <w:szCs w:val="32"/>
          <w:lang w:eastAsia="zh-CN"/>
        </w:rPr>
        <w:t>维修维护增加。</w:t>
      </w:r>
    </w:p>
    <w:p>
      <w:pPr>
        <w:spacing w:line="600" w:lineRule="exact"/>
        <w:ind w:firstLine="643" w:firstLineChars="200"/>
        <w:outlineLvl w:val="2"/>
        <w:rPr>
          <w:rFonts w:eastAsia="楷体_GB2312" w:cs="楷体_GB2312"/>
          <w:b/>
          <w:sz w:val="32"/>
          <w:szCs w:val="32"/>
        </w:rPr>
      </w:pPr>
      <w:bookmarkStart w:id="38" w:name="_Toc15377223"/>
      <w:r>
        <w:rPr>
          <w:rFonts w:hint="eastAsia" w:eastAsia="楷体_GB2312" w:cs="楷体_GB2312"/>
          <w:b/>
          <w:sz w:val="32"/>
          <w:szCs w:val="32"/>
        </w:rPr>
        <w:t>（二）政府采购支出情况</w:t>
      </w:r>
      <w:bookmarkEnd w:id="38"/>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2024年度，四川省阿坝州马尔康市人民法院政府采购支出总额95.7万元，其中：政府采购货物支出65.62万元、政府采购工程支出0万元、政府采购服务支出30.08万元。</w:t>
      </w:r>
      <w:r>
        <w:rPr>
          <w:rFonts w:hint="eastAsia" w:ascii="仿宋_GB2312" w:hAnsi="仿宋_GB2312" w:eastAsia="仿宋_GB2312" w:cs="仿宋_GB2312"/>
          <w:sz w:val="32"/>
          <w:szCs w:val="32"/>
          <w:lang w:eastAsia="zh-CN"/>
        </w:rPr>
        <w:t>采购货物</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科技法庭国产化替换国产电脑及多功能一体机、草登法庭设备购置；</w:t>
      </w:r>
      <w:r>
        <w:rPr>
          <w:rFonts w:hint="eastAsia" w:ascii="仿宋_GB2312" w:hAnsi="仿宋_GB2312" w:eastAsia="仿宋_GB2312" w:cs="仿宋_GB2312"/>
          <w:sz w:val="32"/>
          <w:szCs w:val="32"/>
        </w:rPr>
        <w:t>采购服务</w:t>
      </w:r>
      <w:r>
        <w:rPr>
          <w:rFonts w:hint="eastAsia" w:ascii="仿宋_GB2312" w:hAnsi="仿宋_GB2312" w:eastAsia="仿宋_GB2312" w:cs="仿宋_GB2312"/>
          <w:sz w:val="32"/>
          <w:szCs w:val="32"/>
          <w:lang w:eastAsia="zh-CN"/>
        </w:rPr>
        <w:t>主要用于审判辅助人员及后勤保障人员采购。</w:t>
      </w:r>
    </w:p>
    <w:p>
      <w:pPr>
        <w:spacing w:line="600" w:lineRule="exact"/>
        <w:ind w:firstLine="643" w:firstLineChars="200"/>
        <w:outlineLvl w:val="2"/>
        <w:rPr>
          <w:rFonts w:eastAsia="楷体_GB2312" w:cs="楷体_GB2312"/>
          <w:b/>
          <w:sz w:val="32"/>
          <w:szCs w:val="32"/>
        </w:rPr>
      </w:pPr>
      <w:bookmarkStart w:id="39" w:name="_Toc15377224"/>
      <w:r>
        <w:rPr>
          <w:rFonts w:hint="eastAsia" w:eastAsia="楷体_GB2312" w:cs="楷体_GB2312"/>
          <w:b/>
          <w:sz w:val="32"/>
          <w:szCs w:val="32"/>
        </w:rPr>
        <w:t>（三）国有资产占有使用情况</w:t>
      </w:r>
      <w:bookmarkEnd w:id="39"/>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截至2024年12月31日，四川省阿坝州马尔康市人民法院共有车辆24辆，其中：主要负责人用车0辆、机要通信用车0辆、应急保障用车0辆、其他用车3辆，其他用车主要是用于</w:t>
      </w:r>
      <w:r>
        <w:rPr>
          <w:rFonts w:hint="eastAsia" w:ascii="仿宋_GB2312" w:hAnsi="仿宋_GB2312" w:eastAsia="仿宋_GB2312" w:cs="仿宋_GB2312"/>
          <w:sz w:val="32"/>
          <w:szCs w:val="32"/>
          <w:lang w:eastAsia="zh-CN"/>
        </w:rPr>
        <w:t>庭审直播及嫌疑人押送</w:t>
      </w:r>
      <w:r>
        <w:rPr>
          <w:rFonts w:hint="eastAsia" w:ascii="仿宋_GB2312" w:hAnsi="仿宋_GB2312" w:eastAsia="仿宋_GB2312" w:cs="仿宋_GB2312"/>
          <w:sz w:val="32"/>
          <w:szCs w:val="32"/>
        </w:rPr>
        <w:t>。单价100万元（含）以上设备（不含车辆）0台（套）</w:t>
      </w:r>
      <w:r>
        <w:rPr>
          <w:rFonts w:hint="eastAsia" w:eastAsia="仿宋_GB2312" w:cs="仿宋_GB2312"/>
          <w:sz w:val="32"/>
          <w:szCs w:val="32"/>
        </w:rPr>
        <w:t>。</w:t>
      </w: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hint="eastAsia" w:ascii="仿宋_GB2312" w:hAnsi="Times New Roman" w:eastAsia="仿宋_GB2312" w:cs="Times New Roman"/>
          <w:color w:val="000000" w:themeColor="text1"/>
          <w:sz w:val="32"/>
          <w:szCs w:val="32"/>
          <w:highlight w:val="none"/>
          <w:lang w:val="en-US" w:eastAsia="zh-CN"/>
        </w:rPr>
      </w:pPr>
      <w:r>
        <w:rPr>
          <w:rFonts w:hint="eastAsia" w:ascii="仿宋_GB2312" w:hAnsi="Times New Roman" w:eastAsia="仿宋_GB2312" w:cs="Times New Roman"/>
          <w:color w:val="000000" w:themeColor="text1"/>
          <w:sz w:val="32"/>
          <w:szCs w:val="32"/>
          <w:highlight w:val="none"/>
          <w:lang w:eastAsia="zh-CN"/>
        </w:rPr>
        <w:t>根据预算绩效管理要求，本单位在</w:t>
      </w:r>
      <w:r>
        <w:rPr>
          <w:rFonts w:hint="eastAsia" w:ascii="仿宋_GB2312" w:hAnsi="Times New Roman" w:eastAsia="仿宋_GB2312" w:cs="Times New Roman"/>
          <w:color w:val="000000" w:themeColor="text1"/>
          <w:sz w:val="32"/>
          <w:szCs w:val="32"/>
          <w:highlight w:val="none"/>
          <w:lang w:val="en-US" w:eastAsia="zh-CN"/>
        </w:rPr>
        <w:t>2024年度</w:t>
      </w:r>
      <w:r>
        <w:rPr>
          <w:rFonts w:hint="eastAsia" w:ascii="仿宋_GB2312" w:hAnsi="Times New Roman" w:eastAsia="仿宋_GB2312" w:cs="Times New Roman"/>
          <w:color w:val="000000" w:themeColor="text1"/>
          <w:sz w:val="32"/>
          <w:szCs w:val="32"/>
          <w:highlight w:val="none"/>
          <w:lang w:eastAsia="zh-CN"/>
        </w:rPr>
        <w:t>预算编制阶段，组织对草登法庭提升完善项目</w:t>
      </w:r>
      <w:r>
        <w:rPr>
          <w:rFonts w:hint="eastAsia" w:ascii="仿宋_GB2312" w:eastAsia="仿宋_GB2312" w:cs="Times New Roman"/>
          <w:color w:val="000000" w:themeColor="text1"/>
          <w:sz w:val="32"/>
          <w:szCs w:val="32"/>
          <w:highlight w:val="none"/>
          <w:lang w:eastAsia="zh-CN"/>
        </w:rPr>
        <w:t>、</w:t>
      </w:r>
      <w:r>
        <w:rPr>
          <w:rFonts w:hint="eastAsia" w:ascii="仿宋_GB2312" w:eastAsia="仿宋_GB2312" w:cs="Times New Roman"/>
          <w:color w:val="000000" w:themeColor="text1"/>
          <w:sz w:val="32"/>
          <w:szCs w:val="32"/>
          <w:highlight w:val="none"/>
          <w:lang w:val="en-US" w:eastAsia="zh-CN"/>
        </w:rPr>
        <w:t>2023年上半年办案业务经费、2023年上半年业务装备经费、2023年下半年装备经费</w:t>
      </w:r>
      <w:r>
        <w:rPr>
          <w:rFonts w:hint="eastAsia" w:ascii="仿宋_GB2312" w:hAnsi="Times New Roman" w:eastAsia="仿宋_GB2312" w:cs="Times New Roman"/>
          <w:color w:val="000000" w:themeColor="text1"/>
          <w:sz w:val="32"/>
          <w:szCs w:val="32"/>
          <w:highlight w:val="none"/>
          <w:lang w:eastAsia="zh-CN"/>
        </w:rPr>
        <w:t>等</w:t>
      </w:r>
      <w:r>
        <w:rPr>
          <w:rFonts w:hint="eastAsia" w:ascii="仿宋_GB2312" w:eastAsia="仿宋_GB2312" w:cs="Times New Roman"/>
          <w:color w:val="000000" w:themeColor="text1"/>
          <w:sz w:val="32"/>
          <w:szCs w:val="32"/>
          <w:highlight w:val="none"/>
          <w:lang w:val="en-US" w:eastAsia="zh-CN"/>
        </w:rPr>
        <w:t>6</w:t>
      </w:r>
      <w:r>
        <w:rPr>
          <w:rFonts w:hint="eastAsia" w:ascii="仿宋_GB2312" w:hAnsi="Times New Roman" w:eastAsia="仿宋_GB2312" w:cs="Times New Roman"/>
          <w:color w:val="000000" w:themeColor="text1"/>
          <w:sz w:val="32"/>
          <w:szCs w:val="32"/>
          <w:highlight w:val="none"/>
          <w:lang w:val="en-US" w:eastAsia="zh-CN"/>
        </w:rPr>
        <w:t>个项目</w:t>
      </w:r>
      <w:r>
        <w:rPr>
          <w:rFonts w:hint="eastAsia" w:ascii="仿宋_GB2312" w:hAnsi="Times New Roman" w:eastAsia="仿宋_GB2312" w:cs="Times New Roman"/>
          <w:color w:val="000000" w:themeColor="text1"/>
          <w:sz w:val="32"/>
          <w:szCs w:val="32"/>
          <w:highlight w:val="none"/>
          <w:lang w:eastAsia="zh-CN"/>
        </w:rPr>
        <w:t>开展了预算事前绩效评估，对</w:t>
      </w:r>
      <w:r>
        <w:rPr>
          <w:rFonts w:hint="eastAsia" w:ascii="仿宋_GB2312" w:eastAsia="仿宋_GB2312" w:cs="Times New Roman"/>
          <w:color w:val="000000" w:themeColor="text1"/>
          <w:sz w:val="32"/>
          <w:szCs w:val="32"/>
          <w:highlight w:val="none"/>
          <w:lang w:val="en-US" w:eastAsia="zh-CN"/>
        </w:rPr>
        <w:t>6</w:t>
      </w:r>
      <w:r>
        <w:rPr>
          <w:rFonts w:hint="eastAsia" w:ascii="仿宋_GB2312" w:hAnsi="Times New Roman" w:eastAsia="仿宋_GB2312" w:cs="Times New Roman"/>
          <w:color w:val="000000" w:themeColor="text1"/>
          <w:sz w:val="32"/>
          <w:szCs w:val="32"/>
          <w:highlight w:val="none"/>
          <w:lang w:eastAsia="zh-CN"/>
        </w:rPr>
        <w:t>个项目编制了绩效目标，预算执行过程中，选取</w:t>
      </w:r>
      <w:r>
        <w:rPr>
          <w:rFonts w:hint="eastAsia" w:ascii="仿宋_GB2312" w:eastAsia="仿宋_GB2312" w:cs="Times New Roman"/>
          <w:color w:val="000000" w:themeColor="text1"/>
          <w:sz w:val="32"/>
          <w:szCs w:val="32"/>
          <w:highlight w:val="none"/>
          <w:lang w:val="en-US" w:eastAsia="zh-CN"/>
        </w:rPr>
        <w:t>6</w:t>
      </w:r>
      <w:r>
        <w:rPr>
          <w:rFonts w:hint="eastAsia" w:ascii="仿宋_GB2312" w:hAnsi="Times New Roman" w:eastAsia="仿宋_GB2312" w:cs="Times New Roman"/>
          <w:color w:val="000000" w:themeColor="text1"/>
          <w:sz w:val="32"/>
          <w:szCs w:val="32"/>
          <w:highlight w:val="none"/>
          <w:lang w:eastAsia="zh-CN"/>
        </w:rPr>
        <w:t>个项目开展绩效监控，组织对</w:t>
      </w:r>
      <w:r>
        <w:rPr>
          <w:rFonts w:hint="eastAsia" w:ascii="仿宋_GB2312" w:eastAsia="仿宋_GB2312" w:cs="Times New Roman"/>
          <w:color w:val="000000" w:themeColor="text1"/>
          <w:sz w:val="32"/>
          <w:szCs w:val="32"/>
          <w:highlight w:val="none"/>
          <w:lang w:val="en-US" w:eastAsia="zh-CN"/>
        </w:rPr>
        <w:t>6</w:t>
      </w:r>
      <w:r>
        <w:rPr>
          <w:rFonts w:hint="eastAsia" w:ascii="仿宋_GB2312" w:hAnsi="Times New Roman" w:eastAsia="仿宋_GB2312" w:cs="Times New Roman"/>
          <w:color w:val="000000" w:themeColor="text1"/>
          <w:sz w:val="32"/>
          <w:szCs w:val="32"/>
          <w:highlight w:val="none"/>
          <w:lang w:val="en-US" w:eastAsia="zh-CN"/>
        </w:rPr>
        <w:t>个项目开展绩效自评</w:t>
      </w:r>
      <w:r>
        <w:rPr>
          <w:rFonts w:hint="eastAsia" w:ascii="仿宋_GB2312" w:eastAsia="仿宋_GB2312" w:cs="Times New Roman"/>
          <w:color w:val="000000" w:themeColor="text1"/>
          <w:sz w:val="32"/>
          <w:szCs w:val="32"/>
          <w:highlight w:val="none"/>
          <w:lang w:val="en-US" w:eastAsia="zh-CN"/>
        </w:rPr>
        <w:t>。</w:t>
      </w:r>
    </w:p>
    <w:p>
      <w:pPr>
        <w:pStyle w:val="2"/>
        <w:rPr>
          <w:rFonts w:hint="eastAsia" w:ascii="仿宋_GB2312" w:hAnsi="Times New Roman" w:eastAsia="仿宋_GB2312" w:cs="Times New Roman"/>
          <w:color w:val="0000FF"/>
          <w:sz w:val="32"/>
          <w:szCs w:val="32"/>
          <w:highlight w:val="none"/>
          <w:lang w:val="en-US" w:eastAsia="zh-CN"/>
        </w:rPr>
      </w:pPr>
    </w:p>
    <w:p>
      <w:pPr>
        <w:pStyle w:val="2"/>
        <w:rPr>
          <w:rFonts w:hint="eastAsia" w:ascii="仿宋_GB2312" w:hAnsi="Times New Roman" w:eastAsia="仿宋_GB2312" w:cs="Times New Roman"/>
          <w:color w:val="0000FF"/>
          <w:sz w:val="32"/>
          <w:szCs w:val="32"/>
          <w:highlight w:val="none"/>
          <w:lang w:val="en-US" w:eastAsia="zh-CN"/>
        </w:rPr>
      </w:pPr>
    </w:p>
    <w:p>
      <w:pPr>
        <w:spacing w:line="600" w:lineRule="exact"/>
        <w:jc w:val="center"/>
        <w:outlineLvl w:val="0"/>
        <w:rPr>
          <w:b/>
          <w:sz w:val="44"/>
          <w:szCs w:val="44"/>
        </w:rPr>
      </w:pPr>
      <w:bookmarkStart w:id="40" w:name="_Toc15377225"/>
      <w:bookmarkStart w:id="41" w:name="_Toc15396613"/>
      <w:r>
        <w:rPr>
          <w:rFonts w:hint="eastAsia" w:eastAsia="黑体"/>
          <w:sz w:val="44"/>
          <w:szCs w:val="44"/>
        </w:rPr>
        <w:t>第三部分名词解释</w:t>
      </w:r>
      <w:bookmarkEnd w:id="40"/>
      <w:bookmarkEnd w:id="41"/>
    </w:p>
    <w:p>
      <w:pPr>
        <w:pStyle w:val="26"/>
        <w:spacing w:line="560" w:lineRule="exact"/>
        <w:ind w:firstLine="640" w:firstLineChars="200"/>
        <w:rPr>
          <w:rFonts w:ascii="仿宋_GB2312" w:eastAsia="仿宋_GB2312"/>
          <w:color w:val="auto"/>
          <w:sz w:val="32"/>
          <w:szCs w:val="32"/>
          <w:highlight w:val="none"/>
        </w:rPr>
      </w:pPr>
      <w:bookmarkStart w:id="42"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u w:color="auto"/>
        </w:rPr>
        <w:t>.公共安全支出（类）法院（款）行政运行（项）：反映行政单位（包括实行公务员管理的事业单位）的基本支出</w:t>
      </w:r>
    </w:p>
    <w:p>
      <w:pPr>
        <w:ind w:firstLine="640" w:firstLineChars="200"/>
        <w:rPr>
          <w:rFonts w:hint="eastAsia" w:ascii="仿宋_GB2312" w:eastAsia="仿宋_GB2312"/>
          <w:sz w:val="32"/>
          <w:u w:color="auto"/>
          <w:lang w:eastAsia="zh-CN"/>
        </w:rPr>
      </w:pPr>
      <w:r>
        <w:rPr>
          <w:rFonts w:hint="eastAsia" w:ascii="仿宋_GB2312" w:eastAsia="仿宋_GB2312"/>
          <w:sz w:val="32"/>
          <w:szCs w:val="32"/>
          <w:lang w:val="en-US" w:eastAsia="zh-CN"/>
        </w:rPr>
        <w:t>4</w:t>
      </w:r>
      <w:r>
        <w:rPr>
          <w:rFonts w:ascii="仿宋_GB2312" w:eastAsia="仿宋_GB2312"/>
          <w:sz w:val="32"/>
          <w:u w:color="auto"/>
        </w:rPr>
        <w:t>.公共安全支出（类）法院（款）一般行政管理事务（项）：反映行政单位（包括实行公务员管理的事业单位）未单独设置项级科目的其他项目支出</w:t>
      </w:r>
      <w:r>
        <w:rPr>
          <w:rFonts w:hint="eastAsia" w:ascii="仿宋_GB2312" w:eastAsia="仿宋_GB2312"/>
          <w:sz w:val="32"/>
          <w:u w:color="auto"/>
          <w:lang w:eastAsia="zh-CN"/>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u w:color="auto"/>
        </w:rPr>
        <w:t>.公共安全支出（类）法院（款）案件执行（项）：反映人民法院对刑事、民事、行政、涉外等案件执行活动和对各种非诉执行活动的支出。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u w:color="auto"/>
        </w:rPr>
        <w:t>.社会保障和就业支出（类）行政事业单位养老支出（款）机关事业单位基本养老保险缴费支出（项）：反映机关事业单位实施养老保险制度由单位缴纳的基本养老保险费支出。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u w:color="auto"/>
        </w:rPr>
        <w:t>.社会保障和就业支出（类）行政事业单位养老支出（款）机关事业单位职业年金缴费支出（项）：反映机关事业单位实施养老保险制度由单位实际缴纳的职业年金支出。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u w:color="auto"/>
        </w:rPr>
        <w:t>.卫生健康支出（类）行政事业单位医疗（款）行政单位医疗（项）：反映财政部门安排的行政单位（包括实行公务员管理的事业单位</w:t>
      </w:r>
      <w:r>
        <w:rPr>
          <w:rFonts w:hint="eastAsia" w:ascii="仿宋_GB2312" w:eastAsia="仿宋_GB2312"/>
          <w:sz w:val="32"/>
          <w:u w:color="auto"/>
          <w:lang w:eastAsia="zh-CN"/>
        </w:rPr>
        <w:t>，</w:t>
      </w:r>
      <w:r>
        <w:rPr>
          <w:rFonts w:ascii="仿宋_GB2312" w:eastAsia="仿宋_GB2312"/>
          <w:sz w:val="32"/>
          <w:u w:color="auto"/>
        </w:rPr>
        <w:t>基本医疗保险缴费经费，未参加医疗保险的行政单位的公费医疗经费，按国家规定享受离休人员待遇人员的医疗经费。</w:t>
      </w:r>
    </w:p>
    <w:p>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u w:color="auto"/>
        </w:rPr>
        <w:t>.卫生健康支出（类）行政事业单位医疗（款）公务员医疗补助（项）：反映财政部门安排的公务员医疗补助经费。</w:t>
      </w:r>
    </w:p>
    <w:p>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u w:color="auto"/>
        </w:rPr>
        <w:t>.住房保障支出（类）住房改革支出（款）住房公积金（项）：反映行政事业单位按人力资源和社会保障部、财政部规定的基本工资和津贴补贴以及规定比例为职工缴纳的住房公积金。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项目支出：指在基本支出之外为完成特定行政任务目标所发生的支出。</w:t>
      </w:r>
      <w:r>
        <w:rPr>
          <w:rFonts w:ascii="仿宋_GB2312" w:eastAsia="仿宋_GB2312"/>
          <w:sz w:val="32"/>
          <w:szCs w:val="32"/>
        </w:rPr>
        <w:t xml:space="preserve"> </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sz w:val="32"/>
          <w:szCs w:val="32"/>
          <w:lang w:val="en-US" w:eastAsia="zh-CN"/>
        </w:rPr>
        <w:t>13</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等支出；公务接待费反映单位按规定开支的各类公务接待支出。</w:t>
      </w:r>
    </w:p>
    <w:p>
      <w:pPr>
        <w:pStyle w:val="26"/>
        <w:spacing w:line="560" w:lineRule="exact"/>
        <w:ind w:firstLine="640" w:firstLineChars="200"/>
        <w:rPr>
          <w:rFonts w:ascii="仿宋_GB2312" w:eastAsia="仿宋_GB2312" w:cs="黑体"/>
          <w:color w:val="auto"/>
          <w:sz w:val="32"/>
          <w:szCs w:val="32"/>
          <w:highlight w:val="none"/>
        </w:rPr>
      </w:pPr>
      <w:r>
        <w:rPr>
          <w:rFonts w:hint="eastAsia" w:ascii="仿宋_GB2312" w:eastAsia="仿宋_GB2312"/>
          <w:sz w:val="32"/>
          <w:szCs w:val="32"/>
          <w:lang w:val="en-US" w:eastAsia="zh-CN"/>
        </w:rPr>
        <w:t>14</w:t>
      </w:r>
      <w:r>
        <w:rPr>
          <w:rFonts w:ascii="仿宋_GB2312" w:eastAsia="仿宋_GB2312"/>
          <w:color w:val="auto"/>
          <w:sz w:val="32"/>
          <w:szCs w:val="32"/>
        </w:rPr>
        <w:t>.</w:t>
      </w:r>
      <w:r>
        <w:rPr>
          <w:rFonts w:hint="eastAsia" w:ascii="仿宋_GB2312" w:eastAsia="仿宋_GB2312"/>
          <w:color w:val="auto"/>
          <w:sz w:val="32"/>
          <w:szCs w:val="32"/>
        </w:rPr>
        <w:t>机关运行经费：为保障行政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spacing w:line="600" w:lineRule="exact"/>
        <w:jc w:val="center"/>
        <w:rPr>
          <w:rStyle w:val="28"/>
          <w:rFonts w:eastAsia="黑体"/>
          <w:b w:val="0"/>
        </w:rPr>
      </w:pPr>
      <w:r>
        <w:rPr>
          <w:rFonts w:hint="eastAsia" w:eastAsia="仿宋_GB2312" w:cs="仿宋_GB2312"/>
          <w:sz w:val="32"/>
          <w:szCs w:val="32"/>
        </w:rPr>
        <w:br w:type="page"/>
      </w:r>
      <w:bookmarkStart w:id="43" w:name="_Toc15396614"/>
      <w:r>
        <w:rPr>
          <w:rFonts w:hint="eastAsia" w:eastAsia="黑体"/>
          <w:sz w:val="44"/>
          <w:szCs w:val="44"/>
        </w:rPr>
        <w:t>第四部分 附件</w:t>
      </w:r>
      <w:bookmarkEnd w:id="43"/>
    </w:p>
    <w:p>
      <w:pPr>
        <w:spacing w:line="572" w:lineRule="exact"/>
        <w:jc w:val="left"/>
        <w:outlineLvl w:val="0"/>
        <w:rPr>
          <w:rFonts w:eastAsia="黑体" w:cs="黑体"/>
          <w:color w:val="FF0000"/>
          <w:sz w:val="32"/>
          <w:szCs w:val="32"/>
        </w:rPr>
      </w:pPr>
    </w:p>
    <w:p>
      <w:pPr>
        <w:spacing w:line="572" w:lineRule="exact"/>
        <w:jc w:val="left"/>
        <w:outlineLvl w:val="0"/>
        <w:rPr>
          <w:rFonts w:eastAsia="方正小标宋简体"/>
          <w:bCs/>
          <w:sz w:val="44"/>
          <w:szCs w:val="44"/>
          <w:shd w:val="clear" w:color="auto" w:fill="FFFFFF"/>
        </w:rPr>
      </w:pPr>
      <w:r>
        <w:rPr>
          <w:rFonts w:hint="eastAsia" w:eastAsia="黑体" w:cs="黑体"/>
          <w:sz w:val="32"/>
          <w:szCs w:val="32"/>
        </w:rPr>
        <w:t>附件1</w:t>
      </w:r>
    </w:p>
    <w:p>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报告范本</w:t>
      </w:r>
    </w:p>
    <w:p>
      <w:pPr>
        <w:widowControl/>
        <w:spacing w:line="578" w:lineRule="exact"/>
        <w:contextualSpacing/>
        <w:jc w:val="center"/>
        <w:rPr>
          <w:rFonts w:eastAsia="仿宋_GB2312"/>
          <w:sz w:val="32"/>
          <w:szCs w:val="32"/>
          <w:shd w:val="clear" w:color="auto" w:fill="FFFFFF"/>
        </w:rPr>
      </w:pPr>
      <w:r>
        <w:rPr>
          <w:rFonts w:eastAsia="仿宋_GB2312"/>
          <w:sz w:val="32"/>
          <w:szCs w:val="32"/>
          <w:shd w:val="clear" w:color="auto" w:fill="FFFFFF"/>
        </w:rPr>
        <w:t>（报告范围包括机关和下属单位）</w:t>
      </w: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lang w:val="zh-CN" w:eastAsia="zh-CN" w:bidi="ar-SA"/>
        </w:rPr>
      </w:pPr>
      <w:r>
        <w:rPr>
          <w:rStyle w:val="29"/>
          <w:rFonts w:hint="eastAsia" w:eastAsia="黑体"/>
          <w:b w:val="0"/>
          <w:lang w:val="en-US" w:eastAsia="zh-CN"/>
        </w:rPr>
        <w:t>一、</w:t>
      </w:r>
      <w:r>
        <w:rPr>
          <w:rStyle w:val="29"/>
          <w:rFonts w:hint="eastAsia" w:eastAsia="黑体"/>
          <w:b w:val="0"/>
          <w:lang w:val="zh-CN" w:eastAsia="zh-CN"/>
        </w:rPr>
        <w:t>部门（单位）概况</w:t>
      </w:r>
    </w:p>
    <w:p>
      <w:pPr>
        <w:widowControl/>
        <w:wordWrap w:val="0"/>
        <w:adjustRightInd w:val="0"/>
        <w:snapToGrid w:val="0"/>
        <w:spacing w:line="576" w:lineRule="exact"/>
        <w:ind w:firstLine="720"/>
        <w:contextualSpacing/>
        <w:jc w:val="left"/>
        <w:rPr>
          <w:rFonts w:hint="eastAsia" w:ascii="仿宋_GB2312" w:hAnsi="Calibri" w:eastAsia="仿宋_GB2312" w:cs="仿宋"/>
          <w:color w:val="auto"/>
          <w:kern w:val="0"/>
          <w:sz w:val="32"/>
          <w:szCs w:val="32"/>
          <w:lang w:val="zh-CN" w:eastAsia="zh-CN" w:bidi="ar-SA"/>
        </w:rPr>
      </w:pPr>
      <w:r>
        <w:rPr>
          <w:rFonts w:hint="eastAsia" w:ascii="Times New Roman" w:hAnsi="Times New Roman" w:eastAsia="楷体_GB2312" w:cs="楷体_GB2312"/>
          <w:b/>
          <w:sz w:val="32"/>
          <w:szCs w:val="32"/>
          <w:lang w:val="zh-CN" w:eastAsia="zh-CN"/>
        </w:rPr>
        <w:t>（一）机构组成。</w:t>
      </w:r>
      <w:r>
        <w:rPr>
          <w:rFonts w:hint="eastAsia" w:ascii="仿宋_GB2312" w:hAnsi="Calibri" w:eastAsia="仿宋_GB2312" w:cs="仿宋"/>
          <w:color w:val="auto"/>
          <w:kern w:val="0"/>
          <w:sz w:val="32"/>
          <w:szCs w:val="32"/>
          <w:lang w:val="en-US" w:eastAsia="zh-CN" w:bidi="ar-SA"/>
        </w:rPr>
        <w:t>马尔康市人民法院属市州一级预算单位，无下属二级预算单位。内设机构有：综合办公室、政治部（督察室）、立案庭（诉讼服务中心）、执行局、审判管理办公室（研究室）、民事审判庭（未成年人案件审判庭）、刑事审判庭（环境资源审判庭）、行政审判庭、白湾人民法庭、草登人民法庭、沙尔宗人民法庭。</w:t>
      </w:r>
    </w:p>
    <w:p>
      <w:pPr>
        <w:widowControl/>
        <w:wordWrap w:val="0"/>
        <w:adjustRightInd w:val="0"/>
        <w:snapToGrid w:val="0"/>
        <w:spacing w:line="576" w:lineRule="exact"/>
        <w:ind w:firstLine="720"/>
        <w:contextualSpacing/>
        <w:jc w:val="left"/>
        <w:rPr>
          <w:rFonts w:hint="eastAsia" w:ascii="仿宋_GB2312" w:hAnsi="Calibri" w:eastAsia="仿宋_GB2312" w:cs="仿宋"/>
          <w:color w:val="auto"/>
          <w:kern w:val="0"/>
          <w:sz w:val="32"/>
          <w:szCs w:val="32"/>
          <w:lang w:val="zh-CN" w:eastAsia="zh-CN" w:bidi="ar-SA"/>
        </w:rPr>
      </w:pPr>
      <w:r>
        <w:rPr>
          <w:rFonts w:hint="eastAsia" w:ascii="Times New Roman" w:hAnsi="Times New Roman" w:eastAsia="楷体_GB2312" w:cs="楷体_GB2312"/>
          <w:b/>
          <w:sz w:val="32"/>
          <w:szCs w:val="32"/>
          <w:lang w:val="zh-CN" w:eastAsia="zh-CN"/>
        </w:rPr>
        <w:t>（二）机构职能</w:t>
      </w:r>
      <w:r>
        <w:rPr>
          <w:rFonts w:hint="eastAsia" w:ascii="仿宋_GB2312" w:hAnsi="Calibri" w:eastAsia="仿宋_GB2312" w:cs="仿宋"/>
          <w:color w:val="auto"/>
          <w:kern w:val="0"/>
          <w:sz w:val="32"/>
          <w:szCs w:val="32"/>
          <w:lang w:val="zh-CN" w:eastAsia="zh-CN" w:bidi="ar-SA"/>
        </w:rPr>
        <w:t>。</w:t>
      </w:r>
      <w:r>
        <w:rPr>
          <w:rFonts w:hint="eastAsia" w:ascii="仿宋_GB2312" w:hAnsi="Calibri" w:eastAsia="仿宋_GB2312" w:cs="仿宋"/>
          <w:color w:val="auto"/>
          <w:kern w:val="0"/>
          <w:sz w:val="32"/>
          <w:szCs w:val="32"/>
          <w:lang w:val="en-US" w:eastAsia="zh-CN" w:bidi="ar-SA"/>
        </w:rPr>
        <w:t>马尔康市人民法院是马尔康市国家审判机关。充分发挥审判职能，推进社会矛盾化解；及时审理各类民商事纠纷案件；积极稳妥地审理好行政案件；加强执行工作，确保权利人的合法权利得到实现；加强立案、信访接待工作；加强审判质量评查与管理，提高审判质量。</w:t>
      </w:r>
    </w:p>
    <w:p>
      <w:pPr>
        <w:wordWrap w:val="0"/>
        <w:snapToGrid w:val="0"/>
        <w:spacing w:line="576" w:lineRule="exact"/>
        <w:ind w:firstLine="640" w:firstLineChars="200"/>
        <w:contextualSpacing/>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zh-CN" w:eastAsia="zh-CN" w:bidi="ar-SA"/>
        </w:rPr>
        <w:t>（三）人员概况。</w:t>
      </w:r>
      <w:r>
        <w:rPr>
          <w:rFonts w:hint="eastAsia" w:ascii="仿宋_GB2312" w:hAnsi="Calibri" w:eastAsia="仿宋_GB2312" w:cs="仿宋"/>
          <w:color w:val="auto"/>
          <w:kern w:val="0"/>
          <w:sz w:val="32"/>
          <w:szCs w:val="32"/>
          <w:lang w:val="en-US" w:eastAsia="zh-CN" w:bidi="ar-SA"/>
        </w:rPr>
        <w:t>我院行政编制56人，行政工勤人员编制4人。年末在编干警5人，其中政法编制49人，行政工勤人员4人。另有人事局聘用临时工5人，单位自聘人员18人。退休人员有30人。新增退休人员3人。</w:t>
      </w:r>
    </w:p>
    <w:p>
      <w:pPr>
        <w:spacing w:line="600" w:lineRule="exact"/>
        <w:ind w:left="630"/>
        <w:outlineLvl w:val="1"/>
        <w:rPr>
          <w:rStyle w:val="29"/>
          <w:rFonts w:hint="eastAsia" w:eastAsia="黑体"/>
          <w:b w:val="0"/>
          <w:lang w:val="en-US" w:eastAsia="zh-CN"/>
        </w:rPr>
      </w:pPr>
      <w:r>
        <w:rPr>
          <w:rStyle w:val="29"/>
          <w:rFonts w:hint="eastAsia" w:eastAsia="黑体"/>
          <w:b w:val="0"/>
          <w:lang w:val="en-US" w:eastAsia="zh-CN"/>
        </w:rPr>
        <w:t>二、部门财政资金收支情况</w:t>
      </w:r>
    </w:p>
    <w:p>
      <w:pPr>
        <w:spacing w:line="600" w:lineRule="exact"/>
        <w:ind w:firstLine="643" w:firstLineChars="200"/>
        <w:outlineLvl w:val="2"/>
        <w:rPr>
          <w:rFonts w:hint="eastAsia" w:ascii="Times New Roman" w:hAnsi="Times New Roman" w:eastAsia="楷体_GB2312" w:cs="楷体_GB2312"/>
          <w:b/>
          <w:sz w:val="32"/>
          <w:szCs w:val="32"/>
          <w:lang w:val="zh-CN" w:eastAsia="zh-CN"/>
        </w:rPr>
      </w:pPr>
      <w:r>
        <w:rPr>
          <w:rFonts w:hint="eastAsia" w:ascii="Times New Roman" w:hAnsi="Times New Roman" w:eastAsia="楷体_GB2312" w:cs="楷体_GB2312"/>
          <w:b/>
          <w:sz w:val="32"/>
          <w:szCs w:val="32"/>
          <w:lang w:val="zh-CN" w:eastAsia="zh-CN"/>
        </w:rPr>
        <w:t>（一）部门财政资金收入情况。</w:t>
      </w:r>
    </w:p>
    <w:p>
      <w:pPr>
        <w:wordWrap w:val="0"/>
        <w:snapToGrid w:val="0"/>
        <w:spacing w:line="576" w:lineRule="exact"/>
        <w:ind w:firstLine="640" w:firstLineChars="200"/>
        <w:contextualSpacing/>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本单位2024年度总收入为2763.73万元。其中：一般公共预算财政拨款收入为2224.65万元，占比80.49%，政府性基金预算财政拨款收入为0.00万元，占比0.00%；国有资本经营预算财政拨款收入为0.00)万元，占比0.00%；上级补助收入为0.00万元，占比0.00%；事业收入为0.00万元，占比0.00%；经营收入为0.00万元，占比0.00%；附属单位上缴收入为0.00万元，占比0.00%；其他收入为539.07万元，占比19.51%。</w:t>
      </w:r>
    </w:p>
    <w:p>
      <w:pPr>
        <w:widowControl/>
        <w:adjustRightInd w:val="0"/>
        <w:snapToGrid w:val="0"/>
        <w:spacing w:line="580" w:lineRule="exact"/>
        <w:ind w:firstLine="643"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Times New Roman" w:hAnsi="Times New Roman" w:eastAsia="楷体_GB2312" w:cs="楷体_GB2312"/>
          <w:b/>
          <w:sz w:val="32"/>
          <w:szCs w:val="32"/>
          <w:lang w:val="zh-CN" w:eastAsia="zh-CN"/>
        </w:rPr>
        <w:t>（二）部门财政资金支出情况。</w:t>
      </w:r>
    </w:p>
    <w:p>
      <w:pPr>
        <w:wordWrap w:val="0"/>
        <w:snapToGrid w:val="0"/>
        <w:spacing w:line="576" w:lineRule="exact"/>
        <w:ind w:firstLine="640" w:firstLineChars="200"/>
        <w:contextualSpacing/>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年度总支出为2779.45万元。其中：公共安全支出为2348.72万元，占比84.5%；社会保障和就业支出为199.51万元，占比7.18%；卫生健康支出为92.59万元，占比3.33%；住房保障支出为138.63万元，占比4.99%</w:t>
      </w:r>
    </w:p>
    <w:p>
      <w:pPr>
        <w:wordWrap w:val="0"/>
        <w:snapToGrid w:val="0"/>
        <w:spacing w:line="576" w:lineRule="exact"/>
        <w:ind w:firstLine="640" w:firstLineChars="200"/>
        <w:contextualSpacing/>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按资金行政分类为：2024年度，我院财政拨款支出2224.65万元，其中基本支出1459.01万元，占比65.58%；项目支出收入765.64万元，占比34.42%。</w:t>
      </w:r>
    </w:p>
    <w:p>
      <w:pPr>
        <w:widowControl/>
        <w:adjustRightInd w:val="0"/>
        <w:snapToGrid w:val="0"/>
        <w:spacing w:line="578" w:lineRule="exact"/>
        <w:ind w:firstLine="643" w:firstLineChars="200"/>
        <w:contextualSpacing/>
        <w:jc w:val="left"/>
        <w:rPr>
          <w:rFonts w:hint="eastAsia" w:ascii="仿宋_GB2312" w:hAnsi="Calibri" w:eastAsia="仿宋_GB2312" w:cs="仿宋"/>
          <w:color w:val="auto"/>
          <w:kern w:val="0"/>
          <w:sz w:val="32"/>
          <w:szCs w:val="32"/>
          <w:lang w:val="en-US" w:eastAsia="zh-CN" w:bidi="ar-SA"/>
        </w:rPr>
      </w:pPr>
      <w:r>
        <w:rPr>
          <w:rFonts w:hint="eastAsia" w:ascii="Times New Roman" w:hAnsi="Times New Roman" w:eastAsia="楷体_GB2312" w:cs="楷体_GB2312"/>
          <w:b/>
          <w:sz w:val="32"/>
          <w:szCs w:val="32"/>
          <w:lang w:val="zh-CN" w:eastAsia="zh-CN"/>
        </w:rPr>
        <w:t>（三）</w:t>
      </w:r>
      <w:r>
        <w:rPr>
          <w:rFonts w:hint="eastAsia" w:ascii="Times New Roman" w:hAnsi="Times New Roman" w:eastAsia="楷体_GB2312" w:cs="楷体_GB2312"/>
          <w:b/>
          <w:sz w:val="32"/>
          <w:szCs w:val="32"/>
          <w:lang w:val="en-US" w:eastAsia="zh-CN"/>
        </w:rPr>
        <w:t>结余分配和结转结余情况。</w:t>
      </w:r>
      <w:r>
        <w:rPr>
          <w:rFonts w:hint="eastAsia" w:ascii="仿宋_GB2312" w:hAnsi="Calibri" w:eastAsia="仿宋_GB2312" w:cs="仿宋"/>
          <w:color w:val="auto"/>
          <w:kern w:val="0"/>
          <w:sz w:val="32"/>
          <w:szCs w:val="32"/>
          <w:lang w:val="en-US" w:eastAsia="zh-CN" w:bidi="ar-SA"/>
        </w:rPr>
        <w:t>马尔康市人民法院2024年决算报表结转结余43.47万元，主要为财政代管援藏资金41.36万元，代管干警缴纳伙食费0.58万元，代管宣传经费0.3万元，代管党建经费1.23万元。</w:t>
      </w:r>
    </w:p>
    <w:p>
      <w:pPr>
        <w:spacing w:line="600" w:lineRule="exact"/>
        <w:ind w:left="630"/>
        <w:outlineLvl w:val="1"/>
        <w:rPr>
          <w:rStyle w:val="29"/>
          <w:rFonts w:hint="eastAsia" w:eastAsia="黑体"/>
          <w:b w:val="0"/>
          <w:lang w:val="en-US" w:eastAsia="zh-CN"/>
        </w:rPr>
      </w:pPr>
      <w:r>
        <w:rPr>
          <w:rStyle w:val="29"/>
          <w:rFonts w:hint="eastAsia" w:eastAsia="黑体"/>
          <w:b w:val="0"/>
          <w:lang w:val="en-US" w:eastAsia="zh-CN"/>
        </w:rPr>
        <w:t>三、部门预算绩效分析</w:t>
      </w:r>
    </w:p>
    <w:p>
      <w:pPr>
        <w:spacing w:line="600" w:lineRule="exact"/>
        <w:ind w:firstLine="643" w:firstLineChars="200"/>
        <w:outlineLvl w:val="2"/>
        <w:rPr>
          <w:rFonts w:hint="eastAsia" w:ascii="Times New Roman" w:hAnsi="Times New Roman" w:eastAsia="楷体_GB2312" w:cs="楷体_GB2312"/>
          <w:b/>
          <w:sz w:val="32"/>
          <w:szCs w:val="32"/>
          <w:lang w:val="zh-CN" w:eastAsia="zh-CN"/>
        </w:rPr>
      </w:pPr>
      <w:r>
        <w:rPr>
          <w:rFonts w:hint="eastAsia" w:ascii="Times New Roman" w:hAnsi="Times New Roman" w:eastAsia="楷体_GB2312" w:cs="楷体_GB2312"/>
          <w:b/>
          <w:sz w:val="32"/>
          <w:szCs w:val="32"/>
          <w:lang w:val="zh-CN" w:eastAsia="zh-CN"/>
        </w:rPr>
        <w:t>（一）部门预算总体绩效分析。</w:t>
      </w:r>
    </w:p>
    <w:p>
      <w:pPr>
        <w:widowControl/>
        <w:adjustRightInd w:val="0"/>
        <w:snapToGrid w:val="0"/>
        <w:spacing w:line="578" w:lineRule="exact"/>
        <w:ind w:firstLine="640" w:firstLineChars="200"/>
        <w:contextualSpacing/>
        <w:jc w:val="left"/>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w:t>
      </w:r>
      <w:r>
        <w:rPr>
          <w:rFonts w:hint="eastAsia" w:ascii="仿宋_GB2312" w:hAnsi="Calibri" w:eastAsia="仿宋_GB2312" w:cs="仿宋"/>
          <w:color w:val="auto"/>
          <w:kern w:val="0"/>
          <w:sz w:val="32"/>
          <w:szCs w:val="32"/>
          <w:lang w:val="zh-CN" w:eastAsia="zh-CN" w:bidi="ar-SA"/>
        </w:rPr>
        <w:t>履职效能。履行法院职能职责，维护社会公平，数量指标，法官人均结案大于</w:t>
      </w:r>
      <w:r>
        <w:rPr>
          <w:rFonts w:hint="eastAsia" w:ascii="仿宋_GB2312" w:hAnsi="Calibri" w:eastAsia="仿宋_GB2312" w:cs="仿宋"/>
          <w:color w:val="auto"/>
          <w:kern w:val="0"/>
          <w:sz w:val="32"/>
          <w:szCs w:val="32"/>
          <w:lang w:val="en-US" w:eastAsia="zh-CN" w:bidi="ar-SA"/>
        </w:rPr>
        <w:t>20件，当年实际结案586件；开展法制宣传大于10次。产出指标，发回重审率小于5%，满意度指标，提升来诉来访群众满意度。</w:t>
      </w:r>
    </w:p>
    <w:p>
      <w:pPr>
        <w:widowControl/>
        <w:adjustRightInd w:val="0"/>
        <w:snapToGrid w:val="0"/>
        <w:spacing w:line="578" w:lineRule="exact"/>
        <w:ind w:firstLine="640"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2.</w:t>
      </w:r>
      <w:r>
        <w:rPr>
          <w:rFonts w:hint="eastAsia" w:ascii="仿宋_GB2312" w:hAnsi="Calibri" w:eastAsia="仿宋_GB2312" w:cs="仿宋"/>
          <w:color w:val="auto"/>
          <w:kern w:val="0"/>
          <w:sz w:val="32"/>
          <w:szCs w:val="32"/>
          <w:lang w:val="zh-CN" w:eastAsia="zh-CN" w:bidi="ar-SA"/>
        </w:rPr>
        <w:t>预算管理。</w:t>
      </w:r>
      <w:r>
        <w:rPr>
          <w:rFonts w:hint="eastAsia" w:ascii="仿宋_GB2312" w:hAnsi="Calibri" w:eastAsia="仿宋_GB2312" w:cs="仿宋"/>
          <w:color w:val="auto"/>
          <w:kern w:val="0"/>
          <w:sz w:val="32"/>
          <w:szCs w:val="32"/>
          <w:lang w:val="en-US" w:eastAsia="zh-CN" w:bidi="ar-SA"/>
        </w:rPr>
        <w:t>马尔康市人民法院预算编制按照《预算法》有关规定，预算由预算收入和预算支出组成，政府的全部收入和支出都应当纳入预算。我单位部门预算安排支出主要用于保障该部门机构正常运转、 完成日常工作任务，年终无结余，根据例行节约要求，严控一般性支出。</w:t>
      </w:r>
    </w:p>
    <w:p>
      <w:pPr>
        <w:widowControl/>
        <w:adjustRightInd w:val="0"/>
        <w:snapToGrid w:val="0"/>
        <w:spacing w:line="578" w:lineRule="exact"/>
        <w:ind w:firstLine="640"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3.</w:t>
      </w:r>
      <w:r>
        <w:rPr>
          <w:rFonts w:hint="eastAsia" w:ascii="仿宋_GB2312" w:hAnsi="Calibri" w:eastAsia="仿宋_GB2312" w:cs="仿宋"/>
          <w:color w:val="auto"/>
          <w:kern w:val="0"/>
          <w:sz w:val="32"/>
          <w:szCs w:val="32"/>
          <w:lang w:val="zh-CN" w:eastAsia="zh-CN" w:bidi="ar-SA"/>
        </w:rPr>
        <w:t>财务管理。</w:t>
      </w:r>
      <w:r>
        <w:rPr>
          <w:rFonts w:hint="eastAsia" w:ascii="仿宋_GB2312" w:hAnsi="Calibri" w:eastAsia="仿宋_GB2312" w:cs="仿宋"/>
          <w:color w:val="auto"/>
          <w:kern w:val="0"/>
          <w:sz w:val="32"/>
          <w:szCs w:val="32"/>
          <w:lang w:val="en-US" w:eastAsia="zh-CN" w:bidi="ar-SA"/>
        </w:rPr>
        <w:t>办公室下设置财务部门，配备会计、出纳各1名，做到岗位分离，建立财务管理制度，专人负责财务印章，确保会计信息的合法性、真实性、完整性，做到账证、账账、账表和账实相符。单位内部监督部门每年不定期对会计工作规范进行监督检查。</w:t>
      </w:r>
    </w:p>
    <w:p>
      <w:pPr>
        <w:widowControl/>
        <w:adjustRightInd w:val="0"/>
        <w:snapToGrid w:val="0"/>
        <w:spacing w:line="578" w:lineRule="exact"/>
        <w:ind w:firstLine="640" w:firstLineChars="200"/>
        <w:contextualSpacing/>
        <w:jc w:val="left"/>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4.</w:t>
      </w:r>
      <w:r>
        <w:rPr>
          <w:rFonts w:hint="eastAsia" w:ascii="仿宋_GB2312" w:hAnsi="Calibri" w:eastAsia="仿宋_GB2312" w:cs="仿宋"/>
          <w:color w:val="auto"/>
          <w:kern w:val="0"/>
          <w:sz w:val="32"/>
          <w:szCs w:val="32"/>
          <w:lang w:val="zh-CN" w:eastAsia="zh-CN" w:bidi="ar-SA"/>
        </w:rPr>
        <w:t>资产管理。</w:t>
      </w:r>
      <w:r>
        <w:rPr>
          <w:rFonts w:hint="eastAsia" w:ascii="仿宋_GB2312" w:hAnsi="Calibri" w:eastAsia="仿宋_GB2312" w:cs="仿宋"/>
          <w:color w:val="auto"/>
          <w:kern w:val="0"/>
          <w:sz w:val="32"/>
          <w:szCs w:val="32"/>
          <w:lang w:val="en-US" w:eastAsia="zh-CN" w:bidi="ar-SA"/>
        </w:rPr>
        <w:t>根据我院《固定资产管理制度》，由财务室对各庭室与基层法庭在用的固定资产建立登记台账，明确责任。截止2024年12月31日，我院资产总价值3532.43万元。</w:t>
      </w:r>
    </w:p>
    <w:p>
      <w:pPr>
        <w:widowControl/>
        <w:adjustRightInd w:val="0"/>
        <w:snapToGrid w:val="0"/>
        <w:spacing w:line="578" w:lineRule="exact"/>
        <w:ind w:firstLine="640"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5.</w:t>
      </w:r>
      <w:r>
        <w:rPr>
          <w:rFonts w:hint="eastAsia" w:ascii="仿宋_GB2312" w:hAnsi="Calibri" w:eastAsia="仿宋_GB2312" w:cs="仿宋"/>
          <w:color w:val="auto"/>
          <w:kern w:val="0"/>
          <w:sz w:val="32"/>
          <w:szCs w:val="32"/>
          <w:lang w:val="zh-CN" w:eastAsia="zh-CN" w:bidi="ar-SA"/>
        </w:rPr>
        <w:t>采购管理。</w:t>
      </w:r>
      <w:r>
        <w:rPr>
          <w:rFonts w:hint="eastAsia" w:ascii="仿宋_GB2312" w:hAnsi="Calibri" w:eastAsia="仿宋_GB2312" w:cs="仿宋"/>
          <w:color w:val="auto"/>
          <w:kern w:val="0"/>
          <w:sz w:val="32"/>
          <w:szCs w:val="32"/>
          <w:lang w:val="en-US" w:eastAsia="zh-CN" w:bidi="ar-SA"/>
        </w:rPr>
        <w:t>根据《中华人民共和国政府采购法》等规章制度的有关规定，明确我院政府采购内部运行规程，促进政府采购工作规范运作，提高政府采购工作效率，制定采购管理制度。明确政府采购程序主要包括编制政府采购预算、汇编政府采购计划、确定并执行采购方式、委托代理机构、订立及履行采购合同、验收、资金拨付、结算等。</w:t>
      </w:r>
    </w:p>
    <w:p>
      <w:pPr>
        <w:spacing w:line="600" w:lineRule="exact"/>
        <w:ind w:firstLine="643" w:firstLineChars="200"/>
        <w:outlineLvl w:val="2"/>
        <w:rPr>
          <w:rFonts w:hint="eastAsia" w:ascii="Times New Roman" w:hAnsi="Times New Roman" w:eastAsia="楷体_GB2312" w:cs="楷体_GB2312"/>
          <w:b/>
          <w:sz w:val="32"/>
          <w:szCs w:val="32"/>
          <w:lang w:val="en-US" w:eastAsia="zh-CN"/>
        </w:rPr>
      </w:pPr>
      <w:bookmarkStart w:id="44" w:name="OLE_LINK1"/>
      <w:r>
        <w:rPr>
          <w:rFonts w:hint="eastAsia" w:ascii="Times New Roman" w:hAnsi="Times New Roman" w:eastAsia="楷体_GB2312" w:cs="楷体_GB2312"/>
          <w:b/>
          <w:sz w:val="32"/>
          <w:szCs w:val="32"/>
          <w:lang w:val="zh-CN" w:eastAsia="zh-CN"/>
        </w:rPr>
        <w:t>（二）</w:t>
      </w:r>
      <w:bookmarkEnd w:id="44"/>
      <w:r>
        <w:rPr>
          <w:rFonts w:hint="eastAsia" w:ascii="Times New Roman" w:hAnsi="Times New Roman" w:eastAsia="楷体_GB2312" w:cs="楷体_GB2312"/>
          <w:b/>
          <w:sz w:val="32"/>
          <w:szCs w:val="32"/>
          <w:lang w:val="zh-CN" w:eastAsia="zh-CN"/>
        </w:rPr>
        <w:t>部门预算项目绩效分析。</w:t>
      </w:r>
    </w:p>
    <w:p>
      <w:pPr>
        <w:adjustRightInd w:val="0"/>
        <w:snapToGrid w:val="0"/>
        <w:spacing w:line="578" w:lineRule="exact"/>
        <w:ind w:firstLine="640"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常年项目绩效分析。</w:t>
      </w:r>
      <w:r>
        <w:rPr>
          <w:rFonts w:hint="eastAsia" w:ascii="仿宋_GB2312" w:hAnsi="Calibri" w:eastAsia="仿宋_GB2312" w:cs="仿宋"/>
          <w:color w:val="auto"/>
          <w:kern w:val="0"/>
          <w:sz w:val="32"/>
          <w:szCs w:val="32"/>
          <w:lang w:val="zh-CN" w:eastAsia="zh-CN" w:bidi="ar-SA"/>
        </w:rPr>
        <w:t>该类项目总数</w:t>
      </w:r>
      <w:r>
        <w:rPr>
          <w:rFonts w:hint="eastAsia" w:ascii="仿宋_GB2312" w:hAnsi="Calibri" w:eastAsia="仿宋_GB2312" w:cs="仿宋"/>
          <w:color w:val="auto"/>
          <w:kern w:val="0"/>
          <w:sz w:val="32"/>
          <w:szCs w:val="32"/>
          <w:lang w:val="en-US" w:eastAsia="zh-CN" w:bidi="ar-SA"/>
        </w:rPr>
        <w:t>7</w:t>
      </w:r>
      <w:r>
        <w:rPr>
          <w:rFonts w:hint="eastAsia" w:ascii="仿宋_GB2312" w:hAnsi="Calibri" w:eastAsia="仿宋_GB2312" w:cs="仿宋"/>
          <w:color w:val="auto"/>
          <w:kern w:val="0"/>
          <w:sz w:val="32"/>
          <w:szCs w:val="32"/>
          <w:lang w:val="zh-CN" w:eastAsia="zh-CN" w:bidi="ar-SA"/>
        </w:rPr>
        <w:t>个，涉及预算总金额</w:t>
      </w:r>
      <w:r>
        <w:rPr>
          <w:rFonts w:hint="eastAsia" w:ascii="仿宋_GB2312" w:hAnsi="Calibri" w:eastAsia="仿宋_GB2312" w:cs="仿宋"/>
          <w:color w:val="auto"/>
          <w:kern w:val="0"/>
          <w:sz w:val="32"/>
          <w:szCs w:val="32"/>
          <w:lang w:val="en-US" w:eastAsia="zh-CN" w:bidi="ar-SA"/>
        </w:rPr>
        <w:t>780.03</w:t>
      </w:r>
      <w:r>
        <w:rPr>
          <w:rFonts w:hint="eastAsia" w:ascii="仿宋_GB2312" w:hAnsi="Calibri" w:eastAsia="仿宋_GB2312" w:cs="仿宋"/>
          <w:color w:val="auto"/>
          <w:kern w:val="0"/>
          <w:sz w:val="32"/>
          <w:szCs w:val="32"/>
          <w:lang w:val="zh-CN" w:eastAsia="zh-CN" w:bidi="ar-SA"/>
        </w:rPr>
        <w:t>万元，1—1</w:t>
      </w:r>
      <w:r>
        <w:rPr>
          <w:rFonts w:hint="eastAsia" w:ascii="仿宋_GB2312" w:hAnsi="Calibri" w:eastAsia="仿宋_GB2312" w:cs="仿宋"/>
          <w:color w:val="auto"/>
          <w:kern w:val="0"/>
          <w:sz w:val="32"/>
          <w:szCs w:val="32"/>
          <w:lang w:val="en-US" w:eastAsia="zh-CN" w:bidi="ar-SA"/>
        </w:rPr>
        <w:t>2</w:t>
      </w:r>
      <w:r>
        <w:rPr>
          <w:rFonts w:hint="eastAsia" w:ascii="仿宋_GB2312" w:hAnsi="Calibri" w:eastAsia="仿宋_GB2312" w:cs="仿宋"/>
          <w:color w:val="auto"/>
          <w:kern w:val="0"/>
          <w:sz w:val="32"/>
          <w:szCs w:val="32"/>
          <w:lang w:val="zh-CN" w:eastAsia="zh-CN" w:bidi="ar-SA"/>
        </w:rPr>
        <w:t>月预算执行总体进度为</w:t>
      </w:r>
      <w:r>
        <w:rPr>
          <w:rFonts w:hint="eastAsia" w:ascii="仿宋_GB2312" w:hAnsi="Calibri" w:eastAsia="仿宋_GB2312" w:cs="仿宋"/>
          <w:color w:val="auto"/>
          <w:kern w:val="0"/>
          <w:sz w:val="32"/>
          <w:szCs w:val="32"/>
          <w:lang w:val="en-US" w:eastAsia="zh-CN" w:bidi="ar-SA"/>
        </w:rPr>
        <w:t>100</w:t>
      </w:r>
      <w:r>
        <w:rPr>
          <w:rFonts w:hint="eastAsia" w:ascii="仿宋_GB2312" w:hAnsi="Calibri" w:eastAsia="仿宋_GB2312" w:cs="仿宋"/>
          <w:color w:val="auto"/>
          <w:kern w:val="0"/>
          <w:sz w:val="32"/>
          <w:szCs w:val="32"/>
          <w:lang w:val="zh-CN" w:eastAsia="zh-CN" w:bidi="ar-SA"/>
        </w:rPr>
        <w:t>%，其中：预算结余率大于</w:t>
      </w:r>
      <w:r>
        <w:rPr>
          <w:rFonts w:hint="eastAsia" w:ascii="仿宋_GB2312" w:hAnsi="Calibri" w:eastAsia="仿宋_GB2312" w:cs="仿宋"/>
          <w:color w:val="auto"/>
          <w:kern w:val="0"/>
          <w:sz w:val="32"/>
          <w:szCs w:val="32"/>
          <w:lang w:val="en-US" w:eastAsia="zh-CN" w:bidi="ar-SA"/>
        </w:rPr>
        <w:t>10%</w:t>
      </w:r>
      <w:r>
        <w:rPr>
          <w:rFonts w:hint="eastAsia" w:ascii="仿宋_GB2312" w:hAnsi="Calibri" w:eastAsia="仿宋_GB2312" w:cs="仿宋"/>
          <w:color w:val="auto"/>
          <w:kern w:val="0"/>
          <w:sz w:val="32"/>
          <w:szCs w:val="32"/>
          <w:lang w:val="zh-CN" w:eastAsia="zh-CN" w:bidi="ar-SA"/>
        </w:rPr>
        <w:t>的项目共计</w:t>
      </w:r>
      <w:r>
        <w:rPr>
          <w:rFonts w:hint="eastAsia" w:ascii="仿宋_GB2312" w:hAnsi="Calibri" w:eastAsia="仿宋_GB2312" w:cs="仿宋"/>
          <w:color w:val="auto"/>
          <w:kern w:val="0"/>
          <w:sz w:val="32"/>
          <w:szCs w:val="32"/>
          <w:lang w:val="en-US" w:eastAsia="zh-CN" w:bidi="ar-SA"/>
        </w:rPr>
        <w:t>0</w:t>
      </w:r>
      <w:r>
        <w:rPr>
          <w:rFonts w:hint="eastAsia" w:ascii="仿宋_GB2312" w:hAnsi="Calibri" w:eastAsia="仿宋_GB2312" w:cs="仿宋"/>
          <w:color w:val="auto"/>
          <w:kern w:val="0"/>
          <w:sz w:val="32"/>
          <w:szCs w:val="32"/>
          <w:lang w:val="zh-CN" w:eastAsia="zh-CN" w:bidi="ar-SA"/>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1.</w:t>
      </w:r>
      <w:r>
        <w:rPr>
          <w:rFonts w:hint="eastAsia" w:ascii="仿宋_GB2312" w:hAnsi="Calibri" w:eastAsia="仿宋_GB2312" w:cs="仿宋"/>
          <w:color w:val="auto"/>
          <w:kern w:val="0"/>
          <w:sz w:val="32"/>
          <w:szCs w:val="32"/>
          <w:lang w:val="zh-CN" w:eastAsia="zh-CN" w:bidi="ar-SA"/>
        </w:rPr>
        <w:t>项目决策。我院项目在规定的时间内完成了项目入库，其中决策程序合法合规，项目绩效目标与计划期内的任务量、预算安排的资金量相匹配，绩效目标设置科学合理、规范完整、量化细化</w:t>
      </w:r>
    </w:p>
    <w:p>
      <w:pPr>
        <w:adjustRightInd w:val="0"/>
        <w:snapToGrid w:val="0"/>
        <w:spacing w:line="578" w:lineRule="exact"/>
        <w:ind w:firstLine="640" w:firstLineChars="20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2.项目执行</w:t>
      </w:r>
      <w:r>
        <w:rPr>
          <w:rFonts w:hint="eastAsia" w:ascii="仿宋_GB2312" w:hAnsi="Calibri" w:eastAsia="仿宋_GB2312" w:cs="仿宋"/>
          <w:color w:val="auto"/>
          <w:kern w:val="0"/>
          <w:sz w:val="32"/>
          <w:szCs w:val="32"/>
          <w:lang w:val="zh-CN" w:eastAsia="zh-CN" w:bidi="ar-SA"/>
        </w:rPr>
        <w:t>。部门预算项目实际列支内容与绩效目标设置方向相符</w:t>
      </w:r>
      <w:r>
        <w:rPr>
          <w:rFonts w:hint="eastAsia" w:ascii="仿宋_GB2312" w:hAnsi="Calibri" w:eastAsia="仿宋_GB2312" w:cs="仿宋"/>
          <w:color w:val="auto"/>
          <w:kern w:val="0"/>
          <w:sz w:val="32"/>
          <w:szCs w:val="32"/>
          <w:lang w:val="en-US" w:eastAsia="zh-CN" w:bidi="ar-SA"/>
        </w:rPr>
        <w:t>,项目预算执行情况良好。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w:t>
      </w:r>
      <w:r>
        <w:rPr>
          <w:rFonts w:hint="eastAsia" w:ascii="仿宋_GB2312" w:hAnsi="Calibri" w:eastAsia="仿宋_GB2312" w:cs="仿宋"/>
          <w:color w:val="auto"/>
          <w:kern w:val="0"/>
          <w:sz w:val="32"/>
          <w:szCs w:val="32"/>
          <w:lang w:val="zh-CN" w:eastAsia="zh-CN" w:bidi="ar-SA"/>
        </w:rPr>
        <w:t>目标实现。项目绩效目标数量指标完成情况良好，项目绩效目标数量指标实现程度与预期目标的无偏离，项目绩效目标效益指标实施达到预期效果</w:t>
      </w:r>
      <w:r>
        <w:rPr>
          <w:rFonts w:hint="eastAsia" w:ascii="仿宋_GB2312" w:hAnsi="Calibri" w:eastAsia="仿宋_GB2312" w:cs="仿宋"/>
          <w:color w:val="auto"/>
          <w:kern w:val="0"/>
          <w:sz w:val="32"/>
          <w:szCs w:val="32"/>
          <w:lang w:val="en-US" w:eastAsia="zh-CN" w:bidi="ar-SA"/>
        </w:rPr>
        <w:t>。</w:t>
      </w:r>
    </w:p>
    <w:p>
      <w:pPr>
        <w:spacing w:line="600" w:lineRule="exact"/>
        <w:ind w:firstLine="643" w:firstLineChars="200"/>
        <w:outlineLvl w:val="2"/>
        <w:rPr>
          <w:rFonts w:hint="eastAsia" w:ascii="Times New Roman" w:hAnsi="Times New Roman" w:eastAsia="楷体_GB2312" w:cs="楷体_GB2312"/>
          <w:b/>
          <w:sz w:val="32"/>
          <w:szCs w:val="32"/>
          <w:lang w:val="en-US" w:eastAsia="zh-CN"/>
        </w:rPr>
      </w:pPr>
      <w:r>
        <w:rPr>
          <w:rFonts w:hint="eastAsia" w:ascii="Times New Roman" w:hAnsi="Times New Roman" w:eastAsia="楷体_GB2312" w:cs="楷体_GB2312"/>
          <w:b/>
          <w:sz w:val="32"/>
          <w:szCs w:val="32"/>
          <w:lang w:val="zh-CN" w:eastAsia="zh-CN"/>
        </w:rPr>
        <w:t>（三）重点领域绩效分析。</w:t>
      </w:r>
    </w:p>
    <w:p>
      <w:pPr>
        <w:pStyle w:val="19"/>
        <w:numPr>
          <w:ilvl w:val="0"/>
          <w:numId w:val="2"/>
        </w:numPr>
        <w:ind w:firstLine="643"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 xml:space="preserve">国有资本绩效完成情况。无                            </w:t>
      </w:r>
    </w:p>
    <w:p>
      <w:pPr>
        <w:numPr>
          <w:ilvl w:val="0"/>
          <w:numId w:val="2"/>
        </w:numPr>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 xml:space="preserve">行政事业性国有资产绩效完成情况。无                   </w:t>
      </w:r>
    </w:p>
    <w:p>
      <w:pPr>
        <w:pStyle w:val="19"/>
        <w:numPr>
          <w:ilvl w:val="0"/>
          <w:numId w:val="0"/>
        </w:numPr>
        <w:ind w:left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 xml:space="preserve">3.债券资金绩效完成情况；无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 xml:space="preserve">4.政府采购绩效完成情况；2024年度共计9个政府采购项目，共计410.39万元，2024年已完成8个项目资金支付，其中审判楼加固项目已于2024年12月支付50%价款。                            </w:t>
      </w:r>
    </w:p>
    <w:p>
      <w:pPr>
        <w:adjustRightInd w:val="0"/>
        <w:snapToGrid w:val="0"/>
        <w:spacing w:line="578" w:lineRule="exact"/>
        <w:ind w:firstLine="640"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 xml:space="preserve">5.政府购买服务绩效完成情况；无  </w:t>
      </w:r>
    </w:p>
    <w:p>
      <w:pPr>
        <w:spacing w:line="600" w:lineRule="exact"/>
        <w:ind w:firstLine="643" w:firstLineChars="200"/>
        <w:outlineLvl w:val="2"/>
        <w:rPr>
          <w:rFonts w:hint="eastAsia" w:ascii="Times New Roman" w:hAnsi="Times New Roman" w:eastAsia="楷体_GB2312" w:cs="楷体_GB2312"/>
          <w:b/>
          <w:sz w:val="32"/>
          <w:szCs w:val="32"/>
          <w:lang w:val="zh-CN" w:eastAsia="zh-CN"/>
        </w:rPr>
      </w:pPr>
      <w:r>
        <w:rPr>
          <w:rFonts w:hint="eastAsia" w:ascii="Times New Roman" w:hAnsi="Times New Roman" w:eastAsia="楷体_GB2312" w:cs="楷体_GB2312"/>
          <w:b/>
          <w:sz w:val="32"/>
          <w:szCs w:val="32"/>
          <w:lang w:val="zh-CN" w:eastAsia="zh-CN"/>
        </w:rPr>
        <w:t>（一）部门预算项目绩效管理。</w:t>
      </w:r>
    </w:p>
    <w:p>
      <w:pPr>
        <w:pStyle w:val="35"/>
        <w:spacing w:before="0" w:line="360" w:lineRule="auto"/>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2024年部门预算严格按照市财政局要求进行预算编制、预算执行，严格落实实事求是、数据准确原则，单位人员编制严格经市编办审核后，严格核实人员经费，杜绝吃空饷等违规行为。预算编制填入预算编报软件，严格按照上年10月工资作为核算经费收支基础数据。认真填写专项预算的绩效目标申请表。中央政法转移支付资金未纳入年初预算经费项目，按照年中下达金额执行。</w:t>
      </w:r>
    </w:p>
    <w:p>
      <w:pPr>
        <w:widowControl/>
        <w:wordWrap w:val="0"/>
        <w:adjustRightInd w:val="0"/>
        <w:snapToGrid w:val="0"/>
        <w:spacing w:line="576" w:lineRule="exact"/>
        <w:ind w:firstLine="72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（1）数量指标。</w:t>
      </w:r>
    </w:p>
    <w:p>
      <w:pPr>
        <w:widowControl/>
        <w:wordWrap w:val="0"/>
        <w:adjustRightInd w:val="0"/>
        <w:snapToGrid w:val="0"/>
        <w:spacing w:line="576" w:lineRule="exact"/>
        <w:ind w:firstLine="72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fldChar w:fldCharType="begin"/>
      </w:r>
      <w:r>
        <w:rPr>
          <w:rFonts w:hint="eastAsia" w:ascii="仿宋_GB2312" w:hAnsi="Calibri" w:eastAsia="仿宋_GB2312" w:cs="仿宋"/>
          <w:color w:val="auto"/>
          <w:kern w:val="0"/>
          <w:sz w:val="32"/>
          <w:szCs w:val="32"/>
          <w:lang w:val="en-US" w:eastAsia="zh-CN" w:bidi="ar-SA"/>
        </w:rPr>
        <w:instrText xml:space="preserve"> = 1 \* GB3 </w:instrText>
      </w:r>
      <w:r>
        <w:rPr>
          <w:rFonts w:hint="eastAsia" w:ascii="仿宋_GB2312" w:hAnsi="Calibri" w:eastAsia="仿宋_GB2312" w:cs="仿宋"/>
          <w:color w:val="auto"/>
          <w:kern w:val="0"/>
          <w:sz w:val="32"/>
          <w:szCs w:val="32"/>
          <w:lang w:val="en-US" w:eastAsia="zh-CN" w:bidi="ar-SA"/>
        </w:rPr>
        <w:fldChar w:fldCharType="separate"/>
      </w:r>
      <w:r>
        <w:rPr>
          <w:rFonts w:hint="eastAsia" w:ascii="仿宋_GB2312" w:hAnsi="Calibri" w:eastAsia="仿宋_GB2312" w:cs="仿宋"/>
          <w:color w:val="auto"/>
          <w:kern w:val="0"/>
          <w:sz w:val="32"/>
          <w:szCs w:val="32"/>
          <w:lang w:val="en-US" w:eastAsia="zh-CN" w:bidi="ar-SA"/>
        </w:rPr>
        <w:t>①</w:t>
      </w:r>
      <w:r>
        <w:rPr>
          <w:rFonts w:hint="eastAsia" w:ascii="仿宋_GB2312" w:hAnsi="Calibri" w:eastAsia="仿宋_GB2312" w:cs="仿宋"/>
          <w:color w:val="auto"/>
          <w:kern w:val="0"/>
          <w:sz w:val="32"/>
          <w:szCs w:val="32"/>
          <w:lang w:val="en-US" w:eastAsia="zh-CN" w:bidi="ar-SA"/>
        </w:rPr>
        <w:fldChar w:fldCharType="end"/>
      </w:r>
      <w:r>
        <w:rPr>
          <w:rFonts w:hint="eastAsia" w:ascii="仿宋_GB2312" w:hAnsi="Calibri" w:eastAsia="仿宋_GB2312" w:cs="仿宋"/>
          <w:color w:val="auto"/>
          <w:kern w:val="0"/>
          <w:sz w:val="32"/>
          <w:szCs w:val="32"/>
          <w:lang w:val="en-US" w:eastAsia="zh-CN" w:bidi="ar-SA"/>
        </w:rPr>
        <w:t>.及时妥善审结民商事案件375件。</w:t>
      </w:r>
    </w:p>
    <w:p>
      <w:pPr>
        <w:widowControl/>
        <w:wordWrap w:val="0"/>
        <w:adjustRightInd w:val="0"/>
        <w:snapToGrid w:val="0"/>
        <w:spacing w:line="576" w:lineRule="exact"/>
        <w:ind w:firstLine="72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fldChar w:fldCharType="begin"/>
      </w:r>
      <w:r>
        <w:rPr>
          <w:rFonts w:hint="eastAsia" w:ascii="仿宋_GB2312" w:hAnsi="Calibri" w:eastAsia="仿宋_GB2312" w:cs="仿宋"/>
          <w:color w:val="auto"/>
          <w:kern w:val="0"/>
          <w:sz w:val="32"/>
          <w:szCs w:val="32"/>
          <w:lang w:val="en-US" w:eastAsia="zh-CN" w:bidi="ar-SA"/>
        </w:rPr>
        <w:instrText xml:space="preserve"> = 2 \* GB3 </w:instrText>
      </w:r>
      <w:r>
        <w:rPr>
          <w:rFonts w:hint="eastAsia" w:ascii="仿宋_GB2312" w:hAnsi="Calibri" w:eastAsia="仿宋_GB2312" w:cs="仿宋"/>
          <w:color w:val="auto"/>
          <w:kern w:val="0"/>
          <w:sz w:val="32"/>
          <w:szCs w:val="32"/>
          <w:lang w:val="en-US" w:eastAsia="zh-CN" w:bidi="ar-SA"/>
        </w:rPr>
        <w:fldChar w:fldCharType="separate"/>
      </w:r>
      <w:r>
        <w:rPr>
          <w:rFonts w:hint="eastAsia" w:ascii="仿宋_GB2312" w:hAnsi="Calibri" w:eastAsia="仿宋_GB2312" w:cs="仿宋"/>
          <w:color w:val="auto"/>
          <w:kern w:val="0"/>
          <w:sz w:val="32"/>
          <w:szCs w:val="32"/>
          <w:lang w:val="en-US" w:eastAsia="zh-CN" w:bidi="ar-SA"/>
        </w:rPr>
        <w:t>②</w:t>
      </w:r>
      <w:r>
        <w:rPr>
          <w:rFonts w:hint="eastAsia" w:ascii="仿宋_GB2312" w:hAnsi="Calibri" w:eastAsia="仿宋_GB2312" w:cs="仿宋"/>
          <w:color w:val="auto"/>
          <w:kern w:val="0"/>
          <w:sz w:val="32"/>
          <w:szCs w:val="32"/>
          <w:lang w:val="en-US" w:eastAsia="zh-CN" w:bidi="ar-SA"/>
        </w:rPr>
        <w:fldChar w:fldCharType="end"/>
      </w:r>
      <w:r>
        <w:rPr>
          <w:rFonts w:hint="eastAsia" w:ascii="仿宋_GB2312" w:hAnsi="Calibri" w:eastAsia="仿宋_GB2312" w:cs="仿宋"/>
          <w:color w:val="auto"/>
          <w:kern w:val="0"/>
          <w:sz w:val="32"/>
          <w:szCs w:val="32"/>
          <w:lang w:val="en-US" w:eastAsia="zh-CN" w:bidi="ar-SA"/>
        </w:rPr>
        <w:t>.及时妥善审结刑事案件55件。</w:t>
      </w:r>
    </w:p>
    <w:p>
      <w:pPr>
        <w:widowControl/>
        <w:wordWrap w:val="0"/>
        <w:adjustRightInd w:val="0"/>
        <w:snapToGrid w:val="0"/>
        <w:spacing w:line="576" w:lineRule="exact"/>
        <w:ind w:firstLine="72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fldChar w:fldCharType="begin"/>
      </w:r>
      <w:r>
        <w:rPr>
          <w:rFonts w:hint="eastAsia" w:ascii="仿宋_GB2312" w:hAnsi="Calibri" w:eastAsia="仿宋_GB2312" w:cs="仿宋"/>
          <w:color w:val="auto"/>
          <w:kern w:val="0"/>
          <w:sz w:val="32"/>
          <w:szCs w:val="32"/>
          <w:lang w:val="en-US" w:eastAsia="zh-CN" w:bidi="ar-SA"/>
        </w:rPr>
        <w:instrText xml:space="preserve"> = 3 \* GB3 </w:instrText>
      </w:r>
      <w:r>
        <w:rPr>
          <w:rFonts w:hint="eastAsia" w:ascii="仿宋_GB2312" w:hAnsi="Calibri" w:eastAsia="仿宋_GB2312" w:cs="仿宋"/>
          <w:color w:val="auto"/>
          <w:kern w:val="0"/>
          <w:sz w:val="32"/>
          <w:szCs w:val="32"/>
          <w:lang w:val="en-US" w:eastAsia="zh-CN" w:bidi="ar-SA"/>
        </w:rPr>
        <w:fldChar w:fldCharType="separate"/>
      </w:r>
      <w:r>
        <w:rPr>
          <w:rFonts w:hint="eastAsia" w:ascii="仿宋_GB2312" w:hAnsi="Calibri" w:eastAsia="仿宋_GB2312" w:cs="仿宋"/>
          <w:color w:val="auto"/>
          <w:kern w:val="0"/>
          <w:sz w:val="32"/>
          <w:szCs w:val="32"/>
          <w:lang w:val="en-US" w:eastAsia="zh-CN" w:bidi="ar-SA"/>
        </w:rPr>
        <w:t>③</w:t>
      </w:r>
      <w:r>
        <w:rPr>
          <w:rFonts w:hint="eastAsia" w:ascii="仿宋_GB2312" w:hAnsi="Calibri" w:eastAsia="仿宋_GB2312" w:cs="仿宋"/>
          <w:color w:val="auto"/>
          <w:kern w:val="0"/>
          <w:sz w:val="32"/>
          <w:szCs w:val="32"/>
          <w:lang w:val="en-US" w:eastAsia="zh-CN" w:bidi="ar-SA"/>
        </w:rPr>
        <w:fldChar w:fldCharType="end"/>
      </w:r>
      <w:r>
        <w:rPr>
          <w:rFonts w:hint="eastAsia" w:ascii="仿宋_GB2312" w:hAnsi="Calibri" w:eastAsia="仿宋_GB2312" w:cs="仿宋"/>
          <w:color w:val="auto"/>
          <w:kern w:val="0"/>
          <w:sz w:val="32"/>
          <w:szCs w:val="32"/>
          <w:lang w:val="en-US" w:eastAsia="zh-CN" w:bidi="ar-SA"/>
        </w:rPr>
        <w:t>.及时妥善审结执行案件136件。</w:t>
      </w:r>
    </w:p>
    <w:p>
      <w:pPr>
        <w:widowControl/>
        <w:wordWrap w:val="0"/>
        <w:adjustRightInd w:val="0"/>
        <w:snapToGrid w:val="0"/>
        <w:spacing w:line="576" w:lineRule="exact"/>
        <w:ind w:firstLine="72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（2）质量指标。</w:t>
      </w:r>
    </w:p>
    <w:p>
      <w:pPr>
        <w:widowControl/>
        <w:wordWrap w:val="0"/>
        <w:adjustRightInd w:val="0"/>
        <w:snapToGrid w:val="0"/>
        <w:spacing w:line="576" w:lineRule="exact"/>
        <w:ind w:firstLine="72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fldChar w:fldCharType="begin"/>
      </w:r>
      <w:r>
        <w:rPr>
          <w:rFonts w:hint="eastAsia" w:ascii="仿宋_GB2312" w:hAnsi="Calibri" w:eastAsia="仿宋_GB2312" w:cs="仿宋"/>
          <w:color w:val="auto"/>
          <w:kern w:val="0"/>
          <w:sz w:val="32"/>
          <w:szCs w:val="32"/>
          <w:lang w:val="en-US" w:eastAsia="zh-CN" w:bidi="ar-SA"/>
        </w:rPr>
        <w:instrText xml:space="preserve"> = 1 \* GB3 </w:instrText>
      </w:r>
      <w:r>
        <w:rPr>
          <w:rFonts w:hint="eastAsia" w:ascii="仿宋_GB2312" w:hAnsi="Calibri" w:eastAsia="仿宋_GB2312" w:cs="仿宋"/>
          <w:color w:val="auto"/>
          <w:kern w:val="0"/>
          <w:sz w:val="32"/>
          <w:szCs w:val="32"/>
          <w:lang w:val="en-US" w:eastAsia="zh-CN" w:bidi="ar-SA"/>
        </w:rPr>
        <w:fldChar w:fldCharType="separate"/>
      </w:r>
      <w:r>
        <w:rPr>
          <w:rFonts w:hint="eastAsia" w:ascii="仿宋_GB2312" w:hAnsi="Calibri" w:eastAsia="仿宋_GB2312" w:cs="仿宋"/>
          <w:color w:val="auto"/>
          <w:kern w:val="0"/>
          <w:sz w:val="32"/>
          <w:szCs w:val="32"/>
          <w:lang w:val="en-US" w:eastAsia="zh-CN" w:bidi="ar-SA"/>
        </w:rPr>
        <w:t>①</w:t>
      </w:r>
      <w:r>
        <w:rPr>
          <w:rFonts w:hint="eastAsia" w:ascii="仿宋_GB2312" w:hAnsi="Calibri" w:eastAsia="仿宋_GB2312" w:cs="仿宋"/>
          <w:color w:val="auto"/>
          <w:kern w:val="0"/>
          <w:sz w:val="32"/>
          <w:szCs w:val="32"/>
          <w:lang w:val="en-US" w:eastAsia="zh-CN" w:bidi="ar-SA"/>
        </w:rPr>
        <w:fldChar w:fldCharType="end"/>
      </w:r>
      <w:r>
        <w:rPr>
          <w:rFonts w:hint="eastAsia" w:ascii="仿宋_GB2312" w:hAnsi="Calibri" w:eastAsia="仿宋_GB2312" w:cs="仿宋"/>
          <w:color w:val="auto"/>
          <w:kern w:val="0"/>
          <w:sz w:val="32"/>
          <w:szCs w:val="32"/>
          <w:lang w:val="en-US" w:eastAsia="zh-CN" w:bidi="ar-SA"/>
        </w:rPr>
        <w:t>.实现民商事案件审结率96.89%。</w:t>
      </w:r>
    </w:p>
    <w:p>
      <w:pPr>
        <w:widowControl/>
        <w:wordWrap w:val="0"/>
        <w:adjustRightInd w:val="0"/>
        <w:snapToGrid w:val="0"/>
        <w:spacing w:line="576" w:lineRule="exact"/>
        <w:ind w:firstLine="72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fldChar w:fldCharType="begin"/>
      </w:r>
      <w:r>
        <w:rPr>
          <w:rFonts w:hint="eastAsia" w:ascii="仿宋_GB2312" w:hAnsi="Calibri" w:eastAsia="仿宋_GB2312" w:cs="仿宋"/>
          <w:color w:val="auto"/>
          <w:kern w:val="0"/>
          <w:sz w:val="32"/>
          <w:szCs w:val="32"/>
          <w:lang w:val="en-US" w:eastAsia="zh-CN" w:bidi="ar-SA"/>
        </w:rPr>
        <w:instrText xml:space="preserve"> = 2 \* GB3 </w:instrText>
      </w:r>
      <w:r>
        <w:rPr>
          <w:rFonts w:hint="eastAsia" w:ascii="仿宋_GB2312" w:hAnsi="Calibri" w:eastAsia="仿宋_GB2312" w:cs="仿宋"/>
          <w:color w:val="auto"/>
          <w:kern w:val="0"/>
          <w:sz w:val="32"/>
          <w:szCs w:val="32"/>
          <w:lang w:val="en-US" w:eastAsia="zh-CN" w:bidi="ar-SA"/>
        </w:rPr>
        <w:fldChar w:fldCharType="separate"/>
      </w:r>
      <w:r>
        <w:rPr>
          <w:rFonts w:hint="eastAsia" w:ascii="仿宋_GB2312" w:hAnsi="Calibri" w:eastAsia="仿宋_GB2312" w:cs="仿宋"/>
          <w:color w:val="auto"/>
          <w:kern w:val="0"/>
          <w:sz w:val="32"/>
          <w:szCs w:val="32"/>
          <w:lang w:val="en-US" w:eastAsia="zh-CN" w:bidi="ar-SA"/>
        </w:rPr>
        <w:t>②</w:t>
      </w:r>
      <w:r>
        <w:rPr>
          <w:rFonts w:hint="eastAsia" w:ascii="仿宋_GB2312" w:hAnsi="Calibri" w:eastAsia="仿宋_GB2312" w:cs="仿宋"/>
          <w:color w:val="auto"/>
          <w:kern w:val="0"/>
          <w:sz w:val="32"/>
          <w:szCs w:val="32"/>
          <w:lang w:val="en-US" w:eastAsia="zh-CN" w:bidi="ar-SA"/>
        </w:rPr>
        <w:fldChar w:fldCharType="end"/>
      </w:r>
      <w:r>
        <w:rPr>
          <w:rFonts w:hint="eastAsia" w:ascii="仿宋_GB2312" w:hAnsi="Calibri" w:eastAsia="仿宋_GB2312" w:cs="仿宋"/>
          <w:color w:val="auto"/>
          <w:kern w:val="0"/>
          <w:sz w:val="32"/>
          <w:szCs w:val="32"/>
          <w:lang w:val="en-US" w:eastAsia="zh-CN" w:bidi="ar-SA"/>
        </w:rPr>
        <w:t>.实现刑事案件审结率96.49%。</w:t>
      </w:r>
    </w:p>
    <w:p>
      <w:pPr>
        <w:widowControl/>
        <w:wordWrap w:val="0"/>
        <w:adjustRightInd w:val="0"/>
        <w:snapToGrid w:val="0"/>
        <w:spacing w:line="576" w:lineRule="exact"/>
        <w:ind w:firstLine="72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fldChar w:fldCharType="begin"/>
      </w:r>
      <w:r>
        <w:rPr>
          <w:rFonts w:hint="eastAsia" w:ascii="仿宋_GB2312" w:hAnsi="Calibri" w:eastAsia="仿宋_GB2312" w:cs="仿宋"/>
          <w:color w:val="auto"/>
          <w:kern w:val="0"/>
          <w:sz w:val="32"/>
          <w:szCs w:val="32"/>
          <w:lang w:val="en-US" w:eastAsia="zh-CN" w:bidi="ar-SA"/>
        </w:rPr>
        <w:instrText xml:space="preserve"> = 3 \* GB3 </w:instrText>
      </w:r>
      <w:r>
        <w:rPr>
          <w:rFonts w:hint="eastAsia" w:ascii="仿宋_GB2312" w:hAnsi="Calibri" w:eastAsia="仿宋_GB2312" w:cs="仿宋"/>
          <w:color w:val="auto"/>
          <w:kern w:val="0"/>
          <w:sz w:val="32"/>
          <w:szCs w:val="32"/>
          <w:lang w:val="en-US" w:eastAsia="zh-CN" w:bidi="ar-SA"/>
        </w:rPr>
        <w:fldChar w:fldCharType="separate"/>
      </w:r>
      <w:r>
        <w:rPr>
          <w:rFonts w:hint="eastAsia" w:ascii="仿宋_GB2312" w:hAnsi="Calibri" w:eastAsia="仿宋_GB2312" w:cs="仿宋"/>
          <w:color w:val="auto"/>
          <w:kern w:val="0"/>
          <w:sz w:val="32"/>
          <w:szCs w:val="32"/>
          <w:lang w:val="en-US" w:eastAsia="zh-CN" w:bidi="ar-SA"/>
        </w:rPr>
        <w:t>③</w:t>
      </w:r>
      <w:r>
        <w:rPr>
          <w:rFonts w:hint="eastAsia" w:ascii="仿宋_GB2312" w:hAnsi="Calibri" w:eastAsia="仿宋_GB2312" w:cs="仿宋"/>
          <w:color w:val="auto"/>
          <w:kern w:val="0"/>
          <w:sz w:val="32"/>
          <w:szCs w:val="32"/>
          <w:lang w:val="en-US" w:eastAsia="zh-CN" w:bidi="ar-SA"/>
        </w:rPr>
        <w:fldChar w:fldCharType="end"/>
      </w:r>
      <w:r>
        <w:rPr>
          <w:rFonts w:hint="eastAsia" w:ascii="仿宋_GB2312" w:hAnsi="Calibri" w:eastAsia="仿宋_GB2312" w:cs="仿宋"/>
          <w:color w:val="auto"/>
          <w:kern w:val="0"/>
          <w:sz w:val="32"/>
          <w:szCs w:val="32"/>
          <w:lang w:val="en-US" w:eastAsia="zh-CN" w:bidi="ar-SA"/>
        </w:rPr>
        <w:t>.实现执行案件执结率91.27%。</w:t>
      </w:r>
    </w:p>
    <w:p>
      <w:pPr>
        <w:widowControl/>
        <w:wordWrap w:val="0"/>
        <w:adjustRightInd w:val="0"/>
        <w:snapToGrid w:val="0"/>
        <w:spacing w:line="576" w:lineRule="exact"/>
        <w:ind w:firstLine="72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（3）时效指标。</w:t>
      </w:r>
    </w:p>
    <w:p>
      <w:pPr>
        <w:widowControl/>
        <w:wordWrap w:val="0"/>
        <w:adjustRightInd w:val="0"/>
        <w:snapToGrid w:val="0"/>
        <w:spacing w:line="576" w:lineRule="exact"/>
        <w:ind w:firstLine="72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fldChar w:fldCharType="begin"/>
      </w:r>
      <w:r>
        <w:rPr>
          <w:rFonts w:hint="eastAsia" w:ascii="仿宋_GB2312" w:hAnsi="Calibri" w:eastAsia="仿宋_GB2312" w:cs="仿宋"/>
          <w:color w:val="auto"/>
          <w:kern w:val="0"/>
          <w:sz w:val="32"/>
          <w:szCs w:val="32"/>
          <w:lang w:val="en-US" w:eastAsia="zh-CN" w:bidi="ar-SA"/>
        </w:rPr>
        <w:instrText xml:space="preserve"> = 1 \* GB3 </w:instrText>
      </w:r>
      <w:r>
        <w:rPr>
          <w:rFonts w:hint="eastAsia" w:ascii="仿宋_GB2312" w:hAnsi="Calibri" w:eastAsia="仿宋_GB2312" w:cs="仿宋"/>
          <w:color w:val="auto"/>
          <w:kern w:val="0"/>
          <w:sz w:val="32"/>
          <w:szCs w:val="32"/>
          <w:lang w:val="en-US" w:eastAsia="zh-CN" w:bidi="ar-SA"/>
        </w:rPr>
        <w:fldChar w:fldCharType="separate"/>
      </w:r>
      <w:r>
        <w:rPr>
          <w:rFonts w:hint="eastAsia" w:ascii="仿宋_GB2312" w:hAnsi="Calibri" w:eastAsia="仿宋_GB2312" w:cs="仿宋"/>
          <w:color w:val="auto"/>
          <w:kern w:val="0"/>
          <w:sz w:val="32"/>
          <w:szCs w:val="32"/>
          <w:lang w:val="en-US" w:eastAsia="zh-CN" w:bidi="ar-SA"/>
        </w:rPr>
        <w:t>①</w:t>
      </w:r>
      <w:r>
        <w:rPr>
          <w:rFonts w:hint="eastAsia" w:ascii="仿宋_GB2312" w:hAnsi="Calibri" w:eastAsia="仿宋_GB2312" w:cs="仿宋"/>
          <w:color w:val="auto"/>
          <w:kern w:val="0"/>
          <w:sz w:val="32"/>
          <w:szCs w:val="32"/>
          <w:lang w:val="en-US" w:eastAsia="zh-CN" w:bidi="ar-SA"/>
        </w:rPr>
        <w:fldChar w:fldCharType="end"/>
      </w:r>
      <w:r>
        <w:rPr>
          <w:rFonts w:hint="eastAsia" w:ascii="仿宋_GB2312" w:hAnsi="Calibri" w:eastAsia="仿宋_GB2312" w:cs="仿宋"/>
          <w:color w:val="auto"/>
          <w:kern w:val="0"/>
          <w:sz w:val="32"/>
          <w:szCs w:val="32"/>
          <w:lang w:val="en-US" w:eastAsia="zh-CN" w:bidi="ar-SA"/>
        </w:rPr>
        <w:t>.民商事案件审理在时效内审结。</w:t>
      </w:r>
    </w:p>
    <w:p>
      <w:pPr>
        <w:widowControl/>
        <w:wordWrap w:val="0"/>
        <w:adjustRightInd w:val="0"/>
        <w:snapToGrid w:val="0"/>
        <w:spacing w:line="576" w:lineRule="exact"/>
        <w:ind w:firstLine="72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fldChar w:fldCharType="begin"/>
      </w:r>
      <w:r>
        <w:rPr>
          <w:rFonts w:hint="eastAsia" w:ascii="仿宋_GB2312" w:hAnsi="Calibri" w:eastAsia="仿宋_GB2312" w:cs="仿宋"/>
          <w:color w:val="auto"/>
          <w:kern w:val="0"/>
          <w:sz w:val="32"/>
          <w:szCs w:val="32"/>
          <w:lang w:val="en-US" w:eastAsia="zh-CN" w:bidi="ar-SA"/>
        </w:rPr>
        <w:instrText xml:space="preserve"> = 2 \* GB3 </w:instrText>
      </w:r>
      <w:r>
        <w:rPr>
          <w:rFonts w:hint="eastAsia" w:ascii="仿宋_GB2312" w:hAnsi="Calibri" w:eastAsia="仿宋_GB2312" w:cs="仿宋"/>
          <w:color w:val="auto"/>
          <w:kern w:val="0"/>
          <w:sz w:val="32"/>
          <w:szCs w:val="32"/>
          <w:lang w:val="en-US" w:eastAsia="zh-CN" w:bidi="ar-SA"/>
        </w:rPr>
        <w:fldChar w:fldCharType="separate"/>
      </w:r>
      <w:r>
        <w:rPr>
          <w:rFonts w:hint="eastAsia" w:ascii="仿宋_GB2312" w:hAnsi="Calibri" w:eastAsia="仿宋_GB2312" w:cs="仿宋"/>
          <w:color w:val="auto"/>
          <w:kern w:val="0"/>
          <w:sz w:val="32"/>
          <w:szCs w:val="32"/>
          <w:lang w:val="en-US" w:eastAsia="zh-CN" w:bidi="ar-SA"/>
        </w:rPr>
        <w:t>②</w:t>
      </w:r>
      <w:r>
        <w:rPr>
          <w:rFonts w:hint="eastAsia" w:ascii="仿宋_GB2312" w:hAnsi="Calibri" w:eastAsia="仿宋_GB2312" w:cs="仿宋"/>
          <w:color w:val="auto"/>
          <w:kern w:val="0"/>
          <w:sz w:val="32"/>
          <w:szCs w:val="32"/>
          <w:lang w:val="en-US" w:eastAsia="zh-CN" w:bidi="ar-SA"/>
        </w:rPr>
        <w:fldChar w:fldCharType="end"/>
      </w:r>
      <w:r>
        <w:rPr>
          <w:rFonts w:hint="eastAsia" w:ascii="仿宋_GB2312" w:hAnsi="Calibri" w:eastAsia="仿宋_GB2312" w:cs="仿宋"/>
          <w:color w:val="auto"/>
          <w:kern w:val="0"/>
          <w:sz w:val="32"/>
          <w:szCs w:val="32"/>
          <w:lang w:val="en-US" w:eastAsia="zh-CN" w:bidi="ar-SA"/>
        </w:rPr>
        <w:t>.刑事案件审理在时效内审结。</w:t>
      </w:r>
    </w:p>
    <w:p>
      <w:pPr>
        <w:widowControl/>
        <w:wordWrap w:val="0"/>
        <w:adjustRightInd w:val="0"/>
        <w:snapToGrid w:val="0"/>
        <w:spacing w:line="576" w:lineRule="exact"/>
        <w:ind w:firstLine="72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fldChar w:fldCharType="begin"/>
      </w:r>
      <w:r>
        <w:rPr>
          <w:rFonts w:hint="eastAsia" w:ascii="仿宋_GB2312" w:hAnsi="Calibri" w:eastAsia="仿宋_GB2312" w:cs="仿宋"/>
          <w:color w:val="auto"/>
          <w:kern w:val="0"/>
          <w:sz w:val="32"/>
          <w:szCs w:val="32"/>
          <w:lang w:val="en-US" w:eastAsia="zh-CN" w:bidi="ar-SA"/>
        </w:rPr>
        <w:instrText xml:space="preserve"> = 3 \* GB3 </w:instrText>
      </w:r>
      <w:r>
        <w:rPr>
          <w:rFonts w:hint="eastAsia" w:ascii="仿宋_GB2312" w:hAnsi="Calibri" w:eastAsia="仿宋_GB2312" w:cs="仿宋"/>
          <w:color w:val="auto"/>
          <w:kern w:val="0"/>
          <w:sz w:val="32"/>
          <w:szCs w:val="32"/>
          <w:lang w:val="en-US" w:eastAsia="zh-CN" w:bidi="ar-SA"/>
        </w:rPr>
        <w:fldChar w:fldCharType="separate"/>
      </w:r>
      <w:r>
        <w:rPr>
          <w:rFonts w:hint="eastAsia" w:ascii="仿宋_GB2312" w:hAnsi="Calibri" w:eastAsia="仿宋_GB2312" w:cs="仿宋"/>
          <w:color w:val="auto"/>
          <w:kern w:val="0"/>
          <w:sz w:val="32"/>
          <w:szCs w:val="32"/>
          <w:lang w:val="en-US" w:eastAsia="zh-CN" w:bidi="ar-SA"/>
        </w:rPr>
        <w:t>③</w:t>
      </w:r>
      <w:r>
        <w:rPr>
          <w:rFonts w:hint="eastAsia" w:ascii="仿宋_GB2312" w:hAnsi="Calibri" w:eastAsia="仿宋_GB2312" w:cs="仿宋"/>
          <w:color w:val="auto"/>
          <w:kern w:val="0"/>
          <w:sz w:val="32"/>
          <w:szCs w:val="32"/>
          <w:lang w:val="en-US" w:eastAsia="zh-CN" w:bidi="ar-SA"/>
        </w:rPr>
        <w:fldChar w:fldCharType="end"/>
      </w:r>
      <w:r>
        <w:rPr>
          <w:rFonts w:hint="eastAsia" w:ascii="仿宋_GB2312" w:hAnsi="Calibri" w:eastAsia="仿宋_GB2312" w:cs="仿宋"/>
          <w:color w:val="auto"/>
          <w:kern w:val="0"/>
          <w:sz w:val="32"/>
          <w:szCs w:val="32"/>
          <w:lang w:val="en-US" w:eastAsia="zh-CN" w:bidi="ar-SA"/>
        </w:rPr>
        <w:t>.执行案件审理在时效内审结。</w:t>
      </w:r>
    </w:p>
    <w:p>
      <w:pPr>
        <w:widowControl/>
        <w:wordWrap w:val="0"/>
        <w:adjustRightInd w:val="0"/>
        <w:snapToGrid w:val="0"/>
        <w:spacing w:line="576" w:lineRule="exact"/>
        <w:ind w:firstLine="72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（4）社会效益指标。</w:t>
      </w:r>
    </w:p>
    <w:p>
      <w:pPr>
        <w:widowControl/>
        <w:wordWrap w:val="0"/>
        <w:adjustRightInd w:val="0"/>
        <w:snapToGrid w:val="0"/>
        <w:spacing w:line="576" w:lineRule="exact"/>
        <w:ind w:firstLine="72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fldChar w:fldCharType="begin"/>
      </w:r>
      <w:r>
        <w:rPr>
          <w:rFonts w:hint="eastAsia" w:ascii="仿宋_GB2312" w:hAnsi="Calibri" w:eastAsia="仿宋_GB2312" w:cs="仿宋"/>
          <w:color w:val="auto"/>
          <w:kern w:val="0"/>
          <w:sz w:val="32"/>
          <w:szCs w:val="32"/>
          <w:lang w:val="en-US" w:eastAsia="zh-CN" w:bidi="ar-SA"/>
        </w:rPr>
        <w:instrText xml:space="preserve"> = 1 \* GB3 </w:instrText>
      </w:r>
      <w:r>
        <w:rPr>
          <w:rFonts w:hint="eastAsia" w:ascii="仿宋_GB2312" w:hAnsi="Calibri" w:eastAsia="仿宋_GB2312" w:cs="仿宋"/>
          <w:color w:val="auto"/>
          <w:kern w:val="0"/>
          <w:sz w:val="32"/>
          <w:szCs w:val="32"/>
          <w:lang w:val="en-US" w:eastAsia="zh-CN" w:bidi="ar-SA"/>
        </w:rPr>
        <w:fldChar w:fldCharType="separate"/>
      </w:r>
      <w:r>
        <w:rPr>
          <w:rFonts w:hint="eastAsia" w:ascii="仿宋_GB2312" w:hAnsi="Calibri" w:eastAsia="仿宋_GB2312" w:cs="仿宋"/>
          <w:color w:val="auto"/>
          <w:kern w:val="0"/>
          <w:sz w:val="32"/>
          <w:szCs w:val="32"/>
          <w:lang w:val="en-US" w:eastAsia="zh-CN" w:bidi="ar-SA"/>
        </w:rPr>
        <w:t>①</w:t>
      </w:r>
      <w:r>
        <w:rPr>
          <w:rFonts w:hint="eastAsia" w:ascii="仿宋_GB2312" w:hAnsi="Calibri" w:eastAsia="仿宋_GB2312" w:cs="仿宋"/>
          <w:color w:val="auto"/>
          <w:kern w:val="0"/>
          <w:sz w:val="32"/>
          <w:szCs w:val="32"/>
          <w:lang w:val="en-US" w:eastAsia="zh-CN" w:bidi="ar-SA"/>
        </w:rPr>
        <w:fldChar w:fldCharType="end"/>
      </w:r>
      <w:r>
        <w:rPr>
          <w:rFonts w:hint="eastAsia" w:ascii="仿宋_GB2312" w:hAnsi="Calibri" w:eastAsia="仿宋_GB2312" w:cs="仿宋"/>
          <w:color w:val="auto"/>
          <w:kern w:val="0"/>
          <w:sz w:val="32"/>
          <w:szCs w:val="32"/>
          <w:lang w:val="en-US" w:eastAsia="zh-CN" w:bidi="ar-SA"/>
        </w:rPr>
        <w:t>.民商事案件审理后在社会的满意度。</w:t>
      </w:r>
    </w:p>
    <w:p>
      <w:pPr>
        <w:widowControl/>
        <w:wordWrap w:val="0"/>
        <w:adjustRightInd w:val="0"/>
        <w:snapToGrid w:val="0"/>
        <w:spacing w:line="576" w:lineRule="exact"/>
        <w:ind w:firstLine="72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fldChar w:fldCharType="begin"/>
      </w:r>
      <w:r>
        <w:rPr>
          <w:rFonts w:hint="eastAsia" w:ascii="仿宋_GB2312" w:hAnsi="Calibri" w:eastAsia="仿宋_GB2312" w:cs="仿宋"/>
          <w:color w:val="auto"/>
          <w:kern w:val="0"/>
          <w:sz w:val="32"/>
          <w:szCs w:val="32"/>
          <w:lang w:val="en-US" w:eastAsia="zh-CN" w:bidi="ar-SA"/>
        </w:rPr>
        <w:instrText xml:space="preserve"> = 2 \* GB3 </w:instrText>
      </w:r>
      <w:r>
        <w:rPr>
          <w:rFonts w:hint="eastAsia" w:ascii="仿宋_GB2312" w:hAnsi="Calibri" w:eastAsia="仿宋_GB2312" w:cs="仿宋"/>
          <w:color w:val="auto"/>
          <w:kern w:val="0"/>
          <w:sz w:val="32"/>
          <w:szCs w:val="32"/>
          <w:lang w:val="en-US" w:eastAsia="zh-CN" w:bidi="ar-SA"/>
        </w:rPr>
        <w:fldChar w:fldCharType="separate"/>
      </w:r>
      <w:r>
        <w:rPr>
          <w:rFonts w:hint="eastAsia" w:ascii="仿宋_GB2312" w:hAnsi="Calibri" w:eastAsia="仿宋_GB2312" w:cs="仿宋"/>
          <w:color w:val="auto"/>
          <w:kern w:val="0"/>
          <w:sz w:val="32"/>
          <w:szCs w:val="32"/>
          <w:lang w:val="en-US" w:eastAsia="zh-CN" w:bidi="ar-SA"/>
        </w:rPr>
        <w:t>②</w:t>
      </w:r>
      <w:r>
        <w:rPr>
          <w:rFonts w:hint="eastAsia" w:ascii="仿宋_GB2312" w:hAnsi="Calibri" w:eastAsia="仿宋_GB2312" w:cs="仿宋"/>
          <w:color w:val="auto"/>
          <w:kern w:val="0"/>
          <w:sz w:val="32"/>
          <w:szCs w:val="32"/>
          <w:lang w:val="en-US" w:eastAsia="zh-CN" w:bidi="ar-SA"/>
        </w:rPr>
        <w:fldChar w:fldCharType="end"/>
      </w:r>
      <w:r>
        <w:rPr>
          <w:rFonts w:hint="eastAsia" w:ascii="仿宋_GB2312" w:hAnsi="Calibri" w:eastAsia="仿宋_GB2312" w:cs="仿宋"/>
          <w:color w:val="auto"/>
          <w:kern w:val="0"/>
          <w:sz w:val="32"/>
          <w:szCs w:val="32"/>
          <w:lang w:val="en-US" w:eastAsia="zh-CN" w:bidi="ar-SA"/>
        </w:rPr>
        <w:t>.刑事案件审理在社会的满意度。</w:t>
      </w:r>
    </w:p>
    <w:p>
      <w:pPr>
        <w:widowControl/>
        <w:wordWrap w:val="0"/>
        <w:adjustRightInd w:val="0"/>
        <w:snapToGrid w:val="0"/>
        <w:spacing w:line="576" w:lineRule="exact"/>
        <w:ind w:firstLine="72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fldChar w:fldCharType="begin"/>
      </w:r>
      <w:r>
        <w:rPr>
          <w:rFonts w:hint="eastAsia" w:ascii="仿宋_GB2312" w:hAnsi="Calibri" w:eastAsia="仿宋_GB2312" w:cs="仿宋"/>
          <w:color w:val="auto"/>
          <w:kern w:val="0"/>
          <w:sz w:val="32"/>
          <w:szCs w:val="32"/>
          <w:lang w:val="en-US" w:eastAsia="zh-CN" w:bidi="ar-SA"/>
        </w:rPr>
        <w:instrText xml:space="preserve"> = 3 \* GB3 </w:instrText>
      </w:r>
      <w:r>
        <w:rPr>
          <w:rFonts w:hint="eastAsia" w:ascii="仿宋_GB2312" w:hAnsi="Calibri" w:eastAsia="仿宋_GB2312" w:cs="仿宋"/>
          <w:color w:val="auto"/>
          <w:kern w:val="0"/>
          <w:sz w:val="32"/>
          <w:szCs w:val="32"/>
          <w:lang w:val="en-US" w:eastAsia="zh-CN" w:bidi="ar-SA"/>
        </w:rPr>
        <w:fldChar w:fldCharType="separate"/>
      </w:r>
      <w:r>
        <w:rPr>
          <w:rFonts w:hint="eastAsia" w:ascii="仿宋_GB2312" w:hAnsi="Calibri" w:eastAsia="仿宋_GB2312" w:cs="仿宋"/>
          <w:color w:val="auto"/>
          <w:kern w:val="0"/>
          <w:sz w:val="32"/>
          <w:szCs w:val="32"/>
          <w:lang w:val="en-US" w:eastAsia="zh-CN" w:bidi="ar-SA"/>
        </w:rPr>
        <w:t>③</w:t>
      </w:r>
      <w:r>
        <w:rPr>
          <w:rFonts w:hint="eastAsia" w:ascii="仿宋_GB2312" w:hAnsi="Calibri" w:eastAsia="仿宋_GB2312" w:cs="仿宋"/>
          <w:color w:val="auto"/>
          <w:kern w:val="0"/>
          <w:sz w:val="32"/>
          <w:szCs w:val="32"/>
          <w:lang w:val="en-US" w:eastAsia="zh-CN" w:bidi="ar-SA"/>
        </w:rPr>
        <w:fldChar w:fldCharType="end"/>
      </w:r>
      <w:r>
        <w:rPr>
          <w:rFonts w:hint="eastAsia" w:ascii="仿宋_GB2312" w:hAnsi="Calibri" w:eastAsia="仿宋_GB2312" w:cs="仿宋"/>
          <w:color w:val="auto"/>
          <w:kern w:val="0"/>
          <w:sz w:val="32"/>
          <w:szCs w:val="32"/>
          <w:lang w:val="en-US" w:eastAsia="zh-CN" w:bidi="ar-SA"/>
        </w:rPr>
        <w:t>.执行案件审理在社会的满意度</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2024年马尔康市人民法院紧紧围绕市委中心工作，勇于担当、主动作为，为马尔康市经济行稳致远提供有力司法保障。坚持以习近平法治思想武装头脑、指导实践、推动工作，以实际行动守护好法治生命线，凝心聚力维护社会公平正义的最后一道防线，加快推进依法治市进程。</w:t>
      </w:r>
    </w:p>
    <w:p>
      <w:pPr>
        <w:widowControl/>
        <w:wordWrap w:val="0"/>
        <w:adjustRightInd w:val="0"/>
        <w:snapToGrid w:val="0"/>
        <w:spacing w:line="576" w:lineRule="exact"/>
        <w:ind w:firstLine="72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（5）满意度指标。</w:t>
      </w:r>
    </w:p>
    <w:p>
      <w:pPr>
        <w:widowControl/>
        <w:wordWrap w:val="0"/>
        <w:adjustRightInd w:val="0"/>
        <w:snapToGrid w:val="0"/>
        <w:spacing w:line="576" w:lineRule="exact"/>
        <w:ind w:firstLine="72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fldChar w:fldCharType="begin"/>
      </w:r>
      <w:r>
        <w:rPr>
          <w:rFonts w:hint="eastAsia" w:ascii="仿宋_GB2312" w:hAnsi="Calibri" w:eastAsia="仿宋_GB2312" w:cs="仿宋"/>
          <w:color w:val="auto"/>
          <w:kern w:val="0"/>
          <w:sz w:val="32"/>
          <w:szCs w:val="32"/>
          <w:lang w:val="en-US" w:eastAsia="zh-CN" w:bidi="ar-SA"/>
        </w:rPr>
        <w:instrText xml:space="preserve"> = 1 \* GB3 </w:instrText>
      </w:r>
      <w:r>
        <w:rPr>
          <w:rFonts w:hint="eastAsia" w:ascii="仿宋_GB2312" w:hAnsi="Calibri" w:eastAsia="仿宋_GB2312" w:cs="仿宋"/>
          <w:color w:val="auto"/>
          <w:kern w:val="0"/>
          <w:sz w:val="32"/>
          <w:szCs w:val="32"/>
          <w:lang w:val="en-US" w:eastAsia="zh-CN" w:bidi="ar-SA"/>
        </w:rPr>
        <w:fldChar w:fldCharType="separate"/>
      </w:r>
      <w:r>
        <w:rPr>
          <w:rFonts w:hint="eastAsia" w:ascii="仿宋_GB2312" w:hAnsi="Calibri" w:eastAsia="仿宋_GB2312" w:cs="仿宋"/>
          <w:color w:val="auto"/>
          <w:kern w:val="0"/>
          <w:sz w:val="32"/>
          <w:szCs w:val="32"/>
          <w:lang w:val="en-US" w:eastAsia="zh-CN" w:bidi="ar-SA"/>
        </w:rPr>
        <w:t>①</w:t>
      </w:r>
      <w:r>
        <w:rPr>
          <w:rFonts w:hint="eastAsia" w:ascii="仿宋_GB2312" w:hAnsi="Calibri" w:eastAsia="仿宋_GB2312" w:cs="仿宋"/>
          <w:color w:val="auto"/>
          <w:kern w:val="0"/>
          <w:sz w:val="32"/>
          <w:szCs w:val="32"/>
          <w:lang w:val="en-US" w:eastAsia="zh-CN" w:bidi="ar-SA"/>
        </w:rPr>
        <w:fldChar w:fldCharType="end"/>
      </w:r>
      <w:r>
        <w:rPr>
          <w:rFonts w:hint="eastAsia" w:ascii="仿宋_GB2312" w:hAnsi="Calibri" w:eastAsia="仿宋_GB2312" w:cs="仿宋"/>
          <w:color w:val="auto"/>
          <w:kern w:val="0"/>
          <w:sz w:val="32"/>
          <w:szCs w:val="32"/>
          <w:lang w:val="en-US" w:eastAsia="zh-CN" w:bidi="ar-SA"/>
        </w:rPr>
        <w:t>.民商事案件审理案件双方及社会满意度。</w:t>
      </w:r>
    </w:p>
    <w:p>
      <w:pPr>
        <w:widowControl/>
        <w:wordWrap w:val="0"/>
        <w:adjustRightInd w:val="0"/>
        <w:snapToGrid w:val="0"/>
        <w:spacing w:line="576" w:lineRule="exact"/>
        <w:ind w:firstLine="72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fldChar w:fldCharType="begin"/>
      </w:r>
      <w:r>
        <w:rPr>
          <w:rFonts w:hint="eastAsia" w:ascii="仿宋_GB2312" w:hAnsi="Calibri" w:eastAsia="仿宋_GB2312" w:cs="仿宋"/>
          <w:color w:val="auto"/>
          <w:kern w:val="0"/>
          <w:sz w:val="32"/>
          <w:szCs w:val="32"/>
          <w:lang w:val="en-US" w:eastAsia="zh-CN" w:bidi="ar-SA"/>
        </w:rPr>
        <w:instrText xml:space="preserve"> = 2 \* GB3 </w:instrText>
      </w:r>
      <w:r>
        <w:rPr>
          <w:rFonts w:hint="eastAsia" w:ascii="仿宋_GB2312" w:hAnsi="Calibri" w:eastAsia="仿宋_GB2312" w:cs="仿宋"/>
          <w:color w:val="auto"/>
          <w:kern w:val="0"/>
          <w:sz w:val="32"/>
          <w:szCs w:val="32"/>
          <w:lang w:val="en-US" w:eastAsia="zh-CN" w:bidi="ar-SA"/>
        </w:rPr>
        <w:fldChar w:fldCharType="separate"/>
      </w:r>
      <w:r>
        <w:rPr>
          <w:rFonts w:hint="eastAsia" w:ascii="仿宋_GB2312" w:hAnsi="Calibri" w:eastAsia="仿宋_GB2312" w:cs="仿宋"/>
          <w:color w:val="auto"/>
          <w:kern w:val="0"/>
          <w:sz w:val="32"/>
          <w:szCs w:val="32"/>
          <w:lang w:val="en-US" w:eastAsia="zh-CN" w:bidi="ar-SA"/>
        </w:rPr>
        <w:t>②</w:t>
      </w:r>
      <w:r>
        <w:rPr>
          <w:rFonts w:hint="eastAsia" w:ascii="仿宋_GB2312" w:hAnsi="Calibri" w:eastAsia="仿宋_GB2312" w:cs="仿宋"/>
          <w:color w:val="auto"/>
          <w:kern w:val="0"/>
          <w:sz w:val="32"/>
          <w:szCs w:val="32"/>
          <w:lang w:val="en-US" w:eastAsia="zh-CN" w:bidi="ar-SA"/>
        </w:rPr>
        <w:fldChar w:fldCharType="end"/>
      </w:r>
      <w:r>
        <w:rPr>
          <w:rFonts w:hint="eastAsia" w:ascii="仿宋_GB2312" w:hAnsi="Calibri" w:eastAsia="仿宋_GB2312" w:cs="仿宋"/>
          <w:color w:val="auto"/>
          <w:kern w:val="0"/>
          <w:sz w:val="32"/>
          <w:szCs w:val="32"/>
          <w:lang w:val="en-US" w:eastAsia="zh-CN" w:bidi="ar-SA"/>
        </w:rPr>
        <w:t>.刑事案件审理双方及社会满意度。</w:t>
      </w:r>
    </w:p>
    <w:p>
      <w:pPr>
        <w:widowControl/>
        <w:wordWrap w:val="0"/>
        <w:adjustRightInd w:val="0"/>
        <w:snapToGrid w:val="0"/>
        <w:spacing w:line="576" w:lineRule="exact"/>
        <w:ind w:firstLine="72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fldChar w:fldCharType="begin"/>
      </w:r>
      <w:r>
        <w:rPr>
          <w:rFonts w:hint="eastAsia" w:ascii="仿宋_GB2312" w:hAnsi="Calibri" w:eastAsia="仿宋_GB2312" w:cs="仿宋"/>
          <w:color w:val="auto"/>
          <w:kern w:val="0"/>
          <w:sz w:val="32"/>
          <w:szCs w:val="32"/>
          <w:lang w:val="en-US" w:eastAsia="zh-CN" w:bidi="ar-SA"/>
        </w:rPr>
        <w:instrText xml:space="preserve"> = 3 \* GB3 </w:instrText>
      </w:r>
      <w:r>
        <w:rPr>
          <w:rFonts w:hint="eastAsia" w:ascii="仿宋_GB2312" w:hAnsi="Calibri" w:eastAsia="仿宋_GB2312" w:cs="仿宋"/>
          <w:color w:val="auto"/>
          <w:kern w:val="0"/>
          <w:sz w:val="32"/>
          <w:szCs w:val="32"/>
          <w:lang w:val="en-US" w:eastAsia="zh-CN" w:bidi="ar-SA"/>
        </w:rPr>
        <w:fldChar w:fldCharType="separate"/>
      </w:r>
      <w:r>
        <w:rPr>
          <w:rFonts w:hint="eastAsia" w:ascii="仿宋_GB2312" w:hAnsi="Calibri" w:eastAsia="仿宋_GB2312" w:cs="仿宋"/>
          <w:color w:val="auto"/>
          <w:kern w:val="0"/>
          <w:sz w:val="32"/>
          <w:szCs w:val="32"/>
          <w:lang w:val="en-US" w:eastAsia="zh-CN" w:bidi="ar-SA"/>
        </w:rPr>
        <w:t>③</w:t>
      </w:r>
      <w:r>
        <w:rPr>
          <w:rFonts w:hint="eastAsia" w:ascii="仿宋_GB2312" w:hAnsi="Calibri" w:eastAsia="仿宋_GB2312" w:cs="仿宋"/>
          <w:color w:val="auto"/>
          <w:kern w:val="0"/>
          <w:sz w:val="32"/>
          <w:szCs w:val="32"/>
          <w:lang w:val="en-US" w:eastAsia="zh-CN" w:bidi="ar-SA"/>
        </w:rPr>
        <w:fldChar w:fldCharType="end"/>
      </w:r>
      <w:r>
        <w:rPr>
          <w:rFonts w:hint="eastAsia" w:ascii="仿宋_GB2312" w:hAnsi="Calibri" w:eastAsia="仿宋_GB2312" w:cs="仿宋"/>
          <w:color w:val="auto"/>
          <w:kern w:val="0"/>
          <w:sz w:val="32"/>
          <w:szCs w:val="32"/>
          <w:lang w:val="en-US" w:eastAsia="zh-CN" w:bidi="ar-SA"/>
        </w:rPr>
        <w:t>.执行案件审理双方及社会满意度。</w:t>
      </w:r>
    </w:p>
    <w:p>
      <w:pPr>
        <w:spacing w:line="600" w:lineRule="exact"/>
        <w:ind w:firstLine="643" w:firstLineChars="200"/>
        <w:outlineLvl w:val="2"/>
        <w:rPr>
          <w:rFonts w:hint="eastAsia" w:ascii="Times New Roman" w:hAnsi="Times New Roman" w:eastAsia="楷体_GB2312" w:cs="楷体_GB2312"/>
          <w:b/>
          <w:sz w:val="32"/>
          <w:szCs w:val="32"/>
          <w:lang w:val="zh-CN" w:eastAsia="zh-CN"/>
        </w:rPr>
      </w:pPr>
      <w:r>
        <w:rPr>
          <w:rFonts w:hint="eastAsia" w:ascii="Times New Roman" w:hAnsi="Times New Roman" w:eastAsia="楷体_GB2312" w:cs="楷体_GB2312"/>
          <w:b/>
          <w:sz w:val="32"/>
          <w:szCs w:val="32"/>
          <w:lang w:val="zh-CN" w:eastAsia="zh-CN"/>
        </w:rPr>
        <w:t>（四）结果应用情况。</w:t>
      </w: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2024年我院共实现政法专项转移支付资金支出636.81万元，主要用于办案装备购置及办案业务经费支出。2024年共受理各类案件603件，审（执）结576件，结案率95.52%。其中，刑事案件57件，审结55件，结案率为96.49%；民商事案件387件，审结375件，结案率96.89%；其他案件2件，审结2件，结案率100%；执行案件149件，执结136件，执结率91.28%;执行到位金额0.49亿元，让“纸上权益”变成“真金白银”；行政争议案件10件，审结10件，结案率为100%。</w:t>
      </w:r>
    </w:p>
    <w:p>
      <w:pPr>
        <w:spacing w:line="600" w:lineRule="exact"/>
        <w:ind w:firstLine="643" w:firstLineChars="200"/>
        <w:outlineLvl w:val="2"/>
        <w:rPr>
          <w:rFonts w:hint="eastAsia" w:ascii="Times New Roman" w:hAnsi="Times New Roman" w:eastAsia="楷体_GB2312" w:cs="楷体_GB2312"/>
          <w:b/>
          <w:sz w:val="32"/>
          <w:szCs w:val="32"/>
          <w:lang w:val="zh-CN" w:eastAsia="zh-CN"/>
        </w:rPr>
      </w:pPr>
      <w:r>
        <w:rPr>
          <w:rFonts w:hint="eastAsia" w:ascii="Times New Roman" w:hAnsi="Times New Roman" w:eastAsia="楷体_GB2312" w:cs="楷体_GB2312"/>
          <w:b/>
          <w:sz w:val="32"/>
          <w:szCs w:val="32"/>
          <w:lang w:val="zh-CN" w:eastAsia="zh-CN"/>
        </w:rPr>
        <w:t>（三）自评质量</w:t>
      </w:r>
    </w:p>
    <w:p>
      <w:pPr>
        <w:widowControl/>
        <w:adjustRightInd w:val="0"/>
        <w:snapToGrid w:val="0"/>
        <w:spacing w:line="580" w:lineRule="exact"/>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 xml:space="preserve">    2024年我院充分发挥审判职能，推进社会矛盾化解；及时审理各类民商事纠纷案件；积极稳妥审理好行政案件；加强执行工作，确保权利人的合法权利得到实现；加强立案、信访接待工作；加强审判质量评查与管理，提升审判质量。</w:t>
      </w:r>
    </w:p>
    <w:p>
      <w:pPr>
        <w:spacing w:line="576"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1.产出指标完成情况分析。</w:t>
      </w:r>
    </w:p>
    <w:p>
      <w:pPr>
        <w:spacing w:line="576"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（1）数量指标。</w:t>
      </w: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2024年共受理各类案件603件，审（执）结576件。其中，刑事案件57件，审结55件；民商事案件387件，审结375件；执行案件149件，执结136件，其他案件2件，审结2件；行政案件10件，审结10件。</w:t>
      </w:r>
    </w:p>
    <w:p>
      <w:pPr>
        <w:numPr>
          <w:ilvl w:val="0"/>
          <w:numId w:val="3"/>
        </w:numPr>
        <w:spacing w:line="576"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质量指标</w:t>
      </w:r>
    </w:p>
    <w:p>
      <w:pPr>
        <w:spacing w:line="576"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2024年我院共实现政法专项转移支付资金支出636.81万元，主要用于办案装备购置及办案业务经费支出。2024年共受理各类案件603件，审（执）结576件，结案率95.52%。其中，刑事案件57件，审结55件，结案率为96.49%；民商事案件387件，审结375件，结案率96.89%；其他案件2件，审结2件，结案率100%；执行案件149件，执结136件，执结率91.28%;执行到位金额0.49亿元，让“纸上权益”变成“真金白银”；行政争议案件10件，审结10件，结案率为100%。</w:t>
      </w:r>
    </w:p>
    <w:p>
      <w:pPr>
        <w:spacing w:line="576"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（3）时效指标</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2024年大部分案件均在审理时限2024.12.31前完成，当年案件平均审理天数为33.04天。案件办结率为98.27%。</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（4）社会效益指标</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2024年马尔康市人民法院，紧紧围绕市委中心工作，勇于担当、主动作为，为马尔康市经济行稳致远提供有力司法保障。坚持以习近平法治思想武装头脑、指导实践、推动工作，以实际行动守护好法治生命线，凝心聚力维护社会公平正义的最后一道防线，加快推进依法治市进程。</w:t>
      </w:r>
    </w:p>
    <w:p>
      <w:pPr>
        <w:spacing w:line="576"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（5）满意度指标</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依法严惩严重危害社会治安等人民群众反映强烈的犯罪，切实维护国家政治安全和社会大局稳定。保持扫黑除恶专项斗争高压态势，严格把好案件事实关、证据关、程序关和法律适用关，确保案件经得起法律和历史的检验。</w:t>
      </w:r>
    </w:p>
    <w:p>
      <w:pPr>
        <w:spacing w:line="600" w:lineRule="exact"/>
        <w:ind w:left="630"/>
        <w:outlineLvl w:val="1"/>
        <w:rPr>
          <w:rStyle w:val="29"/>
          <w:rFonts w:hint="eastAsia" w:eastAsia="黑体"/>
          <w:b w:val="0"/>
          <w:lang w:val="en-US" w:eastAsia="zh-CN"/>
        </w:rPr>
      </w:pPr>
      <w:r>
        <w:rPr>
          <w:rStyle w:val="29"/>
          <w:rFonts w:hint="eastAsia" w:eastAsia="黑体"/>
          <w:b w:val="0"/>
          <w:lang w:val="en-US" w:eastAsia="zh-CN"/>
        </w:rPr>
        <w:t>四、评价结论及建议</w:t>
      </w:r>
    </w:p>
    <w:p>
      <w:pPr>
        <w:spacing w:line="600" w:lineRule="exact"/>
        <w:ind w:firstLine="643" w:firstLineChars="200"/>
        <w:outlineLvl w:val="2"/>
        <w:rPr>
          <w:rFonts w:hint="eastAsia" w:ascii="Times New Roman" w:hAnsi="Times New Roman" w:eastAsia="楷体_GB2312" w:cs="楷体_GB2312"/>
          <w:b/>
          <w:sz w:val="32"/>
          <w:szCs w:val="32"/>
          <w:lang w:val="zh-CN" w:eastAsia="zh-CN"/>
        </w:rPr>
      </w:pPr>
      <w:r>
        <w:rPr>
          <w:rFonts w:hint="eastAsia" w:ascii="Times New Roman" w:hAnsi="Times New Roman" w:eastAsia="楷体_GB2312" w:cs="楷体_GB2312"/>
          <w:b/>
          <w:sz w:val="32"/>
          <w:szCs w:val="32"/>
          <w:lang w:val="zh-CN" w:eastAsia="zh-CN"/>
        </w:rPr>
        <w:t>（一）评价结论。</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近年来在马尔康市人民法院不断加强和规范财务管理，建立健全中央政法转移支付资金管理制度，有效提高资金使用效益，切实保障依法履行审判职能并顺利完成各项工作任务。</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1.全力维护社会稳定，严厉打击犯罪，维护社会安全。依法严惩辖区内高发频发的盗窃罪、故意伤害罪等侵犯公民人身财产安全犯罪，维护社会治安持续平稳全力化解社会矛盾。</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积极关注民生问题，及时审理婚姻家庭纠纷案件，保障妇女儿童的合法权益，促进家庭和谐稳定；及时审理机动车交通事故责任纠纷，充分保护受害人权益；及时审理劳务合同纠纷，依法确认农民工工资，构建和谐劳动关系全力助推依法行政。</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3.坚决推行行政案件立案双审制，及时对行政相对人释明法律规定、明确诉讼请求，保障行政相对人权益。</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4.是全力提升执行水平，以扎实推进“切实解决执行难”为契机，提高整体执行水平。</w:t>
      </w:r>
    </w:p>
    <w:p>
      <w:pPr>
        <w:spacing w:line="600" w:lineRule="exact"/>
        <w:ind w:firstLine="643" w:firstLineChars="200"/>
        <w:outlineLvl w:val="2"/>
        <w:rPr>
          <w:rFonts w:hint="eastAsia" w:ascii="Times New Roman" w:hAnsi="Times New Roman" w:eastAsia="楷体_GB2312" w:cs="楷体_GB2312"/>
          <w:b/>
          <w:sz w:val="32"/>
          <w:szCs w:val="32"/>
          <w:lang w:val="zh-CN" w:eastAsia="zh-CN"/>
        </w:rPr>
      </w:pPr>
      <w:r>
        <w:rPr>
          <w:rFonts w:hint="eastAsia" w:ascii="Times New Roman" w:hAnsi="Times New Roman" w:eastAsia="楷体_GB2312" w:cs="楷体_GB2312"/>
          <w:b/>
          <w:sz w:val="32"/>
          <w:szCs w:val="32"/>
          <w:lang w:val="zh-CN" w:eastAsia="zh-CN"/>
        </w:rPr>
        <w:t>（二）存在问题。</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1.内部控制制度建设还需进一步完善</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根据财政规定及上级法院工作部署，今年来，各类新要求新标准在不断推进，我院内部控制制度也应随之调整并完善，不断细化健全管理措施，落实职能职责。</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2.管理制度执行力还需进一步提升</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根据工作部署，我院不断健全完善内部控制制度，应加大制度执行力，确保各项规定及要求得到认真贯彻和执行。</w:t>
      </w:r>
    </w:p>
    <w:p>
      <w:pPr>
        <w:spacing w:line="600" w:lineRule="exact"/>
        <w:ind w:firstLine="643" w:firstLineChars="200"/>
        <w:outlineLvl w:val="2"/>
        <w:rPr>
          <w:rFonts w:hint="eastAsia" w:ascii="Times New Roman" w:hAnsi="Times New Roman" w:eastAsia="楷体_GB2312" w:cs="楷体_GB2312"/>
          <w:b/>
          <w:sz w:val="32"/>
          <w:szCs w:val="32"/>
          <w:lang w:val="zh-CN" w:eastAsia="zh-CN"/>
        </w:rPr>
      </w:pPr>
      <w:r>
        <w:rPr>
          <w:rFonts w:hint="eastAsia" w:ascii="Times New Roman" w:hAnsi="Times New Roman" w:eastAsia="楷体_GB2312" w:cs="楷体_GB2312"/>
          <w:b/>
          <w:sz w:val="32"/>
          <w:szCs w:val="32"/>
          <w:lang w:val="zh-CN" w:eastAsia="zh-CN"/>
        </w:rPr>
        <w:t>（三）改进建议。</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1、加强组织领导，增强预算编制的准确性，提高对预算编制与执行的认识，让各部门了解绩效工作，为绩效评价工作开展创造好的条件。</w:t>
      </w:r>
    </w:p>
    <w:p>
      <w:pPr>
        <w:wordWrap w:val="0"/>
        <w:spacing w:line="576" w:lineRule="exact"/>
        <w:ind w:firstLine="640" w:firstLineChars="200"/>
        <w:contextualSpacing/>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2、建立健全内部控制制度，规范各类工作程序，落实责任人职能职责，全面推进我院工作规范化。</w:t>
      </w:r>
    </w:p>
    <w:p>
      <w:pPr>
        <w:spacing w:line="578" w:lineRule="exact"/>
        <w:rPr>
          <w:rFonts w:eastAsia="仿宋_GB2312" w:cs="仿宋_GB2312"/>
          <w:kern w:val="0"/>
          <w:sz w:val="32"/>
          <w:szCs w:val="32"/>
        </w:rPr>
      </w:pPr>
    </w:p>
    <w:p>
      <w:pPr>
        <w:spacing w:line="578" w:lineRule="exact"/>
        <w:ind w:firstLine="640"/>
        <w:rPr>
          <w:rFonts w:eastAsia="仿宋_GB2312" w:cs="仿宋_GB2312"/>
          <w:kern w:val="0"/>
          <w:sz w:val="32"/>
          <w:szCs w:val="32"/>
        </w:rPr>
      </w:pPr>
      <w:bookmarkStart w:id="45" w:name="_Toc15396618"/>
      <w:r>
        <w:rPr>
          <w:rFonts w:hint="eastAsia" w:eastAsia="仿宋_GB2312" w:cs="仿宋_GB2312"/>
          <w:kern w:val="0"/>
          <w:sz w:val="32"/>
          <w:szCs w:val="32"/>
        </w:rPr>
        <w:br w:type="page"/>
      </w:r>
    </w:p>
    <w:p>
      <w:pPr>
        <w:widowControl/>
        <w:jc w:val="center"/>
        <w:rPr>
          <w:rFonts w:eastAsia="仿宋"/>
        </w:rPr>
      </w:pPr>
      <w:r>
        <w:rPr>
          <w:rFonts w:hint="eastAsia" w:eastAsia="黑体"/>
          <w:sz w:val="44"/>
          <w:szCs w:val="44"/>
        </w:rPr>
        <w:t>第</w:t>
      </w:r>
      <w:r>
        <w:rPr>
          <w:rStyle w:val="28"/>
          <w:rFonts w:hint="eastAsia" w:eastAsia="黑体"/>
          <w:b w:val="0"/>
        </w:rPr>
        <w:t>五部分 附表</w:t>
      </w:r>
      <w:bookmarkEnd w:id="42"/>
      <w:bookmarkEnd w:id="45"/>
      <w:bookmarkStart w:id="46" w:name="_Toc15396619"/>
    </w:p>
    <w:p>
      <w:pPr>
        <w:pStyle w:val="14"/>
        <w:adjustRightInd w:val="0"/>
        <w:snapToGrid w:val="0"/>
        <w:spacing w:line="560" w:lineRule="exact"/>
        <w:jc w:val="left"/>
        <w:rPr>
          <w:rFonts w:eastAsia="仿宋_GB2312" w:cs="仿宋_GB2312"/>
          <w:sz w:val="32"/>
          <w:szCs w:val="32"/>
        </w:rPr>
      </w:pPr>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6"/>
    </w:p>
    <w:p>
      <w:pPr>
        <w:pStyle w:val="14"/>
        <w:adjustRightInd w:val="0"/>
        <w:snapToGrid w:val="0"/>
        <w:spacing w:line="560" w:lineRule="exact"/>
        <w:jc w:val="left"/>
        <w:rPr>
          <w:rFonts w:eastAsia="仿宋_GB2312" w:cs="仿宋_GB2312"/>
          <w:sz w:val="32"/>
          <w:szCs w:val="32"/>
        </w:rPr>
      </w:pPr>
      <w:bookmarkStart w:id="47" w:name="_Toc15396620"/>
      <w:r>
        <w:rPr>
          <w:rFonts w:hint="eastAsia" w:eastAsia="仿宋_GB2312" w:cs="仿宋_GB2312"/>
          <w:sz w:val="32"/>
          <w:szCs w:val="32"/>
        </w:rPr>
        <w:t>二、收入决算表</w:t>
      </w:r>
      <w:bookmarkEnd w:id="47"/>
    </w:p>
    <w:p>
      <w:pPr>
        <w:pStyle w:val="14"/>
        <w:adjustRightInd w:val="0"/>
        <w:snapToGrid w:val="0"/>
        <w:spacing w:line="560" w:lineRule="exact"/>
        <w:jc w:val="left"/>
        <w:rPr>
          <w:rFonts w:eastAsia="仿宋_GB2312" w:cs="仿宋_GB2312"/>
          <w:sz w:val="32"/>
          <w:szCs w:val="32"/>
        </w:rPr>
      </w:pPr>
      <w:bookmarkStart w:id="48" w:name="_Toc15396621"/>
      <w:r>
        <w:rPr>
          <w:rFonts w:hint="eastAsia" w:eastAsia="仿宋_GB2312" w:cs="仿宋_GB2312"/>
          <w:sz w:val="32"/>
          <w:szCs w:val="32"/>
        </w:rPr>
        <w:t>三、支出决算表</w:t>
      </w:r>
      <w:bookmarkEnd w:id="48"/>
    </w:p>
    <w:p>
      <w:pPr>
        <w:pStyle w:val="14"/>
        <w:adjustRightInd w:val="0"/>
        <w:snapToGrid w:val="0"/>
        <w:spacing w:line="560" w:lineRule="exact"/>
        <w:jc w:val="left"/>
        <w:rPr>
          <w:rFonts w:eastAsia="仿宋_GB2312" w:cs="仿宋_GB2312"/>
          <w:sz w:val="32"/>
          <w:szCs w:val="32"/>
        </w:rPr>
      </w:pPr>
      <w:bookmarkStart w:id="49" w:name="_Toc15396622"/>
      <w:r>
        <w:rPr>
          <w:rFonts w:hint="eastAsia" w:eastAsia="仿宋_GB2312" w:cs="仿宋_GB2312"/>
          <w:sz w:val="32"/>
          <w:szCs w:val="32"/>
        </w:rPr>
        <w:t>四、财政拨款收入支出决算总表</w:t>
      </w:r>
      <w:bookmarkEnd w:id="49"/>
    </w:p>
    <w:p>
      <w:pPr>
        <w:pStyle w:val="14"/>
        <w:adjustRightInd w:val="0"/>
        <w:snapToGrid w:val="0"/>
        <w:spacing w:line="560" w:lineRule="exact"/>
        <w:jc w:val="left"/>
        <w:rPr>
          <w:rFonts w:eastAsia="仿宋_GB2312" w:cs="仿宋_GB2312"/>
          <w:sz w:val="32"/>
          <w:szCs w:val="32"/>
        </w:rPr>
      </w:pPr>
      <w:bookmarkStart w:id="50" w:name="_Toc15396623"/>
      <w:r>
        <w:rPr>
          <w:rFonts w:hint="eastAsia" w:eastAsia="仿宋_GB2312" w:cs="仿宋_GB2312"/>
          <w:sz w:val="32"/>
          <w:szCs w:val="32"/>
        </w:rPr>
        <w:t>五、财政拨款支出决算明细表</w:t>
      </w:r>
      <w:bookmarkEnd w:id="50"/>
      <w:bookmarkStart w:id="51" w:name="_Toc15396624"/>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1"/>
    </w:p>
    <w:p>
      <w:pPr>
        <w:pStyle w:val="14"/>
        <w:adjustRightInd w:val="0"/>
        <w:snapToGrid w:val="0"/>
        <w:spacing w:line="560" w:lineRule="exact"/>
        <w:jc w:val="left"/>
        <w:rPr>
          <w:rFonts w:eastAsia="仿宋_GB2312" w:cs="仿宋_GB2312"/>
          <w:sz w:val="32"/>
          <w:szCs w:val="32"/>
        </w:rPr>
      </w:pPr>
      <w:bookmarkStart w:id="52" w:name="_Toc15396625"/>
      <w:r>
        <w:rPr>
          <w:rFonts w:hint="eastAsia" w:eastAsia="仿宋_GB2312" w:cs="仿宋_GB2312"/>
          <w:sz w:val="32"/>
          <w:szCs w:val="32"/>
        </w:rPr>
        <w:t>七、一般公共预算财政拨款支出决算明细表</w:t>
      </w:r>
      <w:bookmarkEnd w:id="52"/>
    </w:p>
    <w:p>
      <w:pPr>
        <w:pStyle w:val="14"/>
        <w:adjustRightInd w:val="0"/>
        <w:snapToGrid w:val="0"/>
        <w:spacing w:line="560" w:lineRule="exact"/>
        <w:jc w:val="left"/>
        <w:rPr>
          <w:rFonts w:eastAsia="仿宋_GB2312" w:cs="仿宋_GB2312"/>
          <w:sz w:val="32"/>
          <w:szCs w:val="32"/>
        </w:rPr>
      </w:pPr>
      <w:bookmarkStart w:id="53" w:name="_Toc15396626"/>
      <w:r>
        <w:rPr>
          <w:rFonts w:hint="eastAsia" w:eastAsia="仿宋_GB2312" w:cs="仿宋_GB2312"/>
          <w:sz w:val="32"/>
          <w:szCs w:val="32"/>
        </w:rPr>
        <w:t>八、一般公共预算财政拨款基本支出决算表</w:t>
      </w:r>
      <w:bookmarkEnd w:id="53"/>
    </w:p>
    <w:p>
      <w:pPr>
        <w:pStyle w:val="14"/>
        <w:adjustRightInd w:val="0"/>
        <w:snapToGrid w:val="0"/>
        <w:spacing w:line="560" w:lineRule="exact"/>
        <w:jc w:val="left"/>
        <w:rPr>
          <w:rFonts w:eastAsia="仿宋_GB2312" w:cs="仿宋_GB2312"/>
          <w:sz w:val="32"/>
          <w:szCs w:val="32"/>
        </w:rPr>
      </w:pPr>
      <w:bookmarkStart w:id="54" w:name="_Toc15396627"/>
      <w:r>
        <w:rPr>
          <w:rFonts w:hint="eastAsia" w:eastAsia="仿宋_GB2312" w:cs="仿宋_GB2312"/>
          <w:sz w:val="32"/>
          <w:szCs w:val="32"/>
        </w:rPr>
        <w:t>九、一般公共预算财政拨款项目支出决算表</w:t>
      </w:r>
      <w:bookmarkEnd w:id="54"/>
    </w:p>
    <w:p>
      <w:pPr>
        <w:pStyle w:val="14"/>
        <w:adjustRightInd w:val="0"/>
        <w:snapToGrid w:val="0"/>
        <w:spacing w:line="560" w:lineRule="exact"/>
        <w:jc w:val="left"/>
        <w:rPr>
          <w:rFonts w:eastAsia="仿宋_GB2312" w:cs="仿宋_GB2312"/>
          <w:sz w:val="32"/>
          <w:szCs w:val="32"/>
        </w:rPr>
      </w:pPr>
      <w:bookmarkStart w:id="55" w:name="_Toc15396628"/>
      <w:r>
        <w:rPr>
          <w:rFonts w:hint="eastAsia" w:eastAsia="仿宋_GB2312" w:cs="仿宋_GB2312"/>
          <w:sz w:val="32"/>
          <w:szCs w:val="32"/>
        </w:rPr>
        <w:t>十、</w:t>
      </w:r>
      <w:bookmarkEnd w:id="55"/>
      <w:r>
        <w:rPr>
          <w:rFonts w:hint="eastAsia" w:eastAsia="仿宋_GB2312" w:cs="仿宋_GB2312"/>
          <w:sz w:val="32"/>
          <w:szCs w:val="32"/>
        </w:rPr>
        <w:t>政府性基金预算财政拨款收入支出决算表</w:t>
      </w:r>
    </w:p>
    <w:p>
      <w:pPr>
        <w:pStyle w:val="14"/>
        <w:adjustRightInd w:val="0"/>
        <w:snapToGrid w:val="0"/>
        <w:spacing w:line="560" w:lineRule="exact"/>
        <w:jc w:val="left"/>
        <w:rPr>
          <w:rFonts w:eastAsia="仿宋_GB2312" w:cs="仿宋_GB2312"/>
          <w:sz w:val="32"/>
          <w:szCs w:val="32"/>
        </w:rPr>
      </w:pPr>
      <w:bookmarkStart w:id="56" w:name="_Toc15396629"/>
      <w:r>
        <w:rPr>
          <w:rFonts w:hint="eastAsia" w:eastAsia="仿宋_GB2312" w:cs="仿宋_GB2312"/>
          <w:sz w:val="32"/>
          <w:szCs w:val="32"/>
        </w:rPr>
        <w:t>十一、</w:t>
      </w:r>
      <w:bookmarkEnd w:id="56"/>
      <w:r>
        <w:rPr>
          <w:rFonts w:hint="eastAsia" w:eastAsia="仿宋_GB2312" w:cs="仿宋_GB2312"/>
          <w:sz w:val="32"/>
          <w:szCs w:val="32"/>
        </w:rPr>
        <w:t>国有资本经营预算财政拨款收入支出决算表</w:t>
      </w:r>
    </w:p>
    <w:p>
      <w:pPr>
        <w:pStyle w:val="14"/>
        <w:adjustRightInd w:val="0"/>
        <w:snapToGrid w:val="0"/>
        <w:spacing w:line="560" w:lineRule="exact"/>
        <w:jc w:val="left"/>
        <w:rPr>
          <w:rFonts w:eastAsia="仿宋_GB2312" w:cs="仿宋_GB2312"/>
          <w:sz w:val="32"/>
          <w:szCs w:val="32"/>
        </w:rPr>
      </w:pPr>
      <w:bookmarkStart w:id="57" w:name="_Toc15396630"/>
      <w:r>
        <w:rPr>
          <w:rFonts w:hint="eastAsia" w:eastAsia="仿宋_GB2312" w:cs="仿宋_GB2312"/>
          <w:sz w:val="32"/>
          <w:szCs w:val="32"/>
        </w:rPr>
        <w:t>十二、</w:t>
      </w:r>
      <w:bookmarkEnd w:id="57"/>
      <w:r>
        <w:rPr>
          <w:rFonts w:hint="eastAsia" w:eastAsia="仿宋_GB2312" w:cs="仿宋_GB2312"/>
          <w:sz w:val="32"/>
          <w:szCs w:val="32"/>
        </w:rPr>
        <w:t>国有资本经营预算财政拨款支出决算表</w:t>
      </w:r>
    </w:p>
    <w:p>
      <w:pPr>
        <w:pStyle w:val="14"/>
        <w:adjustRightInd w:val="0"/>
        <w:snapToGrid w:val="0"/>
        <w:spacing w:line="560" w:lineRule="exact"/>
        <w:jc w:val="left"/>
        <w:rPr>
          <w:rFonts w:eastAsia="仿宋_GB2312" w:cs="仿宋_GB2312"/>
          <w:sz w:val="32"/>
          <w:szCs w:val="32"/>
        </w:rPr>
      </w:pPr>
      <w:bookmarkStart w:id="58" w:name="_Toc15396631"/>
      <w:r>
        <w:rPr>
          <w:rFonts w:hint="eastAsia" w:eastAsia="仿宋_GB2312" w:cs="仿宋_GB2312"/>
          <w:sz w:val="32"/>
          <w:szCs w:val="32"/>
        </w:rPr>
        <w:t>十三、</w:t>
      </w:r>
      <w:bookmarkEnd w:id="58"/>
      <w:r>
        <w:rPr>
          <w:rFonts w:hint="eastAsia" w:eastAsia="仿宋_GB2312" w:cs="仿宋_GB2312"/>
          <w:sz w:val="32"/>
          <w:szCs w:val="32"/>
        </w:rPr>
        <w:t>财政拨款“三公”经费支出决算表</w:t>
      </w:r>
    </w:p>
    <w:p/>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04D1A"/>
    <w:multiLevelType w:val="singleLevel"/>
    <w:tmpl w:val="AF204D1A"/>
    <w:lvl w:ilvl="0" w:tentative="0">
      <w:start w:val="2"/>
      <w:numFmt w:val="decimal"/>
      <w:suff w:val="nothing"/>
      <w:lvlText w:val="（%1）"/>
      <w:lvlJc w:val="left"/>
    </w:lvl>
  </w:abstractNum>
  <w:abstractNum w:abstractNumId="1">
    <w:nsid w:val="0A88DEEB"/>
    <w:multiLevelType w:val="singleLevel"/>
    <w:tmpl w:val="0A88DEEB"/>
    <w:lvl w:ilvl="0" w:tentative="0">
      <w:start w:val="1"/>
      <w:numFmt w:val="chineseCounting"/>
      <w:suff w:val="nothing"/>
      <w:lvlText w:val="%1、"/>
      <w:lvlJc w:val="left"/>
      <w:rPr>
        <w:rFonts w:hint="eastAsia"/>
      </w:rPr>
    </w:lvl>
  </w:abstractNum>
  <w:abstractNum w:abstractNumId="2">
    <w:nsid w:val="7DE552F4"/>
    <w:multiLevelType w:val="singleLevel"/>
    <w:tmpl w:val="7DE552F4"/>
    <w:lvl w:ilvl="0" w:tentative="0">
      <w:start w:val="1"/>
      <w:numFmt w:val="decimal"/>
      <w:suff w:val="nothing"/>
      <w:lvlText w:val="%1．"/>
      <w:lvlJc w:val="left"/>
      <w:pPr>
        <w:ind w:left="0" w:firstLine="4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5AF3"/>
    <w:rsid w:val="007D1682"/>
    <w:rsid w:val="007D312A"/>
    <w:rsid w:val="007D3F19"/>
    <w:rsid w:val="007E23B0"/>
    <w:rsid w:val="007E23E5"/>
    <w:rsid w:val="007F1991"/>
    <w:rsid w:val="007F2C2F"/>
    <w:rsid w:val="007F55FC"/>
    <w:rsid w:val="007F5665"/>
    <w:rsid w:val="00800112"/>
    <w:rsid w:val="00803B0D"/>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156E2"/>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4674D8"/>
    <w:rsid w:val="066E0107"/>
    <w:rsid w:val="07996F6E"/>
    <w:rsid w:val="07B06CCA"/>
    <w:rsid w:val="07DFD8BA"/>
    <w:rsid w:val="09867E8F"/>
    <w:rsid w:val="0A2032A3"/>
    <w:rsid w:val="0BAB42D8"/>
    <w:rsid w:val="0CA8290A"/>
    <w:rsid w:val="0D35B1ED"/>
    <w:rsid w:val="0E254B6B"/>
    <w:rsid w:val="0F98263C"/>
    <w:rsid w:val="101860EC"/>
    <w:rsid w:val="101F47CC"/>
    <w:rsid w:val="10C055FF"/>
    <w:rsid w:val="11694EBD"/>
    <w:rsid w:val="11772AA4"/>
    <w:rsid w:val="118107EC"/>
    <w:rsid w:val="12E24EE2"/>
    <w:rsid w:val="13D50BC4"/>
    <w:rsid w:val="14B17F78"/>
    <w:rsid w:val="15C908FF"/>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586430"/>
    <w:rsid w:val="2C8A61B5"/>
    <w:rsid w:val="2DF04E50"/>
    <w:rsid w:val="2E0675AD"/>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AFD0165"/>
    <w:rsid w:val="3B7EF35A"/>
    <w:rsid w:val="3B9FDB6C"/>
    <w:rsid w:val="3BF5BC2F"/>
    <w:rsid w:val="3CEBA265"/>
    <w:rsid w:val="3D98207C"/>
    <w:rsid w:val="3DEE7CF3"/>
    <w:rsid w:val="3E740A63"/>
    <w:rsid w:val="3E78745D"/>
    <w:rsid w:val="3EE17838"/>
    <w:rsid w:val="3F55381A"/>
    <w:rsid w:val="3F7F7599"/>
    <w:rsid w:val="3FF4CAE0"/>
    <w:rsid w:val="3FF7B227"/>
    <w:rsid w:val="40E02183"/>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1C5261"/>
    <w:rsid w:val="5FAA42E4"/>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34057"/>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正文文本1"/>
    <w:basedOn w:val="1"/>
    <w:qFormat/>
    <w:uiPriority w:val="99"/>
    <w:pPr>
      <w:spacing w:before="93"/>
    </w:pPr>
    <w:rPr>
      <w:rFonts w:ascii="仿宋_GB2312" w:hAnsi="Calibri"/>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pc\Desktop\&#39532;&#23572;&#24247;&#24066;&#27861;&#38498;&#20837;&#32593;&#21517;&#2133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pc\Desktop\&#26032;&#24314;%20Microsoft%20Office%20Excel%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pc\Desktop\&#26032;&#24314;%20Microsoft%20Office%20Excel%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pc\Desktop\&#26032;&#24314;%20Microsoft%20Office%20Excel%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pc\Desktop\&#26032;&#24314;%20Microsoft%20Office%20Excel%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pc\Desktop\&#26032;&#24314;%20Microsoft%20Office%20Excel%20&#24037;&#20316;&#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pc\Desktop\&#26032;&#24314;%20Microsoft%20Office%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tx>
            <c:strRef>
              <c:f>[马尔康市法院入网名单.xlsx]Sheet2!$A$2</c:f>
              <c:strCache>
                <c:ptCount val="1"/>
                <c:pt idx="0">
                  <c:v>收入</c:v>
                </c:pt>
              </c:strCache>
            </c:strRef>
          </c:tx>
          <c:spPr>
            <a:solidFill>
              <a:srgbClr val="00B0F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[马尔康市法院入网名单.xlsx]Sheet2!$B$1:$C$1</c:f>
              <c:strCache>
                <c:ptCount val="2"/>
                <c:pt idx="0">
                  <c:v>2023年</c:v>
                </c:pt>
                <c:pt idx="1">
                  <c:v>2024年</c:v>
                </c:pt>
              </c:strCache>
            </c:strRef>
          </c:cat>
          <c:val>
            <c:numRef>
              <c:f>[马尔康市法院入网名单.xlsx]Sheet2!$B$2:$C$2</c:f>
              <c:numCache>
                <c:formatCode>General</c:formatCode>
                <c:ptCount val="2"/>
                <c:pt idx="0">
                  <c:v>2782.88</c:v>
                </c:pt>
                <c:pt idx="1">
                  <c:v>2822.92</c:v>
                </c:pt>
              </c:numCache>
            </c:numRef>
          </c:val>
        </c:ser>
        <c:ser>
          <c:idx val="1"/>
          <c:order val="1"/>
          <c:tx>
            <c:strRef>
              <c:f>[马尔康市法院入网名单.xlsx]Sheet2!$A$3</c:f>
              <c:strCache>
                <c:ptCount val="1"/>
                <c:pt idx="0">
                  <c:v>支出</c:v>
                </c:pt>
              </c:strCache>
            </c:strRef>
          </c:tx>
          <c:spPr>
            <a:solidFill>
              <a:srgbClr val="FFC000"/>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[马尔康市法院入网名单.xlsx]Sheet2!$B$1:$C$1</c:f>
              <c:strCache>
                <c:ptCount val="2"/>
                <c:pt idx="0">
                  <c:v>2023年</c:v>
                </c:pt>
                <c:pt idx="1">
                  <c:v>2024年</c:v>
                </c:pt>
              </c:strCache>
            </c:strRef>
          </c:cat>
          <c:val>
            <c:numRef>
              <c:f>[马尔康市法院入网名单.xlsx]Sheet2!$B$3:$C$3</c:f>
              <c:numCache>
                <c:formatCode>General</c:formatCode>
                <c:ptCount val="2"/>
                <c:pt idx="0">
                  <c:v>2782.88</c:v>
                </c:pt>
                <c:pt idx="1">
                  <c:v>2822.92</c:v>
                </c:pt>
              </c:numCache>
            </c:numRef>
          </c:val>
        </c:ser>
        <c:dLbls>
          <c:showLegendKey val="0"/>
          <c:showVal val="1"/>
          <c:showCatName val="0"/>
          <c:showSerName val="0"/>
          <c:showPercent val="0"/>
          <c:showBubbleSize val="0"/>
        </c:dLbls>
        <c:gapWidth val="150"/>
        <c:overlap val="0"/>
        <c:axId val="934691504"/>
        <c:axId val="284982538"/>
      </c:barChart>
      <c:catAx>
        <c:axId val="9346915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4982538"/>
        <c:crosses val="autoZero"/>
        <c:auto val="1"/>
        <c:lblAlgn val="ctr"/>
        <c:lblOffset val="100"/>
        <c:noMultiLvlLbl val="0"/>
      </c:catAx>
      <c:valAx>
        <c:axId val="28498253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469150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"收入决算结构"</c:f>
              <c:strCache>
                <c:ptCount val="1"/>
                <c:pt idx="0">
                  <c:v>收入决算结构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Microsoft Office Excel 工作表.xlsx]Sheet1'!$A$2:$A$3</c:f>
              <c:strCache>
                <c:ptCount val="2"/>
                <c:pt idx="0">
                  <c:v>一般公共预算财政预算收入</c:v>
                </c:pt>
                <c:pt idx="1">
                  <c:v>其他收入</c:v>
                </c:pt>
              </c:strCache>
            </c:strRef>
          </c:cat>
          <c:val>
            <c:numRef>
              <c:f>'[新建 Microsoft Office Excel 工作表.xlsx]Sheet1'!$B$2:$B$3</c:f>
              <c:numCache>
                <c:formatCode>General</c:formatCode>
                <c:ptCount val="2"/>
                <c:pt idx="0">
                  <c:v>2224.65</c:v>
                </c:pt>
                <c:pt idx="1">
                  <c:v>539.07</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"支出决算结构图"</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Microsoft Office Excel 工作表.xlsx]Sheet1'!$A$23:$A$24</c:f>
              <c:strCache>
                <c:ptCount val="2"/>
                <c:pt idx="0">
                  <c:v>基本支出</c:v>
                </c:pt>
                <c:pt idx="1">
                  <c:v>项目支出</c:v>
                </c:pt>
              </c:strCache>
            </c:strRef>
          </c:cat>
          <c:val>
            <c:numRef>
              <c:f>'[新建 Microsoft Office Excel 工作表.xlsx]Sheet1'!$B$23:$B$24</c:f>
              <c:numCache>
                <c:formatCode>General</c:formatCode>
                <c:ptCount val="2"/>
                <c:pt idx="0">
                  <c:v>2013.81</c:v>
                </c:pt>
                <c:pt idx="1">
                  <c:v>765.64</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'[新建 Microsoft Office Excel 工作表.xlsx]Sheet1'!$A$37</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Microsoft Office Excel 工作表.xlsx]Sheet1'!$B$36:$C$36</c:f>
              <c:strCache>
                <c:ptCount val="2"/>
                <c:pt idx="0">
                  <c:v>2023年</c:v>
                </c:pt>
                <c:pt idx="1">
                  <c:v>2024年</c:v>
                </c:pt>
              </c:strCache>
            </c:strRef>
          </c:cat>
          <c:val>
            <c:numRef>
              <c:f>'[新建 Microsoft Office Excel 工作表.xlsx]Sheet1'!$B$37:$C$37</c:f>
              <c:numCache>
                <c:formatCode>General</c:formatCode>
                <c:ptCount val="2"/>
                <c:pt idx="0">
                  <c:v>2101.81</c:v>
                </c:pt>
                <c:pt idx="1">
                  <c:v>2224.65</c:v>
                </c:pt>
              </c:numCache>
            </c:numRef>
          </c:val>
        </c:ser>
        <c:ser>
          <c:idx val="1"/>
          <c:order val="1"/>
          <c:tx>
            <c:strRef>
              <c:f>'[新建 Microsoft Office Excel 工作表.xlsx]Sheet1'!$A$38</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Microsoft Office Excel 工作表.xlsx]Sheet1'!$B$36:$C$36</c:f>
              <c:strCache>
                <c:ptCount val="2"/>
                <c:pt idx="0">
                  <c:v>2023年</c:v>
                </c:pt>
                <c:pt idx="1">
                  <c:v>2024年</c:v>
                </c:pt>
              </c:strCache>
            </c:strRef>
          </c:cat>
          <c:val>
            <c:numRef>
              <c:f>'[新建 Microsoft Office Excel 工作表.xlsx]Sheet1'!$B$38:$C$38</c:f>
              <c:numCache>
                <c:formatCode>General</c:formatCode>
                <c:ptCount val="2"/>
                <c:pt idx="0">
                  <c:v>2101.81</c:v>
                </c:pt>
                <c:pt idx="1">
                  <c:v>2224.65</c:v>
                </c:pt>
              </c:numCache>
            </c:numRef>
          </c:val>
        </c:ser>
        <c:dLbls>
          <c:showLegendKey val="0"/>
          <c:showVal val="1"/>
          <c:showCatName val="0"/>
          <c:showSerName val="0"/>
          <c:showPercent val="0"/>
          <c:showBubbleSize val="0"/>
        </c:dLbls>
        <c:gapWidth val="219"/>
        <c:overlap val="-27"/>
        <c:axId val="158606469"/>
        <c:axId val="275646050"/>
      </c:barChart>
      <c:catAx>
        <c:axId val="1586064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5646050"/>
        <c:crosses val="autoZero"/>
        <c:auto val="1"/>
        <c:lblAlgn val="ctr"/>
        <c:lblOffset val="100"/>
        <c:noMultiLvlLbl val="0"/>
      </c:catAx>
      <c:valAx>
        <c:axId val="27564605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86064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'[新建 Microsoft Office Excel 工作表.xlsx]Sheet1'!$A$51</c:f>
              <c:strCache>
                <c:ptCount val="1"/>
                <c:pt idx="0">
                  <c:v>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Microsoft Office Excel 工作表.xlsx]Sheet1'!$B$50:$C$50</c:f>
              <c:strCache>
                <c:ptCount val="2"/>
                <c:pt idx="0">
                  <c:v>2023年</c:v>
                </c:pt>
                <c:pt idx="1">
                  <c:v>2024年</c:v>
                </c:pt>
              </c:strCache>
            </c:strRef>
          </c:cat>
          <c:val>
            <c:numRef>
              <c:f>'[新建 Microsoft Office Excel 工作表.xlsx]Sheet1'!$B$51:$C$51</c:f>
              <c:numCache>
                <c:formatCode>General</c:formatCode>
                <c:ptCount val="2"/>
                <c:pt idx="0">
                  <c:v>2101.81</c:v>
                </c:pt>
                <c:pt idx="1">
                  <c:v>2224.65</c:v>
                </c:pt>
              </c:numCache>
            </c:numRef>
          </c:val>
        </c:ser>
        <c:dLbls>
          <c:showLegendKey val="0"/>
          <c:showVal val="1"/>
          <c:showCatName val="0"/>
          <c:showSerName val="0"/>
          <c:showPercent val="0"/>
          <c:showBubbleSize val="0"/>
        </c:dLbls>
        <c:gapWidth val="219"/>
        <c:overlap val="-27"/>
        <c:axId val="62168986"/>
        <c:axId val="488965495"/>
      </c:barChart>
      <c:catAx>
        <c:axId val="6216898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8965495"/>
        <c:crosses val="autoZero"/>
        <c:auto val="1"/>
        <c:lblAlgn val="ctr"/>
        <c:lblOffset val="100"/>
        <c:noMultiLvlLbl val="0"/>
      </c:catAx>
      <c:valAx>
        <c:axId val="488965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16898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Microsoft Office Excel 工作表.xlsx]Sheet1'!$A$65:$A$68</c:f>
              <c:strCache>
                <c:ptCount val="4"/>
                <c:pt idx="0">
                  <c:v>公共安全支出</c:v>
                </c:pt>
                <c:pt idx="1">
                  <c:v>社会保障和就业支出</c:v>
                </c:pt>
                <c:pt idx="2">
                  <c:v>卫生健康支出</c:v>
                </c:pt>
                <c:pt idx="3">
                  <c:v>住房保障支出</c:v>
                </c:pt>
              </c:strCache>
            </c:strRef>
          </c:cat>
          <c:val>
            <c:numRef>
              <c:f>'[新建 Microsoft Office Excel 工作表.xlsx]Sheet1'!$B$65:$B$68</c:f>
              <c:numCache>
                <c:formatCode>General</c:formatCode>
                <c:ptCount val="4"/>
                <c:pt idx="0">
                  <c:v>1794.92</c:v>
                </c:pt>
                <c:pt idx="1">
                  <c:v>199.51</c:v>
                </c:pt>
                <c:pt idx="2">
                  <c:v>92.59</c:v>
                </c:pt>
                <c:pt idx="3">
                  <c:v>137.63</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'[新建 Microsoft Office Excel 工作表.xlsx]Sheet1'!$A$65:$A$68</c:f>
              <c:strCache>
                <c:ptCount val="4"/>
                <c:pt idx="0">
                  <c:v>公共安全支出</c:v>
                </c:pt>
                <c:pt idx="1">
                  <c:v>社会保障和就业支出</c:v>
                </c:pt>
                <c:pt idx="2">
                  <c:v>卫生健康支出</c:v>
                </c:pt>
                <c:pt idx="3">
                  <c:v>住房保障支出</c:v>
                </c:pt>
              </c:strCache>
            </c:strRef>
          </c:cat>
          <c:val>
            <c:numRef>
              <c:f>'[新建 Microsoft Office Excel 工作表.xlsx]Sheet1'!$C$65:$C$68</c:f>
              <c:numCache>
                <c:formatCode>0.00%</c:formatCode>
                <c:ptCount val="4"/>
                <c:pt idx="0">
                  <c:v>0.8068</c:v>
                </c:pt>
                <c:pt idx="1">
                  <c:v>0.0897</c:v>
                </c:pt>
                <c:pt idx="2">
                  <c:v>0.0416</c:v>
                </c:pt>
                <c:pt idx="3">
                  <c:v>0.0619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"“三公”经费财政拨款支出结构"</c:f>
              <c:strCache>
                <c:ptCount val="1"/>
                <c:pt idx="0">
                  <c:v>“三公”经费财政拨款支出结构</c:v>
                </c:pt>
              </c:strCache>
            </c:strRef>
          </c:tx>
          <c:spPr>
            <a:ln w="25400" cap="rnd">
              <a:solidFill>
                <a:schemeClr val="lt1"/>
              </a:solidFill>
            </a:ln>
          </c:spPr>
          <c:explosion val="0"/>
          <c:dPt>
            <c:idx val="0"/>
            <c:bubble3D val="0"/>
            <c:spPr>
              <a:solidFill>
                <a:schemeClr val="accent1"/>
              </a:solidFill>
              <a:ln w="25400" cap="rnd">
                <a:solidFill>
                  <a:schemeClr val="lt1"/>
                </a:solidFill>
              </a:ln>
              <a:effectLst/>
            </c:spPr>
          </c:dPt>
          <c:dPt>
            <c:idx val="1"/>
            <c:bubble3D val="0"/>
            <c:spPr>
              <a:solidFill>
                <a:schemeClr val="accent2"/>
              </a:solidFill>
              <a:ln w="25400" cap="rnd">
                <a:solidFill>
                  <a:schemeClr val="lt1"/>
                </a:solidFill>
              </a:ln>
              <a:effectLst/>
            </c:spPr>
          </c:dPt>
          <c:dLbls>
            <c:dLbl>
              <c:idx val="0"/>
              <c:layout/>
              <c:dLblPos val="bestFit"/>
              <c:showLegendKey val="0"/>
              <c:showVal val="1"/>
              <c:showCatName val="0"/>
              <c:showSerName val="0"/>
              <c:showPercent val="1"/>
              <c:showBubbleSize val="0"/>
              <c:extLst>
                <c:ext xmlns:c15="http://schemas.microsoft.com/office/drawing/2012/chart" uri="{CE6537A1-D6FC-4f65-9D91-7224C49458BB}"/>
              </c:extLst>
            </c:dLbl>
            <c:dLbl>
              <c:idx val="1"/>
              <c:layout/>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Microsoft Office Excel 工作表.xlsx]Sheet1'!$A$80:$A$81</c:f>
              <c:strCache>
                <c:ptCount val="2"/>
                <c:pt idx="0">
                  <c:v>公务用车购置及运行维护费支出</c:v>
                </c:pt>
                <c:pt idx="1">
                  <c:v>公务接待费支出</c:v>
                </c:pt>
              </c:strCache>
            </c:strRef>
          </c:cat>
          <c:val>
            <c:numRef>
              <c:f>'[新建 Microsoft Office Excel 工作表.xlsx]Sheet1'!$B$80:$B$81</c:f>
              <c:numCache>
                <c:formatCode>General</c:formatCode>
                <c:ptCount val="2"/>
                <c:pt idx="0">
                  <c:v>113.2</c:v>
                </c:pt>
                <c:pt idx="1">
                  <c:v>0.69</c:v>
                </c:pt>
              </c:numCache>
            </c:numRef>
          </c:val>
        </c:ser>
        <c:dLbls>
          <c:showLegendKey val="0"/>
          <c:showVal val="0"/>
          <c:showCatName val="0"/>
          <c:showSerName val="0"/>
          <c:showPercent val="1"/>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1295</Words>
  <Characters>7386</Characters>
  <Lines>61</Lines>
  <Paragraphs>17</Paragraphs>
  <TotalTime>14</TotalTime>
  <ScaleCrop>false</ScaleCrop>
  <LinksUpToDate>false</LinksUpToDate>
  <CharactersWithSpaces>8664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2025-09-16T02:13:00Z</dcterms:created>
  <dc:creator>曹颖</dc:creator>
  <cp:lastModifiedBy>Administrator</cp:lastModifiedBy>
  <cp:lastPrinted>2025-09-16T07:33:20Z</cp:lastPrinted>
  <dcterms:modified xsi:type="dcterms:W3CDTF">2025-09-16T07:33:45Z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04787F2533EB45DC91BCDE4AB213247F</vt:lpwstr>
  </property>
</Properties>
</file>