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spacing w:before="93"/>
        <w:outlineLvl w:val="0"/>
        <w:rPr>
          <w:rFonts w:ascii="黑体" w:hAnsi="黑体" w:eastAsia="黑体" w:cs="黑体"/>
          <w:kern w:val="2"/>
          <w:sz w:val="32"/>
          <w:szCs w:val="32"/>
        </w:rPr>
      </w:pPr>
      <w:bookmarkStart w:id="0" w:name="_Toc1986939093"/>
      <w:bookmarkStart w:id="1" w:name="_Toc15396475"/>
      <w:bookmarkStart w:id="2" w:name="_Toc15378441"/>
      <w:bookmarkStart w:id="3" w:name="_Toc15377193"/>
      <w:bookmarkStart w:id="4" w:name="_Toc15396597"/>
      <w:bookmarkStart w:id="5" w:name="_Toc15377425"/>
      <w:bookmarkStart w:id="6" w:name="_Toc15306267"/>
      <w:r>
        <w:rPr>
          <w:rFonts w:hint="eastAsia" w:ascii="黑体" w:hAnsi="黑体" w:eastAsia="黑体" w:cs="黑体"/>
          <w:kern w:val="2"/>
          <w:sz w:val="32"/>
          <w:szCs w:val="32"/>
        </w:rPr>
        <w:t>附件4</w:t>
      </w:r>
      <w:bookmarkEnd w:id="0"/>
    </w:p>
    <w:p>
      <w:pPr>
        <w:pStyle w:val="7"/>
        <w:spacing w:before="93"/>
        <w:rPr>
          <w:rFonts w:ascii="Times New Roman" w:eastAsia="方正小标宋简体"/>
          <w:kern w:val="2"/>
          <w:sz w:val="72"/>
          <w:szCs w:val="72"/>
        </w:rPr>
      </w:pPr>
    </w:p>
    <w:p>
      <w:pPr>
        <w:pStyle w:val="7"/>
        <w:spacing w:before="93"/>
        <w:rPr>
          <w:rFonts w:ascii="Times New Roman" w:eastAsia="方正小标宋简体"/>
          <w:kern w:val="2"/>
          <w:sz w:val="72"/>
          <w:szCs w:val="72"/>
        </w:rPr>
      </w:pPr>
    </w:p>
    <w:p>
      <w:pPr>
        <w:pStyle w:val="7"/>
        <w:spacing w:before="93"/>
        <w:rPr>
          <w:rFonts w:ascii="Times New Roman" w:eastAsia="方正小标宋简体"/>
          <w:kern w:val="2"/>
          <w:sz w:val="72"/>
          <w:szCs w:val="72"/>
        </w:rPr>
      </w:pPr>
    </w:p>
    <w:p>
      <w:pPr>
        <w:pStyle w:val="7"/>
        <w:spacing w:before="93"/>
        <w:rPr>
          <w:rFonts w:ascii="Times New Roman" w:eastAsia="方正小标宋简体"/>
          <w:kern w:val="2"/>
          <w:sz w:val="72"/>
          <w:szCs w:val="72"/>
        </w:rPr>
      </w:pPr>
    </w:p>
    <w:p>
      <w:pPr>
        <w:spacing w:line="600" w:lineRule="exact"/>
        <w:jc w:val="center"/>
        <w:outlineLvl w:val="0"/>
        <w:rPr>
          <w:rFonts w:hint="eastAsia" w:ascii="Times New Roman" w:eastAsia="方正小标宋简体"/>
          <w:kern w:val="2"/>
          <w:sz w:val="44"/>
          <w:szCs w:val="44"/>
        </w:rPr>
      </w:pPr>
      <w:bookmarkStart w:id="7" w:name="_Toc1114625201"/>
      <w:r>
        <w:rPr>
          <w:rFonts w:hint="eastAsia" w:ascii="Times New Roman" w:eastAsia="方正小标宋简体"/>
          <w:kern w:val="2"/>
          <w:sz w:val="44"/>
          <w:szCs w:val="44"/>
        </w:rPr>
        <w:t>2025年度四川省马尔康市</w:t>
      </w:r>
      <w:r>
        <w:rPr>
          <w:rFonts w:hint="eastAsia" w:eastAsia="方正小标宋简体"/>
          <w:kern w:val="2"/>
          <w:sz w:val="44"/>
          <w:szCs w:val="44"/>
          <w:lang w:eastAsia="zh-CN"/>
        </w:rPr>
        <w:t>人民</w:t>
      </w:r>
      <w:r>
        <w:rPr>
          <w:rFonts w:hint="eastAsia" w:ascii="Times New Roman" w:eastAsia="方正小标宋简体"/>
          <w:kern w:val="2"/>
          <w:sz w:val="44"/>
          <w:szCs w:val="44"/>
        </w:rPr>
        <w:t>法院</w:t>
      </w:r>
      <w:bookmarkEnd w:id="7"/>
    </w:p>
    <w:p>
      <w:pPr>
        <w:spacing w:line="600" w:lineRule="exact"/>
        <w:jc w:val="center"/>
        <w:outlineLvl w:val="0"/>
        <w:rPr>
          <w:rFonts w:eastAsia="黑体"/>
          <w:sz w:val="48"/>
          <w:szCs w:val="48"/>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bookmarkStart w:id="8" w:name="_Toc1005900426"/>
      <w:r>
        <w:rPr>
          <w:rFonts w:hint="eastAsia" w:ascii="Times New Roman" w:eastAsia="方正小标宋简体"/>
          <w:kern w:val="2"/>
          <w:sz w:val="44"/>
          <w:szCs w:val="44"/>
        </w:rPr>
        <w:t>部门决算公</w:t>
      </w:r>
      <w:r>
        <w:rPr>
          <w:rFonts w:hint="eastAsia" w:eastAsia="方正小标宋简体"/>
          <w:kern w:val="2"/>
          <w:sz w:val="44"/>
          <w:szCs w:val="44"/>
          <w:lang w:val="en-US" w:eastAsia="zh-CN"/>
        </w:rPr>
        <w:t>开</w:t>
      </w:r>
      <w:bookmarkEnd w:id="1"/>
      <w:bookmarkEnd w:id="2"/>
      <w:bookmarkEnd w:id="3"/>
      <w:bookmarkEnd w:id="4"/>
      <w:bookmarkEnd w:id="5"/>
      <w:bookmarkEnd w:id="6"/>
      <w:bookmarkEnd w:id="8"/>
    </w:p>
    <w:p>
      <w:pPr>
        <w:widowControl/>
        <w:jc w:val="center"/>
        <w:rPr>
          <w:rFonts w:hint="eastAsia" w:eastAsia="黑体"/>
          <w:sz w:val="48"/>
          <w:szCs w:val="48"/>
        </w:rPr>
      </w:pPr>
      <w:r>
        <w:rPr>
          <w:rFonts w:hint="eastAsia" w:eastAsia="黑体"/>
          <w:sz w:val="48"/>
          <w:szCs w:val="48"/>
        </w:rPr>
        <w:t>目录</w:t>
      </w:r>
    </w:p>
    <w:p>
      <w:pPr>
        <w:pStyle w:val="2"/>
      </w:pPr>
    </w:p>
    <w:p>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18</w:t>
      </w:r>
      <w:r>
        <w:rPr>
          <w:rFonts w:hint="eastAsia" w:ascii="Times New Roman" w:hAnsi="Times New Roman" w:eastAsia="仿宋_GB2312" w:cs="仿宋_GB2312"/>
          <w:sz w:val="32"/>
          <w:szCs w:val="32"/>
        </w:rPr>
        <w:t>日</w:t>
      </w:r>
    </w:p>
    <w:p/>
    <w:sdt>
      <w:sdtPr>
        <w:rPr>
          <w:rFonts w:ascii="宋体" w:hAnsi="宋体" w:eastAsia="宋体" w:cs="Times New Roman"/>
          <w:kern w:val="2"/>
          <w:sz w:val="21"/>
          <w:szCs w:val="24"/>
          <w:lang w:val="en-US" w:eastAsia="zh-CN" w:bidi="ar-SA"/>
        </w:rPr>
        <w:id w:val="103366289"/>
        <w15:color w:val="DBDBDB"/>
        <w:docPartObj>
          <w:docPartGallery w:val="Table of Contents"/>
          <w:docPartUnique/>
        </w:docPartObj>
      </w:sdtPr>
      <w:sdtEndPr>
        <w:rPr>
          <w:rFonts w:hint="eastAsia" w:ascii="Times New Roman" w:hAnsi="Times New Roman" w:eastAsia="仿宋_GB2312" w:cs="仿宋_GB2312"/>
          <w:kern w:val="2"/>
          <w:sz w:val="32"/>
          <w:szCs w:val="32"/>
          <w:lang w:val="en-US" w:eastAsia="zh-CN" w:bidi="ar-SA"/>
        </w:rPr>
      </w:sdtEndPr>
      <w:sdtContent>
        <w:p>
          <w:pPr>
            <w:spacing w:before="0" w:beforeLines="0" w:after="0" w:afterLines="0" w:line="240" w:lineRule="auto"/>
            <w:ind w:left="0" w:leftChars="0" w:right="0" w:rightChars="0" w:firstLine="0" w:firstLineChars="0"/>
            <w:jc w:val="cente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TOC \o "1-2" \h \u </w:instrText>
          </w:r>
          <w:r>
            <w:rPr>
              <w:rFonts w:hint="eastAsia" w:ascii="Times New Roman" w:hAnsi="Times New Roman" w:eastAsia="仿宋_GB2312" w:cs="仿宋_GB2312"/>
              <w:sz w:val="32"/>
              <w:szCs w:val="32"/>
            </w:rPr>
            <w:fldChar w:fldCharType="separate"/>
          </w:r>
        </w:p>
        <w:p>
          <w:pPr>
            <w:pStyle w:val="14"/>
            <w:adjustRightInd w:val="0"/>
            <w:snapToGrid w:val="0"/>
            <w:spacing w:line="240" w:lineRule="auto"/>
            <w:ind w:left="0" w:leftChars="0" w:firstLine="0" w:firstLineChars="0"/>
            <w:jc w:val="left"/>
            <w:rPr>
              <w:rFonts w:hint="eastAsia" w:ascii="Times New Roman" w:hAnsi="Times New Roman" w:eastAsia="仿宋_GB2312" w:cs="仿宋_GB2312"/>
              <w:sz w:val="32"/>
              <w:szCs w:val="32"/>
            </w:rPr>
          </w:pPr>
          <w:r>
            <w:rPr>
              <w:rFonts w:hint="eastAsia" w:ascii="黑体" w:hAnsi="黑体" w:eastAsia="黑体" w:cs="黑体"/>
              <w:kern w:val="2"/>
              <w:sz w:val="32"/>
              <w:szCs w:val="32"/>
              <w:lang w:val="en-US" w:eastAsia="zh-CN" w:bidi="ar-SA"/>
            </w:rPr>
            <w:t>第一部分部门概况</w:t>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_Toc1177190598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_Toc1177190598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4</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pPr>
            <w:pStyle w:val="14"/>
            <w:adjustRightInd w:val="0"/>
            <w:snapToGrid w:val="0"/>
            <w:spacing w:line="240" w:lineRule="auto"/>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_Toc275540775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一、部门职责</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_Toc275540775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4</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pPr>
            <w:pStyle w:val="14"/>
            <w:adjustRightInd w:val="0"/>
            <w:snapToGrid w:val="0"/>
            <w:spacing w:line="240" w:lineRule="auto"/>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_Toc1039062493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二、机构设置</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_Toc1039062493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4</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pPr>
            <w:pStyle w:val="14"/>
            <w:adjustRightInd w:val="0"/>
            <w:snapToGrid w:val="0"/>
            <w:spacing w:line="240" w:lineRule="auto"/>
            <w:ind w:left="0" w:leftChars="0" w:firstLine="0" w:firstLineChars="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_Toc154069403 </w:instrText>
          </w:r>
          <w:r>
            <w:rPr>
              <w:rFonts w:hint="eastAsia" w:ascii="Times New Roman" w:hAnsi="Times New Roman" w:eastAsia="仿宋_GB2312" w:cs="仿宋_GB2312"/>
              <w:sz w:val="32"/>
              <w:szCs w:val="32"/>
            </w:rPr>
            <w:fldChar w:fldCharType="separate"/>
          </w:r>
          <w:r>
            <w:rPr>
              <w:rFonts w:hint="eastAsia" w:ascii="黑体" w:hAnsi="黑体" w:eastAsia="黑体" w:cs="黑体"/>
              <w:kern w:val="2"/>
              <w:sz w:val="32"/>
              <w:szCs w:val="32"/>
              <w:lang w:val="en-US" w:eastAsia="zh-CN" w:bidi="ar-SA"/>
            </w:rPr>
            <w:t>第二部分2025年度部门决算情况说明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_Toc154069403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5</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pPr>
            <w:pStyle w:val="14"/>
            <w:adjustRightInd w:val="0"/>
            <w:snapToGrid w:val="0"/>
            <w:spacing w:line="240" w:lineRule="auto"/>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_Toc1726661586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一、收入支出决算总体情况说明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_Toc1726661586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5</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pPr>
            <w:pStyle w:val="14"/>
            <w:adjustRightInd w:val="0"/>
            <w:snapToGrid w:val="0"/>
            <w:spacing w:line="240" w:lineRule="auto"/>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_Toc1920304399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二、收入决算情况说明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_Toc1920304399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5</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pPr>
            <w:pStyle w:val="14"/>
            <w:adjustRightInd w:val="0"/>
            <w:snapToGrid w:val="0"/>
            <w:spacing w:line="240" w:lineRule="auto"/>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_Toc255410199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三、支出决算情况说明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_Toc255410199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6</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pPr>
            <w:pStyle w:val="14"/>
            <w:adjustRightInd w:val="0"/>
            <w:snapToGrid w:val="0"/>
            <w:spacing w:line="240" w:lineRule="auto"/>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_Toc1518899192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四、财政拨款收入支出决算总体情况说明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_Toc1518899192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7</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pPr>
            <w:pStyle w:val="14"/>
            <w:adjustRightInd w:val="0"/>
            <w:snapToGrid w:val="0"/>
            <w:spacing w:line="240" w:lineRule="auto"/>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_Toc1000608055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五、一般公共预算财政拨款支出决算情况说明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_Toc1000608055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8</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pPr>
            <w:pStyle w:val="14"/>
            <w:adjustRightInd w:val="0"/>
            <w:snapToGrid w:val="0"/>
            <w:spacing w:line="240" w:lineRule="auto"/>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_Toc275140728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六、一般公共预算财政拨款基本支出决算情况说明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_Toc275140728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10</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pPr>
            <w:pStyle w:val="14"/>
            <w:adjustRightInd w:val="0"/>
            <w:snapToGrid w:val="0"/>
            <w:spacing w:line="240" w:lineRule="auto"/>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_Toc757923505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七、财政拨款“三公”经费支出决算情况说明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_Toc757923505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11</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pPr>
            <w:pStyle w:val="14"/>
            <w:adjustRightInd w:val="0"/>
            <w:snapToGrid w:val="0"/>
            <w:spacing w:line="240" w:lineRule="auto"/>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_Toc1694838178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八、政府性基金预算支出决算情况说明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_Toc1694838178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12</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pPr>
            <w:pStyle w:val="14"/>
            <w:adjustRightInd w:val="0"/>
            <w:snapToGrid w:val="0"/>
            <w:spacing w:line="240" w:lineRule="auto"/>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_Toc922163838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九、国有资本经营预算支出决算情况说明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_Toc922163838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13</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pPr>
            <w:pStyle w:val="14"/>
            <w:adjustRightInd w:val="0"/>
            <w:snapToGrid w:val="0"/>
            <w:spacing w:line="240" w:lineRule="auto"/>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_Toc418144867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十、其他重要事项的情况说明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_Toc418144867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13</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pPr>
            <w:pStyle w:val="14"/>
            <w:adjustRightInd w:val="0"/>
            <w:snapToGrid w:val="0"/>
            <w:spacing w:line="240" w:lineRule="auto"/>
            <w:ind w:left="0" w:leftChars="0" w:firstLine="0" w:firstLineChars="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_Toc1194286685 </w:instrText>
          </w:r>
          <w:r>
            <w:rPr>
              <w:rFonts w:hint="eastAsia" w:ascii="Times New Roman" w:hAnsi="Times New Roman" w:eastAsia="仿宋_GB2312" w:cs="仿宋_GB2312"/>
              <w:sz w:val="32"/>
              <w:szCs w:val="32"/>
            </w:rPr>
            <w:fldChar w:fldCharType="separate"/>
          </w:r>
          <w:r>
            <w:rPr>
              <w:rFonts w:hint="eastAsia" w:ascii="黑体" w:hAnsi="黑体" w:eastAsia="黑体" w:cs="黑体"/>
              <w:kern w:val="2"/>
              <w:sz w:val="32"/>
              <w:szCs w:val="32"/>
              <w:lang w:val="en-US" w:eastAsia="zh-CN" w:bidi="ar-SA"/>
            </w:rPr>
            <w:t>第三部分名词解释</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_Toc1194286685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15</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pPr>
            <w:pStyle w:val="14"/>
            <w:adjustRightInd w:val="0"/>
            <w:snapToGrid w:val="0"/>
            <w:spacing w:line="240" w:lineRule="auto"/>
            <w:ind w:left="0" w:leftChars="0" w:firstLine="0" w:firstLineChars="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_Toc2048128849 </w:instrText>
          </w:r>
          <w:r>
            <w:rPr>
              <w:rFonts w:hint="eastAsia" w:ascii="Times New Roman" w:hAnsi="Times New Roman" w:eastAsia="仿宋_GB2312" w:cs="仿宋_GB2312"/>
              <w:sz w:val="32"/>
              <w:szCs w:val="32"/>
            </w:rPr>
            <w:fldChar w:fldCharType="separate"/>
          </w:r>
          <w:r>
            <w:rPr>
              <w:rFonts w:hint="eastAsia" w:ascii="黑体" w:hAnsi="黑体" w:eastAsia="黑体" w:cs="黑体"/>
              <w:kern w:val="2"/>
              <w:sz w:val="32"/>
              <w:szCs w:val="32"/>
              <w:lang w:val="en-US" w:eastAsia="zh-CN" w:bidi="ar-SA"/>
            </w:rPr>
            <w:t>第四部分附件</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_Toc2048128849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17</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pPr>
            <w:pStyle w:val="14"/>
            <w:adjustRightInd w:val="0"/>
            <w:snapToGrid w:val="0"/>
            <w:spacing w:line="240" w:lineRule="auto"/>
            <w:ind w:left="0" w:leftChars="0" w:firstLine="0" w:firstLineChars="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_Toc1915567949 </w:instrText>
          </w:r>
          <w:r>
            <w:rPr>
              <w:rFonts w:hint="eastAsia" w:ascii="Times New Roman" w:hAnsi="Times New Roman" w:eastAsia="仿宋_GB2312" w:cs="仿宋_GB2312"/>
              <w:sz w:val="32"/>
              <w:szCs w:val="32"/>
            </w:rPr>
            <w:fldChar w:fldCharType="separate"/>
          </w:r>
          <w:r>
            <w:rPr>
              <w:rFonts w:hint="eastAsia" w:ascii="黑体" w:hAnsi="黑体" w:eastAsia="黑体" w:cs="黑体"/>
              <w:kern w:val="2"/>
              <w:sz w:val="32"/>
              <w:szCs w:val="32"/>
              <w:lang w:val="en-US" w:eastAsia="zh-CN" w:bidi="ar-SA"/>
            </w:rPr>
            <w:t>第五部分附表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_Toc1915567949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38</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一、收入支出决算总表</w:t>
          </w:r>
        </w:p>
        <w:p>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二、收入决算表</w:t>
          </w:r>
        </w:p>
        <w:p>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三、支出决算表</w:t>
          </w:r>
        </w:p>
        <w:p>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四、财政拨款收入支出决算总表</w:t>
          </w:r>
        </w:p>
        <w:p>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五、财政拨款支出决算明细表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六、一般公共预算财政拨款支出决算表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七、一般公共预算财政拨款支出决算明细表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八、一般公共预算财政拨款基本支出决算明细表</w:t>
          </w:r>
        </w:p>
        <w:p>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九、一般公共预算财政拨款项目支出决算表</w:t>
          </w:r>
        </w:p>
        <w:p>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十、政府性基金预算财政拨款收入支出决算表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十一、国有资本经营预算财政拨款收入支出决算表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十二、国有资本经营预算财政拨款支出决算表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rPr>
          </w:pPr>
          <w:r>
            <w:rPr>
              <w:rFonts w:hint="eastAsia" w:ascii="Times New Roman" w:hAnsi="Times New Roman" w:eastAsia="仿宋_GB2312" w:cs="仿宋_GB2312"/>
              <w:sz w:val="32"/>
              <w:szCs w:val="32"/>
            </w:rPr>
            <w:t>十三、财政拨款“三公”经费支出决算表</w:t>
          </w:r>
        </w:p>
        <w:p>
          <w:pPr>
            <w:pStyle w:val="2"/>
            <w:rPr>
              <w:rFonts w:hint="eastAsia"/>
            </w:rPr>
          </w:pPr>
        </w:p>
        <w:p>
          <w:pPr>
            <w:pStyle w:val="14"/>
            <w:adjustRightInd w:val="0"/>
            <w:snapToGrid w:val="0"/>
            <w:spacing w:line="240" w:lineRule="auto"/>
            <w:ind w:left="0" w:leftChars="0" w:firstLine="0" w:firstLineChars="0"/>
            <w:jc w:val="left"/>
          </w:pPr>
          <w:r>
            <w:rPr>
              <w:rFonts w:hint="eastAsia" w:ascii="Times New Roman" w:hAnsi="Times New Roman" w:eastAsia="仿宋_GB2312" w:cs="仿宋_GB2312"/>
              <w:sz w:val="32"/>
              <w:szCs w:val="32"/>
            </w:rPr>
            <w:fldChar w:fldCharType="end"/>
          </w:r>
          <w:bookmarkStart w:id="9" w:name="_Toc15377196"/>
          <w:bookmarkStart w:id="10" w:name="_Toc15396599"/>
        </w:p>
      </w:sdtContent>
    </w:sdt>
    <w:p>
      <w:pPr>
        <w:pStyle w:val="14"/>
        <w:adjustRightInd w:val="0"/>
        <w:snapToGrid w:val="0"/>
        <w:spacing w:line="240" w:lineRule="auto"/>
        <w:ind w:left="0" w:leftChars="0" w:firstLine="0" w:firstLineChars="0"/>
        <w:jc w:val="left"/>
        <w:rPr>
          <w:rFonts w:eastAsia="仿宋_GB2312" w:cs="仿宋_GB2312"/>
          <w:bCs/>
          <w:kern w:val="44"/>
          <w:sz w:val="32"/>
          <w:szCs w:val="32"/>
        </w:rPr>
      </w:pPr>
      <w:r>
        <w:rPr>
          <w:rFonts w:hint="eastAsia" w:eastAsia="仿宋_GB2312" w:cs="仿宋_GB2312"/>
          <w:b/>
          <w:sz w:val="32"/>
          <w:szCs w:val="32"/>
        </w:rPr>
        <w:br w:type="page"/>
      </w:r>
    </w:p>
    <w:p>
      <w:pPr>
        <w:pStyle w:val="4"/>
        <w:jc w:val="center"/>
        <w:rPr>
          <w:rStyle w:val="29"/>
          <w:rFonts w:eastAsia="方正小标宋简体" w:cs="方正小标宋简体"/>
          <w:b/>
          <w:bCs w:val="0"/>
        </w:rPr>
      </w:pPr>
      <w:bookmarkStart w:id="11" w:name="_Toc1177190598"/>
      <w:r>
        <w:rPr>
          <w:rFonts w:hint="eastAsia" w:eastAsia="方正小标宋简体" w:cs="方正小标宋简体"/>
          <w:b w:val="0"/>
        </w:rPr>
        <w:t>第一部分</w:t>
      </w:r>
      <w:r>
        <w:rPr>
          <w:rStyle w:val="29"/>
          <w:rFonts w:hint="eastAsia" w:eastAsia="方正小标宋简体" w:cs="方正小标宋简体"/>
          <w:b w:val="0"/>
          <w:bCs w:val="0"/>
        </w:rPr>
        <w:t>部门概况</w:t>
      </w:r>
      <w:bookmarkEnd w:id="9"/>
      <w:bookmarkEnd w:id="10"/>
      <w:bookmarkEnd w:id="11"/>
    </w:p>
    <w:p>
      <w:pPr>
        <w:widowControl/>
        <w:jc w:val="left"/>
        <w:rPr>
          <w:rFonts w:eastAsia="黑体"/>
          <w:sz w:val="32"/>
          <w:szCs w:val="32"/>
        </w:rPr>
      </w:pPr>
    </w:p>
    <w:p>
      <w:pPr>
        <w:pStyle w:val="5"/>
        <w:numPr>
          <w:ilvl w:val="0"/>
          <w:numId w:val="1"/>
        </w:numPr>
        <w:rPr>
          <w:rFonts w:hint="eastAsia" w:ascii="Times New Roman" w:hAnsi="Times New Roman" w:eastAsia="黑体"/>
          <w:b w:val="0"/>
        </w:rPr>
      </w:pPr>
      <w:bookmarkStart w:id="12" w:name="_Toc275540775"/>
      <w:r>
        <w:rPr>
          <w:rFonts w:hint="eastAsia" w:ascii="Times New Roman" w:hAnsi="Times New Roman" w:eastAsia="黑体"/>
          <w:b w:val="0"/>
        </w:rPr>
        <w:t>部门职责</w:t>
      </w:r>
      <w:bookmarkEnd w:id="12"/>
    </w:p>
    <w:p>
      <w:pPr>
        <w:ind w:firstLine="800" w:firstLineChars="25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马尔康市人民法院充分发挥审判职能，推进社会矛盾化解；及时审理各类民商事纠纷案件；积极稳妥地审理好行政案件；加强执行工作，确保权利人的合法权利得到实现；加强立案、信访接待工作；加强审判质量评查与管理，提高审判质量。</w:t>
      </w:r>
    </w:p>
    <w:p>
      <w:pPr>
        <w:pStyle w:val="5"/>
        <w:rPr>
          <w:rStyle w:val="30"/>
          <w:rFonts w:ascii="Times New Roman" w:hAnsi="Times New Roman"/>
          <w:b w:val="0"/>
          <w:bCs w:val="0"/>
        </w:rPr>
      </w:pPr>
      <w:bookmarkStart w:id="13" w:name="_Toc15377200"/>
      <w:bookmarkStart w:id="14" w:name="_Toc1039062493"/>
      <w:bookmarkStart w:id="15" w:name="_Toc15396601"/>
      <w:r>
        <w:rPr>
          <w:rFonts w:hint="eastAsia" w:ascii="Times New Roman" w:hAnsi="Times New Roman" w:eastAsia="黑体"/>
          <w:b w:val="0"/>
        </w:rPr>
        <w:t>二、机</w:t>
      </w:r>
      <w:r>
        <w:rPr>
          <w:rStyle w:val="30"/>
          <w:rFonts w:hint="eastAsia" w:ascii="Times New Roman" w:hAnsi="Times New Roman" w:eastAsia="黑体"/>
          <w:b w:val="0"/>
          <w:bCs w:val="0"/>
        </w:rPr>
        <w:t>构设置</w:t>
      </w:r>
      <w:bookmarkEnd w:id="13"/>
      <w:bookmarkEnd w:id="14"/>
      <w:bookmarkEnd w:id="15"/>
    </w:p>
    <w:p>
      <w:pPr>
        <w:ind w:firstLine="800" w:firstLineChars="25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四川省阿坝州马尔康市人民法院下属二级预算单位0个，其中行政单位0个，参照公务员法管理的事业单位0个，其他事业单位0个。</w:t>
      </w:r>
    </w:p>
    <w:p>
      <w:pPr>
        <w:ind w:firstLine="800" w:firstLineChars="250"/>
        <w:rPr>
          <w:rFonts w:hint="eastAsia" w:ascii="Times New Roman" w:hAnsi="Times New Roman" w:eastAsia="仿宋_GB2312" w:cs="仿宋_GB2312"/>
          <w:sz w:val="32"/>
          <w:szCs w:val="32"/>
        </w:rPr>
      </w:pPr>
    </w:p>
    <w:p>
      <w:pPr>
        <w:widowControl/>
        <w:jc w:val="left"/>
        <w:rPr>
          <w:rFonts w:eastAsia="仿宋"/>
          <w:kern w:val="0"/>
          <w:sz w:val="32"/>
          <w:szCs w:val="32"/>
        </w:rPr>
      </w:pPr>
      <w:r>
        <w:rPr>
          <w:rFonts w:eastAsia="仿宋"/>
          <w:sz w:val="32"/>
          <w:szCs w:val="32"/>
        </w:rPr>
        <w:br w:type="page"/>
      </w:r>
    </w:p>
    <w:p>
      <w:pPr>
        <w:pStyle w:val="4"/>
        <w:jc w:val="center"/>
        <w:rPr>
          <w:rFonts w:eastAsia="方正小标宋简体" w:cs="方正小标宋简体"/>
          <w:b w:val="0"/>
        </w:rPr>
      </w:pPr>
      <w:bookmarkStart w:id="16" w:name="_Toc154069403"/>
      <w:bookmarkStart w:id="17" w:name="_Toc15377204"/>
      <w:bookmarkStart w:id="18" w:name="_Toc15396602"/>
      <w:r>
        <w:rPr>
          <w:rFonts w:hint="eastAsia" w:eastAsia="方正小标宋简体" w:cs="方正小标宋简体"/>
          <w:b w:val="0"/>
        </w:rPr>
        <w:t>第二部分2025年度部门决算情况说明</w:t>
      </w:r>
      <w:bookmarkEnd w:id="16"/>
      <w:bookmarkEnd w:id="17"/>
      <w:bookmarkEnd w:id="18"/>
    </w:p>
    <w:p/>
    <w:p>
      <w:pPr>
        <w:pStyle w:val="28"/>
        <w:spacing w:line="600" w:lineRule="exact"/>
        <w:ind w:firstLine="640"/>
        <w:outlineLvl w:val="1"/>
        <w:rPr>
          <w:rStyle w:val="30"/>
          <w:rFonts w:ascii="Times New Roman" w:hAnsi="Times New Roman" w:eastAsia="黑体"/>
          <w:b w:val="0"/>
        </w:rPr>
      </w:pPr>
      <w:bookmarkStart w:id="19" w:name="_Toc15377205"/>
      <w:bookmarkStart w:id="20" w:name="_Toc15396603"/>
      <w:bookmarkStart w:id="21" w:name="_Toc1726661586"/>
      <w:r>
        <w:rPr>
          <w:rFonts w:hint="eastAsia" w:eastAsia="黑体"/>
          <w:sz w:val="32"/>
          <w:szCs w:val="32"/>
        </w:rPr>
        <w:t>一、收</w:t>
      </w:r>
      <w:r>
        <w:rPr>
          <w:rStyle w:val="30"/>
          <w:rFonts w:hint="eastAsia" w:ascii="Times New Roman" w:hAnsi="Times New Roman" w:eastAsia="黑体"/>
          <w:b w:val="0"/>
        </w:rPr>
        <w:t>入支出决算总体情况说明</w:t>
      </w:r>
      <w:bookmarkEnd w:id="19"/>
      <w:bookmarkEnd w:id="20"/>
      <w:bookmarkEnd w:id="21"/>
    </w:p>
    <w:p>
      <w:pPr>
        <w:pStyle w:val="28"/>
        <w:spacing w:line="600" w:lineRule="exact"/>
        <w:ind w:firstLine="640"/>
        <w:outlineLvl w:val="1"/>
        <w:rPr>
          <w:rFonts w:eastAsia="仿宋_GB2312" w:cs="仿宋_GB2312"/>
          <w:sz w:val="32"/>
          <w:szCs w:val="32"/>
        </w:rPr>
      </w:pPr>
      <w:bookmarkStart w:id="22" w:name="_Toc1054753991"/>
      <w:r>
        <w:rPr>
          <w:rFonts w:hint="eastAsia" w:eastAsia="仿宋_GB2312" w:cs="仿宋_GB2312"/>
          <w:sz w:val="32"/>
          <w:szCs w:val="32"/>
        </w:rPr>
        <w:t>2025年度收入、支出总计均为2,363.7万元。与上年度相比，收入、支出总计各减少459.22万元，下降16.3%。主要变动原因是本年人员变动，项目支出减少导致本年收入减少</w:t>
      </w:r>
      <w:r>
        <w:rPr>
          <w:rFonts w:hint="eastAsia" w:eastAsia="仿宋_GB2312" w:cs="仿宋_GB2312"/>
          <w:sz w:val="32"/>
          <w:szCs w:val="32"/>
          <w:lang w:eastAsia="zh-CN"/>
        </w:rPr>
        <w:t>。</w:t>
      </w:r>
      <w:bookmarkEnd w:id="22"/>
    </w:p>
    <w:p>
      <w:pPr>
        <w:ind w:firstLine="420" w:firstLineChars="200"/>
      </w:pPr>
      <w:r>
        <w:drawing>
          <wp:inline distT="0" distB="0" distL="114300" distR="114300">
            <wp:extent cx="4831080" cy="2713355"/>
            <wp:effectExtent l="6350" t="6350" r="13970" b="23495"/>
            <wp:docPr id="9"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2"/>
        <w:jc w:val="center"/>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（图1：收入、支出决算总计变动情况图）（柱状图）</w:t>
      </w:r>
    </w:p>
    <w:p>
      <w:pPr>
        <w:pStyle w:val="28"/>
        <w:spacing w:line="600" w:lineRule="exact"/>
        <w:ind w:firstLine="640"/>
        <w:outlineLvl w:val="1"/>
        <w:rPr>
          <w:rFonts w:eastAsia="黑体"/>
          <w:sz w:val="32"/>
          <w:szCs w:val="32"/>
        </w:rPr>
      </w:pPr>
      <w:bookmarkStart w:id="23" w:name="_Toc1920304399"/>
      <w:bookmarkStart w:id="24" w:name="_Toc15396604"/>
      <w:bookmarkStart w:id="25" w:name="_Toc15377206"/>
      <w:r>
        <w:rPr>
          <w:rFonts w:hint="eastAsia" w:eastAsia="黑体"/>
          <w:sz w:val="32"/>
          <w:szCs w:val="32"/>
        </w:rPr>
        <w:t>二、收入决算情况说明</w:t>
      </w:r>
      <w:bookmarkEnd w:id="23"/>
      <w:bookmarkEnd w:id="24"/>
      <w:bookmarkEnd w:id="25"/>
    </w:p>
    <w:p>
      <w:pPr>
        <w:pStyle w:val="28"/>
        <w:spacing w:line="600" w:lineRule="exact"/>
        <w:ind w:firstLine="640"/>
        <w:outlineLvl w:val="1"/>
        <w:rPr>
          <w:rFonts w:hint="eastAsia" w:eastAsia="仿宋_GB2312" w:cs="仿宋_GB2312"/>
          <w:b/>
          <w:bCs/>
          <w:sz w:val="32"/>
          <w:szCs w:val="32"/>
        </w:rPr>
      </w:pPr>
      <w:bookmarkStart w:id="26" w:name="_Toc24303230"/>
      <w:r>
        <w:rPr>
          <w:rFonts w:hint="eastAsia" w:eastAsia="仿宋_GB2312" w:cs="仿宋_GB2312"/>
          <w:sz w:val="32"/>
          <w:szCs w:val="32"/>
        </w:rPr>
        <w:t>2025年度本年收入合计2320.81万元，其中：一般公共预算财政拨款收入1896.9万元，占</w:t>
      </w:r>
      <w:r>
        <w:rPr>
          <w:rFonts w:hint="eastAsia" w:eastAsia="仿宋_GB2312" w:cs="仿宋_GB2312"/>
          <w:sz w:val="32"/>
          <w:szCs w:val="32"/>
          <w:lang w:val="en-US" w:eastAsia="zh-CN"/>
        </w:rPr>
        <w:t>81.7</w:t>
      </w:r>
      <w:r>
        <w:rPr>
          <w:rFonts w:hint="eastAsia" w:eastAsia="仿宋_GB2312" w:cs="仿宋_GB2312"/>
          <w:sz w:val="32"/>
          <w:szCs w:val="32"/>
        </w:rPr>
        <w:t>%；其他收入423.91万元，占</w:t>
      </w:r>
      <w:r>
        <w:rPr>
          <w:rFonts w:hint="eastAsia" w:eastAsia="仿宋_GB2312" w:cs="仿宋_GB2312"/>
          <w:sz w:val="32"/>
          <w:szCs w:val="32"/>
          <w:lang w:val="en-US" w:eastAsia="zh-CN"/>
        </w:rPr>
        <w:t>18.3</w:t>
      </w:r>
      <w:r>
        <w:rPr>
          <w:rFonts w:hint="eastAsia" w:eastAsia="仿宋_GB2312" w:cs="仿宋_GB2312"/>
          <w:sz w:val="32"/>
          <w:szCs w:val="32"/>
        </w:rPr>
        <w:t>%。</w:t>
      </w:r>
      <w:bookmarkEnd w:id="26"/>
    </w:p>
    <w:p>
      <w:pPr>
        <w:pStyle w:val="28"/>
        <w:spacing w:line="600" w:lineRule="exact"/>
        <w:ind w:firstLine="640"/>
        <w:outlineLvl w:val="1"/>
        <w:rPr>
          <w:rFonts w:hint="eastAsia" w:eastAsia="仿宋_GB2312" w:cs="仿宋_GB2312"/>
          <w:b/>
          <w:bCs/>
          <w:sz w:val="32"/>
          <w:szCs w:val="32"/>
        </w:rPr>
      </w:pPr>
    </w:p>
    <w:p>
      <w:pPr>
        <w:pStyle w:val="28"/>
        <w:spacing w:line="600" w:lineRule="exact"/>
        <w:ind w:firstLine="640"/>
        <w:outlineLvl w:val="1"/>
        <w:rPr>
          <w:rFonts w:hint="eastAsia" w:eastAsia="仿宋_GB2312" w:cs="仿宋_GB2312"/>
          <w:b/>
          <w:bCs/>
          <w:sz w:val="32"/>
          <w:szCs w:val="32"/>
        </w:rPr>
      </w:pPr>
    </w:p>
    <w:p>
      <w:pPr>
        <w:pStyle w:val="28"/>
        <w:spacing w:line="600" w:lineRule="exact"/>
        <w:ind w:firstLine="640"/>
        <w:outlineLvl w:val="1"/>
        <w:rPr>
          <w:rFonts w:hint="eastAsia" w:eastAsia="仿宋_GB2312" w:cs="仿宋_GB2312"/>
          <w:b/>
          <w:bCs/>
          <w:sz w:val="32"/>
          <w:szCs w:val="32"/>
        </w:rPr>
      </w:pPr>
    </w:p>
    <w:p>
      <w:pPr>
        <w:pStyle w:val="28"/>
        <w:spacing w:line="600" w:lineRule="exact"/>
        <w:ind w:firstLine="640"/>
        <w:outlineLvl w:val="1"/>
        <w:rPr>
          <w:rFonts w:hint="eastAsia" w:eastAsia="仿宋_GB2312" w:cs="仿宋_GB2312"/>
          <w:b/>
          <w:bCs/>
          <w:sz w:val="32"/>
          <w:szCs w:val="32"/>
        </w:rPr>
      </w:pPr>
      <w:r>
        <w:drawing>
          <wp:anchor distT="0" distB="0" distL="114300" distR="114300" simplePos="0" relativeHeight="251659264" behindDoc="0" locked="0" layoutInCell="1" allowOverlap="1">
            <wp:simplePos x="0" y="0"/>
            <wp:positionH relativeFrom="column">
              <wp:posOffset>4445</wp:posOffset>
            </wp:positionH>
            <wp:positionV relativeFrom="paragraph">
              <wp:posOffset>317500</wp:posOffset>
            </wp:positionV>
            <wp:extent cx="5272405" cy="3087370"/>
            <wp:effectExtent l="6350" t="6350" r="29845" b="30480"/>
            <wp:wrapSquare wrapText="bothSides"/>
            <wp:docPr id="1025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28"/>
        <w:spacing w:line="600" w:lineRule="exact"/>
        <w:ind w:firstLine="640"/>
        <w:jc w:val="center"/>
        <w:outlineLvl w:val="1"/>
        <w:rPr>
          <w:rFonts w:eastAsia="仿宋_GB2312" w:cs="仿宋_GB2312"/>
          <w:sz w:val="32"/>
          <w:szCs w:val="32"/>
        </w:rPr>
      </w:pPr>
      <w:bookmarkStart w:id="27" w:name="_Toc442493680"/>
      <w:r>
        <w:rPr>
          <w:rFonts w:hint="eastAsia" w:eastAsia="仿宋_GB2312" w:cs="仿宋_GB2312"/>
          <w:sz w:val="32"/>
          <w:szCs w:val="32"/>
        </w:rPr>
        <w:t>（图2：收入决算结构图）（饼状图）</w:t>
      </w:r>
      <w:bookmarkEnd w:id="27"/>
    </w:p>
    <w:p>
      <w:pPr>
        <w:ind w:firstLine="800" w:firstLineChars="250"/>
        <w:rPr>
          <w:rFonts w:eastAsia="仿宋_GB2312" w:cs="仿宋_GB2312"/>
          <w:sz w:val="32"/>
          <w:szCs w:val="32"/>
        </w:rPr>
      </w:pPr>
    </w:p>
    <w:p>
      <w:pPr>
        <w:pStyle w:val="28"/>
        <w:spacing w:line="600" w:lineRule="exact"/>
        <w:ind w:firstLine="640"/>
        <w:outlineLvl w:val="1"/>
        <w:rPr>
          <w:rStyle w:val="30"/>
          <w:rFonts w:ascii="Times New Roman" w:hAnsi="Times New Roman" w:eastAsia="黑体"/>
          <w:b w:val="0"/>
        </w:rPr>
      </w:pPr>
      <w:bookmarkStart w:id="28" w:name="_Toc15377207"/>
      <w:bookmarkStart w:id="29" w:name="_Toc15396605"/>
      <w:bookmarkStart w:id="30" w:name="_Toc255410199"/>
      <w:r>
        <w:rPr>
          <w:rFonts w:hint="eastAsia" w:eastAsia="黑体"/>
          <w:sz w:val="32"/>
          <w:szCs w:val="32"/>
        </w:rPr>
        <w:t>三、支</w:t>
      </w:r>
      <w:r>
        <w:rPr>
          <w:rStyle w:val="30"/>
          <w:rFonts w:hint="eastAsia" w:ascii="Times New Roman" w:hAnsi="Times New Roman" w:eastAsia="黑体"/>
          <w:b w:val="0"/>
        </w:rPr>
        <w:t>出决算情况说明</w:t>
      </w:r>
      <w:bookmarkEnd w:id="28"/>
      <w:bookmarkEnd w:id="29"/>
      <w:bookmarkEnd w:id="30"/>
    </w:p>
    <w:p>
      <w:pPr>
        <w:pStyle w:val="28"/>
        <w:spacing w:line="600" w:lineRule="exact"/>
        <w:ind w:firstLine="640"/>
        <w:outlineLvl w:val="1"/>
        <w:rPr>
          <w:rFonts w:hint="eastAsia" w:eastAsia="仿宋_GB2312" w:cs="仿宋_GB2312"/>
          <w:sz w:val="32"/>
          <w:szCs w:val="32"/>
        </w:rPr>
      </w:pPr>
      <w:bookmarkStart w:id="31" w:name="_Toc2006887887"/>
      <w:r>
        <w:rPr>
          <w:rFonts w:hint="eastAsia" w:eastAsia="仿宋_GB2312" w:cs="仿宋_GB2312"/>
          <w:sz w:val="32"/>
          <w:szCs w:val="32"/>
        </w:rPr>
        <w:t>2025年度本年支出合计2356.88万元，其中：基本支出1861.93万元，占</w:t>
      </w:r>
      <w:r>
        <w:rPr>
          <w:rFonts w:hint="eastAsia" w:eastAsia="仿宋_GB2312" w:cs="仿宋_GB2312"/>
          <w:sz w:val="32"/>
          <w:szCs w:val="32"/>
          <w:lang w:val="en-US" w:eastAsia="zh-CN"/>
        </w:rPr>
        <w:t>79</w:t>
      </w:r>
      <w:r>
        <w:rPr>
          <w:rFonts w:hint="eastAsia" w:eastAsia="仿宋_GB2312" w:cs="仿宋_GB2312"/>
          <w:sz w:val="32"/>
          <w:szCs w:val="32"/>
        </w:rPr>
        <w:t>%；项目支出494.96万元，占</w:t>
      </w:r>
      <w:r>
        <w:rPr>
          <w:rFonts w:hint="eastAsia" w:eastAsia="仿宋_GB2312" w:cs="仿宋_GB2312"/>
          <w:sz w:val="32"/>
          <w:szCs w:val="32"/>
          <w:lang w:val="en-US" w:eastAsia="zh-CN"/>
        </w:rPr>
        <w:t>21</w:t>
      </w:r>
      <w:r>
        <w:rPr>
          <w:rFonts w:hint="eastAsia" w:eastAsia="仿宋_GB2312" w:cs="仿宋_GB2312"/>
          <w:sz w:val="32"/>
          <w:szCs w:val="32"/>
        </w:rPr>
        <w:t>%。</w:t>
      </w:r>
      <w:bookmarkEnd w:id="31"/>
      <w:bookmarkStart w:id="32" w:name="_Toc1386557027"/>
    </w:p>
    <w:p>
      <w:pPr>
        <w:pStyle w:val="28"/>
        <w:spacing w:line="600" w:lineRule="exact"/>
        <w:ind w:firstLine="640"/>
        <w:outlineLvl w:val="1"/>
        <w:rPr>
          <w:rFonts w:hint="eastAsia" w:eastAsia="仿宋_GB2312" w:cs="仿宋_GB2312"/>
          <w:sz w:val="32"/>
          <w:szCs w:val="32"/>
        </w:rPr>
      </w:pPr>
    </w:p>
    <w:p>
      <w:pPr>
        <w:pStyle w:val="28"/>
        <w:spacing w:line="600" w:lineRule="exact"/>
        <w:ind w:firstLine="640"/>
        <w:outlineLvl w:val="1"/>
        <w:rPr>
          <w:rFonts w:hint="eastAsia" w:eastAsia="仿宋_GB2312" w:cs="仿宋_GB2312"/>
          <w:sz w:val="32"/>
          <w:szCs w:val="32"/>
        </w:rPr>
      </w:pPr>
    </w:p>
    <w:p>
      <w:pPr>
        <w:pStyle w:val="28"/>
        <w:spacing w:line="600" w:lineRule="exact"/>
        <w:ind w:firstLine="640"/>
        <w:outlineLvl w:val="1"/>
        <w:rPr>
          <w:rFonts w:hint="eastAsia" w:eastAsia="仿宋_GB2312" w:cs="仿宋_GB2312"/>
          <w:sz w:val="32"/>
          <w:szCs w:val="32"/>
        </w:rPr>
      </w:pPr>
    </w:p>
    <w:p>
      <w:pPr>
        <w:pStyle w:val="28"/>
        <w:spacing w:line="600" w:lineRule="exact"/>
        <w:ind w:firstLine="640"/>
        <w:outlineLvl w:val="1"/>
        <w:rPr>
          <w:rFonts w:hint="eastAsia" w:eastAsia="仿宋_GB2312" w:cs="仿宋_GB2312"/>
          <w:sz w:val="32"/>
          <w:szCs w:val="32"/>
        </w:rPr>
      </w:pPr>
    </w:p>
    <w:p>
      <w:pPr>
        <w:pStyle w:val="28"/>
        <w:spacing w:line="600" w:lineRule="exact"/>
        <w:ind w:firstLine="640"/>
        <w:outlineLvl w:val="1"/>
        <w:rPr>
          <w:rFonts w:hint="eastAsia" w:eastAsia="仿宋_GB2312" w:cs="仿宋_GB2312"/>
          <w:sz w:val="32"/>
          <w:szCs w:val="32"/>
        </w:rPr>
      </w:pPr>
    </w:p>
    <w:p>
      <w:pPr>
        <w:pStyle w:val="28"/>
        <w:spacing w:line="600" w:lineRule="exact"/>
        <w:ind w:firstLine="640"/>
        <w:outlineLvl w:val="1"/>
        <w:rPr>
          <w:rFonts w:hint="eastAsia" w:eastAsia="仿宋_GB2312" w:cs="仿宋_GB2312"/>
          <w:sz w:val="32"/>
          <w:szCs w:val="32"/>
        </w:rPr>
      </w:pPr>
    </w:p>
    <w:p>
      <w:pPr>
        <w:pStyle w:val="28"/>
        <w:spacing w:line="600" w:lineRule="exact"/>
        <w:outlineLvl w:val="1"/>
        <w:rPr>
          <w:rFonts w:hint="eastAsia" w:eastAsia="仿宋_GB2312" w:cs="仿宋_GB2312"/>
          <w:sz w:val="32"/>
          <w:szCs w:val="32"/>
          <w:lang w:eastAsia="zh-CN"/>
        </w:rPr>
      </w:pPr>
      <w:r>
        <w:drawing>
          <wp:anchor distT="0" distB="0" distL="114300" distR="114300" simplePos="0" relativeHeight="251660288" behindDoc="0" locked="0" layoutInCell="1" allowOverlap="1">
            <wp:simplePos x="0" y="0"/>
            <wp:positionH relativeFrom="column">
              <wp:posOffset>171450</wp:posOffset>
            </wp:positionH>
            <wp:positionV relativeFrom="paragraph">
              <wp:posOffset>226695</wp:posOffset>
            </wp:positionV>
            <wp:extent cx="5043805" cy="2458085"/>
            <wp:effectExtent l="6350" t="6350" r="29845" b="24765"/>
            <wp:wrapSquare wrapText="bothSides"/>
            <wp:docPr id="1025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8"/>
        <w:spacing w:line="600" w:lineRule="exact"/>
        <w:ind w:firstLine="640"/>
        <w:jc w:val="center"/>
        <w:outlineLvl w:val="1"/>
        <w:rPr>
          <w:rFonts w:eastAsia="仿宋_GB2312" w:cs="仿宋_GB2312"/>
          <w:sz w:val="32"/>
          <w:szCs w:val="32"/>
        </w:rPr>
      </w:pPr>
      <w:r>
        <w:rPr>
          <w:rFonts w:hint="eastAsia" w:eastAsia="仿宋_GB2312" w:cs="仿宋_GB2312"/>
          <w:sz w:val="32"/>
          <w:szCs w:val="32"/>
        </w:rPr>
        <w:t>（图3：支出决算结构图）（饼状图）</w:t>
      </w:r>
      <w:bookmarkEnd w:id="32"/>
    </w:p>
    <w:p>
      <w:pPr>
        <w:ind w:firstLine="800" w:firstLineChars="250"/>
        <w:rPr>
          <w:rFonts w:eastAsia="仿宋_GB2312" w:cs="仿宋_GB2312"/>
          <w:sz w:val="32"/>
          <w:szCs w:val="32"/>
        </w:rPr>
      </w:pPr>
    </w:p>
    <w:p>
      <w:pPr>
        <w:spacing w:line="600" w:lineRule="exact"/>
        <w:ind w:firstLine="640" w:firstLineChars="200"/>
        <w:outlineLvl w:val="1"/>
        <w:rPr>
          <w:rStyle w:val="30"/>
          <w:rFonts w:ascii="Times New Roman" w:hAnsi="Times New Roman" w:eastAsia="黑体"/>
          <w:b w:val="0"/>
        </w:rPr>
      </w:pPr>
      <w:bookmarkStart w:id="33" w:name="_Toc15396606"/>
      <w:bookmarkStart w:id="34" w:name="_Toc15377208"/>
      <w:bookmarkStart w:id="35" w:name="_Toc1518899192"/>
      <w:r>
        <w:rPr>
          <w:rFonts w:hint="eastAsia" w:eastAsia="黑体"/>
          <w:sz w:val="32"/>
          <w:szCs w:val="32"/>
        </w:rPr>
        <w:t>四、财</w:t>
      </w:r>
      <w:r>
        <w:rPr>
          <w:rStyle w:val="30"/>
          <w:rFonts w:hint="eastAsia" w:ascii="Times New Roman" w:hAnsi="Times New Roman" w:eastAsia="黑体"/>
          <w:b w:val="0"/>
        </w:rPr>
        <w:t>政拨款收入支出决算总体情况说明</w:t>
      </w:r>
      <w:bookmarkEnd w:id="33"/>
      <w:bookmarkEnd w:id="34"/>
      <w:bookmarkEnd w:id="35"/>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2025年度财政拨款收入、支出总计均为2363.7万元。与上年度相比，财政拨款收入、支出总计各减少</w:t>
      </w:r>
      <w:r>
        <w:rPr>
          <w:rFonts w:hint="eastAsia" w:eastAsia="仿宋_GB2312" w:cs="仿宋_GB2312"/>
          <w:sz w:val="32"/>
          <w:szCs w:val="32"/>
          <w:lang w:val="en-US" w:eastAsia="zh-CN"/>
        </w:rPr>
        <w:t>459.22</w:t>
      </w:r>
      <w:r>
        <w:rPr>
          <w:rFonts w:hint="eastAsia" w:eastAsia="仿宋_GB2312" w:cs="仿宋_GB2312"/>
          <w:sz w:val="32"/>
          <w:szCs w:val="32"/>
        </w:rPr>
        <w:t>万元，下降</w:t>
      </w:r>
      <w:r>
        <w:rPr>
          <w:rFonts w:hint="eastAsia" w:eastAsia="仿宋_GB2312" w:cs="仿宋_GB2312"/>
          <w:sz w:val="32"/>
          <w:szCs w:val="32"/>
          <w:lang w:val="en-US" w:eastAsia="zh-CN"/>
        </w:rPr>
        <w:t>16.3</w:t>
      </w:r>
      <w:r>
        <w:rPr>
          <w:rFonts w:hint="eastAsia" w:eastAsia="仿宋_GB2312" w:cs="仿宋_GB2312"/>
          <w:sz w:val="32"/>
          <w:szCs w:val="32"/>
        </w:rPr>
        <w:t>%。主要变动原因是本年人员变动，项目支出减少导致本年收入减少</w:t>
      </w:r>
      <w:r>
        <w:rPr>
          <w:rFonts w:hint="eastAsia" w:eastAsia="仿宋_GB2312" w:cs="仿宋_GB2312"/>
          <w:sz w:val="32"/>
          <w:szCs w:val="32"/>
          <w:lang w:eastAsia="zh-CN"/>
        </w:rPr>
        <w:t>。</w:t>
      </w:r>
    </w:p>
    <w:p>
      <w:pPr>
        <w:pStyle w:val="2"/>
        <w:rPr>
          <w:rFonts w:hint="eastAsia" w:eastAsia="仿宋_GB2312" w:cs="仿宋_GB2312"/>
          <w:sz w:val="32"/>
          <w:szCs w:val="32"/>
          <w:lang w:eastAsia="zh-CN"/>
        </w:rPr>
      </w:pPr>
      <w:r>
        <w:drawing>
          <wp:anchor distT="0" distB="0" distL="114300" distR="114300" simplePos="0" relativeHeight="251661312" behindDoc="0" locked="0" layoutInCell="1" allowOverlap="1">
            <wp:simplePos x="0" y="0"/>
            <wp:positionH relativeFrom="column">
              <wp:posOffset>241300</wp:posOffset>
            </wp:positionH>
            <wp:positionV relativeFrom="paragraph">
              <wp:posOffset>175895</wp:posOffset>
            </wp:positionV>
            <wp:extent cx="5049520" cy="2434590"/>
            <wp:effectExtent l="6350" t="6350" r="24130" b="22860"/>
            <wp:wrapSquare wrapText="bothSides"/>
            <wp:docPr id="1025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Style w:val="3"/>
        <w:rPr>
          <w:rFonts w:hint="eastAsia"/>
          <w:lang w:eastAsia="zh-CN"/>
        </w:rPr>
      </w:pPr>
    </w:p>
    <w:p>
      <w:pPr>
        <w:pStyle w:val="2"/>
        <w:rPr>
          <w:rFonts w:hint="eastAsia"/>
          <w:lang w:eastAsia="zh-CN"/>
        </w:rPr>
      </w:pPr>
    </w:p>
    <w:p>
      <w:pPr>
        <w:pStyle w:val="2"/>
        <w:rPr>
          <w:rFonts w:hint="eastAsia"/>
          <w:lang w:eastAsia="zh-CN"/>
        </w:rPr>
      </w:pPr>
    </w:p>
    <w:p>
      <w:pPr>
        <w:spacing w:line="600" w:lineRule="exact"/>
        <w:ind w:firstLine="640" w:firstLineChars="200"/>
        <w:rPr>
          <w:rFonts w:hint="eastAsia" w:eastAsia="仿宋_GB2312" w:cs="仿宋_GB2312"/>
          <w:sz w:val="32"/>
          <w:szCs w:val="32"/>
        </w:rPr>
      </w:pPr>
      <w:r>
        <w:rPr>
          <w:rFonts w:hint="eastAsia" w:eastAsia="仿宋_GB2312" w:cs="仿宋_GB2312"/>
          <w:sz w:val="32"/>
          <w:szCs w:val="32"/>
        </w:rPr>
        <w:t>（图4：财政拨款收、支决算总计变动情况）（柱状图）</w:t>
      </w:r>
    </w:p>
    <w:p>
      <w:pPr>
        <w:pStyle w:val="2"/>
      </w:pPr>
    </w:p>
    <w:p>
      <w:pPr>
        <w:spacing w:line="600" w:lineRule="exact"/>
        <w:ind w:firstLine="640" w:firstLineChars="200"/>
        <w:outlineLvl w:val="1"/>
        <w:rPr>
          <w:rStyle w:val="30"/>
          <w:rFonts w:ascii="Times New Roman" w:hAnsi="Times New Roman" w:eastAsia="黑体"/>
          <w:b w:val="0"/>
        </w:rPr>
      </w:pPr>
      <w:bookmarkStart w:id="36" w:name="_Toc1000608055"/>
      <w:bookmarkStart w:id="37" w:name="_Toc15396607"/>
      <w:bookmarkStart w:id="38" w:name="_Toc15377209"/>
      <w:r>
        <w:rPr>
          <w:rFonts w:hint="eastAsia" w:eastAsia="黑体"/>
          <w:sz w:val="32"/>
          <w:szCs w:val="32"/>
        </w:rPr>
        <w:t>五、</w:t>
      </w:r>
      <w:r>
        <w:rPr>
          <w:rFonts w:hint="eastAsia" w:eastAsia="黑体"/>
          <w:b/>
          <w:sz w:val="32"/>
          <w:szCs w:val="32"/>
        </w:rPr>
        <w:t>一</w:t>
      </w:r>
      <w:r>
        <w:rPr>
          <w:rStyle w:val="30"/>
          <w:rFonts w:hint="eastAsia" w:ascii="Times New Roman" w:hAnsi="Times New Roman" w:eastAsia="黑体"/>
          <w:b w:val="0"/>
        </w:rPr>
        <w:t>般公共预算财政拨款支出决算情况说明</w:t>
      </w:r>
      <w:bookmarkEnd w:id="36"/>
      <w:bookmarkEnd w:id="37"/>
      <w:bookmarkEnd w:id="38"/>
    </w:p>
    <w:p>
      <w:pPr>
        <w:spacing w:line="600" w:lineRule="exact"/>
        <w:ind w:firstLine="643" w:firstLineChars="200"/>
        <w:outlineLvl w:val="2"/>
        <w:rPr>
          <w:rFonts w:eastAsia="楷体_GB2312" w:cs="楷体_GB2312"/>
          <w:b/>
          <w:sz w:val="32"/>
          <w:szCs w:val="32"/>
        </w:rPr>
      </w:pPr>
      <w:bookmarkStart w:id="39" w:name="_Toc15377210"/>
      <w:r>
        <w:rPr>
          <w:rFonts w:hint="eastAsia" w:eastAsia="楷体_GB2312" w:cs="楷体_GB2312"/>
          <w:b/>
          <w:sz w:val="32"/>
          <w:szCs w:val="32"/>
        </w:rPr>
        <w:t>（一）一般公共预算财政拨款支出决算总体情况</w:t>
      </w:r>
      <w:bookmarkEnd w:id="39"/>
    </w:p>
    <w:p>
      <w:pPr>
        <w:spacing w:line="600" w:lineRule="exact"/>
        <w:ind w:firstLine="640"/>
        <w:rPr>
          <w:rFonts w:hint="eastAsia" w:eastAsia="仿宋_GB2312" w:cs="仿宋_GB2312"/>
          <w:sz w:val="32"/>
          <w:szCs w:val="32"/>
        </w:rPr>
      </w:pPr>
      <w:r>
        <w:rPr>
          <w:rFonts w:hint="eastAsia" w:eastAsia="仿宋_GB2312" w:cs="仿宋_GB2312"/>
          <w:sz w:val="32"/>
          <w:szCs w:val="32"/>
        </w:rPr>
        <w:t>2025年度一般公共预算财政拨款支出1896.9万元，占本年支出合计的80.5%。与上年度相比，一般公共预算财政拨款支出减少</w:t>
      </w:r>
      <w:r>
        <w:rPr>
          <w:rFonts w:hint="eastAsia" w:eastAsia="仿宋_GB2312" w:cs="仿宋_GB2312"/>
          <w:sz w:val="32"/>
          <w:szCs w:val="32"/>
          <w:lang w:val="en-US" w:eastAsia="zh-CN"/>
        </w:rPr>
        <w:t>327.75</w:t>
      </w:r>
      <w:r>
        <w:rPr>
          <w:rFonts w:hint="eastAsia" w:eastAsia="仿宋_GB2312" w:cs="仿宋_GB2312"/>
          <w:sz w:val="32"/>
          <w:szCs w:val="32"/>
        </w:rPr>
        <w:t>万元，下降</w:t>
      </w:r>
      <w:r>
        <w:rPr>
          <w:rFonts w:hint="eastAsia" w:eastAsia="仿宋_GB2312" w:cs="仿宋_GB2312"/>
          <w:sz w:val="32"/>
          <w:szCs w:val="32"/>
          <w:lang w:val="en-US" w:eastAsia="zh-CN"/>
        </w:rPr>
        <w:t>14.7</w:t>
      </w:r>
      <w:r>
        <w:rPr>
          <w:rFonts w:hint="eastAsia" w:eastAsia="仿宋_GB2312" w:cs="仿宋_GB2312"/>
          <w:sz w:val="32"/>
          <w:szCs w:val="32"/>
        </w:rPr>
        <w:t>%。主要变动原因是本年人员变动，项目支出减少导致本年收入减少。</w:t>
      </w:r>
    </w:p>
    <w:p>
      <w:pPr>
        <w:pStyle w:val="2"/>
        <w:rPr>
          <w:rFonts w:hint="eastAsia"/>
        </w:rPr>
      </w:pPr>
      <w:r>
        <w:drawing>
          <wp:anchor distT="0" distB="0" distL="114300" distR="114300" simplePos="0" relativeHeight="251662336" behindDoc="0" locked="0" layoutInCell="1" allowOverlap="1">
            <wp:simplePos x="0" y="0"/>
            <wp:positionH relativeFrom="column">
              <wp:posOffset>6350</wp:posOffset>
            </wp:positionH>
            <wp:positionV relativeFrom="paragraph">
              <wp:posOffset>6350</wp:posOffset>
            </wp:positionV>
            <wp:extent cx="5452745" cy="2766060"/>
            <wp:effectExtent l="6350" t="6350" r="27305" b="21590"/>
            <wp:wrapSquare wrapText="bothSides"/>
            <wp:docPr id="10251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pStyle w:val="2"/>
      </w:pPr>
    </w:p>
    <w:p>
      <w:pPr>
        <w:spacing w:line="600" w:lineRule="exact"/>
        <w:ind w:firstLine="640"/>
        <w:rPr>
          <w:rFonts w:eastAsia="仿宋_GB2312" w:cs="仿宋_GB2312"/>
          <w:sz w:val="32"/>
          <w:szCs w:val="32"/>
        </w:rPr>
      </w:pPr>
      <w:r>
        <w:rPr>
          <w:rFonts w:hint="eastAsia" w:eastAsia="仿宋_GB2312" w:cs="仿宋_GB2312"/>
          <w:sz w:val="32"/>
          <w:szCs w:val="32"/>
        </w:rPr>
        <w:t>（图5：一般公共预算财政拨款支出决算变动情况）（柱状图）</w:t>
      </w:r>
    </w:p>
    <w:p>
      <w:pPr>
        <w:spacing w:line="600" w:lineRule="exact"/>
        <w:rPr>
          <w:rFonts w:eastAsia="仿宋_GB2312" w:cs="仿宋_GB2312"/>
          <w:sz w:val="32"/>
          <w:szCs w:val="32"/>
        </w:rPr>
      </w:pPr>
    </w:p>
    <w:p>
      <w:pPr>
        <w:spacing w:line="600" w:lineRule="exact"/>
        <w:ind w:firstLine="643" w:firstLineChars="200"/>
        <w:outlineLvl w:val="2"/>
        <w:rPr>
          <w:rFonts w:eastAsia="楷体_GB2312" w:cs="楷体_GB2312"/>
          <w:b/>
          <w:sz w:val="32"/>
          <w:szCs w:val="32"/>
        </w:rPr>
      </w:pPr>
      <w:bookmarkStart w:id="40" w:name="_Toc15377211"/>
      <w:r>
        <w:rPr>
          <w:rFonts w:hint="eastAsia" w:eastAsia="楷体_GB2312" w:cs="楷体_GB2312"/>
          <w:b/>
          <w:sz w:val="32"/>
          <w:szCs w:val="32"/>
        </w:rPr>
        <w:t>（二）一般公共预算财政拨款支出决算结构情况</w:t>
      </w:r>
      <w:bookmarkEnd w:id="40"/>
    </w:p>
    <w:p>
      <w:pPr>
        <w:spacing w:line="600" w:lineRule="exact"/>
        <w:ind w:firstLine="640"/>
        <w:rPr>
          <w:rFonts w:hint="eastAsia" w:eastAsia="仿宋_GB2312" w:cs="仿宋_GB2312"/>
          <w:b/>
          <w:bCs/>
          <w:sz w:val="32"/>
          <w:szCs w:val="32"/>
          <w:lang w:eastAsia="zh-CN"/>
        </w:rPr>
      </w:pPr>
      <w:r>
        <w:rPr>
          <w:rFonts w:hint="eastAsia" w:eastAsia="仿宋_GB2312" w:cs="仿宋_GB2312"/>
          <w:sz w:val="32"/>
          <w:szCs w:val="32"/>
        </w:rPr>
        <w:t>2025年度一般公共预算财政拨款支出1896.9万元，主要用于以下方面：公共安全支出1460.31万元，占</w:t>
      </w:r>
      <w:r>
        <w:rPr>
          <w:rFonts w:hint="eastAsia" w:eastAsia="仿宋_GB2312" w:cs="仿宋_GB2312"/>
          <w:sz w:val="32"/>
          <w:szCs w:val="32"/>
          <w:lang w:val="en-US" w:eastAsia="zh-CN"/>
        </w:rPr>
        <w:t>77</w:t>
      </w:r>
      <w:r>
        <w:rPr>
          <w:rFonts w:hint="eastAsia" w:eastAsia="仿宋_GB2312" w:cs="仿宋_GB2312"/>
          <w:sz w:val="32"/>
          <w:szCs w:val="32"/>
        </w:rPr>
        <w:t>%；社会保障和就业支出221.25万元，占</w:t>
      </w:r>
      <w:r>
        <w:rPr>
          <w:rFonts w:hint="eastAsia" w:eastAsia="仿宋_GB2312" w:cs="仿宋_GB2312"/>
          <w:sz w:val="32"/>
          <w:szCs w:val="32"/>
          <w:lang w:val="en-US" w:eastAsia="zh-CN"/>
        </w:rPr>
        <w:t>11.7</w:t>
      </w:r>
      <w:r>
        <w:rPr>
          <w:rFonts w:hint="eastAsia" w:eastAsia="仿宋_GB2312" w:cs="仿宋_GB2312"/>
          <w:sz w:val="32"/>
          <w:szCs w:val="32"/>
        </w:rPr>
        <w:t>%；卫生健康支出78.62万元，占</w:t>
      </w:r>
      <w:r>
        <w:rPr>
          <w:rFonts w:hint="eastAsia" w:eastAsia="仿宋_GB2312" w:cs="仿宋_GB2312"/>
          <w:sz w:val="32"/>
          <w:szCs w:val="32"/>
          <w:lang w:val="en-US" w:eastAsia="zh-CN"/>
        </w:rPr>
        <w:t>4.1</w:t>
      </w:r>
      <w:r>
        <w:rPr>
          <w:rFonts w:hint="eastAsia" w:eastAsia="仿宋_GB2312" w:cs="仿宋_GB2312"/>
          <w:sz w:val="32"/>
          <w:szCs w:val="32"/>
        </w:rPr>
        <w:t>%；住房保障支出136.71万元，占</w:t>
      </w:r>
      <w:r>
        <w:rPr>
          <w:rFonts w:hint="eastAsia" w:eastAsia="仿宋_GB2312" w:cs="仿宋_GB2312"/>
          <w:sz w:val="32"/>
          <w:szCs w:val="32"/>
          <w:lang w:val="en-US" w:eastAsia="zh-CN"/>
        </w:rPr>
        <w:t>7.2</w:t>
      </w:r>
      <w:r>
        <w:rPr>
          <w:rFonts w:hint="eastAsia" w:eastAsia="仿宋_GB2312" w:cs="仿宋_GB2312"/>
          <w:sz w:val="32"/>
          <w:szCs w:val="32"/>
        </w:rPr>
        <w:t>%</w:t>
      </w:r>
      <w:r>
        <w:rPr>
          <w:rFonts w:hint="eastAsia" w:eastAsia="仿宋_GB2312" w:cs="仿宋_GB2312"/>
          <w:sz w:val="32"/>
          <w:szCs w:val="32"/>
          <w:lang w:eastAsia="zh-CN"/>
        </w:rPr>
        <w:t>。</w:t>
      </w:r>
    </w:p>
    <w:p>
      <w:pPr>
        <w:pStyle w:val="2"/>
      </w:pPr>
      <w:r>
        <w:drawing>
          <wp:inline distT="0" distB="0" distL="114300" distR="114300">
            <wp:extent cx="5271135" cy="3136265"/>
            <wp:effectExtent l="6350" t="6350" r="31115" b="6985"/>
            <wp:docPr id="102518"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ind w:firstLine="640"/>
        <w:rPr>
          <w:rFonts w:eastAsia="仿宋_GB2312" w:cs="仿宋_GB2312"/>
          <w:sz w:val="32"/>
          <w:szCs w:val="32"/>
        </w:rPr>
      </w:pPr>
      <w:r>
        <w:rPr>
          <w:rFonts w:hint="eastAsia" w:eastAsia="仿宋_GB2312" w:cs="仿宋_GB2312"/>
          <w:sz w:val="32"/>
          <w:szCs w:val="32"/>
        </w:rPr>
        <w:t>（图6：一般公共预算财政拨款支出决算结构）（饼状图）</w:t>
      </w:r>
    </w:p>
    <w:p>
      <w:pPr>
        <w:spacing w:line="600" w:lineRule="exact"/>
        <w:ind w:firstLine="640"/>
        <w:rPr>
          <w:rFonts w:eastAsia="仿宋_GB2312" w:cs="仿宋_GB2312"/>
          <w:sz w:val="32"/>
          <w:szCs w:val="32"/>
        </w:rPr>
      </w:pPr>
    </w:p>
    <w:p>
      <w:pPr>
        <w:spacing w:line="600" w:lineRule="exact"/>
        <w:ind w:firstLine="643" w:firstLineChars="200"/>
        <w:outlineLvl w:val="2"/>
        <w:rPr>
          <w:rFonts w:eastAsia="楷体_GB2312" w:cs="楷体_GB2312"/>
          <w:b/>
          <w:sz w:val="32"/>
          <w:szCs w:val="32"/>
        </w:rPr>
      </w:pPr>
      <w:bookmarkStart w:id="41" w:name="_Toc15377212"/>
      <w:r>
        <w:rPr>
          <w:rFonts w:hint="eastAsia" w:eastAsia="楷体_GB2312" w:cs="楷体_GB2312"/>
          <w:b/>
          <w:sz w:val="32"/>
          <w:szCs w:val="32"/>
        </w:rPr>
        <w:t>（三）一般公共预算财政拨款支出决算具体情况</w:t>
      </w:r>
      <w:bookmarkEnd w:id="41"/>
    </w:p>
    <w:p>
      <w:pPr>
        <w:spacing w:line="600" w:lineRule="exact"/>
        <w:ind w:firstLine="640"/>
        <w:rPr>
          <w:rFonts w:eastAsia="仿宋_GB2312" w:cs="仿宋_GB2312"/>
          <w:sz w:val="32"/>
          <w:szCs w:val="32"/>
        </w:rPr>
      </w:pPr>
      <w:bookmarkStart w:id="42" w:name="_Toc15377444"/>
      <w:bookmarkStart w:id="43" w:name="_Toc15377213"/>
      <w:bookmarkStart w:id="44" w:name="_Toc15378460"/>
      <w:r>
        <w:rPr>
          <w:rFonts w:hint="eastAsia" w:eastAsia="仿宋_GB2312" w:cs="仿宋_GB2312"/>
          <w:sz w:val="32"/>
          <w:szCs w:val="32"/>
        </w:rPr>
        <w:t>2025年度一般公共预算支出决算数为1896.9</w:t>
      </w:r>
      <w:r>
        <w:rPr>
          <w:rFonts w:hint="eastAsia" w:eastAsia="仿宋_GB2312" w:cs="仿宋_GB2312"/>
          <w:sz w:val="32"/>
          <w:szCs w:val="32"/>
          <w:lang w:val="en-US" w:eastAsia="zh-CN"/>
        </w:rPr>
        <w:t>万元</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42"/>
      <w:bookmarkEnd w:id="43"/>
      <w:bookmarkEnd w:id="44"/>
    </w:p>
    <w:p>
      <w:pPr>
        <w:spacing w:line="600" w:lineRule="exact"/>
        <w:ind w:firstLine="640"/>
        <w:rPr>
          <w:rFonts w:hint="eastAsia" w:eastAsia="仿宋_GB2312" w:cs="仿宋_GB2312"/>
          <w:sz w:val="32"/>
          <w:szCs w:val="32"/>
        </w:rPr>
      </w:pPr>
      <w:r>
        <w:rPr>
          <w:rFonts w:hint="eastAsia" w:eastAsia="仿宋_GB2312" w:cs="仿宋_GB2312"/>
          <w:sz w:val="32"/>
          <w:szCs w:val="32"/>
        </w:rPr>
        <w:t>1.公共安全支出（类）（款）（项）行政运行2040501:支出决算为1027.78万元，完成预算100%，决算数等于预算数。</w:t>
      </w:r>
    </w:p>
    <w:p>
      <w:pPr>
        <w:spacing w:line="600" w:lineRule="exact"/>
        <w:ind w:firstLine="640"/>
        <w:rPr>
          <w:rFonts w:hint="eastAsia" w:eastAsia="仿宋_GB2312" w:cs="仿宋_GB2312"/>
          <w:sz w:val="32"/>
          <w:szCs w:val="32"/>
        </w:rPr>
      </w:pPr>
      <w:r>
        <w:rPr>
          <w:rFonts w:hint="eastAsia" w:eastAsia="仿宋_GB2312" w:cs="仿宋_GB2312"/>
          <w:sz w:val="32"/>
          <w:szCs w:val="32"/>
        </w:rPr>
        <w:t>2.公共安全支出（类）（款）（项）一般行政管理事务2040502:支出决算为432.53万元，完成预算100%，决算数等于预算数。</w:t>
      </w:r>
    </w:p>
    <w:p>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3</w:t>
      </w:r>
      <w:r>
        <w:rPr>
          <w:rFonts w:hint="eastAsia" w:eastAsia="仿宋_GB2312" w:cs="仿宋_GB2312"/>
          <w:sz w:val="32"/>
          <w:szCs w:val="32"/>
        </w:rPr>
        <w:t>.社会保障和就业支出（类）行政事业单位养老支出（款）机关事业单位基本养老保险缴费支出2080505（项）:支出决算为146.25万元，完成预算100%，决算数等于预算数。</w:t>
      </w:r>
    </w:p>
    <w:p>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4</w:t>
      </w:r>
      <w:r>
        <w:rPr>
          <w:rFonts w:hint="eastAsia" w:eastAsia="仿宋_GB2312" w:cs="仿宋_GB2312"/>
          <w:sz w:val="32"/>
          <w:szCs w:val="32"/>
        </w:rPr>
        <w:t>.社会保障和就业支出（类）机关事业单位职业年金缴费支出2080506（项）:支出决算为74.99万元，完成预算100%，决算数等于预算数。</w:t>
      </w:r>
    </w:p>
    <w:p>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5</w:t>
      </w:r>
      <w:r>
        <w:rPr>
          <w:rFonts w:hint="eastAsia" w:eastAsia="仿宋_GB2312" w:cs="仿宋_GB2312"/>
          <w:sz w:val="32"/>
          <w:szCs w:val="32"/>
        </w:rPr>
        <w:t>.卫生健康支出（类）行政事业单位医疗（款）行政单位医疗2101101（项）:支出决算为63.74万元，完成预算100%，决算数等于预算数。</w:t>
      </w:r>
    </w:p>
    <w:p>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6</w:t>
      </w:r>
      <w:r>
        <w:rPr>
          <w:rFonts w:hint="eastAsia" w:eastAsia="仿宋_GB2312" w:cs="仿宋_GB2312"/>
          <w:sz w:val="32"/>
          <w:szCs w:val="32"/>
        </w:rPr>
        <w:t>.卫生健康支出（类）行政事业单位医疗（款）公务员医疗补助2101103（项）:支出决算为14.88万元，完成预算100%，决算数等于预算数。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lang w:val="en-US" w:eastAsia="zh-CN"/>
        </w:rPr>
        <w:t>7</w:t>
      </w:r>
      <w:r>
        <w:rPr>
          <w:rFonts w:hint="eastAsia" w:eastAsia="仿宋_GB2312" w:cs="仿宋_GB2312"/>
          <w:sz w:val="32"/>
          <w:szCs w:val="32"/>
        </w:rPr>
        <w:t>.住房保障支出（类）住房改革支出（款）住房公积金2210201（项）:支出决算为136.71万元，完成预算100%，决算数等于预算数。</w:t>
      </w:r>
    </w:p>
    <w:p>
      <w:pPr>
        <w:tabs>
          <w:tab w:val="right" w:pos="8306"/>
        </w:tabs>
        <w:spacing w:line="600" w:lineRule="exact"/>
        <w:ind w:firstLine="640"/>
        <w:outlineLvl w:val="1"/>
        <w:rPr>
          <w:rStyle w:val="30"/>
          <w:rFonts w:ascii="Times New Roman" w:hAnsi="Times New Roman"/>
        </w:rPr>
      </w:pPr>
      <w:bookmarkStart w:id="45" w:name="_Toc15377214"/>
      <w:bookmarkStart w:id="46" w:name="_Toc15396608"/>
      <w:bookmarkStart w:id="47" w:name="_Toc275140728"/>
      <w:r>
        <w:rPr>
          <w:rFonts w:hint="eastAsia" w:eastAsia="黑体"/>
          <w:sz w:val="32"/>
          <w:szCs w:val="32"/>
        </w:rPr>
        <w:t>六</w:t>
      </w:r>
      <w:r>
        <w:rPr>
          <w:rFonts w:hint="eastAsia" w:eastAsia="黑体"/>
          <w:b/>
          <w:sz w:val="32"/>
          <w:szCs w:val="32"/>
        </w:rPr>
        <w:t>、一</w:t>
      </w:r>
      <w:r>
        <w:rPr>
          <w:rStyle w:val="30"/>
          <w:rFonts w:hint="eastAsia" w:ascii="Times New Roman" w:hAnsi="Times New Roman" w:eastAsia="黑体"/>
          <w:b w:val="0"/>
        </w:rPr>
        <w:t>般公共预算财政拨款基本支出决算情况说明</w:t>
      </w:r>
      <w:bookmarkEnd w:id="45"/>
      <w:bookmarkEnd w:id="46"/>
      <w:bookmarkEnd w:id="47"/>
      <w:r>
        <w:rPr>
          <w:rStyle w:val="30"/>
          <w:rFonts w:ascii="Times New Roman" w:hAnsi="Times New Roman" w:eastAsia="黑体"/>
          <w:b w:val="0"/>
        </w:rPr>
        <w:tab/>
      </w:r>
    </w:p>
    <w:p>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2025年度一般公共预算财政拨款基本支出1464.36万元，其中：</w:t>
      </w:r>
    </w:p>
    <w:p>
      <w:pPr>
        <w:spacing w:line="600" w:lineRule="exact"/>
        <w:ind w:firstLine="640"/>
        <w:rPr>
          <w:rFonts w:eastAsia="仿宋_GB2312" w:cs="仿宋_GB2312"/>
          <w:sz w:val="32"/>
          <w:szCs w:val="32"/>
        </w:rPr>
      </w:pPr>
      <w:r>
        <w:rPr>
          <w:rFonts w:hint="eastAsia" w:eastAsia="仿宋_GB2312" w:cs="仿宋_GB2312"/>
          <w:sz w:val="32"/>
          <w:szCs w:val="32"/>
        </w:rPr>
        <w:t>人员经费1332.47万元，主要包括：基本工资、津贴补贴、奖金、伙食补助费、机关事业单位基本养老保险缴费、职业年金缴费、公务员医疗补助缴费</w:t>
      </w:r>
      <w:r>
        <w:rPr>
          <w:rFonts w:hint="eastAsia" w:eastAsia="仿宋_GB2312" w:cs="仿宋_GB2312"/>
          <w:sz w:val="32"/>
          <w:szCs w:val="32"/>
          <w:lang w:eastAsia="zh-CN"/>
        </w:rPr>
        <w:t>、</w:t>
      </w:r>
      <w:r>
        <w:rPr>
          <w:rFonts w:hint="eastAsia" w:eastAsia="仿宋_GB2312" w:cs="仿宋_GB2312"/>
          <w:sz w:val="32"/>
          <w:szCs w:val="32"/>
        </w:rPr>
        <w:t>其他社会保障缴费、生活补助、住房公积金、其他对个人和家庭的补助支出等。</w:t>
      </w:r>
      <w:r>
        <w:rPr>
          <w:rFonts w:hint="eastAsia" w:eastAsia="仿宋_GB2312" w:cs="仿宋_GB2312"/>
          <w:sz w:val="32"/>
          <w:szCs w:val="32"/>
        </w:rPr>
        <w:br w:type="textWrapping"/>
      </w:r>
      <w:r>
        <w:rPr>
          <w:rFonts w:hint="eastAsia" w:eastAsia="仿宋_GB2312" w:cs="仿宋_GB2312"/>
          <w:sz w:val="32"/>
          <w:szCs w:val="32"/>
        </w:rPr>
        <w:t>　　公用经费131.89万元，主要包括：办公费、手续费、水费、电费、邮电费、差旅费、维修（护）费、培训费、公务接待费、劳务费、委托业务费、福利费、公务用车运行维护费</w:t>
      </w:r>
      <w:r>
        <w:rPr>
          <w:rFonts w:hint="eastAsia" w:eastAsia="仿宋_GB2312" w:cs="仿宋_GB2312"/>
          <w:sz w:val="32"/>
          <w:szCs w:val="32"/>
          <w:lang w:eastAsia="zh-CN"/>
        </w:rPr>
        <w:t>、其他商品和服务支出</w:t>
      </w:r>
      <w:r>
        <w:rPr>
          <w:rFonts w:hint="eastAsia" w:eastAsia="仿宋_GB2312" w:cs="仿宋_GB2312"/>
          <w:sz w:val="32"/>
          <w:szCs w:val="32"/>
        </w:rPr>
        <w:t>。</w:t>
      </w:r>
    </w:p>
    <w:p>
      <w:pPr>
        <w:spacing w:line="600" w:lineRule="exact"/>
        <w:ind w:firstLine="640"/>
        <w:rPr>
          <w:rFonts w:eastAsia="仿宋_GB2312" w:cs="仿宋_GB2312"/>
          <w:sz w:val="32"/>
          <w:szCs w:val="32"/>
        </w:rPr>
      </w:pPr>
    </w:p>
    <w:p>
      <w:pPr>
        <w:spacing w:line="600" w:lineRule="exact"/>
        <w:ind w:firstLine="640"/>
        <w:outlineLvl w:val="1"/>
        <w:rPr>
          <w:rStyle w:val="30"/>
          <w:rFonts w:ascii="Times New Roman" w:hAnsi="Times New Roman" w:eastAsia="黑体"/>
          <w:b w:val="0"/>
        </w:rPr>
      </w:pPr>
      <w:bookmarkStart w:id="48" w:name="_Toc15377215"/>
      <w:bookmarkStart w:id="49" w:name="_Toc15396609"/>
      <w:bookmarkStart w:id="50" w:name="_Toc757923505"/>
      <w:r>
        <w:rPr>
          <w:rFonts w:hint="eastAsia" w:eastAsia="黑体"/>
          <w:sz w:val="32"/>
          <w:szCs w:val="32"/>
        </w:rPr>
        <w:t>七、</w:t>
      </w:r>
      <w:r>
        <w:rPr>
          <w:rStyle w:val="30"/>
          <w:rFonts w:hint="eastAsia" w:ascii="Times New Roman" w:hAnsi="Times New Roman" w:eastAsia="黑体"/>
          <w:b w:val="0"/>
        </w:rPr>
        <w:t>财政拨款</w:t>
      </w:r>
      <w:r>
        <w:rPr>
          <w:rStyle w:val="30"/>
          <w:rFonts w:hint="eastAsia" w:ascii="Times New Roman" w:hAnsi="Times New Roman" w:eastAsia="黑体"/>
        </w:rPr>
        <w:t>“</w:t>
      </w:r>
      <w:r>
        <w:rPr>
          <w:rStyle w:val="30"/>
          <w:rFonts w:hint="eastAsia" w:ascii="Times New Roman" w:hAnsi="Times New Roman" w:eastAsia="黑体"/>
          <w:b w:val="0"/>
        </w:rPr>
        <w:t>三公”经费支出决算情况说明</w:t>
      </w:r>
      <w:bookmarkEnd w:id="48"/>
      <w:bookmarkEnd w:id="49"/>
      <w:bookmarkEnd w:id="50"/>
    </w:p>
    <w:p>
      <w:pPr>
        <w:spacing w:line="600" w:lineRule="exact"/>
        <w:ind w:firstLine="643" w:firstLineChars="200"/>
        <w:outlineLvl w:val="2"/>
        <w:rPr>
          <w:rFonts w:eastAsia="楷体_GB2312" w:cs="楷体_GB2312"/>
          <w:b/>
          <w:sz w:val="32"/>
          <w:szCs w:val="32"/>
        </w:rPr>
      </w:pPr>
      <w:bookmarkStart w:id="51" w:name="_Toc15377216"/>
      <w:r>
        <w:rPr>
          <w:rFonts w:hint="eastAsia" w:eastAsia="楷体_GB2312" w:cs="楷体_GB2312"/>
          <w:b/>
          <w:sz w:val="32"/>
          <w:szCs w:val="32"/>
        </w:rPr>
        <w:t>（一）财政拨款“三公”经费支出决算总体情况说明</w:t>
      </w:r>
      <w:bookmarkEnd w:id="51"/>
    </w:p>
    <w:p>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2025年度财政拨款“三公”经费支出决算为6.04万元，完成预算74.5%，较上年度减少107.85万元，下降94.7%。决算数小于预算数的主要原因是本年度厉行节约。</w:t>
      </w:r>
    </w:p>
    <w:p>
      <w:pPr>
        <w:spacing w:line="600" w:lineRule="exact"/>
        <w:ind w:firstLine="643" w:firstLineChars="200"/>
        <w:outlineLvl w:val="2"/>
        <w:rPr>
          <w:rFonts w:eastAsia="楷体_GB2312" w:cs="楷体_GB2312"/>
          <w:b/>
          <w:sz w:val="32"/>
          <w:szCs w:val="32"/>
        </w:rPr>
      </w:pPr>
      <w:bookmarkStart w:id="52" w:name="_Toc15377217"/>
      <w:r>
        <w:rPr>
          <w:rFonts w:hint="eastAsia" w:eastAsia="楷体_GB2312" w:cs="楷体_GB2312"/>
          <w:b/>
          <w:sz w:val="32"/>
          <w:szCs w:val="32"/>
        </w:rPr>
        <w:t>（二）财政拨款“三公”经费支出决算具体情况说明</w:t>
      </w:r>
      <w:bookmarkEnd w:id="52"/>
    </w:p>
    <w:p>
      <w:pPr>
        <w:spacing w:line="600" w:lineRule="exact"/>
        <w:ind w:firstLine="640"/>
        <w:rPr>
          <w:rFonts w:hint="eastAsia"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%；公务用车购置及运行维护费支出决算5.86万元，占</w:t>
      </w:r>
      <w:r>
        <w:rPr>
          <w:rFonts w:hint="eastAsia" w:eastAsia="仿宋_GB2312" w:cs="仿宋_GB2312"/>
          <w:sz w:val="32"/>
          <w:szCs w:val="32"/>
          <w:lang w:val="en-US" w:eastAsia="zh-CN"/>
        </w:rPr>
        <w:t>97</w:t>
      </w:r>
      <w:r>
        <w:rPr>
          <w:rFonts w:hint="eastAsia" w:eastAsia="仿宋_GB2312" w:cs="仿宋_GB2312"/>
          <w:sz w:val="32"/>
          <w:szCs w:val="32"/>
        </w:rPr>
        <w:t>%；公务接待费支出决算0.18万元，占</w:t>
      </w:r>
      <w:r>
        <w:rPr>
          <w:rFonts w:hint="eastAsia" w:eastAsia="仿宋_GB2312" w:cs="仿宋_GB2312"/>
          <w:sz w:val="32"/>
          <w:szCs w:val="32"/>
          <w:lang w:val="en-US" w:eastAsia="zh-CN"/>
        </w:rPr>
        <w:t>3</w:t>
      </w:r>
      <w:r>
        <w:rPr>
          <w:rFonts w:hint="eastAsia" w:eastAsia="仿宋_GB2312" w:cs="仿宋_GB2312"/>
          <w:sz w:val="32"/>
          <w:szCs w:val="32"/>
        </w:rPr>
        <w:t>%。具体情况如下：</w:t>
      </w:r>
    </w:p>
    <w:p>
      <w:pPr>
        <w:pStyle w:val="2"/>
      </w:pPr>
    </w:p>
    <w:p>
      <w:pPr>
        <w:spacing w:line="600" w:lineRule="exact"/>
        <w:ind w:firstLine="640"/>
        <w:rPr>
          <w:rFonts w:eastAsia="仿宋_GB2312" w:cs="仿宋_GB2312"/>
          <w:sz w:val="32"/>
          <w:szCs w:val="32"/>
        </w:rPr>
      </w:pPr>
      <w:r>
        <w:drawing>
          <wp:anchor distT="0" distB="0" distL="114300" distR="114300" simplePos="0" relativeHeight="251663360" behindDoc="0" locked="0" layoutInCell="1" allowOverlap="1">
            <wp:simplePos x="0" y="0"/>
            <wp:positionH relativeFrom="column">
              <wp:posOffset>264160</wp:posOffset>
            </wp:positionH>
            <wp:positionV relativeFrom="paragraph">
              <wp:posOffset>144780</wp:posOffset>
            </wp:positionV>
            <wp:extent cx="4945380" cy="2766695"/>
            <wp:effectExtent l="6350" t="6350" r="26670" b="20955"/>
            <wp:wrapSquare wrapText="bothSides"/>
            <wp:docPr id="102519"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eastAsia="仿宋_GB2312" w:cs="仿宋_GB2312"/>
          <w:sz w:val="32"/>
          <w:szCs w:val="32"/>
        </w:rPr>
        <w:t>（图7：财政拨款“三公”经费支出结构）（饼状图）</w:t>
      </w:r>
    </w:p>
    <w:p>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全年安排因公出国（境）团组</w:t>
      </w:r>
      <w:r>
        <w:rPr>
          <w:rFonts w:hint="eastAsia" w:eastAsia="仿宋_GB2312" w:cs="仿宋_GB2312"/>
          <w:sz w:val="32"/>
          <w:szCs w:val="32"/>
          <w:lang w:val="en-US" w:eastAsia="zh-CN"/>
        </w:rPr>
        <w:t>0</w:t>
      </w:r>
      <w:r>
        <w:rPr>
          <w:rFonts w:hint="eastAsia" w:eastAsia="仿宋_GB2312" w:cs="仿宋_GB2312"/>
          <w:sz w:val="32"/>
          <w:szCs w:val="32"/>
        </w:rPr>
        <w:t>次，出国（境）</w:t>
      </w:r>
      <w:r>
        <w:rPr>
          <w:rFonts w:hint="eastAsia" w:eastAsia="仿宋_GB2312" w:cs="仿宋_GB2312"/>
          <w:sz w:val="32"/>
          <w:szCs w:val="32"/>
          <w:lang w:val="en-US" w:eastAsia="zh-CN"/>
        </w:rPr>
        <w:t>0</w:t>
      </w:r>
      <w:r>
        <w:rPr>
          <w:rFonts w:hint="eastAsia" w:eastAsia="仿宋_GB2312" w:cs="仿宋_GB2312"/>
          <w:sz w:val="32"/>
          <w:szCs w:val="32"/>
        </w:rPr>
        <w:t>人。</w:t>
      </w:r>
    </w:p>
    <w:p>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2.公务用车购置及运行维护费支出5.86万元，完成预算99.5%。</w:t>
      </w:r>
      <w:r>
        <w:rPr>
          <w:rFonts w:hint="eastAsia" w:eastAsia="仿宋_GB2312" w:cs="仿宋_GB2312"/>
          <w:sz w:val="32"/>
          <w:szCs w:val="32"/>
        </w:rPr>
        <w:t>公务用车购置及运行维护费支出决算比上年度减少</w:t>
      </w:r>
      <w:r>
        <w:rPr>
          <w:rFonts w:hint="eastAsia" w:eastAsia="仿宋_GB2312" w:cs="仿宋_GB2312"/>
          <w:sz w:val="32"/>
          <w:szCs w:val="32"/>
          <w:lang w:val="en-US" w:eastAsia="zh-CN"/>
        </w:rPr>
        <w:t>107.34</w:t>
      </w:r>
      <w:r>
        <w:rPr>
          <w:rFonts w:hint="eastAsia" w:eastAsia="仿宋_GB2312" w:cs="仿宋_GB2312"/>
          <w:sz w:val="32"/>
          <w:szCs w:val="32"/>
        </w:rPr>
        <w:t>万元，下降94.8%。主要原因是</w:t>
      </w:r>
      <w:r>
        <w:rPr>
          <w:rFonts w:hint="eastAsia" w:eastAsia="仿宋_GB2312" w:cs="仿宋_GB2312"/>
          <w:sz w:val="32"/>
          <w:szCs w:val="32"/>
          <w:lang w:val="en-US" w:eastAsia="zh-CN"/>
        </w:rPr>
        <w:t>本年未使用公务用车购置费。</w:t>
      </w:r>
      <w:r>
        <w:rPr>
          <w:rFonts w:hint="eastAsia" w:eastAsia="仿宋_GB2312" w:cs="仿宋_GB2312"/>
          <w:sz w:val="32"/>
          <w:szCs w:val="32"/>
        </w:rPr>
        <w:t>其中：公务用车购置支出</w:t>
      </w:r>
      <w:r>
        <w:rPr>
          <w:rFonts w:hint="eastAsia"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w:t>
      </w:r>
      <w:r>
        <w:rPr>
          <w:rFonts w:hint="eastAsia" w:eastAsia="仿宋_GB2312" w:cs="仿宋_GB2312"/>
          <w:sz w:val="32"/>
          <w:szCs w:val="32"/>
          <w:lang w:eastAsia="zh-CN"/>
        </w:rPr>
        <w:t>。</w:t>
      </w:r>
      <w:r>
        <w:rPr>
          <w:rFonts w:hint="eastAsia" w:eastAsia="仿宋_GB2312" w:cs="仿宋_GB2312"/>
          <w:sz w:val="32"/>
          <w:szCs w:val="32"/>
        </w:rPr>
        <w:t>截至2025年12月31日，单位共有公务用车</w:t>
      </w:r>
      <w:r>
        <w:rPr>
          <w:rFonts w:hint="eastAsia" w:eastAsia="仿宋_GB2312" w:cs="仿宋_GB2312"/>
          <w:sz w:val="32"/>
          <w:szCs w:val="32"/>
          <w:lang w:val="en-US" w:eastAsia="zh-CN"/>
        </w:rPr>
        <w:t>28</w:t>
      </w:r>
      <w:r>
        <w:rPr>
          <w:rFonts w:hint="eastAsia" w:eastAsia="仿宋_GB2312" w:cs="仿宋_GB2312"/>
          <w:sz w:val="32"/>
          <w:szCs w:val="32"/>
        </w:rPr>
        <w:t>辆，其中：执法执勤用车2</w:t>
      </w:r>
      <w:r>
        <w:rPr>
          <w:rFonts w:hint="eastAsia" w:eastAsia="仿宋_GB2312" w:cs="仿宋_GB2312"/>
          <w:sz w:val="32"/>
          <w:szCs w:val="32"/>
          <w:lang w:val="en-US" w:eastAsia="zh-CN"/>
        </w:rPr>
        <w:t>3</w:t>
      </w:r>
      <w:r>
        <w:rPr>
          <w:rFonts w:hint="eastAsia" w:eastAsia="仿宋_GB2312" w:cs="仿宋_GB2312"/>
          <w:sz w:val="32"/>
          <w:szCs w:val="32"/>
        </w:rPr>
        <w:t>辆、特种专业技术用车</w:t>
      </w:r>
      <w:r>
        <w:rPr>
          <w:rFonts w:hint="eastAsia" w:eastAsia="仿宋_GB2312" w:cs="仿宋_GB2312"/>
          <w:sz w:val="32"/>
          <w:szCs w:val="32"/>
          <w:lang w:val="en-US" w:eastAsia="zh-CN"/>
        </w:rPr>
        <w:t>2</w:t>
      </w:r>
      <w:r>
        <w:rPr>
          <w:rFonts w:hint="eastAsia" w:eastAsia="仿宋_GB2312" w:cs="仿宋_GB2312"/>
          <w:sz w:val="32"/>
          <w:szCs w:val="32"/>
        </w:rPr>
        <w:t>辆</w:t>
      </w:r>
      <w:r>
        <w:rPr>
          <w:rFonts w:hint="eastAsia" w:eastAsia="仿宋_GB2312" w:cs="仿宋_GB2312"/>
          <w:sz w:val="32"/>
          <w:szCs w:val="32"/>
          <w:lang w:eastAsia="zh-CN"/>
        </w:rPr>
        <w:t>，</w:t>
      </w:r>
      <w:r>
        <w:rPr>
          <w:rFonts w:hint="eastAsia" w:eastAsia="仿宋_GB2312" w:cs="仿宋_GB2312"/>
          <w:sz w:val="32"/>
          <w:szCs w:val="32"/>
          <w:lang w:val="en-US" w:eastAsia="zh-CN"/>
        </w:rPr>
        <w:t>其他用车3辆</w:t>
      </w:r>
      <w:r>
        <w:rPr>
          <w:rFonts w:hint="eastAsia" w:eastAsia="仿宋_GB2312" w:cs="仿宋_GB2312"/>
          <w:sz w:val="32"/>
          <w:szCs w:val="32"/>
        </w:rPr>
        <w:t>。</w:t>
      </w:r>
    </w:p>
    <w:p>
      <w:pPr>
        <w:spacing w:line="600" w:lineRule="exact"/>
        <w:ind w:firstLine="640"/>
        <w:rPr>
          <w:rFonts w:eastAsia="仿宋_GB2312" w:cs="仿宋_GB2312"/>
          <w:sz w:val="32"/>
          <w:szCs w:val="32"/>
        </w:rPr>
      </w:pPr>
      <w:r>
        <w:rPr>
          <w:rFonts w:hint="eastAsia" w:eastAsia="仿宋_GB2312" w:cs="仿宋_GB2312"/>
          <w:sz w:val="32"/>
          <w:szCs w:val="32"/>
        </w:rPr>
        <w:t>公务用车运行维护费支出5.86万元。主要用于执法执勤车辆所需的公务用车燃料费、维修费、过路过桥费、保险费等支出。</w:t>
      </w:r>
    </w:p>
    <w:p>
      <w:pPr>
        <w:spacing w:line="600" w:lineRule="exact"/>
        <w:ind w:firstLine="640"/>
        <w:rPr>
          <w:rFonts w:eastAsia="仿宋_GB2312" w:cs="仿宋_GB2312"/>
          <w:sz w:val="32"/>
          <w:szCs w:val="32"/>
        </w:rPr>
      </w:pPr>
      <w:r>
        <w:rPr>
          <w:rFonts w:hint="eastAsia" w:eastAsia="仿宋_GB2312" w:cs="仿宋_GB2312"/>
          <w:b/>
          <w:bCs/>
          <w:sz w:val="32"/>
          <w:szCs w:val="32"/>
        </w:rPr>
        <w:t>3.公务接待费支出0.18万元，完成预算8.1%。</w:t>
      </w:r>
      <w:r>
        <w:rPr>
          <w:rFonts w:hint="eastAsia" w:eastAsia="仿宋_GB2312" w:cs="仿宋_GB2312"/>
          <w:sz w:val="32"/>
          <w:szCs w:val="32"/>
        </w:rPr>
        <w:t>公务接待费支出决算比上年度减少</w:t>
      </w:r>
      <w:r>
        <w:rPr>
          <w:rFonts w:hint="eastAsia" w:eastAsia="仿宋_GB2312" w:cs="仿宋_GB2312"/>
          <w:sz w:val="32"/>
          <w:szCs w:val="32"/>
          <w:lang w:val="en-US" w:eastAsia="zh-CN"/>
        </w:rPr>
        <w:t>0.51</w:t>
      </w:r>
      <w:r>
        <w:rPr>
          <w:rFonts w:hint="eastAsia" w:eastAsia="仿宋_GB2312" w:cs="仿宋_GB2312"/>
          <w:sz w:val="32"/>
          <w:szCs w:val="32"/>
        </w:rPr>
        <w:t>万元，下降73.9%。主要原因是</w:t>
      </w:r>
      <w:r>
        <w:rPr>
          <w:rFonts w:hint="eastAsia" w:eastAsia="仿宋_GB2312" w:cs="仿宋_GB2312"/>
          <w:sz w:val="32"/>
          <w:szCs w:val="32"/>
          <w:lang w:val="en-US" w:eastAsia="zh-CN"/>
        </w:rPr>
        <w:t>厉行节约，公务接待减少</w:t>
      </w:r>
      <w:r>
        <w:rPr>
          <w:rFonts w:hint="eastAsia" w:eastAsia="仿宋_GB2312" w:cs="仿宋_GB2312"/>
          <w:sz w:val="32"/>
          <w:szCs w:val="32"/>
        </w:rPr>
        <w:t>。其中：</w:t>
      </w:r>
    </w:p>
    <w:p>
      <w:pPr>
        <w:spacing w:line="600" w:lineRule="exact"/>
        <w:ind w:firstLine="640"/>
        <w:rPr>
          <w:rFonts w:hint="eastAsia" w:ascii="Times New Roman" w:hAnsi="Times New Roman" w:eastAsia="仿宋_GB2312" w:cs="仿宋_GB2312"/>
          <w:sz w:val="32"/>
          <w:szCs w:val="32"/>
        </w:rPr>
      </w:pPr>
      <w:r>
        <w:rPr>
          <w:rFonts w:hint="eastAsia" w:eastAsia="仿宋_GB2312" w:cs="仿宋_GB2312"/>
          <w:sz w:val="32"/>
          <w:szCs w:val="32"/>
        </w:rPr>
        <w:t>国内公务接待支出0.18万元，主要用于执行公务、开展业务活动开支的用餐费等。国内公务接待</w:t>
      </w:r>
      <w:r>
        <w:rPr>
          <w:rFonts w:hint="eastAsia" w:eastAsia="仿宋_GB2312" w:cs="仿宋_GB2312"/>
          <w:sz w:val="32"/>
          <w:szCs w:val="32"/>
          <w:lang w:val="en-US" w:eastAsia="zh-CN"/>
        </w:rPr>
        <w:t>2</w:t>
      </w:r>
      <w:r>
        <w:rPr>
          <w:rFonts w:hint="eastAsia" w:eastAsia="仿宋_GB2312" w:cs="仿宋_GB2312"/>
          <w:sz w:val="32"/>
          <w:szCs w:val="32"/>
        </w:rPr>
        <w:t>批次，</w:t>
      </w:r>
      <w:r>
        <w:rPr>
          <w:rFonts w:hint="eastAsia"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7</w:t>
      </w:r>
      <w:r>
        <w:rPr>
          <w:rFonts w:hint="eastAsia" w:ascii="Times New Roman" w:hAnsi="Times New Roman" w:eastAsia="仿宋_GB2312" w:cs="仿宋_GB2312"/>
          <w:sz w:val="32"/>
          <w:szCs w:val="32"/>
        </w:rPr>
        <w:t>人次（不包括陪同人员），共计支出</w:t>
      </w:r>
      <w:r>
        <w:rPr>
          <w:rFonts w:hint="eastAsia" w:ascii="Times New Roman" w:hAnsi="Times New Roman" w:eastAsia="仿宋_GB2312" w:cs="仿宋_GB2312"/>
          <w:sz w:val="32"/>
          <w:szCs w:val="32"/>
          <w:lang w:val="en-US" w:eastAsia="zh-CN"/>
        </w:rPr>
        <w:t>0.18</w:t>
      </w:r>
      <w:r>
        <w:rPr>
          <w:rFonts w:hint="eastAsia" w:ascii="Times New Roman" w:hAnsi="Times New Roman" w:eastAsia="仿宋_GB2312" w:cs="仿宋_GB2312"/>
          <w:sz w:val="32"/>
          <w:szCs w:val="32"/>
        </w:rPr>
        <w:t>万元，具体内容包括：</w:t>
      </w:r>
      <w:r>
        <w:rPr>
          <w:rFonts w:hint="eastAsia" w:ascii="Times New Roman" w:hAnsi="Times New Roman" w:eastAsia="仿宋_GB2312" w:cs="仿宋_GB2312"/>
          <w:sz w:val="32"/>
          <w:szCs w:val="32"/>
          <w:lang w:val="en-US" w:eastAsia="zh-CN"/>
        </w:rPr>
        <w:t>接待成都铁路运输第一法院6人次，金额0.09万元；接待崇州法院6人次，金额0.09万元</w:t>
      </w:r>
      <w:r>
        <w:rPr>
          <w:rFonts w:hint="eastAsia" w:ascii="Times New Roman" w:hAnsi="Times New Roman" w:eastAsia="仿宋_GB2312" w:cs="仿宋_GB2312"/>
          <w:sz w:val="32"/>
          <w:szCs w:val="32"/>
        </w:rPr>
        <w:t>。</w:t>
      </w:r>
    </w:p>
    <w:p>
      <w:pPr>
        <w:spacing w:line="600" w:lineRule="exact"/>
        <w:ind w:firstLine="64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外事接待支出</w:t>
      </w:r>
      <w:r>
        <w:rPr>
          <w:rFonts w:hint="eastAsia" w:ascii="Times New Roman" w:hAnsi="Times New Roman" w:eastAsia="仿宋_GB2312" w:cs="仿宋_GB2312"/>
          <w:sz w:val="32"/>
          <w:szCs w:val="32"/>
          <w:lang w:val="en-US" w:eastAsia="zh-CN"/>
        </w:rPr>
        <w:t>0</w:t>
      </w:r>
      <w:r>
        <w:rPr>
          <w:rFonts w:hint="eastAsia" w:ascii="Times New Roman" w:hAnsi="Times New Roman" w:eastAsia="仿宋_GB2312" w:cs="仿宋_GB2312"/>
          <w:sz w:val="32"/>
          <w:szCs w:val="32"/>
        </w:rPr>
        <w:t>万元。</w:t>
      </w:r>
    </w:p>
    <w:p>
      <w:pPr>
        <w:spacing w:line="600" w:lineRule="exact"/>
        <w:ind w:firstLine="640"/>
        <w:rPr>
          <w:rFonts w:eastAsia="仿宋_GB2312" w:cs="仿宋_GB2312"/>
          <w:sz w:val="32"/>
          <w:szCs w:val="32"/>
        </w:rPr>
      </w:pPr>
      <w:bookmarkStart w:id="53" w:name="_Toc15396610"/>
      <w:bookmarkStart w:id="54" w:name="_Toc15377218"/>
    </w:p>
    <w:p>
      <w:pPr>
        <w:spacing w:line="600" w:lineRule="exact"/>
        <w:ind w:firstLine="640"/>
        <w:outlineLvl w:val="1"/>
        <w:rPr>
          <w:rStyle w:val="30"/>
          <w:rFonts w:ascii="Times New Roman" w:hAnsi="Times New Roman" w:eastAsia="黑体"/>
        </w:rPr>
      </w:pPr>
      <w:bookmarkStart w:id="55" w:name="_Toc1694838178"/>
      <w:r>
        <w:rPr>
          <w:rFonts w:hint="eastAsia" w:eastAsia="黑体"/>
          <w:sz w:val="32"/>
          <w:szCs w:val="32"/>
        </w:rPr>
        <w:t>八、</w:t>
      </w:r>
      <w:r>
        <w:rPr>
          <w:rStyle w:val="30"/>
          <w:rFonts w:hint="eastAsia" w:ascii="Times New Roman" w:hAnsi="Times New Roman" w:eastAsia="黑体"/>
          <w:b w:val="0"/>
        </w:rPr>
        <w:t>政府性基金预算支出决算情况说明</w:t>
      </w:r>
      <w:bookmarkEnd w:id="53"/>
      <w:bookmarkEnd w:id="54"/>
      <w:bookmarkEnd w:id="55"/>
    </w:p>
    <w:p>
      <w:pPr>
        <w:spacing w:line="600" w:lineRule="exact"/>
        <w:ind w:firstLine="640"/>
        <w:rPr>
          <w:rFonts w:hint="eastAsia" w:ascii="Times New Roman" w:hAnsi="Times New Roman" w:eastAsia="仿宋_GB2312" w:cs="仿宋_GB2312"/>
          <w:sz w:val="32"/>
          <w:szCs w:val="32"/>
          <w:lang w:eastAsia="zh-CN"/>
        </w:rPr>
      </w:pPr>
      <w:r>
        <w:rPr>
          <w:rFonts w:hint="eastAsia" w:eastAsia="仿宋_GB2312" w:cs="仿宋_GB2312"/>
          <w:sz w:val="32"/>
          <w:szCs w:val="32"/>
        </w:rPr>
        <w:t>2025年度政府性基金预算财政拨款支出</w:t>
      </w:r>
      <w:r>
        <w:rPr>
          <w:rFonts w:hint="eastAsia" w:eastAsia="仿宋_GB2312" w:cs="仿宋_GB2312"/>
          <w:sz w:val="32"/>
          <w:szCs w:val="32"/>
          <w:lang w:val="en-US" w:eastAsia="zh-CN"/>
        </w:rPr>
        <w:t>0</w:t>
      </w:r>
      <w:r>
        <w:rPr>
          <w:rFonts w:hint="eastAsia" w:ascii="Times New Roman" w:hAnsi="Times New Roman" w:eastAsia="仿宋_GB2312" w:cs="仿宋_GB2312"/>
          <w:sz w:val="32"/>
          <w:szCs w:val="32"/>
        </w:rPr>
        <w:t>万元，与上年持平</w:t>
      </w:r>
      <w:r>
        <w:rPr>
          <w:rFonts w:hint="eastAsia" w:ascii="Times New Roman" w:hAnsi="Times New Roman" w:eastAsia="仿宋_GB2312" w:cs="仿宋_GB2312"/>
          <w:sz w:val="32"/>
          <w:szCs w:val="32"/>
          <w:lang w:eastAsia="zh-CN"/>
        </w:rPr>
        <w:t>。</w:t>
      </w:r>
    </w:p>
    <w:p>
      <w:pPr>
        <w:spacing w:line="600" w:lineRule="exact"/>
        <w:ind w:firstLine="640"/>
        <w:rPr>
          <w:rFonts w:eastAsia="仿宋_GB2312" w:cs="仿宋_GB2312"/>
          <w:sz w:val="32"/>
          <w:szCs w:val="32"/>
        </w:rPr>
      </w:pPr>
    </w:p>
    <w:p>
      <w:pPr>
        <w:spacing w:line="600" w:lineRule="exact"/>
        <w:ind w:left="630"/>
        <w:outlineLvl w:val="1"/>
        <w:rPr>
          <w:rStyle w:val="30"/>
          <w:rFonts w:ascii="Times New Roman" w:hAnsi="Times New Roman" w:eastAsia="黑体"/>
          <w:b w:val="0"/>
        </w:rPr>
      </w:pPr>
      <w:bookmarkStart w:id="56" w:name="_Toc15396611"/>
      <w:bookmarkStart w:id="57" w:name="_Toc15377219"/>
      <w:bookmarkStart w:id="58" w:name="_Toc922163838"/>
      <w:r>
        <w:rPr>
          <w:rStyle w:val="30"/>
          <w:rFonts w:hint="eastAsia" w:ascii="Times New Roman" w:hAnsi="Times New Roman" w:eastAsia="黑体"/>
          <w:b w:val="0"/>
        </w:rPr>
        <w:t>九、国有资本经营预算支出决算情况说明</w:t>
      </w:r>
      <w:bookmarkEnd w:id="56"/>
      <w:bookmarkEnd w:id="57"/>
      <w:bookmarkEnd w:id="58"/>
    </w:p>
    <w:p>
      <w:pPr>
        <w:spacing w:line="600" w:lineRule="exact"/>
        <w:ind w:firstLine="640"/>
        <w:rPr>
          <w:rFonts w:hint="eastAsia"/>
          <w:lang w:eastAsia="zh-CN"/>
        </w:rPr>
      </w:pPr>
      <w:r>
        <w:rPr>
          <w:rFonts w:hint="eastAsia" w:eastAsia="仿宋_GB2312" w:cs="仿宋_GB2312"/>
          <w:sz w:val="32"/>
          <w:szCs w:val="32"/>
        </w:rPr>
        <w:t>2025年度国有资本经营预算财</w:t>
      </w:r>
      <w:r>
        <w:rPr>
          <w:rFonts w:hint="eastAsia" w:ascii="Times New Roman" w:hAnsi="Times New Roman" w:eastAsia="仿宋_GB2312" w:cs="仿宋_GB2312"/>
          <w:sz w:val="32"/>
          <w:szCs w:val="32"/>
        </w:rPr>
        <w:t>政拨款支出</w:t>
      </w:r>
      <w:r>
        <w:rPr>
          <w:rFonts w:hint="eastAsia" w:ascii="Times New Roman" w:hAnsi="Times New Roman" w:eastAsia="仿宋_GB2312" w:cs="仿宋_GB2312"/>
          <w:sz w:val="32"/>
          <w:szCs w:val="32"/>
          <w:lang w:val="en-US" w:eastAsia="zh-CN"/>
        </w:rPr>
        <w:t>0</w:t>
      </w:r>
      <w:r>
        <w:rPr>
          <w:rFonts w:hint="eastAsia" w:ascii="Times New Roman" w:hAnsi="Times New Roman" w:eastAsia="仿宋_GB2312" w:cs="仿宋_GB2312"/>
          <w:sz w:val="32"/>
          <w:szCs w:val="32"/>
        </w:rPr>
        <w:t>万元</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与上年度持平</w:t>
      </w:r>
      <w:r>
        <w:rPr>
          <w:rFonts w:hint="eastAsia" w:ascii="Times New Roman" w:hAnsi="Times New Roman" w:eastAsia="仿宋_GB2312" w:cs="仿宋_GB2312"/>
          <w:sz w:val="32"/>
          <w:szCs w:val="32"/>
          <w:lang w:eastAsia="zh-CN"/>
        </w:rPr>
        <w:t>。</w:t>
      </w:r>
    </w:p>
    <w:p>
      <w:pPr>
        <w:spacing w:line="600" w:lineRule="exact"/>
        <w:ind w:left="630"/>
        <w:outlineLvl w:val="1"/>
        <w:rPr>
          <w:rStyle w:val="30"/>
          <w:rFonts w:hint="eastAsia" w:ascii="Times New Roman" w:hAnsi="Times New Roman" w:eastAsia="黑体"/>
          <w:b w:val="0"/>
        </w:rPr>
      </w:pPr>
      <w:bookmarkStart w:id="59" w:name="_Toc15377221"/>
      <w:bookmarkStart w:id="60" w:name="_Toc15396612"/>
      <w:bookmarkStart w:id="61" w:name="_Toc418144867"/>
    </w:p>
    <w:p>
      <w:pPr>
        <w:spacing w:line="600" w:lineRule="exact"/>
        <w:ind w:left="630"/>
        <w:outlineLvl w:val="1"/>
        <w:rPr>
          <w:rStyle w:val="30"/>
          <w:rFonts w:ascii="Times New Roman" w:hAnsi="Times New Roman" w:eastAsia="黑体"/>
          <w:b w:val="0"/>
        </w:rPr>
      </w:pPr>
      <w:r>
        <w:rPr>
          <w:rStyle w:val="30"/>
          <w:rFonts w:hint="eastAsia" w:ascii="Times New Roman" w:hAnsi="Times New Roman" w:eastAsia="黑体"/>
          <w:b w:val="0"/>
        </w:rPr>
        <w:t>十、其他重要事项的情况说明</w:t>
      </w:r>
      <w:bookmarkEnd w:id="59"/>
      <w:bookmarkEnd w:id="60"/>
      <w:bookmarkEnd w:id="61"/>
    </w:p>
    <w:p>
      <w:pPr>
        <w:spacing w:line="600" w:lineRule="exact"/>
        <w:ind w:firstLine="643" w:firstLineChars="200"/>
        <w:outlineLvl w:val="2"/>
        <w:rPr>
          <w:rFonts w:eastAsia="楷体_GB2312" w:cs="楷体_GB2312"/>
          <w:b/>
          <w:sz w:val="32"/>
          <w:szCs w:val="32"/>
        </w:rPr>
      </w:pPr>
      <w:bookmarkStart w:id="62" w:name="_Toc15377222"/>
      <w:r>
        <w:rPr>
          <w:rFonts w:hint="eastAsia" w:eastAsia="楷体_GB2312" w:cs="楷体_GB2312"/>
          <w:b/>
          <w:sz w:val="32"/>
          <w:szCs w:val="32"/>
        </w:rPr>
        <w:t>（一）机关运行经费支出情况</w:t>
      </w:r>
      <w:bookmarkEnd w:id="62"/>
    </w:p>
    <w:p>
      <w:pPr>
        <w:spacing w:line="600" w:lineRule="exact"/>
        <w:ind w:firstLine="640"/>
        <w:rPr>
          <w:rFonts w:hint="eastAsia"/>
          <w:lang w:val="en-US" w:eastAsia="zh-CN"/>
        </w:rPr>
      </w:pPr>
      <w:r>
        <w:rPr>
          <w:rFonts w:hint="eastAsia" w:eastAsia="仿宋_GB2312" w:cs="仿宋_GB2312"/>
          <w:sz w:val="32"/>
          <w:szCs w:val="32"/>
        </w:rPr>
        <w:t>2025年度，</w:t>
      </w:r>
      <w:r>
        <w:rPr>
          <w:rFonts w:hint="eastAsia" w:eastAsia="仿宋_GB2312" w:cs="仿宋_GB2312"/>
          <w:sz w:val="32"/>
          <w:szCs w:val="32"/>
          <w:lang w:val="en-US" w:eastAsia="zh-CN"/>
        </w:rPr>
        <w:t>马尔康市人民法院</w:t>
      </w:r>
      <w:r>
        <w:rPr>
          <w:rFonts w:hint="eastAsia" w:eastAsia="仿宋_GB2312" w:cs="仿宋_GB2312"/>
          <w:sz w:val="32"/>
          <w:szCs w:val="32"/>
        </w:rPr>
        <w:t>机关运行经费支出</w:t>
      </w:r>
      <w:r>
        <w:rPr>
          <w:rFonts w:hint="eastAsia" w:eastAsia="仿宋_GB2312" w:cs="仿宋_GB2312"/>
          <w:sz w:val="32"/>
          <w:szCs w:val="32"/>
          <w:lang w:val="en-US" w:eastAsia="zh-CN"/>
        </w:rPr>
        <w:t>131.89</w:t>
      </w:r>
      <w:r>
        <w:rPr>
          <w:rFonts w:hint="eastAsia" w:eastAsia="仿宋_GB2312" w:cs="仿宋_GB2312"/>
          <w:sz w:val="32"/>
          <w:szCs w:val="32"/>
        </w:rPr>
        <w:t>万元，比上年度减少</w:t>
      </w:r>
      <w:r>
        <w:rPr>
          <w:rFonts w:hint="eastAsia" w:eastAsia="仿宋_GB2312" w:cs="仿宋_GB2312"/>
          <w:sz w:val="32"/>
          <w:szCs w:val="32"/>
          <w:lang w:val="en-US" w:eastAsia="zh-CN"/>
        </w:rPr>
        <w:t>17.12</w:t>
      </w:r>
      <w:r>
        <w:rPr>
          <w:rFonts w:hint="eastAsia" w:eastAsia="仿宋_GB2312" w:cs="仿宋_GB2312"/>
          <w:sz w:val="32"/>
          <w:szCs w:val="32"/>
        </w:rPr>
        <w:t>万元，下降</w:t>
      </w:r>
      <w:r>
        <w:rPr>
          <w:rFonts w:hint="eastAsia" w:eastAsia="仿宋_GB2312" w:cs="仿宋_GB2312"/>
          <w:sz w:val="32"/>
          <w:szCs w:val="32"/>
          <w:lang w:val="en-US" w:eastAsia="zh-CN"/>
        </w:rPr>
        <w:t>11.49</w:t>
      </w:r>
      <w:r>
        <w:rPr>
          <w:rFonts w:hint="eastAsia" w:eastAsia="仿宋_GB2312" w:cs="仿宋_GB2312"/>
          <w:sz w:val="32"/>
          <w:szCs w:val="32"/>
        </w:rPr>
        <w:t>%</w:t>
      </w:r>
      <w:r>
        <w:rPr>
          <w:rFonts w:hint="eastAsia" w:eastAsia="仿宋_GB2312" w:cs="仿宋_GB2312"/>
          <w:sz w:val="32"/>
          <w:szCs w:val="32"/>
          <w:lang w:eastAsia="zh-CN"/>
        </w:rPr>
        <w:t>。</w:t>
      </w:r>
      <w:r>
        <w:rPr>
          <w:rFonts w:hint="eastAsia" w:eastAsia="仿宋_GB2312" w:cs="仿宋_GB2312"/>
          <w:sz w:val="32"/>
          <w:szCs w:val="32"/>
        </w:rPr>
        <w:t>主要原因是</w:t>
      </w:r>
      <w:r>
        <w:rPr>
          <w:rFonts w:hint="eastAsia" w:eastAsia="仿宋_GB2312" w:cs="仿宋_GB2312"/>
          <w:sz w:val="32"/>
          <w:szCs w:val="32"/>
          <w:lang w:val="en-US" w:eastAsia="zh-CN"/>
        </w:rPr>
        <w:t>本年人员减少，机关运行减少。</w:t>
      </w:r>
    </w:p>
    <w:p>
      <w:pPr>
        <w:spacing w:line="600" w:lineRule="exact"/>
        <w:ind w:firstLine="643" w:firstLineChars="200"/>
        <w:outlineLvl w:val="2"/>
        <w:rPr>
          <w:rFonts w:hint="eastAsia" w:eastAsia="楷体_GB2312" w:cs="楷体_GB2312"/>
          <w:b/>
          <w:sz w:val="32"/>
          <w:szCs w:val="32"/>
        </w:rPr>
      </w:pPr>
      <w:bookmarkStart w:id="63" w:name="_Toc15377223"/>
    </w:p>
    <w:p>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（二）政府采购支出情况</w:t>
      </w:r>
      <w:bookmarkEnd w:id="63"/>
    </w:p>
    <w:p>
      <w:pPr>
        <w:spacing w:line="600" w:lineRule="exact"/>
        <w:ind w:firstLine="640"/>
        <w:rPr>
          <w:rFonts w:eastAsia="仿宋_GB2312" w:cs="仿宋_GB2312"/>
          <w:sz w:val="32"/>
          <w:szCs w:val="32"/>
        </w:rPr>
      </w:pPr>
      <w:r>
        <w:rPr>
          <w:rFonts w:hint="eastAsia" w:eastAsia="仿宋_GB2312" w:cs="仿宋_GB2312"/>
          <w:sz w:val="32"/>
          <w:szCs w:val="32"/>
        </w:rPr>
        <w:t>2025年度，马尔康市人民法院政府采购支出总额</w:t>
      </w:r>
      <w:r>
        <w:rPr>
          <w:rFonts w:hint="eastAsia" w:eastAsia="仿宋_GB2312" w:cs="仿宋_GB2312"/>
          <w:sz w:val="32"/>
          <w:szCs w:val="32"/>
          <w:lang w:val="en-US" w:eastAsia="zh-CN"/>
        </w:rPr>
        <w:t>0</w:t>
      </w:r>
      <w:r>
        <w:rPr>
          <w:rFonts w:hint="eastAsia" w:eastAsia="仿宋_GB2312" w:cs="仿宋_GB2312"/>
          <w:sz w:val="32"/>
          <w:szCs w:val="32"/>
        </w:rPr>
        <w:t>万元。</w:t>
      </w:r>
    </w:p>
    <w:p>
      <w:pPr>
        <w:spacing w:line="600" w:lineRule="exact"/>
        <w:ind w:firstLine="640"/>
        <w:rPr>
          <w:rFonts w:eastAsia="仿宋_GB2312" w:cs="仿宋_GB2312"/>
          <w:sz w:val="32"/>
          <w:szCs w:val="32"/>
        </w:rPr>
      </w:pPr>
    </w:p>
    <w:p>
      <w:pPr>
        <w:spacing w:line="600" w:lineRule="exact"/>
        <w:ind w:firstLine="643" w:firstLineChars="200"/>
        <w:outlineLvl w:val="2"/>
        <w:rPr>
          <w:rFonts w:eastAsia="楷体_GB2312" w:cs="楷体_GB2312"/>
          <w:b/>
          <w:sz w:val="32"/>
          <w:szCs w:val="32"/>
        </w:rPr>
      </w:pPr>
      <w:bookmarkStart w:id="64" w:name="_Toc15377224"/>
      <w:r>
        <w:rPr>
          <w:rFonts w:hint="eastAsia" w:eastAsia="楷体_GB2312" w:cs="楷体_GB2312"/>
          <w:b/>
          <w:sz w:val="32"/>
          <w:szCs w:val="32"/>
        </w:rPr>
        <w:t>（三）国有资产占有使用情况</w:t>
      </w:r>
      <w:bookmarkEnd w:id="64"/>
    </w:p>
    <w:p>
      <w:pPr>
        <w:spacing w:line="600" w:lineRule="exact"/>
        <w:ind w:firstLine="640"/>
        <w:rPr>
          <w:rFonts w:eastAsia="仿宋_GB2312" w:cs="仿宋_GB2312"/>
          <w:sz w:val="32"/>
          <w:szCs w:val="32"/>
        </w:rPr>
      </w:pPr>
      <w:r>
        <w:rPr>
          <w:rFonts w:hint="eastAsia" w:eastAsia="仿宋_GB2312" w:cs="仿宋_GB2312"/>
          <w:sz w:val="32"/>
          <w:szCs w:val="32"/>
        </w:rPr>
        <w:t>截至2025年12月31日，马尔康市人民法院共有车辆</w:t>
      </w:r>
      <w:r>
        <w:rPr>
          <w:rFonts w:hint="eastAsia" w:eastAsia="仿宋_GB2312" w:cs="仿宋_GB2312"/>
          <w:sz w:val="32"/>
          <w:szCs w:val="32"/>
          <w:lang w:val="en-US" w:eastAsia="zh-CN"/>
        </w:rPr>
        <w:t>28</w:t>
      </w:r>
      <w:r>
        <w:rPr>
          <w:rFonts w:hint="eastAsia" w:eastAsia="仿宋_GB2312" w:cs="仿宋_GB2312"/>
          <w:sz w:val="32"/>
          <w:szCs w:val="32"/>
        </w:rPr>
        <w:t>辆，其中：执法执勤用车</w:t>
      </w:r>
      <w:r>
        <w:rPr>
          <w:rFonts w:hint="eastAsia" w:eastAsia="仿宋_GB2312" w:cs="仿宋_GB2312"/>
          <w:sz w:val="32"/>
          <w:szCs w:val="32"/>
          <w:lang w:val="en-US" w:eastAsia="zh-CN"/>
        </w:rPr>
        <w:t>23</w:t>
      </w:r>
      <w:r>
        <w:rPr>
          <w:rFonts w:hint="eastAsia" w:eastAsia="仿宋_GB2312" w:cs="仿宋_GB2312"/>
          <w:sz w:val="32"/>
          <w:szCs w:val="32"/>
        </w:rPr>
        <w:t>辆、特种专业技术用车</w:t>
      </w:r>
      <w:r>
        <w:rPr>
          <w:rFonts w:hint="eastAsia" w:eastAsia="仿宋_GB2312" w:cs="仿宋_GB2312"/>
          <w:sz w:val="32"/>
          <w:szCs w:val="32"/>
          <w:lang w:val="en-US" w:eastAsia="zh-CN"/>
        </w:rPr>
        <w:t>2</w:t>
      </w:r>
      <w:r>
        <w:rPr>
          <w:rFonts w:hint="eastAsia" w:eastAsia="仿宋_GB2312" w:cs="仿宋_GB2312"/>
          <w:sz w:val="32"/>
          <w:szCs w:val="32"/>
        </w:rPr>
        <w:t>辆、其他用车</w:t>
      </w:r>
      <w:r>
        <w:rPr>
          <w:rFonts w:hint="eastAsia" w:eastAsia="仿宋_GB2312" w:cs="仿宋_GB2312"/>
          <w:sz w:val="32"/>
          <w:szCs w:val="32"/>
          <w:lang w:val="en-US" w:eastAsia="zh-CN"/>
        </w:rPr>
        <w:t>3</w:t>
      </w:r>
      <w:r>
        <w:rPr>
          <w:rFonts w:hint="eastAsia" w:eastAsia="仿宋_GB2312" w:cs="仿宋_GB2312"/>
          <w:sz w:val="32"/>
          <w:szCs w:val="32"/>
        </w:rPr>
        <w:t>辆，其他用车主要是用于庭审直播及嫌疑人押送</w:t>
      </w:r>
      <w:r>
        <w:rPr>
          <w:rFonts w:hint="eastAsia" w:eastAsia="仿宋_GB2312" w:cs="仿宋_GB2312"/>
          <w:sz w:val="32"/>
          <w:szCs w:val="32"/>
          <w:lang w:eastAsia="zh-CN"/>
        </w:rPr>
        <w:t>。</w:t>
      </w:r>
      <w:r>
        <w:rPr>
          <w:rFonts w:hint="eastAsia" w:eastAsia="仿宋_GB2312" w:cs="仿宋_GB2312"/>
          <w:sz w:val="32"/>
          <w:szCs w:val="32"/>
        </w:rPr>
        <w:t>单价100万元（含）以上设备（不含车辆）</w:t>
      </w:r>
      <w:r>
        <w:rPr>
          <w:rFonts w:hint="eastAsia" w:eastAsia="仿宋_GB2312" w:cs="仿宋_GB2312"/>
          <w:sz w:val="32"/>
          <w:szCs w:val="32"/>
          <w:lang w:val="en-US" w:eastAsia="zh-CN"/>
        </w:rPr>
        <w:t>0</w:t>
      </w:r>
      <w:r>
        <w:rPr>
          <w:rFonts w:hint="eastAsia" w:eastAsia="仿宋_GB2312" w:cs="仿宋_GB2312"/>
          <w:sz w:val="32"/>
          <w:szCs w:val="32"/>
        </w:rPr>
        <w:t>台（套）。</w:t>
      </w:r>
    </w:p>
    <w:p>
      <w:pPr>
        <w:spacing w:line="600" w:lineRule="exact"/>
        <w:ind w:firstLine="640"/>
        <w:rPr>
          <w:rFonts w:eastAsia="仿宋_GB2312" w:cs="仿宋_GB2312"/>
          <w:sz w:val="32"/>
          <w:szCs w:val="32"/>
        </w:rPr>
      </w:pPr>
    </w:p>
    <w:p>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pPr>
        <w:spacing w:line="600" w:lineRule="exact"/>
        <w:ind w:firstLine="640"/>
        <w:rPr>
          <w:rFonts w:eastAsia="仿宋_GB2312" w:cs="仿宋_GB2312"/>
          <w:sz w:val="32"/>
          <w:szCs w:val="32"/>
        </w:rPr>
      </w:pPr>
      <w:r>
        <w:rPr>
          <w:rFonts w:hint="eastAsia" w:eastAsia="仿宋_GB2312" w:cs="仿宋_GB2312"/>
          <w:sz w:val="32"/>
          <w:szCs w:val="32"/>
        </w:rPr>
        <w:t>根据预算绩效管理要求，马尔康市人民法院在2025年度，组织对代管资金收入援建资金等</w:t>
      </w:r>
      <w:r>
        <w:rPr>
          <w:rFonts w:hint="eastAsia" w:eastAsia="仿宋_GB2312" w:cs="仿宋_GB2312"/>
          <w:sz w:val="32"/>
          <w:szCs w:val="32"/>
          <w:lang w:val="en-US" w:eastAsia="zh-CN"/>
        </w:rPr>
        <w:t>4</w:t>
      </w:r>
      <w:r>
        <w:rPr>
          <w:rFonts w:hint="eastAsia" w:eastAsia="仿宋_GB2312" w:cs="仿宋_GB2312"/>
          <w:sz w:val="32"/>
          <w:szCs w:val="32"/>
        </w:rPr>
        <w:t>个项目涉及金额493.61万元开展了事前绩效评估，对</w:t>
      </w:r>
      <w:r>
        <w:rPr>
          <w:rFonts w:hint="eastAsia" w:eastAsia="仿宋_GB2312" w:cs="仿宋_GB2312"/>
          <w:sz w:val="32"/>
          <w:szCs w:val="32"/>
          <w:lang w:val="en-US" w:eastAsia="zh-CN"/>
        </w:rPr>
        <w:t>4</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4</w:t>
      </w:r>
      <w:r>
        <w:rPr>
          <w:rFonts w:hint="eastAsia" w:eastAsia="仿宋_GB2312" w:cs="仿宋_GB2312"/>
          <w:sz w:val="32"/>
          <w:szCs w:val="32"/>
        </w:rPr>
        <w:t>个项目开展绩效监控。</w:t>
      </w:r>
    </w:p>
    <w:p>
      <w:pPr>
        <w:spacing w:line="600" w:lineRule="exact"/>
        <w:jc w:val="center"/>
        <w:outlineLvl w:val="0"/>
        <w:rPr>
          <w:rFonts w:hint="eastAsia" w:eastAsia="仿宋_GB2312" w:cs="仿宋_GB2312"/>
          <w:sz w:val="32"/>
          <w:szCs w:val="32"/>
        </w:rPr>
      </w:pPr>
      <w:r>
        <w:rPr>
          <w:rFonts w:hint="eastAsia" w:eastAsia="仿宋_GB2312" w:cs="仿宋_GB2312"/>
          <w:sz w:val="32"/>
          <w:szCs w:val="32"/>
        </w:rPr>
        <w:t>组织对2025年度一般公共预算等全面开展绩效自评，形成马尔康市人民法院部门预算（含部门预算项目）绩效自评报告</w:t>
      </w:r>
      <w:r>
        <w:rPr>
          <w:rFonts w:hint="eastAsia" w:eastAsia="仿宋_GB2312" w:cs="仿宋_GB2312"/>
          <w:sz w:val="32"/>
          <w:szCs w:val="32"/>
          <w:lang w:eastAsia="zh-CN"/>
        </w:rPr>
        <w:t>，</w:t>
      </w:r>
      <w:r>
        <w:rPr>
          <w:rFonts w:hint="eastAsia" w:eastAsia="仿宋_GB2312" w:cs="仿宋_GB2312"/>
          <w:sz w:val="32"/>
          <w:szCs w:val="32"/>
        </w:rPr>
        <w:t>其中，马尔康市人民法院部门预算（含部门预算项目）绩效自评得分为</w:t>
      </w:r>
      <w:r>
        <w:rPr>
          <w:rFonts w:hint="eastAsia" w:eastAsia="仿宋_GB2312" w:cs="仿宋_GB2312"/>
          <w:sz w:val="32"/>
          <w:szCs w:val="32"/>
          <w:lang w:val="en-US" w:eastAsia="zh-CN"/>
        </w:rPr>
        <w:t>90.47</w:t>
      </w:r>
      <w:r>
        <w:rPr>
          <w:rFonts w:hint="eastAsia" w:eastAsia="仿宋_GB2312" w:cs="仿宋_GB2312"/>
          <w:sz w:val="32"/>
          <w:szCs w:val="32"/>
        </w:rPr>
        <w:t>分，绩效自评综述近年来在马尔康市人民法院不断加强和规范财务管理，建立健全中央政法转移支付资金管理制度，有效提高资金使用效益，切实保障依法履行审判职能并顺利完成各项工作任务；代管资金收入援建资金专项预算项目绩效自评得分为</w:t>
      </w:r>
      <w:r>
        <w:rPr>
          <w:rFonts w:hint="eastAsia" w:eastAsia="仿宋_GB2312" w:cs="仿宋_GB2312"/>
          <w:sz w:val="32"/>
          <w:szCs w:val="32"/>
          <w:lang w:val="en-US" w:eastAsia="zh-CN"/>
        </w:rPr>
        <w:t>90</w:t>
      </w:r>
      <w:r>
        <w:rPr>
          <w:rFonts w:hint="eastAsia" w:eastAsia="仿宋_GB2312" w:cs="仿宋_GB2312"/>
          <w:sz w:val="32"/>
          <w:szCs w:val="32"/>
        </w:rPr>
        <w:t>分，绩效自评综述主要用于我院“干警之家”项目及零星维修项目支出，以提升法院文化建设及基础设施建设。绩效自评报告详见附件。</w:t>
      </w:r>
      <w:bookmarkStart w:id="65" w:name="_Toc15396613"/>
      <w:bookmarkStart w:id="66" w:name="_Toc15377225"/>
      <w:bookmarkStart w:id="67" w:name="_Toc1194286685"/>
    </w:p>
    <w:p>
      <w:pPr>
        <w:rPr>
          <w:rFonts w:hint="eastAsia" w:eastAsia="黑体"/>
          <w:sz w:val="44"/>
          <w:szCs w:val="44"/>
        </w:rPr>
      </w:pPr>
      <w:r>
        <w:rPr>
          <w:rFonts w:hint="eastAsia" w:eastAsia="黑体"/>
          <w:sz w:val="44"/>
          <w:szCs w:val="44"/>
        </w:rPr>
        <w:br w:type="page"/>
      </w:r>
    </w:p>
    <w:p>
      <w:pPr>
        <w:spacing w:line="600" w:lineRule="exact"/>
        <w:jc w:val="center"/>
        <w:outlineLvl w:val="0"/>
        <w:rPr>
          <w:rFonts w:eastAsia="黑体"/>
          <w:sz w:val="44"/>
          <w:szCs w:val="44"/>
        </w:rPr>
      </w:pPr>
      <w:r>
        <w:rPr>
          <w:rFonts w:hint="eastAsia" w:eastAsia="黑体"/>
          <w:sz w:val="44"/>
          <w:szCs w:val="44"/>
        </w:rPr>
        <w:t>第三部分名词解释</w:t>
      </w:r>
      <w:bookmarkEnd w:id="65"/>
      <w:bookmarkEnd w:id="66"/>
      <w:bookmarkEnd w:id="67"/>
    </w:p>
    <w:p>
      <w:pPr>
        <w:spacing w:line="600" w:lineRule="exact"/>
        <w:jc w:val="left"/>
        <w:rPr>
          <w:b/>
          <w:sz w:val="44"/>
          <w:szCs w:val="44"/>
        </w:rPr>
      </w:pPr>
    </w:p>
    <w:p>
      <w:pPr>
        <w:spacing w:line="600" w:lineRule="exact"/>
        <w:ind w:firstLine="640"/>
        <w:rPr>
          <w:rFonts w:hint="eastAsia" w:eastAsia="仿宋_GB2312" w:cs="仿宋_GB2312"/>
          <w:sz w:val="32"/>
          <w:szCs w:val="32"/>
        </w:rPr>
      </w:pPr>
      <w:r>
        <w:rPr>
          <w:rFonts w:hint="eastAsia" w:eastAsia="仿宋_GB2312" w:cs="仿宋_GB2312"/>
          <w:sz w:val="32"/>
          <w:szCs w:val="32"/>
        </w:rPr>
        <w:t>1.财政拨款收入：指单位从同级财政部门取得的财政预算资金。</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2.其他收入：指单位取得的除上述收入以外的各项收入。</w:t>
      </w:r>
    </w:p>
    <w:p>
      <w:pPr>
        <w:spacing w:line="600" w:lineRule="exact"/>
        <w:ind w:firstLine="640"/>
        <w:rPr>
          <w:rFonts w:hint="eastAsia" w:eastAsia="仿宋_GB2312" w:cs="仿宋_GB2312"/>
          <w:sz w:val="32"/>
          <w:szCs w:val="32"/>
        </w:rPr>
      </w:pPr>
      <w:r>
        <w:rPr>
          <w:rFonts w:hint="eastAsia" w:eastAsia="仿宋_GB2312" w:cs="仿宋_GB2312"/>
          <w:sz w:val="32"/>
          <w:szCs w:val="32"/>
        </w:rPr>
        <w:t>3.公共安全支出（类）法院（款）行政运行（项）：反映行政单位（包括实行公务员管理的事业单位）的基本支出</w:t>
      </w:r>
    </w:p>
    <w:p>
      <w:pPr>
        <w:spacing w:line="600" w:lineRule="exact"/>
        <w:ind w:firstLine="640"/>
        <w:rPr>
          <w:rFonts w:hint="eastAsia" w:eastAsia="仿宋_GB2312" w:cs="仿宋_GB2312"/>
          <w:sz w:val="32"/>
          <w:szCs w:val="32"/>
        </w:rPr>
      </w:pPr>
      <w:r>
        <w:rPr>
          <w:rFonts w:hint="eastAsia" w:eastAsia="仿宋_GB2312" w:cs="仿宋_GB2312"/>
          <w:sz w:val="32"/>
          <w:szCs w:val="32"/>
        </w:rPr>
        <w:t>4.公共安全支出（类）法院（款）一般行政管理事务（项）：反映行政单位（包括实行公务员管理的事业单位）未单独设置项级科目的其他项目支出。</w:t>
      </w:r>
    </w:p>
    <w:p>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5</w:t>
      </w:r>
      <w:r>
        <w:rPr>
          <w:rFonts w:hint="eastAsia" w:eastAsia="仿宋_GB2312" w:cs="仿宋_GB2312"/>
          <w:sz w:val="32"/>
          <w:szCs w:val="32"/>
        </w:rPr>
        <w:t>.社会保障和就业支出（类）行政事业单位养老支出（款）机关事业单位基本养老保险缴费支出（项）：反映机关事业单位实施养老保险制度由单位缴纳的基本养老保险费支出。</w:t>
      </w:r>
    </w:p>
    <w:p>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6</w:t>
      </w:r>
      <w:r>
        <w:rPr>
          <w:rFonts w:hint="eastAsia" w:eastAsia="仿宋_GB2312" w:cs="仿宋_GB2312"/>
          <w:sz w:val="32"/>
          <w:szCs w:val="32"/>
        </w:rPr>
        <w:t>.社会保障和就业支出（类）行政事业单位养老支出（款）机关事业单位职业年金缴费支出（项）：反映机关事业单位实施养老保险制度由单位实际缴纳的职业年金支出。</w:t>
      </w:r>
    </w:p>
    <w:p>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7</w:t>
      </w:r>
      <w:r>
        <w:rPr>
          <w:rFonts w:hint="eastAsia" w:eastAsia="仿宋_GB2312" w:cs="仿宋_GB2312"/>
          <w:sz w:val="32"/>
          <w:szCs w:val="32"/>
        </w:rPr>
        <w:t>.卫生健康支出（类）行政事业单位医疗（款）行政单位医疗（项）：反映财政部门安排的行政单位（包括实行公务员管理的事业单位，基本医疗保险缴费经费，未参加医疗保险的行政单位的公费医疗经费，按国家规定享受离休人员待遇人员的医疗经费。</w:t>
      </w:r>
    </w:p>
    <w:p>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8</w:t>
      </w:r>
      <w:r>
        <w:rPr>
          <w:rFonts w:hint="eastAsia" w:eastAsia="仿宋_GB2312" w:cs="仿宋_GB2312"/>
          <w:sz w:val="32"/>
          <w:szCs w:val="32"/>
        </w:rPr>
        <w:t>.卫生健康支出（类）行政事业单位医疗（款）公务员医疗补助（项）：反映财政部门安排的公务员医疗补助经费。</w:t>
      </w:r>
    </w:p>
    <w:p>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9</w:t>
      </w:r>
      <w:r>
        <w:rPr>
          <w:rFonts w:hint="eastAsia" w:eastAsia="仿宋_GB2312" w:cs="仿宋_GB2312"/>
          <w:sz w:val="32"/>
          <w:szCs w:val="32"/>
        </w:rPr>
        <w:t>.住房保障支出（类）住房改革支出（款）住房公积金（项）：反映行政事业单位按人力资源和社会保障部、财政部规定的基本工资和津贴补贴以及规定比例为职工缴纳的住房公积金。</w:t>
      </w:r>
    </w:p>
    <w:p>
      <w:pPr>
        <w:spacing w:line="600" w:lineRule="exact"/>
        <w:ind w:firstLine="640"/>
        <w:rPr>
          <w:rFonts w:hint="eastAsia" w:eastAsia="仿宋_GB2312" w:cs="仿宋_GB2312"/>
          <w:sz w:val="32"/>
          <w:szCs w:val="32"/>
        </w:rPr>
      </w:pPr>
      <w:r>
        <w:rPr>
          <w:rFonts w:hint="eastAsia" w:eastAsia="仿宋_GB2312" w:cs="仿宋_GB2312"/>
          <w:sz w:val="32"/>
          <w:szCs w:val="32"/>
        </w:rPr>
        <w:t>1</w:t>
      </w:r>
      <w:r>
        <w:rPr>
          <w:rFonts w:hint="eastAsia" w:eastAsia="仿宋_GB2312" w:cs="仿宋_GB2312"/>
          <w:sz w:val="32"/>
          <w:szCs w:val="32"/>
          <w:lang w:val="en-US" w:eastAsia="zh-CN"/>
        </w:rPr>
        <w:t>0</w:t>
      </w:r>
      <w:r>
        <w:rPr>
          <w:rFonts w:hint="eastAsia" w:eastAsia="仿宋_GB2312" w:cs="仿宋_GB2312"/>
          <w:sz w:val="32"/>
          <w:szCs w:val="32"/>
        </w:rPr>
        <w:t>.基本支出：指为保障机构正常运转、完成日常工作任务而发生的人员支出和公用支出。</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1</w:t>
      </w:r>
      <w:r>
        <w:rPr>
          <w:rFonts w:hint="eastAsia" w:eastAsia="仿宋_GB2312" w:cs="仿宋_GB2312"/>
          <w:sz w:val="32"/>
          <w:szCs w:val="32"/>
          <w:lang w:val="en-US" w:eastAsia="zh-CN"/>
        </w:rPr>
        <w:t>1</w:t>
      </w:r>
      <w:r>
        <w:rPr>
          <w:rFonts w:hint="eastAsia" w:eastAsia="仿宋_GB2312" w:cs="仿宋_GB2312"/>
          <w:sz w:val="32"/>
          <w:szCs w:val="32"/>
        </w:rPr>
        <w:t>.项目支出：指在基本支出之外为完成特定行政任务目标所发生的支出。</w:t>
      </w:r>
    </w:p>
    <w:p>
      <w:pPr>
        <w:spacing w:line="600" w:lineRule="exact"/>
        <w:ind w:firstLine="640"/>
        <w:rPr>
          <w:rFonts w:hint="eastAsia" w:eastAsia="仿宋_GB2312" w:cs="仿宋_GB2312"/>
          <w:sz w:val="32"/>
          <w:szCs w:val="32"/>
        </w:rPr>
      </w:pPr>
      <w:r>
        <w:rPr>
          <w:rFonts w:hint="eastAsia" w:eastAsia="仿宋_GB2312" w:cs="仿宋_GB2312"/>
          <w:sz w:val="32"/>
          <w:szCs w:val="32"/>
        </w:rPr>
        <w:t>1</w:t>
      </w:r>
      <w:r>
        <w:rPr>
          <w:rFonts w:hint="eastAsia" w:eastAsia="仿宋_GB2312" w:cs="仿宋_GB2312"/>
          <w:sz w:val="32"/>
          <w:szCs w:val="32"/>
          <w:lang w:val="en-US" w:eastAsia="zh-CN"/>
        </w:rPr>
        <w:t>2</w:t>
      </w:r>
      <w:r>
        <w:rPr>
          <w:rFonts w:hint="eastAsia" w:eastAsia="仿宋_GB2312" w:cs="仿宋_GB2312"/>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燃料费、维修费、过路过桥费、保险费等支出；公务接待费反映单位按规定开支的各类公务接待支出。</w:t>
      </w:r>
    </w:p>
    <w:p>
      <w:pPr>
        <w:spacing w:line="600" w:lineRule="exact"/>
        <w:ind w:firstLine="640"/>
        <w:rPr>
          <w:rFonts w:eastAsia="仿宋_GB2312" w:cs="仿宋_GB2312"/>
          <w:b/>
          <w:bCs/>
          <w:sz w:val="32"/>
          <w:szCs w:val="32"/>
        </w:rPr>
      </w:pPr>
      <w:r>
        <w:rPr>
          <w:rFonts w:hint="eastAsia" w:eastAsia="仿宋_GB2312" w:cs="仿宋_GB2312"/>
          <w:sz w:val="32"/>
          <w:szCs w:val="32"/>
        </w:rPr>
        <w:t>1</w:t>
      </w:r>
      <w:r>
        <w:rPr>
          <w:rFonts w:hint="eastAsia" w:eastAsia="仿宋_GB2312" w:cs="仿宋_GB2312"/>
          <w:sz w:val="32"/>
          <w:szCs w:val="32"/>
          <w:lang w:val="en-US" w:eastAsia="zh-CN"/>
        </w:rPr>
        <w:t>3</w:t>
      </w:r>
      <w:r>
        <w:rPr>
          <w:rFonts w:hint="eastAsia" w:eastAsia="仿宋_GB2312" w:cs="仿宋_GB2312"/>
          <w:sz w:val="32"/>
          <w:szCs w:val="32"/>
        </w:rPr>
        <w:t>.机关运行经费：为保障行政单位运行用于购买货物和服务的各项资金，包括办公及印刷费、邮电费、差旅费、会议费、福利费、日常维修费、一般设备购置费、办公用房水电费、办公用房取暖费、办公用房物业管理费、公务用车运行维护费以及其他费用。</w:t>
      </w:r>
    </w:p>
    <w:p>
      <w:pPr>
        <w:spacing w:line="600" w:lineRule="exact"/>
        <w:jc w:val="center"/>
        <w:outlineLvl w:val="0"/>
        <w:rPr>
          <w:rStyle w:val="29"/>
          <w:rFonts w:eastAsia="黑体"/>
          <w:b w:val="0"/>
        </w:rPr>
      </w:pPr>
      <w:bookmarkStart w:id="68" w:name="_Toc15377226"/>
      <w:r>
        <w:rPr>
          <w:rFonts w:hint="eastAsia" w:eastAsia="仿宋_GB2312" w:cs="仿宋_GB2312"/>
          <w:sz w:val="32"/>
          <w:szCs w:val="32"/>
        </w:rPr>
        <w:br w:type="page"/>
      </w:r>
      <w:bookmarkStart w:id="69" w:name="_Toc15396614"/>
      <w:bookmarkStart w:id="70" w:name="_Toc2048128849"/>
      <w:r>
        <w:rPr>
          <w:rFonts w:hint="eastAsia" w:eastAsia="黑体"/>
          <w:sz w:val="44"/>
          <w:szCs w:val="44"/>
        </w:rPr>
        <w:t>第四部分附件</w:t>
      </w:r>
      <w:bookmarkEnd w:id="69"/>
      <w:bookmarkEnd w:id="70"/>
    </w:p>
    <w:p>
      <w:pPr>
        <w:spacing w:line="572" w:lineRule="exact"/>
        <w:jc w:val="left"/>
        <w:outlineLvl w:val="9"/>
        <w:rPr>
          <w:rFonts w:eastAsia="黑体" w:cs="黑体"/>
          <w:color w:val="FF0000"/>
          <w:sz w:val="32"/>
          <w:szCs w:val="32"/>
        </w:rPr>
      </w:pPr>
    </w:p>
    <w:p>
      <w:pPr>
        <w:spacing w:line="572" w:lineRule="exact"/>
        <w:jc w:val="left"/>
        <w:outlineLvl w:val="1"/>
        <w:rPr>
          <w:rFonts w:eastAsia="黑体" w:cs="方正小标宋简体"/>
          <w:sz w:val="44"/>
          <w:szCs w:val="44"/>
        </w:rPr>
      </w:pPr>
      <w:bookmarkStart w:id="71" w:name="_Toc886187380"/>
      <w:r>
        <w:rPr>
          <w:rFonts w:hint="eastAsia" w:eastAsia="黑体" w:cs="黑体"/>
          <w:sz w:val="32"/>
          <w:szCs w:val="32"/>
        </w:rPr>
        <w:t>附件1</w:t>
      </w:r>
      <w:bookmarkEnd w:id="71"/>
    </w:p>
    <w:p>
      <w:pPr>
        <w:keepNext w:val="0"/>
        <w:keepLines w:val="0"/>
        <w:widowControl/>
        <w:suppressLineNumbers w:val="0"/>
        <w:spacing w:before="0" w:beforeAutospacing="0" w:after="0" w:afterAutospacing="0" w:line="600" w:lineRule="exact"/>
        <w:ind w:left="0" w:right="0"/>
        <w:contextualSpacing/>
        <w:jc w:val="center"/>
        <w:rPr>
          <w:rFonts w:hint="default" w:ascii="Times New Roman" w:hAnsi="Times New Roman" w:eastAsia="方正小标宋简体" w:cs="Times New Roman"/>
          <w:bCs/>
          <w:kern w:val="2"/>
          <w:sz w:val="44"/>
          <w:szCs w:val="44"/>
          <w:shd w:val="clear" w:fill="FFFFFF"/>
        </w:rPr>
      </w:pPr>
      <w:r>
        <w:rPr>
          <w:rFonts w:hint="default" w:ascii="方正小标宋简体" w:hAnsi="方正小标宋简体" w:eastAsia="方正小标宋简体" w:cs="方正小标宋简体"/>
          <w:bCs/>
          <w:kern w:val="2"/>
          <w:sz w:val="44"/>
          <w:szCs w:val="44"/>
          <w:shd w:val="clear" w:fill="FFFFFF"/>
          <w:lang w:val="en-US" w:eastAsia="zh-CN" w:bidi="ar"/>
        </w:rPr>
        <w:t>马尔康市人民法院</w:t>
      </w:r>
    </w:p>
    <w:p>
      <w:pPr>
        <w:keepNext w:val="0"/>
        <w:keepLines w:val="0"/>
        <w:widowControl/>
        <w:suppressLineNumbers w:val="0"/>
        <w:spacing w:before="0" w:beforeAutospacing="0" w:after="0" w:afterAutospacing="0" w:line="600" w:lineRule="exact"/>
        <w:ind w:left="0" w:right="0"/>
        <w:contextualSpacing/>
        <w:jc w:val="center"/>
        <w:rPr>
          <w:rFonts w:hint="default" w:ascii="Times New Roman" w:hAnsi="Times New Roman" w:eastAsia="方正小标宋简体" w:cs="Times New Roman"/>
          <w:bCs/>
          <w:kern w:val="2"/>
          <w:sz w:val="44"/>
          <w:szCs w:val="44"/>
          <w:shd w:val="clear" w:fill="FFFFFF"/>
        </w:rPr>
      </w:pPr>
      <w:r>
        <w:rPr>
          <w:rFonts w:hint="default" w:ascii="方正小标宋简体" w:hAnsi="方正小标宋简体" w:eastAsia="方正小标宋简体" w:cs="方正小标宋简体"/>
          <w:bCs/>
          <w:kern w:val="2"/>
          <w:sz w:val="44"/>
          <w:szCs w:val="44"/>
          <w:shd w:val="clear" w:fill="FFFFFF"/>
          <w:lang w:val="en-US" w:eastAsia="zh-CN" w:bidi="ar"/>
        </w:rPr>
        <w:t>部门预算绩效评价报告</w:t>
      </w:r>
    </w:p>
    <w:p>
      <w:pPr>
        <w:keepNext w:val="0"/>
        <w:keepLines w:val="0"/>
        <w:widowControl/>
        <w:suppressLineNumbers w:val="0"/>
        <w:adjustRightInd w:val="0"/>
        <w:snapToGrid w:val="0"/>
        <w:spacing w:before="0" w:beforeAutospacing="0" w:after="0" w:afterAutospacing="0" w:line="578" w:lineRule="exact"/>
        <w:ind w:left="0" w:right="0" w:firstLine="480" w:firstLineChars="200"/>
        <w:contextualSpacing/>
        <w:jc w:val="left"/>
        <w:rPr>
          <w:rFonts w:hint="default" w:ascii="Times New Roman" w:hAnsi="Times New Roman" w:eastAsia="黑体" w:cs="Times New Roman"/>
          <w:color w:val="000000"/>
          <w:kern w:val="0"/>
          <w:sz w:val="24"/>
          <w:szCs w:val="24"/>
          <w:shd w:val="clear" w:fill="FFFFFF"/>
        </w:rPr>
      </w:pPr>
    </w:p>
    <w:p>
      <w:pPr>
        <w:keepNext w:val="0"/>
        <w:keepLines w:val="0"/>
        <w:widowControl/>
        <w:suppressLineNumbers w:val="0"/>
        <w:adjustRightInd w:val="0"/>
        <w:snapToGrid w:val="0"/>
        <w:spacing w:before="0" w:beforeAutospacing="0" w:after="0" w:afterAutospacing="0" w:line="578" w:lineRule="exact"/>
        <w:ind w:left="0" w:right="0" w:firstLine="640" w:firstLineChars="200"/>
        <w:contextualSpacing/>
        <w:jc w:val="left"/>
        <w:rPr>
          <w:rFonts w:hint="default" w:ascii="Times New Roman" w:hAnsi="Times New Roman" w:eastAsia="仿宋_GB2312" w:cs="Times New Roman"/>
          <w:kern w:val="2"/>
          <w:sz w:val="32"/>
          <w:szCs w:val="32"/>
        </w:rPr>
      </w:pPr>
      <w:r>
        <w:rPr>
          <w:rFonts w:hint="default" w:ascii="黑体" w:hAnsi="宋体" w:eastAsia="黑体" w:cs="黑体"/>
          <w:color w:val="000000"/>
          <w:kern w:val="0"/>
          <w:sz w:val="32"/>
          <w:szCs w:val="32"/>
          <w:shd w:val="clear" w:fill="FFFFFF"/>
          <w:lang w:val="en-US" w:eastAsia="zh-CN" w:bidi="ar"/>
        </w:rPr>
        <w:t>一、部门（单位）基本情况</w:t>
      </w:r>
    </w:p>
    <w:p>
      <w:pPr>
        <w:keepNext w:val="0"/>
        <w:keepLines w:val="0"/>
        <w:widowControl/>
        <w:suppressLineNumbers w:val="0"/>
        <w:wordWrap w:val="0"/>
        <w:adjustRightInd w:val="0"/>
        <w:snapToGrid w:val="0"/>
        <w:spacing w:before="0" w:beforeAutospacing="0" w:after="0" w:afterAutospacing="0" w:line="576" w:lineRule="exact"/>
        <w:ind w:left="0" w:right="0" w:firstLine="720"/>
        <w:contextualSpacing/>
        <w:jc w:val="left"/>
        <w:rPr>
          <w:rFonts w:hint="default" w:ascii="Times New Roman" w:hAnsi="Times New Roman" w:eastAsia="仿宋_GB2312" w:cs="Times New Roman"/>
          <w:b/>
          <w:bCs/>
          <w:color w:val="000000"/>
          <w:kern w:val="0"/>
          <w:sz w:val="32"/>
          <w:szCs w:val="32"/>
        </w:rPr>
      </w:pPr>
      <w:r>
        <w:rPr>
          <w:rFonts w:hint="default" w:ascii="楷体_GB2312" w:hAnsi="Times New Roman" w:eastAsia="楷体_GB2312" w:cs="楷体_GB2312"/>
          <w:b/>
          <w:bCs/>
          <w:color w:val="000000"/>
          <w:kern w:val="0"/>
          <w:sz w:val="32"/>
          <w:szCs w:val="32"/>
          <w:shd w:val="clear" w:fill="FFFFFF"/>
          <w:lang w:val="en-US" w:eastAsia="zh-CN" w:bidi="ar"/>
        </w:rPr>
        <w:t>（一）机构组成。</w:t>
      </w:r>
      <w:r>
        <w:rPr>
          <w:rFonts w:hint="default" w:ascii="仿宋_GB2312" w:hAnsi="Times New Roman" w:eastAsia="仿宋_GB2312" w:cs="仿宋_GB2312"/>
          <w:kern w:val="2"/>
          <w:sz w:val="32"/>
          <w:szCs w:val="32"/>
          <w:lang w:val="en-US" w:eastAsia="zh-CN" w:bidi="ar"/>
        </w:rPr>
        <w:t>马尔康市人民法院属市州一级预算单位，无下属二级预算单位。内设机构有：综合办公室、政治部（督察室）、立案庭（诉讼服务中心）、执行局、审判管理办公室（研究室）、民事审判庭（未成年人案件审判庭）、刑事审判庭（环境资源审判庭）、行政审判庭、白湾人民法庭、草登人民法庭、沙尔宗人民法庭。</w:t>
      </w:r>
    </w:p>
    <w:p>
      <w:pPr>
        <w:keepNext w:val="0"/>
        <w:keepLines w:val="0"/>
        <w:widowControl/>
        <w:suppressLineNumbers w:val="0"/>
        <w:wordWrap w:val="0"/>
        <w:adjustRightInd w:val="0"/>
        <w:snapToGrid w:val="0"/>
        <w:spacing w:before="0" w:beforeAutospacing="0" w:after="0" w:afterAutospacing="0" w:line="576" w:lineRule="exact"/>
        <w:ind w:left="0" w:right="0" w:firstLine="720"/>
        <w:contextualSpacing/>
        <w:jc w:val="left"/>
        <w:rPr>
          <w:rFonts w:hint="default" w:ascii="Times New Roman" w:hAnsi="Times New Roman" w:eastAsia="楷体_GB2312" w:cs="Times New Roman"/>
          <w:b/>
          <w:bCs/>
          <w:color w:val="000000"/>
          <w:kern w:val="0"/>
          <w:sz w:val="32"/>
          <w:szCs w:val="32"/>
          <w:shd w:val="clear" w:fill="FFFFFF"/>
        </w:rPr>
      </w:pPr>
      <w:r>
        <w:rPr>
          <w:rFonts w:hint="default" w:ascii="楷体_GB2312" w:hAnsi="Times New Roman" w:eastAsia="楷体_GB2312" w:cs="楷体_GB2312"/>
          <w:b/>
          <w:bCs/>
          <w:color w:val="000000"/>
          <w:kern w:val="0"/>
          <w:sz w:val="32"/>
          <w:szCs w:val="32"/>
          <w:shd w:val="clear" w:fill="FFFFFF"/>
          <w:lang w:val="en-US" w:eastAsia="zh-CN" w:bidi="ar"/>
        </w:rPr>
        <w:t>（二）机构职能</w:t>
      </w:r>
      <w:r>
        <w:rPr>
          <w:rFonts w:hint="default" w:ascii="仿宋_GB2312" w:hAnsi="Times New Roman" w:eastAsia="仿宋_GB2312" w:cs="仿宋_GB2312"/>
          <w:kern w:val="2"/>
          <w:sz w:val="32"/>
          <w:szCs w:val="32"/>
          <w:lang w:val="en-US" w:eastAsia="zh-CN" w:bidi="ar"/>
        </w:rPr>
        <w:t>马尔康市人民法院是马尔康市国家审判机关。充分发挥审判职能，推进社会矛盾化解；及时审理各类民商事纠纷案件；积极稳妥地审理好行政案件；加强执行工作，确保权利人的合法权利得到实现；加强立案、信访接待工作；加强审判质量评查与管理，提高审判质量。</w:t>
      </w:r>
    </w:p>
    <w:p>
      <w:pPr>
        <w:keepNext w:val="0"/>
        <w:keepLines w:val="0"/>
        <w:widowControl w:val="0"/>
        <w:suppressLineNumbers w:val="0"/>
        <w:wordWrap w:val="0"/>
        <w:snapToGrid w:val="0"/>
        <w:spacing w:before="0" w:beforeAutospacing="0" w:after="0" w:afterAutospacing="0" w:line="576" w:lineRule="exact"/>
        <w:ind w:left="0" w:right="0" w:firstLine="643" w:firstLineChars="200"/>
        <w:contextualSpacing/>
        <w:jc w:val="both"/>
        <w:rPr>
          <w:rFonts w:hint="default" w:ascii="Times New Roman" w:hAnsi="Times New Roman" w:eastAsia="仿宋_GB2312" w:cs="Times New Roman"/>
          <w:kern w:val="2"/>
          <w:sz w:val="32"/>
          <w:szCs w:val="32"/>
        </w:rPr>
      </w:pPr>
      <w:r>
        <w:rPr>
          <w:rFonts w:hint="default" w:ascii="楷体_GB2312" w:hAnsi="Times New Roman" w:eastAsia="楷体_GB2312" w:cs="楷体_GB2312"/>
          <w:b/>
          <w:bCs/>
          <w:color w:val="000000"/>
          <w:kern w:val="0"/>
          <w:sz w:val="32"/>
          <w:szCs w:val="32"/>
          <w:shd w:val="clear" w:fill="FFFFFF"/>
          <w:lang w:val="en-US" w:eastAsia="zh-CN" w:bidi="ar"/>
        </w:rPr>
        <w:t>（三）人员概况。</w:t>
      </w:r>
      <w:r>
        <w:rPr>
          <w:rFonts w:hint="default" w:ascii="仿宋_GB2312" w:hAnsi="Times New Roman" w:eastAsia="仿宋_GB2312" w:cs="仿宋_GB2312"/>
          <w:kern w:val="2"/>
          <w:sz w:val="32"/>
          <w:szCs w:val="32"/>
          <w:lang w:val="en-US" w:eastAsia="zh-CN" w:bidi="ar"/>
        </w:rPr>
        <w:t>我院行政编制</w:t>
      </w:r>
      <w:r>
        <w:rPr>
          <w:rFonts w:hint="default" w:ascii="Times New Roman" w:hAnsi="Times New Roman" w:eastAsia="仿宋_GB2312" w:cs="Times New Roman"/>
          <w:kern w:val="2"/>
          <w:sz w:val="32"/>
          <w:szCs w:val="32"/>
          <w:lang w:val="en-US" w:eastAsia="zh-CN" w:bidi="ar"/>
        </w:rPr>
        <w:t>56</w:t>
      </w:r>
      <w:r>
        <w:rPr>
          <w:rFonts w:hint="default" w:ascii="仿宋_GB2312" w:hAnsi="Times New Roman" w:eastAsia="仿宋_GB2312" w:cs="仿宋_GB2312"/>
          <w:kern w:val="2"/>
          <w:sz w:val="32"/>
          <w:szCs w:val="32"/>
          <w:lang w:val="en-US" w:eastAsia="zh-CN" w:bidi="ar"/>
        </w:rPr>
        <w:t>人，行政工勤人员编制</w:t>
      </w:r>
      <w:r>
        <w:rPr>
          <w:rFonts w:hint="default" w:ascii="Times New Roman" w:hAnsi="Times New Roman" w:eastAsia="仿宋_GB2312" w:cs="Times New Roman"/>
          <w:kern w:val="2"/>
          <w:sz w:val="32"/>
          <w:szCs w:val="32"/>
          <w:lang w:val="en-US" w:eastAsia="zh-CN" w:bidi="ar"/>
        </w:rPr>
        <w:t>4</w:t>
      </w:r>
      <w:r>
        <w:rPr>
          <w:rFonts w:hint="default" w:ascii="仿宋_GB2312" w:hAnsi="Times New Roman" w:eastAsia="仿宋_GB2312" w:cs="仿宋_GB2312"/>
          <w:kern w:val="2"/>
          <w:sz w:val="32"/>
          <w:szCs w:val="32"/>
          <w:lang w:val="en-US" w:eastAsia="zh-CN" w:bidi="ar"/>
        </w:rPr>
        <w:t>人。年末在编干警</w:t>
      </w:r>
      <w:r>
        <w:rPr>
          <w:rFonts w:hint="default" w:ascii="Times New Roman" w:hAnsi="Times New Roman" w:eastAsia="仿宋_GB2312" w:cs="Times New Roman"/>
          <w:kern w:val="2"/>
          <w:sz w:val="32"/>
          <w:szCs w:val="32"/>
          <w:lang w:val="en-US" w:eastAsia="zh-CN" w:bidi="ar"/>
        </w:rPr>
        <w:t>5</w:t>
      </w:r>
      <w:r>
        <w:rPr>
          <w:rFonts w:hint="eastAsia" w:eastAsia="仿宋_GB2312" w:cs="Times New Roman"/>
          <w:kern w:val="2"/>
          <w:sz w:val="32"/>
          <w:szCs w:val="32"/>
          <w:lang w:val="en-US" w:eastAsia="zh-CN" w:bidi="ar"/>
        </w:rPr>
        <w:t>3</w:t>
      </w:r>
      <w:r>
        <w:rPr>
          <w:rFonts w:hint="default" w:ascii="仿宋_GB2312" w:hAnsi="Times New Roman" w:eastAsia="仿宋_GB2312" w:cs="仿宋_GB2312"/>
          <w:kern w:val="2"/>
          <w:sz w:val="32"/>
          <w:szCs w:val="32"/>
          <w:lang w:val="en-US" w:eastAsia="zh-CN" w:bidi="ar"/>
        </w:rPr>
        <w:t>人，其中政法编制</w:t>
      </w:r>
      <w:r>
        <w:rPr>
          <w:rFonts w:hint="default" w:ascii="Times New Roman" w:hAnsi="Times New Roman" w:eastAsia="仿宋_GB2312" w:cs="Times New Roman"/>
          <w:kern w:val="2"/>
          <w:sz w:val="32"/>
          <w:szCs w:val="32"/>
          <w:lang w:val="en-US" w:eastAsia="zh-CN" w:bidi="ar"/>
        </w:rPr>
        <w:t>49</w:t>
      </w:r>
      <w:r>
        <w:rPr>
          <w:rFonts w:hint="default" w:ascii="仿宋_GB2312" w:hAnsi="Times New Roman" w:eastAsia="仿宋_GB2312" w:cs="仿宋_GB2312"/>
          <w:kern w:val="2"/>
          <w:sz w:val="32"/>
          <w:szCs w:val="32"/>
          <w:lang w:val="en-US" w:eastAsia="zh-CN" w:bidi="ar"/>
        </w:rPr>
        <w:t>人，行政工勤人员</w:t>
      </w:r>
      <w:r>
        <w:rPr>
          <w:rFonts w:hint="default" w:ascii="Times New Roman" w:hAnsi="Times New Roman" w:eastAsia="仿宋_GB2312" w:cs="Times New Roman"/>
          <w:kern w:val="2"/>
          <w:sz w:val="32"/>
          <w:szCs w:val="32"/>
          <w:lang w:val="en-US" w:eastAsia="zh-CN" w:bidi="ar"/>
        </w:rPr>
        <w:t>4</w:t>
      </w:r>
      <w:r>
        <w:rPr>
          <w:rFonts w:hint="default" w:ascii="仿宋_GB2312" w:hAnsi="Times New Roman" w:eastAsia="仿宋_GB2312" w:cs="仿宋_GB2312"/>
          <w:kern w:val="2"/>
          <w:sz w:val="32"/>
          <w:szCs w:val="32"/>
          <w:lang w:val="en-US" w:eastAsia="zh-CN" w:bidi="ar"/>
        </w:rPr>
        <w:t>人。另有人事局聘用临时工</w:t>
      </w:r>
      <w:r>
        <w:rPr>
          <w:rFonts w:hint="default" w:ascii="Times New Roman" w:hAnsi="Times New Roman" w:eastAsia="仿宋_GB2312" w:cs="Times New Roman"/>
          <w:kern w:val="2"/>
          <w:sz w:val="32"/>
          <w:szCs w:val="32"/>
          <w:lang w:val="en-US" w:eastAsia="zh-CN" w:bidi="ar"/>
        </w:rPr>
        <w:t>5</w:t>
      </w:r>
      <w:r>
        <w:rPr>
          <w:rFonts w:hint="default" w:ascii="仿宋_GB2312" w:hAnsi="Times New Roman" w:eastAsia="仿宋_GB2312" w:cs="仿宋_GB2312"/>
          <w:kern w:val="2"/>
          <w:sz w:val="32"/>
          <w:szCs w:val="32"/>
          <w:lang w:val="en-US" w:eastAsia="zh-CN" w:bidi="ar"/>
        </w:rPr>
        <w:t>人，单位自聘人员</w:t>
      </w:r>
      <w:r>
        <w:rPr>
          <w:rFonts w:hint="default" w:ascii="Times New Roman" w:hAnsi="Times New Roman" w:eastAsia="仿宋_GB2312" w:cs="Times New Roman"/>
          <w:kern w:val="2"/>
          <w:sz w:val="32"/>
          <w:szCs w:val="32"/>
          <w:lang w:val="en-US" w:eastAsia="zh-CN" w:bidi="ar"/>
        </w:rPr>
        <w:t>18</w:t>
      </w:r>
      <w:r>
        <w:rPr>
          <w:rFonts w:hint="default" w:ascii="仿宋_GB2312" w:hAnsi="Times New Roman" w:eastAsia="仿宋_GB2312" w:cs="仿宋_GB2312"/>
          <w:kern w:val="2"/>
          <w:sz w:val="32"/>
          <w:szCs w:val="32"/>
          <w:lang w:val="en-US" w:eastAsia="zh-CN" w:bidi="ar"/>
        </w:rPr>
        <w:t>人。退休人员有</w:t>
      </w:r>
      <w:r>
        <w:rPr>
          <w:rFonts w:hint="default" w:ascii="Times New Roman" w:hAnsi="Times New Roman" w:eastAsia="仿宋_GB2312" w:cs="Times New Roman"/>
          <w:kern w:val="2"/>
          <w:sz w:val="32"/>
          <w:szCs w:val="32"/>
          <w:lang w:val="en-US" w:eastAsia="zh-CN" w:bidi="ar"/>
        </w:rPr>
        <w:t>29</w:t>
      </w:r>
      <w:r>
        <w:rPr>
          <w:rFonts w:hint="default" w:ascii="仿宋_GB2312" w:hAnsi="Times New Roman" w:eastAsia="仿宋_GB2312" w:cs="仿宋_GB2312"/>
          <w:kern w:val="2"/>
          <w:sz w:val="32"/>
          <w:szCs w:val="32"/>
          <w:lang w:val="en-US" w:eastAsia="zh-CN" w:bidi="ar"/>
        </w:rPr>
        <w:t>人。新增退休人员</w:t>
      </w:r>
      <w:r>
        <w:rPr>
          <w:rFonts w:hint="default" w:ascii="Times New Roman" w:hAnsi="Times New Roman" w:eastAsia="仿宋_GB2312" w:cs="Times New Roman"/>
          <w:kern w:val="2"/>
          <w:sz w:val="32"/>
          <w:szCs w:val="32"/>
          <w:lang w:val="en-US" w:eastAsia="zh-CN" w:bidi="ar"/>
        </w:rPr>
        <w:t>1</w:t>
      </w:r>
      <w:r>
        <w:rPr>
          <w:rFonts w:hint="default" w:ascii="仿宋_GB2312" w:hAnsi="Times New Roman" w:eastAsia="仿宋_GB2312" w:cs="仿宋_GB2312"/>
          <w:kern w:val="2"/>
          <w:sz w:val="32"/>
          <w:szCs w:val="32"/>
          <w:lang w:val="en-US" w:eastAsia="zh-CN" w:bidi="ar"/>
        </w:rPr>
        <w:t>人。</w:t>
      </w:r>
    </w:p>
    <w:p>
      <w:pPr>
        <w:keepNext w:val="0"/>
        <w:keepLines w:val="0"/>
        <w:widowControl/>
        <w:suppressLineNumbers w:val="0"/>
        <w:adjustRightInd w:val="0"/>
        <w:snapToGrid w:val="0"/>
        <w:spacing w:before="0" w:beforeAutospacing="0" w:after="0" w:afterAutospacing="0" w:line="578" w:lineRule="exact"/>
        <w:ind w:left="0" w:right="0" w:firstLine="640" w:firstLineChars="200"/>
        <w:contextualSpacing/>
        <w:jc w:val="left"/>
        <w:rPr>
          <w:rFonts w:hint="default" w:ascii="Times New Roman" w:hAnsi="Times New Roman" w:eastAsia="黑体" w:cs="Times New Roman"/>
          <w:color w:val="000000"/>
          <w:kern w:val="0"/>
          <w:sz w:val="32"/>
          <w:szCs w:val="32"/>
          <w:shd w:val="clear" w:fill="FFFFFF"/>
        </w:rPr>
      </w:pPr>
      <w:r>
        <w:rPr>
          <w:rFonts w:hint="default" w:ascii="黑体" w:hAnsi="宋体" w:eastAsia="黑体" w:cs="黑体"/>
          <w:color w:val="000000"/>
          <w:kern w:val="0"/>
          <w:sz w:val="32"/>
          <w:szCs w:val="32"/>
          <w:shd w:val="clear" w:fill="FFFFFF"/>
          <w:lang w:val="en-US" w:eastAsia="zh-CN" w:bidi="ar"/>
        </w:rPr>
        <w:t>二、部门资金收支情况</w:t>
      </w:r>
    </w:p>
    <w:p>
      <w:pPr>
        <w:keepNext w:val="0"/>
        <w:keepLines w:val="0"/>
        <w:widowControl w:val="0"/>
        <w:suppressLineNumbers w:val="0"/>
        <w:wordWrap w:val="0"/>
        <w:snapToGrid w:val="0"/>
        <w:spacing w:before="0" w:beforeAutospacing="0" w:after="0" w:afterAutospacing="0" w:line="576" w:lineRule="exact"/>
        <w:ind w:left="0" w:right="0" w:firstLine="643" w:firstLineChars="200"/>
        <w:contextualSpacing/>
        <w:jc w:val="both"/>
        <w:rPr>
          <w:rFonts w:hint="default" w:ascii="Times New Roman" w:hAnsi="Times New Roman" w:eastAsia="楷体_GB2312" w:cs="Times New Roman"/>
          <w:b/>
          <w:bCs/>
          <w:color w:val="000000"/>
          <w:kern w:val="0"/>
          <w:sz w:val="32"/>
          <w:szCs w:val="32"/>
          <w:shd w:val="clear" w:fill="FFFFFF"/>
        </w:rPr>
      </w:pPr>
      <w:r>
        <w:rPr>
          <w:rFonts w:hint="default" w:ascii="楷体_GB2312" w:hAnsi="Times New Roman" w:eastAsia="楷体_GB2312" w:cs="楷体_GB2312"/>
          <w:b/>
          <w:bCs/>
          <w:color w:val="000000"/>
          <w:kern w:val="0"/>
          <w:sz w:val="32"/>
          <w:szCs w:val="32"/>
          <w:shd w:val="clear" w:fill="FFFFFF"/>
          <w:lang w:val="en-US" w:eastAsia="zh-CN" w:bidi="ar"/>
        </w:rPr>
        <w:t>（一）收入情况。</w:t>
      </w:r>
      <w:r>
        <w:rPr>
          <w:rFonts w:hint="default" w:ascii="仿宋_GB2312" w:hAnsi="Times New Roman" w:eastAsia="仿宋_GB2312" w:cs="仿宋_GB2312"/>
          <w:kern w:val="2"/>
          <w:sz w:val="32"/>
          <w:szCs w:val="32"/>
          <w:lang w:val="en-US" w:eastAsia="zh-CN" w:bidi="ar"/>
        </w:rPr>
        <w:t>本单位</w:t>
      </w: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年度总收入为</w:t>
      </w:r>
      <w:r>
        <w:rPr>
          <w:rFonts w:hint="default" w:ascii="Times New Roman" w:hAnsi="Times New Roman" w:eastAsia="仿宋_GB2312" w:cs="Times New Roman"/>
          <w:kern w:val="2"/>
          <w:sz w:val="32"/>
          <w:szCs w:val="32"/>
          <w:lang w:val="en-US" w:eastAsia="zh-CN" w:bidi="ar"/>
        </w:rPr>
        <w:t>2363.7</w:t>
      </w:r>
      <w:r>
        <w:rPr>
          <w:rFonts w:hint="default" w:ascii="仿宋_GB2312" w:hAnsi="Times New Roman" w:eastAsia="仿宋_GB2312" w:cs="仿宋_GB2312"/>
          <w:kern w:val="2"/>
          <w:sz w:val="32"/>
          <w:szCs w:val="32"/>
          <w:lang w:val="en-US" w:eastAsia="zh-CN" w:bidi="ar"/>
        </w:rPr>
        <w:t>万元。其中：一般公共预算财政拨款收入为</w:t>
      </w:r>
      <w:r>
        <w:rPr>
          <w:rFonts w:hint="default" w:ascii="Times New Roman" w:hAnsi="Times New Roman" w:eastAsia="仿宋_GB2312" w:cs="Times New Roman"/>
          <w:kern w:val="2"/>
          <w:sz w:val="32"/>
          <w:szCs w:val="32"/>
          <w:lang w:val="en-US" w:eastAsia="zh-CN" w:bidi="ar"/>
        </w:rPr>
        <w:t>1896.89</w:t>
      </w:r>
      <w:r>
        <w:rPr>
          <w:rFonts w:hint="default" w:ascii="仿宋_GB2312" w:hAnsi="Times New Roman" w:eastAsia="仿宋_GB2312" w:cs="仿宋_GB2312"/>
          <w:kern w:val="2"/>
          <w:sz w:val="32"/>
          <w:szCs w:val="32"/>
          <w:lang w:val="en-US" w:eastAsia="zh-CN" w:bidi="ar"/>
        </w:rPr>
        <w:t>万元，占比</w:t>
      </w:r>
      <w:r>
        <w:rPr>
          <w:rFonts w:hint="default" w:ascii="Times New Roman" w:hAnsi="Times New Roman" w:eastAsia="仿宋_GB2312" w:cs="Times New Roman"/>
          <w:kern w:val="2"/>
          <w:sz w:val="32"/>
          <w:szCs w:val="32"/>
          <w:lang w:val="en-US" w:eastAsia="zh-CN" w:bidi="ar"/>
        </w:rPr>
        <w:t>80.25%</w:t>
      </w:r>
      <w:r>
        <w:rPr>
          <w:rFonts w:hint="default" w:ascii="仿宋_GB2312" w:hAnsi="Times New Roman" w:eastAsia="仿宋_GB2312" w:cs="仿宋_GB2312"/>
          <w:kern w:val="2"/>
          <w:sz w:val="32"/>
          <w:szCs w:val="32"/>
          <w:lang w:val="en-US" w:eastAsia="zh-CN" w:bidi="ar"/>
        </w:rPr>
        <w:t>，政府性基金预算财政拨款收入为</w:t>
      </w:r>
      <w:r>
        <w:rPr>
          <w:rFonts w:hint="default" w:ascii="Times New Roman" w:hAnsi="Times New Roman" w:eastAsia="仿宋_GB2312" w:cs="Times New Roman"/>
          <w:kern w:val="2"/>
          <w:sz w:val="32"/>
          <w:szCs w:val="32"/>
          <w:lang w:val="en-US" w:eastAsia="zh-CN" w:bidi="ar"/>
        </w:rPr>
        <w:t>0.00</w:t>
      </w:r>
      <w:r>
        <w:rPr>
          <w:rFonts w:hint="default" w:ascii="仿宋_GB2312" w:hAnsi="Times New Roman" w:eastAsia="仿宋_GB2312" w:cs="仿宋_GB2312"/>
          <w:kern w:val="2"/>
          <w:sz w:val="32"/>
          <w:szCs w:val="32"/>
          <w:lang w:val="en-US" w:eastAsia="zh-CN" w:bidi="ar"/>
        </w:rPr>
        <w:t>万元，占比</w:t>
      </w:r>
      <w:r>
        <w:rPr>
          <w:rFonts w:hint="default" w:ascii="Times New Roman" w:hAnsi="Times New Roman" w:eastAsia="仿宋_GB2312" w:cs="Times New Roman"/>
          <w:kern w:val="2"/>
          <w:sz w:val="32"/>
          <w:szCs w:val="32"/>
          <w:lang w:val="en-US" w:eastAsia="zh-CN" w:bidi="ar"/>
        </w:rPr>
        <w:t>0.00%</w:t>
      </w:r>
      <w:r>
        <w:rPr>
          <w:rFonts w:hint="default" w:ascii="仿宋_GB2312" w:hAnsi="Times New Roman" w:eastAsia="仿宋_GB2312" w:cs="仿宋_GB2312"/>
          <w:kern w:val="2"/>
          <w:sz w:val="32"/>
          <w:szCs w:val="32"/>
          <w:lang w:val="en-US" w:eastAsia="zh-CN" w:bidi="ar"/>
        </w:rPr>
        <w:t>；国有资本经营预算财政拨款收入为</w:t>
      </w:r>
      <w:r>
        <w:rPr>
          <w:rFonts w:hint="default" w:ascii="Times New Roman" w:hAnsi="Times New Roman" w:eastAsia="仿宋_GB2312" w:cs="Times New Roman"/>
          <w:kern w:val="2"/>
          <w:sz w:val="32"/>
          <w:szCs w:val="32"/>
          <w:lang w:val="en-US" w:eastAsia="zh-CN" w:bidi="ar"/>
        </w:rPr>
        <w:t>0.00)</w:t>
      </w:r>
      <w:r>
        <w:rPr>
          <w:rFonts w:hint="default" w:ascii="仿宋_GB2312" w:hAnsi="Times New Roman" w:eastAsia="仿宋_GB2312" w:cs="仿宋_GB2312"/>
          <w:kern w:val="2"/>
          <w:sz w:val="32"/>
          <w:szCs w:val="32"/>
          <w:lang w:val="en-US" w:eastAsia="zh-CN" w:bidi="ar"/>
        </w:rPr>
        <w:t>万元，占比</w:t>
      </w:r>
      <w:r>
        <w:rPr>
          <w:rFonts w:hint="default" w:ascii="Times New Roman" w:hAnsi="Times New Roman" w:eastAsia="仿宋_GB2312" w:cs="Times New Roman"/>
          <w:kern w:val="2"/>
          <w:sz w:val="32"/>
          <w:szCs w:val="32"/>
          <w:lang w:val="en-US" w:eastAsia="zh-CN" w:bidi="ar"/>
        </w:rPr>
        <w:t>0.00%</w:t>
      </w:r>
      <w:r>
        <w:rPr>
          <w:rFonts w:hint="default" w:ascii="仿宋_GB2312" w:hAnsi="Times New Roman" w:eastAsia="仿宋_GB2312" w:cs="仿宋_GB2312"/>
          <w:kern w:val="2"/>
          <w:sz w:val="32"/>
          <w:szCs w:val="32"/>
          <w:lang w:val="en-US" w:eastAsia="zh-CN" w:bidi="ar"/>
        </w:rPr>
        <w:t>；上级补助收入为</w:t>
      </w:r>
      <w:r>
        <w:rPr>
          <w:rFonts w:hint="default" w:ascii="Times New Roman" w:hAnsi="Times New Roman" w:eastAsia="仿宋_GB2312" w:cs="Times New Roman"/>
          <w:kern w:val="2"/>
          <w:sz w:val="32"/>
          <w:szCs w:val="32"/>
          <w:lang w:val="en-US" w:eastAsia="zh-CN" w:bidi="ar"/>
        </w:rPr>
        <w:t>0.00</w:t>
      </w:r>
      <w:r>
        <w:rPr>
          <w:rFonts w:hint="default" w:ascii="仿宋_GB2312" w:hAnsi="Times New Roman" w:eastAsia="仿宋_GB2312" w:cs="仿宋_GB2312"/>
          <w:kern w:val="2"/>
          <w:sz w:val="32"/>
          <w:szCs w:val="32"/>
          <w:lang w:val="en-US" w:eastAsia="zh-CN" w:bidi="ar"/>
        </w:rPr>
        <w:t>万元，占比</w:t>
      </w:r>
      <w:r>
        <w:rPr>
          <w:rFonts w:hint="default" w:ascii="Times New Roman" w:hAnsi="Times New Roman" w:eastAsia="仿宋_GB2312" w:cs="Times New Roman"/>
          <w:kern w:val="2"/>
          <w:sz w:val="32"/>
          <w:szCs w:val="32"/>
          <w:lang w:val="en-US" w:eastAsia="zh-CN" w:bidi="ar"/>
        </w:rPr>
        <w:t>0.00%</w:t>
      </w:r>
      <w:r>
        <w:rPr>
          <w:rFonts w:hint="default" w:ascii="仿宋_GB2312" w:hAnsi="Times New Roman" w:eastAsia="仿宋_GB2312" w:cs="仿宋_GB2312"/>
          <w:kern w:val="2"/>
          <w:sz w:val="32"/>
          <w:szCs w:val="32"/>
          <w:lang w:val="en-US" w:eastAsia="zh-CN" w:bidi="ar"/>
        </w:rPr>
        <w:t>；事业收入为</w:t>
      </w:r>
      <w:r>
        <w:rPr>
          <w:rFonts w:hint="default" w:ascii="Times New Roman" w:hAnsi="Times New Roman" w:eastAsia="仿宋_GB2312" w:cs="Times New Roman"/>
          <w:kern w:val="2"/>
          <w:sz w:val="32"/>
          <w:szCs w:val="32"/>
          <w:lang w:val="en-US" w:eastAsia="zh-CN" w:bidi="ar"/>
        </w:rPr>
        <w:t>0.00</w:t>
      </w:r>
      <w:r>
        <w:rPr>
          <w:rFonts w:hint="default" w:ascii="仿宋_GB2312" w:hAnsi="Times New Roman" w:eastAsia="仿宋_GB2312" w:cs="仿宋_GB2312"/>
          <w:kern w:val="2"/>
          <w:sz w:val="32"/>
          <w:szCs w:val="32"/>
          <w:lang w:val="en-US" w:eastAsia="zh-CN" w:bidi="ar"/>
        </w:rPr>
        <w:t>万元，占比</w:t>
      </w:r>
      <w:r>
        <w:rPr>
          <w:rFonts w:hint="default" w:ascii="Times New Roman" w:hAnsi="Times New Roman" w:eastAsia="仿宋_GB2312" w:cs="Times New Roman"/>
          <w:kern w:val="2"/>
          <w:sz w:val="32"/>
          <w:szCs w:val="32"/>
          <w:lang w:val="en-US" w:eastAsia="zh-CN" w:bidi="ar"/>
        </w:rPr>
        <w:t>0.00%</w:t>
      </w:r>
      <w:r>
        <w:rPr>
          <w:rFonts w:hint="default" w:ascii="仿宋_GB2312" w:hAnsi="Times New Roman" w:eastAsia="仿宋_GB2312" w:cs="仿宋_GB2312"/>
          <w:kern w:val="2"/>
          <w:sz w:val="32"/>
          <w:szCs w:val="32"/>
          <w:lang w:val="en-US" w:eastAsia="zh-CN" w:bidi="ar"/>
        </w:rPr>
        <w:t>；经营收入为</w:t>
      </w:r>
      <w:r>
        <w:rPr>
          <w:rFonts w:hint="default" w:ascii="Times New Roman" w:hAnsi="Times New Roman" w:eastAsia="仿宋_GB2312" w:cs="Times New Roman"/>
          <w:kern w:val="2"/>
          <w:sz w:val="32"/>
          <w:szCs w:val="32"/>
          <w:lang w:val="en-US" w:eastAsia="zh-CN" w:bidi="ar"/>
        </w:rPr>
        <w:t>0.00</w:t>
      </w:r>
      <w:r>
        <w:rPr>
          <w:rFonts w:hint="default" w:ascii="仿宋_GB2312" w:hAnsi="Times New Roman" w:eastAsia="仿宋_GB2312" w:cs="仿宋_GB2312"/>
          <w:kern w:val="2"/>
          <w:sz w:val="32"/>
          <w:szCs w:val="32"/>
          <w:lang w:val="en-US" w:eastAsia="zh-CN" w:bidi="ar"/>
        </w:rPr>
        <w:t>万元，占比</w:t>
      </w:r>
      <w:r>
        <w:rPr>
          <w:rFonts w:hint="default" w:ascii="Times New Roman" w:hAnsi="Times New Roman" w:eastAsia="仿宋_GB2312" w:cs="Times New Roman"/>
          <w:kern w:val="2"/>
          <w:sz w:val="32"/>
          <w:szCs w:val="32"/>
          <w:lang w:val="en-US" w:eastAsia="zh-CN" w:bidi="ar"/>
        </w:rPr>
        <w:t>0.00%</w:t>
      </w:r>
      <w:r>
        <w:rPr>
          <w:rFonts w:hint="default" w:ascii="仿宋_GB2312" w:hAnsi="Times New Roman" w:eastAsia="仿宋_GB2312" w:cs="仿宋_GB2312"/>
          <w:kern w:val="2"/>
          <w:sz w:val="32"/>
          <w:szCs w:val="32"/>
          <w:lang w:val="en-US" w:eastAsia="zh-CN" w:bidi="ar"/>
        </w:rPr>
        <w:t>；附属单位上缴收入为</w:t>
      </w:r>
      <w:r>
        <w:rPr>
          <w:rFonts w:hint="default" w:ascii="Times New Roman" w:hAnsi="Times New Roman" w:eastAsia="仿宋_GB2312" w:cs="Times New Roman"/>
          <w:kern w:val="2"/>
          <w:sz w:val="32"/>
          <w:szCs w:val="32"/>
          <w:lang w:val="en-US" w:eastAsia="zh-CN" w:bidi="ar"/>
        </w:rPr>
        <w:t>0.00</w:t>
      </w:r>
      <w:r>
        <w:rPr>
          <w:rFonts w:hint="default" w:ascii="仿宋_GB2312" w:hAnsi="Times New Roman" w:eastAsia="仿宋_GB2312" w:cs="仿宋_GB2312"/>
          <w:kern w:val="2"/>
          <w:sz w:val="32"/>
          <w:szCs w:val="32"/>
          <w:lang w:val="en-US" w:eastAsia="zh-CN" w:bidi="ar"/>
        </w:rPr>
        <w:t>万元，占比</w:t>
      </w:r>
      <w:r>
        <w:rPr>
          <w:rFonts w:hint="default" w:ascii="Times New Roman" w:hAnsi="Times New Roman" w:eastAsia="仿宋_GB2312" w:cs="Times New Roman"/>
          <w:kern w:val="2"/>
          <w:sz w:val="32"/>
          <w:szCs w:val="32"/>
          <w:lang w:val="en-US" w:eastAsia="zh-CN" w:bidi="ar"/>
        </w:rPr>
        <w:t>0.00%</w:t>
      </w:r>
      <w:r>
        <w:rPr>
          <w:rFonts w:hint="default" w:ascii="仿宋_GB2312" w:hAnsi="Times New Roman" w:eastAsia="仿宋_GB2312" w:cs="仿宋_GB2312"/>
          <w:kern w:val="2"/>
          <w:sz w:val="32"/>
          <w:szCs w:val="32"/>
          <w:lang w:val="en-US" w:eastAsia="zh-CN" w:bidi="ar"/>
        </w:rPr>
        <w:t>；其他收入为</w:t>
      </w:r>
      <w:r>
        <w:rPr>
          <w:rFonts w:hint="default" w:ascii="Times New Roman" w:hAnsi="Times New Roman" w:eastAsia="仿宋_GB2312" w:cs="Times New Roman"/>
          <w:kern w:val="2"/>
          <w:sz w:val="32"/>
          <w:szCs w:val="32"/>
          <w:lang w:val="en-US" w:eastAsia="zh-CN" w:bidi="ar"/>
        </w:rPr>
        <w:t>423.91</w:t>
      </w:r>
      <w:r>
        <w:rPr>
          <w:rFonts w:hint="default" w:ascii="仿宋_GB2312" w:hAnsi="Times New Roman" w:eastAsia="仿宋_GB2312" w:cs="仿宋_GB2312"/>
          <w:kern w:val="2"/>
          <w:sz w:val="32"/>
          <w:szCs w:val="32"/>
          <w:lang w:val="en-US" w:eastAsia="zh-CN" w:bidi="ar"/>
        </w:rPr>
        <w:t>万元，占比</w:t>
      </w:r>
      <w:r>
        <w:rPr>
          <w:rFonts w:hint="default" w:ascii="Times New Roman" w:hAnsi="Times New Roman" w:eastAsia="仿宋_GB2312" w:cs="Times New Roman"/>
          <w:kern w:val="2"/>
          <w:sz w:val="32"/>
          <w:szCs w:val="32"/>
          <w:lang w:val="en-US" w:eastAsia="zh-CN" w:bidi="ar"/>
        </w:rPr>
        <w:t>18.27%</w:t>
      </w:r>
      <w:r>
        <w:rPr>
          <w:rFonts w:hint="default" w:ascii="仿宋_GB2312" w:hAnsi="Times New Roman" w:eastAsia="仿宋_GB2312" w:cs="仿宋_GB2312"/>
          <w:kern w:val="2"/>
          <w:sz w:val="32"/>
          <w:szCs w:val="32"/>
          <w:lang w:val="en-US" w:eastAsia="zh-CN" w:bidi="ar"/>
        </w:rPr>
        <w:t>。</w:t>
      </w:r>
    </w:p>
    <w:p>
      <w:pPr>
        <w:keepNext w:val="0"/>
        <w:keepLines w:val="0"/>
        <w:widowControl w:val="0"/>
        <w:suppressLineNumbers w:val="0"/>
        <w:wordWrap w:val="0"/>
        <w:snapToGrid w:val="0"/>
        <w:spacing w:before="0" w:beforeAutospacing="0" w:after="0" w:afterAutospacing="0" w:line="576" w:lineRule="exact"/>
        <w:ind w:left="0" w:right="0" w:firstLine="643" w:firstLineChars="200"/>
        <w:contextualSpacing/>
        <w:jc w:val="both"/>
        <w:rPr>
          <w:rFonts w:hint="default" w:ascii="Times New Roman" w:hAnsi="Times New Roman" w:eastAsia="仿宋_GB2312" w:cs="Times New Roman"/>
          <w:kern w:val="2"/>
          <w:sz w:val="32"/>
          <w:szCs w:val="32"/>
        </w:rPr>
      </w:pPr>
      <w:r>
        <w:rPr>
          <w:rFonts w:hint="default" w:ascii="楷体_GB2312" w:hAnsi="Times New Roman" w:eastAsia="楷体_GB2312" w:cs="楷体_GB2312"/>
          <w:b/>
          <w:bCs/>
          <w:color w:val="000000"/>
          <w:kern w:val="0"/>
          <w:sz w:val="32"/>
          <w:szCs w:val="32"/>
          <w:shd w:val="clear" w:fill="FFFFFF"/>
          <w:lang w:val="en-US" w:eastAsia="zh-CN" w:bidi="ar"/>
        </w:rPr>
        <w:t>（二）支出情况。</w:t>
      </w:r>
      <w:r>
        <w:rPr>
          <w:rFonts w:hint="default" w:ascii="Times New Roman" w:hAnsi="Times New Roman" w:eastAsia="楷体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年度总支出为</w:t>
      </w:r>
      <w:r>
        <w:rPr>
          <w:rFonts w:hint="default" w:ascii="Times New Roman" w:hAnsi="Times New Roman" w:eastAsia="仿宋_GB2312" w:cs="Times New Roman"/>
          <w:kern w:val="2"/>
          <w:sz w:val="32"/>
          <w:szCs w:val="32"/>
          <w:lang w:val="en-US" w:eastAsia="zh-CN" w:bidi="ar"/>
        </w:rPr>
        <w:t>2356.88</w:t>
      </w:r>
      <w:r>
        <w:rPr>
          <w:rFonts w:hint="default" w:ascii="仿宋_GB2312" w:hAnsi="Times New Roman" w:eastAsia="仿宋_GB2312" w:cs="仿宋_GB2312"/>
          <w:kern w:val="2"/>
          <w:sz w:val="32"/>
          <w:szCs w:val="32"/>
          <w:lang w:val="en-US" w:eastAsia="zh-CN" w:bidi="ar"/>
        </w:rPr>
        <w:t>万元。其中：公共安全支出为</w:t>
      </w:r>
      <w:r>
        <w:rPr>
          <w:rFonts w:hint="default" w:ascii="Times New Roman" w:hAnsi="Times New Roman" w:eastAsia="仿宋_GB2312" w:cs="Times New Roman"/>
          <w:kern w:val="2"/>
          <w:sz w:val="32"/>
          <w:szCs w:val="32"/>
          <w:lang w:val="en-US" w:eastAsia="zh-CN" w:bidi="ar"/>
        </w:rPr>
        <w:t>1916.4</w:t>
      </w:r>
      <w:r>
        <w:rPr>
          <w:rFonts w:hint="default" w:ascii="仿宋_GB2312" w:hAnsi="Times New Roman" w:eastAsia="仿宋_GB2312" w:cs="仿宋_GB2312"/>
          <w:kern w:val="2"/>
          <w:sz w:val="32"/>
          <w:szCs w:val="32"/>
          <w:lang w:val="en-US" w:eastAsia="zh-CN" w:bidi="ar"/>
        </w:rPr>
        <w:t>万元，占比</w:t>
      </w:r>
      <w:r>
        <w:rPr>
          <w:rFonts w:hint="default" w:ascii="Times New Roman" w:hAnsi="Times New Roman" w:eastAsia="仿宋_GB2312" w:cs="Times New Roman"/>
          <w:kern w:val="2"/>
          <w:sz w:val="32"/>
          <w:szCs w:val="32"/>
          <w:lang w:val="en-US" w:eastAsia="zh-CN" w:bidi="ar"/>
        </w:rPr>
        <w:t>81.31%</w:t>
      </w:r>
      <w:r>
        <w:rPr>
          <w:rFonts w:hint="default" w:ascii="仿宋_GB2312" w:hAnsi="Times New Roman" w:eastAsia="仿宋_GB2312" w:cs="仿宋_GB2312"/>
          <w:kern w:val="2"/>
          <w:sz w:val="32"/>
          <w:szCs w:val="32"/>
          <w:lang w:val="en-US" w:eastAsia="zh-CN" w:bidi="ar"/>
        </w:rPr>
        <w:t>；社会保障和就业支出为</w:t>
      </w:r>
      <w:r>
        <w:rPr>
          <w:rFonts w:hint="default" w:ascii="Times New Roman" w:hAnsi="Times New Roman" w:eastAsia="仿宋_GB2312" w:cs="Times New Roman"/>
          <w:kern w:val="2"/>
          <w:sz w:val="32"/>
          <w:szCs w:val="32"/>
          <w:lang w:val="en-US" w:eastAsia="zh-CN" w:bidi="ar"/>
        </w:rPr>
        <w:t>221.25</w:t>
      </w:r>
      <w:r>
        <w:rPr>
          <w:rFonts w:hint="default" w:ascii="仿宋_GB2312" w:hAnsi="Times New Roman" w:eastAsia="仿宋_GB2312" w:cs="仿宋_GB2312"/>
          <w:kern w:val="2"/>
          <w:sz w:val="32"/>
          <w:szCs w:val="32"/>
          <w:lang w:val="en-US" w:eastAsia="zh-CN" w:bidi="ar"/>
        </w:rPr>
        <w:t>万元，占比</w:t>
      </w:r>
      <w:r>
        <w:rPr>
          <w:rFonts w:hint="default" w:ascii="Times New Roman" w:hAnsi="Times New Roman" w:eastAsia="仿宋_GB2312" w:cs="Times New Roman"/>
          <w:kern w:val="2"/>
          <w:sz w:val="32"/>
          <w:szCs w:val="32"/>
          <w:lang w:val="en-US" w:eastAsia="zh-CN" w:bidi="ar"/>
        </w:rPr>
        <w:t>9.39%</w:t>
      </w:r>
      <w:r>
        <w:rPr>
          <w:rFonts w:hint="default" w:ascii="仿宋_GB2312" w:hAnsi="Times New Roman" w:eastAsia="仿宋_GB2312" w:cs="仿宋_GB2312"/>
          <w:kern w:val="2"/>
          <w:sz w:val="32"/>
          <w:szCs w:val="32"/>
          <w:lang w:val="en-US" w:eastAsia="zh-CN" w:bidi="ar"/>
        </w:rPr>
        <w:t>；卫生健康支出为</w:t>
      </w:r>
      <w:r>
        <w:rPr>
          <w:rFonts w:hint="default" w:ascii="Times New Roman" w:hAnsi="Times New Roman" w:eastAsia="仿宋_GB2312" w:cs="Times New Roman"/>
          <w:kern w:val="2"/>
          <w:sz w:val="32"/>
          <w:szCs w:val="32"/>
          <w:lang w:val="en-US" w:eastAsia="zh-CN" w:bidi="ar"/>
        </w:rPr>
        <w:t>78.62</w:t>
      </w:r>
      <w:r>
        <w:rPr>
          <w:rFonts w:hint="default" w:ascii="仿宋_GB2312" w:hAnsi="Times New Roman" w:eastAsia="仿宋_GB2312" w:cs="仿宋_GB2312"/>
          <w:kern w:val="2"/>
          <w:sz w:val="32"/>
          <w:szCs w:val="32"/>
          <w:lang w:val="en-US" w:eastAsia="zh-CN" w:bidi="ar"/>
        </w:rPr>
        <w:t>万元，占比</w:t>
      </w:r>
      <w:r>
        <w:rPr>
          <w:rFonts w:hint="default" w:ascii="Times New Roman" w:hAnsi="Times New Roman" w:eastAsia="仿宋_GB2312" w:cs="Times New Roman"/>
          <w:kern w:val="2"/>
          <w:sz w:val="32"/>
          <w:szCs w:val="32"/>
          <w:lang w:val="en-US" w:eastAsia="zh-CN" w:bidi="ar"/>
        </w:rPr>
        <w:t>3.33%</w:t>
      </w:r>
      <w:r>
        <w:rPr>
          <w:rFonts w:hint="default" w:ascii="仿宋_GB2312" w:hAnsi="Times New Roman" w:eastAsia="仿宋_GB2312" w:cs="仿宋_GB2312"/>
          <w:kern w:val="2"/>
          <w:sz w:val="32"/>
          <w:szCs w:val="32"/>
          <w:lang w:val="en-US" w:eastAsia="zh-CN" w:bidi="ar"/>
        </w:rPr>
        <w:t>；住房保障支出为</w:t>
      </w:r>
      <w:r>
        <w:rPr>
          <w:rFonts w:hint="default" w:ascii="Times New Roman" w:hAnsi="Times New Roman" w:eastAsia="仿宋_GB2312" w:cs="Times New Roman"/>
          <w:kern w:val="2"/>
          <w:sz w:val="32"/>
          <w:szCs w:val="32"/>
          <w:lang w:val="en-US" w:eastAsia="zh-CN" w:bidi="ar"/>
        </w:rPr>
        <w:t>140.61</w:t>
      </w:r>
      <w:r>
        <w:rPr>
          <w:rFonts w:hint="default" w:ascii="仿宋_GB2312" w:hAnsi="Times New Roman" w:eastAsia="仿宋_GB2312" w:cs="仿宋_GB2312"/>
          <w:kern w:val="2"/>
          <w:sz w:val="32"/>
          <w:szCs w:val="32"/>
          <w:lang w:val="en-US" w:eastAsia="zh-CN" w:bidi="ar"/>
        </w:rPr>
        <w:t>万元，占比</w:t>
      </w:r>
      <w:r>
        <w:rPr>
          <w:rFonts w:hint="default" w:ascii="Times New Roman" w:hAnsi="Times New Roman" w:eastAsia="仿宋_GB2312" w:cs="Times New Roman"/>
          <w:kern w:val="2"/>
          <w:sz w:val="32"/>
          <w:szCs w:val="32"/>
          <w:lang w:val="en-US" w:eastAsia="zh-CN" w:bidi="ar"/>
        </w:rPr>
        <w:t>5.97%</w:t>
      </w:r>
    </w:p>
    <w:p>
      <w:pPr>
        <w:keepNext w:val="0"/>
        <w:keepLines w:val="0"/>
        <w:widowControl w:val="0"/>
        <w:suppressLineNumbers w:val="0"/>
        <w:wordWrap w:val="0"/>
        <w:snapToGrid w:val="0"/>
        <w:spacing w:before="0" w:beforeAutospacing="0" w:after="0" w:afterAutospacing="0" w:line="576" w:lineRule="exact"/>
        <w:ind w:left="0" w:right="0" w:firstLine="640" w:firstLineChars="200"/>
        <w:contextualSpacing/>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按资金行政分类为：</w:t>
      </w: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年度，我院财政拨款支出</w:t>
      </w:r>
      <w:r>
        <w:rPr>
          <w:rFonts w:hint="default" w:ascii="Times New Roman" w:hAnsi="Times New Roman" w:eastAsia="仿宋_GB2312" w:cs="Times New Roman"/>
          <w:kern w:val="2"/>
          <w:sz w:val="32"/>
          <w:szCs w:val="32"/>
          <w:lang w:val="en-US" w:eastAsia="zh-CN" w:bidi="ar"/>
        </w:rPr>
        <w:t>1365.06</w:t>
      </w:r>
      <w:r>
        <w:rPr>
          <w:rFonts w:hint="default" w:ascii="仿宋_GB2312" w:hAnsi="Times New Roman" w:eastAsia="仿宋_GB2312" w:cs="仿宋_GB2312"/>
          <w:kern w:val="2"/>
          <w:sz w:val="32"/>
          <w:szCs w:val="32"/>
          <w:lang w:val="en-US" w:eastAsia="zh-CN" w:bidi="ar"/>
        </w:rPr>
        <w:t>万元，其中基本支出</w:t>
      </w:r>
      <w:r>
        <w:rPr>
          <w:rFonts w:hint="default" w:ascii="Times New Roman" w:hAnsi="Times New Roman" w:eastAsia="仿宋_GB2312" w:cs="Times New Roman"/>
          <w:kern w:val="2"/>
          <w:sz w:val="32"/>
          <w:szCs w:val="32"/>
          <w:lang w:val="en-US" w:eastAsia="zh-CN" w:bidi="ar"/>
        </w:rPr>
        <w:t>1365.06</w:t>
      </w:r>
      <w:r>
        <w:rPr>
          <w:rFonts w:hint="default" w:ascii="仿宋_GB2312" w:hAnsi="Times New Roman" w:eastAsia="仿宋_GB2312" w:cs="仿宋_GB2312"/>
          <w:kern w:val="2"/>
          <w:sz w:val="32"/>
          <w:szCs w:val="32"/>
          <w:lang w:val="en-US" w:eastAsia="zh-CN" w:bidi="ar"/>
        </w:rPr>
        <w:t>万元，占比</w:t>
      </w:r>
      <w:r>
        <w:rPr>
          <w:rFonts w:hint="default" w:ascii="Times New Roman" w:hAnsi="Times New Roman" w:eastAsia="仿宋_GB2312" w:cs="Times New Roman"/>
          <w:kern w:val="2"/>
          <w:sz w:val="32"/>
          <w:szCs w:val="32"/>
          <w:lang w:val="en-US" w:eastAsia="zh-CN" w:bidi="ar"/>
        </w:rPr>
        <w:t>100%</w:t>
      </w:r>
      <w:r>
        <w:rPr>
          <w:rFonts w:hint="default" w:ascii="仿宋_GB2312" w:hAnsi="Times New Roman" w:eastAsia="仿宋_GB2312" w:cs="仿宋_GB2312"/>
          <w:kern w:val="2"/>
          <w:sz w:val="32"/>
          <w:szCs w:val="32"/>
          <w:lang w:val="en-US" w:eastAsia="zh-CN" w:bidi="ar"/>
        </w:rPr>
        <w:t>；项目支出收入</w:t>
      </w:r>
      <w:r>
        <w:rPr>
          <w:rFonts w:hint="default" w:ascii="Times New Roman" w:hAnsi="Times New Roman" w:eastAsia="仿宋_GB2312" w:cs="Times New Roman"/>
          <w:kern w:val="2"/>
          <w:sz w:val="32"/>
          <w:szCs w:val="32"/>
          <w:lang w:val="en-US" w:eastAsia="zh-CN" w:bidi="ar"/>
        </w:rPr>
        <w:t>0</w:t>
      </w:r>
      <w:r>
        <w:rPr>
          <w:rFonts w:hint="default" w:ascii="仿宋_GB2312" w:hAnsi="Times New Roman" w:eastAsia="仿宋_GB2312" w:cs="仿宋_GB2312"/>
          <w:kern w:val="2"/>
          <w:sz w:val="32"/>
          <w:szCs w:val="32"/>
          <w:lang w:val="en-US" w:eastAsia="zh-CN" w:bidi="ar"/>
        </w:rPr>
        <w:t>万元，占比</w:t>
      </w:r>
      <w:r>
        <w:rPr>
          <w:rFonts w:hint="default" w:ascii="Times New Roman" w:hAnsi="Times New Roman" w:eastAsia="仿宋_GB2312" w:cs="Times New Roman"/>
          <w:kern w:val="2"/>
          <w:sz w:val="32"/>
          <w:szCs w:val="32"/>
          <w:lang w:val="en-US" w:eastAsia="zh-CN" w:bidi="ar"/>
        </w:rPr>
        <w:t>0%</w:t>
      </w:r>
      <w:r>
        <w:rPr>
          <w:rFonts w:hint="default" w:ascii="仿宋_GB2312" w:hAnsi="Times New Roman" w:eastAsia="仿宋_GB2312" w:cs="仿宋_GB2312"/>
          <w:kern w:val="2"/>
          <w:sz w:val="32"/>
          <w:szCs w:val="32"/>
          <w:lang w:val="en-US" w:eastAsia="zh-CN" w:bidi="ar"/>
        </w:rPr>
        <w:t>。</w:t>
      </w:r>
    </w:p>
    <w:p>
      <w:pPr>
        <w:keepNext w:val="0"/>
        <w:keepLines w:val="0"/>
        <w:widowControl/>
        <w:suppressLineNumbers w:val="0"/>
        <w:adjustRightInd w:val="0"/>
        <w:snapToGrid w:val="0"/>
        <w:spacing w:before="0" w:beforeAutospacing="0" w:after="0" w:afterAutospacing="0" w:line="578" w:lineRule="exact"/>
        <w:ind w:left="0" w:right="0" w:firstLine="643" w:firstLineChars="200"/>
        <w:contextualSpacing/>
        <w:jc w:val="left"/>
        <w:rPr>
          <w:rFonts w:hint="default" w:ascii="仿宋_GB2312" w:eastAsia="仿宋_GB2312" w:cs="仿宋_GB2312"/>
          <w:kern w:val="2"/>
          <w:sz w:val="32"/>
          <w:szCs w:val="32"/>
        </w:rPr>
      </w:pPr>
      <w:r>
        <w:rPr>
          <w:rFonts w:hint="default" w:ascii="楷体_GB2312" w:hAnsi="Times New Roman" w:eastAsia="楷体_GB2312" w:cs="楷体_GB2312"/>
          <w:b/>
          <w:bCs/>
          <w:color w:val="000000"/>
          <w:kern w:val="0"/>
          <w:sz w:val="32"/>
          <w:szCs w:val="32"/>
          <w:shd w:val="clear" w:fill="FFFFFF"/>
          <w:lang w:val="en-US" w:eastAsia="zh-CN" w:bidi="ar"/>
        </w:rPr>
        <w:t>（三）</w:t>
      </w:r>
      <w:r>
        <w:rPr>
          <w:rFonts w:hint="default" w:ascii="楷体_GB2312" w:hAnsi="Times New Roman" w:eastAsia="楷体_GB2312" w:cs="楷体_GB2312"/>
          <w:b/>
          <w:bCs w:val="0"/>
          <w:kern w:val="2"/>
          <w:sz w:val="32"/>
          <w:szCs w:val="32"/>
          <w:lang w:val="en-US" w:eastAsia="zh-CN" w:bidi="ar"/>
        </w:rPr>
        <w:t>结余分配和结转结余情况。</w:t>
      </w:r>
      <w:r>
        <w:rPr>
          <w:rFonts w:hint="default" w:ascii="仿宋_GB2312" w:hAnsi="Times New Roman" w:eastAsia="仿宋_GB2312" w:cs="仿宋_GB2312"/>
          <w:kern w:val="2"/>
          <w:sz w:val="32"/>
          <w:szCs w:val="32"/>
          <w:lang w:val="en-US" w:eastAsia="zh-CN" w:bidi="ar"/>
        </w:rPr>
        <w:t>马尔康市人民法院2025年决算报表结转结余15.59万元，主要为财政代管援藏资金5.3万元，代管干警缴纳伙食费8.76万元，代管宣传经费0.3万元，代管党建经费1.23万元。</w:t>
      </w:r>
    </w:p>
    <w:p>
      <w:pPr>
        <w:keepNext w:val="0"/>
        <w:keepLines w:val="0"/>
        <w:widowControl/>
        <w:suppressLineNumbers w:val="0"/>
        <w:adjustRightInd w:val="0"/>
        <w:snapToGrid w:val="0"/>
        <w:spacing w:before="0" w:beforeAutospacing="0" w:after="0" w:afterAutospacing="0" w:line="578" w:lineRule="exact"/>
        <w:ind w:left="0" w:right="0" w:firstLine="640" w:firstLineChars="200"/>
        <w:contextualSpacing/>
        <w:jc w:val="left"/>
        <w:rPr>
          <w:rFonts w:hint="default" w:ascii="Times New Roman" w:hAnsi="Times New Roman" w:eastAsia="黑体" w:cs="Times New Roman"/>
          <w:color w:val="000000"/>
          <w:kern w:val="0"/>
          <w:sz w:val="32"/>
          <w:szCs w:val="32"/>
          <w:shd w:val="clear" w:fill="FFFFFF"/>
        </w:rPr>
      </w:pPr>
      <w:r>
        <w:rPr>
          <w:rFonts w:hint="default" w:ascii="黑体" w:hAnsi="宋体" w:eastAsia="黑体" w:cs="黑体"/>
          <w:color w:val="000000"/>
          <w:kern w:val="0"/>
          <w:sz w:val="32"/>
          <w:szCs w:val="32"/>
          <w:shd w:val="clear" w:fill="FFFFFF"/>
          <w:lang w:val="en-US" w:eastAsia="zh-CN" w:bidi="ar"/>
        </w:rPr>
        <w:t>三、部门预算绩效分析</w:t>
      </w:r>
    </w:p>
    <w:p>
      <w:pPr>
        <w:keepNext w:val="0"/>
        <w:keepLines w:val="0"/>
        <w:widowControl w:val="0"/>
        <w:suppressLineNumbers w:val="0"/>
        <w:adjustRightInd w:val="0"/>
        <w:snapToGrid w:val="0"/>
        <w:spacing w:before="0" w:beforeAutospacing="0" w:after="0" w:afterAutospacing="0" w:line="578" w:lineRule="exact"/>
        <w:ind w:left="0" w:right="0" w:firstLine="643" w:firstLineChars="200"/>
        <w:contextualSpacing/>
        <w:jc w:val="left"/>
        <w:rPr>
          <w:rFonts w:hint="default" w:ascii="Times New Roman" w:hAnsi="Times New Roman" w:eastAsia="楷体_GB2312" w:cs="Times New Roman"/>
          <w:b/>
          <w:bCs/>
          <w:color w:val="000000"/>
          <w:kern w:val="0"/>
          <w:sz w:val="32"/>
          <w:szCs w:val="32"/>
          <w:shd w:val="clear" w:fill="FFFFFF"/>
        </w:rPr>
      </w:pPr>
      <w:r>
        <w:rPr>
          <w:rFonts w:hint="default" w:ascii="楷体_GB2312" w:hAnsi="Times New Roman" w:eastAsia="楷体_GB2312" w:cs="楷体_GB2312"/>
          <w:b/>
          <w:bCs/>
          <w:color w:val="000000"/>
          <w:kern w:val="0"/>
          <w:sz w:val="32"/>
          <w:szCs w:val="32"/>
          <w:shd w:val="clear" w:fill="FFFFFF"/>
          <w:lang w:val="en-US" w:eastAsia="zh-CN" w:bidi="ar"/>
        </w:rPr>
        <w:t>（一）部门预算总体绩效分析。</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1.</w:t>
      </w:r>
      <w:r>
        <w:rPr>
          <w:rFonts w:hint="default" w:ascii="楷体_GB2312" w:hAnsi="Times New Roman" w:eastAsia="楷体_GB2312" w:cs="楷体_GB2312"/>
          <w:color w:val="000000"/>
          <w:kern w:val="0"/>
          <w:sz w:val="32"/>
          <w:szCs w:val="32"/>
          <w:shd w:val="clear" w:fill="FFFFFF"/>
          <w:lang w:val="en-US" w:eastAsia="zh-CN" w:bidi="ar"/>
        </w:rPr>
        <w:t>履职效能。</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履行法院职能职责，维护社会公平，数量指标，法官人均结案大于20件，当年实际结案857件；开展法制宣传大于10次。产出指标，发回重审率小于5%，满意度指标。</w:t>
      </w: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年我院部门履职情况良好，目标基本实现。</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color w:val="000000"/>
          <w:kern w:val="0"/>
          <w:sz w:val="32"/>
          <w:szCs w:val="32"/>
          <w:shd w:val="clear" w:fill="FFFFFF"/>
        </w:rPr>
      </w:pPr>
      <w:r>
        <w:rPr>
          <w:rFonts w:hint="default" w:ascii="仿宋_GB2312" w:hAnsi="Times New Roman" w:eastAsia="仿宋_GB2312" w:cs="仿宋_GB2312"/>
          <w:kern w:val="2"/>
          <w:sz w:val="32"/>
          <w:szCs w:val="32"/>
          <w:lang w:val="en-US" w:eastAsia="zh-CN" w:bidi="ar"/>
        </w:rPr>
        <w:t>综上，根据评分标准，该项指标扣</w:t>
      </w:r>
      <w:r>
        <w:rPr>
          <w:rFonts w:hint="default" w:ascii="Times New Roman" w:hAnsi="Times New Roman" w:eastAsia="仿宋_GB2312" w:cs="Times New Roman"/>
          <w:kern w:val="2"/>
          <w:sz w:val="32"/>
          <w:szCs w:val="32"/>
          <w:lang w:val="en-US" w:eastAsia="zh-CN" w:bidi="ar"/>
        </w:rPr>
        <w:t>2</w:t>
      </w:r>
      <w:r>
        <w:rPr>
          <w:rFonts w:hint="default" w:ascii="仿宋_GB2312" w:hAnsi="Times New Roman" w:eastAsia="仿宋_GB2312" w:cs="仿宋_GB2312"/>
          <w:kern w:val="2"/>
          <w:sz w:val="32"/>
          <w:szCs w:val="32"/>
          <w:lang w:val="en-US" w:eastAsia="zh-CN" w:bidi="ar"/>
        </w:rPr>
        <w:t>分，得</w:t>
      </w:r>
      <w:r>
        <w:rPr>
          <w:rFonts w:hint="default" w:ascii="Times New Roman" w:hAnsi="Times New Roman" w:eastAsia="仿宋_GB2312" w:cs="Times New Roman"/>
          <w:kern w:val="2"/>
          <w:sz w:val="32"/>
          <w:szCs w:val="32"/>
          <w:lang w:val="en-US" w:eastAsia="zh-CN" w:bidi="ar"/>
        </w:rPr>
        <w:t>13</w:t>
      </w:r>
      <w:r>
        <w:rPr>
          <w:rFonts w:hint="default" w:ascii="仿宋_GB2312" w:hAnsi="Times New Roman" w:eastAsia="仿宋_GB2312" w:cs="仿宋_GB2312"/>
          <w:kern w:val="2"/>
          <w:sz w:val="32"/>
          <w:szCs w:val="32"/>
          <w:lang w:val="en-US" w:eastAsia="zh-CN" w:bidi="ar"/>
        </w:rPr>
        <w:t>分。</w:t>
      </w:r>
    </w:p>
    <w:p>
      <w:pPr>
        <w:keepNext w:val="0"/>
        <w:keepLines w:val="0"/>
        <w:widowControl w:val="0"/>
        <w:numPr>
          <w:ilvl w:val="0"/>
          <w:numId w:val="2"/>
        </w:numPr>
        <w:suppressLineNumbers w:val="0"/>
        <w:spacing w:before="0" w:beforeAutospacing="0" w:after="0" w:afterAutospacing="0" w:line="560" w:lineRule="exact"/>
        <w:ind w:left="0" w:right="0" w:firstLine="640" w:firstLineChars="200"/>
        <w:jc w:val="both"/>
        <w:rPr>
          <w:rFonts w:hint="default" w:ascii="Times New Roman" w:hAnsi="Times New Roman" w:eastAsia="楷体_GB2312" w:cs="Times New Roman"/>
          <w:color w:val="000000"/>
          <w:kern w:val="0"/>
          <w:sz w:val="32"/>
          <w:szCs w:val="32"/>
          <w:shd w:val="clear" w:fill="FFFFFF"/>
        </w:rPr>
      </w:pPr>
      <w:r>
        <w:rPr>
          <w:rFonts w:hint="default" w:ascii="楷体_GB2312" w:hAnsi="Times New Roman" w:eastAsia="楷体_GB2312" w:cs="楷体_GB2312"/>
          <w:color w:val="000000"/>
          <w:kern w:val="0"/>
          <w:sz w:val="32"/>
          <w:szCs w:val="32"/>
          <w:shd w:val="clear" w:fill="FFFFFF"/>
          <w:lang w:val="en-US" w:eastAsia="zh-CN" w:bidi="ar"/>
        </w:rPr>
        <w:t>预算管理。</w:t>
      </w:r>
    </w:p>
    <w:p>
      <w:pPr>
        <w:keepNext w:val="0"/>
        <w:keepLines w:val="0"/>
        <w:widowControl w:val="0"/>
        <w:suppressLineNumbers w:val="0"/>
        <w:spacing w:before="0" w:beforeAutospacing="0" w:after="0" w:afterAutospacing="0" w:line="560" w:lineRule="exact"/>
        <w:ind w:left="0" w:right="0" w:firstLine="640" w:firstLineChars="200"/>
        <w:jc w:val="both"/>
        <w:outlineLvl w:val="3"/>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1</w:t>
      </w:r>
      <w:r>
        <w:rPr>
          <w:rFonts w:hint="default" w:ascii="仿宋_GB2312" w:hAnsi="Times New Roman" w:eastAsia="仿宋_GB2312" w:cs="仿宋_GB2312"/>
          <w:kern w:val="2"/>
          <w:sz w:val="32"/>
          <w:szCs w:val="32"/>
          <w:lang w:val="en-US" w:eastAsia="zh-CN" w:bidi="ar"/>
        </w:rPr>
        <w:t>）预算编制质量</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年我院严格按照相关要求编制年初部门预算，根据</w:t>
      </w: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年度预算执行情况，部门预算偏离程度如下：</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①</w:t>
      </w:r>
      <w:r>
        <w:rPr>
          <w:rFonts w:hint="default" w:ascii="仿宋_GB2312" w:hAnsi="Times New Roman" w:eastAsia="仿宋_GB2312" w:cs="仿宋_GB2312"/>
          <w:kern w:val="2"/>
          <w:sz w:val="32"/>
          <w:szCs w:val="32"/>
          <w:lang w:val="en-US" w:eastAsia="zh-CN" w:bidi="ar"/>
        </w:rPr>
        <w:t>财政拨款预算偏离度</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预算执行数</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年初预算数</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年初预算数</w:t>
      </w:r>
      <w:r>
        <w:rPr>
          <w:rFonts w:hint="default" w:ascii="Times New Roman" w:hAnsi="Times New Roman" w:eastAsia="仿宋_GB2312" w:cs="Times New Roman"/>
          <w:kern w:val="2"/>
          <w:sz w:val="32"/>
          <w:szCs w:val="32"/>
          <w:lang w:val="en-US" w:eastAsia="zh-CN" w:bidi="ar"/>
        </w:rPr>
        <w:t>=|2363.7-1365.06|÷1365.06=0.73</w:t>
      </w:r>
      <w:r>
        <w:rPr>
          <w:rFonts w:hint="default" w:ascii="仿宋_GB2312" w:hAnsi="Times New Roman" w:eastAsia="仿宋_GB2312" w:cs="仿宋_GB2312"/>
          <w:kern w:val="2"/>
          <w:sz w:val="32"/>
          <w:szCs w:val="32"/>
          <w:lang w:val="en-US" w:eastAsia="zh-CN" w:bidi="ar"/>
        </w:rPr>
        <w:t>。</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②</w:t>
      </w:r>
      <w:r>
        <w:rPr>
          <w:rFonts w:hint="default" w:ascii="仿宋_GB2312" w:hAnsi="Times New Roman" w:eastAsia="仿宋_GB2312" w:cs="仿宋_GB2312"/>
          <w:kern w:val="2"/>
          <w:sz w:val="32"/>
          <w:szCs w:val="32"/>
          <w:lang w:val="en-US" w:eastAsia="zh-CN" w:bidi="ar"/>
        </w:rPr>
        <w:t>资产配置预算偏离度</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预算执行数</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年初预算数</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年初预算数，</w:t>
      </w: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年我院资产配置年初预算数为</w:t>
      </w:r>
      <w:r>
        <w:rPr>
          <w:rFonts w:hint="default" w:ascii="Times New Roman" w:hAnsi="Times New Roman" w:eastAsia="仿宋_GB2312" w:cs="Times New Roman"/>
          <w:kern w:val="2"/>
          <w:sz w:val="32"/>
          <w:szCs w:val="32"/>
          <w:lang w:val="en-US" w:eastAsia="zh-CN" w:bidi="ar"/>
        </w:rPr>
        <w:t>0.00</w:t>
      </w:r>
      <w:r>
        <w:rPr>
          <w:rFonts w:hint="default" w:ascii="仿宋_GB2312" w:hAnsi="Times New Roman" w:eastAsia="仿宋_GB2312" w:cs="仿宋_GB2312"/>
          <w:kern w:val="2"/>
          <w:sz w:val="32"/>
          <w:szCs w:val="32"/>
          <w:lang w:val="en-US" w:eastAsia="zh-CN" w:bidi="ar"/>
        </w:rPr>
        <w:t>万元，资产配置预算执行数为</w:t>
      </w:r>
      <w:r>
        <w:rPr>
          <w:rFonts w:hint="default" w:ascii="Times New Roman" w:hAnsi="Times New Roman" w:eastAsia="仿宋_GB2312" w:cs="Times New Roman"/>
          <w:kern w:val="2"/>
          <w:sz w:val="32"/>
          <w:szCs w:val="32"/>
          <w:lang w:val="en-US" w:eastAsia="zh-CN" w:bidi="ar"/>
        </w:rPr>
        <w:t>0.00</w:t>
      </w:r>
      <w:r>
        <w:rPr>
          <w:rFonts w:hint="default" w:ascii="仿宋_GB2312" w:hAnsi="Times New Roman" w:eastAsia="仿宋_GB2312" w:cs="仿宋_GB2312"/>
          <w:kern w:val="2"/>
          <w:sz w:val="32"/>
          <w:szCs w:val="32"/>
          <w:lang w:val="en-US" w:eastAsia="zh-CN" w:bidi="ar"/>
        </w:rPr>
        <w:t>万元，故无法计算按照公式计算资产配置预算偏离度，但根据实际情况，我院</w:t>
      </w: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年资产配置预算偏离程度正常。</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③</w:t>
      </w:r>
      <w:r>
        <w:rPr>
          <w:rFonts w:hint="default" w:ascii="仿宋_GB2312" w:hAnsi="Times New Roman" w:eastAsia="仿宋_GB2312" w:cs="仿宋_GB2312"/>
          <w:kern w:val="2"/>
          <w:sz w:val="32"/>
          <w:szCs w:val="32"/>
          <w:lang w:val="en-US" w:eastAsia="zh-CN" w:bidi="ar"/>
        </w:rPr>
        <w:t>政府采购预算偏离度</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预算执行数</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年初预算数</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年初预算数</w:t>
      </w:r>
      <w:r>
        <w:rPr>
          <w:rFonts w:hint="default" w:ascii="Times New Roman" w:hAnsi="Times New Roman" w:eastAsia="仿宋_GB2312" w:cs="Times New Roman"/>
          <w:kern w:val="2"/>
          <w:sz w:val="32"/>
          <w:szCs w:val="32"/>
          <w:lang w:val="en-US" w:eastAsia="zh-CN" w:bidi="ar"/>
        </w:rPr>
        <w:t>=|130-108.4|÷108.4=0.2</w:t>
      </w: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年我院安排政府采购预算</w:t>
      </w:r>
      <w:r>
        <w:rPr>
          <w:rFonts w:hint="default" w:ascii="Times New Roman" w:hAnsi="Times New Roman" w:eastAsia="仿宋_GB2312" w:cs="Times New Roman"/>
          <w:kern w:val="2"/>
          <w:sz w:val="32"/>
          <w:szCs w:val="32"/>
          <w:lang w:val="en-US" w:eastAsia="zh-CN" w:bidi="ar"/>
        </w:rPr>
        <w:t>130</w:t>
      </w:r>
      <w:r>
        <w:rPr>
          <w:rFonts w:hint="default" w:ascii="仿宋_GB2312" w:hAnsi="Times New Roman" w:eastAsia="仿宋_GB2312" w:cs="仿宋_GB2312"/>
          <w:kern w:val="2"/>
          <w:sz w:val="32"/>
          <w:szCs w:val="32"/>
          <w:lang w:val="en-US" w:eastAsia="zh-CN" w:bidi="ar"/>
        </w:rPr>
        <w:t>万元，政府采购预算执行数为</w:t>
      </w:r>
      <w:r>
        <w:rPr>
          <w:rFonts w:hint="default" w:ascii="Times New Roman" w:hAnsi="Times New Roman" w:eastAsia="仿宋_GB2312" w:cs="Times New Roman"/>
          <w:kern w:val="2"/>
          <w:sz w:val="32"/>
          <w:szCs w:val="32"/>
          <w:lang w:val="en-US" w:eastAsia="zh-CN" w:bidi="ar"/>
        </w:rPr>
        <w:t>108.4</w:t>
      </w:r>
      <w:r>
        <w:rPr>
          <w:rFonts w:hint="default" w:ascii="仿宋_GB2312" w:hAnsi="Times New Roman" w:eastAsia="仿宋_GB2312" w:cs="仿宋_GB2312"/>
          <w:kern w:val="2"/>
          <w:sz w:val="32"/>
          <w:szCs w:val="32"/>
          <w:lang w:val="en-US" w:eastAsia="zh-CN" w:bidi="ar"/>
        </w:rPr>
        <w:t>万元，我院</w:t>
      </w: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年政府采购预算偏离程度较小。</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年我院年初财政拨款预算和资产配置预算偏离度较小，政府采购预算偏离度较小。</w:t>
      </w:r>
    </w:p>
    <w:p>
      <w:pPr>
        <w:pStyle w:val="15"/>
        <w:keepNext w:val="0"/>
        <w:keepLines w:val="0"/>
        <w:widowControl w:val="0"/>
        <w:suppressLineNumbers w:val="0"/>
        <w:spacing w:before="0" w:beforeAutospacing="1"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该项指标得分</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1-</w:t>
      </w:r>
      <w:r>
        <w:rPr>
          <w:rFonts w:hint="default" w:ascii="仿宋_GB2312" w:hAnsi="Times New Roman" w:eastAsia="仿宋_GB2312" w:cs="仿宋_GB2312"/>
          <w:kern w:val="2"/>
          <w:sz w:val="32"/>
          <w:szCs w:val="32"/>
          <w:lang w:val="en-US" w:eastAsia="zh-CN" w:bidi="ar"/>
        </w:rPr>
        <w:t>财政拨款预算偏离度）</w:t>
      </w:r>
      <w:r>
        <w:rPr>
          <w:rFonts w:hint="default" w:ascii="Times New Roman" w:hAnsi="Times New Roman" w:eastAsia="仿宋_GB2312" w:cs="Times New Roman"/>
          <w:kern w:val="2"/>
          <w:sz w:val="32"/>
          <w:szCs w:val="32"/>
          <w:lang w:val="en-US" w:eastAsia="zh-CN" w:bidi="ar"/>
        </w:rPr>
        <w:t>×100%×4+</w:t>
      </w: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1-</w:t>
      </w:r>
      <w:r>
        <w:rPr>
          <w:rFonts w:hint="default" w:ascii="仿宋_GB2312" w:hAnsi="Times New Roman" w:eastAsia="仿宋_GB2312" w:cs="仿宋_GB2312"/>
          <w:kern w:val="2"/>
          <w:sz w:val="32"/>
          <w:szCs w:val="32"/>
          <w:lang w:val="en-US" w:eastAsia="zh-CN" w:bidi="ar"/>
        </w:rPr>
        <w:t>资产配置预算偏离度）</w:t>
      </w:r>
      <w:r>
        <w:rPr>
          <w:rFonts w:hint="default" w:ascii="Times New Roman" w:hAnsi="Times New Roman" w:eastAsia="仿宋_GB2312" w:cs="Times New Roman"/>
          <w:kern w:val="2"/>
          <w:sz w:val="32"/>
          <w:szCs w:val="32"/>
          <w:lang w:val="en-US" w:eastAsia="zh-CN" w:bidi="ar"/>
        </w:rPr>
        <w:t>×100%×2+</w:t>
      </w: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1-</w:t>
      </w:r>
      <w:r>
        <w:rPr>
          <w:rFonts w:hint="default" w:ascii="仿宋_GB2312" w:hAnsi="Times New Roman" w:eastAsia="仿宋_GB2312" w:cs="仿宋_GB2312"/>
          <w:kern w:val="2"/>
          <w:sz w:val="32"/>
          <w:szCs w:val="32"/>
          <w:lang w:val="en-US" w:eastAsia="zh-CN" w:bidi="ar"/>
        </w:rPr>
        <w:t>政府采购预算偏离度）</w:t>
      </w:r>
      <w:r>
        <w:rPr>
          <w:rFonts w:hint="default" w:ascii="Times New Roman" w:hAnsi="Times New Roman" w:eastAsia="仿宋_GB2312" w:cs="Times New Roman"/>
          <w:kern w:val="2"/>
          <w:sz w:val="32"/>
          <w:szCs w:val="32"/>
          <w:lang w:val="en-US" w:eastAsia="zh-CN" w:bidi="ar"/>
        </w:rPr>
        <w:t>×100%×2=</w:t>
      </w: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1-0.73</w:t>
      </w: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100%</w:t>
      </w: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4+</w:t>
      </w: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100%</w:t>
      </w: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2+</w:t>
      </w: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1-0.02</w:t>
      </w: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100%</w:t>
      </w: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2=5.08</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综上，根据评分标准，该项指标扣</w:t>
      </w:r>
      <w:r>
        <w:rPr>
          <w:rFonts w:hint="default" w:ascii="Times New Roman" w:hAnsi="Times New Roman" w:eastAsia="仿宋_GB2312" w:cs="Times New Roman"/>
          <w:kern w:val="2"/>
          <w:sz w:val="32"/>
          <w:szCs w:val="32"/>
          <w:lang w:val="en-US" w:eastAsia="zh-CN" w:bidi="ar"/>
        </w:rPr>
        <w:t>2.92</w:t>
      </w:r>
      <w:r>
        <w:rPr>
          <w:rFonts w:hint="default" w:ascii="仿宋_GB2312" w:hAnsi="Times New Roman" w:eastAsia="仿宋_GB2312" w:cs="仿宋_GB2312"/>
          <w:kern w:val="2"/>
          <w:sz w:val="32"/>
          <w:szCs w:val="32"/>
          <w:lang w:val="en-US" w:eastAsia="zh-CN" w:bidi="ar"/>
        </w:rPr>
        <w:t>分，得</w:t>
      </w:r>
      <w:r>
        <w:rPr>
          <w:rFonts w:hint="default" w:ascii="Times New Roman" w:hAnsi="Times New Roman" w:eastAsia="仿宋_GB2312" w:cs="Times New Roman"/>
          <w:kern w:val="2"/>
          <w:sz w:val="32"/>
          <w:szCs w:val="32"/>
          <w:lang w:val="en-US" w:eastAsia="zh-CN" w:bidi="ar"/>
        </w:rPr>
        <w:t>5.08</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spacing w:before="0" w:beforeAutospacing="0" w:after="0" w:afterAutospacing="0" w:line="560" w:lineRule="exact"/>
        <w:ind w:left="0" w:right="0" w:firstLine="640" w:firstLineChars="200"/>
        <w:jc w:val="both"/>
        <w:outlineLvl w:val="3"/>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2</w:t>
      </w:r>
      <w:r>
        <w:rPr>
          <w:rFonts w:hint="default" w:ascii="仿宋_GB2312" w:hAnsi="Times New Roman" w:eastAsia="仿宋_GB2312" w:cs="仿宋_GB2312"/>
          <w:kern w:val="2"/>
          <w:sz w:val="32"/>
          <w:szCs w:val="32"/>
          <w:lang w:val="en-US" w:eastAsia="zh-CN" w:bidi="ar"/>
        </w:rPr>
        <w:t>）单位收入统筹</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我院属于财政全额拨款单位，无自有收入，故不涉及此项考核。</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根据评分标准，该项指标不扣分，得</w:t>
      </w:r>
      <w:r>
        <w:rPr>
          <w:rFonts w:hint="default" w:ascii="Times New Roman" w:hAnsi="Times New Roman" w:eastAsia="仿宋_GB2312" w:cs="Times New Roman"/>
          <w:kern w:val="2"/>
          <w:sz w:val="32"/>
          <w:szCs w:val="32"/>
          <w:lang w:val="en-US" w:eastAsia="zh-CN" w:bidi="ar"/>
        </w:rPr>
        <w:t>4</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spacing w:before="0" w:beforeAutospacing="0" w:after="0" w:afterAutospacing="0" w:line="560" w:lineRule="exact"/>
        <w:ind w:left="0" w:right="0" w:firstLine="640" w:firstLineChars="200"/>
        <w:jc w:val="both"/>
        <w:outlineLvl w:val="3"/>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3</w:t>
      </w:r>
      <w:r>
        <w:rPr>
          <w:rFonts w:hint="default" w:ascii="仿宋_GB2312" w:hAnsi="Times New Roman" w:eastAsia="仿宋_GB2312" w:cs="仿宋_GB2312"/>
          <w:kern w:val="2"/>
          <w:sz w:val="32"/>
          <w:szCs w:val="32"/>
          <w:lang w:val="en-US" w:eastAsia="zh-CN" w:bidi="ar"/>
        </w:rPr>
        <w:t>）支出执行进度</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年我院全年预算数为</w:t>
      </w:r>
      <w:r>
        <w:rPr>
          <w:rFonts w:hint="default" w:ascii="Times New Roman" w:hAnsi="Times New Roman" w:eastAsia="仿宋_GB2312" w:cs="Times New Roman"/>
          <w:kern w:val="2"/>
          <w:sz w:val="32"/>
          <w:szCs w:val="32"/>
          <w:lang w:val="en-US" w:eastAsia="zh-CN" w:bidi="ar"/>
        </w:rPr>
        <w:t>2363.7</w:t>
      </w:r>
      <w:r>
        <w:rPr>
          <w:rFonts w:hint="default" w:ascii="仿宋_GB2312" w:hAnsi="Times New Roman" w:eastAsia="仿宋_GB2312" w:cs="仿宋_GB2312"/>
          <w:kern w:val="2"/>
          <w:sz w:val="32"/>
          <w:szCs w:val="32"/>
          <w:lang w:val="en-US" w:eastAsia="zh-CN" w:bidi="ar"/>
        </w:rPr>
        <w:t>万元，</w:t>
      </w:r>
      <w:r>
        <w:rPr>
          <w:rFonts w:hint="default" w:ascii="Times New Roman" w:hAnsi="Times New Roman" w:eastAsia="仿宋_GB2312" w:cs="Times New Roman"/>
          <w:kern w:val="2"/>
          <w:sz w:val="32"/>
          <w:szCs w:val="32"/>
          <w:lang w:val="en-US" w:eastAsia="zh-CN" w:bidi="ar"/>
        </w:rPr>
        <w:t>1</w:t>
      </w:r>
      <w:r>
        <w:rPr>
          <w:rFonts w:hint="default" w:ascii="仿宋_GB2312" w:hAnsi="Times New Roman" w:eastAsia="仿宋_GB2312" w:cs="仿宋_GB2312"/>
          <w:kern w:val="2"/>
          <w:sz w:val="32"/>
          <w:szCs w:val="32"/>
          <w:lang w:val="en-US" w:eastAsia="zh-CN" w:bidi="ar"/>
        </w:rPr>
        <w:t>至</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月预算执行数为</w:t>
      </w:r>
      <w:r>
        <w:rPr>
          <w:rFonts w:hint="default" w:ascii="Times New Roman" w:hAnsi="Times New Roman" w:eastAsia="仿宋_GB2312" w:cs="Times New Roman"/>
          <w:kern w:val="2"/>
          <w:sz w:val="32"/>
          <w:szCs w:val="32"/>
          <w:lang w:val="en-US" w:eastAsia="zh-CN" w:bidi="ar"/>
        </w:rPr>
        <w:t>1184.21</w:t>
      </w:r>
      <w:r>
        <w:rPr>
          <w:rFonts w:hint="default" w:ascii="仿宋_GB2312" w:hAnsi="Times New Roman" w:eastAsia="仿宋_GB2312" w:cs="仿宋_GB2312"/>
          <w:kern w:val="2"/>
          <w:sz w:val="32"/>
          <w:szCs w:val="32"/>
          <w:lang w:val="en-US" w:eastAsia="zh-CN" w:bidi="ar"/>
        </w:rPr>
        <w:t>万元，支出预警金额为</w:t>
      </w:r>
      <w:r>
        <w:rPr>
          <w:rFonts w:hint="default" w:ascii="Times New Roman" w:hAnsi="Times New Roman" w:eastAsia="仿宋_GB2312" w:cs="Times New Roman"/>
          <w:kern w:val="2"/>
          <w:sz w:val="32"/>
          <w:szCs w:val="32"/>
          <w:lang w:val="en-US" w:eastAsia="zh-CN" w:bidi="ar"/>
        </w:rPr>
        <w:t>0.00</w:t>
      </w:r>
      <w:r>
        <w:rPr>
          <w:rFonts w:hint="default" w:ascii="仿宋_GB2312" w:hAnsi="Times New Roman" w:eastAsia="仿宋_GB2312" w:cs="仿宋_GB2312"/>
          <w:kern w:val="2"/>
          <w:sz w:val="32"/>
          <w:szCs w:val="32"/>
          <w:lang w:val="en-US" w:eastAsia="zh-CN" w:bidi="ar"/>
        </w:rPr>
        <w:t>万元，支出预警金额占比为</w:t>
      </w:r>
      <w:r>
        <w:rPr>
          <w:rFonts w:hint="default" w:ascii="Times New Roman" w:hAnsi="Times New Roman" w:eastAsia="仿宋_GB2312" w:cs="Times New Roman"/>
          <w:kern w:val="2"/>
          <w:sz w:val="32"/>
          <w:szCs w:val="32"/>
          <w:lang w:val="en-US" w:eastAsia="zh-CN" w:bidi="ar"/>
        </w:rPr>
        <w:t>0.00%</w:t>
      </w: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1-6</w:t>
      </w:r>
      <w:r>
        <w:rPr>
          <w:rFonts w:hint="default" w:ascii="仿宋_GB2312" w:hAnsi="Times New Roman" w:eastAsia="仿宋_GB2312" w:cs="仿宋_GB2312"/>
          <w:kern w:val="2"/>
          <w:sz w:val="32"/>
          <w:szCs w:val="32"/>
          <w:lang w:val="en-US" w:eastAsia="zh-CN" w:bidi="ar"/>
        </w:rPr>
        <w:t>月无支出违规事项；</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1</w:t>
      </w:r>
      <w:r>
        <w:rPr>
          <w:rFonts w:hint="default" w:ascii="仿宋_GB2312" w:hAnsi="Times New Roman" w:eastAsia="仿宋_GB2312" w:cs="仿宋_GB2312"/>
          <w:kern w:val="2"/>
          <w:sz w:val="32"/>
          <w:szCs w:val="32"/>
          <w:lang w:val="en-US" w:eastAsia="zh-CN" w:bidi="ar"/>
        </w:rPr>
        <w:t>至</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月预算执行数为</w:t>
      </w:r>
      <w:r>
        <w:rPr>
          <w:rFonts w:hint="default" w:ascii="Times New Roman" w:hAnsi="Times New Roman" w:eastAsia="仿宋_GB2312" w:cs="Times New Roman"/>
          <w:kern w:val="2"/>
          <w:sz w:val="32"/>
          <w:szCs w:val="32"/>
          <w:lang w:val="en-US" w:eastAsia="zh-CN" w:bidi="ar"/>
        </w:rPr>
        <w:t>1484.65</w:t>
      </w:r>
      <w:r>
        <w:rPr>
          <w:rFonts w:hint="default" w:ascii="仿宋_GB2312" w:hAnsi="Times New Roman" w:eastAsia="仿宋_GB2312" w:cs="仿宋_GB2312"/>
          <w:kern w:val="2"/>
          <w:sz w:val="32"/>
          <w:szCs w:val="32"/>
          <w:lang w:val="en-US" w:eastAsia="zh-CN" w:bidi="ar"/>
        </w:rPr>
        <w:t>万元，支出预警金额为</w:t>
      </w:r>
      <w:r>
        <w:rPr>
          <w:rFonts w:hint="default" w:ascii="Times New Roman" w:hAnsi="Times New Roman" w:eastAsia="仿宋_GB2312" w:cs="Times New Roman"/>
          <w:kern w:val="2"/>
          <w:sz w:val="32"/>
          <w:szCs w:val="32"/>
          <w:lang w:val="en-US" w:eastAsia="zh-CN" w:bidi="ar"/>
        </w:rPr>
        <w:t>485.02</w:t>
      </w:r>
      <w:r>
        <w:rPr>
          <w:rFonts w:hint="default" w:ascii="仿宋_GB2312" w:hAnsi="Times New Roman" w:eastAsia="仿宋_GB2312" w:cs="仿宋_GB2312"/>
          <w:kern w:val="2"/>
          <w:sz w:val="32"/>
          <w:szCs w:val="32"/>
          <w:lang w:val="en-US" w:eastAsia="zh-CN" w:bidi="ar"/>
        </w:rPr>
        <w:t>万元，支出预警金额占比为</w:t>
      </w:r>
      <w:r>
        <w:rPr>
          <w:rFonts w:hint="default" w:ascii="Times New Roman" w:hAnsi="Times New Roman" w:eastAsia="仿宋_GB2312" w:cs="Times New Roman"/>
          <w:kern w:val="2"/>
          <w:sz w:val="32"/>
          <w:szCs w:val="32"/>
          <w:lang w:val="en-US" w:eastAsia="zh-CN" w:bidi="ar"/>
        </w:rPr>
        <w:t>24.62%</w:t>
      </w:r>
      <w:r>
        <w:rPr>
          <w:rFonts w:hint="default" w:ascii="仿宋_GB2312" w:hAnsi="Times New Roman" w:eastAsia="仿宋_GB2312" w:cs="仿宋_GB2312"/>
          <w:kern w:val="2"/>
          <w:sz w:val="32"/>
          <w:szCs w:val="32"/>
          <w:lang w:val="en-US" w:eastAsia="zh-CN" w:bidi="ar"/>
        </w:rPr>
        <w:t>，无支出违规事项。</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综上，根据评分标准，该项指标扣</w:t>
      </w:r>
      <w:r>
        <w:rPr>
          <w:rFonts w:hint="default" w:ascii="Times New Roman" w:hAnsi="Times New Roman" w:eastAsia="仿宋_GB2312" w:cs="Times New Roman"/>
          <w:kern w:val="2"/>
          <w:sz w:val="32"/>
          <w:szCs w:val="32"/>
          <w:lang w:val="en-US" w:eastAsia="zh-CN" w:bidi="ar"/>
        </w:rPr>
        <w:t>1.1</w:t>
      </w:r>
      <w:r>
        <w:rPr>
          <w:rFonts w:hint="default" w:ascii="仿宋_GB2312" w:hAnsi="Times New Roman" w:eastAsia="仿宋_GB2312" w:cs="仿宋_GB2312"/>
          <w:kern w:val="2"/>
          <w:sz w:val="32"/>
          <w:szCs w:val="32"/>
          <w:lang w:val="en-US" w:eastAsia="zh-CN" w:bidi="ar"/>
        </w:rPr>
        <w:t>分，得</w:t>
      </w:r>
      <w:r>
        <w:rPr>
          <w:rFonts w:hint="default" w:ascii="Times New Roman" w:hAnsi="Times New Roman" w:eastAsia="仿宋_GB2312" w:cs="Times New Roman"/>
          <w:kern w:val="2"/>
          <w:sz w:val="32"/>
          <w:szCs w:val="32"/>
          <w:lang w:val="en-US" w:eastAsia="zh-CN" w:bidi="ar"/>
        </w:rPr>
        <w:t>4.9</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spacing w:before="0" w:beforeAutospacing="0" w:after="0" w:afterAutospacing="0" w:line="560" w:lineRule="exact"/>
        <w:ind w:left="0" w:right="0" w:firstLine="640" w:firstLineChars="200"/>
        <w:jc w:val="both"/>
        <w:outlineLvl w:val="3"/>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4</w:t>
      </w:r>
      <w:r>
        <w:rPr>
          <w:rFonts w:hint="default" w:ascii="仿宋_GB2312" w:hAnsi="Times New Roman" w:eastAsia="仿宋_GB2312" w:cs="仿宋_GB2312"/>
          <w:kern w:val="2"/>
          <w:sz w:val="32"/>
          <w:szCs w:val="32"/>
          <w:lang w:val="en-US" w:eastAsia="zh-CN" w:bidi="ar"/>
        </w:rPr>
        <w:t>）预算年终结余</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年我院全年预算数为</w:t>
      </w:r>
      <w:r>
        <w:rPr>
          <w:rFonts w:hint="default" w:ascii="Times New Roman" w:hAnsi="Times New Roman" w:eastAsia="仿宋_GB2312" w:cs="Times New Roman"/>
          <w:kern w:val="2"/>
          <w:sz w:val="32"/>
          <w:szCs w:val="32"/>
          <w:lang w:val="en-US" w:eastAsia="zh-CN" w:bidi="ar"/>
        </w:rPr>
        <w:t>2363.7</w:t>
      </w:r>
      <w:r>
        <w:rPr>
          <w:rFonts w:hint="default" w:ascii="仿宋_GB2312" w:hAnsi="Times New Roman" w:eastAsia="仿宋_GB2312" w:cs="仿宋_GB2312"/>
          <w:kern w:val="2"/>
          <w:sz w:val="32"/>
          <w:szCs w:val="32"/>
          <w:lang w:val="en-US" w:eastAsia="zh-CN" w:bidi="ar"/>
        </w:rPr>
        <w:t>万元，预算执行数为</w:t>
      </w:r>
      <w:r>
        <w:rPr>
          <w:rFonts w:hint="default" w:ascii="Times New Roman" w:hAnsi="Times New Roman" w:eastAsia="仿宋_GB2312" w:cs="Times New Roman"/>
          <w:kern w:val="2"/>
          <w:sz w:val="32"/>
          <w:szCs w:val="32"/>
          <w:lang w:val="en-US" w:eastAsia="zh-CN" w:bidi="ar"/>
        </w:rPr>
        <w:t>2356.88</w:t>
      </w:r>
      <w:r>
        <w:rPr>
          <w:rFonts w:hint="default" w:ascii="仿宋_GB2312" w:hAnsi="Times New Roman" w:eastAsia="仿宋_GB2312" w:cs="仿宋_GB2312"/>
          <w:kern w:val="2"/>
          <w:sz w:val="32"/>
          <w:szCs w:val="32"/>
          <w:lang w:val="en-US" w:eastAsia="zh-CN" w:bidi="ar"/>
        </w:rPr>
        <w:t>万元，部门整体预算结余率为</w:t>
      </w:r>
      <w:r>
        <w:rPr>
          <w:rFonts w:hint="default" w:ascii="Times New Roman" w:hAnsi="Times New Roman" w:eastAsia="仿宋_GB2312" w:cs="Times New Roman"/>
          <w:kern w:val="2"/>
          <w:sz w:val="32"/>
          <w:szCs w:val="32"/>
          <w:lang w:val="en-US" w:eastAsia="zh-CN" w:bidi="ar"/>
        </w:rPr>
        <w:t>0.29%</w:t>
      </w:r>
      <w:r>
        <w:rPr>
          <w:rFonts w:hint="default" w:ascii="仿宋_GB2312" w:hAnsi="Times New Roman" w:eastAsia="仿宋_GB2312" w:cs="仿宋_GB2312"/>
          <w:kern w:val="2"/>
          <w:sz w:val="32"/>
          <w:szCs w:val="32"/>
          <w:lang w:val="en-US" w:eastAsia="zh-CN" w:bidi="ar"/>
        </w:rPr>
        <w:t>。该项指标得分</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1-</w:t>
      </w:r>
      <w:r>
        <w:rPr>
          <w:rFonts w:hint="default" w:ascii="仿宋_GB2312" w:hAnsi="Times New Roman" w:eastAsia="仿宋_GB2312" w:cs="仿宋_GB2312"/>
          <w:kern w:val="2"/>
          <w:sz w:val="32"/>
          <w:szCs w:val="32"/>
          <w:lang w:val="en-US" w:eastAsia="zh-CN" w:bidi="ar"/>
        </w:rPr>
        <w:t>部门整体预算结余率）</w:t>
      </w:r>
      <w:r>
        <w:rPr>
          <w:rFonts w:hint="default" w:ascii="Times New Roman" w:hAnsi="Times New Roman" w:eastAsia="仿宋_GB2312" w:cs="Times New Roman"/>
          <w:kern w:val="2"/>
          <w:sz w:val="32"/>
          <w:szCs w:val="32"/>
          <w:lang w:val="en-US" w:eastAsia="zh-CN" w:bidi="ar"/>
        </w:rPr>
        <w:t>×100%×2=</w:t>
      </w: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1-0.29%</w:t>
      </w: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×100%×2=2</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综上，根据评分标准，该项指标扣</w:t>
      </w:r>
      <w:r>
        <w:rPr>
          <w:rFonts w:hint="default" w:ascii="Times New Roman" w:hAnsi="Times New Roman" w:eastAsia="仿宋_GB2312" w:cs="Times New Roman"/>
          <w:kern w:val="2"/>
          <w:sz w:val="32"/>
          <w:szCs w:val="32"/>
          <w:lang w:val="en-US" w:eastAsia="zh-CN" w:bidi="ar"/>
        </w:rPr>
        <w:t>0.01</w:t>
      </w:r>
      <w:r>
        <w:rPr>
          <w:rFonts w:hint="default" w:ascii="仿宋_GB2312" w:hAnsi="Times New Roman" w:eastAsia="仿宋_GB2312" w:cs="仿宋_GB2312"/>
          <w:kern w:val="2"/>
          <w:sz w:val="32"/>
          <w:szCs w:val="32"/>
          <w:lang w:val="en-US" w:eastAsia="zh-CN" w:bidi="ar"/>
        </w:rPr>
        <w:t>分，得</w:t>
      </w:r>
      <w:r>
        <w:rPr>
          <w:rFonts w:hint="default" w:ascii="Times New Roman" w:hAnsi="Times New Roman" w:eastAsia="仿宋_GB2312" w:cs="Times New Roman"/>
          <w:kern w:val="2"/>
          <w:sz w:val="32"/>
          <w:szCs w:val="32"/>
          <w:lang w:val="en-US" w:eastAsia="zh-CN" w:bidi="ar"/>
        </w:rPr>
        <w:t>1.99</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spacing w:before="0" w:beforeAutospacing="0" w:after="0" w:afterAutospacing="0" w:line="560" w:lineRule="exact"/>
        <w:ind w:left="0" w:right="0" w:firstLine="640" w:firstLineChars="200"/>
        <w:jc w:val="both"/>
        <w:outlineLvl w:val="3"/>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5</w:t>
      </w:r>
      <w:r>
        <w:rPr>
          <w:rFonts w:hint="default" w:ascii="仿宋_GB2312" w:hAnsi="Times New Roman" w:eastAsia="仿宋_GB2312" w:cs="仿宋_GB2312"/>
          <w:kern w:val="2"/>
          <w:sz w:val="32"/>
          <w:szCs w:val="32"/>
          <w:lang w:val="en-US" w:eastAsia="zh-CN" w:bidi="ar"/>
        </w:rPr>
        <w:t>）严控一般性支出</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年我院“三公”经费</w:t>
      </w:r>
      <w:r>
        <w:rPr>
          <w:rFonts w:hint="default" w:ascii="Times New Roman" w:hAnsi="Times New Roman" w:eastAsia="仿宋_GB2312" w:cs="Times New Roman"/>
          <w:kern w:val="2"/>
          <w:sz w:val="32"/>
          <w:szCs w:val="32"/>
          <w:lang w:val="en-US" w:eastAsia="zh-CN" w:bidi="ar"/>
        </w:rPr>
        <w:t>27</w:t>
      </w:r>
      <w:r>
        <w:rPr>
          <w:rFonts w:hint="default" w:ascii="仿宋_GB2312" w:hAnsi="Times New Roman" w:eastAsia="仿宋_GB2312" w:cs="仿宋_GB2312"/>
          <w:kern w:val="2"/>
          <w:sz w:val="32"/>
          <w:szCs w:val="32"/>
          <w:lang w:val="en-US" w:eastAsia="zh-CN" w:bidi="ar"/>
        </w:rPr>
        <w:t>万元、差旅费</w:t>
      </w:r>
      <w:r>
        <w:rPr>
          <w:rFonts w:hint="default" w:ascii="Times New Roman" w:hAnsi="Times New Roman" w:eastAsia="仿宋_GB2312" w:cs="Times New Roman"/>
          <w:kern w:val="2"/>
          <w:sz w:val="32"/>
          <w:szCs w:val="32"/>
          <w:lang w:val="en-US" w:eastAsia="zh-CN" w:bidi="ar"/>
        </w:rPr>
        <w:t>11.65</w:t>
      </w:r>
      <w:r>
        <w:rPr>
          <w:rFonts w:hint="default" w:ascii="仿宋_GB2312" w:hAnsi="Times New Roman" w:eastAsia="仿宋_GB2312" w:cs="仿宋_GB2312"/>
          <w:kern w:val="2"/>
          <w:sz w:val="32"/>
          <w:szCs w:val="32"/>
          <w:lang w:val="en-US" w:eastAsia="zh-CN" w:bidi="ar"/>
        </w:rPr>
        <w:t>万元、培训费</w:t>
      </w:r>
      <w:r>
        <w:rPr>
          <w:rFonts w:hint="default" w:ascii="Times New Roman" w:hAnsi="Times New Roman" w:eastAsia="仿宋_GB2312" w:cs="Times New Roman"/>
          <w:kern w:val="2"/>
          <w:sz w:val="32"/>
          <w:szCs w:val="32"/>
          <w:lang w:val="en-US" w:eastAsia="zh-CN" w:bidi="ar"/>
        </w:rPr>
        <w:t>0.67</w:t>
      </w:r>
      <w:r>
        <w:rPr>
          <w:rFonts w:hint="default" w:ascii="仿宋_GB2312" w:hAnsi="Times New Roman" w:eastAsia="仿宋_GB2312" w:cs="仿宋_GB2312"/>
          <w:kern w:val="2"/>
          <w:sz w:val="32"/>
          <w:szCs w:val="32"/>
          <w:lang w:val="en-US" w:eastAsia="zh-CN" w:bidi="ar"/>
        </w:rPr>
        <w:t>万元。</w:t>
      </w: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年度财政拨款预算执行数较</w:t>
      </w:r>
      <w:r>
        <w:rPr>
          <w:rFonts w:hint="default" w:ascii="Times New Roman" w:hAnsi="Times New Roman" w:eastAsia="仿宋_GB2312" w:cs="Times New Roman"/>
          <w:kern w:val="2"/>
          <w:sz w:val="32"/>
          <w:szCs w:val="32"/>
          <w:lang w:val="en-US" w:eastAsia="zh-CN" w:bidi="ar"/>
        </w:rPr>
        <w:t>2024</w:t>
      </w:r>
      <w:r>
        <w:rPr>
          <w:rFonts w:hint="default" w:ascii="仿宋_GB2312" w:hAnsi="Times New Roman" w:eastAsia="仿宋_GB2312" w:cs="仿宋_GB2312"/>
          <w:kern w:val="2"/>
          <w:sz w:val="32"/>
          <w:szCs w:val="32"/>
          <w:lang w:val="en-US" w:eastAsia="zh-CN" w:bidi="ar"/>
        </w:rPr>
        <w:t>年度财政拨款预算执行数减少的主要原因为</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坚持厉行节约、勤俭办切事业，深入贯彻国务院关于落实政府过“紧日子”的要求，从数量、规模、形式等方面压缩公务活动支出，严格执行会议费、培训费、差旅费等支出标准，严格控制和压减一般性支出。</w:t>
      </w:r>
    </w:p>
    <w:p>
      <w:pPr>
        <w:pStyle w:val="6"/>
        <w:widowControl/>
        <w:spacing w:line="560" w:lineRule="exact"/>
        <w:ind w:left="0" w:firstLine="643" w:firstLineChars="200"/>
        <w:rPr>
          <w:rFonts w:hint="default" w:ascii="Times New Roman" w:hAnsi="Times New Roman" w:eastAsia="楷体_GB2312" w:cs="Times New Roman"/>
          <w:kern w:val="2"/>
          <w:sz w:val="32"/>
          <w:szCs w:val="32"/>
        </w:rPr>
      </w:pPr>
      <w:r>
        <w:rPr>
          <w:rFonts w:hint="default" w:ascii="仿宋_GB2312" w:hAnsi="Times New Roman" w:eastAsia="仿宋_GB2312" w:cs="仿宋_GB2312"/>
          <w:kern w:val="2"/>
          <w:sz w:val="32"/>
          <w:szCs w:val="32"/>
        </w:rPr>
        <w:t>综上，根据评分标准，该项指标扣</w:t>
      </w:r>
      <w:r>
        <w:rPr>
          <w:rFonts w:hint="default" w:ascii="Times New Roman" w:hAnsi="Times New Roman" w:eastAsia="仿宋_GB2312" w:cs="Times New Roman"/>
          <w:kern w:val="2"/>
          <w:sz w:val="32"/>
          <w:szCs w:val="32"/>
        </w:rPr>
        <w:t>2</w:t>
      </w:r>
      <w:r>
        <w:rPr>
          <w:rFonts w:hint="default" w:ascii="仿宋_GB2312" w:hAnsi="Times New Roman" w:eastAsia="仿宋_GB2312" w:cs="仿宋_GB2312"/>
          <w:kern w:val="2"/>
          <w:sz w:val="32"/>
          <w:szCs w:val="32"/>
        </w:rPr>
        <w:t>分，得</w:t>
      </w:r>
      <w:r>
        <w:rPr>
          <w:rFonts w:hint="default" w:ascii="Times New Roman" w:hAnsi="Times New Roman" w:eastAsia="仿宋_GB2312" w:cs="Times New Roman"/>
          <w:kern w:val="2"/>
          <w:sz w:val="32"/>
          <w:szCs w:val="32"/>
        </w:rPr>
        <w:t>3</w:t>
      </w:r>
      <w:r>
        <w:rPr>
          <w:rFonts w:hint="default" w:ascii="仿宋_GB2312" w:hAnsi="Times New Roman" w:eastAsia="仿宋_GB2312" w:cs="仿宋_GB2312"/>
          <w:kern w:val="2"/>
          <w:sz w:val="32"/>
          <w:szCs w:val="32"/>
        </w:rPr>
        <w:t>分。</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3.</w:t>
      </w:r>
      <w:r>
        <w:rPr>
          <w:rFonts w:hint="default" w:ascii="楷体_GB2312" w:hAnsi="Times New Roman" w:eastAsia="楷体_GB2312" w:cs="楷体_GB2312"/>
          <w:color w:val="000000"/>
          <w:kern w:val="0"/>
          <w:sz w:val="32"/>
          <w:szCs w:val="32"/>
          <w:shd w:val="clear" w:fill="FFFFFF"/>
          <w:lang w:val="en-US" w:eastAsia="zh-CN" w:bidi="ar"/>
        </w:rPr>
        <w:t>财务管理。</w:t>
      </w:r>
    </w:p>
    <w:p>
      <w:pPr>
        <w:keepNext w:val="0"/>
        <w:keepLines w:val="0"/>
        <w:widowControl w:val="0"/>
        <w:suppressLineNumbers w:val="0"/>
        <w:spacing w:before="0" w:beforeAutospacing="0" w:after="0" w:afterAutospacing="0" w:line="560" w:lineRule="exact"/>
        <w:ind w:left="0" w:right="0" w:firstLine="640" w:firstLineChars="200"/>
        <w:jc w:val="both"/>
        <w:outlineLvl w:val="3"/>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1</w:t>
      </w:r>
      <w:r>
        <w:rPr>
          <w:rFonts w:hint="default" w:ascii="仿宋_GB2312" w:hAnsi="Times New Roman" w:eastAsia="仿宋_GB2312" w:cs="仿宋_GB2312"/>
          <w:kern w:val="2"/>
          <w:sz w:val="32"/>
          <w:szCs w:val="32"/>
          <w:lang w:val="en-US" w:eastAsia="zh-CN" w:bidi="ar"/>
        </w:rPr>
        <w:t>）财务管理制度</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为加强和规范我院内部控制管理水平和风险防范能力，健全规范内部控制机制，加强廉政风险防控机制建设，我院</w:t>
      </w: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年在对预算、收支、政府采购、资产、建设项目、合同等各类经济业务活动流程梳理的基础上，依据《关于全面推进行政事业单位内部控制建设的指导意见》（财会〔</w:t>
      </w:r>
      <w:r>
        <w:rPr>
          <w:rFonts w:hint="default" w:ascii="Times New Roman" w:hAnsi="Times New Roman" w:eastAsia="仿宋_GB2312" w:cs="Times New Roman"/>
          <w:kern w:val="2"/>
          <w:sz w:val="32"/>
          <w:szCs w:val="32"/>
          <w:lang w:val="en-US" w:eastAsia="zh-CN" w:bidi="ar"/>
        </w:rPr>
        <w:t>2015</w:t>
      </w: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24</w:t>
      </w:r>
      <w:r>
        <w:rPr>
          <w:rFonts w:hint="default" w:ascii="仿宋_GB2312" w:hAnsi="Times New Roman" w:eastAsia="仿宋_GB2312" w:cs="仿宋_GB2312"/>
          <w:kern w:val="2"/>
          <w:sz w:val="32"/>
          <w:szCs w:val="32"/>
          <w:lang w:val="en-US" w:eastAsia="zh-CN" w:bidi="ar"/>
        </w:rPr>
        <w:t>号）等文件编制了《内部控制手册》，部门内部财务管理制度等制度机制建立健全，制度得到有效执行。</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综上，根据评分标准，该项指标扣</w:t>
      </w:r>
      <w:r>
        <w:rPr>
          <w:rFonts w:hint="default" w:ascii="Times New Roman" w:hAnsi="Times New Roman" w:eastAsia="仿宋_GB2312" w:cs="Times New Roman"/>
          <w:kern w:val="2"/>
          <w:sz w:val="32"/>
          <w:szCs w:val="32"/>
          <w:lang w:val="en-US" w:eastAsia="zh-CN" w:bidi="ar"/>
        </w:rPr>
        <w:t>0</w:t>
      </w:r>
      <w:r>
        <w:rPr>
          <w:rFonts w:hint="default" w:ascii="仿宋_GB2312" w:hAnsi="Times New Roman" w:eastAsia="仿宋_GB2312" w:cs="仿宋_GB2312"/>
          <w:kern w:val="2"/>
          <w:sz w:val="32"/>
          <w:szCs w:val="32"/>
          <w:lang w:val="en-US" w:eastAsia="zh-CN" w:bidi="ar"/>
        </w:rPr>
        <w:t>分，得</w:t>
      </w:r>
      <w:r>
        <w:rPr>
          <w:rFonts w:hint="default" w:ascii="Times New Roman" w:hAnsi="Times New Roman" w:eastAsia="仿宋_GB2312" w:cs="Times New Roman"/>
          <w:kern w:val="2"/>
          <w:sz w:val="32"/>
          <w:szCs w:val="32"/>
          <w:lang w:val="en-US" w:eastAsia="zh-CN" w:bidi="ar"/>
        </w:rPr>
        <w:t>4</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spacing w:before="0" w:beforeAutospacing="0" w:after="0" w:afterAutospacing="0" w:line="560" w:lineRule="exact"/>
        <w:ind w:left="0" w:right="0" w:firstLine="640" w:firstLineChars="200"/>
        <w:jc w:val="both"/>
        <w:outlineLvl w:val="3"/>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2</w:t>
      </w:r>
      <w:r>
        <w:rPr>
          <w:rFonts w:hint="default" w:ascii="仿宋_GB2312" w:hAnsi="Times New Roman" w:eastAsia="仿宋_GB2312" w:cs="仿宋_GB2312"/>
          <w:kern w:val="2"/>
          <w:sz w:val="32"/>
          <w:szCs w:val="32"/>
          <w:lang w:val="en-US" w:eastAsia="zh-CN" w:bidi="ar"/>
        </w:rPr>
        <w:t>）财务岗位设置</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我院合理设置财务岗位，明确各岗位职责权限，确保工作有序进行。同时，严格遵循不相容岗位分离原则，如会计与出纳、审核与执行等岗位分离，形成了相互制约、监督的机制，进而增强了财务数据的准确性，提升了内部控制效能，确保了财务工作的高效与透明。</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综上，根据评分标准，该项指标扣</w:t>
      </w:r>
      <w:r>
        <w:rPr>
          <w:rFonts w:hint="default" w:ascii="Times New Roman" w:hAnsi="Times New Roman" w:eastAsia="仿宋_GB2312" w:cs="Times New Roman"/>
          <w:kern w:val="2"/>
          <w:sz w:val="32"/>
          <w:szCs w:val="32"/>
          <w:lang w:val="en-US" w:eastAsia="zh-CN" w:bidi="ar"/>
        </w:rPr>
        <w:t>0</w:t>
      </w:r>
      <w:r>
        <w:rPr>
          <w:rFonts w:hint="default" w:ascii="仿宋_GB2312" w:hAnsi="Times New Roman" w:eastAsia="仿宋_GB2312" w:cs="仿宋_GB2312"/>
          <w:kern w:val="2"/>
          <w:sz w:val="32"/>
          <w:szCs w:val="32"/>
          <w:lang w:val="en-US" w:eastAsia="zh-CN" w:bidi="ar"/>
        </w:rPr>
        <w:t>分，得</w:t>
      </w:r>
      <w:r>
        <w:rPr>
          <w:rFonts w:hint="default" w:ascii="Times New Roman" w:hAnsi="Times New Roman" w:eastAsia="仿宋_GB2312" w:cs="Times New Roman"/>
          <w:kern w:val="2"/>
          <w:sz w:val="32"/>
          <w:szCs w:val="32"/>
          <w:lang w:val="en-US" w:eastAsia="zh-CN" w:bidi="ar"/>
        </w:rPr>
        <w:t>2</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spacing w:before="0" w:beforeAutospacing="0" w:after="0" w:afterAutospacing="0" w:line="560" w:lineRule="exact"/>
        <w:ind w:left="0" w:right="0" w:firstLine="640" w:firstLineChars="200"/>
        <w:jc w:val="both"/>
        <w:outlineLvl w:val="3"/>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3</w:t>
      </w:r>
      <w:r>
        <w:rPr>
          <w:rFonts w:hint="default" w:ascii="仿宋_GB2312" w:hAnsi="Times New Roman" w:eastAsia="仿宋_GB2312" w:cs="仿宋_GB2312"/>
          <w:kern w:val="2"/>
          <w:sz w:val="32"/>
          <w:szCs w:val="32"/>
          <w:lang w:val="en-US" w:eastAsia="zh-CN" w:bidi="ar"/>
        </w:rPr>
        <w:t>）资金使用规范</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我院严格按照已制定的内部控制制度文件和国家财经法规要求使用资金，资金使用符合相关财务管理制度规定，资金的拨付有完整的审批程序和手续，对项目的重大开支进行了评估论证，资金使用符合部门预算批复的用途，不存在截留、挤占、挪用、虚列支出等情况。</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contextualSpacing/>
        <w:jc w:val="left"/>
        <w:rPr>
          <w:rFonts w:hint="default" w:ascii="Times New Roman" w:hAnsi="Times New Roman" w:eastAsia="楷体_GB2312" w:cs="Times New Roman"/>
          <w:color w:val="000000"/>
          <w:kern w:val="0"/>
          <w:sz w:val="32"/>
          <w:szCs w:val="32"/>
          <w:shd w:val="clear" w:fill="FFFFFF"/>
        </w:rPr>
      </w:pPr>
      <w:r>
        <w:rPr>
          <w:rFonts w:hint="default" w:ascii="仿宋_GB2312" w:hAnsi="Times New Roman" w:eastAsia="仿宋_GB2312" w:cs="仿宋_GB2312"/>
          <w:kern w:val="2"/>
          <w:sz w:val="32"/>
          <w:szCs w:val="32"/>
          <w:lang w:val="en-US" w:eastAsia="zh-CN" w:bidi="ar"/>
        </w:rPr>
        <w:t>综上，根据评分标准，该项指标扣</w:t>
      </w:r>
      <w:r>
        <w:rPr>
          <w:rFonts w:hint="default" w:ascii="Times New Roman" w:hAnsi="Times New Roman" w:eastAsia="仿宋_GB2312" w:cs="Times New Roman"/>
          <w:kern w:val="2"/>
          <w:sz w:val="32"/>
          <w:szCs w:val="32"/>
          <w:lang w:val="en-US" w:eastAsia="zh-CN" w:bidi="ar"/>
        </w:rPr>
        <w:t>0</w:t>
      </w:r>
      <w:r>
        <w:rPr>
          <w:rFonts w:hint="default" w:ascii="仿宋_GB2312" w:hAnsi="Times New Roman" w:eastAsia="仿宋_GB2312" w:cs="仿宋_GB2312"/>
          <w:kern w:val="2"/>
          <w:sz w:val="32"/>
          <w:szCs w:val="32"/>
          <w:lang w:val="en-US" w:eastAsia="zh-CN" w:bidi="ar"/>
        </w:rPr>
        <w:t>分，得</w:t>
      </w:r>
      <w:r>
        <w:rPr>
          <w:rFonts w:hint="default" w:ascii="Times New Roman" w:hAnsi="Times New Roman" w:eastAsia="仿宋_GB2312" w:cs="Times New Roman"/>
          <w:kern w:val="2"/>
          <w:sz w:val="32"/>
          <w:szCs w:val="32"/>
          <w:lang w:val="en-US" w:eastAsia="zh-CN" w:bidi="ar"/>
        </w:rPr>
        <w:t>4</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spacing w:before="0" w:beforeAutospacing="0" w:after="0" w:afterAutospacing="0" w:line="600" w:lineRule="atLeast"/>
        <w:ind w:left="420" w:leftChars="200" w:right="0"/>
        <w:jc w:val="both"/>
        <w:outlineLvl w:val="3"/>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4.</w:t>
      </w:r>
      <w:r>
        <w:rPr>
          <w:rFonts w:hint="default" w:ascii="楷体_GB2312" w:hAnsi="Times New Roman" w:eastAsia="楷体_GB2312" w:cs="楷体_GB2312"/>
          <w:color w:val="000000"/>
          <w:kern w:val="0"/>
          <w:sz w:val="32"/>
          <w:szCs w:val="32"/>
          <w:shd w:val="clear" w:fill="FFFFFF"/>
          <w:lang w:val="en-US" w:eastAsia="zh-CN" w:bidi="ar"/>
        </w:rPr>
        <w:t>资产管理。</w:t>
      </w:r>
    </w:p>
    <w:p>
      <w:pPr>
        <w:keepNext w:val="0"/>
        <w:keepLines w:val="0"/>
        <w:widowControl w:val="0"/>
        <w:suppressLineNumbers w:val="0"/>
        <w:spacing w:before="0" w:beforeAutospacing="0" w:after="0" w:afterAutospacing="0" w:line="560" w:lineRule="exact"/>
        <w:ind w:left="0" w:right="0" w:firstLine="640" w:firstLineChars="200"/>
        <w:jc w:val="both"/>
        <w:outlineLvl w:val="3"/>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1</w:t>
      </w:r>
      <w:r>
        <w:rPr>
          <w:rFonts w:hint="default" w:ascii="仿宋_GB2312" w:hAnsi="Times New Roman" w:eastAsia="仿宋_GB2312" w:cs="仿宋_GB2312"/>
          <w:kern w:val="2"/>
          <w:sz w:val="32"/>
          <w:szCs w:val="32"/>
          <w:lang w:val="en-US" w:eastAsia="zh-CN" w:bidi="ar"/>
        </w:rPr>
        <w:t>）人均资产变化率</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根据决算报表和国有资产年报表，我院</w:t>
      </w:r>
      <w:r>
        <w:rPr>
          <w:rFonts w:hint="default" w:ascii="Times New Roman" w:hAnsi="Times New Roman" w:eastAsia="仿宋_GB2312" w:cs="Times New Roman"/>
          <w:kern w:val="2"/>
          <w:sz w:val="32"/>
          <w:szCs w:val="32"/>
          <w:lang w:val="en-US" w:eastAsia="zh-CN" w:bidi="ar"/>
        </w:rPr>
        <w:t>2024</w:t>
      </w:r>
      <w:r>
        <w:rPr>
          <w:rFonts w:hint="default" w:ascii="仿宋_GB2312" w:hAnsi="Times New Roman" w:eastAsia="仿宋_GB2312" w:cs="仿宋_GB2312"/>
          <w:kern w:val="2"/>
          <w:sz w:val="32"/>
          <w:szCs w:val="32"/>
          <w:lang w:val="en-US" w:eastAsia="zh-CN" w:bidi="ar"/>
        </w:rPr>
        <w:t>年末实有人数为</w:t>
      </w:r>
      <w:r>
        <w:rPr>
          <w:rFonts w:hint="default" w:ascii="Times New Roman" w:hAnsi="Times New Roman" w:eastAsia="仿宋_GB2312" w:cs="Times New Roman"/>
          <w:kern w:val="2"/>
          <w:sz w:val="32"/>
          <w:szCs w:val="32"/>
          <w:lang w:val="en-US" w:eastAsia="zh-CN" w:bidi="ar"/>
        </w:rPr>
        <w:t>76</w:t>
      </w:r>
      <w:r>
        <w:rPr>
          <w:rFonts w:hint="default" w:ascii="仿宋_GB2312" w:hAnsi="Times New Roman" w:eastAsia="仿宋_GB2312" w:cs="仿宋_GB2312"/>
          <w:kern w:val="2"/>
          <w:sz w:val="32"/>
          <w:szCs w:val="32"/>
          <w:lang w:val="en-US" w:eastAsia="zh-CN" w:bidi="ar"/>
        </w:rPr>
        <w:t>人，固定资产和无形资产净值合计</w:t>
      </w:r>
      <w:r>
        <w:rPr>
          <w:rFonts w:hint="default" w:ascii="Times New Roman" w:hAnsi="Times New Roman" w:eastAsia="仿宋_GB2312" w:cs="Times New Roman"/>
          <w:kern w:val="2"/>
          <w:sz w:val="32"/>
          <w:szCs w:val="32"/>
          <w:lang w:val="en-US" w:eastAsia="zh-CN" w:bidi="ar"/>
        </w:rPr>
        <w:t>1619.3</w:t>
      </w:r>
      <w:r>
        <w:rPr>
          <w:rFonts w:hint="default" w:ascii="仿宋_GB2312" w:hAnsi="Times New Roman" w:eastAsia="仿宋_GB2312" w:cs="仿宋_GB2312"/>
          <w:kern w:val="2"/>
          <w:sz w:val="32"/>
          <w:szCs w:val="32"/>
          <w:lang w:val="en-US" w:eastAsia="zh-CN" w:bidi="ar"/>
        </w:rPr>
        <w:t>万元；</w:t>
      </w: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年末实有人数为</w:t>
      </w:r>
      <w:r>
        <w:rPr>
          <w:rFonts w:hint="default" w:ascii="Times New Roman" w:hAnsi="Times New Roman" w:eastAsia="仿宋_GB2312" w:cs="Times New Roman"/>
          <w:kern w:val="2"/>
          <w:sz w:val="32"/>
          <w:szCs w:val="32"/>
          <w:lang w:val="en-US" w:eastAsia="zh-CN" w:bidi="ar"/>
        </w:rPr>
        <w:t>77</w:t>
      </w:r>
      <w:r>
        <w:rPr>
          <w:rFonts w:hint="default" w:ascii="仿宋_GB2312" w:hAnsi="Times New Roman" w:eastAsia="仿宋_GB2312" w:cs="仿宋_GB2312"/>
          <w:kern w:val="2"/>
          <w:sz w:val="32"/>
          <w:szCs w:val="32"/>
          <w:lang w:val="en-US" w:eastAsia="zh-CN" w:bidi="ar"/>
        </w:rPr>
        <w:t>人，固定资产和无形资产净值合计</w:t>
      </w:r>
      <w:r>
        <w:rPr>
          <w:rFonts w:hint="default" w:ascii="Times New Roman" w:hAnsi="Times New Roman" w:eastAsia="仿宋_GB2312" w:cs="Times New Roman"/>
          <w:kern w:val="2"/>
          <w:sz w:val="32"/>
          <w:szCs w:val="32"/>
          <w:lang w:val="en-US" w:eastAsia="zh-CN" w:bidi="ar"/>
        </w:rPr>
        <w:t>1572.07</w:t>
      </w:r>
      <w:r>
        <w:rPr>
          <w:rFonts w:hint="default" w:ascii="仿宋_GB2312" w:hAnsi="Times New Roman" w:eastAsia="仿宋_GB2312" w:cs="仿宋_GB2312"/>
          <w:kern w:val="2"/>
          <w:sz w:val="32"/>
          <w:szCs w:val="32"/>
          <w:lang w:val="en-US" w:eastAsia="zh-CN" w:bidi="ar"/>
        </w:rPr>
        <w:t>万元。</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2024</w:t>
      </w:r>
      <w:r>
        <w:rPr>
          <w:rFonts w:hint="default" w:ascii="仿宋_GB2312" w:hAnsi="Times New Roman" w:eastAsia="仿宋_GB2312" w:cs="仿宋_GB2312"/>
          <w:kern w:val="2"/>
          <w:sz w:val="32"/>
          <w:szCs w:val="32"/>
          <w:lang w:val="en-US" w:eastAsia="zh-CN" w:bidi="ar"/>
        </w:rPr>
        <w:t>年人均占有资产</w:t>
      </w:r>
      <w:r>
        <w:rPr>
          <w:rFonts w:hint="default" w:ascii="Times New Roman" w:hAnsi="Times New Roman" w:eastAsia="仿宋_GB2312" w:cs="Times New Roman"/>
          <w:kern w:val="2"/>
          <w:sz w:val="32"/>
          <w:szCs w:val="32"/>
          <w:lang w:val="en-US" w:eastAsia="zh-CN" w:bidi="ar"/>
        </w:rPr>
        <w:t>=1619.3÷89=21.31</w:t>
      </w:r>
      <w:r>
        <w:rPr>
          <w:rFonts w:hint="default" w:ascii="仿宋_GB2312" w:hAnsi="Times New Roman" w:eastAsia="仿宋_GB2312" w:cs="仿宋_GB2312"/>
          <w:kern w:val="2"/>
          <w:sz w:val="32"/>
          <w:szCs w:val="32"/>
          <w:lang w:val="en-US" w:eastAsia="zh-CN" w:bidi="ar"/>
        </w:rPr>
        <w:t>（万元</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人），</w:t>
      </w: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年人均占有资产</w:t>
      </w:r>
      <w:r>
        <w:rPr>
          <w:rFonts w:hint="default" w:ascii="Times New Roman" w:hAnsi="Times New Roman" w:eastAsia="仿宋_GB2312" w:cs="Times New Roman"/>
          <w:kern w:val="2"/>
          <w:sz w:val="32"/>
          <w:szCs w:val="32"/>
          <w:lang w:val="en-US" w:eastAsia="zh-CN" w:bidi="ar"/>
        </w:rPr>
        <w:t>=1572.07÷77=20.42</w:t>
      </w:r>
      <w:r>
        <w:rPr>
          <w:rFonts w:hint="default" w:ascii="仿宋_GB2312" w:hAnsi="Times New Roman" w:eastAsia="仿宋_GB2312" w:cs="仿宋_GB2312"/>
          <w:kern w:val="2"/>
          <w:sz w:val="32"/>
          <w:szCs w:val="32"/>
          <w:lang w:val="en-US" w:eastAsia="zh-CN" w:bidi="ar"/>
        </w:rPr>
        <w:t>（万元</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人），</w:t>
      </w: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年我院人均资产变化率</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（当年单位人均占有资产</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上年单位人均占有资产）</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上年单位人均占有资产</w:t>
      </w:r>
      <w:r>
        <w:rPr>
          <w:rFonts w:hint="default" w:ascii="Times New Roman" w:hAnsi="Times New Roman" w:eastAsia="仿宋_GB2312" w:cs="Times New Roman"/>
          <w:kern w:val="2"/>
          <w:sz w:val="32"/>
          <w:szCs w:val="32"/>
          <w:lang w:val="en-US" w:eastAsia="zh-CN" w:bidi="ar"/>
        </w:rPr>
        <w:t>=(20.42-21.31</w:t>
      </w: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÷21.31×100%=-4.18%</w:t>
      </w:r>
      <w:r>
        <w:rPr>
          <w:rFonts w:hint="default" w:ascii="仿宋_GB2312" w:hAnsi="Times New Roman" w:eastAsia="仿宋_GB2312" w:cs="仿宋_GB2312"/>
          <w:kern w:val="2"/>
          <w:sz w:val="32"/>
          <w:szCs w:val="32"/>
          <w:lang w:val="en-US" w:eastAsia="zh-CN" w:bidi="ar"/>
        </w:rPr>
        <w:t>，小于阿坝州州直行政事业单位</w:t>
      </w: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年人均资产变化率</w:t>
      </w:r>
      <w:r>
        <w:rPr>
          <w:rFonts w:hint="default" w:ascii="Times New Roman" w:hAnsi="Times New Roman" w:eastAsia="仿宋_GB2312" w:cs="Times New Roman"/>
          <w:kern w:val="2"/>
          <w:sz w:val="32"/>
          <w:szCs w:val="32"/>
          <w:lang w:val="en-US" w:eastAsia="zh-CN" w:bidi="ar"/>
        </w:rPr>
        <w:t>-3.49%</w:t>
      </w:r>
      <w:r>
        <w:rPr>
          <w:rFonts w:hint="default" w:ascii="仿宋_GB2312" w:hAnsi="Times New Roman" w:eastAsia="仿宋_GB2312" w:cs="仿宋_GB2312"/>
          <w:kern w:val="2"/>
          <w:sz w:val="32"/>
          <w:szCs w:val="32"/>
          <w:lang w:val="en-US" w:eastAsia="zh-CN" w:bidi="ar"/>
        </w:rPr>
        <w:t>，得</w:t>
      </w:r>
      <w:r>
        <w:rPr>
          <w:rFonts w:hint="default" w:ascii="Times New Roman" w:hAnsi="Times New Roman" w:eastAsia="仿宋_GB2312" w:cs="Times New Roman"/>
          <w:kern w:val="2"/>
          <w:sz w:val="32"/>
          <w:szCs w:val="32"/>
          <w:lang w:val="en-US" w:eastAsia="zh-CN" w:bidi="ar"/>
        </w:rPr>
        <w:t>1.5</w:t>
      </w:r>
      <w:r>
        <w:rPr>
          <w:rFonts w:hint="default" w:ascii="仿宋_GB2312" w:hAnsi="Times New Roman" w:eastAsia="仿宋_GB2312" w:cs="仿宋_GB2312"/>
          <w:kern w:val="2"/>
          <w:sz w:val="32"/>
          <w:szCs w:val="32"/>
          <w:lang w:val="en-US" w:eastAsia="zh-CN" w:bidi="ar"/>
        </w:rPr>
        <w:t>分；</w:t>
      </w: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年我院人均资产变化率≤</w:t>
      </w:r>
      <w:r>
        <w:rPr>
          <w:rFonts w:hint="default" w:ascii="Times New Roman" w:hAnsi="Times New Roman" w:eastAsia="仿宋_GB2312" w:cs="Times New Roman"/>
          <w:kern w:val="2"/>
          <w:sz w:val="32"/>
          <w:szCs w:val="32"/>
          <w:lang w:val="en-US" w:eastAsia="zh-CN" w:bidi="ar"/>
        </w:rPr>
        <w:t>0</w:t>
      </w:r>
      <w:r>
        <w:rPr>
          <w:rFonts w:hint="default" w:ascii="仿宋_GB2312" w:hAnsi="Times New Roman" w:eastAsia="仿宋_GB2312" w:cs="仿宋_GB2312"/>
          <w:kern w:val="2"/>
          <w:sz w:val="32"/>
          <w:szCs w:val="32"/>
          <w:lang w:val="en-US" w:eastAsia="zh-CN" w:bidi="ar"/>
        </w:rPr>
        <w:t>，得</w:t>
      </w:r>
      <w:r>
        <w:rPr>
          <w:rFonts w:hint="default" w:ascii="Times New Roman" w:hAnsi="Times New Roman" w:eastAsia="仿宋_GB2312" w:cs="Times New Roman"/>
          <w:kern w:val="2"/>
          <w:sz w:val="32"/>
          <w:szCs w:val="32"/>
          <w:lang w:val="en-US" w:eastAsia="zh-CN" w:bidi="ar"/>
        </w:rPr>
        <w:t>1.5</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根据评分标准，该项指标扣</w:t>
      </w:r>
      <w:r>
        <w:rPr>
          <w:rFonts w:hint="default" w:ascii="Times New Roman" w:hAnsi="Times New Roman" w:eastAsia="仿宋_GB2312" w:cs="Times New Roman"/>
          <w:kern w:val="2"/>
          <w:sz w:val="32"/>
          <w:szCs w:val="32"/>
          <w:lang w:val="en-US" w:eastAsia="zh-CN" w:bidi="ar"/>
        </w:rPr>
        <w:t>0</w:t>
      </w:r>
      <w:r>
        <w:rPr>
          <w:rFonts w:hint="default" w:ascii="仿宋_GB2312" w:hAnsi="Times New Roman" w:eastAsia="仿宋_GB2312" w:cs="仿宋_GB2312"/>
          <w:kern w:val="2"/>
          <w:sz w:val="32"/>
          <w:szCs w:val="32"/>
          <w:lang w:val="en-US" w:eastAsia="zh-CN" w:bidi="ar"/>
        </w:rPr>
        <w:t>分，得</w:t>
      </w:r>
      <w:r>
        <w:rPr>
          <w:rFonts w:hint="default" w:ascii="Times New Roman" w:hAnsi="Times New Roman" w:eastAsia="仿宋_GB2312" w:cs="Times New Roman"/>
          <w:kern w:val="2"/>
          <w:sz w:val="32"/>
          <w:szCs w:val="32"/>
          <w:lang w:val="en-US" w:eastAsia="zh-CN" w:bidi="ar"/>
        </w:rPr>
        <w:t>3</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spacing w:before="0" w:beforeAutospacing="0" w:after="0" w:afterAutospacing="0" w:line="560" w:lineRule="exact"/>
        <w:ind w:left="0" w:right="0" w:firstLine="640" w:firstLineChars="200"/>
        <w:jc w:val="both"/>
        <w:outlineLvl w:val="3"/>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2</w:t>
      </w:r>
      <w:r>
        <w:rPr>
          <w:rFonts w:hint="default" w:ascii="仿宋_GB2312" w:hAnsi="Times New Roman" w:eastAsia="仿宋_GB2312" w:cs="仿宋_GB2312"/>
          <w:kern w:val="2"/>
          <w:sz w:val="32"/>
          <w:szCs w:val="32"/>
          <w:lang w:val="en-US" w:eastAsia="zh-CN" w:bidi="ar"/>
        </w:rPr>
        <w:t>）资产利用率</w:t>
      </w:r>
    </w:p>
    <w:p>
      <w:pPr>
        <w:keepNext w:val="0"/>
        <w:keepLines w:val="0"/>
        <w:widowControl w:val="0"/>
        <w:suppressLineNumbers w:val="0"/>
        <w:spacing w:before="0" w:beforeAutospacing="0" w:after="0" w:afterAutospacing="0" w:line="240" w:lineRule="auto"/>
        <w:ind w:left="0" w:right="0" w:firstLine="0" w:firstLineChars="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根据资产存量明细查询表，我院</w:t>
      </w: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年办公家具账面价值为</w:t>
      </w:r>
      <w:r>
        <w:rPr>
          <w:rFonts w:hint="default" w:ascii="Times New Roman" w:hAnsi="Times New Roman" w:eastAsia="仿宋_GB2312" w:cs="Times New Roman"/>
          <w:kern w:val="2"/>
          <w:sz w:val="32"/>
          <w:szCs w:val="32"/>
          <w:lang w:val="en-US" w:eastAsia="zh-CN" w:bidi="ar"/>
        </w:rPr>
        <w:t>140.7</w:t>
      </w:r>
      <w:r>
        <w:rPr>
          <w:rFonts w:hint="default" w:ascii="仿宋_GB2312" w:hAnsi="Times New Roman" w:eastAsia="仿宋_GB2312" w:cs="仿宋_GB2312"/>
          <w:kern w:val="2"/>
          <w:sz w:val="32"/>
          <w:szCs w:val="32"/>
          <w:lang w:val="en-US" w:eastAsia="zh-CN" w:bidi="ar"/>
        </w:rPr>
        <w:t>万元，超最低使用年限的办公家具账面价值为</w:t>
      </w:r>
      <w:r>
        <w:rPr>
          <w:rFonts w:hint="default" w:ascii="Times New Roman" w:hAnsi="Times New Roman" w:eastAsia="仿宋_GB2312" w:cs="Times New Roman"/>
          <w:kern w:val="2"/>
          <w:sz w:val="32"/>
          <w:szCs w:val="32"/>
          <w:lang w:val="en-US" w:eastAsia="zh-CN" w:bidi="ar"/>
        </w:rPr>
        <w:t>13.7</w:t>
      </w:r>
      <w:r>
        <w:rPr>
          <w:rFonts w:hint="default" w:ascii="仿宋_GB2312" w:hAnsi="Times New Roman" w:eastAsia="仿宋_GB2312" w:cs="仿宋_GB2312"/>
          <w:kern w:val="2"/>
          <w:sz w:val="32"/>
          <w:szCs w:val="32"/>
          <w:lang w:val="en-US" w:eastAsia="zh-CN" w:bidi="ar"/>
        </w:rPr>
        <w:t>万元，故办公家具超最低使用年限资产利用率=超最低使用年限的办公家具账面价值÷办公家具账面价值×100%=13.7÷140.7×100%=9.73%，小于州直行政事业单位平均值12.93%；2025年办公设备账面价值为2341.58万元，超最低使用年限的办公设备账面价值为1204.73万元，故办公设备超最低使用年限资产利用率=超最低使用年限的办公设备账面价值÷办公设备账面价值</w:t>
      </w:r>
      <w:r>
        <w:rPr>
          <w:rFonts w:hint="default" w:ascii="Times New Roman" w:hAnsi="Times New Roman" w:eastAsia="仿宋_GB2312" w:cs="Times New Roman"/>
          <w:kern w:val="2"/>
          <w:sz w:val="32"/>
          <w:szCs w:val="32"/>
          <w:lang w:val="en-US" w:eastAsia="zh-CN" w:bidi="ar"/>
        </w:rPr>
        <w:t>×100%=1204.73÷2341.58.00×100%=51.45%，大于州直行政</w:t>
      </w:r>
      <w:r>
        <w:rPr>
          <w:rFonts w:hint="default" w:ascii="仿宋_GB2312" w:hAnsi="Times New Roman" w:eastAsia="仿宋_GB2312" w:cs="仿宋_GB2312"/>
          <w:kern w:val="2"/>
          <w:sz w:val="32"/>
          <w:szCs w:val="32"/>
          <w:lang w:val="en-US" w:eastAsia="zh-CN" w:bidi="ar"/>
        </w:rPr>
        <w:t>事业单位平均值</w:t>
      </w:r>
      <w:r>
        <w:rPr>
          <w:rFonts w:hint="default" w:ascii="Times New Roman" w:hAnsi="Times New Roman" w:eastAsia="仿宋_GB2312" w:cs="Times New Roman"/>
          <w:kern w:val="2"/>
          <w:sz w:val="32"/>
          <w:szCs w:val="32"/>
          <w:lang w:val="en-US" w:eastAsia="zh-CN" w:bidi="ar"/>
        </w:rPr>
        <w:t>53.14%</w:t>
      </w:r>
      <w:r>
        <w:rPr>
          <w:rFonts w:hint="default" w:ascii="仿宋_GB2312" w:hAnsi="Times New Roman" w:eastAsia="仿宋_GB2312" w:cs="仿宋_GB2312"/>
          <w:kern w:val="2"/>
          <w:sz w:val="32"/>
          <w:szCs w:val="32"/>
          <w:lang w:val="en-US" w:eastAsia="zh-CN" w:bidi="ar"/>
        </w:rPr>
        <w:t>。</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根据评分标准，该项指标扣</w:t>
      </w:r>
      <w:r>
        <w:rPr>
          <w:rFonts w:hint="default" w:ascii="Times New Roman" w:hAnsi="Times New Roman" w:eastAsia="仿宋_GB2312" w:cs="Times New Roman"/>
          <w:kern w:val="2"/>
          <w:sz w:val="32"/>
          <w:szCs w:val="32"/>
          <w:lang w:val="en-US" w:eastAsia="zh-CN" w:bidi="ar"/>
        </w:rPr>
        <w:t>1.5</w:t>
      </w:r>
      <w:r>
        <w:rPr>
          <w:rFonts w:hint="default" w:ascii="仿宋_GB2312" w:hAnsi="Times New Roman" w:eastAsia="仿宋_GB2312" w:cs="仿宋_GB2312"/>
          <w:kern w:val="2"/>
          <w:sz w:val="32"/>
          <w:szCs w:val="32"/>
          <w:lang w:val="en-US" w:eastAsia="zh-CN" w:bidi="ar"/>
        </w:rPr>
        <w:t>分，得</w:t>
      </w:r>
      <w:r>
        <w:rPr>
          <w:rFonts w:hint="default" w:ascii="Times New Roman" w:hAnsi="Times New Roman" w:eastAsia="仿宋_GB2312" w:cs="Times New Roman"/>
          <w:kern w:val="2"/>
          <w:sz w:val="32"/>
          <w:szCs w:val="32"/>
          <w:lang w:val="en-US" w:eastAsia="zh-CN" w:bidi="ar"/>
        </w:rPr>
        <w:t>1.5</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spacing w:before="0" w:beforeAutospacing="0" w:after="0" w:afterAutospacing="0" w:line="560" w:lineRule="exact"/>
        <w:ind w:left="0" w:right="0" w:firstLine="640" w:firstLineChars="200"/>
        <w:jc w:val="both"/>
        <w:outlineLvl w:val="3"/>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3</w:t>
      </w:r>
      <w:r>
        <w:rPr>
          <w:rFonts w:hint="default" w:ascii="仿宋_GB2312" w:hAnsi="Times New Roman" w:eastAsia="仿宋_GB2312" w:cs="仿宋_GB2312"/>
          <w:kern w:val="2"/>
          <w:sz w:val="32"/>
          <w:szCs w:val="32"/>
          <w:lang w:val="en-US" w:eastAsia="zh-CN" w:bidi="ar"/>
        </w:rPr>
        <w:t>）资产盘活率</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我院</w:t>
      </w: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w:t>
      </w: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年均无闲置资产。</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楷体_GB2312" w:cs="Times New Roman"/>
          <w:color w:val="000000"/>
          <w:kern w:val="0"/>
          <w:sz w:val="32"/>
          <w:szCs w:val="32"/>
          <w:shd w:val="clear" w:fill="FFFFFF"/>
        </w:rPr>
      </w:pPr>
      <w:r>
        <w:rPr>
          <w:rFonts w:hint="default" w:ascii="仿宋_GB2312" w:hAnsi="Times New Roman" w:eastAsia="仿宋_GB2312" w:cs="仿宋_GB2312"/>
          <w:kern w:val="2"/>
          <w:sz w:val="32"/>
          <w:szCs w:val="32"/>
          <w:lang w:val="en-US" w:eastAsia="zh-CN" w:bidi="ar"/>
        </w:rPr>
        <w:t>根据评分标准，该项指标扣</w:t>
      </w:r>
      <w:r>
        <w:rPr>
          <w:rFonts w:hint="default" w:ascii="Times New Roman" w:hAnsi="Times New Roman" w:eastAsia="仿宋_GB2312" w:cs="Times New Roman"/>
          <w:kern w:val="2"/>
          <w:sz w:val="32"/>
          <w:szCs w:val="32"/>
          <w:lang w:val="en-US" w:eastAsia="zh-CN" w:bidi="ar"/>
        </w:rPr>
        <w:t>0</w:t>
      </w:r>
      <w:r>
        <w:rPr>
          <w:rFonts w:hint="default" w:ascii="仿宋_GB2312" w:hAnsi="Times New Roman" w:eastAsia="仿宋_GB2312" w:cs="仿宋_GB2312"/>
          <w:kern w:val="2"/>
          <w:sz w:val="32"/>
          <w:szCs w:val="32"/>
          <w:lang w:val="en-US" w:eastAsia="zh-CN" w:bidi="ar"/>
        </w:rPr>
        <w:t>分，得</w:t>
      </w:r>
      <w:r>
        <w:rPr>
          <w:rFonts w:hint="default" w:ascii="Times New Roman" w:hAnsi="Times New Roman" w:eastAsia="仿宋_GB2312" w:cs="Times New Roman"/>
          <w:kern w:val="2"/>
          <w:sz w:val="32"/>
          <w:szCs w:val="32"/>
          <w:lang w:val="en-US" w:eastAsia="zh-CN" w:bidi="ar"/>
        </w:rPr>
        <w:t>3</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spacing w:before="0" w:beforeAutospacing="0" w:after="0" w:afterAutospacing="0" w:line="560" w:lineRule="exact"/>
        <w:ind w:left="0" w:right="0" w:firstLine="640" w:firstLineChars="200"/>
        <w:jc w:val="both"/>
        <w:outlineLvl w:val="3"/>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5.</w:t>
      </w:r>
      <w:r>
        <w:rPr>
          <w:rFonts w:hint="default" w:ascii="楷体_GB2312" w:hAnsi="Times New Roman" w:eastAsia="楷体_GB2312" w:cs="楷体_GB2312"/>
          <w:color w:val="000000"/>
          <w:kern w:val="0"/>
          <w:sz w:val="32"/>
          <w:szCs w:val="32"/>
          <w:shd w:val="clear" w:fill="FFFFFF"/>
          <w:lang w:val="en-US" w:eastAsia="zh-CN" w:bidi="ar"/>
        </w:rPr>
        <w:t>采购管理。</w:t>
      </w:r>
    </w:p>
    <w:p>
      <w:pPr>
        <w:keepNext w:val="0"/>
        <w:keepLines w:val="0"/>
        <w:widowControl w:val="0"/>
        <w:suppressLineNumbers w:val="0"/>
        <w:spacing w:before="0" w:beforeAutospacing="0" w:after="0" w:afterAutospacing="0" w:line="560" w:lineRule="exact"/>
        <w:ind w:left="0" w:right="0" w:firstLine="640" w:firstLineChars="200"/>
        <w:jc w:val="both"/>
        <w:outlineLvl w:val="3"/>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1</w:t>
      </w:r>
      <w:r>
        <w:rPr>
          <w:rFonts w:hint="default" w:ascii="仿宋_GB2312" w:hAnsi="Times New Roman" w:eastAsia="仿宋_GB2312" w:cs="仿宋_GB2312"/>
          <w:kern w:val="2"/>
          <w:sz w:val="32"/>
          <w:szCs w:val="32"/>
          <w:lang w:val="en-US" w:eastAsia="zh-CN" w:bidi="ar"/>
        </w:rPr>
        <w:t>）支持中小企业发展</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我院严格执行政府采购促进中小企业发展相关管理办法，对适宜由中小企业提供的采购项目和采购包，预留了采购份额专门面向中小企业采购，并在采购预算中单独列示。</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根据评分标准，该项指标扣</w:t>
      </w:r>
      <w:r>
        <w:rPr>
          <w:rFonts w:hint="default" w:ascii="Times New Roman" w:hAnsi="Times New Roman" w:eastAsia="仿宋_GB2312" w:cs="Times New Roman"/>
          <w:kern w:val="2"/>
          <w:sz w:val="32"/>
          <w:szCs w:val="32"/>
          <w:lang w:val="en-US" w:eastAsia="zh-CN" w:bidi="ar"/>
        </w:rPr>
        <w:t>0</w:t>
      </w:r>
      <w:r>
        <w:rPr>
          <w:rFonts w:hint="default" w:ascii="仿宋_GB2312" w:hAnsi="Times New Roman" w:eastAsia="仿宋_GB2312" w:cs="仿宋_GB2312"/>
          <w:kern w:val="2"/>
          <w:sz w:val="32"/>
          <w:szCs w:val="32"/>
          <w:lang w:val="en-US" w:eastAsia="zh-CN" w:bidi="ar"/>
        </w:rPr>
        <w:t>分，得</w:t>
      </w:r>
      <w:r>
        <w:rPr>
          <w:rFonts w:hint="default" w:ascii="Times New Roman" w:hAnsi="Times New Roman" w:eastAsia="仿宋_GB2312" w:cs="Times New Roman"/>
          <w:kern w:val="2"/>
          <w:sz w:val="32"/>
          <w:szCs w:val="32"/>
          <w:lang w:val="en-US" w:eastAsia="zh-CN" w:bidi="ar"/>
        </w:rPr>
        <w:t>3</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spacing w:before="0" w:beforeAutospacing="0" w:after="0" w:afterAutospacing="0" w:line="560" w:lineRule="exact"/>
        <w:ind w:left="0" w:right="0" w:firstLine="640" w:firstLineChars="200"/>
        <w:jc w:val="both"/>
        <w:outlineLvl w:val="3"/>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2</w:t>
      </w:r>
      <w:r>
        <w:rPr>
          <w:rFonts w:hint="default" w:ascii="仿宋_GB2312" w:hAnsi="Times New Roman" w:eastAsia="仿宋_GB2312" w:cs="仿宋_GB2312"/>
          <w:kern w:val="2"/>
          <w:sz w:val="32"/>
          <w:szCs w:val="32"/>
          <w:lang w:val="en-US" w:eastAsia="zh-CN" w:bidi="ar"/>
        </w:rPr>
        <w:t>）采购执行率</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我院</w:t>
      </w: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年度的政府采购总预算数为</w:t>
      </w:r>
      <w:r>
        <w:rPr>
          <w:rFonts w:hint="default" w:ascii="Times New Roman" w:hAnsi="Times New Roman" w:eastAsia="仿宋_GB2312" w:cs="Times New Roman"/>
          <w:kern w:val="2"/>
          <w:sz w:val="32"/>
          <w:szCs w:val="32"/>
          <w:lang w:val="en-US" w:eastAsia="zh-CN" w:bidi="ar"/>
        </w:rPr>
        <w:t>130</w:t>
      </w:r>
      <w:r>
        <w:rPr>
          <w:rFonts w:hint="default" w:ascii="仿宋_GB2312" w:hAnsi="Times New Roman" w:eastAsia="仿宋_GB2312" w:cs="仿宋_GB2312"/>
          <w:kern w:val="2"/>
          <w:sz w:val="32"/>
          <w:szCs w:val="32"/>
          <w:lang w:val="en-US" w:eastAsia="zh-CN" w:bidi="ar"/>
        </w:rPr>
        <w:t>万元，当年政府采购预算执行数为</w:t>
      </w:r>
      <w:r>
        <w:rPr>
          <w:rFonts w:hint="default" w:ascii="Times New Roman" w:hAnsi="Times New Roman" w:eastAsia="仿宋_GB2312" w:cs="Times New Roman"/>
          <w:kern w:val="2"/>
          <w:sz w:val="32"/>
          <w:szCs w:val="32"/>
          <w:lang w:val="en-US" w:eastAsia="zh-CN" w:bidi="ar"/>
        </w:rPr>
        <w:t>108.4</w:t>
      </w:r>
      <w:r>
        <w:rPr>
          <w:rFonts w:hint="default" w:ascii="仿宋_GB2312" w:hAnsi="Times New Roman" w:eastAsia="仿宋_GB2312" w:cs="仿宋_GB2312"/>
          <w:kern w:val="2"/>
          <w:sz w:val="32"/>
          <w:szCs w:val="32"/>
          <w:lang w:val="en-US" w:eastAsia="zh-CN" w:bidi="ar"/>
        </w:rPr>
        <w:t>万元，已完成采购项目节约金额为</w:t>
      </w:r>
      <w:r>
        <w:rPr>
          <w:rFonts w:hint="default" w:ascii="Times New Roman" w:hAnsi="Times New Roman" w:eastAsia="仿宋_GB2312" w:cs="Times New Roman"/>
          <w:kern w:val="2"/>
          <w:sz w:val="32"/>
          <w:szCs w:val="32"/>
          <w:lang w:val="en-US" w:eastAsia="zh-CN" w:bidi="ar"/>
        </w:rPr>
        <w:t>21.6</w:t>
      </w:r>
      <w:r>
        <w:rPr>
          <w:rFonts w:hint="default" w:ascii="仿宋_GB2312" w:hAnsi="Times New Roman" w:eastAsia="仿宋_GB2312" w:cs="仿宋_GB2312"/>
          <w:kern w:val="2"/>
          <w:sz w:val="32"/>
          <w:szCs w:val="32"/>
          <w:lang w:val="en-US" w:eastAsia="zh-CN" w:bidi="ar"/>
        </w:rPr>
        <w:t>万元，故采购执行率</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当年政府采购实际支付总金额</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（当年政府采购总预算数</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当年已完成采购项目节约金额）</w:t>
      </w:r>
      <w:r>
        <w:rPr>
          <w:rFonts w:hint="default" w:ascii="Times New Roman" w:hAnsi="Times New Roman" w:eastAsia="仿宋_GB2312" w:cs="Times New Roman"/>
          <w:kern w:val="2"/>
          <w:sz w:val="32"/>
          <w:szCs w:val="32"/>
          <w:lang w:val="en-US" w:eastAsia="zh-CN" w:bidi="ar"/>
        </w:rPr>
        <w:t>×100%=108.4÷</w:t>
      </w: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130-21.6</w:t>
      </w: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×100%=100.00%</w:t>
      </w:r>
      <w:r>
        <w:rPr>
          <w:rFonts w:hint="default" w:ascii="仿宋_GB2312" w:hAnsi="Times New Roman" w:eastAsia="仿宋_GB2312" w:cs="仿宋_GB2312"/>
          <w:kern w:val="2"/>
          <w:sz w:val="32"/>
          <w:szCs w:val="32"/>
          <w:lang w:val="en-US" w:eastAsia="zh-CN" w:bidi="ar"/>
        </w:rPr>
        <w:t>。</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楷体_GB2312" w:cs="Times New Roman"/>
          <w:color w:val="000000"/>
          <w:kern w:val="0"/>
          <w:sz w:val="32"/>
          <w:szCs w:val="32"/>
          <w:shd w:val="clear" w:fill="FFFFFF"/>
        </w:rPr>
      </w:pPr>
      <w:r>
        <w:rPr>
          <w:rFonts w:hint="default" w:ascii="仿宋_GB2312" w:hAnsi="Times New Roman" w:eastAsia="仿宋_GB2312" w:cs="仿宋_GB2312"/>
          <w:kern w:val="2"/>
          <w:sz w:val="32"/>
          <w:szCs w:val="32"/>
          <w:lang w:val="en-US" w:eastAsia="zh-CN" w:bidi="ar"/>
        </w:rPr>
        <w:t>根据评分标准，该项指标扣</w:t>
      </w:r>
      <w:r>
        <w:rPr>
          <w:rFonts w:hint="default" w:ascii="Times New Roman" w:hAnsi="Times New Roman" w:eastAsia="仿宋_GB2312" w:cs="Times New Roman"/>
          <w:kern w:val="2"/>
          <w:sz w:val="32"/>
          <w:szCs w:val="32"/>
          <w:lang w:val="en-US" w:eastAsia="zh-CN" w:bidi="ar"/>
        </w:rPr>
        <w:t>0</w:t>
      </w:r>
      <w:r>
        <w:rPr>
          <w:rFonts w:hint="default" w:ascii="仿宋_GB2312" w:hAnsi="Times New Roman" w:eastAsia="仿宋_GB2312" w:cs="仿宋_GB2312"/>
          <w:kern w:val="2"/>
          <w:sz w:val="32"/>
          <w:szCs w:val="32"/>
          <w:lang w:val="en-US" w:eastAsia="zh-CN" w:bidi="ar"/>
        </w:rPr>
        <w:t>分，得</w:t>
      </w:r>
      <w:r>
        <w:rPr>
          <w:rFonts w:hint="default" w:ascii="Times New Roman" w:hAnsi="Times New Roman" w:eastAsia="仿宋_GB2312" w:cs="Times New Roman"/>
          <w:kern w:val="2"/>
          <w:sz w:val="32"/>
          <w:szCs w:val="32"/>
          <w:lang w:val="en-US" w:eastAsia="zh-CN" w:bidi="ar"/>
        </w:rPr>
        <w:t>3</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djustRightInd w:val="0"/>
        <w:snapToGrid w:val="0"/>
        <w:spacing w:before="0" w:beforeAutospacing="0" w:after="0" w:afterAutospacing="0" w:line="578" w:lineRule="exact"/>
        <w:ind w:left="0" w:right="0" w:firstLine="643" w:firstLineChars="200"/>
        <w:contextualSpacing/>
        <w:jc w:val="left"/>
        <w:rPr>
          <w:rFonts w:hint="default" w:ascii="Times New Roman" w:hAnsi="Times New Roman" w:eastAsia="楷体_GB2312" w:cs="Times New Roman"/>
          <w:b/>
          <w:bCs/>
          <w:color w:val="000000"/>
          <w:kern w:val="0"/>
          <w:sz w:val="32"/>
          <w:szCs w:val="32"/>
          <w:shd w:val="clear" w:fill="FFFFFF"/>
        </w:rPr>
      </w:pPr>
      <w:r>
        <w:rPr>
          <w:rFonts w:hint="default" w:ascii="楷体_GB2312" w:hAnsi="Times New Roman" w:eastAsia="楷体_GB2312" w:cs="楷体_GB2312"/>
          <w:b/>
          <w:bCs/>
          <w:color w:val="000000"/>
          <w:kern w:val="0"/>
          <w:sz w:val="32"/>
          <w:szCs w:val="32"/>
          <w:shd w:val="clear" w:fill="FFFFFF"/>
          <w:lang w:val="en-US" w:eastAsia="zh-CN" w:bidi="ar"/>
        </w:rPr>
        <w:t>（二）部门预算项目绩效分析。</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contextualSpacing/>
        <w:jc w:val="left"/>
        <w:rPr>
          <w:rFonts w:hint="default" w:ascii="仿宋_GB2312" w:eastAsia="仿宋_GB2312" w:cs="仿宋_GB2312"/>
          <w:color w:val="000000"/>
          <w:kern w:val="0"/>
          <w:sz w:val="32"/>
          <w:szCs w:val="32"/>
          <w:shd w:val="clear" w:fill="FFFFFF"/>
        </w:rPr>
      </w:pPr>
      <w:r>
        <w:rPr>
          <w:rFonts w:hint="default" w:ascii="仿宋_GB2312" w:hAnsi="Times New Roman" w:eastAsia="仿宋_GB2312" w:cs="仿宋_GB2312"/>
          <w:color w:val="000000"/>
          <w:kern w:val="0"/>
          <w:sz w:val="32"/>
          <w:szCs w:val="32"/>
          <w:shd w:val="clear" w:fill="FFFFFF"/>
          <w:lang w:val="en-US" w:eastAsia="zh-CN" w:bidi="ar"/>
        </w:rPr>
        <w:t>常年项目绩效分析。该类项目总数4个，涉及预算总金额666.88万元，1—12月预算执行总体进度为74.02%，其中：预算结余率大于10%的项目共计2个。</w:t>
      </w:r>
    </w:p>
    <w:p>
      <w:pPr>
        <w:keepNext w:val="0"/>
        <w:keepLines w:val="0"/>
        <w:widowControl w:val="0"/>
        <w:suppressLineNumbers w:val="0"/>
        <w:adjustRightInd w:val="0"/>
        <w:snapToGrid w:val="0"/>
        <w:spacing w:before="0" w:beforeAutospacing="0" w:after="0" w:afterAutospacing="0" w:line="600" w:lineRule="atLeast"/>
        <w:ind w:left="0" w:right="0" w:firstLine="640" w:firstLineChars="200"/>
        <w:contextualSpacing/>
        <w:jc w:val="left"/>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1.</w:t>
      </w:r>
      <w:r>
        <w:rPr>
          <w:rFonts w:hint="default" w:ascii="楷体_GB2312" w:hAnsi="Times New Roman" w:eastAsia="楷体_GB2312" w:cs="楷体_GB2312"/>
          <w:color w:val="000000"/>
          <w:kern w:val="0"/>
          <w:sz w:val="32"/>
          <w:szCs w:val="32"/>
          <w:shd w:val="clear" w:fill="FFFFFF"/>
          <w:lang w:val="en-US" w:eastAsia="zh-CN" w:bidi="ar"/>
        </w:rPr>
        <w:t>项目决策。</w:t>
      </w:r>
    </w:p>
    <w:p>
      <w:pPr>
        <w:keepNext w:val="0"/>
        <w:keepLines w:val="0"/>
        <w:widowControl w:val="0"/>
        <w:suppressLineNumbers w:val="0"/>
        <w:spacing w:before="0" w:beforeAutospacing="0" w:after="0" w:afterAutospacing="0" w:line="560" w:lineRule="exact"/>
        <w:ind w:left="0" w:right="0" w:firstLine="640" w:firstLineChars="200"/>
        <w:jc w:val="both"/>
        <w:outlineLvl w:val="2"/>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1</w:t>
      </w:r>
      <w:r>
        <w:rPr>
          <w:rFonts w:hint="default" w:ascii="仿宋_GB2312" w:hAnsi="Times New Roman" w:eastAsia="仿宋_GB2312" w:cs="仿宋_GB2312"/>
          <w:kern w:val="2"/>
          <w:sz w:val="32"/>
          <w:szCs w:val="32"/>
          <w:lang w:val="en-US" w:eastAsia="zh-CN" w:bidi="ar"/>
        </w:rPr>
        <w:t>）决策程序</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contextualSpacing/>
        <w:jc w:val="left"/>
        <w:rPr>
          <w:rFonts w:hint="default" w:ascii="Times New Roman" w:hAnsi="Times New Roman" w:eastAsia="仿宋_GB2312" w:cs="Times New Roman"/>
          <w:color w:val="000000"/>
          <w:kern w:val="0"/>
          <w:sz w:val="32"/>
          <w:szCs w:val="32"/>
          <w:shd w:val="clear" w:fill="FFFFFF"/>
        </w:rPr>
      </w:pPr>
      <w:r>
        <w:rPr>
          <w:rFonts w:hint="default" w:ascii="仿宋_GB2312" w:hAnsi="Times New Roman" w:eastAsia="仿宋_GB2312" w:cs="仿宋_GB2312"/>
          <w:color w:val="000000"/>
          <w:kern w:val="0"/>
          <w:sz w:val="32"/>
          <w:szCs w:val="32"/>
          <w:shd w:val="clear" w:fill="FFFFFF"/>
          <w:lang w:val="en-US" w:eastAsia="zh-CN" w:bidi="ar"/>
        </w:rPr>
        <w:t>根据阿坝州事前绩效评估相关要求，</w:t>
      </w:r>
      <w:r>
        <w:rPr>
          <w:rFonts w:hint="default" w:ascii="Times New Roman" w:hAnsi="Times New Roman" w:eastAsia="仿宋_GB2312" w:cs="Times New Roman"/>
          <w:color w:val="000000"/>
          <w:kern w:val="0"/>
          <w:sz w:val="32"/>
          <w:szCs w:val="32"/>
          <w:shd w:val="clear" w:fill="FFFFFF"/>
          <w:lang w:val="en-US" w:eastAsia="zh-CN" w:bidi="ar"/>
        </w:rPr>
        <w:t>2025</w:t>
      </w:r>
      <w:r>
        <w:rPr>
          <w:rFonts w:hint="default" w:ascii="仿宋_GB2312" w:hAnsi="Times New Roman" w:eastAsia="仿宋_GB2312" w:cs="仿宋_GB2312"/>
          <w:color w:val="000000"/>
          <w:kern w:val="0"/>
          <w:sz w:val="32"/>
          <w:szCs w:val="32"/>
          <w:shd w:val="clear" w:fill="FFFFFF"/>
          <w:lang w:val="en-US" w:eastAsia="zh-CN" w:bidi="ar"/>
        </w:rPr>
        <w:t>年我院需履行事前评估程序的部门预算阶段项目（含一次性项目）均严格按规定履行评估论证、申报程序，开展了项目事前绩效评估，项目立项依据充分，决策程序规范。</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contextualSpacing/>
        <w:jc w:val="left"/>
        <w:rPr>
          <w:rFonts w:hint="default" w:ascii="Times New Roman" w:hAnsi="Times New Roman" w:eastAsia="楷体_GB2312" w:cs="Times New Roman"/>
          <w:color w:val="000000"/>
          <w:kern w:val="0"/>
          <w:sz w:val="32"/>
          <w:szCs w:val="32"/>
          <w:shd w:val="clear" w:fill="FFFFFF"/>
        </w:rPr>
      </w:pPr>
      <w:r>
        <w:rPr>
          <w:rFonts w:hint="default" w:ascii="仿宋_GB2312" w:hAnsi="Times New Roman" w:eastAsia="仿宋_GB2312" w:cs="仿宋_GB2312"/>
          <w:color w:val="000000"/>
          <w:kern w:val="0"/>
          <w:sz w:val="32"/>
          <w:szCs w:val="32"/>
          <w:shd w:val="clear" w:fill="FFFFFF"/>
          <w:lang w:val="en-US" w:eastAsia="zh-CN" w:bidi="ar"/>
        </w:rPr>
        <w:t>综上，根据评分标准，该项指标扣</w:t>
      </w:r>
      <w:r>
        <w:rPr>
          <w:rFonts w:hint="default" w:ascii="Times New Roman" w:hAnsi="Times New Roman" w:eastAsia="仿宋_GB2312" w:cs="Times New Roman"/>
          <w:color w:val="000000"/>
          <w:kern w:val="0"/>
          <w:sz w:val="32"/>
          <w:szCs w:val="32"/>
          <w:shd w:val="clear" w:fill="FFFFFF"/>
          <w:lang w:val="en-US" w:eastAsia="zh-CN" w:bidi="ar"/>
        </w:rPr>
        <w:t>0</w:t>
      </w:r>
      <w:r>
        <w:rPr>
          <w:rFonts w:hint="default" w:ascii="仿宋_GB2312" w:hAnsi="Times New Roman" w:eastAsia="仿宋_GB2312" w:cs="仿宋_GB2312"/>
          <w:color w:val="000000"/>
          <w:kern w:val="0"/>
          <w:sz w:val="32"/>
          <w:szCs w:val="32"/>
          <w:shd w:val="clear" w:fill="FFFFFF"/>
          <w:lang w:val="en-US" w:eastAsia="zh-CN" w:bidi="ar"/>
        </w:rPr>
        <w:t>分，得</w:t>
      </w:r>
      <w:r>
        <w:rPr>
          <w:rFonts w:hint="default" w:ascii="Times New Roman" w:hAnsi="Times New Roman" w:eastAsia="仿宋_GB2312" w:cs="Times New Roman"/>
          <w:color w:val="000000"/>
          <w:kern w:val="0"/>
          <w:sz w:val="32"/>
          <w:szCs w:val="32"/>
          <w:shd w:val="clear" w:fill="FFFFFF"/>
          <w:lang w:val="en-US" w:eastAsia="zh-CN" w:bidi="ar"/>
        </w:rPr>
        <w:t>4</w:t>
      </w:r>
      <w:r>
        <w:rPr>
          <w:rFonts w:hint="default" w:ascii="仿宋_GB2312" w:hAnsi="Times New Roman" w:eastAsia="仿宋_GB2312" w:cs="仿宋_GB2312"/>
          <w:color w:val="000000"/>
          <w:kern w:val="0"/>
          <w:sz w:val="32"/>
          <w:szCs w:val="32"/>
          <w:shd w:val="clear" w:fill="FFFFFF"/>
          <w:lang w:val="en-US" w:eastAsia="zh-CN" w:bidi="ar"/>
        </w:rPr>
        <w:t>分。</w:t>
      </w:r>
    </w:p>
    <w:p>
      <w:pPr>
        <w:keepNext w:val="0"/>
        <w:keepLines w:val="0"/>
        <w:widowControl w:val="0"/>
        <w:suppressLineNumbers w:val="0"/>
        <w:spacing w:before="0" w:beforeAutospacing="0" w:after="0" w:afterAutospacing="0" w:line="560" w:lineRule="exact"/>
        <w:ind w:left="0" w:right="0" w:firstLine="640" w:firstLineChars="200"/>
        <w:jc w:val="both"/>
        <w:outlineLvl w:val="2"/>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2</w:t>
      </w:r>
      <w:r>
        <w:rPr>
          <w:rFonts w:hint="default" w:ascii="仿宋_GB2312" w:hAnsi="Times New Roman" w:eastAsia="仿宋_GB2312" w:cs="仿宋_GB2312"/>
          <w:kern w:val="2"/>
          <w:sz w:val="32"/>
          <w:szCs w:val="32"/>
          <w:lang w:val="en-US" w:eastAsia="zh-CN" w:bidi="ar"/>
        </w:rPr>
        <w:t>）目标设置</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年我院</w:t>
      </w:r>
      <w:r>
        <w:rPr>
          <w:rFonts w:hint="default" w:ascii="仿宋_GB2312" w:hAnsi="Times New Roman" w:eastAsia="仿宋_GB2312" w:cs="仿宋_GB2312"/>
          <w:color w:val="000000"/>
          <w:kern w:val="0"/>
          <w:sz w:val="33"/>
          <w:szCs w:val="33"/>
          <w:shd w:val="clear" w:fill="FFFFFF"/>
          <w:lang w:val="en-US" w:eastAsia="zh-CN" w:bidi="ar"/>
        </w:rPr>
        <w:t>开展绩效目标管理的</w:t>
      </w:r>
      <w:r>
        <w:rPr>
          <w:rFonts w:hint="default" w:ascii="仿宋_GB2312" w:hAnsi="Times New Roman" w:eastAsia="仿宋_GB2312" w:cs="仿宋_GB2312"/>
          <w:kern w:val="2"/>
          <w:sz w:val="32"/>
          <w:szCs w:val="32"/>
          <w:lang w:val="en-US" w:eastAsia="zh-CN" w:bidi="ar"/>
        </w:rPr>
        <w:t>部门预算阶段项目（含一次性项目）共有</w:t>
      </w:r>
      <w:r>
        <w:rPr>
          <w:rFonts w:hint="default" w:ascii="Times New Roman" w:hAnsi="Times New Roman" w:eastAsia="仿宋_GB2312" w:cs="Times New Roman"/>
          <w:kern w:val="2"/>
          <w:sz w:val="32"/>
          <w:szCs w:val="32"/>
          <w:lang w:val="en-US" w:eastAsia="zh-CN" w:bidi="ar"/>
        </w:rPr>
        <w:t>4</w:t>
      </w:r>
      <w:r>
        <w:rPr>
          <w:rFonts w:hint="default" w:ascii="仿宋_GB2312" w:hAnsi="Times New Roman" w:eastAsia="仿宋_GB2312" w:cs="仿宋_GB2312"/>
          <w:kern w:val="2"/>
          <w:sz w:val="32"/>
          <w:szCs w:val="32"/>
          <w:lang w:val="en-US" w:eastAsia="zh-CN" w:bidi="ar"/>
        </w:rPr>
        <w:t>个，为充分发挥绩效目标引领作用，我院贯彻落实《中共四川省委办公厅四川省人民政府办公厅关于深入实施预算绩效管理的通知》（川委厅〔</w:t>
      </w:r>
      <w:r>
        <w:rPr>
          <w:rFonts w:hint="default" w:ascii="Times New Roman" w:hAnsi="Times New Roman" w:eastAsia="仿宋_GB2312" w:cs="Times New Roman"/>
          <w:kern w:val="2"/>
          <w:sz w:val="32"/>
          <w:szCs w:val="32"/>
          <w:lang w:val="en-US" w:eastAsia="zh-CN" w:bidi="ar"/>
        </w:rPr>
        <w:t>2021</w:t>
      </w: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5</w:t>
      </w:r>
      <w:r>
        <w:rPr>
          <w:rFonts w:hint="default" w:ascii="仿宋_GB2312" w:hAnsi="Times New Roman" w:eastAsia="仿宋_GB2312" w:cs="仿宋_GB2312"/>
          <w:kern w:val="2"/>
          <w:sz w:val="32"/>
          <w:szCs w:val="32"/>
          <w:lang w:val="en-US" w:eastAsia="zh-CN" w:bidi="ar"/>
        </w:rPr>
        <w:t>号）文件精神，根据项目实施计划等资料，及时按照指向明确、细化量化、合理可行、相应匹配的要求设定绩效目标，按照高度关联、重点突出、量化易评的要求设置绩效指标，合理确定指标值，全面反映产出、效益和成本等绩效信息，项目绩效目标设置科学合理、规范完整、量化细化、预算匹配。</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综上，根据评分标准，该项指标扣</w:t>
      </w:r>
      <w:r>
        <w:rPr>
          <w:rFonts w:hint="default" w:ascii="Times New Roman" w:hAnsi="Times New Roman" w:eastAsia="仿宋_GB2312" w:cs="Times New Roman"/>
          <w:kern w:val="2"/>
          <w:sz w:val="32"/>
          <w:szCs w:val="32"/>
          <w:lang w:val="en-US" w:eastAsia="zh-CN" w:bidi="ar"/>
        </w:rPr>
        <w:t>0</w:t>
      </w:r>
      <w:r>
        <w:rPr>
          <w:rFonts w:hint="default" w:ascii="仿宋_GB2312" w:hAnsi="Times New Roman" w:eastAsia="仿宋_GB2312" w:cs="仿宋_GB2312"/>
          <w:kern w:val="2"/>
          <w:sz w:val="32"/>
          <w:szCs w:val="32"/>
          <w:lang w:val="en-US" w:eastAsia="zh-CN" w:bidi="ar"/>
        </w:rPr>
        <w:t>分，得</w:t>
      </w:r>
      <w:r>
        <w:rPr>
          <w:rFonts w:hint="default" w:ascii="Times New Roman" w:hAnsi="Times New Roman" w:eastAsia="仿宋_GB2312" w:cs="Times New Roman"/>
          <w:kern w:val="2"/>
          <w:sz w:val="32"/>
          <w:szCs w:val="32"/>
          <w:lang w:val="en-US" w:eastAsia="zh-CN" w:bidi="ar"/>
        </w:rPr>
        <w:t>4</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spacing w:before="0" w:beforeAutospacing="0" w:after="0" w:afterAutospacing="0" w:line="560" w:lineRule="exact"/>
        <w:ind w:left="0" w:right="0" w:firstLine="640" w:firstLineChars="200"/>
        <w:jc w:val="both"/>
        <w:outlineLvl w:val="2"/>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3</w:t>
      </w:r>
      <w:r>
        <w:rPr>
          <w:rFonts w:hint="default" w:ascii="仿宋_GB2312" w:hAnsi="Times New Roman" w:eastAsia="仿宋_GB2312" w:cs="仿宋_GB2312"/>
          <w:kern w:val="2"/>
          <w:sz w:val="32"/>
          <w:szCs w:val="32"/>
          <w:lang w:val="en-US" w:eastAsia="zh-CN" w:bidi="ar"/>
        </w:rPr>
        <w:t>）项目入库</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年我院需在规定时间内进行入库的项目共有</w:t>
      </w:r>
      <w:r>
        <w:rPr>
          <w:rFonts w:hint="default" w:ascii="Times New Roman" w:hAnsi="Times New Roman" w:eastAsia="仿宋_GB2312" w:cs="Times New Roman"/>
          <w:kern w:val="2"/>
          <w:sz w:val="32"/>
          <w:szCs w:val="32"/>
          <w:lang w:val="en-US" w:eastAsia="zh-CN" w:bidi="ar"/>
        </w:rPr>
        <w:t>4</w:t>
      </w:r>
      <w:r>
        <w:rPr>
          <w:rFonts w:hint="default" w:ascii="仿宋_GB2312" w:hAnsi="Times New Roman" w:eastAsia="仿宋_GB2312" w:cs="仿宋_GB2312"/>
          <w:kern w:val="2"/>
          <w:sz w:val="32"/>
          <w:szCs w:val="32"/>
          <w:lang w:val="en-US" w:eastAsia="zh-CN" w:bidi="ar"/>
        </w:rPr>
        <w:t>个，均在规定时间内完成了项目入库。</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综上，根据评分标准，该项指标扣</w:t>
      </w:r>
      <w:r>
        <w:rPr>
          <w:rFonts w:hint="default" w:ascii="Times New Roman" w:hAnsi="Times New Roman" w:eastAsia="仿宋_GB2312" w:cs="Times New Roman"/>
          <w:kern w:val="2"/>
          <w:sz w:val="32"/>
          <w:szCs w:val="32"/>
          <w:lang w:val="en-US" w:eastAsia="zh-CN" w:bidi="ar"/>
        </w:rPr>
        <w:t>0</w:t>
      </w:r>
      <w:r>
        <w:rPr>
          <w:rFonts w:hint="default" w:ascii="仿宋_GB2312" w:hAnsi="Times New Roman" w:eastAsia="仿宋_GB2312" w:cs="仿宋_GB2312"/>
          <w:kern w:val="2"/>
          <w:sz w:val="32"/>
          <w:szCs w:val="32"/>
          <w:lang w:val="en-US" w:eastAsia="zh-CN" w:bidi="ar"/>
        </w:rPr>
        <w:t>分，得</w:t>
      </w:r>
      <w:r>
        <w:rPr>
          <w:rFonts w:hint="default" w:ascii="Times New Roman" w:hAnsi="Times New Roman" w:eastAsia="仿宋_GB2312" w:cs="Times New Roman"/>
          <w:kern w:val="2"/>
          <w:sz w:val="32"/>
          <w:szCs w:val="32"/>
          <w:lang w:val="en-US" w:eastAsia="zh-CN" w:bidi="ar"/>
        </w:rPr>
        <w:t>4</w:t>
      </w:r>
      <w:r>
        <w:rPr>
          <w:rFonts w:hint="default" w:ascii="仿宋_GB2312" w:hAnsi="Times New Roman" w:eastAsia="仿宋_GB2312" w:cs="仿宋_GB2312"/>
          <w:kern w:val="2"/>
          <w:sz w:val="32"/>
          <w:szCs w:val="32"/>
          <w:lang w:val="en-US" w:eastAsia="zh-CN" w:bidi="ar"/>
        </w:rPr>
        <w:t>分。</w:t>
      </w:r>
    </w:p>
    <w:p>
      <w:pPr>
        <w:pStyle w:val="6"/>
        <w:widowControl/>
        <w:spacing w:line="560" w:lineRule="exact"/>
        <w:ind w:left="0" w:firstLine="643" w:firstLineChars="200"/>
        <w:rPr>
          <w:rFonts w:hint="default" w:ascii="Times New Roman" w:hAnsi="Times New Roman" w:eastAsia="楷体_GB2312" w:cs="Times New Roman"/>
          <w:kern w:val="2"/>
          <w:sz w:val="32"/>
          <w:szCs w:val="32"/>
        </w:rPr>
      </w:pPr>
      <w:r>
        <w:rPr>
          <w:rFonts w:hint="default" w:ascii="Times New Roman" w:hAnsi="Times New Roman" w:eastAsia="楷体_GB2312" w:cs="Times New Roman"/>
          <w:kern w:val="2"/>
          <w:sz w:val="32"/>
          <w:szCs w:val="32"/>
        </w:rPr>
        <w:t>2.</w:t>
      </w:r>
      <w:r>
        <w:rPr>
          <w:rFonts w:hint="default" w:ascii="楷体_GB2312" w:hAnsi="Times New Roman" w:eastAsia="楷体_GB2312" w:cs="楷体_GB2312"/>
          <w:kern w:val="2"/>
          <w:sz w:val="32"/>
          <w:szCs w:val="32"/>
        </w:rPr>
        <w:t>项目执行。</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1</w:t>
      </w:r>
      <w:r>
        <w:rPr>
          <w:rFonts w:hint="default" w:ascii="仿宋_GB2312" w:hAnsi="Times New Roman" w:eastAsia="仿宋_GB2312" w:cs="仿宋_GB2312"/>
          <w:kern w:val="2"/>
          <w:sz w:val="32"/>
          <w:szCs w:val="32"/>
          <w:lang w:val="en-US" w:eastAsia="zh-CN" w:bidi="ar"/>
        </w:rPr>
        <w:t>）执行同向</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我院严格按照部门预算项目批复内容实施项目，项目资金使用符合预算批复用途，与项目绩效目标设置方向相符，没有相悖或不合理之处。</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根据评分标准，该项指标扣</w:t>
      </w:r>
      <w:r>
        <w:rPr>
          <w:rFonts w:hint="default" w:ascii="Times New Roman" w:hAnsi="Times New Roman" w:eastAsia="仿宋_GB2312" w:cs="Times New Roman"/>
          <w:kern w:val="2"/>
          <w:sz w:val="32"/>
          <w:szCs w:val="32"/>
          <w:lang w:val="en-US" w:eastAsia="zh-CN" w:bidi="ar"/>
        </w:rPr>
        <w:t>0</w:t>
      </w:r>
      <w:r>
        <w:rPr>
          <w:rFonts w:hint="default" w:ascii="仿宋_GB2312" w:hAnsi="Times New Roman" w:eastAsia="仿宋_GB2312" w:cs="仿宋_GB2312"/>
          <w:kern w:val="2"/>
          <w:sz w:val="32"/>
          <w:szCs w:val="32"/>
          <w:lang w:val="en-US" w:eastAsia="zh-CN" w:bidi="ar"/>
        </w:rPr>
        <w:t>分，得</w:t>
      </w:r>
      <w:r>
        <w:rPr>
          <w:rFonts w:hint="default" w:ascii="Times New Roman" w:hAnsi="Times New Roman" w:eastAsia="仿宋_GB2312" w:cs="Times New Roman"/>
          <w:kern w:val="2"/>
          <w:sz w:val="32"/>
          <w:szCs w:val="32"/>
          <w:lang w:val="en-US" w:eastAsia="zh-CN" w:bidi="ar"/>
        </w:rPr>
        <w:t>4</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2</w:t>
      </w:r>
      <w:r>
        <w:rPr>
          <w:rFonts w:hint="default" w:ascii="仿宋_GB2312" w:hAnsi="Times New Roman" w:eastAsia="仿宋_GB2312" w:cs="仿宋_GB2312"/>
          <w:kern w:val="2"/>
          <w:sz w:val="32"/>
          <w:szCs w:val="32"/>
          <w:lang w:val="en-US" w:eastAsia="zh-CN" w:bidi="ar"/>
        </w:rPr>
        <w:t>）项目调整</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年我院年初设置的部门预算项目绩效目标科学合理，与实际情况相符，项目实施过程规范有序，预算执行与绩效目标无偏差，故不涉及收回预算、调整目标等处置措施。</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根据评分标准，该项指标扣</w:t>
      </w:r>
      <w:r>
        <w:rPr>
          <w:rFonts w:hint="default" w:ascii="Times New Roman" w:hAnsi="Times New Roman" w:eastAsia="仿宋_GB2312" w:cs="Times New Roman"/>
          <w:kern w:val="2"/>
          <w:sz w:val="32"/>
          <w:szCs w:val="32"/>
          <w:lang w:val="en-US" w:eastAsia="zh-CN" w:bidi="ar"/>
        </w:rPr>
        <w:t>0</w:t>
      </w:r>
      <w:r>
        <w:rPr>
          <w:rFonts w:hint="default" w:ascii="仿宋_GB2312" w:hAnsi="Times New Roman" w:eastAsia="仿宋_GB2312" w:cs="仿宋_GB2312"/>
          <w:kern w:val="2"/>
          <w:sz w:val="32"/>
          <w:szCs w:val="32"/>
          <w:lang w:val="en-US" w:eastAsia="zh-CN" w:bidi="ar"/>
        </w:rPr>
        <w:t>分，得</w:t>
      </w:r>
      <w:r>
        <w:rPr>
          <w:rFonts w:hint="default" w:ascii="Times New Roman" w:hAnsi="Times New Roman" w:eastAsia="仿宋_GB2312" w:cs="Times New Roman"/>
          <w:kern w:val="2"/>
          <w:sz w:val="32"/>
          <w:szCs w:val="32"/>
          <w:lang w:val="en-US" w:eastAsia="zh-CN" w:bidi="ar"/>
        </w:rPr>
        <w:t>4</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3</w:t>
      </w:r>
      <w:r>
        <w:rPr>
          <w:rFonts w:hint="default" w:ascii="仿宋_GB2312" w:hAnsi="Times New Roman" w:eastAsia="仿宋_GB2312" w:cs="仿宋_GB2312"/>
          <w:kern w:val="2"/>
          <w:sz w:val="32"/>
          <w:szCs w:val="32"/>
          <w:lang w:val="en-US" w:eastAsia="zh-CN" w:bidi="ar"/>
        </w:rPr>
        <w:t>）执行结果</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年我院常年项目共计</w:t>
      </w:r>
      <w:r>
        <w:rPr>
          <w:rFonts w:hint="default" w:ascii="Times New Roman" w:hAnsi="Times New Roman" w:eastAsia="仿宋_GB2312" w:cs="Times New Roman"/>
          <w:kern w:val="2"/>
          <w:sz w:val="32"/>
          <w:szCs w:val="32"/>
          <w:lang w:val="en-US" w:eastAsia="zh-CN" w:bidi="ar"/>
        </w:rPr>
        <w:t>2</w:t>
      </w:r>
      <w:r>
        <w:rPr>
          <w:rFonts w:hint="default" w:ascii="仿宋_GB2312" w:hAnsi="Times New Roman" w:eastAsia="仿宋_GB2312" w:cs="仿宋_GB2312"/>
          <w:kern w:val="2"/>
          <w:sz w:val="32"/>
          <w:szCs w:val="32"/>
          <w:lang w:val="en-US" w:eastAsia="zh-CN" w:bidi="ar"/>
        </w:rPr>
        <w:t>个，其中预算结余率小于</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的项目共计</w:t>
      </w:r>
      <w:r>
        <w:rPr>
          <w:rFonts w:hint="default" w:ascii="Times New Roman" w:hAnsi="Times New Roman" w:eastAsia="仿宋_GB2312" w:cs="Times New Roman"/>
          <w:kern w:val="2"/>
          <w:sz w:val="32"/>
          <w:szCs w:val="32"/>
          <w:lang w:val="en-US" w:eastAsia="zh-CN" w:bidi="ar"/>
        </w:rPr>
        <w:t>0</w:t>
      </w:r>
      <w:r>
        <w:rPr>
          <w:rFonts w:hint="default" w:ascii="仿宋_GB2312" w:hAnsi="Times New Roman" w:eastAsia="仿宋_GB2312" w:cs="仿宋_GB2312"/>
          <w:kern w:val="2"/>
          <w:sz w:val="32"/>
          <w:szCs w:val="32"/>
          <w:lang w:val="en-US" w:eastAsia="zh-CN" w:bidi="ar"/>
        </w:rPr>
        <w:t>个；阶段（一次性）项目共计</w:t>
      </w:r>
      <w:r>
        <w:rPr>
          <w:rFonts w:hint="default" w:ascii="Times New Roman" w:hAnsi="Times New Roman" w:eastAsia="仿宋_GB2312" w:cs="Times New Roman"/>
          <w:kern w:val="2"/>
          <w:sz w:val="32"/>
          <w:szCs w:val="32"/>
          <w:lang w:val="en-US" w:eastAsia="zh-CN" w:bidi="ar"/>
        </w:rPr>
        <w:t>2</w:t>
      </w:r>
      <w:r>
        <w:rPr>
          <w:rFonts w:hint="default" w:ascii="仿宋_GB2312" w:hAnsi="Times New Roman" w:eastAsia="仿宋_GB2312" w:cs="仿宋_GB2312"/>
          <w:kern w:val="2"/>
          <w:sz w:val="32"/>
          <w:szCs w:val="32"/>
          <w:lang w:val="en-US" w:eastAsia="zh-CN" w:bidi="ar"/>
        </w:rPr>
        <w:t>个，其中预算结余率小于</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的项目共计</w:t>
      </w:r>
      <w:r>
        <w:rPr>
          <w:rFonts w:hint="default" w:ascii="Times New Roman" w:hAnsi="Times New Roman" w:eastAsia="仿宋_GB2312" w:cs="Times New Roman"/>
          <w:kern w:val="2"/>
          <w:sz w:val="32"/>
          <w:szCs w:val="32"/>
          <w:lang w:val="en-US" w:eastAsia="zh-CN" w:bidi="ar"/>
        </w:rPr>
        <w:t>0</w:t>
      </w:r>
      <w:r>
        <w:rPr>
          <w:rFonts w:hint="default" w:ascii="仿宋_GB2312" w:hAnsi="Times New Roman" w:eastAsia="仿宋_GB2312" w:cs="仿宋_GB2312"/>
          <w:kern w:val="2"/>
          <w:sz w:val="32"/>
          <w:szCs w:val="32"/>
          <w:lang w:val="en-US" w:eastAsia="zh-CN" w:bidi="ar"/>
        </w:rPr>
        <w:t>个。该项指标得分</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预算结余率小于</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的常年项目数量</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部门预算常年项目总数</w:t>
      </w:r>
      <w:r>
        <w:rPr>
          <w:rFonts w:hint="default" w:ascii="Times New Roman" w:hAnsi="Times New Roman" w:eastAsia="仿宋_GB2312" w:cs="Times New Roman"/>
          <w:kern w:val="2"/>
          <w:sz w:val="32"/>
          <w:szCs w:val="32"/>
          <w:lang w:val="en-US" w:eastAsia="zh-CN" w:bidi="ar"/>
        </w:rPr>
        <w:t>×100%×2+</w:t>
      </w:r>
      <w:r>
        <w:rPr>
          <w:rFonts w:hint="default" w:ascii="仿宋_GB2312" w:hAnsi="Times New Roman" w:eastAsia="仿宋_GB2312" w:cs="仿宋_GB2312"/>
          <w:kern w:val="2"/>
          <w:sz w:val="32"/>
          <w:szCs w:val="32"/>
          <w:lang w:val="en-US" w:eastAsia="zh-CN" w:bidi="ar"/>
        </w:rPr>
        <w:t>预算结余率小于</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的一次性项目和阶段项目数量</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部门预算一次性项目和阶段项目总数</w:t>
      </w:r>
      <w:r>
        <w:rPr>
          <w:rFonts w:hint="default" w:ascii="Times New Roman" w:hAnsi="Times New Roman" w:eastAsia="仿宋_GB2312" w:cs="Times New Roman"/>
          <w:kern w:val="2"/>
          <w:sz w:val="32"/>
          <w:szCs w:val="32"/>
          <w:lang w:val="en-US" w:eastAsia="zh-CN" w:bidi="ar"/>
        </w:rPr>
        <w:t>×100%×2=2+2=4</w:t>
      </w:r>
      <w:r>
        <w:rPr>
          <w:rFonts w:hint="default" w:ascii="仿宋_GB2312" w:hAnsi="Times New Roman" w:eastAsia="仿宋_GB2312" w:cs="仿宋_GB2312"/>
          <w:kern w:val="2"/>
          <w:sz w:val="32"/>
          <w:szCs w:val="32"/>
          <w:lang w:val="en-US" w:eastAsia="zh-CN" w:bidi="ar"/>
        </w:rPr>
        <w:t>。</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综上，根据评分标准，该项指标得</w:t>
      </w:r>
      <w:r>
        <w:rPr>
          <w:rFonts w:hint="default" w:ascii="Times New Roman" w:hAnsi="Times New Roman" w:eastAsia="仿宋_GB2312" w:cs="Times New Roman"/>
          <w:kern w:val="2"/>
          <w:sz w:val="32"/>
          <w:szCs w:val="32"/>
          <w:lang w:val="en-US" w:eastAsia="zh-CN" w:bidi="ar"/>
        </w:rPr>
        <w:t>4</w:t>
      </w:r>
      <w:r>
        <w:rPr>
          <w:rFonts w:hint="default" w:ascii="仿宋_GB2312" w:hAnsi="Times New Roman" w:eastAsia="仿宋_GB2312" w:cs="仿宋_GB2312"/>
          <w:kern w:val="2"/>
          <w:sz w:val="32"/>
          <w:szCs w:val="32"/>
          <w:lang w:val="en-US" w:eastAsia="zh-CN" w:bidi="ar"/>
        </w:rPr>
        <w:t>分。</w:t>
      </w:r>
    </w:p>
    <w:p>
      <w:pPr>
        <w:pStyle w:val="6"/>
        <w:widowControl/>
        <w:spacing w:line="560" w:lineRule="exact"/>
        <w:ind w:left="0" w:firstLine="643" w:firstLineChars="200"/>
        <w:rPr>
          <w:rFonts w:hint="default" w:ascii="Times New Roman" w:hAnsi="Times New Roman" w:eastAsia="楷体_GB2312" w:cs="Times New Roman"/>
          <w:kern w:val="2"/>
          <w:sz w:val="32"/>
          <w:szCs w:val="32"/>
        </w:rPr>
      </w:pPr>
      <w:r>
        <w:rPr>
          <w:rFonts w:hint="default" w:ascii="Times New Roman" w:hAnsi="Times New Roman" w:eastAsia="楷体_GB2312" w:cs="Times New Roman"/>
          <w:kern w:val="2"/>
          <w:sz w:val="32"/>
          <w:szCs w:val="32"/>
        </w:rPr>
        <w:t>3.</w:t>
      </w:r>
      <w:r>
        <w:rPr>
          <w:rFonts w:hint="default" w:ascii="楷体_GB2312" w:hAnsi="Times New Roman" w:eastAsia="楷体_GB2312" w:cs="楷体_GB2312"/>
          <w:kern w:val="2"/>
          <w:sz w:val="32"/>
          <w:szCs w:val="32"/>
        </w:rPr>
        <w:t>目标实现。</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我院</w:t>
      </w: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年度不涉及国有资本经营预算、社会保险基金预算。部门预算项目实现情况如下：</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1</w:t>
      </w:r>
      <w:r>
        <w:rPr>
          <w:rFonts w:hint="default" w:ascii="仿宋_GB2312" w:hAnsi="Times New Roman" w:eastAsia="仿宋_GB2312" w:cs="仿宋_GB2312"/>
          <w:kern w:val="2"/>
          <w:sz w:val="32"/>
          <w:szCs w:val="32"/>
          <w:lang w:val="en-US" w:eastAsia="zh-CN" w:bidi="ar"/>
        </w:rPr>
        <w:t>）目标完成</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年部门预算阶段项目（含一次性项目）共</w:t>
      </w:r>
      <w:r>
        <w:rPr>
          <w:rFonts w:hint="default" w:ascii="Times New Roman" w:hAnsi="Times New Roman" w:eastAsia="仿宋_GB2312" w:cs="Times New Roman"/>
          <w:kern w:val="2"/>
          <w:sz w:val="32"/>
          <w:szCs w:val="32"/>
          <w:lang w:val="en-US" w:eastAsia="zh-CN" w:bidi="ar"/>
        </w:rPr>
        <w:t>2</w:t>
      </w:r>
      <w:r>
        <w:rPr>
          <w:rFonts w:hint="default" w:ascii="仿宋_GB2312" w:hAnsi="Times New Roman" w:eastAsia="仿宋_GB2312" w:cs="仿宋_GB2312"/>
          <w:kern w:val="2"/>
          <w:sz w:val="32"/>
          <w:szCs w:val="32"/>
          <w:lang w:val="en-US" w:eastAsia="zh-CN" w:bidi="ar"/>
        </w:rPr>
        <w:t>个，我院对照预期设定的绩效目标实施项目，各项目数量指标均已完成。</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综上，根据评分标准，该项指标扣</w:t>
      </w:r>
      <w:r>
        <w:rPr>
          <w:rFonts w:hint="default" w:ascii="Times New Roman" w:hAnsi="Times New Roman" w:eastAsia="仿宋_GB2312" w:cs="Times New Roman"/>
          <w:kern w:val="2"/>
          <w:sz w:val="32"/>
          <w:szCs w:val="32"/>
          <w:lang w:val="en-US" w:eastAsia="zh-CN" w:bidi="ar"/>
        </w:rPr>
        <w:t>0</w:t>
      </w:r>
      <w:r>
        <w:rPr>
          <w:rFonts w:hint="default" w:ascii="仿宋_GB2312" w:hAnsi="Times New Roman" w:eastAsia="仿宋_GB2312" w:cs="仿宋_GB2312"/>
          <w:kern w:val="2"/>
          <w:sz w:val="32"/>
          <w:szCs w:val="32"/>
          <w:lang w:val="en-US" w:eastAsia="zh-CN" w:bidi="ar"/>
        </w:rPr>
        <w:t>分，得</w:t>
      </w:r>
      <w:r>
        <w:rPr>
          <w:rFonts w:hint="default" w:ascii="Times New Roman" w:hAnsi="Times New Roman" w:eastAsia="仿宋_GB2312" w:cs="Times New Roman"/>
          <w:kern w:val="2"/>
          <w:sz w:val="32"/>
          <w:szCs w:val="32"/>
          <w:lang w:val="en-US" w:eastAsia="zh-CN" w:bidi="ar"/>
        </w:rPr>
        <w:t>4</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2</w:t>
      </w:r>
      <w:r>
        <w:rPr>
          <w:rFonts w:hint="default" w:ascii="仿宋_GB2312" w:hAnsi="Times New Roman" w:eastAsia="仿宋_GB2312" w:cs="仿宋_GB2312"/>
          <w:kern w:val="2"/>
          <w:sz w:val="32"/>
          <w:szCs w:val="32"/>
          <w:lang w:val="en-US" w:eastAsia="zh-CN" w:bidi="ar"/>
        </w:rPr>
        <w:t>）目标偏离</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年我院部门预算阶段项目（含一次性项目）共有</w:t>
      </w:r>
      <w:r>
        <w:rPr>
          <w:rFonts w:hint="default" w:ascii="Times New Roman" w:hAnsi="Times New Roman" w:eastAsia="仿宋_GB2312" w:cs="Times New Roman"/>
          <w:kern w:val="2"/>
          <w:sz w:val="32"/>
          <w:szCs w:val="32"/>
          <w:lang w:val="en-US" w:eastAsia="zh-CN" w:bidi="ar"/>
        </w:rPr>
        <w:t>2</w:t>
      </w:r>
      <w:r>
        <w:rPr>
          <w:rFonts w:hint="default" w:ascii="仿宋_GB2312" w:hAnsi="Times New Roman" w:eastAsia="仿宋_GB2312" w:cs="仿宋_GB2312"/>
          <w:kern w:val="2"/>
          <w:sz w:val="32"/>
          <w:szCs w:val="32"/>
          <w:lang w:val="en-US" w:eastAsia="zh-CN" w:bidi="ar"/>
        </w:rPr>
        <w:t>个，各项目数量指标的完成值与设定预期指标值的偏离度均在</w:t>
      </w:r>
      <w:r>
        <w:rPr>
          <w:rFonts w:hint="default" w:ascii="Times New Roman" w:hAnsi="Times New Roman" w:eastAsia="仿宋_GB2312" w:cs="Times New Roman"/>
          <w:kern w:val="2"/>
          <w:sz w:val="32"/>
          <w:szCs w:val="32"/>
          <w:lang w:val="en-US" w:eastAsia="zh-CN" w:bidi="ar"/>
        </w:rPr>
        <w:t>30%</w:t>
      </w:r>
      <w:r>
        <w:rPr>
          <w:rFonts w:hint="default" w:ascii="仿宋_GB2312" w:hAnsi="Times New Roman" w:eastAsia="仿宋_GB2312" w:cs="仿宋_GB2312"/>
          <w:kern w:val="2"/>
          <w:sz w:val="32"/>
          <w:szCs w:val="32"/>
          <w:lang w:val="en-US" w:eastAsia="zh-CN" w:bidi="ar"/>
        </w:rPr>
        <w:t>以内。</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综上，根据评分标准，该项指标扣</w:t>
      </w:r>
      <w:r>
        <w:rPr>
          <w:rFonts w:hint="default" w:ascii="Times New Roman" w:hAnsi="Times New Roman" w:eastAsia="仿宋_GB2312" w:cs="Times New Roman"/>
          <w:kern w:val="2"/>
          <w:sz w:val="32"/>
          <w:szCs w:val="32"/>
          <w:lang w:val="en-US" w:eastAsia="zh-CN" w:bidi="ar"/>
        </w:rPr>
        <w:t>0</w:t>
      </w:r>
      <w:r>
        <w:rPr>
          <w:rFonts w:hint="default" w:ascii="仿宋_GB2312" w:hAnsi="Times New Roman" w:eastAsia="仿宋_GB2312" w:cs="仿宋_GB2312"/>
          <w:kern w:val="2"/>
          <w:sz w:val="32"/>
          <w:szCs w:val="32"/>
          <w:lang w:val="en-US" w:eastAsia="zh-CN" w:bidi="ar"/>
        </w:rPr>
        <w:t>分，得</w:t>
      </w:r>
      <w:r>
        <w:rPr>
          <w:rFonts w:hint="default" w:ascii="Times New Roman" w:hAnsi="Times New Roman" w:eastAsia="仿宋_GB2312" w:cs="Times New Roman"/>
          <w:kern w:val="2"/>
          <w:sz w:val="32"/>
          <w:szCs w:val="32"/>
          <w:lang w:val="en-US" w:eastAsia="zh-CN" w:bidi="ar"/>
        </w:rPr>
        <w:t>4</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3</w:t>
      </w:r>
      <w:r>
        <w:rPr>
          <w:rFonts w:hint="default" w:ascii="仿宋_GB2312" w:hAnsi="Times New Roman" w:eastAsia="仿宋_GB2312" w:cs="仿宋_GB2312"/>
          <w:kern w:val="2"/>
          <w:sz w:val="32"/>
          <w:szCs w:val="32"/>
          <w:lang w:val="en-US" w:eastAsia="zh-CN" w:bidi="ar"/>
        </w:rPr>
        <w:t>）实现效果</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年我院需进行绩效目标管理的部门预算阶段项目共有</w:t>
      </w:r>
      <w:r>
        <w:rPr>
          <w:rFonts w:hint="default" w:ascii="Times New Roman" w:hAnsi="Times New Roman" w:eastAsia="仿宋_GB2312" w:cs="Times New Roman"/>
          <w:kern w:val="2"/>
          <w:sz w:val="32"/>
          <w:szCs w:val="32"/>
          <w:lang w:val="en-US" w:eastAsia="zh-CN" w:bidi="ar"/>
        </w:rPr>
        <w:t>4</w:t>
      </w:r>
      <w:r>
        <w:rPr>
          <w:rFonts w:hint="default" w:ascii="仿宋_GB2312" w:hAnsi="Times New Roman" w:eastAsia="仿宋_GB2312" w:cs="仿宋_GB2312"/>
          <w:kern w:val="2"/>
          <w:sz w:val="32"/>
          <w:szCs w:val="32"/>
          <w:lang w:val="en-US" w:eastAsia="zh-CN" w:bidi="ar"/>
        </w:rPr>
        <w:t>个，各项目实施情况良好，预期效益指标均已完成。</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contextualSpacing/>
        <w:jc w:val="left"/>
        <w:rPr>
          <w:rFonts w:hint="default" w:ascii="Times New Roman" w:hAnsi="Times New Roman" w:eastAsia="楷体_GB2312" w:cs="Times New Roman"/>
          <w:color w:val="000000"/>
          <w:kern w:val="0"/>
          <w:sz w:val="32"/>
          <w:szCs w:val="32"/>
          <w:shd w:val="clear" w:fill="FFFFFF"/>
        </w:rPr>
      </w:pPr>
      <w:r>
        <w:rPr>
          <w:rFonts w:hint="default" w:ascii="仿宋_GB2312" w:hAnsi="Times New Roman" w:eastAsia="仿宋_GB2312" w:cs="仿宋_GB2312"/>
          <w:kern w:val="2"/>
          <w:sz w:val="32"/>
          <w:szCs w:val="32"/>
          <w:lang w:val="en-US" w:eastAsia="zh-CN" w:bidi="ar"/>
        </w:rPr>
        <w:t>综上，根据评分标准，该项指标扣</w:t>
      </w:r>
      <w:r>
        <w:rPr>
          <w:rFonts w:hint="default" w:ascii="Times New Roman" w:hAnsi="Times New Roman" w:eastAsia="仿宋_GB2312" w:cs="Times New Roman"/>
          <w:kern w:val="2"/>
          <w:sz w:val="32"/>
          <w:szCs w:val="32"/>
          <w:lang w:val="en-US" w:eastAsia="zh-CN" w:bidi="ar"/>
        </w:rPr>
        <w:t>0</w:t>
      </w:r>
      <w:r>
        <w:rPr>
          <w:rFonts w:hint="default" w:ascii="仿宋_GB2312" w:hAnsi="Times New Roman" w:eastAsia="仿宋_GB2312" w:cs="仿宋_GB2312"/>
          <w:kern w:val="2"/>
          <w:sz w:val="32"/>
          <w:szCs w:val="32"/>
          <w:lang w:val="en-US" w:eastAsia="zh-CN" w:bidi="ar"/>
        </w:rPr>
        <w:t>分，得</w:t>
      </w:r>
      <w:r>
        <w:rPr>
          <w:rFonts w:hint="default" w:ascii="Times New Roman" w:hAnsi="Times New Roman" w:eastAsia="仿宋_GB2312" w:cs="Times New Roman"/>
          <w:kern w:val="2"/>
          <w:sz w:val="32"/>
          <w:szCs w:val="32"/>
          <w:lang w:val="en-US" w:eastAsia="zh-CN" w:bidi="ar"/>
        </w:rPr>
        <w:t>3</w:t>
      </w:r>
      <w:r>
        <w:rPr>
          <w:rFonts w:hint="default" w:ascii="仿宋_GB2312" w:hAnsi="Times New Roman" w:eastAsia="仿宋_GB2312" w:cs="仿宋_GB2312"/>
          <w:kern w:val="2"/>
          <w:sz w:val="32"/>
          <w:szCs w:val="32"/>
          <w:lang w:val="en-US" w:eastAsia="zh-CN" w:bidi="ar"/>
        </w:rPr>
        <w:t>分。</w:t>
      </w:r>
    </w:p>
    <w:p>
      <w:pPr>
        <w:keepNext w:val="0"/>
        <w:keepLines w:val="0"/>
        <w:widowControl/>
        <w:numPr>
          <w:ilvl w:val="0"/>
          <w:numId w:val="3"/>
        </w:numPr>
        <w:suppressLineNumbers w:val="0"/>
        <w:adjustRightInd w:val="0"/>
        <w:snapToGrid w:val="0"/>
        <w:spacing w:before="0" w:beforeAutospacing="0" w:after="0" w:afterAutospacing="0" w:line="580" w:lineRule="exact"/>
        <w:ind w:left="0" w:right="0" w:firstLine="643" w:firstLineChars="200"/>
        <w:contextualSpacing/>
        <w:jc w:val="left"/>
        <w:rPr>
          <w:rFonts w:hint="default" w:ascii="Times New Roman" w:hAnsi="Times New Roman" w:eastAsia="楷体_GB2312" w:cs="Times New Roman"/>
          <w:b/>
          <w:bCs/>
          <w:kern w:val="2"/>
          <w:sz w:val="32"/>
          <w:szCs w:val="32"/>
        </w:rPr>
      </w:pPr>
      <w:r>
        <w:rPr>
          <w:rFonts w:hint="default" w:ascii="楷体_GB2312" w:hAnsi="Times New Roman" w:eastAsia="楷体_GB2312" w:cs="楷体_GB2312"/>
          <w:b/>
          <w:bCs/>
          <w:kern w:val="2"/>
          <w:sz w:val="32"/>
          <w:szCs w:val="32"/>
          <w:lang w:val="en-US" w:eastAsia="zh-CN" w:bidi="ar"/>
        </w:rPr>
        <w:t>绩效结果应用情况。</w:t>
      </w:r>
    </w:p>
    <w:p>
      <w:pPr>
        <w:keepNext w:val="0"/>
        <w:keepLines w:val="0"/>
        <w:widowControl/>
        <w:suppressLineNumbers w:val="0"/>
        <w:adjustRightInd w:val="0"/>
        <w:snapToGrid w:val="0"/>
        <w:spacing w:before="0" w:beforeAutospacing="0" w:after="0" w:afterAutospacing="0" w:line="560" w:lineRule="exact"/>
        <w:ind w:left="0" w:right="0" w:firstLine="640" w:firstLineChars="200"/>
        <w:contextualSpacing/>
        <w:jc w:val="left"/>
        <w:rPr>
          <w:rFonts w:hint="default" w:ascii="Times New Roman" w:hAnsi="Times New Roman" w:eastAsia="仿宋_GB2312" w:cs="Times New Roman"/>
          <w:b/>
          <w:bCs w:val="0"/>
          <w:kern w:val="2"/>
          <w:sz w:val="32"/>
          <w:szCs w:val="32"/>
        </w:rPr>
      </w:pPr>
      <w:r>
        <w:rPr>
          <w:rFonts w:hint="default" w:ascii="仿宋_GB2312" w:hAnsi="Times New Roman" w:eastAsia="仿宋_GB2312" w:cs="仿宋_GB2312"/>
          <w:color w:val="000000"/>
          <w:kern w:val="0"/>
          <w:sz w:val="32"/>
          <w:szCs w:val="32"/>
          <w:shd w:val="clear" w:fill="FFFFFF"/>
          <w:lang w:val="en-US" w:eastAsia="zh-CN" w:bidi="ar"/>
        </w:rPr>
        <w:t>2025年我院共实现政法专项转移支付资金支出432.53万元，主要用于办案装备购置及办案业务经费支出。2025年共受理各类案件895件，审（执）结857件，结案率95.75%。其中，刑事案件49件，审结49件，结案率为100%；民商事案件584件，审结569件，结案率97.43%；其他案件37件，审结36件，结案率97.29%；执行案件218件，执结197件，执结率90.37%;行政争议案件7件，审结6件，结案率为85.71%。</w:t>
      </w:r>
    </w:p>
    <w:p>
      <w:pPr>
        <w:keepNext w:val="0"/>
        <w:keepLines w:val="0"/>
        <w:widowControl/>
        <w:suppressLineNumbers w:val="0"/>
        <w:adjustRightInd w:val="0"/>
        <w:snapToGrid w:val="0"/>
        <w:spacing w:before="0" w:beforeAutospacing="0" w:after="0" w:afterAutospacing="0" w:line="578" w:lineRule="exact"/>
        <w:ind w:left="0" w:right="0" w:firstLine="640" w:firstLineChars="200"/>
        <w:contextualSpacing/>
        <w:jc w:val="left"/>
        <w:rPr>
          <w:rFonts w:hint="default" w:ascii="Times New Roman" w:hAnsi="Times New Roman" w:eastAsia="黑体" w:cs="Times New Roman"/>
          <w:color w:val="000000"/>
          <w:kern w:val="0"/>
          <w:sz w:val="32"/>
          <w:szCs w:val="32"/>
          <w:shd w:val="clear" w:fill="FFFFFF"/>
        </w:rPr>
      </w:pPr>
      <w:r>
        <w:rPr>
          <w:rFonts w:hint="default" w:ascii="黑体" w:hAnsi="宋体" w:eastAsia="黑体" w:cs="黑体"/>
          <w:color w:val="000000"/>
          <w:kern w:val="0"/>
          <w:sz w:val="32"/>
          <w:szCs w:val="32"/>
          <w:shd w:val="clear" w:fill="FFFFFF"/>
          <w:lang w:val="en-US" w:eastAsia="zh-CN" w:bidi="ar"/>
        </w:rPr>
        <w:t>四、评价结论及建议</w:t>
      </w:r>
    </w:p>
    <w:p>
      <w:pPr>
        <w:keepNext w:val="0"/>
        <w:keepLines w:val="0"/>
        <w:widowControl w:val="0"/>
        <w:suppressLineNumbers w:val="0"/>
        <w:spacing w:before="0" w:beforeAutospacing="0" w:after="0" w:afterAutospacing="0" w:line="600" w:lineRule="exact"/>
        <w:ind w:left="0" w:right="0" w:firstLine="643" w:firstLineChars="200"/>
        <w:jc w:val="both"/>
        <w:rPr>
          <w:rFonts w:hint="default" w:ascii="仿宋_GB2312" w:eastAsia="仿宋_GB2312" w:cs="仿宋_GB2312"/>
          <w:bCs/>
          <w:kern w:val="2"/>
          <w:sz w:val="32"/>
          <w:szCs w:val="32"/>
        </w:rPr>
      </w:pPr>
      <w:r>
        <w:rPr>
          <w:rFonts w:hint="default" w:ascii="楷体_GB2312" w:hAnsi="Times New Roman" w:eastAsia="楷体_GB2312" w:cs="楷体_GB2312"/>
          <w:b/>
          <w:bCs/>
          <w:color w:val="000000"/>
          <w:kern w:val="0"/>
          <w:sz w:val="32"/>
          <w:szCs w:val="32"/>
          <w:shd w:val="clear" w:fill="FFFFFF"/>
          <w:lang w:val="en-US" w:eastAsia="zh-CN" w:bidi="ar"/>
        </w:rPr>
        <w:t>（一）评价结论。</w:t>
      </w:r>
      <w:r>
        <w:rPr>
          <w:rFonts w:hint="default" w:ascii="仿宋_GB2312" w:hAnsi="Times New Roman" w:eastAsia="仿宋_GB2312" w:cs="仿宋_GB2312"/>
          <w:bCs/>
          <w:kern w:val="2"/>
          <w:sz w:val="32"/>
          <w:szCs w:val="32"/>
          <w:lang w:val="en-US" w:eastAsia="zh-CN" w:bidi="ar"/>
        </w:rPr>
        <w:t>近年来在马尔康市人民法院不断加强和规范财务管理，建立健全中央政法转移支付资金管理制度，有效提高资金使用效益，切实保障依法履行审判职能并顺利完成各项工作任务。</w:t>
      </w:r>
    </w:p>
    <w:p>
      <w:pPr>
        <w:keepNext w:val="0"/>
        <w:keepLines w:val="0"/>
        <w:widowControl w:val="0"/>
        <w:suppressLineNumbers w:val="0"/>
        <w:spacing w:before="0" w:beforeAutospacing="0" w:after="0" w:afterAutospacing="0" w:line="600" w:lineRule="exact"/>
        <w:ind w:left="0" w:right="0" w:firstLine="640" w:firstLineChars="200"/>
        <w:jc w:val="both"/>
        <w:rPr>
          <w:rFonts w:hint="default" w:ascii="仿宋_GB2312" w:eastAsia="仿宋_GB2312" w:cs="仿宋_GB2312"/>
          <w:bCs/>
          <w:kern w:val="2"/>
          <w:sz w:val="32"/>
          <w:szCs w:val="32"/>
        </w:rPr>
      </w:pPr>
      <w:r>
        <w:rPr>
          <w:rFonts w:hint="default" w:ascii="仿宋_GB2312" w:hAnsi="Times New Roman" w:eastAsia="仿宋_GB2312" w:cs="仿宋_GB2312"/>
          <w:bCs/>
          <w:kern w:val="2"/>
          <w:sz w:val="32"/>
          <w:szCs w:val="32"/>
          <w:lang w:val="en-US" w:eastAsia="zh-CN" w:bidi="ar"/>
        </w:rPr>
        <w:t>1.全力维护社会稳定，严厉打击犯罪，维护社会安全。依法严惩辖区内高发频发的盗窃罪、故意伤害罪等侵犯公民人身财产安全犯罪，维护社会治安持续平稳全力化解社会矛盾。</w:t>
      </w:r>
    </w:p>
    <w:p>
      <w:pPr>
        <w:keepNext w:val="0"/>
        <w:keepLines w:val="0"/>
        <w:widowControl w:val="0"/>
        <w:suppressLineNumbers w:val="0"/>
        <w:spacing w:before="0" w:beforeAutospacing="0" w:after="0" w:afterAutospacing="0" w:line="600" w:lineRule="exact"/>
        <w:ind w:left="0" w:right="0" w:firstLine="640" w:firstLineChars="200"/>
        <w:jc w:val="both"/>
        <w:rPr>
          <w:rFonts w:hint="default" w:ascii="仿宋_GB2312" w:eastAsia="仿宋_GB2312" w:cs="仿宋_GB2312"/>
          <w:bCs/>
          <w:kern w:val="2"/>
          <w:sz w:val="32"/>
          <w:szCs w:val="32"/>
        </w:rPr>
      </w:pPr>
      <w:r>
        <w:rPr>
          <w:rFonts w:hint="default" w:ascii="仿宋_GB2312" w:hAnsi="Times New Roman" w:eastAsia="仿宋_GB2312" w:cs="仿宋_GB2312"/>
          <w:bCs/>
          <w:kern w:val="2"/>
          <w:sz w:val="32"/>
          <w:szCs w:val="32"/>
          <w:lang w:val="en-US" w:eastAsia="zh-CN" w:bidi="ar"/>
        </w:rPr>
        <w:t>2.积极关注民生问题，及时审理婚姻家庭纠纷案件，保障妇女儿童的合法权益，促进家庭和谐稳定；及时审理机动车交通事故责任纠纷，充分保护受害人权益；及时审理劳务合同纠纷，依法确认农民工工资，构建和谐劳动关系全力助推依法行政。</w:t>
      </w:r>
    </w:p>
    <w:p>
      <w:pPr>
        <w:keepNext w:val="0"/>
        <w:keepLines w:val="0"/>
        <w:widowControl w:val="0"/>
        <w:suppressLineNumbers w:val="0"/>
        <w:spacing w:before="0" w:beforeAutospacing="0" w:after="0" w:afterAutospacing="0" w:line="600" w:lineRule="exact"/>
        <w:ind w:left="0" w:right="0" w:firstLine="640" w:firstLineChars="200"/>
        <w:jc w:val="both"/>
        <w:rPr>
          <w:rFonts w:hint="default" w:ascii="仿宋_GB2312" w:eastAsia="仿宋_GB2312" w:cs="仿宋_GB2312"/>
          <w:bCs/>
          <w:kern w:val="2"/>
          <w:sz w:val="32"/>
          <w:szCs w:val="32"/>
        </w:rPr>
      </w:pPr>
      <w:r>
        <w:rPr>
          <w:rFonts w:hint="default" w:ascii="仿宋_GB2312" w:hAnsi="Times New Roman" w:eastAsia="仿宋_GB2312" w:cs="仿宋_GB2312"/>
          <w:bCs/>
          <w:kern w:val="2"/>
          <w:sz w:val="32"/>
          <w:szCs w:val="32"/>
          <w:lang w:val="en-US" w:eastAsia="zh-CN" w:bidi="ar"/>
        </w:rPr>
        <w:t>3.坚决推行行政案件立案双审制，及时对行政相对人释明法律规定、明确诉讼请求，保障行政相对人权益。</w:t>
      </w:r>
    </w:p>
    <w:p>
      <w:pPr>
        <w:keepNext w:val="0"/>
        <w:keepLines w:val="0"/>
        <w:widowControl w:val="0"/>
        <w:suppressLineNumbers w:val="0"/>
        <w:spacing w:before="0" w:beforeAutospacing="0" w:after="0" w:afterAutospacing="0" w:line="600" w:lineRule="exact"/>
        <w:ind w:left="0" w:right="0" w:firstLine="640" w:firstLineChars="200"/>
        <w:jc w:val="both"/>
        <w:rPr>
          <w:rFonts w:hint="default" w:ascii="Times New Roman" w:hAnsi="Times New Roman" w:eastAsia="楷体_GB2312" w:cs="Times New Roman"/>
          <w:b/>
          <w:bCs/>
          <w:color w:val="000000"/>
          <w:kern w:val="0"/>
          <w:sz w:val="32"/>
          <w:szCs w:val="32"/>
          <w:shd w:val="clear" w:fill="FFFFFF"/>
        </w:rPr>
      </w:pPr>
      <w:r>
        <w:rPr>
          <w:rFonts w:hint="default" w:ascii="仿宋_GB2312" w:hAnsi="Times New Roman" w:eastAsia="仿宋_GB2312" w:cs="仿宋_GB2312"/>
          <w:bCs/>
          <w:kern w:val="2"/>
          <w:sz w:val="32"/>
          <w:szCs w:val="32"/>
          <w:lang w:val="en-US" w:eastAsia="zh-CN" w:bidi="ar"/>
        </w:rPr>
        <w:t>4.是全力提升执行水平，以扎实推进“切实解决执行难”为契机，提高整体执行水平。</w:t>
      </w:r>
    </w:p>
    <w:p>
      <w:pPr>
        <w:keepNext w:val="0"/>
        <w:keepLines w:val="0"/>
        <w:widowControl w:val="0"/>
        <w:suppressLineNumbers w:val="0"/>
        <w:spacing w:before="0" w:beforeAutospacing="0" w:after="0" w:afterAutospacing="0" w:line="600" w:lineRule="exact"/>
        <w:ind w:left="0" w:right="0" w:firstLine="643" w:firstLineChars="200"/>
        <w:jc w:val="both"/>
        <w:rPr>
          <w:rFonts w:hint="default" w:ascii="楷体_GB2312" w:hAnsi="Times New Roman" w:eastAsia="楷体_GB2312" w:cs="楷体_GB2312"/>
          <w:b/>
          <w:bCs/>
          <w:color w:val="000000"/>
          <w:kern w:val="0"/>
          <w:sz w:val="32"/>
          <w:szCs w:val="32"/>
          <w:shd w:val="clear" w:fill="FFFFFF"/>
          <w:lang w:val="en-US" w:eastAsia="zh-CN" w:bidi="ar"/>
        </w:rPr>
      </w:pPr>
      <w:r>
        <w:rPr>
          <w:rFonts w:hint="default" w:ascii="楷体_GB2312" w:hAnsi="Times New Roman" w:eastAsia="楷体_GB2312" w:cs="楷体_GB2312"/>
          <w:b/>
          <w:bCs/>
          <w:color w:val="000000"/>
          <w:kern w:val="0"/>
          <w:sz w:val="32"/>
          <w:szCs w:val="32"/>
          <w:shd w:val="clear" w:fill="FFFFFF"/>
          <w:lang w:val="en-US" w:eastAsia="zh-CN" w:bidi="ar"/>
        </w:rPr>
        <w:t>（二）存在问题。</w:t>
      </w:r>
    </w:p>
    <w:p>
      <w:pPr>
        <w:keepNext w:val="0"/>
        <w:keepLines w:val="0"/>
        <w:widowControl w:val="0"/>
        <w:suppressLineNumbers w:val="0"/>
        <w:spacing w:before="0" w:beforeAutospacing="0" w:after="0" w:afterAutospacing="0" w:line="600" w:lineRule="exact"/>
        <w:ind w:left="0" w:right="0" w:firstLine="640" w:firstLineChars="200"/>
        <w:jc w:val="both"/>
        <w:rPr>
          <w:rFonts w:hint="default" w:ascii="仿宋_GB2312" w:eastAsia="仿宋_GB2312" w:cs="仿宋_GB2312"/>
          <w:bCs/>
          <w:kern w:val="2"/>
          <w:sz w:val="32"/>
          <w:szCs w:val="32"/>
        </w:rPr>
      </w:pPr>
      <w:r>
        <w:rPr>
          <w:rFonts w:hint="default" w:ascii="仿宋_GB2312" w:hAnsi="Times New Roman" w:eastAsia="仿宋_GB2312" w:cs="仿宋_GB2312"/>
          <w:bCs/>
          <w:kern w:val="2"/>
          <w:sz w:val="32"/>
          <w:szCs w:val="32"/>
          <w:lang w:val="en-US" w:eastAsia="zh-CN" w:bidi="ar"/>
        </w:rPr>
        <w:t>1.内部控制制度建设还需进一步完善</w:t>
      </w:r>
    </w:p>
    <w:p>
      <w:pPr>
        <w:keepNext w:val="0"/>
        <w:keepLines w:val="0"/>
        <w:widowControl w:val="0"/>
        <w:suppressLineNumbers w:val="0"/>
        <w:spacing w:before="0" w:beforeAutospacing="0" w:after="0" w:afterAutospacing="0" w:line="600" w:lineRule="exact"/>
        <w:ind w:left="0" w:right="0" w:firstLine="640" w:firstLineChars="200"/>
        <w:jc w:val="both"/>
        <w:rPr>
          <w:rFonts w:hint="default" w:ascii="仿宋_GB2312" w:eastAsia="仿宋_GB2312" w:cs="仿宋_GB2312"/>
          <w:bCs/>
          <w:kern w:val="2"/>
          <w:sz w:val="32"/>
          <w:szCs w:val="32"/>
        </w:rPr>
      </w:pPr>
      <w:r>
        <w:rPr>
          <w:rFonts w:hint="default" w:ascii="仿宋_GB2312" w:hAnsi="Times New Roman" w:eastAsia="仿宋_GB2312" w:cs="仿宋_GB2312"/>
          <w:bCs/>
          <w:kern w:val="2"/>
          <w:sz w:val="32"/>
          <w:szCs w:val="32"/>
          <w:lang w:val="en-US" w:eastAsia="zh-CN" w:bidi="ar"/>
        </w:rPr>
        <w:t>根据财政规定及上级法院工作部署，今年来，各类新要求新标准在不断推进，我院内部控制制度也应随之调整并完善，不断细化健全管理措施，落实职能职责。</w:t>
      </w:r>
    </w:p>
    <w:p>
      <w:pPr>
        <w:keepNext w:val="0"/>
        <w:keepLines w:val="0"/>
        <w:widowControl w:val="0"/>
        <w:suppressLineNumbers w:val="0"/>
        <w:spacing w:before="0" w:beforeAutospacing="0" w:after="0" w:afterAutospacing="0" w:line="600" w:lineRule="exact"/>
        <w:ind w:left="0" w:right="0" w:firstLine="640" w:firstLineChars="200"/>
        <w:jc w:val="both"/>
        <w:rPr>
          <w:rFonts w:hint="default" w:ascii="仿宋_GB2312" w:eastAsia="仿宋_GB2312" w:cs="仿宋_GB2312"/>
          <w:bCs/>
          <w:kern w:val="2"/>
          <w:sz w:val="32"/>
          <w:szCs w:val="32"/>
        </w:rPr>
      </w:pPr>
      <w:r>
        <w:rPr>
          <w:rFonts w:hint="default" w:ascii="仿宋_GB2312" w:hAnsi="Times New Roman" w:eastAsia="仿宋_GB2312" w:cs="仿宋_GB2312"/>
          <w:bCs/>
          <w:kern w:val="2"/>
          <w:sz w:val="32"/>
          <w:szCs w:val="32"/>
          <w:lang w:val="en-US" w:eastAsia="zh-CN" w:bidi="ar"/>
        </w:rPr>
        <w:t>2.管理制度执行力还需进一步提升</w:t>
      </w:r>
    </w:p>
    <w:p>
      <w:pPr>
        <w:keepNext w:val="0"/>
        <w:keepLines w:val="0"/>
        <w:widowControl w:val="0"/>
        <w:suppressLineNumbers w:val="0"/>
        <w:spacing w:before="0" w:beforeAutospacing="0" w:after="0" w:afterAutospacing="0" w:line="600" w:lineRule="exact"/>
        <w:ind w:left="0" w:right="0" w:firstLine="640" w:firstLineChars="200"/>
        <w:jc w:val="both"/>
        <w:rPr>
          <w:rFonts w:hint="default" w:ascii="仿宋_GB2312" w:eastAsia="仿宋_GB2312" w:cs="仿宋_GB2312"/>
          <w:bCs/>
          <w:kern w:val="2"/>
          <w:sz w:val="32"/>
          <w:szCs w:val="32"/>
        </w:rPr>
      </w:pPr>
      <w:r>
        <w:rPr>
          <w:rFonts w:hint="default" w:ascii="仿宋_GB2312" w:hAnsi="Times New Roman" w:eastAsia="仿宋_GB2312" w:cs="仿宋_GB2312"/>
          <w:bCs/>
          <w:kern w:val="2"/>
          <w:sz w:val="32"/>
          <w:szCs w:val="32"/>
          <w:lang w:val="en-US" w:eastAsia="zh-CN" w:bidi="ar"/>
        </w:rPr>
        <w:t>根据工作部署，我院不断健全完善内部控制制度，应加大制度执行力，确保各项规定及要求得到认真贯彻和执行。</w:t>
      </w:r>
    </w:p>
    <w:p>
      <w:pPr>
        <w:keepNext w:val="0"/>
        <w:keepLines w:val="0"/>
        <w:widowControl w:val="0"/>
        <w:numPr>
          <w:ilvl w:val="0"/>
          <w:numId w:val="3"/>
        </w:numPr>
        <w:suppressLineNumbers w:val="0"/>
        <w:spacing w:before="0" w:beforeAutospacing="0" w:after="0" w:afterAutospacing="0" w:line="600" w:lineRule="exact"/>
        <w:ind w:left="0" w:leftChars="0" w:right="0" w:firstLine="643" w:firstLineChars="200"/>
        <w:jc w:val="both"/>
        <w:rPr>
          <w:rFonts w:hint="default" w:ascii="楷体_GB2312" w:hAnsi="Times New Roman" w:eastAsia="楷体_GB2312" w:cs="楷体_GB2312"/>
          <w:b/>
          <w:bCs/>
          <w:color w:val="000000"/>
          <w:kern w:val="0"/>
          <w:sz w:val="32"/>
          <w:szCs w:val="32"/>
          <w:shd w:val="clear" w:fill="FFFFFF"/>
          <w:lang w:val="en-US" w:eastAsia="zh-CN" w:bidi="ar"/>
        </w:rPr>
      </w:pPr>
      <w:r>
        <w:rPr>
          <w:rFonts w:hint="default" w:ascii="楷体_GB2312" w:hAnsi="Times New Roman" w:eastAsia="楷体_GB2312" w:cs="楷体_GB2312"/>
          <w:b/>
          <w:bCs/>
          <w:color w:val="000000"/>
          <w:kern w:val="0"/>
          <w:sz w:val="32"/>
          <w:szCs w:val="32"/>
          <w:shd w:val="clear" w:fill="FFFFFF"/>
          <w:lang w:val="en-US" w:eastAsia="zh-CN" w:bidi="ar"/>
        </w:rPr>
        <w:t>改进建议。</w:t>
      </w:r>
    </w:p>
    <w:p>
      <w:pPr>
        <w:keepNext w:val="0"/>
        <w:keepLines w:val="0"/>
        <w:widowControl w:val="0"/>
        <w:numPr>
          <w:ilvl w:val="0"/>
          <w:numId w:val="0"/>
        </w:numPr>
        <w:suppressLineNumbers w:val="0"/>
        <w:spacing w:before="0" w:beforeAutospacing="0" w:after="0" w:afterAutospacing="0" w:line="600" w:lineRule="exact"/>
        <w:ind w:leftChars="200" w:right="0" w:rightChars="0" w:firstLine="320" w:firstLineChars="100"/>
        <w:jc w:val="both"/>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1、加强组织领导，增强预算编制的准确性，提高对预算编制与执行的认识，让各部门了解绩效工作，为绩效评价工作开展创造好的条件。</w:t>
      </w:r>
    </w:p>
    <w:p>
      <w:pPr>
        <w:keepNext w:val="0"/>
        <w:keepLines w:val="0"/>
        <w:widowControl w:val="0"/>
        <w:suppressLineNumbers w:val="0"/>
        <w:wordWrap w:val="0"/>
        <w:spacing w:before="0" w:beforeAutospacing="0" w:after="0" w:afterAutospacing="0" w:line="576" w:lineRule="exact"/>
        <w:ind w:left="0" w:right="0" w:firstLine="640" w:firstLineChars="200"/>
        <w:contextualSpacing/>
        <w:jc w:val="both"/>
        <w:rPr>
          <w:rFonts w:hint="default" w:ascii="Times New Roman" w:hAnsi="Times New Roman" w:eastAsia="黑体" w:cs="Times New Roman"/>
          <w:kern w:val="2"/>
          <w:sz w:val="32"/>
          <w:szCs w:val="32"/>
        </w:rPr>
      </w:pPr>
      <w:r>
        <w:rPr>
          <w:rFonts w:hint="default" w:ascii="仿宋_GB2312" w:hAnsi="Times New Roman" w:eastAsia="仿宋_GB2312" w:cs="仿宋_GB2312"/>
          <w:kern w:val="2"/>
          <w:sz w:val="32"/>
          <w:szCs w:val="32"/>
          <w:lang w:val="en-US" w:eastAsia="zh-CN" w:bidi="ar"/>
        </w:rPr>
        <w:t>2、建立健全内部控制制度，规范各类工作程序，落实责任人职能职责，全面推进我院工作规范化。</w:t>
      </w:r>
    </w:p>
    <w:p>
      <w:pPr>
        <w:keepNext w:val="0"/>
        <w:keepLines w:val="0"/>
        <w:widowControl w:val="0"/>
        <w:suppressLineNumbers w:val="0"/>
        <w:spacing w:before="0" w:beforeAutospacing="0" w:after="0" w:afterAutospacing="0" w:line="578" w:lineRule="exact"/>
        <w:ind w:left="0" w:right="0" w:firstLine="640" w:firstLineChars="200"/>
        <w:jc w:val="left"/>
        <w:rPr>
          <w:rFonts w:hint="default" w:ascii="Times New Roman" w:hAnsi="Times New Roman" w:eastAsia="仿宋_GB2312" w:cs="Times New Roman"/>
          <w:kern w:val="2"/>
          <w:sz w:val="32"/>
          <w:szCs w:val="32"/>
        </w:rPr>
      </w:pPr>
      <w:r>
        <w:rPr>
          <w:rFonts w:hint="default" w:ascii="仿宋_GB2312" w:hAnsi="Times New Roman" w:eastAsia="仿宋_GB2312" w:cs="仿宋_GB2312"/>
          <w:color w:val="000000"/>
          <w:kern w:val="0"/>
          <w:sz w:val="32"/>
          <w:szCs w:val="32"/>
          <w:shd w:val="clear" w:fill="FFFFFF"/>
          <w:lang w:val="en-US" w:eastAsia="zh-CN" w:bidi="ar"/>
        </w:rPr>
        <w:t>附表：</w:t>
      </w:r>
      <w:r>
        <w:rPr>
          <w:rFonts w:hint="default" w:ascii="Times New Roman" w:hAnsi="Times New Roman" w:eastAsia="仿宋_GB2312" w:cs="Times New Roman"/>
          <w:color w:val="000000"/>
          <w:kern w:val="0"/>
          <w:sz w:val="32"/>
          <w:szCs w:val="32"/>
          <w:shd w:val="clear" w:fill="FFFFFF"/>
          <w:lang w:val="en-US" w:eastAsia="zh-CN" w:bidi="ar"/>
        </w:rPr>
        <w:t>1.</w:t>
      </w:r>
      <w:r>
        <w:rPr>
          <w:rFonts w:hint="default" w:ascii="仿宋_GB2312" w:hAnsi="Times New Roman" w:eastAsia="仿宋_GB2312" w:cs="仿宋_GB2312"/>
          <w:kern w:val="2"/>
          <w:sz w:val="32"/>
          <w:szCs w:val="32"/>
          <w:lang w:val="en-US" w:eastAsia="zh-CN" w:bidi="ar"/>
        </w:rPr>
        <w:t>部门预算绩效自评打分表</w:t>
      </w:r>
    </w:p>
    <w:p>
      <w:pPr>
        <w:keepNext w:val="0"/>
        <w:keepLines w:val="0"/>
        <w:widowControl w:val="0"/>
        <w:suppressLineNumbers w:val="0"/>
        <w:spacing w:before="0" w:beforeAutospacing="0" w:after="0" w:afterAutospacing="0" w:line="578" w:lineRule="exact"/>
        <w:ind w:left="0" w:right="0" w:firstLine="1600" w:firstLineChars="500"/>
        <w:jc w:val="left"/>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kern w:val="2"/>
          <w:sz w:val="32"/>
          <w:szCs w:val="32"/>
          <w:lang w:val="en-US" w:eastAsia="zh-CN" w:bidi="ar"/>
        </w:rPr>
        <w:t>2.</w:t>
      </w:r>
      <w:r>
        <w:rPr>
          <w:rFonts w:hint="default" w:ascii="仿宋_GB2312" w:hAnsi="Times New Roman" w:eastAsia="仿宋_GB2312" w:cs="仿宋_GB2312"/>
          <w:color w:val="000000"/>
          <w:kern w:val="0"/>
          <w:sz w:val="32"/>
          <w:szCs w:val="32"/>
          <w:shd w:val="clear" w:fill="FFFFFF"/>
          <w:lang w:val="en-US" w:eastAsia="zh-CN" w:bidi="ar"/>
        </w:rPr>
        <w:t>部门整体支出绩效目标完成情况自评表</w:t>
      </w:r>
    </w:p>
    <w:p>
      <w:pPr>
        <w:keepNext w:val="0"/>
        <w:keepLines w:val="0"/>
        <w:widowControl w:val="0"/>
        <w:suppressLineNumbers w:val="0"/>
        <w:spacing w:before="0" w:beforeAutospacing="0" w:after="0" w:afterAutospacing="0" w:line="578" w:lineRule="exact"/>
        <w:ind w:left="0" w:right="0" w:firstLine="1600" w:firstLineChars="500"/>
        <w:jc w:val="left"/>
        <w:rPr>
          <w:rFonts w:hint="default" w:ascii="Times New Roman" w:hAnsi="Times New Roman" w:eastAsia="仿宋_GB2312" w:cs="Times New Roman"/>
          <w:kern w:val="2"/>
          <w:sz w:val="32"/>
          <w:szCs w:val="32"/>
        </w:rPr>
      </w:pPr>
      <w:r>
        <w:rPr>
          <w:rFonts w:hint="default" w:ascii="Times New Roman" w:hAnsi="Times New Roman" w:eastAsia="仿宋_GB2312" w:cs="Times New Roman"/>
          <w:color w:val="000000"/>
          <w:kern w:val="0"/>
          <w:sz w:val="32"/>
          <w:szCs w:val="32"/>
          <w:shd w:val="clear" w:fill="FFFFFF"/>
          <w:lang w:val="en-US" w:eastAsia="zh-CN" w:bidi="ar"/>
        </w:rPr>
        <w:t>3.</w:t>
      </w:r>
      <w:r>
        <w:rPr>
          <w:rFonts w:hint="default" w:ascii="仿宋_GB2312" w:hAnsi="Times New Roman" w:eastAsia="仿宋_GB2312" w:cs="仿宋_GB2312"/>
          <w:kern w:val="2"/>
          <w:sz w:val="32"/>
          <w:szCs w:val="32"/>
          <w:lang w:val="en-US" w:eastAsia="zh-CN" w:bidi="ar"/>
        </w:rPr>
        <w:t>部门预算项目支出绩效评价表（</w:t>
      </w:r>
      <w:r>
        <w:rPr>
          <w:rFonts w:hint="default" w:ascii="Times New Roman" w:hAnsi="Times New Roman" w:eastAsia="仿宋_GB2312" w:cs="Times New Roman"/>
          <w:kern w:val="2"/>
          <w:sz w:val="32"/>
          <w:szCs w:val="32"/>
          <w:lang w:val="en-US" w:eastAsia="zh-CN" w:bidi="ar"/>
        </w:rPr>
        <w:t>2025</w:t>
      </w:r>
      <w:r>
        <w:rPr>
          <w:rFonts w:hint="default" w:ascii="仿宋_GB2312" w:hAnsi="Times New Roman" w:eastAsia="仿宋_GB2312" w:cs="仿宋_GB2312"/>
          <w:kern w:val="2"/>
          <w:sz w:val="32"/>
          <w:szCs w:val="32"/>
          <w:lang w:val="en-US" w:eastAsia="zh-CN" w:bidi="ar"/>
        </w:rPr>
        <w:t>年度）</w:t>
      </w:r>
    </w:p>
    <w:p>
      <w:pPr>
        <w:keepNext w:val="0"/>
        <w:keepLines w:val="0"/>
        <w:widowControl w:val="0"/>
        <w:suppressLineNumbers w:val="0"/>
        <w:spacing w:before="0" w:beforeAutospacing="0" w:after="0" w:afterAutospacing="0" w:line="578" w:lineRule="exact"/>
        <w:ind w:left="0" w:right="0"/>
        <w:jc w:val="left"/>
        <w:rPr>
          <w:rFonts w:hint="default" w:ascii="Times New Roman" w:hAnsi="Times New Roman" w:eastAsia="黑体" w:cs="Times New Roman"/>
          <w:kern w:val="2"/>
          <w:sz w:val="32"/>
          <w:szCs w:val="32"/>
        </w:rPr>
      </w:pPr>
      <w:r>
        <w:rPr>
          <w:rFonts w:hint="default" w:ascii="Times New Roman" w:hAnsi="Times New Roman" w:eastAsia="仿宋_GB2312" w:cs="Times New Roman"/>
          <w:color w:val="000000"/>
          <w:kern w:val="0"/>
          <w:sz w:val="32"/>
          <w:szCs w:val="32"/>
          <w:shd w:val="clear" w:fill="FFFFFF"/>
          <w:lang w:val="en-US" w:eastAsia="zh-CN" w:bidi="ar"/>
        </w:rPr>
        <w:br w:type="page"/>
      </w:r>
      <w:r>
        <w:rPr>
          <w:rFonts w:hint="default" w:ascii="黑体" w:hAnsi="宋体" w:eastAsia="黑体" w:cs="黑体"/>
          <w:kern w:val="2"/>
          <w:sz w:val="32"/>
          <w:szCs w:val="32"/>
          <w:lang w:val="en-US" w:eastAsia="zh-CN" w:bidi="ar"/>
        </w:rPr>
        <w:t>附表</w:t>
      </w:r>
      <w:r>
        <w:rPr>
          <w:rFonts w:hint="default" w:ascii="Times New Roman" w:hAnsi="Times New Roman" w:eastAsia="黑体" w:cs="Times New Roman"/>
          <w:kern w:val="2"/>
          <w:sz w:val="32"/>
          <w:szCs w:val="32"/>
          <w:lang w:val="en-US" w:eastAsia="zh-CN" w:bidi="ar"/>
        </w:rPr>
        <w:t>1</w:t>
      </w:r>
    </w:p>
    <w:p>
      <w:pPr>
        <w:keepNext w:val="0"/>
        <w:keepLines w:val="0"/>
        <w:widowControl/>
        <w:suppressLineNumbers w:val="0"/>
        <w:spacing w:before="0" w:beforeAutospacing="0" w:after="0" w:afterAutospacing="0" w:line="600" w:lineRule="exact"/>
        <w:ind w:left="0" w:right="0"/>
        <w:jc w:val="center"/>
        <w:textAlignment w:val="center"/>
        <w:rPr>
          <w:rFonts w:hint="default" w:ascii="Times New Roman" w:hAnsi="Times New Roman" w:eastAsia="方正小标宋简体" w:cs="Times New Roman"/>
          <w:color w:val="000000"/>
          <w:kern w:val="0"/>
          <w:sz w:val="44"/>
          <w:szCs w:val="44"/>
        </w:rPr>
      </w:pPr>
      <w:r>
        <w:rPr>
          <w:rFonts w:hint="default" w:ascii="方正小标宋简体" w:hAnsi="方正小标宋简体" w:eastAsia="方正小标宋简体" w:cs="方正小标宋简体"/>
          <w:color w:val="000000"/>
          <w:kern w:val="0"/>
          <w:sz w:val="44"/>
          <w:szCs w:val="44"/>
          <w:lang w:val="en-US" w:eastAsia="zh-CN" w:bidi="ar"/>
        </w:rPr>
        <w:t>部门预算绩效自评打分表</w:t>
      </w:r>
    </w:p>
    <w:tbl>
      <w:tblPr>
        <w:tblStyle w:val="16"/>
        <w:tblW w:w="1091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97"/>
        <w:gridCol w:w="1201"/>
        <w:gridCol w:w="1929"/>
        <w:gridCol w:w="717"/>
        <w:gridCol w:w="4760"/>
        <w:gridCol w:w="730"/>
        <w:gridCol w:w="4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黑体" w:hAnsi="宋体" w:eastAsia="黑体" w:cs="黑体"/>
                <w:color w:val="000000"/>
                <w:kern w:val="2"/>
                <w:sz w:val="24"/>
                <w:szCs w:val="24"/>
              </w:rPr>
            </w:pPr>
            <w:r>
              <w:rPr>
                <w:rFonts w:hint="default" w:ascii="黑体" w:hAnsi="宋体" w:eastAsia="黑体" w:cs="黑体"/>
                <w:color w:val="000000"/>
                <w:kern w:val="0"/>
                <w:sz w:val="24"/>
                <w:szCs w:val="24"/>
                <w:lang w:val="en-US" w:eastAsia="zh-CN" w:bidi="ar"/>
              </w:rPr>
              <w:t>绩效评价指标指标分值</w:t>
            </w:r>
          </w:p>
        </w:tc>
        <w:tc>
          <w:tcPr>
            <w:tcW w:w="4760"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黑体" w:hAnsi="宋体" w:eastAsia="黑体" w:cs="黑体"/>
                <w:color w:val="000000"/>
                <w:kern w:val="2"/>
                <w:sz w:val="24"/>
                <w:szCs w:val="24"/>
              </w:rPr>
            </w:pPr>
            <w:r>
              <w:rPr>
                <w:rFonts w:hint="default" w:ascii="黑体" w:hAnsi="宋体" w:eastAsia="黑体" w:cs="黑体"/>
                <w:color w:val="000000"/>
                <w:kern w:val="0"/>
                <w:sz w:val="24"/>
                <w:szCs w:val="24"/>
                <w:lang w:val="en-US" w:eastAsia="zh-CN" w:bidi="ar"/>
              </w:rPr>
              <w:t>指标解释</w:t>
            </w:r>
          </w:p>
        </w:tc>
        <w:tc>
          <w:tcPr>
            <w:tcW w:w="730" w:type="dxa"/>
            <w:vMerge w:val="restart"/>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黑体" w:hAnsi="宋体" w:eastAsia="黑体" w:cs="黑体"/>
                <w:color w:val="000000"/>
                <w:kern w:val="0"/>
                <w:sz w:val="24"/>
                <w:szCs w:val="24"/>
              </w:rPr>
            </w:pPr>
            <w:r>
              <w:rPr>
                <w:rFonts w:hint="default" w:ascii="黑体" w:hAnsi="宋体" w:eastAsia="黑体" w:cs="黑体"/>
                <w:color w:val="000000"/>
                <w:kern w:val="0"/>
                <w:sz w:val="24"/>
                <w:szCs w:val="24"/>
                <w:lang w:val="en-US" w:eastAsia="zh-CN" w:bidi="ar"/>
              </w:rPr>
              <w:t>自评得分</w:t>
            </w:r>
          </w:p>
        </w:tc>
        <w:tc>
          <w:tcPr>
            <w:tcW w:w="478" w:type="dxa"/>
            <w:vMerge w:val="restart"/>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黑体" w:hAnsi="宋体" w:eastAsia="黑体" w:cs="黑体"/>
                <w:color w:val="000000"/>
                <w:kern w:val="0"/>
                <w:sz w:val="24"/>
                <w:szCs w:val="24"/>
              </w:rPr>
            </w:pPr>
            <w:r>
              <w:rPr>
                <w:rFonts w:hint="default" w:ascii="黑体" w:hAnsi="宋体" w:eastAsia="黑体" w:cs="黑体"/>
                <w:color w:val="000000"/>
                <w:kern w:val="0"/>
                <w:sz w:val="24"/>
                <w:szCs w:val="24"/>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黑体" w:hAnsi="宋体" w:eastAsia="黑体" w:cs="黑体"/>
                <w:color w:val="000000"/>
                <w:kern w:val="2"/>
                <w:sz w:val="24"/>
                <w:szCs w:val="24"/>
              </w:rPr>
            </w:pPr>
            <w:r>
              <w:rPr>
                <w:rFonts w:hint="default" w:ascii="黑体" w:hAnsi="宋体" w:eastAsia="黑体" w:cs="黑体"/>
                <w:color w:val="000000"/>
                <w:kern w:val="0"/>
                <w:sz w:val="24"/>
                <w:szCs w:val="24"/>
                <w:lang w:val="en-US" w:eastAsia="zh-CN" w:bidi="ar"/>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黑体" w:hAnsi="宋体" w:eastAsia="黑体" w:cs="黑体"/>
                <w:color w:val="000000"/>
                <w:kern w:val="2"/>
                <w:sz w:val="24"/>
                <w:szCs w:val="24"/>
              </w:rPr>
            </w:pPr>
            <w:r>
              <w:rPr>
                <w:rFonts w:hint="default" w:ascii="黑体" w:hAnsi="宋体" w:eastAsia="黑体" w:cs="黑体"/>
                <w:color w:val="000000"/>
                <w:kern w:val="0"/>
                <w:sz w:val="24"/>
                <w:szCs w:val="24"/>
                <w:lang w:val="en-US" w:eastAsia="zh-CN" w:bidi="ar"/>
              </w:rPr>
              <w:t>二级指标</w:t>
            </w:r>
          </w:p>
        </w:tc>
        <w:tc>
          <w:tcPr>
            <w:tcW w:w="192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黑体" w:hAnsi="宋体" w:eastAsia="黑体" w:cs="黑体"/>
                <w:color w:val="000000"/>
                <w:kern w:val="2"/>
                <w:sz w:val="24"/>
                <w:szCs w:val="24"/>
              </w:rPr>
            </w:pPr>
            <w:r>
              <w:rPr>
                <w:rFonts w:hint="default" w:ascii="黑体" w:hAnsi="宋体" w:eastAsia="黑体" w:cs="黑体"/>
                <w:color w:val="000000"/>
                <w:kern w:val="0"/>
                <w:sz w:val="24"/>
                <w:szCs w:val="24"/>
                <w:lang w:val="en-US" w:eastAsia="zh-CN" w:bidi="ar"/>
              </w:rPr>
              <w:t>三级指标</w:t>
            </w:r>
          </w:p>
        </w:tc>
        <w:tc>
          <w:tcPr>
            <w:tcW w:w="71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黑体" w:hAnsi="宋体" w:eastAsia="黑体" w:cs="黑体"/>
                <w:color w:val="000000"/>
                <w:kern w:val="2"/>
                <w:sz w:val="24"/>
                <w:szCs w:val="24"/>
              </w:rPr>
            </w:pPr>
            <w:r>
              <w:rPr>
                <w:rFonts w:hint="default" w:ascii="黑体" w:hAnsi="宋体" w:eastAsia="黑体" w:cs="黑体"/>
                <w:color w:val="000000"/>
                <w:kern w:val="0"/>
                <w:sz w:val="24"/>
                <w:szCs w:val="24"/>
                <w:lang w:val="en-US" w:eastAsia="zh-CN" w:bidi="ar"/>
              </w:rPr>
              <w:t>指标</w:t>
            </w:r>
            <w:r>
              <w:rPr>
                <w:rFonts w:hint="default" w:ascii="黑体" w:hAnsi="宋体" w:eastAsia="黑体" w:cs="黑体"/>
                <w:color w:val="000000"/>
                <w:kern w:val="0"/>
                <w:sz w:val="24"/>
                <w:szCs w:val="24"/>
                <w:lang w:val="en-US" w:eastAsia="zh-CN" w:bidi="ar"/>
              </w:rPr>
              <w:br w:type="textWrapping"/>
            </w:r>
            <w:r>
              <w:rPr>
                <w:rFonts w:hint="default" w:ascii="黑体" w:hAnsi="宋体" w:eastAsia="黑体" w:cs="黑体"/>
                <w:color w:val="000000"/>
                <w:kern w:val="0"/>
                <w:sz w:val="24"/>
                <w:szCs w:val="24"/>
                <w:lang w:val="en-US" w:eastAsia="zh-CN" w:bidi="ar"/>
              </w:rPr>
              <w:t>分值</w:t>
            </w:r>
          </w:p>
        </w:tc>
        <w:tc>
          <w:tcPr>
            <w:tcW w:w="4760"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30" w:type="dxa"/>
            <w:vMerge w:val="continue"/>
            <w:tcBorders>
              <w:top w:val="single" w:color="000000" w:sz="4" w:space="0"/>
              <w:left w:val="nil"/>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78" w:type="dxa"/>
            <w:vMerge w:val="continue"/>
            <w:tcBorders>
              <w:top w:val="single" w:color="000000" w:sz="4" w:space="0"/>
              <w:left w:val="nil"/>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restart"/>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b/>
                <w:bCs w:val="0"/>
                <w:color w:val="000000"/>
                <w:kern w:val="2"/>
                <w:sz w:val="24"/>
                <w:szCs w:val="24"/>
              </w:rPr>
            </w:pPr>
            <w:r>
              <w:rPr>
                <w:rFonts w:hint="eastAsia" w:ascii="宋体" w:hAnsi="宋体" w:eastAsia="宋体" w:cs="宋体"/>
                <w:b/>
                <w:bCs w:val="0"/>
                <w:color w:val="000000"/>
                <w:kern w:val="0"/>
                <w:sz w:val="24"/>
                <w:szCs w:val="24"/>
                <w:lang w:val="en-US" w:eastAsia="zh-CN" w:bidi="ar"/>
              </w:rPr>
              <w:t>总体绩效（65分）</w:t>
            </w:r>
          </w:p>
        </w:tc>
        <w:tc>
          <w:tcPr>
            <w:tcW w:w="120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b/>
                <w:bCs w:val="0"/>
                <w:color w:val="000000"/>
                <w:kern w:val="2"/>
                <w:sz w:val="24"/>
                <w:szCs w:val="24"/>
              </w:rPr>
            </w:pPr>
            <w:r>
              <w:rPr>
                <w:rFonts w:hint="eastAsia" w:ascii="宋体" w:hAnsi="宋体" w:eastAsia="宋体" w:cs="宋体"/>
                <w:b/>
                <w:bCs w:val="0"/>
                <w:color w:val="000000"/>
                <w:kern w:val="0"/>
                <w:sz w:val="24"/>
                <w:szCs w:val="24"/>
                <w:lang w:val="en-US" w:eastAsia="zh-CN" w:bidi="ar"/>
              </w:rPr>
              <w:t>履职效能</w:t>
            </w:r>
            <w:r>
              <w:rPr>
                <w:rFonts w:hint="eastAsia" w:ascii="宋体" w:hAnsi="宋体" w:eastAsia="宋体" w:cs="宋体"/>
                <w:b/>
                <w:bCs w:val="0"/>
                <w:color w:val="000000"/>
                <w:kern w:val="0"/>
                <w:sz w:val="24"/>
                <w:szCs w:val="24"/>
                <w:lang w:val="en-US" w:eastAsia="zh-CN" w:bidi="ar"/>
              </w:rPr>
              <w:br w:type="textWrapping"/>
            </w:r>
            <w:r>
              <w:rPr>
                <w:rFonts w:hint="eastAsia" w:ascii="宋体" w:hAnsi="宋体" w:eastAsia="宋体" w:cs="宋体"/>
                <w:b/>
                <w:bCs w:val="0"/>
                <w:color w:val="000000"/>
                <w:kern w:val="0"/>
                <w:sz w:val="24"/>
                <w:szCs w:val="24"/>
                <w:lang w:val="en-US" w:eastAsia="zh-CN" w:bidi="ar"/>
              </w:rPr>
              <w:t>（15分）</w:t>
            </w:r>
          </w:p>
        </w:tc>
        <w:tc>
          <w:tcPr>
            <w:tcW w:w="192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履职效果</w:t>
            </w:r>
          </w:p>
        </w:tc>
        <w:tc>
          <w:tcPr>
            <w:tcW w:w="717"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15</w:t>
            </w:r>
          </w:p>
        </w:tc>
        <w:tc>
          <w:tcPr>
            <w:tcW w:w="476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部门整体绩效目标中选定3-5个核心职能目标，反映该项职能目标完成效果情况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13</w:t>
            </w:r>
          </w:p>
        </w:tc>
        <w:tc>
          <w:tcPr>
            <w:tcW w:w="47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01" w:type="dxa"/>
            <w:vMerge w:val="restart"/>
            <w:tcBorders>
              <w:top w:val="nil"/>
              <w:left w:val="nil"/>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b/>
                <w:bCs w:val="0"/>
                <w:color w:val="000000"/>
                <w:kern w:val="2"/>
                <w:sz w:val="24"/>
                <w:szCs w:val="24"/>
              </w:rPr>
            </w:pPr>
            <w:r>
              <w:rPr>
                <w:rFonts w:hint="eastAsia" w:ascii="宋体" w:hAnsi="宋体" w:eastAsia="宋体" w:cs="宋体"/>
                <w:b/>
                <w:bCs w:val="0"/>
                <w:color w:val="000000"/>
                <w:kern w:val="0"/>
                <w:sz w:val="24"/>
                <w:szCs w:val="24"/>
                <w:lang w:val="en-US" w:eastAsia="zh-CN" w:bidi="ar"/>
              </w:rPr>
              <w:t>预算管理</w:t>
            </w:r>
            <w:r>
              <w:rPr>
                <w:rFonts w:hint="eastAsia" w:ascii="宋体" w:hAnsi="宋体" w:eastAsia="宋体" w:cs="宋体"/>
                <w:b/>
                <w:bCs w:val="0"/>
                <w:color w:val="000000"/>
                <w:kern w:val="0"/>
                <w:sz w:val="24"/>
                <w:szCs w:val="24"/>
                <w:lang w:val="en-US" w:eastAsia="zh-CN" w:bidi="ar"/>
              </w:rPr>
              <w:br w:type="textWrapping"/>
            </w:r>
            <w:r>
              <w:rPr>
                <w:rFonts w:hint="eastAsia" w:ascii="宋体" w:hAnsi="宋体" w:eastAsia="宋体" w:cs="宋体"/>
                <w:b/>
                <w:bCs w:val="0"/>
                <w:color w:val="000000"/>
                <w:kern w:val="0"/>
                <w:sz w:val="24"/>
                <w:szCs w:val="24"/>
                <w:lang w:val="en-US" w:eastAsia="zh-CN" w:bidi="ar"/>
              </w:rPr>
              <w:t>（25分）</w:t>
            </w:r>
          </w:p>
        </w:tc>
        <w:tc>
          <w:tcPr>
            <w:tcW w:w="192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预算编制质量</w:t>
            </w:r>
          </w:p>
        </w:tc>
        <w:tc>
          <w:tcPr>
            <w:tcW w:w="71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8</w:t>
            </w:r>
          </w:p>
        </w:tc>
        <w:tc>
          <w:tcPr>
            <w:tcW w:w="476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部门是否严格按要求编制年初部门预算，年初预算编制的科学性和准确性</w:t>
            </w:r>
          </w:p>
        </w:tc>
        <w:tc>
          <w:tcPr>
            <w:tcW w:w="73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5.08</w:t>
            </w:r>
          </w:p>
        </w:tc>
        <w:tc>
          <w:tcPr>
            <w:tcW w:w="47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01" w:type="dxa"/>
            <w:vMerge w:val="continue"/>
            <w:tcBorders>
              <w:top w:val="nil"/>
              <w:left w:val="nil"/>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单位收入统筹</w:t>
            </w:r>
          </w:p>
        </w:tc>
        <w:tc>
          <w:tcPr>
            <w:tcW w:w="71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部门统筹自有收入努力程度</w:t>
            </w:r>
          </w:p>
        </w:tc>
        <w:tc>
          <w:tcPr>
            <w:tcW w:w="73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01" w:type="dxa"/>
            <w:vMerge w:val="continue"/>
            <w:tcBorders>
              <w:top w:val="nil"/>
              <w:left w:val="nil"/>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支出执行管理</w:t>
            </w:r>
          </w:p>
        </w:tc>
        <w:tc>
          <w:tcPr>
            <w:tcW w:w="71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6</w:t>
            </w:r>
          </w:p>
        </w:tc>
        <w:tc>
          <w:tcPr>
            <w:tcW w:w="476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部门1至6月、1至10月预算执行情况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4.9</w:t>
            </w:r>
          </w:p>
        </w:tc>
        <w:tc>
          <w:tcPr>
            <w:tcW w:w="47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01" w:type="dxa"/>
            <w:vMerge w:val="continue"/>
            <w:tcBorders>
              <w:top w:val="nil"/>
              <w:left w:val="nil"/>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预算年终结余</w:t>
            </w:r>
          </w:p>
        </w:tc>
        <w:tc>
          <w:tcPr>
            <w:tcW w:w="71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2</w:t>
            </w:r>
          </w:p>
        </w:tc>
        <w:tc>
          <w:tcPr>
            <w:tcW w:w="476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部门整体年终预算结余情况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1.99</w:t>
            </w:r>
          </w:p>
        </w:tc>
        <w:tc>
          <w:tcPr>
            <w:tcW w:w="47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01" w:type="dxa"/>
            <w:vMerge w:val="continue"/>
            <w:tcBorders>
              <w:top w:val="nil"/>
              <w:left w:val="nil"/>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严控一般性支出</w:t>
            </w:r>
          </w:p>
        </w:tc>
        <w:tc>
          <w:tcPr>
            <w:tcW w:w="71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5</w:t>
            </w:r>
          </w:p>
        </w:tc>
        <w:tc>
          <w:tcPr>
            <w:tcW w:w="476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部门严控“三公”经费、会议、培训、差旅、办节办展、办公设备购置、信息化建设和运维、课题经费、竞赛活动、规划编制一般性支出情况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3</w:t>
            </w:r>
          </w:p>
        </w:tc>
        <w:tc>
          <w:tcPr>
            <w:tcW w:w="47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01"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b/>
                <w:bCs w:val="0"/>
                <w:color w:val="000000"/>
                <w:kern w:val="2"/>
                <w:sz w:val="24"/>
                <w:szCs w:val="24"/>
              </w:rPr>
            </w:pPr>
            <w:r>
              <w:rPr>
                <w:rFonts w:hint="eastAsia" w:ascii="宋体" w:hAnsi="宋体" w:eastAsia="宋体" w:cs="宋体"/>
                <w:b/>
                <w:bCs w:val="0"/>
                <w:color w:val="000000"/>
                <w:kern w:val="0"/>
                <w:sz w:val="24"/>
                <w:szCs w:val="24"/>
                <w:lang w:val="en-US" w:eastAsia="zh-CN" w:bidi="ar"/>
              </w:rPr>
              <w:t>财务管理</w:t>
            </w:r>
            <w:r>
              <w:rPr>
                <w:rFonts w:hint="eastAsia" w:ascii="宋体" w:hAnsi="宋体" w:eastAsia="宋体" w:cs="宋体"/>
                <w:b/>
                <w:bCs w:val="0"/>
                <w:color w:val="000000"/>
                <w:kern w:val="0"/>
                <w:sz w:val="24"/>
                <w:szCs w:val="24"/>
                <w:lang w:val="en-US" w:eastAsia="zh-CN" w:bidi="ar"/>
              </w:rPr>
              <w:br w:type="textWrapping"/>
            </w:r>
            <w:r>
              <w:rPr>
                <w:rFonts w:hint="eastAsia" w:ascii="宋体" w:hAnsi="宋体" w:eastAsia="宋体" w:cs="宋体"/>
                <w:b/>
                <w:bCs w:val="0"/>
                <w:color w:val="000000"/>
                <w:kern w:val="0"/>
                <w:sz w:val="24"/>
                <w:szCs w:val="24"/>
                <w:lang w:val="en-US" w:eastAsia="zh-CN" w:bidi="ar"/>
              </w:rPr>
              <w:t>（10分）</w:t>
            </w:r>
          </w:p>
        </w:tc>
        <w:tc>
          <w:tcPr>
            <w:tcW w:w="192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财务管理制度</w:t>
            </w:r>
          </w:p>
        </w:tc>
        <w:tc>
          <w:tcPr>
            <w:tcW w:w="71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部门财务管理制度建立情况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01"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财务岗位设置</w:t>
            </w:r>
          </w:p>
        </w:tc>
        <w:tc>
          <w:tcPr>
            <w:tcW w:w="71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2</w:t>
            </w:r>
          </w:p>
        </w:tc>
        <w:tc>
          <w:tcPr>
            <w:tcW w:w="476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部门财务岗位设置是否符合相关财务管理制度要求</w:t>
            </w:r>
          </w:p>
        </w:tc>
        <w:tc>
          <w:tcPr>
            <w:tcW w:w="73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2</w:t>
            </w:r>
          </w:p>
        </w:tc>
        <w:tc>
          <w:tcPr>
            <w:tcW w:w="47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01"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资金使用规范</w:t>
            </w:r>
          </w:p>
        </w:tc>
        <w:tc>
          <w:tcPr>
            <w:tcW w:w="71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部门资金使用是否符合相关财务管理制度规定</w:t>
            </w:r>
          </w:p>
        </w:tc>
        <w:tc>
          <w:tcPr>
            <w:tcW w:w="73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01"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b/>
                <w:bCs w:val="0"/>
                <w:color w:val="000000"/>
                <w:kern w:val="2"/>
                <w:sz w:val="24"/>
                <w:szCs w:val="24"/>
              </w:rPr>
            </w:pPr>
            <w:r>
              <w:rPr>
                <w:rFonts w:hint="eastAsia" w:ascii="宋体" w:hAnsi="宋体" w:eastAsia="宋体" w:cs="宋体"/>
                <w:b/>
                <w:bCs w:val="0"/>
                <w:color w:val="000000"/>
                <w:kern w:val="0"/>
                <w:sz w:val="24"/>
                <w:szCs w:val="24"/>
                <w:lang w:val="en-US" w:eastAsia="zh-CN" w:bidi="ar"/>
              </w:rPr>
              <w:t>资产管理</w:t>
            </w:r>
            <w:r>
              <w:rPr>
                <w:rFonts w:hint="eastAsia" w:ascii="宋体" w:hAnsi="宋体" w:eastAsia="宋体" w:cs="宋体"/>
                <w:b/>
                <w:bCs w:val="0"/>
                <w:color w:val="000000"/>
                <w:kern w:val="0"/>
                <w:sz w:val="24"/>
                <w:szCs w:val="24"/>
                <w:lang w:val="en-US" w:eastAsia="zh-CN" w:bidi="ar"/>
              </w:rPr>
              <w:br w:type="textWrapping"/>
            </w:r>
            <w:r>
              <w:rPr>
                <w:rFonts w:hint="eastAsia" w:ascii="宋体" w:hAnsi="宋体" w:eastAsia="宋体" w:cs="宋体"/>
                <w:b/>
                <w:bCs w:val="0"/>
                <w:color w:val="000000"/>
                <w:kern w:val="0"/>
                <w:sz w:val="24"/>
                <w:szCs w:val="24"/>
                <w:lang w:val="en-US" w:eastAsia="zh-CN" w:bidi="ar"/>
              </w:rPr>
              <w:t>（9分）</w:t>
            </w:r>
          </w:p>
        </w:tc>
        <w:tc>
          <w:tcPr>
            <w:tcW w:w="192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人均资产变化率</w:t>
            </w:r>
          </w:p>
        </w:tc>
        <w:tc>
          <w:tcPr>
            <w:tcW w:w="71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3</w:t>
            </w:r>
          </w:p>
        </w:tc>
        <w:tc>
          <w:tcPr>
            <w:tcW w:w="476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部门人均资产变化情况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3</w:t>
            </w:r>
          </w:p>
        </w:tc>
        <w:tc>
          <w:tcPr>
            <w:tcW w:w="47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01"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资产利用率</w:t>
            </w:r>
          </w:p>
        </w:tc>
        <w:tc>
          <w:tcPr>
            <w:tcW w:w="71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3</w:t>
            </w:r>
          </w:p>
        </w:tc>
        <w:tc>
          <w:tcPr>
            <w:tcW w:w="476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部门资产超最低使用年限情况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1.5</w:t>
            </w:r>
          </w:p>
        </w:tc>
        <w:tc>
          <w:tcPr>
            <w:tcW w:w="47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0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b/>
                <w:bCs w:val="0"/>
                <w:color w:val="000000"/>
                <w:kern w:val="2"/>
                <w:sz w:val="24"/>
                <w:szCs w:val="24"/>
              </w:rPr>
            </w:pPr>
            <w:r>
              <w:rPr>
                <w:rFonts w:hint="eastAsia" w:ascii="宋体" w:hAnsi="宋体" w:eastAsia="宋体" w:cs="宋体"/>
                <w:b/>
                <w:bCs w:val="0"/>
                <w:color w:val="000000"/>
                <w:kern w:val="0"/>
                <w:sz w:val="24"/>
                <w:szCs w:val="24"/>
                <w:lang w:val="en-US" w:eastAsia="zh-CN" w:bidi="ar"/>
              </w:rPr>
              <w:t>资产管理</w:t>
            </w:r>
            <w:r>
              <w:rPr>
                <w:rFonts w:hint="eastAsia" w:ascii="宋体" w:hAnsi="宋体" w:eastAsia="宋体" w:cs="宋体"/>
                <w:b/>
                <w:bCs w:val="0"/>
                <w:color w:val="000000"/>
                <w:kern w:val="0"/>
                <w:sz w:val="24"/>
                <w:szCs w:val="24"/>
                <w:lang w:val="en-US" w:eastAsia="zh-CN" w:bidi="ar"/>
              </w:rPr>
              <w:br w:type="textWrapping"/>
            </w:r>
            <w:r>
              <w:rPr>
                <w:rFonts w:hint="eastAsia" w:ascii="宋体" w:hAnsi="宋体" w:eastAsia="宋体" w:cs="宋体"/>
                <w:b/>
                <w:bCs w:val="0"/>
                <w:color w:val="000000"/>
                <w:kern w:val="0"/>
                <w:sz w:val="24"/>
                <w:szCs w:val="24"/>
                <w:lang w:val="en-US" w:eastAsia="zh-CN" w:bidi="ar"/>
              </w:rPr>
              <w:t>（9分）</w:t>
            </w:r>
          </w:p>
        </w:tc>
        <w:tc>
          <w:tcPr>
            <w:tcW w:w="192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资产盘活率</w:t>
            </w:r>
          </w:p>
        </w:tc>
        <w:tc>
          <w:tcPr>
            <w:tcW w:w="71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3</w:t>
            </w:r>
          </w:p>
        </w:tc>
        <w:tc>
          <w:tcPr>
            <w:tcW w:w="476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部门闲置一年以上的资产盘活情况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3</w:t>
            </w:r>
          </w:p>
        </w:tc>
        <w:tc>
          <w:tcPr>
            <w:tcW w:w="47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01"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b/>
                <w:bCs w:val="0"/>
                <w:color w:val="000000"/>
                <w:kern w:val="2"/>
                <w:sz w:val="24"/>
                <w:szCs w:val="24"/>
              </w:rPr>
            </w:pPr>
            <w:r>
              <w:rPr>
                <w:rFonts w:hint="eastAsia" w:ascii="宋体" w:hAnsi="宋体" w:eastAsia="宋体" w:cs="宋体"/>
                <w:b/>
                <w:bCs w:val="0"/>
                <w:color w:val="000000"/>
                <w:kern w:val="0"/>
                <w:sz w:val="24"/>
                <w:szCs w:val="24"/>
                <w:lang w:val="en-US" w:eastAsia="zh-CN" w:bidi="ar"/>
              </w:rPr>
              <w:t>采购管理</w:t>
            </w:r>
            <w:r>
              <w:rPr>
                <w:rFonts w:hint="eastAsia" w:ascii="宋体" w:hAnsi="宋体" w:eastAsia="宋体" w:cs="宋体"/>
                <w:b/>
                <w:bCs w:val="0"/>
                <w:color w:val="000000"/>
                <w:kern w:val="0"/>
                <w:sz w:val="24"/>
                <w:szCs w:val="24"/>
                <w:lang w:val="en-US" w:eastAsia="zh-CN" w:bidi="ar"/>
              </w:rPr>
              <w:br w:type="textWrapping"/>
            </w:r>
            <w:r>
              <w:rPr>
                <w:rFonts w:hint="eastAsia" w:ascii="宋体" w:hAnsi="宋体" w:eastAsia="宋体" w:cs="宋体"/>
                <w:b/>
                <w:bCs w:val="0"/>
                <w:color w:val="000000"/>
                <w:kern w:val="0"/>
                <w:sz w:val="24"/>
                <w:szCs w:val="24"/>
                <w:lang w:val="en-US" w:eastAsia="zh-CN" w:bidi="ar"/>
              </w:rPr>
              <w:t>（6分）</w:t>
            </w:r>
          </w:p>
        </w:tc>
        <w:tc>
          <w:tcPr>
            <w:tcW w:w="192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支持中小企业发展</w:t>
            </w:r>
          </w:p>
        </w:tc>
        <w:tc>
          <w:tcPr>
            <w:tcW w:w="71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3</w:t>
            </w:r>
          </w:p>
        </w:tc>
        <w:tc>
          <w:tcPr>
            <w:tcW w:w="476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部门是否严格执行政府采购促进中小企业发展相关管理办法</w:t>
            </w:r>
          </w:p>
        </w:tc>
        <w:tc>
          <w:tcPr>
            <w:tcW w:w="73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3</w:t>
            </w:r>
          </w:p>
        </w:tc>
        <w:tc>
          <w:tcPr>
            <w:tcW w:w="47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01"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采购执行率</w:t>
            </w:r>
          </w:p>
        </w:tc>
        <w:tc>
          <w:tcPr>
            <w:tcW w:w="71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3</w:t>
            </w:r>
          </w:p>
        </w:tc>
        <w:tc>
          <w:tcPr>
            <w:tcW w:w="476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部门政府采购项目资金支付比例情况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3</w:t>
            </w:r>
          </w:p>
        </w:tc>
        <w:tc>
          <w:tcPr>
            <w:tcW w:w="47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b/>
                <w:bCs w:val="0"/>
                <w:color w:val="000000"/>
                <w:kern w:val="2"/>
                <w:sz w:val="24"/>
                <w:szCs w:val="24"/>
              </w:rPr>
            </w:pPr>
            <w:r>
              <w:rPr>
                <w:rFonts w:hint="eastAsia" w:ascii="宋体" w:hAnsi="宋体" w:eastAsia="宋体" w:cs="宋体"/>
                <w:b/>
                <w:bCs w:val="0"/>
                <w:color w:val="000000"/>
                <w:kern w:val="0"/>
                <w:sz w:val="24"/>
                <w:szCs w:val="24"/>
                <w:lang w:val="en-US" w:eastAsia="zh-CN" w:bidi="ar"/>
              </w:rPr>
              <w:t>项目绩效（35分）</w:t>
            </w:r>
          </w:p>
        </w:tc>
        <w:tc>
          <w:tcPr>
            <w:tcW w:w="1201" w:type="dxa"/>
            <w:vMerge w:val="restart"/>
            <w:tcBorders>
              <w:top w:val="nil"/>
              <w:left w:val="nil"/>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b/>
                <w:bCs w:val="0"/>
                <w:color w:val="000000"/>
                <w:kern w:val="2"/>
                <w:sz w:val="24"/>
                <w:szCs w:val="24"/>
              </w:rPr>
            </w:pPr>
            <w:r>
              <w:rPr>
                <w:rFonts w:hint="eastAsia" w:ascii="宋体" w:hAnsi="宋体" w:eastAsia="宋体" w:cs="宋体"/>
                <w:b/>
                <w:bCs w:val="0"/>
                <w:color w:val="000000"/>
                <w:kern w:val="0"/>
                <w:sz w:val="24"/>
                <w:szCs w:val="24"/>
                <w:lang w:val="en-US" w:eastAsia="zh-CN" w:bidi="ar"/>
              </w:rPr>
              <w:t>项目决策</w:t>
            </w:r>
            <w:r>
              <w:rPr>
                <w:rFonts w:hint="eastAsia" w:ascii="宋体" w:hAnsi="宋体" w:eastAsia="宋体" w:cs="宋体"/>
                <w:b/>
                <w:bCs w:val="0"/>
                <w:color w:val="000000"/>
                <w:kern w:val="0"/>
                <w:sz w:val="24"/>
                <w:szCs w:val="24"/>
                <w:lang w:val="en-US" w:eastAsia="zh-CN" w:bidi="ar"/>
              </w:rPr>
              <w:br w:type="textWrapping"/>
            </w:r>
            <w:r>
              <w:rPr>
                <w:rFonts w:hint="eastAsia" w:ascii="宋体" w:hAnsi="宋体" w:eastAsia="宋体" w:cs="宋体"/>
                <w:b/>
                <w:bCs w:val="0"/>
                <w:color w:val="000000"/>
                <w:kern w:val="0"/>
                <w:sz w:val="24"/>
                <w:szCs w:val="24"/>
                <w:lang w:val="en-US" w:eastAsia="zh-CN" w:bidi="ar"/>
              </w:rPr>
              <w:t>（12分）</w:t>
            </w:r>
          </w:p>
        </w:tc>
        <w:tc>
          <w:tcPr>
            <w:tcW w:w="192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决策程序</w:t>
            </w:r>
          </w:p>
        </w:tc>
        <w:tc>
          <w:tcPr>
            <w:tcW w:w="71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部门预算项目设立是否按规定履行评估论证、申报程序</w:t>
            </w:r>
          </w:p>
        </w:tc>
        <w:tc>
          <w:tcPr>
            <w:tcW w:w="73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01" w:type="dxa"/>
            <w:vMerge w:val="continue"/>
            <w:tcBorders>
              <w:top w:val="nil"/>
              <w:left w:val="nil"/>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目标设置</w:t>
            </w:r>
          </w:p>
        </w:tc>
        <w:tc>
          <w:tcPr>
            <w:tcW w:w="71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部门预算项目绩效目标与计划期内的任务量、预算安排的资金量匹配情况，绩效目标设置是否科学合理、规范完整、量化细化、预算匹配</w:t>
            </w:r>
          </w:p>
        </w:tc>
        <w:tc>
          <w:tcPr>
            <w:tcW w:w="73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01" w:type="dxa"/>
            <w:vMerge w:val="continue"/>
            <w:tcBorders>
              <w:top w:val="nil"/>
              <w:left w:val="nil"/>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项目入库</w:t>
            </w:r>
          </w:p>
        </w:tc>
        <w:tc>
          <w:tcPr>
            <w:tcW w:w="71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部门预算项目是否在规定时间完成项目入库</w:t>
            </w:r>
          </w:p>
        </w:tc>
        <w:tc>
          <w:tcPr>
            <w:tcW w:w="73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01" w:type="dxa"/>
            <w:vMerge w:val="restart"/>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b/>
                <w:bCs w:val="0"/>
                <w:color w:val="000000"/>
                <w:kern w:val="2"/>
                <w:sz w:val="24"/>
                <w:szCs w:val="24"/>
              </w:rPr>
            </w:pPr>
            <w:r>
              <w:rPr>
                <w:rFonts w:hint="eastAsia" w:ascii="宋体" w:hAnsi="宋体" w:eastAsia="宋体" w:cs="宋体"/>
                <w:b/>
                <w:bCs w:val="0"/>
                <w:color w:val="000000"/>
                <w:kern w:val="0"/>
                <w:sz w:val="24"/>
                <w:szCs w:val="24"/>
                <w:lang w:val="en-US" w:eastAsia="zh-CN" w:bidi="ar"/>
              </w:rPr>
              <w:t>项目执行</w:t>
            </w:r>
            <w:r>
              <w:rPr>
                <w:rFonts w:hint="eastAsia" w:ascii="宋体" w:hAnsi="宋体" w:eastAsia="宋体" w:cs="宋体"/>
                <w:b/>
                <w:bCs w:val="0"/>
                <w:color w:val="000000"/>
                <w:kern w:val="0"/>
                <w:sz w:val="24"/>
                <w:szCs w:val="24"/>
                <w:lang w:val="en-US" w:eastAsia="zh-CN" w:bidi="ar"/>
              </w:rPr>
              <w:br w:type="textWrapping"/>
            </w:r>
            <w:r>
              <w:rPr>
                <w:rFonts w:hint="eastAsia" w:ascii="宋体" w:hAnsi="宋体" w:eastAsia="宋体" w:cs="宋体"/>
                <w:b/>
                <w:bCs w:val="0"/>
                <w:color w:val="000000"/>
                <w:kern w:val="0"/>
                <w:sz w:val="24"/>
                <w:szCs w:val="24"/>
                <w:lang w:val="en-US" w:eastAsia="zh-CN" w:bidi="ar"/>
              </w:rPr>
              <w:t>（12分）</w:t>
            </w:r>
          </w:p>
        </w:tc>
        <w:tc>
          <w:tcPr>
            <w:tcW w:w="192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执行同向</w:t>
            </w:r>
          </w:p>
        </w:tc>
        <w:tc>
          <w:tcPr>
            <w:tcW w:w="71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部门预算项目实际列支内容是否与绩效目标设置方向相符</w:t>
            </w:r>
          </w:p>
        </w:tc>
        <w:tc>
          <w:tcPr>
            <w:tcW w:w="73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01" w:type="dxa"/>
            <w:vMerge w:val="continue"/>
            <w:tcBorders>
              <w:top w:val="single" w:color="000000" w:sz="4" w:space="0"/>
              <w:left w:val="nil"/>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项目调整</w:t>
            </w:r>
          </w:p>
        </w:tc>
        <w:tc>
          <w:tcPr>
            <w:tcW w:w="71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部门预算项目是否采取对应调整措施</w:t>
            </w:r>
          </w:p>
        </w:tc>
        <w:tc>
          <w:tcPr>
            <w:tcW w:w="73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01" w:type="dxa"/>
            <w:vMerge w:val="continue"/>
            <w:tcBorders>
              <w:top w:val="single" w:color="000000" w:sz="4" w:space="0"/>
              <w:left w:val="nil"/>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执行结果</w:t>
            </w:r>
          </w:p>
        </w:tc>
        <w:tc>
          <w:tcPr>
            <w:tcW w:w="71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部门预算项目预算执行情况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01"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b/>
                <w:bCs w:val="0"/>
                <w:color w:val="000000"/>
                <w:kern w:val="2"/>
                <w:sz w:val="24"/>
                <w:szCs w:val="24"/>
              </w:rPr>
            </w:pPr>
            <w:r>
              <w:rPr>
                <w:rFonts w:hint="eastAsia" w:ascii="宋体" w:hAnsi="宋体" w:eastAsia="宋体" w:cs="宋体"/>
                <w:b/>
                <w:bCs w:val="0"/>
                <w:color w:val="000000"/>
                <w:kern w:val="0"/>
                <w:sz w:val="24"/>
                <w:szCs w:val="24"/>
                <w:lang w:val="en-US" w:eastAsia="zh-CN" w:bidi="ar"/>
              </w:rPr>
              <w:t>目标实现</w:t>
            </w:r>
            <w:r>
              <w:rPr>
                <w:rFonts w:hint="eastAsia" w:ascii="宋体" w:hAnsi="宋体" w:eastAsia="宋体" w:cs="宋体"/>
                <w:b/>
                <w:bCs w:val="0"/>
                <w:color w:val="000000"/>
                <w:kern w:val="0"/>
                <w:sz w:val="24"/>
                <w:szCs w:val="24"/>
                <w:lang w:val="en-US" w:eastAsia="zh-CN" w:bidi="ar"/>
              </w:rPr>
              <w:br w:type="textWrapping"/>
            </w:r>
            <w:r>
              <w:rPr>
                <w:rFonts w:hint="eastAsia" w:ascii="宋体" w:hAnsi="宋体" w:eastAsia="宋体" w:cs="宋体"/>
                <w:b/>
                <w:bCs w:val="0"/>
                <w:color w:val="000000"/>
                <w:kern w:val="0"/>
                <w:sz w:val="24"/>
                <w:szCs w:val="24"/>
                <w:lang w:val="en-US" w:eastAsia="zh-CN" w:bidi="ar"/>
              </w:rPr>
              <w:t>（11分）</w:t>
            </w:r>
          </w:p>
        </w:tc>
        <w:tc>
          <w:tcPr>
            <w:tcW w:w="192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目标完成</w:t>
            </w:r>
          </w:p>
        </w:tc>
        <w:tc>
          <w:tcPr>
            <w:tcW w:w="71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部门预算项目绩效目标数量指标完成情况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01"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目标偏离</w:t>
            </w:r>
          </w:p>
        </w:tc>
        <w:tc>
          <w:tcPr>
            <w:tcW w:w="71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部门预算项目绩效目标数量指标实现程度与预期目标的偏离情况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01"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实现效果</w:t>
            </w:r>
          </w:p>
        </w:tc>
        <w:tc>
          <w:tcPr>
            <w:tcW w:w="71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3</w:t>
            </w:r>
          </w:p>
        </w:tc>
        <w:tc>
          <w:tcPr>
            <w:tcW w:w="476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部门预算项目绩效目标效益指标实施效果</w:t>
            </w:r>
          </w:p>
        </w:tc>
        <w:tc>
          <w:tcPr>
            <w:tcW w:w="73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3</w:t>
            </w:r>
          </w:p>
        </w:tc>
        <w:tc>
          <w:tcPr>
            <w:tcW w:w="47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b/>
                <w:bCs w:val="0"/>
                <w:color w:val="000000"/>
                <w:kern w:val="2"/>
                <w:sz w:val="24"/>
                <w:szCs w:val="24"/>
              </w:rPr>
            </w:pPr>
            <w:r>
              <w:rPr>
                <w:rFonts w:hint="eastAsia" w:ascii="宋体" w:hAnsi="宋体" w:eastAsia="宋体" w:cs="宋体"/>
                <w:b/>
                <w:bCs w:val="0"/>
                <w:color w:val="000000"/>
                <w:kern w:val="0"/>
                <w:sz w:val="24"/>
                <w:szCs w:val="24"/>
                <w:lang w:val="en-US" w:eastAsia="zh-CN" w:bidi="ar"/>
              </w:rPr>
              <w:t>扣分项</w:t>
            </w:r>
            <w:r>
              <w:rPr>
                <w:rFonts w:hint="eastAsia" w:ascii="宋体" w:hAnsi="宋体" w:eastAsia="宋体" w:cs="宋体"/>
                <w:b/>
                <w:bCs w:val="0"/>
                <w:color w:val="000000"/>
                <w:kern w:val="0"/>
                <w:sz w:val="24"/>
                <w:szCs w:val="24"/>
                <w:lang w:val="en-US" w:eastAsia="zh-CN" w:bidi="ar"/>
              </w:rPr>
              <w:br w:type="textWrapping"/>
            </w:r>
            <w:r>
              <w:rPr>
                <w:rFonts w:hint="eastAsia" w:ascii="宋体" w:hAnsi="宋体" w:eastAsia="宋体" w:cs="宋体"/>
                <w:b/>
                <w:bCs w:val="0"/>
                <w:color w:val="000000"/>
                <w:kern w:val="0"/>
                <w:sz w:val="24"/>
                <w:szCs w:val="24"/>
                <w:lang w:val="en-US" w:eastAsia="zh-CN" w:bidi="ar"/>
              </w:rPr>
              <w:t>（10分）</w:t>
            </w:r>
          </w:p>
        </w:tc>
        <w:tc>
          <w:tcPr>
            <w:tcW w:w="3130"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被评价部门配合度</w:t>
            </w:r>
          </w:p>
        </w:tc>
        <w:tc>
          <w:tcPr>
            <w:tcW w:w="71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w:t>
            </w:r>
          </w:p>
        </w:tc>
        <w:tc>
          <w:tcPr>
            <w:tcW w:w="476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被评价对象工作配合情况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p>
        </w:tc>
        <w:tc>
          <w:tcPr>
            <w:tcW w:w="47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000000"/>
                <w:kern w:val="0"/>
                <w:sz w:val="24"/>
                <w:szCs w:val="24"/>
              </w:rPr>
            </w:pPr>
          </w:p>
        </w:tc>
      </w:tr>
    </w:tbl>
    <w:p>
      <w:pPr>
        <w:pStyle w:val="15"/>
        <w:keepNext/>
        <w:keepLines/>
        <w:widowControl w:val="0"/>
        <w:suppressLineNumbers w:val="0"/>
        <w:spacing w:before="280" w:beforeAutospacing="0" w:after="156" w:afterAutospacing="0" w:line="20" w:lineRule="exact"/>
        <w:ind w:left="0" w:right="0"/>
        <w:jc w:val="left"/>
        <w:outlineLvl w:val="4"/>
        <w:rPr>
          <w:rFonts w:hint="default" w:ascii="Arial" w:hAnsi="Arial" w:eastAsia="黑体" w:cs="Times New Roman"/>
          <w:b/>
          <w:bCs w:val="0"/>
          <w:kern w:val="2"/>
          <w:sz w:val="24"/>
          <w:szCs w:val="24"/>
        </w:rPr>
      </w:pPr>
    </w:p>
    <w:p>
      <w:pPr>
        <w:keepNext w:val="0"/>
        <w:keepLines w:val="0"/>
        <w:widowControl w:val="0"/>
        <w:suppressLineNumbers w:val="0"/>
        <w:spacing w:before="0" w:beforeAutospacing="0" w:after="0" w:afterAutospacing="0" w:line="20" w:lineRule="exact"/>
        <w:ind w:left="0" w:right="0"/>
        <w:jc w:val="both"/>
        <w:rPr>
          <w:rFonts w:hint="default" w:ascii="Times New Roman" w:hAnsi="Times New Roman" w:eastAsia="黑体" w:cs="Times New Roman"/>
          <w:kern w:val="2"/>
          <w:sz w:val="32"/>
          <w:szCs w:val="32"/>
        </w:rPr>
      </w:pPr>
      <w:r>
        <w:rPr>
          <w:rFonts w:hint="default" w:ascii="Times New Roman" w:hAnsi="Times New Roman" w:eastAsia="黑体" w:cs="Times New Roman"/>
          <w:kern w:val="2"/>
          <w:sz w:val="32"/>
          <w:szCs w:val="32"/>
          <w:lang w:val="en-US" w:eastAsia="zh-CN" w:bidi="ar"/>
        </w:rPr>
        <w:br w:type="page"/>
      </w:r>
    </w:p>
    <w:p>
      <w:pPr>
        <w:keepNext w:val="0"/>
        <w:keepLines w:val="0"/>
        <w:widowControl w:val="0"/>
        <w:suppressLineNumbers w:val="0"/>
        <w:spacing w:before="0" w:beforeAutospacing="0" w:after="0" w:afterAutospacing="0" w:line="578" w:lineRule="exact"/>
        <w:ind w:left="0" w:right="0"/>
        <w:jc w:val="left"/>
        <w:rPr>
          <w:rFonts w:hint="default" w:ascii="Times New Roman" w:hAnsi="Times New Roman" w:eastAsia="黑体" w:cs="Times New Roman"/>
          <w:kern w:val="2"/>
          <w:sz w:val="32"/>
          <w:szCs w:val="32"/>
        </w:rPr>
      </w:pPr>
      <w:r>
        <w:rPr>
          <w:rFonts w:hint="default" w:ascii="黑体" w:hAnsi="宋体" w:eastAsia="黑体" w:cs="黑体"/>
          <w:kern w:val="2"/>
          <w:sz w:val="32"/>
          <w:szCs w:val="32"/>
          <w:lang w:val="en-US" w:eastAsia="zh-CN" w:bidi="ar"/>
        </w:rPr>
        <w:t>附表</w:t>
      </w:r>
      <w:r>
        <w:rPr>
          <w:rFonts w:hint="default" w:ascii="Times New Roman" w:hAnsi="Times New Roman" w:eastAsia="黑体" w:cs="Times New Roman"/>
          <w:kern w:val="2"/>
          <w:sz w:val="32"/>
          <w:szCs w:val="32"/>
          <w:lang w:val="en-US" w:eastAsia="zh-CN" w:bidi="ar"/>
        </w:rPr>
        <w:t>2</w:t>
      </w:r>
    </w:p>
    <w:p>
      <w:pPr>
        <w:keepNext w:val="0"/>
        <w:keepLines w:val="0"/>
        <w:widowControl/>
        <w:suppressLineNumbers w:val="0"/>
        <w:spacing w:before="0" w:beforeAutospacing="0" w:after="0" w:afterAutospacing="0" w:line="578" w:lineRule="exact"/>
        <w:ind w:left="0" w:right="0"/>
        <w:jc w:val="center"/>
        <w:textAlignment w:val="center"/>
        <w:rPr>
          <w:rFonts w:hint="default" w:ascii="Times New Roman" w:hAnsi="Times New Roman" w:eastAsia="方正小标宋简体" w:cs="Times New Roman"/>
          <w:color w:val="000000"/>
          <w:kern w:val="0"/>
          <w:sz w:val="44"/>
          <w:szCs w:val="44"/>
        </w:rPr>
      </w:pPr>
      <w:r>
        <w:rPr>
          <w:rFonts w:hint="default" w:ascii="方正小标宋简体" w:hAnsi="方正小标宋简体" w:eastAsia="方正小标宋简体" w:cs="方正小标宋简体"/>
          <w:color w:val="000000"/>
          <w:kern w:val="0"/>
          <w:sz w:val="44"/>
          <w:szCs w:val="44"/>
          <w:lang w:val="en-US" w:eastAsia="zh-CN" w:bidi="ar"/>
        </w:rPr>
        <w:t>部门整体支出绩效目标完成情况自评表</w:t>
      </w:r>
    </w:p>
    <w:tbl>
      <w:tblPr>
        <w:tblStyle w:val="16"/>
        <w:tblW w:w="96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31"/>
        <w:gridCol w:w="850"/>
        <w:gridCol w:w="546"/>
        <w:gridCol w:w="1246"/>
        <w:gridCol w:w="803"/>
        <w:gridCol w:w="777"/>
        <w:gridCol w:w="1018"/>
        <w:gridCol w:w="1045"/>
        <w:gridCol w:w="1111"/>
        <w:gridCol w:w="19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部门名称</w:t>
            </w:r>
          </w:p>
        </w:tc>
        <w:tc>
          <w:tcPr>
            <w:tcW w:w="7931" w:type="dxa"/>
            <w:gridSpan w:val="7"/>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马尔康市人民法院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年度部门整体预算</w:t>
            </w:r>
          </w:p>
        </w:tc>
        <w:tc>
          <w:tcPr>
            <w:tcW w:w="2049" w:type="dxa"/>
            <w:gridSpan w:val="2"/>
            <w:tcBorders>
              <w:top w:val="single" w:color="000000" w:sz="4" w:space="0"/>
              <w:left w:val="nil"/>
              <w:bottom w:val="single" w:color="000000"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资金总额</w:t>
            </w:r>
          </w:p>
        </w:tc>
        <w:tc>
          <w:tcPr>
            <w:tcW w:w="1795" w:type="dxa"/>
            <w:gridSpan w:val="2"/>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财政拨款</w:t>
            </w:r>
          </w:p>
        </w:tc>
        <w:tc>
          <w:tcPr>
            <w:tcW w:w="4087" w:type="dxa"/>
            <w:gridSpan w:val="3"/>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其他资金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收入预算</w:t>
            </w:r>
          </w:p>
        </w:tc>
        <w:tc>
          <w:tcPr>
            <w:tcW w:w="2049" w:type="dxa"/>
            <w:gridSpan w:val="2"/>
            <w:tcBorders>
              <w:top w:val="single" w:color="000000" w:sz="4" w:space="0"/>
              <w:left w:val="nil"/>
              <w:bottom w:val="single" w:color="000000"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both"/>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24000000</w:t>
            </w:r>
          </w:p>
        </w:tc>
        <w:tc>
          <w:tcPr>
            <w:tcW w:w="1795" w:type="dxa"/>
            <w:gridSpan w:val="2"/>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both"/>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24000000</w:t>
            </w:r>
          </w:p>
        </w:tc>
        <w:tc>
          <w:tcPr>
            <w:tcW w:w="4087" w:type="dxa"/>
            <w:gridSpan w:val="3"/>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both"/>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支出预算</w:t>
            </w:r>
          </w:p>
        </w:tc>
        <w:tc>
          <w:tcPr>
            <w:tcW w:w="2049"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both"/>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13650570</w:t>
            </w:r>
          </w:p>
        </w:tc>
        <w:tc>
          <w:tcPr>
            <w:tcW w:w="1795" w:type="dxa"/>
            <w:gridSpan w:val="2"/>
            <w:tcBorders>
              <w:top w:val="single" w:color="auto"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13650570</w:t>
            </w:r>
          </w:p>
        </w:tc>
        <w:tc>
          <w:tcPr>
            <w:tcW w:w="4087" w:type="dxa"/>
            <w:gridSpan w:val="3"/>
            <w:tcBorders>
              <w:top w:val="single" w:color="auto"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both"/>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年度总体目标</w:t>
            </w:r>
          </w:p>
        </w:tc>
        <w:tc>
          <w:tcPr>
            <w:tcW w:w="7931" w:type="dxa"/>
            <w:gridSpan w:val="7"/>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both"/>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充分发挥审判职能，推进社会矛盾化解；及时审理各类民商事纠纷案件；积极稳妥地审理好行政案件；加强执行工作，确保权利人的合法权利得到实现；加强立案、信访接待工作；加强审判质量评审与管理，提升审判质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jc w:val="center"/>
        </w:trPr>
        <w:tc>
          <w:tcPr>
            <w:tcW w:w="331" w:type="dxa"/>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管理效率</w:t>
            </w:r>
          </w:p>
        </w:tc>
        <w:tc>
          <w:tcPr>
            <w:tcW w:w="850" w:type="dxa"/>
            <w:vMerge w:val="restar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一级指标</w:t>
            </w:r>
          </w:p>
        </w:tc>
        <w:tc>
          <w:tcPr>
            <w:tcW w:w="546" w:type="dxa"/>
            <w:vMerge w:val="restart"/>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二级指标</w:t>
            </w:r>
          </w:p>
        </w:tc>
        <w:tc>
          <w:tcPr>
            <w:tcW w:w="1246" w:type="dxa"/>
            <w:vMerge w:val="restart"/>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三级指标</w:t>
            </w:r>
          </w:p>
        </w:tc>
        <w:tc>
          <w:tcPr>
            <w:tcW w:w="803" w:type="dxa"/>
            <w:vMerge w:val="restart"/>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指标值</w:t>
            </w:r>
          </w:p>
        </w:tc>
        <w:tc>
          <w:tcPr>
            <w:tcW w:w="3951" w:type="dxa"/>
            <w:gridSpan w:val="4"/>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指标设置参考值</w:t>
            </w:r>
          </w:p>
        </w:tc>
        <w:tc>
          <w:tcPr>
            <w:tcW w:w="1931" w:type="dxa"/>
            <w:vMerge w:val="restart"/>
            <w:tcBorders>
              <w:top w:val="single" w:color="000000" w:sz="4" w:space="0"/>
              <w:left w:val="nil"/>
              <w:bottom w:val="nil"/>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指标实际完成值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jc w:val="center"/>
        </w:trPr>
        <w:tc>
          <w:tcPr>
            <w:tcW w:w="331" w:type="dxa"/>
            <w:vMerge w:val="continue"/>
            <w:tcBorders>
              <w:top w:val="nil"/>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50" w:type="dxa"/>
            <w:vMerge w:val="continue"/>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46" w:type="dxa"/>
            <w:vMerge w:val="continue"/>
            <w:tcBorders>
              <w:top w:val="single" w:color="000000" w:sz="4" w:space="0"/>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46" w:type="dxa"/>
            <w:vMerge w:val="continue"/>
            <w:tcBorders>
              <w:top w:val="single" w:color="000000" w:sz="4" w:space="0"/>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03" w:type="dxa"/>
            <w:vMerge w:val="continue"/>
            <w:tcBorders>
              <w:top w:val="single" w:color="000000" w:sz="4" w:space="0"/>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77" w:type="dxa"/>
            <w:tcBorders>
              <w:top w:val="single" w:color="000000" w:sz="4" w:space="0"/>
              <w:left w:val="nil"/>
              <w:bottom w:val="nil"/>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三年</w:t>
            </w:r>
          </w:p>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均值</w:t>
            </w:r>
          </w:p>
        </w:tc>
        <w:tc>
          <w:tcPr>
            <w:tcW w:w="101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2023年</w:t>
            </w:r>
          </w:p>
        </w:tc>
        <w:tc>
          <w:tcPr>
            <w:tcW w:w="1045"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2024年</w:t>
            </w:r>
          </w:p>
        </w:tc>
        <w:tc>
          <w:tcPr>
            <w:tcW w:w="111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2025年</w:t>
            </w:r>
          </w:p>
        </w:tc>
        <w:tc>
          <w:tcPr>
            <w:tcW w:w="1931" w:type="dxa"/>
            <w:vMerge w:val="continue"/>
            <w:tcBorders>
              <w:top w:val="single" w:color="000000" w:sz="4" w:space="0"/>
              <w:left w:val="nil"/>
              <w:bottom w:val="nil"/>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331" w:type="dxa"/>
            <w:vMerge w:val="continue"/>
            <w:tcBorders>
              <w:top w:val="nil"/>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50" w:type="dxa"/>
            <w:vMerge w:val="restar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成本指标</w:t>
            </w:r>
          </w:p>
        </w:tc>
        <w:tc>
          <w:tcPr>
            <w:tcW w:w="546" w:type="dxa"/>
            <w:vMerge w:val="restar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预算管理</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财政拨款预算编制偏离度</w:t>
            </w:r>
          </w:p>
        </w:tc>
        <w:tc>
          <w:tcPr>
            <w:tcW w:w="803"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≤225%</w:t>
            </w:r>
          </w:p>
        </w:tc>
        <w:tc>
          <w:tcPr>
            <w:tcW w:w="77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39.3%</w:t>
            </w:r>
          </w:p>
        </w:tc>
        <w:tc>
          <w:tcPr>
            <w:tcW w:w="101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14.16%</w:t>
            </w:r>
          </w:p>
        </w:tc>
        <w:tc>
          <w:tcPr>
            <w:tcW w:w="1045"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56.9%</w:t>
            </w:r>
          </w:p>
        </w:tc>
        <w:tc>
          <w:tcPr>
            <w:tcW w:w="111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46.83%</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331" w:type="dxa"/>
            <w:vMerge w:val="continue"/>
            <w:tcBorders>
              <w:top w:val="nil"/>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50" w:type="dxa"/>
            <w:vMerge w:val="continue"/>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46" w:type="dxa"/>
            <w:vMerge w:val="continue"/>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单位收入统筹度</w:t>
            </w:r>
          </w:p>
        </w:tc>
        <w:tc>
          <w:tcPr>
            <w:tcW w:w="803"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≥90%</w:t>
            </w:r>
          </w:p>
        </w:tc>
        <w:tc>
          <w:tcPr>
            <w:tcW w:w="77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89.33%</w:t>
            </w:r>
          </w:p>
        </w:tc>
        <w:tc>
          <w:tcPr>
            <w:tcW w:w="101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90%</w:t>
            </w:r>
          </w:p>
        </w:tc>
        <w:tc>
          <w:tcPr>
            <w:tcW w:w="1045"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88%</w:t>
            </w:r>
          </w:p>
        </w:tc>
        <w:tc>
          <w:tcPr>
            <w:tcW w:w="111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90%</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331" w:type="dxa"/>
            <w:vMerge w:val="continue"/>
            <w:tcBorders>
              <w:top w:val="nil"/>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50" w:type="dxa"/>
            <w:vMerge w:val="continue"/>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46" w:type="dxa"/>
            <w:vMerge w:val="continue"/>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预算年终结余率</w:t>
            </w:r>
          </w:p>
        </w:tc>
        <w:tc>
          <w:tcPr>
            <w:tcW w:w="803"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≤15%</w:t>
            </w:r>
          </w:p>
        </w:tc>
        <w:tc>
          <w:tcPr>
            <w:tcW w:w="77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15.35%</w:t>
            </w:r>
          </w:p>
        </w:tc>
        <w:tc>
          <w:tcPr>
            <w:tcW w:w="101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0.05%</w:t>
            </w:r>
          </w:p>
        </w:tc>
        <w:tc>
          <w:tcPr>
            <w:tcW w:w="1045"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16%</w:t>
            </w:r>
          </w:p>
        </w:tc>
        <w:tc>
          <w:tcPr>
            <w:tcW w:w="111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30%</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331" w:type="dxa"/>
            <w:vMerge w:val="continue"/>
            <w:tcBorders>
              <w:top w:val="nil"/>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50" w:type="dxa"/>
            <w:vMerge w:val="continue"/>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46" w:type="dxa"/>
            <w:vMerge w:val="continue"/>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一般性支出金额</w:t>
            </w:r>
          </w:p>
        </w:tc>
        <w:tc>
          <w:tcPr>
            <w:tcW w:w="803"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≤655994.04万元</w:t>
            </w:r>
          </w:p>
        </w:tc>
        <w:tc>
          <w:tcPr>
            <w:tcW w:w="3951" w:type="dxa"/>
            <w:gridSpan w:val="4"/>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2031833.44为上年一般性支出金额</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331" w:type="dxa"/>
            <w:vMerge w:val="continue"/>
            <w:tcBorders>
              <w:top w:val="nil"/>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50" w:type="dxa"/>
            <w:vMerge w:val="continue"/>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46"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财务管理</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财务管理规范</w:t>
            </w:r>
          </w:p>
        </w:tc>
        <w:tc>
          <w:tcPr>
            <w:tcW w:w="803"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良</w:t>
            </w:r>
          </w:p>
        </w:tc>
        <w:tc>
          <w:tcPr>
            <w:tcW w:w="3951" w:type="dxa"/>
            <w:gridSpan w:val="4"/>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“良”</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331" w:type="dxa"/>
            <w:vMerge w:val="continue"/>
            <w:tcBorders>
              <w:top w:val="nil"/>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50" w:type="dxa"/>
            <w:vMerge w:val="continue"/>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46"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资产管理</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资产配置预算偏离度</w:t>
            </w:r>
          </w:p>
        </w:tc>
        <w:tc>
          <w:tcPr>
            <w:tcW w:w="803"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≤10%</w:t>
            </w:r>
          </w:p>
        </w:tc>
        <w:tc>
          <w:tcPr>
            <w:tcW w:w="77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10.67%</w:t>
            </w:r>
          </w:p>
        </w:tc>
        <w:tc>
          <w:tcPr>
            <w:tcW w:w="101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p>
        </w:tc>
        <w:tc>
          <w:tcPr>
            <w:tcW w:w="1045"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p>
        </w:tc>
        <w:tc>
          <w:tcPr>
            <w:tcW w:w="111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331" w:type="dxa"/>
            <w:vMerge w:val="continue"/>
            <w:tcBorders>
              <w:top w:val="nil"/>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50" w:type="dxa"/>
            <w:vMerge w:val="continue"/>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46"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采购管理</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采购执行率</w:t>
            </w:r>
          </w:p>
        </w:tc>
        <w:tc>
          <w:tcPr>
            <w:tcW w:w="803"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≥90%</w:t>
            </w:r>
          </w:p>
        </w:tc>
        <w:tc>
          <w:tcPr>
            <w:tcW w:w="77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88.33%</w:t>
            </w:r>
          </w:p>
        </w:tc>
        <w:tc>
          <w:tcPr>
            <w:tcW w:w="101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p>
        </w:tc>
        <w:tc>
          <w:tcPr>
            <w:tcW w:w="1045"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p>
        </w:tc>
        <w:tc>
          <w:tcPr>
            <w:tcW w:w="111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jc w:val="center"/>
        </w:trPr>
        <w:tc>
          <w:tcPr>
            <w:tcW w:w="331" w:type="dxa"/>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履职效能</w:t>
            </w:r>
          </w:p>
        </w:tc>
        <w:tc>
          <w:tcPr>
            <w:tcW w:w="850"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一级指标</w:t>
            </w:r>
          </w:p>
        </w:tc>
        <w:tc>
          <w:tcPr>
            <w:tcW w:w="546"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二级指标</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三级指标</w:t>
            </w:r>
          </w:p>
        </w:tc>
        <w:tc>
          <w:tcPr>
            <w:tcW w:w="4754"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指标值（包含数字及文字描述）</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jc w:val="center"/>
        </w:trPr>
        <w:tc>
          <w:tcPr>
            <w:tcW w:w="331" w:type="dxa"/>
            <w:vMerge w:val="continue"/>
            <w:tcBorders>
              <w:top w:val="nil"/>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50" w:type="dxa"/>
            <w:vMerge w:val="restar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产出指标</w:t>
            </w:r>
          </w:p>
        </w:tc>
        <w:tc>
          <w:tcPr>
            <w:tcW w:w="546"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数量指标</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案件审结完成率</w:t>
            </w:r>
          </w:p>
        </w:tc>
        <w:tc>
          <w:tcPr>
            <w:tcW w:w="4754"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default" w:ascii="Arial" w:hAnsi="Arial" w:eastAsia="宋体" w:cs="Arial"/>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90%</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jc w:val="center"/>
        </w:trPr>
        <w:tc>
          <w:tcPr>
            <w:tcW w:w="331" w:type="dxa"/>
            <w:vMerge w:val="continue"/>
            <w:tcBorders>
              <w:top w:val="nil"/>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50" w:type="dxa"/>
            <w:vMerge w:val="continue"/>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46"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both"/>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质量指标</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both"/>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两庭及装备更新维护率</w:t>
            </w:r>
          </w:p>
        </w:tc>
        <w:tc>
          <w:tcPr>
            <w:tcW w:w="4754"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default" w:ascii="Arial" w:hAnsi="Arial" w:eastAsia="宋体" w:cs="Arial"/>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90%</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jc w:val="center"/>
        </w:trPr>
        <w:tc>
          <w:tcPr>
            <w:tcW w:w="331" w:type="dxa"/>
            <w:vMerge w:val="continue"/>
            <w:tcBorders>
              <w:top w:val="nil"/>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50" w:type="dxa"/>
            <w:vMerge w:val="continue"/>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46"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质量指标</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上诉率</w:t>
            </w:r>
          </w:p>
        </w:tc>
        <w:tc>
          <w:tcPr>
            <w:tcW w:w="4754"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≤10%</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jc w:val="center"/>
        </w:trPr>
        <w:tc>
          <w:tcPr>
            <w:tcW w:w="331" w:type="dxa"/>
            <w:vMerge w:val="continue"/>
            <w:tcBorders>
              <w:top w:val="nil"/>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50" w:type="dxa"/>
            <w:vMerge w:val="restar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效益指标</w:t>
            </w:r>
          </w:p>
        </w:tc>
        <w:tc>
          <w:tcPr>
            <w:tcW w:w="546"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社会效益指标</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民事案件调解率</w:t>
            </w:r>
          </w:p>
        </w:tc>
        <w:tc>
          <w:tcPr>
            <w:tcW w:w="4754"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default" w:ascii="Arial" w:hAnsi="Arial" w:eastAsia="宋体" w:cs="Arial"/>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65%</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jc w:val="center"/>
        </w:trPr>
        <w:tc>
          <w:tcPr>
            <w:tcW w:w="331" w:type="dxa"/>
            <w:vMerge w:val="continue"/>
            <w:tcBorders>
              <w:top w:val="nil"/>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50" w:type="dxa"/>
            <w:vMerge w:val="continue"/>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46"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w:t>
            </w:r>
          </w:p>
        </w:tc>
        <w:tc>
          <w:tcPr>
            <w:tcW w:w="4754"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jc w:val="center"/>
        </w:trPr>
        <w:tc>
          <w:tcPr>
            <w:tcW w:w="331" w:type="dxa"/>
            <w:vMerge w:val="continue"/>
            <w:tcBorders>
              <w:top w:val="nil"/>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50" w:type="dxa"/>
            <w:vMerge w:val="continue"/>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46"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w:t>
            </w:r>
          </w:p>
        </w:tc>
        <w:tc>
          <w:tcPr>
            <w:tcW w:w="4754"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000000"/>
                <w:kern w:val="0"/>
                <w:sz w:val="24"/>
                <w:szCs w:val="24"/>
              </w:rPr>
            </w:pP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240" w:lineRule="exact"/>
              <w:ind w:left="0" w:right="0"/>
              <w:jc w:val="both"/>
              <w:textAlignment w:val="center"/>
              <w:rPr>
                <w:rFonts w:hint="eastAsia" w:ascii="宋体" w:hAnsi="宋体" w:eastAsia="宋体" w:cs="宋体"/>
                <w:color w:val="000000"/>
                <w:kern w:val="0"/>
                <w:sz w:val="24"/>
                <w:szCs w:val="24"/>
              </w:rPr>
            </w:pPr>
          </w:p>
        </w:tc>
      </w:tr>
    </w:tbl>
    <w:p>
      <w:pPr>
        <w:keepNext w:val="0"/>
        <w:keepLines w:val="0"/>
        <w:widowControl w:val="0"/>
        <w:suppressLineNumbers w:val="0"/>
        <w:spacing w:before="0" w:beforeAutospacing="0" w:after="0" w:afterAutospacing="0"/>
        <w:ind w:left="0" w:right="0"/>
        <w:jc w:val="both"/>
        <w:rPr>
          <w:rFonts w:hint="default" w:ascii="Times New Roman" w:hAnsi="Times New Roman" w:eastAsia="黑体" w:cs="Times New Roman"/>
          <w:kern w:val="2"/>
          <w:sz w:val="24"/>
          <w:szCs w:val="24"/>
        </w:rPr>
      </w:pPr>
    </w:p>
    <w:p>
      <w:pPr>
        <w:keepNext w:val="0"/>
        <w:keepLines w:val="0"/>
        <w:widowControl w:val="0"/>
        <w:suppressLineNumbers w:val="0"/>
        <w:spacing w:before="0" w:beforeAutospacing="0" w:after="0" w:afterAutospacing="0"/>
        <w:ind w:left="0" w:right="0"/>
        <w:jc w:val="both"/>
        <w:rPr>
          <w:rFonts w:hint="default" w:ascii="Times New Roman" w:hAnsi="Times New Roman" w:eastAsia="黑体" w:cs="Times New Roman"/>
          <w:kern w:val="2"/>
          <w:sz w:val="32"/>
          <w:szCs w:val="32"/>
        </w:rPr>
      </w:pPr>
      <w:r>
        <w:rPr>
          <w:rFonts w:hint="default" w:ascii="Times New Roman" w:hAnsi="Times New Roman" w:eastAsia="黑体" w:cs="Times New Roman"/>
          <w:kern w:val="2"/>
          <w:sz w:val="32"/>
          <w:szCs w:val="32"/>
          <w:lang w:val="en-US" w:eastAsia="zh-CN" w:bidi="ar"/>
        </w:rPr>
        <w:br w:type="page"/>
      </w:r>
    </w:p>
    <w:p>
      <w:pPr>
        <w:pStyle w:val="3"/>
        <w:widowControl/>
        <w:spacing w:before="0" w:beforeAutospacing="1" w:after="0" w:afterAutospacing="0" w:line="578" w:lineRule="exact"/>
        <w:ind w:left="0" w:leftChars="0" w:right="0" w:firstLine="0" w:firstLineChars="0"/>
        <w:rPr>
          <w:rFonts w:hint="default" w:ascii="Times New Roman" w:hAnsi="Times New Roman" w:eastAsia="黑体" w:cs="Times New Roman"/>
          <w:kern w:val="2"/>
          <w:sz w:val="32"/>
          <w:szCs w:val="32"/>
        </w:rPr>
      </w:pPr>
      <w:r>
        <w:rPr>
          <w:rFonts w:hint="default" w:ascii="黑体" w:hAnsi="宋体" w:eastAsia="黑体" w:cs="黑体"/>
          <w:kern w:val="2"/>
          <w:sz w:val="32"/>
          <w:szCs w:val="32"/>
        </w:rPr>
        <w:t>附表</w:t>
      </w:r>
      <w:r>
        <w:rPr>
          <w:rFonts w:hint="default" w:ascii="Times New Roman" w:hAnsi="Times New Roman" w:eastAsia="黑体" w:cs="Times New Roman"/>
          <w:kern w:val="2"/>
          <w:sz w:val="32"/>
          <w:szCs w:val="32"/>
        </w:rPr>
        <w:t>3</w:t>
      </w:r>
    </w:p>
    <w:tbl>
      <w:tblPr>
        <w:tblStyle w:val="16"/>
        <w:tblpPr w:leftFromText="180" w:rightFromText="180" w:vertAnchor="text" w:horzAnchor="page" w:tblpXSpec="center" w:tblpY="562"/>
        <w:tblOverlap w:val="never"/>
        <w:tblW w:w="974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7"/>
        <w:gridCol w:w="1622"/>
        <w:gridCol w:w="1421"/>
        <w:gridCol w:w="1823"/>
        <w:gridCol w:w="487"/>
        <w:gridCol w:w="773"/>
        <w:gridCol w:w="1022"/>
        <w:gridCol w:w="503"/>
        <w:gridCol w:w="434"/>
        <w:gridCol w:w="10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97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黑体" w:hAnsi="宋体" w:eastAsia="黑体" w:cs="黑体"/>
                <w:b/>
                <w:bCs/>
                <w:color w:val="000000"/>
                <w:kern w:val="2"/>
                <w:sz w:val="30"/>
                <w:szCs w:val="30"/>
              </w:rPr>
            </w:pPr>
            <w:r>
              <w:rPr>
                <w:rFonts w:hint="default" w:ascii="黑体" w:hAnsi="宋体" w:eastAsia="黑体" w:cs="黑体"/>
                <w:b/>
                <w:bCs/>
                <w:color w:val="000000"/>
                <w:kern w:val="0"/>
                <w:sz w:val="30"/>
                <w:szCs w:val="30"/>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2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项目名称</w:t>
            </w:r>
          </w:p>
        </w:tc>
        <w:tc>
          <w:tcPr>
            <w:tcW w:w="7468" w:type="dxa"/>
            <w:gridSpan w:val="8"/>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51320022T000007034896-代管资金收入援建资金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jc w:val="center"/>
        </w:trPr>
        <w:tc>
          <w:tcPr>
            <w:tcW w:w="22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主管部门</w:t>
            </w:r>
          </w:p>
        </w:tc>
        <w:tc>
          <w:tcPr>
            <w:tcW w:w="4504"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马尔康市人民法院部门</w:t>
            </w:r>
          </w:p>
        </w:tc>
        <w:tc>
          <w:tcPr>
            <w:tcW w:w="1022"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黑体" w:hAnsi="宋体" w:eastAsia="黑体" w:cs="黑体"/>
                <w:color w:val="000000"/>
                <w:kern w:val="2"/>
                <w:sz w:val="18"/>
                <w:szCs w:val="18"/>
              </w:rPr>
            </w:pPr>
            <w:r>
              <w:rPr>
                <w:rFonts w:hint="default" w:ascii="黑体" w:hAnsi="宋体" w:eastAsia="黑体" w:cs="黑体"/>
                <w:color w:val="000000"/>
                <w:kern w:val="0"/>
                <w:sz w:val="18"/>
                <w:szCs w:val="18"/>
                <w:lang w:val="en-US" w:eastAsia="zh-CN" w:bidi="ar"/>
              </w:rPr>
              <w:t>实施单位（盖章）</w:t>
            </w:r>
          </w:p>
        </w:tc>
        <w:tc>
          <w:tcPr>
            <w:tcW w:w="19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马尔康市法院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657"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项目基本情况</w:t>
            </w:r>
          </w:p>
        </w:tc>
        <w:tc>
          <w:tcPr>
            <w:tcW w:w="1622"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1.项目年度目标完成情况</w:t>
            </w:r>
          </w:p>
        </w:tc>
        <w:tc>
          <w:tcPr>
            <w:tcW w:w="4504"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项目年度目标</w:t>
            </w:r>
          </w:p>
        </w:tc>
        <w:tc>
          <w:tcPr>
            <w:tcW w:w="2964"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黑体" w:hAnsi="宋体" w:eastAsia="黑体" w:cs="黑体"/>
                <w:color w:val="000000"/>
                <w:kern w:val="2"/>
                <w:sz w:val="18"/>
                <w:szCs w:val="18"/>
              </w:rPr>
            </w:pPr>
            <w:r>
              <w:rPr>
                <w:rFonts w:hint="default" w:ascii="黑体" w:hAnsi="宋体" w:eastAsia="黑体" w:cs="黑体"/>
                <w:color w:val="000000"/>
                <w:kern w:val="0"/>
                <w:sz w:val="18"/>
                <w:szCs w:val="18"/>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9"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504"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为深入贯彻落实省、市法院对口支援藏区法院的工作要求，对口支援我院的达州市两级法院、崇州市人民法院等单位，捐赠援建我院资金38万元。按照财政资金管理工作要求，为充分发挥援建资金作用，结合我院工作实际，根据对口援建法院调研要求，将该援建资金38万元，用于我院“干警之家”项目及零星维修项目的支出，以提升法院文化建设及基础设施建设。</w:t>
            </w:r>
          </w:p>
        </w:tc>
        <w:tc>
          <w:tcPr>
            <w:tcW w:w="2964"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黑体" w:hAnsi="宋体" w:eastAsia="黑体" w:cs="黑体"/>
                <w:color w:val="000000"/>
                <w:kern w:val="2"/>
                <w:sz w:val="18"/>
                <w:szCs w:val="18"/>
              </w:rPr>
            </w:pPr>
            <w:r>
              <w:rPr>
                <w:rFonts w:hint="default" w:ascii="黑体" w:hAnsi="宋体" w:eastAsia="黑体" w:cs="黑体"/>
                <w:color w:val="000000"/>
                <w:kern w:val="0"/>
                <w:sz w:val="18"/>
                <w:szCs w:val="18"/>
                <w:lang w:val="en-US" w:eastAsia="zh-CN" w:bidi="ar"/>
              </w:rPr>
              <w:t>该项目已全部实施完成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2.项目实施内容及过程概述</w:t>
            </w:r>
          </w:p>
        </w:tc>
        <w:tc>
          <w:tcPr>
            <w:tcW w:w="7468" w:type="dxa"/>
            <w:gridSpan w:val="8"/>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主要用于我院“干警之家”项目及零星维修项目支出，以提升法院文化建设及基础设施建设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657"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预算执行情况（10分）</w:t>
            </w: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年度预算数（万元）</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年初预算</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调整后预算数</w:t>
            </w:r>
          </w:p>
        </w:tc>
        <w:tc>
          <w:tcPr>
            <w:tcW w:w="1260"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预算执行数</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预算执行率</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权重</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得分</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总额</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61.08</w:t>
            </w:r>
          </w:p>
        </w:tc>
        <w:tc>
          <w:tcPr>
            <w:tcW w:w="1260"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61.08</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100.00%</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kern w:val="2"/>
                <w:sz w:val="18"/>
                <w:szCs w:val="18"/>
              </w:rPr>
            </w:pPr>
          </w:p>
        </w:tc>
        <w:tc>
          <w:tcPr>
            <w:tcW w:w="1005"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黑体" w:hAnsi="宋体" w:eastAsia="黑体" w:cs="黑体"/>
                <w:i/>
                <w:iCs/>
                <w:color w:val="000000"/>
                <w:kern w:val="2"/>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其中：财政资金</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260"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100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财政专户管理资金</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260"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100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单位资金</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61.08</w:t>
            </w:r>
          </w:p>
        </w:tc>
        <w:tc>
          <w:tcPr>
            <w:tcW w:w="1260"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61.08</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100.00%</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100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其他资金</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c>
          <w:tcPr>
            <w:tcW w:w="1260"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100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657"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绩效指标（90分）</w:t>
            </w: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一级指标</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二级指标</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三级指标</w:t>
            </w:r>
          </w:p>
        </w:tc>
        <w:tc>
          <w:tcPr>
            <w:tcW w:w="48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指标性质</w:t>
            </w:r>
          </w:p>
        </w:tc>
        <w:tc>
          <w:tcPr>
            <w:tcW w:w="77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指标值</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完成值</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权重</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得分</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产出指标</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数量指标</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一审案件审结率</w:t>
            </w:r>
          </w:p>
        </w:tc>
        <w:tc>
          <w:tcPr>
            <w:tcW w:w="48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77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95</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iCs/>
                <w:color w:val="000000"/>
                <w:kern w:val="2"/>
                <w:sz w:val="16"/>
                <w:szCs w:val="16"/>
              </w:rPr>
            </w:pPr>
            <w:r>
              <w:rPr>
                <w:rFonts w:hint="default" w:ascii="微软雅黑" w:hAnsi="微软雅黑" w:eastAsia="微软雅黑" w:cs="微软雅黑"/>
                <w:i/>
                <w:iCs/>
                <w:color w:val="000000"/>
                <w:kern w:val="0"/>
                <w:sz w:val="16"/>
                <w:szCs w:val="16"/>
                <w:lang w:val="en-US" w:eastAsia="zh-CN" w:bidi="ar"/>
              </w:rPr>
              <w:t>95.63%</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20</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20</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时效指标</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案件结案时限</w:t>
            </w:r>
          </w:p>
        </w:tc>
        <w:tc>
          <w:tcPr>
            <w:tcW w:w="48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77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180</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iCs/>
                <w:color w:val="000000"/>
                <w:kern w:val="2"/>
                <w:sz w:val="16"/>
                <w:szCs w:val="16"/>
              </w:rPr>
            </w:pPr>
            <w:r>
              <w:rPr>
                <w:rFonts w:hint="default" w:ascii="微软雅黑" w:hAnsi="微软雅黑" w:eastAsia="微软雅黑" w:cs="微软雅黑"/>
                <w:i/>
                <w:iCs/>
                <w:color w:val="000000"/>
                <w:kern w:val="0"/>
                <w:sz w:val="16"/>
                <w:szCs w:val="16"/>
                <w:lang w:val="en-US" w:eastAsia="zh-CN" w:bidi="ar"/>
              </w:rPr>
              <w:t>46.61</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20</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20</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效益指标</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经济效益指标</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执行标的额到位率</w:t>
            </w:r>
          </w:p>
        </w:tc>
        <w:tc>
          <w:tcPr>
            <w:tcW w:w="48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77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80</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iCs/>
                <w:color w:val="000000"/>
                <w:kern w:val="2"/>
                <w:sz w:val="16"/>
                <w:szCs w:val="16"/>
              </w:rPr>
            </w:pPr>
            <w:r>
              <w:rPr>
                <w:rFonts w:hint="default" w:ascii="微软雅黑" w:hAnsi="微软雅黑" w:eastAsia="微软雅黑" w:cs="微软雅黑"/>
                <w:i/>
                <w:iCs/>
                <w:color w:val="000000"/>
                <w:kern w:val="0"/>
                <w:sz w:val="16"/>
                <w:szCs w:val="16"/>
                <w:lang w:val="en-US" w:eastAsia="zh-CN" w:bidi="ar"/>
              </w:rPr>
              <w:t>40.6</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20</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iCs/>
                <w:color w:val="000000"/>
                <w:kern w:val="2"/>
                <w:sz w:val="16"/>
                <w:szCs w:val="16"/>
              </w:rPr>
            </w:pPr>
            <w:r>
              <w:rPr>
                <w:rFonts w:hint="default" w:ascii="微软雅黑" w:hAnsi="微软雅黑" w:eastAsia="微软雅黑" w:cs="微软雅黑"/>
                <w:i/>
                <w:iCs/>
                <w:color w:val="000000"/>
                <w:kern w:val="0"/>
                <w:sz w:val="16"/>
                <w:szCs w:val="16"/>
                <w:lang w:val="en-US" w:eastAsia="zh-CN" w:bidi="ar"/>
              </w:rPr>
              <w:t>部分案件无财产可供执行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社会效益指标</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民事案件调解率</w:t>
            </w:r>
          </w:p>
        </w:tc>
        <w:tc>
          <w:tcPr>
            <w:tcW w:w="48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77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iCs/>
                <w:color w:val="000000"/>
                <w:kern w:val="2"/>
                <w:sz w:val="16"/>
                <w:szCs w:val="16"/>
              </w:rPr>
            </w:pPr>
            <w:r>
              <w:rPr>
                <w:rFonts w:hint="default" w:ascii="微软雅黑" w:hAnsi="微软雅黑" w:eastAsia="微软雅黑" w:cs="微软雅黑"/>
                <w:i/>
                <w:iCs/>
                <w:color w:val="000000"/>
                <w:kern w:val="0"/>
                <w:sz w:val="16"/>
                <w:szCs w:val="16"/>
                <w:lang w:val="en-US" w:eastAsia="zh-CN" w:bidi="ar"/>
              </w:rPr>
              <w:t>97.43%</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20</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20</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满意度指标</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服务对象满意度指标</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服判息诉率</w:t>
            </w:r>
          </w:p>
        </w:tc>
        <w:tc>
          <w:tcPr>
            <w:tcW w:w="48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77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95</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iCs/>
                <w:color w:val="000000"/>
                <w:kern w:val="2"/>
                <w:sz w:val="16"/>
                <w:szCs w:val="16"/>
              </w:rPr>
            </w:pPr>
            <w:r>
              <w:rPr>
                <w:rFonts w:hint="default" w:ascii="微软雅黑" w:hAnsi="微软雅黑" w:eastAsia="微软雅黑" w:cs="微软雅黑"/>
                <w:i/>
                <w:iCs/>
                <w:color w:val="000000"/>
                <w:kern w:val="0"/>
                <w:sz w:val="16"/>
                <w:szCs w:val="16"/>
                <w:lang w:val="en-US" w:eastAsia="zh-CN" w:bidi="ar"/>
              </w:rPr>
              <w:t>98</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80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合计</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100</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90</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jc w:val="center"/>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评价结论</w:t>
            </w:r>
          </w:p>
        </w:tc>
        <w:tc>
          <w:tcPr>
            <w:tcW w:w="9090" w:type="dxa"/>
            <w:gridSpan w:val="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微软雅黑" w:hAnsi="微软雅黑" w:eastAsia="微软雅黑" w:cs="微软雅黑"/>
                <w:i/>
                <w:iCs/>
                <w:color w:val="000000"/>
                <w:kern w:val="2"/>
                <w:sz w:val="16"/>
                <w:szCs w:val="16"/>
              </w:rPr>
            </w:pPr>
            <w:r>
              <w:rPr>
                <w:rFonts w:hint="default" w:ascii="微软雅黑" w:hAnsi="微软雅黑" w:eastAsia="微软雅黑" w:cs="微软雅黑"/>
                <w:i/>
                <w:iCs/>
                <w:color w:val="000000"/>
                <w:kern w:val="0"/>
                <w:sz w:val="16"/>
                <w:szCs w:val="16"/>
                <w:lang w:val="en-US" w:eastAsia="zh-CN" w:bidi="ar"/>
              </w:rPr>
              <w:t>主要用于我院“干警之家”项目及零星维修项目支出，以提升法院文化建设及基础设施建设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jc w:val="center"/>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存在问题</w:t>
            </w:r>
          </w:p>
        </w:tc>
        <w:tc>
          <w:tcPr>
            <w:tcW w:w="9090" w:type="dxa"/>
            <w:gridSpan w:val="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微软雅黑" w:hAnsi="微软雅黑" w:eastAsia="微软雅黑" w:cs="微软雅黑"/>
                <w:i/>
                <w:iCs/>
                <w:color w:val="000000"/>
                <w:kern w:val="2"/>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jc w:val="center"/>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改进措施</w:t>
            </w:r>
          </w:p>
        </w:tc>
        <w:tc>
          <w:tcPr>
            <w:tcW w:w="9090" w:type="dxa"/>
            <w:gridSpan w:val="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微软雅黑" w:hAnsi="微软雅黑" w:eastAsia="微软雅黑" w:cs="微软雅黑"/>
                <w:i/>
                <w:iCs/>
                <w:color w:val="000000"/>
                <w:kern w:val="2"/>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6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黑体" w:hAnsi="宋体" w:eastAsia="黑体" w:cs="黑体"/>
                <w:color w:val="000000"/>
                <w:kern w:val="2"/>
                <w:sz w:val="18"/>
                <w:szCs w:val="18"/>
              </w:rPr>
            </w:pPr>
            <w:r>
              <w:rPr>
                <w:rFonts w:hint="default" w:ascii="黑体" w:hAnsi="宋体" w:eastAsia="黑体" w:cs="黑体"/>
                <w:color w:val="000000"/>
                <w:kern w:val="0"/>
                <w:sz w:val="18"/>
                <w:szCs w:val="18"/>
                <w:lang w:val="en-US" w:eastAsia="zh-CN" w:bidi="ar"/>
              </w:rPr>
              <w:t>项目负责人：</w:t>
            </w:r>
          </w:p>
        </w:tc>
        <w:tc>
          <w:tcPr>
            <w:tcW w:w="3737"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黑体" w:hAnsi="宋体" w:eastAsia="黑体" w:cs="黑体"/>
                <w:color w:val="000000"/>
                <w:kern w:val="2"/>
                <w:sz w:val="18"/>
                <w:szCs w:val="18"/>
              </w:rPr>
            </w:pPr>
            <w:r>
              <w:rPr>
                <w:rFonts w:hint="default" w:ascii="黑体" w:hAnsi="宋体" w:eastAsia="黑体" w:cs="黑体"/>
                <w:color w:val="000000"/>
                <w:kern w:val="0"/>
                <w:sz w:val="18"/>
                <w:szCs w:val="18"/>
                <w:lang w:val="en-US" w:eastAsia="zh-CN" w:bidi="ar"/>
              </w:rPr>
              <w:t>财务负责人：</w:t>
            </w:r>
          </w:p>
        </w:tc>
      </w:tr>
    </w:tbl>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r>
        <w:rPr>
          <w:rFonts w:hint="eastAsia" w:ascii="宋体" w:hAnsi="宋体" w:eastAsia="宋体" w:cs="宋体"/>
          <w:color w:val="000000"/>
          <w:kern w:val="2"/>
          <w:sz w:val="18"/>
          <w:szCs w:val="18"/>
        </w:rPr>
        <w:br w:type="page"/>
      </w:r>
    </w:p>
    <w:tbl>
      <w:tblPr>
        <w:tblStyle w:val="16"/>
        <w:tblpPr w:leftFromText="180" w:rightFromText="180" w:vertAnchor="text" w:horzAnchor="page" w:tblpXSpec="center" w:tblpY="1"/>
        <w:tblOverlap w:val="never"/>
        <w:tblW w:w="974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7"/>
        <w:gridCol w:w="1622"/>
        <w:gridCol w:w="1421"/>
        <w:gridCol w:w="1823"/>
        <w:gridCol w:w="487"/>
        <w:gridCol w:w="773"/>
        <w:gridCol w:w="1022"/>
        <w:gridCol w:w="503"/>
        <w:gridCol w:w="434"/>
        <w:gridCol w:w="10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657" w:type="dxa"/>
            <w:tcBorders>
              <w:top w:val="nil"/>
              <w:left w:val="nil"/>
              <w:bottom w:val="nil"/>
              <w:right w:val="nil"/>
            </w:tcBorders>
            <w:shd w:val="clear" w:color="auto" w:fill="auto"/>
            <w:vAlign w:val="center"/>
          </w:tcPr>
          <w:p>
            <w:pPr>
              <w:pStyle w:val="2"/>
              <w:keepNext w:val="0"/>
              <w:keepLines w:val="0"/>
              <w:suppressLineNumbers w:val="0"/>
              <w:spacing w:before="0" w:beforeAutospacing="0" w:after="0" w:afterAutospacing="0"/>
              <w:ind w:left="0" w:right="0"/>
              <w:rPr>
                <w:rFonts w:hint="eastAsia"/>
              </w:rPr>
            </w:pPr>
          </w:p>
        </w:tc>
        <w:tc>
          <w:tcPr>
            <w:tcW w:w="1622"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1421"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1823"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487"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773"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1022"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503"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434"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1005"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97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黑体" w:hAnsi="宋体" w:eastAsia="黑体" w:cs="黑体"/>
                <w:b/>
                <w:bCs/>
                <w:color w:val="000000"/>
                <w:kern w:val="2"/>
                <w:sz w:val="30"/>
                <w:szCs w:val="30"/>
              </w:rPr>
            </w:pPr>
            <w:r>
              <w:rPr>
                <w:rFonts w:hint="default" w:ascii="黑体" w:hAnsi="宋体" w:eastAsia="黑体" w:cs="黑体"/>
                <w:b/>
                <w:bCs/>
                <w:color w:val="000000"/>
                <w:kern w:val="0"/>
                <w:sz w:val="30"/>
                <w:szCs w:val="30"/>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2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项目名称</w:t>
            </w:r>
          </w:p>
        </w:tc>
        <w:tc>
          <w:tcPr>
            <w:tcW w:w="7468" w:type="dxa"/>
            <w:gridSpan w:val="8"/>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51320025T000012445519-2024年下半年ZF转移支付资金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jc w:val="center"/>
        </w:trPr>
        <w:tc>
          <w:tcPr>
            <w:tcW w:w="22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主管部门</w:t>
            </w:r>
          </w:p>
        </w:tc>
        <w:tc>
          <w:tcPr>
            <w:tcW w:w="4504"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马尔康市人民法院部门</w:t>
            </w:r>
          </w:p>
        </w:tc>
        <w:tc>
          <w:tcPr>
            <w:tcW w:w="1022"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黑体" w:hAnsi="宋体" w:eastAsia="黑体" w:cs="黑体"/>
                <w:color w:val="000000"/>
                <w:kern w:val="2"/>
                <w:sz w:val="18"/>
                <w:szCs w:val="18"/>
              </w:rPr>
            </w:pPr>
            <w:r>
              <w:rPr>
                <w:rFonts w:hint="default" w:ascii="黑体" w:hAnsi="宋体" w:eastAsia="黑体" w:cs="黑体"/>
                <w:color w:val="000000"/>
                <w:kern w:val="0"/>
                <w:sz w:val="18"/>
                <w:szCs w:val="18"/>
                <w:lang w:val="en-US" w:eastAsia="zh-CN" w:bidi="ar"/>
              </w:rPr>
              <w:t>实施单位（盖章）</w:t>
            </w:r>
          </w:p>
        </w:tc>
        <w:tc>
          <w:tcPr>
            <w:tcW w:w="19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马尔康市法院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657"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项目基本情况</w:t>
            </w:r>
          </w:p>
        </w:tc>
        <w:tc>
          <w:tcPr>
            <w:tcW w:w="1622"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1.项目年度目标完成情况</w:t>
            </w:r>
          </w:p>
        </w:tc>
        <w:tc>
          <w:tcPr>
            <w:tcW w:w="4504"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项目年度目标</w:t>
            </w:r>
          </w:p>
        </w:tc>
        <w:tc>
          <w:tcPr>
            <w:tcW w:w="2964"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黑体" w:hAnsi="宋体" w:eastAsia="黑体" w:cs="黑体"/>
                <w:color w:val="000000"/>
                <w:kern w:val="2"/>
                <w:sz w:val="18"/>
                <w:szCs w:val="18"/>
              </w:rPr>
            </w:pPr>
            <w:r>
              <w:rPr>
                <w:rFonts w:hint="default" w:ascii="黑体" w:hAnsi="宋体" w:eastAsia="黑体" w:cs="黑体"/>
                <w:color w:val="000000"/>
                <w:kern w:val="0"/>
                <w:sz w:val="18"/>
                <w:szCs w:val="18"/>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504"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用于法院办案业务所需差旅费、车辆运维费、维修费、邮电费、电费等支出</w:t>
            </w:r>
          </w:p>
        </w:tc>
        <w:tc>
          <w:tcPr>
            <w:tcW w:w="2964"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黑体" w:hAnsi="宋体" w:eastAsia="黑体" w:cs="黑体"/>
                <w:color w:val="000000"/>
                <w:kern w:val="2"/>
                <w:sz w:val="18"/>
                <w:szCs w:val="18"/>
              </w:rPr>
            </w:pPr>
            <w:r>
              <w:rPr>
                <w:rFonts w:hint="default" w:ascii="黑体" w:hAnsi="宋体" w:eastAsia="黑体" w:cs="黑体"/>
                <w:color w:val="000000"/>
                <w:kern w:val="0"/>
                <w:sz w:val="18"/>
                <w:szCs w:val="18"/>
                <w:lang w:val="en-US" w:eastAsia="zh-CN" w:bidi="ar"/>
              </w:rPr>
              <w:t>该项目已全部实施完成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2.项目实施内容及过程概述</w:t>
            </w:r>
          </w:p>
        </w:tc>
        <w:tc>
          <w:tcPr>
            <w:tcW w:w="7468" w:type="dxa"/>
            <w:gridSpan w:val="8"/>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该项目为上年结转办案业务，主要用于本年度办案业务相关支出，保障法院业务正常推进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657"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预算执行情况（10分）</w:t>
            </w: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年度预算数（万元）</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年初预算</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调整后预算数</w:t>
            </w:r>
          </w:p>
        </w:tc>
        <w:tc>
          <w:tcPr>
            <w:tcW w:w="1260"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预算执行数</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预算执行率</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权重</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得分</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总额</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14.80</w:t>
            </w:r>
          </w:p>
        </w:tc>
        <w:tc>
          <w:tcPr>
            <w:tcW w:w="1260"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14.80</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100.00%</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kern w:val="2"/>
                <w:sz w:val="18"/>
                <w:szCs w:val="18"/>
              </w:rPr>
            </w:pPr>
          </w:p>
        </w:tc>
        <w:tc>
          <w:tcPr>
            <w:tcW w:w="1005"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黑体" w:hAnsi="宋体" w:eastAsia="黑体" w:cs="黑体"/>
                <w:i/>
                <w:iCs/>
                <w:color w:val="000000"/>
                <w:kern w:val="2"/>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其中：财政资金</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14.80</w:t>
            </w:r>
          </w:p>
        </w:tc>
        <w:tc>
          <w:tcPr>
            <w:tcW w:w="1260"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14.80</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100.00%</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100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财政专户管理资金</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260"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100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单位资金</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260"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100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其他资金</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c>
          <w:tcPr>
            <w:tcW w:w="1260"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100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657"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绩效指标（90分）</w:t>
            </w: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一级指标</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二级指标</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三级指标</w:t>
            </w:r>
          </w:p>
        </w:tc>
        <w:tc>
          <w:tcPr>
            <w:tcW w:w="48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指标性质</w:t>
            </w:r>
          </w:p>
        </w:tc>
        <w:tc>
          <w:tcPr>
            <w:tcW w:w="77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指标值</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完成值</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权重</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得分</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产出指标</w:t>
            </w:r>
          </w:p>
        </w:tc>
        <w:tc>
          <w:tcPr>
            <w:tcW w:w="1421"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数量指标</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案件受理率</w:t>
            </w:r>
          </w:p>
        </w:tc>
        <w:tc>
          <w:tcPr>
            <w:tcW w:w="48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77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90</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iCs/>
                <w:color w:val="000000"/>
                <w:kern w:val="2"/>
                <w:sz w:val="16"/>
                <w:szCs w:val="16"/>
              </w:rPr>
            </w:pPr>
            <w:r>
              <w:rPr>
                <w:rFonts w:hint="default" w:ascii="微软雅黑" w:hAnsi="微软雅黑" w:eastAsia="微软雅黑" w:cs="微软雅黑"/>
                <w:i/>
                <w:iCs/>
                <w:color w:val="000000"/>
                <w:kern w:val="0"/>
                <w:sz w:val="16"/>
                <w:szCs w:val="16"/>
                <w:lang w:val="en-US" w:eastAsia="zh-CN" w:bidi="ar"/>
              </w:rPr>
              <w:t>95.75%</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21"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参与人民调解工作数</w:t>
            </w:r>
          </w:p>
        </w:tc>
        <w:tc>
          <w:tcPr>
            <w:tcW w:w="48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77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30</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20</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kern w:val="2"/>
                <w:sz w:val="18"/>
                <w:szCs w:val="18"/>
              </w:rPr>
            </w:pP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时效指标</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案件结案时限</w:t>
            </w:r>
          </w:p>
        </w:tc>
        <w:tc>
          <w:tcPr>
            <w:tcW w:w="48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77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180</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iCs/>
                <w:color w:val="000000"/>
                <w:kern w:val="2"/>
                <w:sz w:val="16"/>
                <w:szCs w:val="16"/>
              </w:rPr>
            </w:pPr>
            <w:r>
              <w:rPr>
                <w:rFonts w:hint="default" w:ascii="微软雅黑" w:hAnsi="微软雅黑" w:eastAsia="微软雅黑" w:cs="微软雅黑"/>
                <w:i/>
                <w:iCs/>
                <w:color w:val="000000"/>
                <w:kern w:val="0"/>
                <w:sz w:val="16"/>
                <w:szCs w:val="16"/>
                <w:lang w:val="en-US" w:eastAsia="zh-CN" w:bidi="ar"/>
              </w:rPr>
              <w:t>46.61</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效益指标</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经济效益指标</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执行标的额到位率</w:t>
            </w:r>
          </w:p>
        </w:tc>
        <w:tc>
          <w:tcPr>
            <w:tcW w:w="48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77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85</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iCs/>
                <w:color w:val="000000"/>
                <w:kern w:val="2"/>
                <w:sz w:val="16"/>
                <w:szCs w:val="16"/>
              </w:rPr>
            </w:pPr>
            <w:r>
              <w:rPr>
                <w:rFonts w:hint="default" w:ascii="微软雅黑" w:hAnsi="微软雅黑" w:eastAsia="微软雅黑" w:cs="微软雅黑"/>
                <w:i/>
                <w:iCs/>
                <w:color w:val="000000"/>
                <w:kern w:val="0"/>
                <w:sz w:val="16"/>
                <w:szCs w:val="16"/>
                <w:lang w:val="en-US" w:eastAsia="zh-CN" w:bidi="ar"/>
              </w:rPr>
              <w:t>40.60%</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20</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iCs/>
                <w:color w:val="000000"/>
                <w:kern w:val="2"/>
                <w:sz w:val="16"/>
                <w:szCs w:val="16"/>
              </w:rPr>
            </w:pPr>
            <w:r>
              <w:rPr>
                <w:rFonts w:hint="default" w:ascii="微软雅黑" w:hAnsi="微软雅黑" w:eastAsia="微软雅黑" w:cs="微软雅黑"/>
                <w:i/>
                <w:iCs/>
                <w:color w:val="000000"/>
                <w:kern w:val="0"/>
                <w:sz w:val="16"/>
                <w:szCs w:val="16"/>
                <w:lang w:val="en-US" w:eastAsia="zh-CN" w:bidi="ar"/>
              </w:rPr>
              <w:t>部分案件无财产可供执行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社会效益指标</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民事案件调解率</w:t>
            </w:r>
          </w:p>
        </w:tc>
        <w:tc>
          <w:tcPr>
            <w:tcW w:w="48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77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50</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iCs/>
                <w:color w:val="000000"/>
                <w:kern w:val="2"/>
                <w:sz w:val="16"/>
                <w:szCs w:val="16"/>
              </w:rPr>
            </w:pPr>
            <w:r>
              <w:rPr>
                <w:rFonts w:hint="default" w:ascii="微软雅黑" w:hAnsi="微软雅黑" w:eastAsia="微软雅黑" w:cs="微软雅黑"/>
                <w:i/>
                <w:iCs/>
                <w:color w:val="000000"/>
                <w:kern w:val="0"/>
                <w:sz w:val="16"/>
                <w:szCs w:val="16"/>
                <w:lang w:val="en-US" w:eastAsia="zh-CN" w:bidi="ar"/>
              </w:rPr>
              <w:t>97.43%</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成本指标</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经济成本指标</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本项目控制成本总额</w:t>
            </w:r>
          </w:p>
        </w:tc>
        <w:tc>
          <w:tcPr>
            <w:tcW w:w="48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77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148000</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iCs/>
                <w:color w:val="000000"/>
                <w:kern w:val="2"/>
                <w:sz w:val="16"/>
                <w:szCs w:val="16"/>
              </w:rPr>
            </w:pPr>
            <w:r>
              <w:rPr>
                <w:rFonts w:hint="default" w:ascii="微软雅黑" w:hAnsi="微软雅黑" w:eastAsia="微软雅黑" w:cs="微软雅黑"/>
                <w:i/>
                <w:iCs/>
                <w:color w:val="000000"/>
                <w:kern w:val="0"/>
                <w:sz w:val="16"/>
                <w:szCs w:val="16"/>
                <w:lang w:val="en-US" w:eastAsia="zh-CN" w:bidi="ar"/>
              </w:rPr>
              <w:t>100%</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20</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80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合计</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100</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宋体" w:hAnsi="宋体" w:eastAsia="宋体" w:cs="宋体"/>
                <w:color w:val="000000"/>
                <w:kern w:val="2"/>
                <w:sz w:val="18"/>
                <w:szCs w:val="18"/>
                <w:lang w:val="en-US" w:eastAsia="zh-CN"/>
              </w:rPr>
            </w:pPr>
            <w:r>
              <w:rPr>
                <w:rFonts w:hint="eastAsia" w:ascii="宋体" w:hAnsi="宋体" w:eastAsia="宋体" w:cs="宋体"/>
                <w:color w:val="000000"/>
                <w:kern w:val="2"/>
                <w:sz w:val="18"/>
                <w:szCs w:val="18"/>
                <w:lang w:val="en-US" w:eastAsia="zh-CN"/>
              </w:rPr>
              <w:t>90</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jc w:val="center"/>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评价结论</w:t>
            </w:r>
          </w:p>
        </w:tc>
        <w:tc>
          <w:tcPr>
            <w:tcW w:w="9090" w:type="dxa"/>
            <w:gridSpan w:val="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微软雅黑" w:hAnsi="微软雅黑" w:eastAsia="微软雅黑" w:cs="微软雅黑"/>
                <w:i/>
                <w:iCs/>
                <w:color w:val="000000"/>
                <w:kern w:val="2"/>
                <w:sz w:val="16"/>
                <w:szCs w:val="16"/>
              </w:rPr>
            </w:pPr>
            <w:r>
              <w:rPr>
                <w:rFonts w:hint="default" w:ascii="微软雅黑" w:hAnsi="微软雅黑" w:eastAsia="微软雅黑" w:cs="微软雅黑"/>
                <w:i/>
                <w:iCs/>
                <w:color w:val="000000"/>
                <w:kern w:val="0"/>
                <w:sz w:val="16"/>
                <w:szCs w:val="16"/>
                <w:lang w:val="en-US" w:eastAsia="zh-CN" w:bidi="ar"/>
              </w:rPr>
              <w:t>该项目为上年结转办案业务，主要用于本年度办案业务相关支出，保障法院业务正常推进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jc w:val="center"/>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存在问题</w:t>
            </w:r>
          </w:p>
        </w:tc>
        <w:tc>
          <w:tcPr>
            <w:tcW w:w="9090" w:type="dxa"/>
            <w:gridSpan w:val="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微软雅黑" w:hAnsi="微软雅黑" w:eastAsia="微软雅黑" w:cs="微软雅黑"/>
                <w:i/>
                <w:iCs/>
                <w:color w:val="000000"/>
                <w:kern w:val="2"/>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jc w:val="center"/>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改进措施</w:t>
            </w:r>
          </w:p>
        </w:tc>
        <w:tc>
          <w:tcPr>
            <w:tcW w:w="9090" w:type="dxa"/>
            <w:gridSpan w:val="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微软雅黑" w:hAnsi="微软雅黑" w:eastAsia="微软雅黑" w:cs="微软雅黑"/>
                <w:i/>
                <w:iCs/>
                <w:color w:val="000000"/>
                <w:kern w:val="2"/>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6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黑体" w:hAnsi="宋体" w:eastAsia="黑体" w:cs="黑体"/>
                <w:color w:val="000000"/>
                <w:kern w:val="2"/>
                <w:sz w:val="18"/>
                <w:szCs w:val="18"/>
              </w:rPr>
            </w:pPr>
            <w:r>
              <w:rPr>
                <w:rFonts w:hint="default" w:ascii="黑体" w:hAnsi="宋体" w:eastAsia="黑体" w:cs="黑体"/>
                <w:color w:val="000000"/>
                <w:kern w:val="0"/>
                <w:sz w:val="18"/>
                <w:szCs w:val="18"/>
                <w:lang w:val="en-US" w:eastAsia="zh-CN" w:bidi="ar"/>
              </w:rPr>
              <w:t>项目负责人：</w:t>
            </w:r>
          </w:p>
        </w:tc>
        <w:tc>
          <w:tcPr>
            <w:tcW w:w="3737"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黑体" w:hAnsi="宋体" w:eastAsia="黑体" w:cs="黑体"/>
                <w:color w:val="000000"/>
                <w:kern w:val="2"/>
                <w:sz w:val="18"/>
                <w:szCs w:val="18"/>
              </w:rPr>
            </w:pPr>
            <w:r>
              <w:rPr>
                <w:rFonts w:hint="default" w:ascii="黑体" w:hAnsi="宋体" w:eastAsia="黑体" w:cs="黑体"/>
                <w:color w:val="000000"/>
                <w:kern w:val="0"/>
                <w:sz w:val="18"/>
                <w:szCs w:val="18"/>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657"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1622"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1421"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1823"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487"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773"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1022"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503"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434"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1005"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97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黑体" w:hAnsi="宋体" w:eastAsia="黑体" w:cs="黑体"/>
                <w:b/>
                <w:bCs/>
                <w:color w:val="000000"/>
                <w:kern w:val="2"/>
                <w:sz w:val="30"/>
                <w:szCs w:val="30"/>
              </w:rPr>
            </w:pPr>
            <w:r>
              <w:rPr>
                <w:rFonts w:hint="default" w:ascii="黑体" w:hAnsi="宋体" w:eastAsia="黑体" w:cs="黑体"/>
                <w:b/>
                <w:bCs/>
                <w:color w:val="000000"/>
                <w:kern w:val="0"/>
                <w:sz w:val="30"/>
                <w:szCs w:val="30"/>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2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项目名称</w:t>
            </w:r>
          </w:p>
        </w:tc>
        <w:tc>
          <w:tcPr>
            <w:tcW w:w="7468" w:type="dxa"/>
            <w:gridSpan w:val="8"/>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51320025T000013801704-2025年中央和省级ZFZY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jc w:val="center"/>
        </w:trPr>
        <w:tc>
          <w:tcPr>
            <w:tcW w:w="22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主管部门</w:t>
            </w:r>
          </w:p>
        </w:tc>
        <w:tc>
          <w:tcPr>
            <w:tcW w:w="4504"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马尔康市人民法院部门</w:t>
            </w:r>
          </w:p>
        </w:tc>
        <w:tc>
          <w:tcPr>
            <w:tcW w:w="1022"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黑体" w:hAnsi="宋体" w:eastAsia="黑体" w:cs="黑体"/>
                <w:color w:val="000000"/>
                <w:kern w:val="2"/>
                <w:sz w:val="18"/>
                <w:szCs w:val="18"/>
              </w:rPr>
            </w:pPr>
            <w:r>
              <w:rPr>
                <w:rFonts w:hint="default" w:ascii="黑体" w:hAnsi="宋体" w:eastAsia="黑体" w:cs="黑体"/>
                <w:color w:val="000000"/>
                <w:kern w:val="0"/>
                <w:sz w:val="18"/>
                <w:szCs w:val="18"/>
                <w:lang w:val="en-US" w:eastAsia="zh-CN" w:bidi="ar"/>
              </w:rPr>
              <w:t>实施单位（盖章）</w:t>
            </w:r>
          </w:p>
        </w:tc>
        <w:tc>
          <w:tcPr>
            <w:tcW w:w="19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马尔康市法院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657"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项目基本情况</w:t>
            </w:r>
          </w:p>
        </w:tc>
        <w:tc>
          <w:tcPr>
            <w:tcW w:w="1622"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1.项目年度目标完成情况</w:t>
            </w:r>
          </w:p>
        </w:tc>
        <w:tc>
          <w:tcPr>
            <w:tcW w:w="4504"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项目年度目标</w:t>
            </w:r>
          </w:p>
        </w:tc>
        <w:tc>
          <w:tcPr>
            <w:tcW w:w="2964"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黑体" w:hAnsi="宋体" w:eastAsia="黑体" w:cs="黑体"/>
                <w:color w:val="000000"/>
                <w:kern w:val="2"/>
                <w:sz w:val="18"/>
                <w:szCs w:val="18"/>
              </w:rPr>
            </w:pPr>
            <w:r>
              <w:rPr>
                <w:rFonts w:hint="default" w:ascii="黑体" w:hAnsi="宋体" w:eastAsia="黑体" w:cs="黑体"/>
                <w:color w:val="000000"/>
                <w:kern w:val="0"/>
                <w:sz w:val="18"/>
                <w:szCs w:val="18"/>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504"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充分发挥审判职能，推进社会矛盾化解；及时审理各类民商事案件纠纷；积极稳妥审理好行政案件；加强执行工作，确保权利人合法权益得到实现</w:t>
            </w:r>
          </w:p>
        </w:tc>
        <w:tc>
          <w:tcPr>
            <w:tcW w:w="2964"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黑体" w:hAnsi="宋体" w:eastAsia="黑体" w:cs="黑体"/>
                <w:color w:val="000000"/>
                <w:kern w:val="2"/>
                <w:sz w:val="18"/>
                <w:szCs w:val="18"/>
              </w:rPr>
            </w:pPr>
            <w:r>
              <w:rPr>
                <w:rFonts w:hint="default" w:ascii="黑体" w:hAnsi="宋体" w:eastAsia="黑体" w:cs="黑体"/>
                <w:color w:val="000000"/>
                <w:kern w:val="0"/>
                <w:sz w:val="18"/>
                <w:szCs w:val="18"/>
                <w:lang w:val="en-US" w:eastAsia="zh-CN" w:bidi="ar"/>
              </w:rPr>
              <w:t>根据本年度办案业务实施该项目，预算执行达到80%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2.项目实施内容及过程概述</w:t>
            </w:r>
          </w:p>
        </w:tc>
        <w:tc>
          <w:tcPr>
            <w:tcW w:w="7468" w:type="dxa"/>
            <w:gridSpan w:val="8"/>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根据本年度办案业务实施该项目，预算执行达到80%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657"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预算执行情况（10分）</w:t>
            </w: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年度预算数（万元）</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年初预算</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调整后预算数</w:t>
            </w:r>
          </w:p>
        </w:tc>
        <w:tc>
          <w:tcPr>
            <w:tcW w:w="1260"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预算执行数</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预算执行率</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权重</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得分</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总额</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496.00</w:t>
            </w:r>
          </w:p>
        </w:tc>
        <w:tc>
          <w:tcPr>
            <w:tcW w:w="1260"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417.73</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84.22%</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8</w:t>
            </w:r>
          </w:p>
        </w:tc>
        <w:tc>
          <w:tcPr>
            <w:tcW w:w="1005"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黑体" w:hAnsi="宋体" w:eastAsia="黑体" w:cs="黑体"/>
                <w:i/>
                <w:iCs/>
                <w:color w:val="000000"/>
                <w:kern w:val="2"/>
                <w:sz w:val="18"/>
                <w:szCs w:val="18"/>
              </w:rPr>
            </w:pPr>
            <w:r>
              <w:rPr>
                <w:rFonts w:hint="default" w:ascii="黑体" w:hAnsi="宋体" w:eastAsia="黑体" w:cs="黑体"/>
                <w:i/>
                <w:iCs/>
                <w:color w:val="000000"/>
                <w:kern w:val="0"/>
                <w:sz w:val="18"/>
                <w:szCs w:val="18"/>
                <w:lang w:val="en-US" w:eastAsia="zh-CN" w:bidi="ar"/>
              </w:rPr>
              <w:t>办案成本管控从严。坚持厉行节约、规范支出，差旅费、办案业务等按需支出，无冗余支出，客观降低执行率。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其中：财政资金</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496.00</w:t>
            </w:r>
          </w:p>
        </w:tc>
        <w:tc>
          <w:tcPr>
            <w:tcW w:w="1260"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417.73</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84.22%</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100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财政专户管理资金</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260"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100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单位资金</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260"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100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其他资金</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c>
          <w:tcPr>
            <w:tcW w:w="1260"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100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657"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绩效指标（90分）</w:t>
            </w: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一级指标</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二级指标</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三级指标</w:t>
            </w:r>
          </w:p>
        </w:tc>
        <w:tc>
          <w:tcPr>
            <w:tcW w:w="48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指标性质</w:t>
            </w:r>
          </w:p>
        </w:tc>
        <w:tc>
          <w:tcPr>
            <w:tcW w:w="77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指标值</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完成值</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权重</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得分</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产出指标</w:t>
            </w:r>
          </w:p>
        </w:tc>
        <w:tc>
          <w:tcPr>
            <w:tcW w:w="1421"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数量指标</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一审案件审结率</w:t>
            </w:r>
          </w:p>
        </w:tc>
        <w:tc>
          <w:tcPr>
            <w:tcW w:w="48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77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95</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iCs/>
                <w:color w:val="000000"/>
                <w:kern w:val="2"/>
                <w:sz w:val="16"/>
                <w:szCs w:val="16"/>
              </w:rPr>
            </w:pPr>
            <w:r>
              <w:rPr>
                <w:rFonts w:hint="default" w:ascii="微软雅黑" w:hAnsi="微软雅黑" w:eastAsia="微软雅黑" w:cs="微软雅黑"/>
                <w:i/>
                <w:iCs/>
                <w:color w:val="000000"/>
                <w:kern w:val="0"/>
                <w:sz w:val="16"/>
                <w:szCs w:val="16"/>
                <w:lang w:val="en-US" w:eastAsia="zh-CN" w:bidi="ar"/>
              </w:rPr>
              <w:t>95.63%</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21"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案件受理率</w:t>
            </w:r>
          </w:p>
        </w:tc>
        <w:tc>
          <w:tcPr>
            <w:tcW w:w="48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77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95</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iCs/>
                <w:color w:val="000000"/>
                <w:kern w:val="2"/>
                <w:sz w:val="16"/>
                <w:szCs w:val="16"/>
              </w:rPr>
            </w:pPr>
            <w:r>
              <w:rPr>
                <w:rFonts w:hint="default" w:ascii="微软雅黑" w:hAnsi="微软雅黑" w:eastAsia="微软雅黑" w:cs="微软雅黑"/>
                <w:i/>
                <w:iCs/>
                <w:color w:val="000000"/>
                <w:kern w:val="0"/>
                <w:sz w:val="16"/>
                <w:szCs w:val="16"/>
                <w:lang w:val="en-US" w:eastAsia="zh-CN" w:bidi="ar"/>
              </w:rPr>
              <w:t>95.75%</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21"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法官人均结案率</w:t>
            </w:r>
          </w:p>
        </w:tc>
        <w:tc>
          <w:tcPr>
            <w:tcW w:w="48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77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20</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iCs/>
                <w:color w:val="000000"/>
                <w:kern w:val="2"/>
                <w:sz w:val="16"/>
                <w:szCs w:val="16"/>
              </w:rPr>
            </w:pPr>
            <w:r>
              <w:rPr>
                <w:rFonts w:hint="default" w:ascii="微软雅黑" w:hAnsi="微软雅黑" w:eastAsia="微软雅黑" w:cs="微软雅黑"/>
                <w:i/>
                <w:iCs/>
                <w:color w:val="000000"/>
                <w:kern w:val="0"/>
                <w:sz w:val="16"/>
                <w:szCs w:val="16"/>
                <w:lang w:val="en-US" w:eastAsia="zh-CN" w:bidi="ar"/>
              </w:rPr>
              <w:t>53.26</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20</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20</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质量指标</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公共法律服务热线咨询量</w:t>
            </w:r>
          </w:p>
        </w:tc>
        <w:tc>
          <w:tcPr>
            <w:tcW w:w="48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77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400</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iCs/>
                <w:color w:val="000000"/>
                <w:kern w:val="2"/>
                <w:sz w:val="16"/>
                <w:szCs w:val="16"/>
              </w:rPr>
            </w:pPr>
            <w:r>
              <w:rPr>
                <w:rFonts w:hint="default" w:ascii="微软雅黑" w:hAnsi="微软雅黑" w:eastAsia="微软雅黑" w:cs="微软雅黑"/>
                <w:i/>
                <w:iCs/>
                <w:color w:val="000000"/>
                <w:kern w:val="0"/>
                <w:sz w:val="16"/>
                <w:szCs w:val="16"/>
                <w:lang w:val="en-US" w:eastAsia="zh-CN" w:bidi="ar"/>
              </w:rPr>
              <w:t>410</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20</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20</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效益指标</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社会效益指标</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服判息诉率</w:t>
            </w:r>
          </w:p>
        </w:tc>
        <w:tc>
          <w:tcPr>
            <w:tcW w:w="48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77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95</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iCs/>
                <w:color w:val="000000"/>
                <w:kern w:val="2"/>
                <w:sz w:val="16"/>
                <w:szCs w:val="16"/>
              </w:rPr>
            </w:pPr>
            <w:r>
              <w:rPr>
                <w:rFonts w:hint="default" w:ascii="微软雅黑" w:hAnsi="微软雅黑" w:eastAsia="微软雅黑" w:cs="微软雅黑"/>
                <w:i/>
                <w:iCs/>
                <w:color w:val="000000"/>
                <w:kern w:val="0"/>
                <w:sz w:val="16"/>
                <w:szCs w:val="16"/>
                <w:lang w:val="en-US" w:eastAsia="zh-CN" w:bidi="ar"/>
              </w:rPr>
              <w:t>98</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20</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20</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满意度指标</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服务对象满意度指标</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案件上诉率</w:t>
            </w:r>
          </w:p>
        </w:tc>
        <w:tc>
          <w:tcPr>
            <w:tcW w:w="48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77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5</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iCs/>
                <w:color w:val="000000"/>
                <w:kern w:val="2"/>
                <w:sz w:val="16"/>
                <w:szCs w:val="16"/>
              </w:rPr>
            </w:pPr>
            <w:r>
              <w:rPr>
                <w:rFonts w:hint="default" w:ascii="微软雅黑" w:hAnsi="微软雅黑" w:eastAsia="微软雅黑" w:cs="微软雅黑"/>
                <w:i/>
                <w:iCs/>
                <w:color w:val="000000"/>
                <w:kern w:val="0"/>
                <w:sz w:val="16"/>
                <w:szCs w:val="16"/>
                <w:lang w:val="en-US" w:eastAsia="zh-CN" w:bidi="ar"/>
              </w:rPr>
              <w:t>0</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80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合计</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100</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98</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jc w:val="center"/>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评价结论</w:t>
            </w:r>
          </w:p>
        </w:tc>
        <w:tc>
          <w:tcPr>
            <w:tcW w:w="9090" w:type="dxa"/>
            <w:gridSpan w:val="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微软雅黑" w:hAnsi="微软雅黑" w:eastAsia="微软雅黑" w:cs="微软雅黑"/>
                <w:i/>
                <w:iCs/>
                <w:color w:val="000000"/>
                <w:kern w:val="2"/>
                <w:sz w:val="16"/>
                <w:szCs w:val="16"/>
              </w:rPr>
            </w:pPr>
            <w:r>
              <w:rPr>
                <w:rFonts w:hint="default" w:ascii="微软雅黑" w:hAnsi="微软雅黑" w:eastAsia="微软雅黑" w:cs="微软雅黑"/>
                <w:i/>
                <w:iCs/>
                <w:color w:val="000000"/>
                <w:kern w:val="0"/>
                <w:sz w:val="16"/>
                <w:szCs w:val="16"/>
                <w:lang w:val="en-US" w:eastAsia="zh-CN" w:bidi="ar"/>
              </w:rPr>
              <w:t>项目严格按照预算批复和财务管理规定执行，经费保障有力、使用规范、管控严格，有效支撑了审判执行、庭审保障、案件办理等核心业务正常开展，较好实现了绩效目标。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jc w:val="center"/>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存在问题</w:t>
            </w:r>
          </w:p>
        </w:tc>
        <w:tc>
          <w:tcPr>
            <w:tcW w:w="9090" w:type="dxa"/>
            <w:gridSpan w:val="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微软雅黑" w:hAnsi="微软雅黑" w:eastAsia="微软雅黑" w:cs="微软雅黑"/>
                <w:i/>
                <w:iCs/>
                <w:color w:val="000000"/>
                <w:kern w:val="2"/>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jc w:val="center"/>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改进措施</w:t>
            </w:r>
          </w:p>
        </w:tc>
        <w:tc>
          <w:tcPr>
            <w:tcW w:w="9090" w:type="dxa"/>
            <w:gridSpan w:val="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微软雅黑" w:hAnsi="微软雅黑" w:eastAsia="微软雅黑" w:cs="微软雅黑"/>
                <w:i/>
                <w:iCs/>
                <w:color w:val="000000"/>
                <w:kern w:val="2"/>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6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黑体" w:hAnsi="宋体" w:eastAsia="黑体" w:cs="黑体"/>
                <w:color w:val="000000"/>
                <w:kern w:val="2"/>
                <w:sz w:val="18"/>
                <w:szCs w:val="18"/>
              </w:rPr>
            </w:pPr>
            <w:r>
              <w:rPr>
                <w:rFonts w:hint="default" w:ascii="黑体" w:hAnsi="宋体" w:eastAsia="黑体" w:cs="黑体"/>
                <w:color w:val="000000"/>
                <w:kern w:val="0"/>
                <w:sz w:val="18"/>
                <w:szCs w:val="18"/>
                <w:lang w:val="en-US" w:eastAsia="zh-CN" w:bidi="ar"/>
              </w:rPr>
              <w:t>项目负责人：</w:t>
            </w:r>
          </w:p>
        </w:tc>
        <w:tc>
          <w:tcPr>
            <w:tcW w:w="3737"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黑体" w:hAnsi="宋体" w:eastAsia="黑体" w:cs="黑体"/>
                <w:color w:val="000000"/>
                <w:kern w:val="2"/>
                <w:sz w:val="18"/>
                <w:szCs w:val="18"/>
              </w:rPr>
            </w:pPr>
            <w:r>
              <w:rPr>
                <w:rFonts w:hint="default" w:ascii="黑体" w:hAnsi="宋体" w:eastAsia="黑体" w:cs="黑体"/>
                <w:color w:val="000000"/>
                <w:kern w:val="0"/>
                <w:sz w:val="18"/>
                <w:szCs w:val="18"/>
                <w:lang w:val="en-US" w:eastAsia="zh-CN" w:bidi="ar"/>
              </w:rPr>
              <w:t>财务负责人：</w:t>
            </w:r>
          </w:p>
        </w:tc>
      </w:tr>
    </w:tbl>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r>
        <w:rPr>
          <w:rFonts w:hint="eastAsia" w:ascii="宋体" w:hAnsi="宋体" w:eastAsia="宋体" w:cs="宋体"/>
          <w:color w:val="000000"/>
          <w:kern w:val="2"/>
          <w:sz w:val="18"/>
          <w:szCs w:val="18"/>
        </w:rPr>
        <w:br w:type="page"/>
      </w:r>
    </w:p>
    <w:tbl>
      <w:tblPr>
        <w:tblStyle w:val="16"/>
        <w:tblpPr w:leftFromText="180" w:rightFromText="180" w:vertAnchor="text" w:horzAnchor="page" w:tblpXSpec="center" w:tblpY="1"/>
        <w:tblOverlap w:val="never"/>
        <w:tblW w:w="974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7"/>
        <w:gridCol w:w="1622"/>
        <w:gridCol w:w="1421"/>
        <w:gridCol w:w="1823"/>
        <w:gridCol w:w="487"/>
        <w:gridCol w:w="773"/>
        <w:gridCol w:w="1022"/>
        <w:gridCol w:w="503"/>
        <w:gridCol w:w="434"/>
        <w:gridCol w:w="10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657" w:type="dxa"/>
            <w:tcBorders>
              <w:top w:val="nil"/>
              <w:left w:val="nil"/>
              <w:bottom w:val="nil"/>
              <w:right w:val="nil"/>
            </w:tcBorders>
            <w:shd w:val="clear" w:color="auto" w:fill="auto"/>
            <w:vAlign w:val="center"/>
          </w:tcPr>
          <w:p>
            <w:pPr>
              <w:pStyle w:val="2"/>
              <w:keepNext w:val="0"/>
              <w:keepLines w:val="0"/>
              <w:suppressLineNumbers w:val="0"/>
              <w:spacing w:before="0" w:beforeAutospacing="0" w:after="0" w:afterAutospacing="0"/>
              <w:ind w:left="0" w:right="0"/>
              <w:rPr>
                <w:rFonts w:hint="eastAsia"/>
              </w:rPr>
            </w:pPr>
          </w:p>
        </w:tc>
        <w:tc>
          <w:tcPr>
            <w:tcW w:w="1622"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1421"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1823"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487"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773"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1022"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503"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434"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1005"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97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黑体" w:hAnsi="宋体" w:eastAsia="黑体" w:cs="黑体"/>
                <w:b/>
                <w:bCs/>
                <w:color w:val="000000"/>
                <w:kern w:val="2"/>
                <w:sz w:val="30"/>
                <w:szCs w:val="30"/>
              </w:rPr>
            </w:pPr>
            <w:r>
              <w:rPr>
                <w:rFonts w:hint="default" w:ascii="黑体" w:hAnsi="宋体" w:eastAsia="黑体" w:cs="黑体"/>
                <w:b/>
                <w:bCs/>
                <w:color w:val="000000"/>
                <w:kern w:val="0"/>
                <w:sz w:val="30"/>
                <w:szCs w:val="30"/>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2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项目名称</w:t>
            </w:r>
          </w:p>
        </w:tc>
        <w:tc>
          <w:tcPr>
            <w:tcW w:w="7468" w:type="dxa"/>
            <w:gridSpan w:val="8"/>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51320026T000014929708-2025年下半年中央和省级ZFZY支付资金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jc w:val="center"/>
        </w:trPr>
        <w:tc>
          <w:tcPr>
            <w:tcW w:w="22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主管部门</w:t>
            </w:r>
          </w:p>
        </w:tc>
        <w:tc>
          <w:tcPr>
            <w:tcW w:w="4504"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马尔康市人民法院部门</w:t>
            </w:r>
          </w:p>
        </w:tc>
        <w:tc>
          <w:tcPr>
            <w:tcW w:w="1022"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黑体" w:hAnsi="宋体" w:eastAsia="黑体" w:cs="黑体"/>
                <w:color w:val="000000"/>
                <w:kern w:val="2"/>
                <w:sz w:val="18"/>
                <w:szCs w:val="18"/>
              </w:rPr>
            </w:pPr>
            <w:r>
              <w:rPr>
                <w:rFonts w:hint="default" w:ascii="黑体" w:hAnsi="宋体" w:eastAsia="黑体" w:cs="黑体"/>
                <w:color w:val="000000"/>
                <w:kern w:val="0"/>
                <w:sz w:val="18"/>
                <w:szCs w:val="18"/>
                <w:lang w:val="en-US" w:eastAsia="zh-CN" w:bidi="ar"/>
              </w:rPr>
              <w:t>实施单位（盖章）</w:t>
            </w:r>
          </w:p>
        </w:tc>
        <w:tc>
          <w:tcPr>
            <w:tcW w:w="19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马尔康市法院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657"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项目基本情况</w:t>
            </w:r>
          </w:p>
        </w:tc>
        <w:tc>
          <w:tcPr>
            <w:tcW w:w="1622"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1.项目年度目标完成情况</w:t>
            </w:r>
          </w:p>
        </w:tc>
        <w:tc>
          <w:tcPr>
            <w:tcW w:w="4504"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项目年度目标</w:t>
            </w:r>
          </w:p>
        </w:tc>
        <w:tc>
          <w:tcPr>
            <w:tcW w:w="2964"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黑体" w:hAnsi="宋体" w:eastAsia="黑体" w:cs="黑体"/>
                <w:color w:val="000000"/>
                <w:kern w:val="2"/>
                <w:sz w:val="18"/>
                <w:szCs w:val="18"/>
              </w:rPr>
            </w:pPr>
            <w:r>
              <w:rPr>
                <w:rFonts w:hint="default" w:ascii="黑体" w:hAnsi="宋体" w:eastAsia="黑体" w:cs="黑体"/>
                <w:color w:val="000000"/>
                <w:kern w:val="0"/>
                <w:sz w:val="18"/>
                <w:szCs w:val="18"/>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504"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充分发挥审判职能，推进社会矛盾化解；及时审理各类民商事案件纠纷；积极稳妥审理好行政案件；加强执行工作，确保权利人合法权益得到实现</w:t>
            </w:r>
          </w:p>
        </w:tc>
        <w:tc>
          <w:tcPr>
            <w:tcW w:w="2964"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黑体" w:hAnsi="宋体" w:eastAsia="黑体" w:cs="黑体"/>
                <w:color w:val="000000"/>
                <w:kern w:val="2"/>
                <w:sz w:val="18"/>
                <w:szCs w:val="18"/>
              </w:rPr>
            </w:pPr>
            <w:r>
              <w:rPr>
                <w:rFonts w:hint="default" w:ascii="黑体" w:hAnsi="宋体" w:eastAsia="黑体" w:cs="黑体"/>
                <w:color w:val="000000"/>
                <w:kern w:val="0"/>
                <w:sz w:val="18"/>
                <w:szCs w:val="18"/>
                <w:lang w:val="en-US" w:eastAsia="zh-CN" w:bidi="ar"/>
              </w:rPr>
              <w:t>该项目未完成实施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2.项目实施内容及过程概述</w:t>
            </w:r>
          </w:p>
        </w:tc>
        <w:tc>
          <w:tcPr>
            <w:tcW w:w="7468" w:type="dxa"/>
            <w:gridSpan w:val="8"/>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该项目未完成实施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657"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预算执行情况（10分）</w:t>
            </w: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年度预算数（万元）</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年初预算</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调整后预算数</w:t>
            </w:r>
          </w:p>
        </w:tc>
        <w:tc>
          <w:tcPr>
            <w:tcW w:w="1260"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预算执行数</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预算执行率</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权重</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得分</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总额</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95.00</w:t>
            </w:r>
          </w:p>
        </w:tc>
        <w:tc>
          <w:tcPr>
            <w:tcW w:w="1260"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w:t>
            </w:r>
          </w:p>
        </w:tc>
        <w:tc>
          <w:tcPr>
            <w:tcW w:w="1005"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黑体" w:hAnsi="宋体" w:eastAsia="黑体" w:cs="黑体"/>
                <w:i/>
                <w:iCs/>
                <w:color w:val="000000"/>
                <w:kern w:val="2"/>
                <w:sz w:val="18"/>
                <w:szCs w:val="18"/>
              </w:rPr>
            </w:pPr>
            <w:r>
              <w:rPr>
                <w:rFonts w:hint="default" w:ascii="黑体" w:hAnsi="宋体" w:eastAsia="黑体" w:cs="黑体"/>
                <w:i/>
                <w:iCs/>
                <w:color w:val="000000"/>
                <w:kern w:val="0"/>
                <w:sz w:val="18"/>
                <w:szCs w:val="18"/>
                <w:lang w:val="en-US" w:eastAsia="zh-CN" w:bidi="ar"/>
              </w:rPr>
              <w:t>上半年经费执行经费进度偏缓，尚未使用完毕，导致年度经费整体执行率未达预期。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其中：财政资金</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95.00</w:t>
            </w:r>
          </w:p>
        </w:tc>
        <w:tc>
          <w:tcPr>
            <w:tcW w:w="1260"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100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财政专户管理资金</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260"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100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单位资金</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260"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0.00%</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100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其他资金</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c>
          <w:tcPr>
            <w:tcW w:w="1260"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w:t>
            </w:r>
          </w:p>
        </w:tc>
        <w:tc>
          <w:tcPr>
            <w:tcW w:w="100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657"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绩效指标（90分）</w:t>
            </w: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一级指标</w:t>
            </w: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二级指标</w:t>
            </w: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三级指标</w:t>
            </w:r>
          </w:p>
        </w:tc>
        <w:tc>
          <w:tcPr>
            <w:tcW w:w="48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指标性质</w:t>
            </w:r>
          </w:p>
        </w:tc>
        <w:tc>
          <w:tcPr>
            <w:tcW w:w="77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指标值</w:t>
            </w: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完成值</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权重</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得分</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657"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kern w:val="2"/>
                <w:sz w:val="18"/>
                <w:szCs w:val="18"/>
              </w:rPr>
            </w:pPr>
          </w:p>
        </w:tc>
        <w:tc>
          <w:tcPr>
            <w:tcW w:w="142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kern w:val="2"/>
                <w:sz w:val="18"/>
                <w:szCs w:val="18"/>
              </w:rPr>
            </w:pPr>
          </w:p>
        </w:tc>
        <w:tc>
          <w:tcPr>
            <w:tcW w:w="182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kern w:val="2"/>
                <w:sz w:val="18"/>
                <w:szCs w:val="18"/>
              </w:rPr>
            </w:pPr>
          </w:p>
        </w:tc>
        <w:tc>
          <w:tcPr>
            <w:tcW w:w="48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kern w:val="2"/>
                <w:sz w:val="18"/>
                <w:szCs w:val="18"/>
              </w:rPr>
            </w:pPr>
          </w:p>
        </w:tc>
        <w:tc>
          <w:tcPr>
            <w:tcW w:w="77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kern w:val="2"/>
                <w:sz w:val="18"/>
                <w:szCs w:val="18"/>
              </w:rPr>
            </w:pPr>
          </w:p>
        </w:tc>
        <w:tc>
          <w:tcPr>
            <w:tcW w:w="102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kern w:val="2"/>
                <w:sz w:val="18"/>
                <w:szCs w:val="18"/>
              </w:rPr>
            </w:pP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kern w:val="2"/>
                <w:sz w:val="18"/>
                <w:szCs w:val="18"/>
              </w:rPr>
            </w:pP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微软雅黑" w:hAnsi="微软雅黑" w:eastAsia="微软雅黑" w:cs="微软雅黑"/>
                <w:i/>
                <w:iCs/>
                <w:color w:val="000000"/>
                <w:kern w:val="2"/>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780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合计</w:t>
            </w:r>
          </w:p>
        </w:tc>
        <w:tc>
          <w:tcPr>
            <w:tcW w:w="50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100</w:t>
            </w:r>
          </w:p>
        </w:tc>
        <w:tc>
          <w:tcPr>
            <w:tcW w:w="43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lang w:val="en-US" w:eastAsia="zh-CN"/>
              </w:rPr>
            </w:pPr>
            <w:r>
              <w:rPr>
                <w:rFonts w:hint="eastAsia" w:ascii="宋体" w:hAnsi="宋体" w:eastAsia="宋体" w:cs="宋体"/>
                <w:color w:val="000000"/>
                <w:kern w:val="2"/>
                <w:sz w:val="18"/>
                <w:szCs w:val="18"/>
                <w:lang w:val="en-US" w:eastAsia="zh-CN"/>
              </w:rPr>
              <w:t>0</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3" w:hRule="atLeast"/>
          <w:jc w:val="center"/>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评价结论</w:t>
            </w:r>
          </w:p>
        </w:tc>
        <w:tc>
          <w:tcPr>
            <w:tcW w:w="9090" w:type="dxa"/>
            <w:gridSpan w:val="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微软雅黑" w:hAnsi="微软雅黑" w:eastAsia="微软雅黑" w:cs="微软雅黑"/>
                <w:i/>
                <w:iCs/>
                <w:color w:val="000000"/>
                <w:kern w:val="2"/>
                <w:sz w:val="16"/>
                <w:szCs w:val="16"/>
              </w:rPr>
            </w:pPr>
            <w:r>
              <w:rPr>
                <w:rFonts w:hint="default" w:ascii="微软雅黑" w:hAnsi="微软雅黑" w:eastAsia="微软雅黑" w:cs="微软雅黑"/>
                <w:i/>
                <w:iCs/>
                <w:color w:val="000000"/>
                <w:kern w:val="0"/>
                <w:sz w:val="16"/>
                <w:szCs w:val="16"/>
                <w:lang w:val="en-US" w:eastAsia="zh-CN" w:bidi="ar"/>
              </w:rPr>
              <w:t>该项目未实施。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jc w:val="center"/>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存在问题</w:t>
            </w:r>
          </w:p>
        </w:tc>
        <w:tc>
          <w:tcPr>
            <w:tcW w:w="9090" w:type="dxa"/>
            <w:gridSpan w:val="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微软雅黑" w:hAnsi="微软雅黑" w:eastAsia="微软雅黑" w:cs="微软雅黑"/>
                <w:i/>
                <w:iCs/>
                <w:color w:val="000000"/>
                <w:kern w:val="2"/>
                <w:sz w:val="16"/>
                <w:szCs w:val="16"/>
              </w:rPr>
            </w:pPr>
            <w:r>
              <w:rPr>
                <w:rFonts w:hint="default" w:ascii="微软雅黑" w:hAnsi="微软雅黑" w:eastAsia="微软雅黑" w:cs="微软雅黑"/>
                <w:i/>
                <w:iCs/>
                <w:color w:val="000000"/>
                <w:kern w:val="0"/>
                <w:sz w:val="16"/>
                <w:szCs w:val="16"/>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jc w:val="center"/>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18"/>
                <w:szCs w:val="18"/>
              </w:rPr>
            </w:pPr>
            <w:r>
              <w:rPr>
                <w:rFonts w:hint="eastAsia" w:ascii="宋体" w:hAnsi="宋体" w:eastAsia="宋体" w:cs="宋体"/>
                <w:color w:val="000000"/>
                <w:kern w:val="0"/>
                <w:sz w:val="18"/>
                <w:szCs w:val="18"/>
                <w:lang w:val="en-US" w:eastAsia="zh-CN" w:bidi="ar"/>
              </w:rPr>
              <w:t>改进措施</w:t>
            </w:r>
          </w:p>
        </w:tc>
        <w:tc>
          <w:tcPr>
            <w:tcW w:w="9090" w:type="dxa"/>
            <w:gridSpan w:val="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微软雅黑" w:hAnsi="微软雅黑" w:eastAsia="微软雅黑" w:cs="微软雅黑"/>
                <w:i/>
                <w:iCs/>
                <w:color w:val="000000"/>
                <w:kern w:val="2"/>
                <w:sz w:val="16"/>
                <w:szCs w:val="16"/>
              </w:rPr>
            </w:pPr>
            <w:r>
              <w:rPr>
                <w:rFonts w:hint="default" w:ascii="微软雅黑" w:hAnsi="微软雅黑" w:eastAsia="微软雅黑" w:cs="微软雅黑"/>
                <w:i/>
                <w:iCs/>
                <w:color w:val="000000"/>
                <w:kern w:val="0"/>
                <w:sz w:val="16"/>
                <w:szCs w:val="16"/>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6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黑体" w:hAnsi="宋体" w:eastAsia="黑体" w:cs="黑体"/>
                <w:color w:val="000000"/>
                <w:kern w:val="2"/>
                <w:sz w:val="18"/>
                <w:szCs w:val="18"/>
              </w:rPr>
            </w:pPr>
            <w:r>
              <w:rPr>
                <w:rFonts w:hint="default" w:ascii="黑体" w:hAnsi="宋体" w:eastAsia="黑体" w:cs="黑体"/>
                <w:color w:val="000000"/>
                <w:kern w:val="0"/>
                <w:sz w:val="18"/>
                <w:szCs w:val="18"/>
                <w:lang w:val="en-US" w:eastAsia="zh-CN" w:bidi="ar"/>
              </w:rPr>
              <w:t>项目负责人：</w:t>
            </w:r>
          </w:p>
        </w:tc>
        <w:tc>
          <w:tcPr>
            <w:tcW w:w="3737"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黑体" w:hAnsi="宋体" w:eastAsia="黑体" w:cs="黑体"/>
                <w:color w:val="000000"/>
                <w:kern w:val="2"/>
                <w:sz w:val="18"/>
                <w:szCs w:val="18"/>
              </w:rPr>
            </w:pPr>
            <w:r>
              <w:rPr>
                <w:rFonts w:hint="default" w:ascii="黑体" w:hAnsi="宋体" w:eastAsia="黑体" w:cs="黑体"/>
                <w:color w:val="000000"/>
                <w:kern w:val="0"/>
                <w:sz w:val="18"/>
                <w:szCs w:val="18"/>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657"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1622"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1421"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1823"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487"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773"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1022"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503"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434"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1005"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r>
    </w:tbl>
    <w:p>
      <w:pPr>
        <w:spacing w:line="578" w:lineRule="exact"/>
        <w:rPr>
          <w:rFonts w:eastAsia="仿宋_GB2312" w:cs="仿宋_GB2312"/>
          <w:kern w:val="0"/>
          <w:sz w:val="32"/>
          <w:szCs w:val="32"/>
        </w:rPr>
      </w:pPr>
    </w:p>
    <w:p>
      <w:pPr>
        <w:spacing w:line="578" w:lineRule="exact"/>
        <w:ind w:firstLine="640"/>
        <w:rPr>
          <w:rFonts w:eastAsia="仿宋_GB2312" w:cs="仿宋_GB2312"/>
          <w:kern w:val="0"/>
          <w:sz w:val="32"/>
          <w:szCs w:val="32"/>
        </w:rPr>
      </w:pPr>
    </w:p>
    <w:p>
      <w:pPr>
        <w:spacing w:line="578" w:lineRule="exact"/>
        <w:ind w:firstLine="640"/>
        <w:rPr>
          <w:rFonts w:eastAsia="仿宋_GB2312" w:cs="仿宋_GB2312"/>
          <w:kern w:val="0"/>
          <w:sz w:val="32"/>
          <w:szCs w:val="32"/>
        </w:rPr>
      </w:pPr>
      <w:bookmarkStart w:id="72" w:name="_Toc15396618"/>
      <w:r>
        <w:rPr>
          <w:rFonts w:hint="eastAsia" w:eastAsia="仿宋_GB2312" w:cs="仿宋_GB2312"/>
          <w:kern w:val="0"/>
          <w:sz w:val="32"/>
          <w:szCs w:val="32"/>
        </w:rPr>
        <w:br w:type="page"/>
      </w:r>
    </w:p>
    <w:p>
      <w:pPr>
        <w:widowControl/>
        <w:jc w:val="center"/>
        <w:outlineLvl w:val="0"/>
        <w:rPr>
          <w:rFonts w:eastAsia="仿宋"/>
        </w:rPr>
      </w:pPr>
      <w:bookmarkStart w:id="73" w:name="_Toc1915567949"/>
      <w:bookmarkStart w:id="87" w:name="_GoBack"/>
      <w:bookmarkEnd w:id="87"/>
      <w:r>
        <w:rPr>
          <w:rFonts w:hint="eastAsia" w:eastAsia="黑体"/>
          <w:sz w:val="44"/>
          <w:szCs w:val="44"/>
        </w:rPr>
        <w:t>第</w:t>
      </w:r>
      <w:r>
        <w:rPr>
          <w:rStyle w:val="29"/>
          <w:rFonts w:hint="eastAsia" w:eastAsia="黑体"/>
          <w:b w:val="0"/>
        </w:rPr>
        <w:t>五部分附表</w:t>
      </w:r>
      <w:bookmarkEnd w:id="68"/>
      <w:bookmarkEnd w:id="72"/>
      <w:bookmarkEnd w:id="73"/>
      <w:bookmarkStart w:id="74" w:name="_Toc15396619"/>
    </w:p>
    <w:p>
      <w:pPr>
        <w:pStyle w:val="14"/>
        <w:adjustRightInd w:val="0"/>
        <w:snapToGrid w:val="0"/>
        <w:spacing w:line="560" w:lineRule="exact"/>
        <w:jc w:val="left"/>
        <w:rPr>
          <w:rFonts w:eastAsia="仿宋_GB2312" w:cs="仿宋_GB2312"/>
          <w:sz w:val="32"/>
          <w:szCs w:val="32"/>
        </w:rPr>
      </w:pPr>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74"/>
    </w:p>
    <w:p>
      <w:pPr>
        <w:pStyle w:val="14"/>
        <w:adjustRightInd w:val="0"/>
        <w:snapToGrid w:val="0"/>
        <w:spacing w:line="560" w:lineRule="exact"/>
        <w:jc w:val="left"/>
        <w:rPr>
          <w:rFonts w:eastAsia="仿宋_GB2312" w:cs="仿宋_GB2312"/>
          <w:sz w:val="32"/>
          <w:szCs w:val="32"/>
        </w:rPr>
      </w:pPr>
      <w:bookmarkStart w:id="75" w:name="_Toc15396620"/>
      <w:r>
        <w:rPr>
          <w:rFonts w:hint="eastAsia" w:eastAsia="仿宋_GB2312" w:cs="仿宋_GB2312"/>
          <w:sz w:val="32"/>
          <w:szCs w:val="32"/>
        </w:rPr>
        <w:t>二、收入决算表</w:t>
      </w:r>
      <w:bookmarkEnd w:id="75"/>
    </w:p>
    <w:p>
      <w:pPr>
        <w:pStyle w:val="14"/>
        <w:adjustRightInd w:val="0"/>
        <w:snapToGrid w:val="0"/>
        <w:spacing w:line="560" w:lineRule="exact"/>
        <w:jc w:val="left"/>
        <w:rPr>
          <w:rFonts w:eastAsia="仿宋_GB2312" w:cs="仿宋_GB2312"/>
          <w:sz w:val="32"/>
          <w:szCs w:val="32"/>
        </w:rPr>
      </w:pPr>
      <w:bookmarkStart w:id="76" w:name="_Toc15396621"/>
      <w:r>
        <w:rPr>
          <w:rFonts w:hint="eastAsia" w:eastAsia="仿宋_GB2312" w:cs="仿宋_GB2312"/>
          <w:sz w:val="32"/>
          <w:szCs w:val="32"/>
        </w:rPr>
        <w:t>三、支出决算表</w:t>
      </w:r>
      <w:bookmarkEnd w:id="76"/>
    </w:p>
    <w:p>
      <w:pPr>
        <w:pStyle w:val="14"/>
        <w:adjustRightInd w:val="0"/>
        <w:snapToGrid w:val="0"/>
        <w:spacing w:line="560" w:lineRule="exact"/>
        <w:jc w:val="left"/>
        <w:rPr>
          <w:rFonts w:eastAsia="仿宋_GB2312" w:cs="仿宋_GB2312"/>
          <w:sz w:val="32"/>
          <w:szCs w:val="32"/>
        </w:rPr>
      </w:pPr>
      <w:bookmarkStart w:id="77" w:name="_Toc15396622"/>
      <w:r>
        <w:rPr>
          <w:rFonts w:hint="eastAsia" w:eastAsia="仿宋_GB2312" w:cs="仿宋_GB2312"/>
          <w:sz w:val="32"/>
          <w:szCs w:val="32"/>
        </w:rPr>
        <w:t>四、财政拨款收入支出决算总表</w:t>
      </w:r>
      <w:bookmarkEnd w:id="77"/>
    </w:p>
    <w:p>
      <w:pPr>
        <w:pStyle w:val="14"/>
        <w:adjustRightInd w:val="0"/>
        <w:snapToGrid w:val="0"/>
        <w:spacing w:line="560" w:lineRule="exact"/>
        <w:jc w:val="left"/>
        <w:rPr>
          <w:rFonts w:eastAsia="仿宋_GB2312" w:cs="仿宋_GB2312"/>
          <w:sz w:val="32"/>
          <w:szCs w:val="32"/>
        </w:rPr>
      </w:pPr>
      <w:bookmarkStart w:id="78" w:name="_Toc15396623"/>
      <w:r>
        <w:rPr>
          <w:rFonts w:hint="eastAsia" w:eastAsia="仿宋_GB2312" w:cs="仿宋_GB2312"/>
          <w:sz w:val="32"/>
          <w:szCs w:val="32"/>
        </w:rPr>
        <w:t>五、财政拨款支出决算明细表</w:t>
      </w:r>
      <w:bookmarkEnd w:id="78"/>
      <w:bookmarkStart w:id="79" w:name="_Toc15396624"/>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79"/>
    </w:p>
    <w:p>
      <w:pPr>
        <w:pStyle w:val="14"/>
        <w:adjustRightInd w:val="0"/>
        <w:snapToGrid w:val="0"/>
        <w:spacing w:line="560" w:lineRule="exact"/>
        <w:jc w:val="left"/>
        <w:rPr>
          <w:rFonts w:eastAsia="仿宋_GB2312" w:cs="仿宋_GB2312"/>
          <w:sz w:val="32"/>
          <w:szCs w:val="32"/>
        </w:rPr>
      </w:pPr>
      <w:bookmarkStart w:id="80" w:name="_Toc15396625"/>
      <w:r>
        <w:rPr>
          <w:rFonts w:hint="eastAsia" w:eastAsia="仿宋_GB2312" w:cs="仿宋_GB2312"/>
          <w:sz w:val="32"/>
          <w:szCs w:val="32"/>
        </w:rPr>
        <w:t>七、一般公共预算财政拨款支出决算明细表</w:t>
      </w:r>
      <w:bookmarkEnd w:id="80"/>
    </w:p>
    <w:p>
      <w:pPr>
        <w:pStyle w:val="14"/>
        <w:adjustRightInd w:val="0"/>
        <w:snapToGrid w:val="0"/>
        <w:spacing w:line="560" w:lineRule="exact"/>
        <w:jc w:val="left"/>
        <w:rPr>
          <w:rFonts w:eastAsia="仿宋_GB2312" w:cs="仿宋_GB2312"/>
          <w:sz w:val="32"/>
          <w:szCs w:val="32"/>
        </w:rPr>
      </w:pPr>
      <w:bookmarkStart w:id="81" w:name="_Toc15396626"/>
      <w:r>
        <w:rPr>
          <w:rFonts w:hint="eastAsia" w:eastAsia="仿宋_GB2312" w:cs="仿宋_GB2312"/>
          <w:sz w:val="32"/>
          <w:szCs w:val="32"/>
        </w:rPr>
        <w:t>八、一般公共预算财政拨款基本支出决算表</w:t>
      </w:r>
      <w:bookmarkEnd w:id="81"/>
    </w:p>
    <w:p>
      <w:pPr>
        <w:pStyle w:val="14"/>
        <w:adjustRightInd w:val="0"/>
        <w:snapToGrid w:val="0"/>
        <w:spacing w:line="560" w:lineRule="exact"/>
        <w:jc w:val="left"/>
        <w:rPr>
          <w:rFonts w:eastAsia="仿宋_GB2312" w:cs="仿宋_GB2312"/>
          <w:sz w:val="32"/>
          <w:szCs w:val="32"/>
        </w:rPr>
      </w:pPr>
      <w:bookmarkStart w:id="82" w:name="_Toc15396627"/>
      <w:r>
        <w:rPr>
          <w:rFonts w:hint="eastAsia" w:eastAsia="仿宋_GB2312" w:cs="仿宋_GB2312"/>
          <w:sz w:val="32"/>
          <w:szCs w:val="32"/>
        </w:rPr>
        <w:t>九、一般公共预算财政拨款项目支出决算表</w:t>
      </w:r>
      <w:bookmarkEnd w:id="82"/>
    </w:p>
    <w:p>
      <w:pPr>
        <w:pStyle w:val="14"/>
        <w:adjustRightInd w:val="0"/>
        <w:snapToGrid w:val="0"/>
        <w:spacing w:line="560" w:lineRule="exact"/>
        <w:jc w:val="left"/>
        <w:rPr>
          <w:rFonts w:eastAsia="仿宋_GB2312" w:cs="仿宋_GB2312"/>
          <w:sz w:val="32"/>
          <w:szCs w:val="32"/>
        </w:rPr>
      </w:pPr>
      <w:bookmarkStart w:id="83" w:name="_Toc15396628"/>
      <w:r>
        <w:rPr>
          <w:rFonts w:hint="eastAsia" w:eastAsia="仿宋_GB2312" w:cs="仿宋_GB2312"/>
          <w:sz w:val="32"/>
          <w:szCs w:val="32"/>
        </w:rPr>
        <w:t>十、</w:t>
      </w:r>
      <w:bookmarkEnd w:id="83"/>
      <w:r>
        <w:rPr>
          <w:rFonts w:hint="eastAsia" w:eastAsia="仿宋_GB2312" w:cs="仿宋_GB2312"/>
          <w:sz w:val="32"/>
          <w:szCs w:val="32"/>
        </w:rPr>
        <w:t>政府性基金预算财政拨款收入支出决算表</w:t>
      </w:r>
    </w:p>
    <w:p>
      <w:pPr>
        <w:pStyle w:val="14"/>
        <w:adjustRightInd w:val="0"/>
        <w:snapToGrid w:val="0"/>
        <w:spacing w:line="560" w:lineRule="exact"/>
        <w:jc w:val="left"/>
        <w:rPr>
          <w:rFonts w:eastAsia="仿宋_GB2312" w:cs="仿宋_GB2312"/>
          <w:sz w:val="32"/>
          <w:szCs w:val="32"/>
        </w:rPr>
      </w:pPr>
      <w:bookmarkStart w:id="84" w:name="_Toc15396629"/>
      <w:r>
        <w:rPr>
          <w:rFonts w:hint="eastAsia" w:eastAsia="仿宋_GB2312" w:cs="仿宋_GB2312"/>
          <w:sz w:val="32"/>
          <w:szCs w:val="32"/>
        </w:rPr>
        <w:t>十一、</w:t>
      </w:r>
      <w:bookmarkEnd w:id="84"/>
      <w:r>
        <w:rPr>
          <w:rFonts w:hint="eastAsia" w:eastAsia="仿宋_GB2312" w:cs="仿宋_GB2312"/>
          <w:sz w:val="32"/>
          <w:szCs w:val="32"/>
        </w:rPr>
        <w:t>国有资本经营预算财政拨款收入支出决算表</w:t>
      </w:r>
    </w:p>
    <w:p>
      <w:pPr>
        <w:pStyle w:val="14"/>
        <w:adjustRightInd w:val="0"/>
        <w:snapToGrid w:val="0"/>
        <w:spacing w:line="560" w:lineRule="exact"/>
        <w:jc w:val="left"/>
        <w:rPr>
          <w:rFonts w:eastAsia="仿宋_GB2312" w:cs="仿宋_GB2312"/>
          <w:sz w:val="32"/>
          <w:szCs w:val="32"/>
        </w:rPr>
      </w:pPr>
      <w:bookmarkStart w:id="85" w:name="_Toc15396630"/>
      <w:r>
        <w:rPr>
          <w:rFonts w:hint="eastAsia" w:eastAsia="仿宋_GB2312" w:cs="仿宋_GB2312"/>
          <w:sz w:val="32"/>
          <w:szCs w:val="32"/>
        </w:rPr>
        <w:t>十二、</w:t>
      </w:r>
      <w:bookmarkEnd w:id="85"/>
      <w:r>
        <w:rPr>
          <w:rFonts w:hint="eastAsia" w:eastAsia="仿宋_GB2312" w:cs="仿宋_GB2312"/>
          <w:sz w:val="32"/>
          <w:szCs w:val="32"/>
        </w:rPr>
        <w:t>国有资本经营预算财政拨款支出决算表</w:t>
      </w:r>
    </w:p>
    <w:p>
      <w:pPr>
        <w:pStyle w:val="14"/>
        <w:adjustRightInd w:val="0"/>
        <w:snapToGrid w:val="0"/>
        <w:spacing w:line="560" w:lineRule="exact"/>
        <w:jc w:val="left"/>
        <w:rPr>
          <w:rFonts w:eastAsia="仿宋_GB2312" w:cs="仿宋_GB2312"/>
          <w:sz w:val="32"/>
          <w:szCs w:val="32"/>
        </w:rPr>
      </w:pPr>
      <w:bookmarkStart w:id="86" w:name="_Toc15396631"/>
      <w:r>
        <w:rPr>
          <w:rFonts w:hint="eastAsia" w:eastAsia="仿宋_GB2312" w:cs="仿宋_GB2312"/>
          <w:sz w:val="32"/>
          <w:szCs w:val="32"/>
        </w:rPr>
        <w:t>十三、</w:t>
      </w:r>
      <w:bookmarkEnd w:id="86"/>
      <w:r>
        <w:rPr>
          <w:rFonts w:hint="eastAsia" w:eastAsia="仿宋_GB2312" w:cs="仿宋_GB2312"/>
          <w:sz w:val="32"/>
          <w:szCs w:val="32"/>
        </w:rPr>
        <w:t>财政拨款“三公”经费支出决算表</w:t>
      </w:r>
    </w:p>
    <w:p/>
    <w:sectPr>
      <w:footerReference r:id="rId6" w:type="first"/>
      <w:footerReference r:id="rId5" w:type="default"/>
      <w:pgSz w:w="11906" w:h="16838"/>
      <w:pgMar w:top="1440" w:right="1800" w:bottom="1440" w:left="1800" w:header="851" w:footer="992" w:gutter="0"/>
      <w:pgNumType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variable"/>
    <w:sig w:usb0="80000287" w:usb1="280F3C52" w:usb2="00000016" w:usb3="00000000" w:csb0="0004001F" w:csb1="00000000"/>
  </w:font>
  <w:font w:name="Calibri">
    <w:panose1 w:val="020F0502020204030204"/>
    <w:charset w:val="86"/>
    <w:family w:val="auto"/>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楷体_GB2312">
    <w:panose1 w:val="02010609030101010101"/>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11"/>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zql5uc8AAAAFAQAADwAA&#10;AAAAAAABACAAAAAiAAAAZHJzL2Rvd25yZXYueG1sUEsBAhQAFAAAAAgAh07iQBNbhIfmAQAAxwMA&#10;AA4AAAAAAAAAAQAgAAAAHgEAAGRycy9lMm9Eb2MueG1sUEsFBgAAAAAGAAYAWQEAAHYFAAAAAA==&#10;">
              <v:fill on="f" focussize="0,0"/>
              <v:stroke on="f"/>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E8A80E"/>
    <w:multiLevelType w:val="multilevel"/>
    <w:tmpl w:val="FBE8A80E"/>
    <w:lvl w:ilvl="0" w:tentative="0">
      <w:start w:val="3"/>
      <w:numFmt w:val="chineseCounting"/>
      <w:suff w:val="nothing"/>
      <w:lvlText w:val="（%1）"/>
      <w:lvlJc w:val="left"/>
      <w:pPr>
        <w:ind w:left="0" w:firstLine="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
    <w:nsid w:val="FFF6C931"/>
    <w:multiLevelType w:val="multilevel"/>
    <w:tmpl w:val="FFF6C931"/>
    <w:lvl w:ilvl="0" w:tentative="0">
      <w:start w:val="2"/>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
    <w:nsid w:val="51B72AFB"/>
    <w:multiLevelType w:val="singleLevel"/>
    <w:tmpl w:val="51B72AFB"/>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xNzNiMjI5OTg1ZDlhYTQ5MzAyNzQ1MWYxMmQ3NWQ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5C20"/>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2933"/>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05FAA"/>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5ABD9DC"/>
    <w:rsid w:val="165E0673"/>
    <w:rsid w:val="16BB723D"/>
    <w:rsid w:val="186504BB"/>
    <w:rsid w:val="1938089F"/>
    <w:rsid w:val="19A445FC"/>
    <w:rsid w:val="1B7D550C"/>
    <w:rsid w:val="1BE8440E"/>
    <w:rsid w:val="1D155CEE"/>
    <w:rsid w:val="1E740ACF"/>
    <w:rsid w:val="1F62156A"/>
    <w:rsid w:val="1FF35744"/>
    <w:rsid w:val="1FF6BC77"/>
    <w:rsid w:val="21962A9E"/>
    <w:rsid w:val="21AE7C77"/>
    <w:rsid w:val="22BC3C41"/>
    <w:rsid w:val="23860B96"/>
    <w:rsid w:val="240371BF"/>
    <w:rsid w:val="260F557C"/>
    <w:rsid w:val="27ECD8BC"/>
    <w:rsid w:val="281408E2"/>
    <w:rsid w:val="29FD04D3"/>
    <w:rsid w:val="2BFF7BC6"/>
    <w:rsid w:val="2C8A61B5"/>
    <w:rsid w:val="2D2E01CF"/>
    <w:rsid w:val="2DF04E50"/>
    <w:rsid w:val="2E9545B0"/>
    <w:rsid w:val="2F040D46"/>
    <w:rsid w:val="2FAE5751"/>
    <w:rsid w:val="2FB1A395"/>
    <w:rsid w:val="2FD9A7D8"/>
    <w:rsid w:val="2FF7C3DA"/>
    <w:rsid w:val="31553A39"/>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788BC"/>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6C73597"/>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978A53"/>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7F7B0A2"/>
    <w:rsid w:val="79086DAD"/>
    <w:rsid w:val="79974F09"/>
    <w:rsid w:val="79D7FD79"/>
    <w:rsid w:val="79EE5BA4"/>
    <w:rsid w:val="7A894339"/>
    <w:rsid w:val="7AFF7572"/>
    <w:rsid w:val="7B6C7DFB"/>
    <w:rsid w:val="7BBFBED0"/>
    <w:rsid w:val="7BC3E394"/>
    <w:rsid w:val="7C1F3737"/>
    <w:rsid w:val="7CBFC87B"/>
    <w:rsid w:val="7CFE0F48"/>
    <w:rsid w:val="7D7541C2"/>
    <w:rsid w:val="7D7EC23E"/>
    <w:rsid w:val="7D916348"/>
    <w:rsid w:val="7E8ADEBF"/>
    <w:rsid w:val="7EEF11D3"/>
    <w:rsid w:val="7F0971A6"/>
    <w:rsid w:val="7F3F679B"/>
    <w:rsid w:val="7F4FC4EF"/>
    <w:rsid w:val="7F5E4D54"/>
    <w:rsid w:val="7F6E0135"/>
    <w:rsid w:val="7F7FF02E"/>
    <w:rsid w:val="7F954DBA"/>
    <w:rsid w:val="7FA30C79"/>
    <w:rsid w:val="7FAF8ABF"/>
    <w:rsid w:val="7FB7269E"/>
    <w:rsid w:val="7FC96657"/>
    <w:rsid w:val="7FDA9588"/>
    <w:rsid w:val="7FDF220F"/>
    <w:rsid w:val="7FEDC5F7"/>
    <w:rsid w:val="7FEDD9DE"/>
    <w:rsid w:val="7FF5890D"/>
    <w:rsid w:val="7FF93490"/>
    <w:rsid w:val="99FF2014"/>
    <w:rsid w:val="9EF493E1"/>
    <w:rsid w:val="A6DD0D7F"/>
    <w:rsid w:val="ADC6F725"/>
    <w:rsid w:val="AFF93DC6"/>
    <w:rsid w:val="B7CF06AB"/>
    <w:rsid w:val="B7CFA926"/>
    <w:rsid w:val="B7F8786B"/>
    <w:rsid w:val="BABB6AA1"/>
    <w:rsid w:val="BABF0BA5"/>
    <w:rsid w:val="BB2F4199"/>
    <w:rsid w:val="BD079C78"/>
    <w:rsid w:val="BD733540"/>
    <w:rsid w:val="BF3735D5"/>
    <w:rsid w:val="BF7F09AC"/>
    <w:rsid w:val="BFD475C3"/>
    <w:rsid w:val="BFDE5EA6"/>
    <w:rsid w:val="BFFC2F61"/>
    <w:rsid w:val="BFFFF705"/>
    <w:rsid w:val="CAFA5EA1"/>
    <w:rsid w:val="CF6FC6F3"/>
    <w:rsid w:val="CFD3D3D7"/>
    <w:rsid w:val="CFDF1009"/>
    <w:rsid w:val="D7D7B16A"/>
    <w:rsid w:val="D8D6DB89"/>
    <w:rsid w:val="DB6F4CAB"/>
    <w:rsid w:val="DB777682"/>
    <w:rsid w:val="DCAD0B2D"/>
    <w:rsid w:val="DD1FB521"/>
    <w:rsid w:val="DEFBFEAE"/>
    <w:rsid w:val="DF1F3B80"/>
    <w:rsid w:val="DF573547"/>
    <w:rsid w:val="DF6F9789"/>
    <w:rsid w:val="DFFFA9E8"/>
    <w:rsid w:val="E5F4E9DC"/>
    <w:rsid w:val="E70FE695"/>
    <w:rsid w:val="ECFED1BC"/>
    <w:rsid w:val="ED1D69BB"/>
    <w:rsid w:val="ED7FD312"/>
    <w:rsid w:val="EECE70DC"/>
    <w:rsid w:val="EF53993F"/>
    <w:rsid w:val="EF6FD633"/>
    <w:rsid w:val="EFBFB2F4"/>
    <w:rsid w:val="EFBFFA21"/>
    <w:rsid w:val="F2BEBCB8"/>
    <w:rsid w:val="F36FB518"/>
    <w:rsid w:val="F3DE1A04"/>
    <w:rsid w:val="F3F722E5"/>
    <w:rsid w:val="F3FEB05D"/>
    <w:rsid w:val="F7970984"/>
    <w:rsid w:val="FA5F1E70"/>
    <w:rsid w:val="FA5FDB97"/>
    <w:rsid w:val="FB7F486A"/>
    <w:rsid w:val="FBFF5B2E"/>
    <w:rsid w:val="FD7FFE2B"/>
    <w:rsid w:val="FDEE196B"/>
    <w:rsid w:val="FDFE6575"/>
    <w:rsid w:val="FEDFDDC2"/>
    <w:rsid w:val="FEED32F6"/>
    <w:rsid w:val="FEF781DD"/>
    <w:rsid w:val="FF3F7E3F"/>
    <w:rsid w:val="FF3F8686"/>
    <w:rsid w:val="FFBA12D7"/>
    <w:rsid w:val="FFDFFAEE"/>
    <w:rsid w:val="FFF9B57B"/>
    <w:rsid w:val="FFFB9C29"/>
    <w:rsid w:val="FFFD61D9"/>
    <w:rsid w:val="FFFD8F59"/>
    <w:rsid w:val="FFFEA89D"/>
    <w:rsid w:val="FFFF2BB1"/>
    <w:rsid w:val="FFFF894E"/>
    <w:rsid w:val="FFFFB04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next w:val="1"/>
    <w:unhideWhenUsed/>
    <w:qFormat/>
    <w:uiPriority w:val="99"/>
    <w:pPr>
      <w:keepNext w:val="0"/>
      <w:keepLines w:val="0"/>
      <w:widowControl w:val="0"/>
      <w:suppressLineNumbers w:val="0"/>
      <w:spacing w:after="120" w:afterAutospacing="0"/>
      <w:ind w:left="200" w:leftChars="200" w:firstLine="420" w:firstLineChars="200"/>
      <w:jc w:val="both"/>
    </w:pPr>
    <w:rPr>
      <w:rFonts w:hint="default" w:ascii="仿宋_GB2312" w:hAnsi="Times New Roman" w:eastAsia="仿宋_GB2312" w:cs="Times New Roman"/>
      <w:kern w:val="2"/>
      <w:sz w:val="32"/>
      <w:szCs w:val="32"/>
      <w:lang w:val="en-US" w:eastAsia="zh-CN" w:bidi="ar"/>
    </w:rPr>
  </w:style>
  <w:style w:type="paragraph" w:styleId="7">
    <w:name w:val="Body Text"/>
    <w:basedOn w:val="1"/>
    <w:link w:val="26"/>
    <w:qFormat/>
    <w:uiPriority w:val="99"/>
    <w:pPr>
      <w:spacing w:beforeLines="30"/>
    </w:pPr>
    <w:rPr>
      <w:rFonts w:ascii="仿宋_GB2312" w:eastAsia="仿宋_GB2312"/>
      <w:kern w:val="0"/>
      <w:sz w:val="30"/>
    </w:rPr>
  </w:style>
  <w:style w:type="paragraph" w:styleId="8">
    <w:name w:val="Body Text Indent"/>
    <w:basedOn w:val="1"/>
    <w:next w:val="3"/>
    <w:qFormat/>
    <w:uiPriority w:val="0"/>
    <w:pPr>
      <w:spacing w:after="120"/>
      <w:ind w:left="200" w:leftChars="200"/>
    </w:pPr>
    <w:rPr>
      <w:rFonts w:ascii="仿宋_GB2312"/>
      <w:szCs w:val="32"/>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semiHidden/>
    <w:unhideWhenUsed/>
    <w:qFormat/>
    <w:uiPriority w:val="99"/>
    <w:rPr>
      <w:sz w:val="24"/>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7"/>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4"/>
    <w:qFormat/>
    <w:uiPriority w:val="9"/>
    <w:rPr>
      <w:rFonts w:ascii="Times New Roman" w:hAnsi="Times New Roman"/>
      <w:b/>
      <w:bCs/>
      <w:kern w:val="44"/>
      <w:sz w:val="44"/>
      <w:szCs w:val="44"/>
    </w:rPr>
  </w:style>
  <w:style w:type="character" w:customStyle="1" w:styleId="30">
    <w:name w:val="标题 2 Char"/>
    <w:basedOn w:val="17"/>
    <w:link w:val="5"/>
    <w:qFormat/>
    <w:uiPriority w:val="9"/>
    <w:rPr>
      <w:rFonts w:asciiTheme="majorHAnsi" w:hAnsiTheme="majorHAnsi" w:eastAsiaTheme="majorEastAsia" w:cstheme="majorBidi"/>
      <w:b/>
      <w:bCs/>
      <w:kern w:val="2"/>
      <w:sz w:val="32"/>
      <w:szCs w:val="32"/>
    </w:rPr>
  </w:style>
  <w:style w:type="paragraph" w:customStyle="1" w:styleId="31">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6"/>
    <w:qFormat/>
    <w:uiPriority w:val="9"/>
    <w:rPr>
      <w:rFonts w:ascii="Times New Roman" w:hAnsi="Times New Roman"/>
      <w:b/>
      <w:bCs/>
      <w:kern w:val="2"/>
      <w:sz w:val="32"/>
      <w:szCs w:val="32"/>
    </w:rPr>
  </w:style>
  <w:style w:type="paragraph" w:customStyle="1" w:styleId="34">
    <w:name w:val="TOC 标题2"/>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paragraph" w:customStyle="1" w:styleId="36">
    <w:name w:val="WPSOffice手动目录 1"/>
    <w:qFormat/>
    <w:uiPriority w:val="0"/>
    <w:pPr>
      <w:ind w:leftChars="0"/>
    </w:pPr>
    <w:rPr>
      <w:rFonts w:ascii="Times New Roman" w:hAnsi="Times New Roman" w:eastAsia="宋体" w:cs="Times New Roman"/>
      <w:sz w:val="20"/>
      <w:szCs w:val="20"/>
    </w:rPr>
  </w:style>
  <w:style w:type="paragraph" w:customStyle="1" w:styleId="37">
    <w:name w:val="WPSOffice手动目录 2"/>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Users/liusiqi/Desktop/&#21103;&#26412;&#22270;&#34920;&#29983;&#25104;&#65288;&#21442;&#32771;&#20351;&#29992;&#65289;(1).xls&#65288;&#19968;&#20301;&#30334;&#20998;&#27604;&#65289;.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Users/liusiqi/Desktop/&#21103;&#26412;&#22270;&#34920;&#29983;&#25104;&#65288;&#21442;&#32771;&#20351;&#29992;&#65289;(1).xls&#65288;&#19968;&#20301;&#30334;&#20998;&#27604;&#65289;.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Users/liusiqi/Desktop/&#21103;&#26412;&#22270;&#34920;&#29983;&#25104;&#65288;&#21442;&#32771;&#20351;&#29992;&#65289;(1).xls&#65288;&#19968;&#20301;&#30334;&#20998;&#27604;&#65289;.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Users/liusiqi/Desktop/&#21103;&#26412;&#22270;&#34920;&#29983;&#25104;&#65288;&#21442;&#32771;&#20351;&#29992;&#65289;(1).xls&#65288;&#19968;&#20301;&#30334;&#20998;&#27604;&#65289;.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Users/liusiqi/Desktop/&#21103;&#26412;&#22270;&#34920;&#29983;&#25104;&#65288;&#21442;&#32771;&#20351;&#29992;&#65289;(1).xls&#65288;&#19968;&#20301;&#30334;&#20998;&#27604;&#65289;.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Users/liusiqi/Desktop/&#21103;&#26412;&#22270;&#34920;&#29983;&#25104;&#65288;&#21442;&#32771;&#20351;&#29992;&#65289;(1).xls&#65288;&#19968;&#20301;&#30334;&#20998;&#27604;&#65289;.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r>
              <a:t>收入、支出决算总计变动情况图</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[工作簿1]Sheet1!$G$7:$J$8</c:f>
              <c:multiLvlStrCache>
                <c:ptCount val="4"/>
                <c:lvl>
                  <c:pt idx="0">
                    <c:v>收入</c:v>
                  </c:pt>
                  <c:pt idx="1">
                    <c:v>支出</c:v>
                  </c:pt>
                  <c:pt idx="2">
                    <c:v>收入</c:v>
                  </c:pt>
                  <c:pt idx="3">
                    <c:v>支出</c:v>
                  </c:pt>
                </c:lvl>
                <c:lvl>
                  <c:pt idx="0">
                    <c:v>24年</c:v>
                  </c:pt>
                  <c:pt idx="2">
                    <c:v>25年</c:v>
                  </c:pt>
                </c:lvl>
              </c:multiLvlStrCache>
            </c:multiLvlStrRef>
          </c:cat>
          <c:val>
            <c:numRef>
              <c:f>[工作簿1]Sheet1!$G$9:$J$9</c:f>
              <c:numCache>
                <c:formatCode>#,##0.00</c:formatCode>
                <c:ptCount val="4"/>
                <c:pt idx="0">
                  <c:v>2822.92</c:v>
                </c:pt>
                <c:pt idx="1">
                  <c:v>2822.92</c:v>
                </c:pt>
                <c:pt idx="2">
                  <c:v>2363.7</c:v>
                </c:pt>
                <c:pt idx="3">
                  <c:v>2363.7</c:v>
                </c:pt>
              </c:numCache>
            </c:numRef>
          </c:val>
        </c:ser>
        <c:dLbls>
          <c:showLegendKey val="0"/>
          <c:showVal val="1"/>
          <c:showCatName val="0"/>
          <c:showSerName val="0"/>
          <c:showPercent val="0"/>
          <c:showBubbleSize val="0"/>
        </c:dLbls>
        <c:gapWidth val="260"/>
        <c:overlap val="-32"/>
        <c:axId val="890409967"/>
        <c:axId val="153618185"/>
      </c:barChart>
      <c:catAx>
        <c:axId val="890409967"/>
        <c:scaling>
          <c:orientation val="minMax"/>
        </c:scaling>
        <c:delete val="0"/>
        <c:axPos val="b"/>
        <c:numFmt formatCode="General" sourceLinked="1"/>
        <c:majorTickMark val="out"/>
        <c:minorTickMark val="none"/>
        <c:tickLblPos val="nextTo"/>
        <c:spPr>
          <a:noFill/>
          <a:ln w="6350" cap="flat" cmpd="sng" algn="ctr">
            <a:solidFill>
              <a:schemeClr val="accent1">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153618185"/>
        <c:crosses val="autoZero"/>
        <c:auto val="1"/>
        <c:lblAlgn val="ctr"/>
        <c:lblOffset val="100"/>
        <c:noMultiLvlLbl val="0"/>
      </c:catAx>
      <c:valAx>
        <c:axId val="153618185"/>
        <c:scaling>
          <c:orientation val="minMax"/>
        </c:scaling>
        <c:delete val="1"/>
        <c:axPos val="l"/>
        <c:majorGridlines>
          <c:spPr>
            <a:ln w="6350" cap="flat" cmpd="sng" algn="ctr">
              <a:solidFill>
                <a:schemeClr val="tx1">
                  <a:lumMod val="50000"/>
                  <a:lumOff val="50000"/>
                  <a:alpha val="25000"/>
                </a:schemeClr>
              </a:solidFill>
              <a:round/>
            </a:ln>
            <a:effectLst/>
          </c:spPr>
        </c:majorGridlines>
        <c:numFmt formatCode="#,##0.00" sourceLinked="1"/>
        <c:majorTickMark val="out"/>
        <c:minorTickMark val="none"/>
        <c:tickLblPos val="nextTo"/>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890409967"/>
        <c:crosses val="autoZero"/>
        <c:crossBetween val="between"/>
      </c:valAx>
      <c:spPr>
        <a:noFill/>
        <a:ln>
          <a:noFill/>
        </a:ln>
        <a:effectLst/>
      </c:spPr>
    </c:plotArea>
    <c:plotVisOnly val="1"/>
    <c:dispBlanksAs val="gap"/>
    <c:showDLblsOverMax val="0"/>
  </c:chart>
  <c:spPr>
    <a:solidFill>
      <a:schemeClr val="bg1"/>
    </a:solidFill>
    <a:ln w="6350" cap="flat" cmpd="sng" algn="ctr">
      <a:solidFill>
        <a:schemeClr val="tx1">
          <a:lumMod val="50000"/>
          <a:lumOff val="50000"/>
          <a:alpha val="25000"/>
        </a:schemeClr>
      </a:solidFill>
      <a:round/>
    </a:ln>
    <a:effectLst/>
  </c:spPr>
  <c:txPr>
    <a:bodyPr/>
    <a:lstStyle/>
    <a:p>
      <a:pPr>
        <a:defRPr lang="zh-CN" sz="90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dPt>
          <c:dPt>
            <c:idx val="1"/>
            <c:bubble3D val="0"/>
            <c:explosion val="0"/>
          </c:dPt>
          <c:dPt>
            <c:idx val="2"/>
            <c:bubble3D val="0"/>
            <c:explosion val="0"/>
          </c:dPt>
          <c:dPt>
            <c:idx val="3"/>
            <c:bubble3D val="0"/>
            <c:explosion val="0"/>
          </c:dPt>
          <c:dPt>
            <c:idx val="4"/>
            <c:bubble3D val="0"/>
            <c:explosion val="0"/>
          </c:dPt>
          <c:dPt>
            <c:idx val="5"/>
            <c:bubble3D val="0"/>
            <c:explosion val="0"/>
          </c:dPt>
          <c:dLbls>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'[副本图表生成（参考使用）(1).xls（一位百分比）.xls]表2 图表生成'!$B$14:$G$14</c:f>
              <c:strCache>
                <c:ptCount val="6"/>
                <c:pt idx="0" c:formatCode="@">
                  <c:v>一般公共预算财政拨款收入</c:v>
                </c:pt>
                <c:pt idx="1" c:formatCode="@">
                  <c:v>政府性基金预算财政拨款收入</c:v>
                </c:pt>
                <c:pt idx="2" c:formatCode="@">
                  <c:v>国有资本经营预算财政拨款收入</c:v>
                </c:pt>
                <c:pt idx="3" c:formatCode="@">
                  <c:v>事业收入</c:v>
                </c:pt>
                <c:pt idx="4" c:formatCode="@">
                  <c:v>经营收入</c:v>
                </c:pt>
                <c:pt idx="5" c:formatCode="@">
                  <c:v>其他收入</c:v>
                </c:pt>
              </c:strCache>
            </c:strRef>
          </c:cat>
          <c:val>
            <c:numRef>
              <c:f>'[副本图表生成（参考使用）(1).xls（一位百分比）.xls]表2 图表生成'!$B$15:$G$15</c:f>
              <c:numCache>
                <c:formatCode>#,##0.00</c:formatCode>
                <c:ptCount val="6"/>
                <c:pt idx="0">
                  <c:v>1896.9</c:v>
                </c:pt>
                <c:pt idx="5">
                  <c:v>423.91</c:v>
                </c:pt>
              </c:numCache>
            </c:numRef>
          </c:val>
        </c:ser>
        <c:dLbls>
          <c:showLegendKey val="0"/>
          <c:showVal val="0"/>
          <c:showCatName val="0"/>
          <c:showSerName val="0"/>
          <c:showPercent val="0"/>
          <c:showBubbleSize val="0"/>
          <c:showLeaderLines val="1"/>
        </c:dLbls>
        <c:firstSliceAng val="0"/>
      </c:pieChart>
      <c:spPr>
        <a:noFill/>
        <a:ln w="3175">
          <a:noFill/>
        </a:ln>
      </c:spPr>
    </c:plotArea>
    <c:plotVisOnly val="1"/>
    <c:dispBlanksAs val="gap"/>
    <c:showDLblsOverMax val="0"/>
  </c:chart>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0"/>
    </c:view3D>
    <c:floor>
      <c:thickness val="0"/>
    </c:floor>
    <c:sideWall>
      <c:thickness val="0"/>
    </c:sideWall>
    <c:backWall>
      <c:thickness val="0"/>
    </c:backWall>
    <c:plotArea>
      <c:layout/>
      <c:pie3DChart>
        <c:varyColors val="1"/>
        <c:ser>
          <c:idx val="0"/>
          <c:order val="0"/>
          <c:explosion val="0"/>
          <c:dPt>
            <c:idx val="0"/>
            <c:bubble3D val="0"/>
            <c:explosion val="0"/>
          </c:dPt>
          <c:dPt>
            <c:idx val="1"/>
            <c:bubble3D val="0"/>
            <c:explosion val="0"/>
          </c:dPt>
          <c:dPt>
            <c:idx val="2"/>
            <c:bubble3D val="0"/>
            <c:explosion val="0"/>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基本支出79%</a:t>
                    </a:r>
                  </a:p>
                </c:rich>
              </c:tx>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项目支出21%</a:t>
                    </a:r>
                  </a:p>
                </c:rich>
              </c:tx>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'[副本图表生成（参考使用）(1).xls（一位百分比）.xls]表2 图表生成'!$B$22:$B$24</c:f>
              <c:strCache>
                <c:ptCount val="3"/>
                <c:pt idx="0">
                  <c:v>基本支出</c:v>
                </c:pt>
                <c:pt idx="1">
                  <c:v>项目支出</c:v>
                </c:pt>
                <c:pt idx="2">
                  <c:v>经营支出</c:v>
                </c:pt>
              </c:strCache>
            </c:strRef>
          </c:cat>
          <c:val>
            <c:numRef>
              <c:f>'[副本图表生成（参考使用）(1).xls（一位百分比）.xls]表2 图表生成'!$C$22:$C$24</c:f>
              <c:numCache>
                <c:formatCode>#,##0.00</c:formatCode>
                <c:ptCount val="3"/>
                <c:pt idx="0">
                  <c:v>1861.93</c:v>
                </c:pt>
                <c:pt idx="1">
                  <c:v>494.96</c:v>
                </c:pt>
              </c:numCache>
            </c:numRef>
          </c:val>
        </c:ser>
        <c:dLbls>
          <c:showLegendKey val="0"/>
          <c:showVal val="0"/>
          <c:showCatName val="0"/>
          <c:showSerName val="0"/>
          <c:showPercent val="0"/>
          <c:showBubbleSize val="0"/>
        </c:dLbls>
      </c:pie3DChart>
      <c:spPr>
        <a:noFill/>
        <a:ln w="3175">
          <a:noFill/>
        </a:ln>
      </c:spPr>
    </c:plotArea>
    <c:plotVisOnly val="1"/>
    <c:dispBlanksAs val="gap"/>
    <c:showDLblsOverMax val="0"/>
  </c:chart>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'[副本图表生成（参考使用）(1).xls（一位百分比）.xls]表2 图表生成'!$B$30:$C$30</c:f>
              <c:strCache>
                <c:ptCount val="2"/>
                <c:pt idx="0">
                  <c:v>2025年</c:v>
                </c:pt>
                <c:pt idx="1">
                  <c:v>2024年</c:v>
                </c:pt>
              </c:strCache>
            </c:strRef>
          </c:cat>
          <c:val>
            <c:numRef>
              <c:f>'[副本图表生成（参考使用）(1).xls（一位百分比）.xls]表2 图表生成'!$B$31:$C$31</c:f>
              <c:numCache>
                <c:formatCode>General</c:formatCode>
                <c:ptCount val="2"/>
                <c:pt idx="0">
                  <c:v>2363.7</c:v>
                </c:pt>
                <c:pt idx="1" c:formatCode="#,##0.00">
                  <c:v>2822.92</c:v>
                </c:pt>
              </c:numCache>
            </c:numRef>
          </c:val>
        </c:ser>
        <c:dLbls>
          <c:showLegendKey val="0"/>
          <c:showVal val="0"/>
          <c:showCatName val="0"/>
          <c:showSerName val="0"/>
          <c:showPercent val="0"/>
          <c:showBubbleSize val="0"/>
        </c:dLbls>
        <c:gapWidth val="150"/>
        <c:overlap val="100"/>
        <c:axId val="44332693"/>
        <c:axId val="514797536"/>
      </c:barChart>
      <c:catAx>
        <c:axId val="44332693"/>
        <c:scaling>
          <c:orientation val="minMax"/>
        </c:scaling>
        <c:delete val="0"/>
        <c:axPos val="b"/>
        <c:title>
          <c:tx>
            <c:rich>
              <a:bodyPr rot="0" spcFirstLastPara="0" vertOverflow="ellipsis" vert="horz" wrap="square" anchor="ctr" anchorCtr="1"/>
              <a:lstStyle/>
              <a:p>
                <a:pPr>
                  <a:defRPr lang="zh-CN" sz="1100" b="0" i="0" u="none" strike="noStrike" kern="1200" baseline="0">
                    <a:solidFill>
                      <a:srgbClr val="000000">
                        <a:alpha val="100000"/>
                      </a:srgbClr>
                    </a:solidFill>
                    <a:latin typeface="Calibri" panose="020F0502020204030204" pitchFamily="2" charset="0"/>
                    <a:ea typeface="Calibri" panose="020F0502020204030204" pitchFamily="2" charset="0"/>
                    <a:cs typeface="Calibri" panose="020F0502020204030204" pitchFamily="2" charset="0"/>
                  </a:defRPr>
                </a:pPr>
                <a:r>
                  <a:rPr lang="zh-CN" altLang="en-US" sz="1000" b="1" i="0" u="none" strike="noStrike" baseline="0">
                    <a:solidFill>
                      <a:srgbClr val="000000"/>
                    </a:solidFill>
                    <a:latin typeface="Calibri" panose="020F0502020204030204" charset="-122"/>
                    <a:ea typeface="Calibri" panose="020F0502020204030204" charset="-122"/>
                    <a:cs typeface="Calibri" panose="020F0502020204030204" charset="-122"/>
                  </a:rPr>
                  <a:t>   </a:t>
                </a:r>
                <a:r>
                  <a:rPr lang="zh-CN" altLang="en-US" sz="1000" b="1" i="0" u="none" strike="noStrike" baseline="0">
                    <a:solidFill>
                      <a:srgbClr val="000000"/>
                    </a:solidFill>
                    <a:latin typeface="宋体" panose="02010600030101010101" charset="-122"/>
                    <a:ea typeface="宋体" panose="02010600030101010101" charset="-122"/>
                    <a:cs typeface="宋体" panose="02010600030101010101" charset="-122"/>
                  </a:rPr>
                  <a:t>单位：万元</a:t>
                </a:r>
                <a:endParaRPr lang="zh-CN" altLang="en-US" sz="1000" b="0" i="0" u="none" strike="noStrike" baseline="0">
                  <a:solidFill>
                    <a:srgbClr val="000000"/>
                  </a:solidFill>
                  <a:latin typeface="Arial" panose="020B0604020202020204" pitchFamily="2" charset="0"/>
                  <a:ea typeface="Arial" panose="020B0604020202020204" pitchFamily="2" charset="0"/>
                  <a:cs typeface="Arial" panose="020B0604020202020204" pitchFamily="2" charset="0"/>
                </a:endParaRPr>
              </a:p>
            </c:rich>
          </c:tx>
          <c:layout>
            <c:manualLayout>
              <c:xMode val="edge"/>
              <c:yMode val="edge"/>
              <c:x val="0.779302649930265"/>
              <c:y val="0.858407079646018"/>
            </c:manualLayout>
          </c:layout>
          <c:overlay val="0"/>
        </c:title>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514797536"/>
        <c:crosses val="autoZero"/>
        <c:auto val="1"/>
        <c:lblAlgn val="ctr"/>
        <c:lblOffset val="100"/>
        <c:noMultiLvlLbl val="0"/>
      </c:catAx>
      <c:valAx>
        <c:axId val="514797536"/>
        <c:scaling>
          <c:orientation val="minMax"/>
        </c:scaling>
        <c:delete val="0"/>
        <c:axPos val="l"/>
        <c:majorGridlines>
          <c:spPr>
            <a:ln w="9525" cap="flat" cmpd="sng" algn="ct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prstDash val="solid"/>
              <a:round/>
            </a:ln>
          </c:spPr>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44332693"/>
        <c:crosses val="autoZero"/>
        <c:crossBetween val="between"/>
      </c:valAx>
    </c:plotArea>
    <c:plotVisOnly val="1"/>
    <c:dispBlanksAs val="gap"/>
    <c:showDLblsOverMax val="0"/>
  </c:chart>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'[副本图表生成（参考使用）(1).xls（一位百分比）.xls]表2 图表生成'!$B$37:$C$37</c:f>
              <c:strCache>
                <c:ptCount val="2"/>
                <c:pt idx="0">
                  <c:v>2025年</c:v>
                </c:pt>
                <c:pt idx="1">
                  <c:v>2024年</c:v>
                </c:pt>
              </c:strCache>
            </c:strRef>
          </c:cat>
          <c:val>
            <c:numRef>
              <c:f>'[副本图表生成（参考使用）(1).xls（一位百分比）.xls]表2 图表生成'!$B$38:$C$38</c:f>
              <c:numCache>
                <c:formatCode>#,##0.00</c:formatCode>
                <c:ptCount val="2"/>
                <c:pt idx="0">
                  <c:v>1896.9</c:v>
                </c:pt>
                <c:pt idx="1">
                  <c:v>2224.65</c:v>
                </c:pt>
              </c:numCache>
            </c:numRef>
          </c:val>
        </c:ser>
        <c:dLbls>
          <c:showLegendKey val="0"/>
          <c:showVal val="0"/>
          <c:showCatName val="0"/>
          <c:showSerName val="0"/>
          <c:showPercent val="0"/>
          <c:showBubbleSize val="0"/>
        </c:dLbls>
        <c:gapWidth val="150"/>
        <c:overlap val="100"/>
        <c:axId val="171056937"/>
        <c:axId val="563075282"/>
      </c:barChart>
      <c:catAx>
        <c:axId val="171056937"/>
        <c:scaling>
          <c:orientation val="minMax"/>
        </c:scaling>
        <c:delete val="0"/>
        <c:axPos val="b"/>
        <c:title>
          <c:tx>
            <c:rich>
              <a:bodyPr rot="0" spcFirstLastPara="0" vertOverflow="ellipsis" vert="horz" wrap="square" anchor="ctr" anchorCtr="1"/>
              <a:lstStyle/>
              <a:p>
                <a:pPr>
                  <a:defRPr lang="zh-CN" sz="1100" b="0" i="0" u="none" strike="noStrike" kern="1200" baseline="0">
                    <a:solidFill>
                      <a:srgbClr val="000000">
                        <a:alpha val="100000"/>
                      </a:srgbClr>
                    </a:solidFill>
                    <a:latin typeface="Calibri" panose="020F0502020204030204" pitchFamily="2" charset="0"/>
                    <a:ea typeface="Calibri" panose="020F0502020204030204" pitchFamily="2" charset="0"/>
                    <a:cs typeface="Calibri" panose="020F0502020204030204" pitchFamily="2" charset="0"/>
                  </a:defRPr>
                </a:pPr>
                <a:r>
                  <a:rPr lang="zh-CN" altLang="en-US" sz="1000" b="1" i="0" u="none" strike="noStrike" baseline="0">
                    <a:solidFill>
                      <a:srgbClr val="000000"/>
                    </a:solidFill>
                    <a:latin typeface="宋体" panose="02010600030101010101" charset="-122"/>
                    <a:ea typeface="宋体" panose="02010600030101010101" charset="-122"/>
                    <a:cs typeface="宋体" panose="02010600030101010101" charset="-122"/>
                  </a:rPr>
                  <a:t>单位：万元</a:t>
                </a:r>
                <a:r>
                  <a:rPr lang="zh-CN" altLang="en-US" sz="1000" b="1" i="0" u="none" strike="noStrike" baseline="0">
                    <a:solidFill>
                      <a:srgbClr val="000000"/>
                    </a:solidFill>
                    <a:latin typeface="Calibri" panose="020F0502020204030204" charset="-122"/>
                    <a:ea typeface="Calibri" panose="020F0502020204030204" charset="-122"/>
                    <a:cs typeface="Calibri" panose="020F0502020204030204" charset="-122"/>
                  </a:rPr>
                  <a:t> </a:t>
                </a:r>
                <a:endParaRPr lang="zh-CN" sz="1000" b="0" i="0" u="none" strike="noStrike" baseline="0">
                  <a:solidFill>
                    <a:srgbClr val="000000"/>
                  </a:solidFill>
                  <a:latin typeface="Arial" panose="020B0604020202020204" pitchFamily="2" charset="0"/>
                  <a:ea typeface="Arial" panose="020B0604020202020204" pitchFamily="2" charset="0"/>
                  <a:cs typeface="Arial" panose="020B0604020202020204" pitchFamily="2" charset="0"/>
                </a:endParaRPr>
              </a:p>
            </c:rich>
          </c:tx>
          <c:layout>
            <c:manualLayout>
              <c:xMode val="edge"/>
              <c:yMode val="edge"/>
              <c:x val="0.768059701492537"/>
              <c:y val="0.884172015629662"/>
            </c:manualLayout>
          </c:layout>
          <c:overlay val="0"/>
        </c:title>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563075282"/>
        <c:crosses val="autoZero"/>
        <c:auto val="1"/>
        <c:lblAlgn val="ctr"/>
        <c:lblOffset val="100"/>
        <c:noMultiLvlLbl val="0"/>
      </c:catAx>
      <c:valAx>
        <c:axId val="563075282"/>
        <c:scaling>
          <c:orientation val="minMax"/>
        </c:scaling>
        <c:delete val="0"/>
        <c:axPos val="l"/>
        <c:majorGridlines>
          <c:spPr>
            <a:ln w="9525" cap="flat" cmpd="sng" algn="ct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prstDash val="solid"/>
              <a:round/>
            </a:ln>
          </c:spPr>
        </c:majorGridlines>
        <c:numFmt formatCode="#,##0.00"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71056937"/>
        <c:crosses val="autoZero"/>
        <c:crossBetween val="between"/>
      </c:valAx>
    </c:plotArea>
    <c:plotVisOnly val="1"/>
    <c:dispBlanksAs val="gap"/>
    <c:showDLblsOverMax val="0"/>
  </c:chart>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3544241830865"/>
          <c:y val="0.158252742787485"/>
          <c:w val="0.482702239627953"/>
          <c:h val="0.801332791548151"/>
        </c:manualLayout>
      </c:layout>
      <c:pieChart>
        <c:varyColors val="1"/>
        <c:ser>
          <c:idx val="0"/>
          <c:order val="0"/>
          <c:explosion val="0"/>
          <c:dPt>
            <c:idx val="0"/>
            <c:bubble3D val="0"/>
            <c:explosion val="0"/>
          </c:dPt>
          <c:dPt>
            <c:idx val="1"/>
            <c:bubble3D val="0"/>
            <c:explosion val="0"/>
          </c:dPt>
          <c:dPt>
            <c:idx val="2"/>
            <c:bubble3D val="0"/>
            <c:explosion val="0"/>
          </c:dPt>
          <c:dPt>
            <c:idx val="3"/>
            <c:bubble3D val="0"/>
            <c:explosion val="0"/>
          </c:dPt>
          <c:dPt>
            <c:idx val="4"/>
            <c:bubble3D val="0"/>
            <c:explosion val="0"/>
          </c:dPt>
          <c:dPt>
            <c:idx val="5"/>
            <c:bubble3D val="0"/>
            <c:explosion val="0"/>
          </c:dPt>
          <c:dPt>
            <c:idx val="6"/>
            <c:bubble3D val="0"/>
            <c:explosion val="0"/>
          </c:dPt>
          <c:dPt>
            <c:idx val="7"/>
            <c:bubble3D val="0"/>
            <c:explosion val="0"/>
          </c:dPt>
          <c:dPt>
            <c:idx val="8"/>
            <c:bubble3D val="0"/>
            <c:explosion val="0"/>
          </c:dPt>
          <c:dPt>
            <c:idx val="9"/>
            <c:bubble3D val="0"/>
            <c:explosion val="0"/>
          </c:dPt>
          <c:dPt>
            <c:idx val="10"/>
            <c:bubble3D val="0"/>
            <c:explosion val="0"/>
          </c:dPt>
          <c:dLbls>
            <c:dLbl>
              <c:idx val="0"/>
              <c:layout>
                <c:manualLayout>
                  <c:x val="0.0856688287847265"/>
                  <c:y val="-0.152377082486794"/>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公共安全支出77%</a:t>
                    </a:r>
                  </a:p>
                </c:rich>
              </c:tx>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795496267286746"/>
                  <c:y val="0.0406338886631451"/>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367152123363113"/>
                  <c:y val="-0.0386021942299878"/>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12850324317709"/>
                  <c:y val="-0.00812677773262901"/>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'[副本图表生成（参考使用）(1).xls（一位百分比）.xls]表2 图表生成'!$B$43:$B$53</c:f>
              <c:strCache>
                <c:ptCount val="11"/>
                <c:pt idx="0">
                  <c:v>公共安全支出</c:v>
                </c:pt>
                <c:pt idx="1">
                  <c:v>社会保障和就业支出</c:v>
                </c:pt>
                <c:pt idx="2">
                  <c:v>卫生健康支出</c:v>
                </c:pt>
                <c:pt idx="3">
                  <c:v>住房保障支出</c:v>
                </c:pt>
                <c:pt idx="4">
                  <c:v>科学技术支出</c:v>
                </c:pt>
              </c:strCache>
            </c:strRef>
          </c:cat>
          <c:val>
            <c:numRef>
              <c:f>'[副本图表生成（参考使用）(1).xls（一位百分比）.xls]表2 图表生成'!$C$43:$C$53</c:f>
              <c:numCache>
                <c:formatCode>0.00_ </c:formatCode>
                <c:ptCount val="11"/>
                <c:pt idx="0">
                  <c:v>1460.31</c:v>
                </c:pt>
                <c:pt idx="1">
                  <c:v>221.25</c:v>
                </c:pt>
                <c:pt idx="2">
                  <c:v>78.62</c:v>
                </c:pt>
                <c:pt idx="3">
                  <c:v>136.71</c:v>
                </c:pt>
              </c:numCache>
            </c:numRef>
          </c:val>
        </c:ser>
        <c:dLbls>
          <c:showLegendKey val="0"/>
          <c:showVal val="0"/>
          <c:showCatName val="0"/>
          <c:showSerName val="0"/>
          <c:showPercent val="0"/>
          <c:showBubbleSize val="0"/>
          <c:showLeaderLines val="1"/>
        </c:dLbls>
        <c:firstSliceAng val="0"/>
      </c:pieChart>
      <c:spPr>
        <a:noFill/>
        <a:ln w="3175">
          <a:noFill/>
        </a:ln>
      </c:spPr>
    </c:plotArea>
    <c:plotVisOnly val="1"/>
    <c:dispBlanksAs val="gap"/>
    <c:showDLblsOverMax val="0"/>
  </c:chart>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dPt>
          <c:dPt>
            <c:idx val="1"/>
            <c:bubble3D val="0"/>
            <c:explosion val="0"/>
          </c:dPt>
          <c:dPt>
            <c:idx val="2"/>
            <c:bubble3D val="0"/>
            <c:explosion val="0"/>
          </c:dPt>
          <c:dLbls>
            <c:dLbl>
              <c:idx val="0"/>
              <c:layout>
                <c:manualLayout>
                  <c:x val="0.168582375478927"/>
                  <c:y val="0.0256410256410256"/>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公务用车购置及运行维护费97%</a:t>
                    </a:r>
                  </a:p>
                </c:rich>
              </c:tx>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manualLayout>
                  <c:x val="-0.134865900383142"/>
                  <c:y val="0.0205128205128205"/>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公务接待费3%</a:t>
                    </a:r>
                  </a:p>
                </c:rich>
              </c:tx>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'[副本图表生成（参考使用）(1).xls（一位百分比）.xls]表2 图表生成'!$B$61:$B$63</c:f>
              <c:strCache>
                <c:ptCount val="3"/>
                <c:pt idx="0">
                  <c:v>因公出国（境）费</c:v>
                </c:pt>
                <c:pt idx="1">
                  <c:v>公务用车购置及运行维护费</c:v>
                </c:pt>
                <c:pt idx="2">
                  <c:v>公务接待费</c:v>
                </c:pt>
              </c:strCache>
            </c:strRef>
          </c:cat>
          <c:val>
            <c:numRef>
              <c:f>'[副本图表生成（参考使用）(1).xls（一位百分比）.xls]表2 图表生成'!$C$61:$C$63</c:f>
              <c:numCache>
                <c:formatCode>General</c:formatCode>
                <c:ptCount val="3"/>
                <c:pt idx="1" c:formatCode="#,##0.00">
                  <c:v>5.86</c:v>
                </c:pt>
                <c:pt idx="2" c:formatCode="#,##0.00">
                  <c:v>0.18</c:v>
                </c:pt>
              </c:numCache>
            </c:numRef>
          </c:val>
        </c:ser>
        <c:dLbls>
          <c:showLegendKey val="0"/>
          <c:showVal val="0"/>
          <c:showCatName val="0"/>
          <c:showSerName val="0"/>
          <c:showPercent val="0"/>
          <c:showBubbleSize val="0"/>
          <c:showLeaderLines val="1"/>
        </c:dLbls>
        <c:firstSliceAng val="0"/>
      </c:pieChart>
      <c:spPr>
        <a:noFill/>
        <a:ln w="3175">
          <a:noFill/>
        </a:ln>
      </c:spPr>
    </c:plotArea>
    <c:plotVisOnly val="1"/>
    <c:dispBlanksAs val="gap"/>
    <c:showDLblsOverMax val="0"/>
  </c:chart>
  <c:txPr>
    <a:bodyPr wrap="square"/>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38</Pages>
  <Words>1302</Words>
  <Characters>7422</Characters>
  <Lines>1</Lines>
  <Paragraphs>1</Paragraphs>
  <TotalTime>38</TotalTime>
  <ScaleCrop>false</ScaleCrop>
  <LinksUpToDate>false</LinksUpToDate>
  <CharactersWithSpaces>8707</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2026-09-08T17:17:00Z</dcterms:created>
  <dc:creator>曹颖</dc:creator>
  <cp:lastModifiedBy>pc</cp:lastModifiedBy>
  <cp:lastPrinted>2026-09-17T07:47:54Z</cp:lastPrinted>
  <dcterms:modified xsi:type="dcterms:W3CDTF">2026-09-17T08:01:27Z</dcterms:modified>
  <dc:title>四川省***</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283F9701A45D4167B90839747030DE67</vt:lpwstr>
  </property>
  <property fmtid="{D5CDD505-2E9C-101B-9397-08002B2CF9AE}" pid="4" name="KSOTemplateDocerSaveRecord">
    <vt:lpwstr>eyJoZGlkIjoiZjViMDk3OGYyYmM3ZWZmYmY0Yjk0YzZhMzU1Mjg3NjQifQ==</vt:lpwstr>
  </property>
</Properties>
</file>