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B3DDE8">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0" w:name="_Toc15396475"/>
      <w:bookmarkStart w:id="1" w:name="_Toc15378441"/>
      <w:bookmarkStart w:id="2" w:name="_Toc15377425"/>
      <w:bookmarkStart w:id="3" w:name="_Toc15396597"/>
      <w:bookmarkStart w:id="4" w:name="_Toc15306267"/>
      <w:bookmarkStart w:id="5" w:name="_Toc15377193"/>
    </w:p>
    <w:p w14:paraId="1C703F53">
      <w:pPr>
        <w:pStyle w:val="8"/>
        <w:rPr>
          <w:rFonts w:hint="eastAsia" w:ascii="Times New Roman" w:hAnsi="Times New Roman" w:eastAsia="方正小标宋简体" w:cs="Times New Roman"/>
          <w:color w:val="auto"/>
          <w:kern w:val="2"/>
          <w:sz w:val="72"/>
          <w:szCs w:val="72"/>
          <w:highlight w:val="none"/>
          <w:lang w:val="en-US" w:eastAsia="zh-CN" w:bidi="ar-SA"/>
        </w:rPr>
      </w:pPr>
    </w:p>
    <w:p w14:paraId="6D2F79D6">
      <w:pPr>
        <w:pStyle w:val="8"/>
        <w:rPr>
          <w:rFonts w:hint="eastAsia" w:ascii="Times New Roman" w:hAnsi="Times New Roman" w:eastAsia="方正小标宋简体" w:cs="Times New Roman"/>
          <w:color w:val="auto"/>
          <w:kern w:val="2"/>
          <w:sz w:val="72"/>
          <w:szCs w:val="72"/>
          <w:highlight w:val="none"/>
          <w:lang w:val="en-US" w:eastAsia="zh-CN" w:bidi="ar-SA"/>
        </w:rPr>
      </w:pPr>
    </w:p>
    <w:bookmarkEnd w:id="0"/>
    <w:bookmarkEnd w:id="1"/>
    <w:bookmarkEnd w:id="2"/>
    <w:bookmarkEnd w:id="3"/>
    <w:bookmarkEnd w:id="4"/>
    <w:bookmarkEnd w:id="5"/>
    <w:p w14:paraId="765F32A3">
      <w:pPr>
        <w:adjustRightInd w:val="0"/>
        <w:snapToGrid w:val="0"/>
        <w:spacing w:line="360" w:lineRule="auto"/>
        <w:jc w:val="center"/>
        <w:outlineLvl w:val="0"/>
        <w:rPr>
          <w:rFonts w:ascii="Times New Roman" w:hAnsi="Times New Roman" w:eastAsia="方正小标宋简体" w:cs="Times New Roman"/>
          <w:sz w:val="72"/>
          <w:szCs w:val="72"/>
        </w:rPr>
      </w:pPr>
      <w:bookmarkStart w:id="6" w:name="_Toc26843601"/>
      <w:r>
        <w:rPr>
          <w:rFonts w:ascii="Times New Roman" w:hAnsi="Times New Roman" w:eastAsia="方正小标宋简体" w:cs="Times New Roman"/>
          <w:sz w:val="72"/>
          <w:szCs w:val="72"/>
        </w:rPr>
        <w:t>202</w:t>
      </w:r>
      <w:r>
        <w:rPr>
          <w:rFonts w:hint="eastAsia" w:eastAsia="方正小标宋简体" w:cs="Times New Roman"/>
          <w:sz w:val="72"/>
          <w:szCs w:val="72"/>
          <w:lang w:val="en-US" w:eastAsia="zh-CN"/>
        </w:rPr>
        <w:t>5</w:t>
      </w:r>
      <w:r>
        <w:rPr>
          <w:rFonts w:ascii="Times New Roman" w:hAnsi="Times New Roman" w:eastAsia="方正小标宋简体" w:cs="Times New Roman"/>
          <w:sz w:val="72"/>
          <w:szCs w:val="72"/>
        </w:rPr>
        <w:t>年度</w:t>
      </w:r>
      <w:bookmarkEnd w:id="6"/>
    </w:p>
    <w:p w14:paraId="40AA31D1">
      <w:pPr>
        <w:adjustRightInd w:val="0"/>
        <w:snapToGrid w:val="0"/>
        <w:spacing w:line="360" w:lineRule="auto"/>
        <w:jc w:val="center"/>
        <w:outlineLvl w:val="0"/>
        <w:rPr>
          <w:rFonts w:hint="default" w:ascii="Times New Roman" w:hAnsi="Times New Roman" w:eastAsia="方正小标宋简体" w:cs="Times New Roman"/>
          <w:sz w:val="72"/>
          <w:szCs w:val="72"/>
          <w:lang w:val="en-US" w:eastAsia="zh-CN"/>
        </w:rPr>
      </w:pPr>
      <w:bookmarkStart w:id="7" w:name="_Toc15377194"/>
      <w:bookmarkStart w:id="8" w:name="_Toc15377426"/>
      <w:bookmarkStart w:id="9" w:name="_Toc15306268"/>
      <w:bookmarkStart w:id="10" w:name="_Toc15378442"/>
      <w:bookmarkStart w:id="11" w:name="_Toc15396598"/>
      <w:bookmarkStart w:id="12" w:name="_Toc15396476"/>
      <w:r>
        <w:rPr>
          <w:rFonts w:hint="eastAsia" w:eastAsia="方正小标宋简体" w:cs="Times New Roman"/>
          <w:sz w:val="72"/>
          <w:szCs w:val="72"/>
          <w:lang w:val="en-US" w:eastAsia="zh-CN"/>
        </w:rPr>
        <w:t>金川县人民检察院</w:t>
      </w:r>
    </w:p>
    <w:p w14:paraId="79A5EA27">
      <w:pPr>
        <w:bidi w:val="0"/>
        <w:jc w:val="center"/>
        <w:rPr>
          <w:sz w:val="72"/>
          <w:szCs w:val="72"/>
        </w:rPr>
      </w:pPr>
      <w:bookmarkStart w:id="13" w:name="_Toc26843603"/>
      <w:r>
        <w:rPr>
          <w:rFonts w:ascii="Times New Roman" w:hAnsi="Times New Roman" w:eastAsia="方正小标宋简体" w:cs="Times New Roman"/>
          <w:sz w:val="72"/>
          <w:szCs w:val="72"/>
        </w:rPr>
        <w:t>部门决算</w:t>
      </w:r>
      <w:bookmarkEnd w:id="7"/>
      <w:bookmarkEnd w:id="8"/>
      <w:bookmarkEnd w:id="9"/>
      <w:bookmarkEnd w:id="10"/>
      <w:bookmarkEnd w:id="11"/>
      <w:bookmarkEnd w:id="12"/>
      <w:bookmarkEnd w:id="13"/>
    </w:p>
    <w:p w14:paraId="79DBBDA9">
      <w:pPr>
        <w:pStyle w:val="8"/>
        <w:spacing w:before="93" w:beforeLines="0"/>
        <w:rPr>
          <w:rFonts w:ascii="Times New Roman" w:hAnsi="Times New Roman" w:eastAsia="方正小标宋简体" w:cs="Times New Roman"/>
          <w:sz w:val="52"/>
          <w:szCs w:val="52"/>
        </w:rPr>
      </w:pPr>
    </w:p>
    <w:p w14:paraId="0EC75D10">
      <w:pPr>
        <w:pStyle w:val="8"/>
        <w:spacing w:before="93" w:beforeLines="0"/>
        <w:rPr>
          <w:rFonts w:ascii="Times New Roman" w:hAnsi="Times New Roman" w:cs="Times New Roman"/>
        </w:rPr>
      </w:pPr>
    </w:p>
    <w:p w14:paraId="49743CE8">
      <w:pPr>
        <w:pStyle w:val="8"/>
        <w:spacing w:before="93" w:beforeLines="0"/>
        <w:rPr>
          <w:rFonts w:ascii="Times New Roman" w:hAnsi="Times New Roman" w:cs="Times New Roman"/>
        </w:rPr>
      </w:pPr>
    </w:p>
    <w:p w14:paraId="0AF63298">
      <w:pPr>
        <w:pStyle w:val="8"/>
        <w:spacing w:before="93" w:beforeLines="0"/>
        <w:rPr>
          <w:rFonts w:ascii="Times New Roman" w:hAnsi="Times New Roman" w:cs="Times New Roman"/>
        </w:rPr>
      </w:pPr>
    </w:p>
    <w:p w14:paraId="5AFF40DD">
      <w:pPr>
        <w:pStyle w:val="8"/>
        <w:spacing w:before="93" w:beforeLines="0"/>
        <w:rPr>
          <w:rFonts w:ascii="Times New Roman" w:hAnsi="Times New Roman" w:cs="Times New Roman"/>
        </w:rPr>
      </w:pPr>
    </w:p>
    <w:p w14:paraId="51AE49FD">
      <w:pPr>
        <w:pStyle w:val="8"/>
        <w:spacing w:before="93" w:beforeLines="0"/>
        <w:rPr>
          <w:rFonts w:ascii="Times New Roman" w:hAnsi="Times New Roman" w:cs="Times New Roman"/>
        </w:rPr>
      </w:pPr>
    </w:p>
    <w:p w14:paraId="214428FB">
      <w:pPr>
        <w:pStyle w:val="8"/>
        <w:spacing w:before="93" w:beforeLines="0"/>
        <w:rPr>
          <w:rFonts w:ascii="Times New Roman" w:hAnsi="Times New Roman" w:cs="Times New Roman"/>
        </w:rPr>
      </w:pPr>
    </w:p>
    <w:p w14:paraId="5EA61012">
      <w:pPr>
        <w:pStyle w:val="14"/>
        <w:keepNext w:val="0"/>
        <w:keepLines w:val="0"/>
        <w:pageBreakBefore w:val="0"/>
        <w:kinsoku/>
        <w:wordWrap/>
        <w:overflowPunct/>
        <w:topLinePunct w:val="0"/>
        <w:autoSpaceDE/>
        <w:autoSpaceDN/>
        <w:bidi w:val="0"/>
        <w:adjustRightInd w:val="0"/>
        <w:snapToGrid w:val="0"/>
        <w:spacing w:line="560" w:lineRule="exact"/>
        <w:jc w:val="center"/>
        <w:textAlignment w:val="auto"/>
        <w:rPr>
          <w:rFonts w:ascii="Times New Roman" w:hAnsi="Times New Roman" w:eastAsia="黑体"/>
          <w:color w:val="auto"/>
          <w:sz w:val="48"/>
          <w:szCs w:val="48"/>
          <w:highlight w:val="none"/>
        </w:rPr>
      </w:pPr>
      <w:r>
        <w:rPr>
          <w:rFonts w:ascii="Times New Roman" w:hAnsi="Times New Roman" w:eastAsia="仿宋_GB2312" w:cs="Times New Roman"/>
          <w:sz w:val="32"/>
          <w:szCs w:val="32"/>
        </w:rPr>
        <w:t>已经保密审查、内容审定，同意对外公开</w:t>
      </w:r>
      <w:r>
        <w:rPr>
          <w:rFonts w:ascii="Times New Roman" w:hAnsi="Times New Roman" w:eastAsia="方正小标宋简体"/>
          <w:color w:val="auto"/>
          <w:sz w:val="36"/>
          <w:szCs w:val="36"/>
          <w:highlight w:val="none"/>
        </w:rPr>
        <w:br w:type="page"/>
      </w:r>
      <w:r>
        <w:rPr>
          <w:rFonts w:hint="eastAsia" w:ascii="Times New Roman" w:hAnsi="Times New Roman" w:eastAsia="黑体"/>
          <w:color w:val="auto"/>
          <w:sz w:val="48"/>
          <w:szCs w:val="48"/>
          <w:highlight w:val="none"/>
        </w:rPr>
        <w:t>目录</w:t>
      </w:r>
    </w:p>
    <w:p w14:paraId="0FADA7A6">
      <w:pPr>
        <w:widowControl/>
        <w:jc w:val="center"/>
        <w:rPr>
          <w:rFonts w:ascii="Times New Roman" w:hAnsi="Times New Roman" w:eastAsia="黑体" w:cstheme="minorBidi"/>
          <w:color w:val="auto"/>
          <w:sz w:val="28"/>
          <w:szCs w:val="28"/>
          <w:highlight w:val="none"/>
        </w:rPr>
      </w:pPr>
    </w:p>
    <w:p w14:paraId="3E9FF680">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18</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75811"/>
        <w15:color w:val="DBDBDB"/>
      </w:sdtPr>
      <w:sdtEndPr>
        <w:rPr>
          <w:rFonts w:ascii="Times New Roman" w:hAnsi="Times New Roman" w:eastAsia="宋体" w:cs="Times New Roman"/>
          <w:kern w:val="2"/>
          <w:sz w:val="18"/>
          <w:szCs w:val="18"/>
          <w:lang w:val="en-US" w:eastAsia="zh-CN" w:bidi="ar-SA"/>
        </w:rPr>
      </w:sdtEndPr>
      <w:sdtContent>
        <w:p w14:paraId="12B3AA62">
          <w:pPr>
            <w:spacing w:before="0" w:beforeLines="0" w:after="0" w:afterLines="0" w:line="240" w:lineRule="auto"/>
            <w:ind w:left="0" w:leftChars="0" w:right="0" w:rightChars="0" w:firstLine="0" w:firstLineChars="0"/>
            <w:jc w:val="center"/>
          </w:pPr>
          <w:r>
            <w:fldChar w:fldCharType="begin"/>
          </w:r>
          <w:r>
            <w:instrText xml:space="preserve">TOC \o "1-3" \h \u </w:instrText>
          </w:r>
          <w:r>
            <w:fldChar w:fldCharType="separate"/>
          </w:r>
        </w:p>
        <w:p w14:paraId="41E5A406">
          <w:pPr>
            <w:pStyle w:val="13"/>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_Toc24568 </w:instrText>
          </w:r>
          <w:r>
            <w:rPr>
              <w:rFonts w:hint="eastAsia" w:ascii="仿宋_GB2312" w:hAnsi="仿宋_GB2312" w:eastAsia="仿宋_GB2312" w:cs="仿宋_GB2312"/>
              <w:sz w:val="32"/>
              <w:szCs w:val="32"/>
            </w:rPr>
            <w:fldChar w:fldCharType="separate"/>
          </w:r>
          <w:r>
            <w:rPr>
              <w:rFonts w:hint="eastAsia" w:ascii="黑体" w:hAnsi="黑体" w:eastAsia="黑体" w:cs="黑体"/>
              <w:sz w:val="32"/>
              <w:szCs w:val="32"/>
            </w:rPr>
            <w:t>第一部分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 xml:space="preserve"> 部门概况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_Toc24568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F4E255C">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_Toc26691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一、 部门职责</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_Toc26691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EE4B174">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_Toc21387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二、机构设置</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p>
        <w:p w14:paraId="15CB2B21">
          <w:pPr>
            <w:pStyle w:val="13"/>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_Toc6186 </w:instrText>
          </w:r>
          <w:r>
            <w:rPr>
              <w:rFonts w:hint="eastAsia" w:ascii="仿宋_GB2312" w:hAnsi="仿宋_GB2312" w:eastAsia="仿宋_GB2312" w:cs="仿宋_GB2312"/>
              <w:sz w:val="32"/>
              <w:szCs w:val="32"/>
            </w:rPr>
            <w:fldChar w:fldCharType="separate"/>
          </w:r>
          <w:r>
            <w:rPr>
              <w:rFonts w:hint="eastAsia" w:ascii="黑体" w:hAnsi="黑体" w:eastAsia="黑体" w:cs="黑体"/>
              <w:sz w:val="32"/>
              <w:szCs w:val="32"/>
            </w:rPr>
            <w:t>第二部分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 xml:space="preserve"> </w:t>
          </w:r>
          <w:r>
            <w:rPr>
              <w:rFonts w:hint="eastAsia" w:ascii="黑体" w:hAnsi="黑体" w:eastAsia="黑体" w:cs="黑体"/>
              <w:sz w:val="32"/>
              <w:szCs w:val="32"/>
              <w:lang w:val="en-US" w:eastAsia="zh-CN"/>
            </w:rPr>
            <w:t>2025年度</w:t>
          </w:r>
          <w:r>
            <w:rPr>
              <w:rFonts w:hint="eastAsia" w:ascii="黑体" w:hAnsi="黑体" w:eastAsia="黑体" w:cs="黑体"/>
              <w:sz w:val="32"/>
              <w:szCs w:val="32"/>
            </w:rPr>
            <w:t>部门决算情况说明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fldChar w:fldCharType="end"/>
          </w:r>
        </w:p>
        <w:p w14:paraId="204C550B">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_Toc15893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fldChar w:fldCharType="end"/>
          </w:r>
        </w:p>
        <w:p w14:paraId="03B629E9">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_Toc7022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二、收入决算情况说明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fldChar w:fldCharType="end"/>
          </w:r>
        </w:p>
        <w:p w14:paraId="778BDF38">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_Toc22216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fldChar w:fldCharType="end"/>
          </w:r>
        </w:p>
        <w:p w14:paraId="513B34A2">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_Toc10360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四、财政拨款收入支出决算总体情况说明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fldChar w:fldCharType="end"/>
          </w:r>
        </w:p>
        <w:p w14:paraId="31B155B9">
          <w:pPr>
            <w:pStyle w:val="14"/>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_Toc28260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五、一般公共预算财政拨款支出决算情况说明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fldChar w:fldCharType="end"/>
          </w:r>
        </w:p>
        <w:p w14:paraId="4C538B94">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_Toc22809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fldChar w:fldCharType="end"/>
          </w:r>
        </w:p>
        <w:p w14:paraId="2BC17B36">
          <w:pPr>
            <w:pStyle w:val="9"/>
            <w:tabs>
              <w:tab w:val="right" w:leader="dot" w:pos="8306"/>
              <w:tab w:val="clear" w:pos="8296"/>
            </w:tabs>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_Toc23357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0</w:t>
          </w:r>
        </w:p>
        <w:p w14:paraId="7D184BD7">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_Toc26363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_Toc26363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2D2FC71">
          <w:pPr>
            <w:pStyle w:val="14"/>
            <w:tabs>
              <w:tab w:val="right" w:leader="dot" w:pos="8306"/>
              <w:tab w:val="clear" w:pos="8296"/>
            </w:tabs>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_Toc17007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六、一般公共预算财政拨款基本支出决算情况说明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2</w:t>
          </w:r>
        </w:p>
        <w:p w14:paraId="6824C180">
          <w:pPr>
            <w:pStyle w:val="14"/>
            <w:tabs>
              <w:tab w:val="right" w:leader="dot" w:pos="8306"/>
              <w:tab w:val="clear" w:pos="8296"/>
            </w:tabs>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_Toc21626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七、财政拨款“三公”经费支出决算情况说明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3</w:t>
          </w:r>
        </w:p>
        <w:p w14:paraId="63A981AB">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_Toc4049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（一）“三公”经费财政拨款支出决算总体情况说明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_Toc4049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01F6B87">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_Toc11604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（二）“三公”经费财政拨款支出决算具体情况说明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_Toc11604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CEB310D">
          <w:pPr>
            <w:pStyle w:val="14"/>
            <w:tabs>
              <w:tab w:val="right" w:leader="dot" w:pos="8306"/>
              <w:tab w:val="clear" w:pos="8296"/>
            </w:tabs>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_Toc14949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八、政府性基金预算支出决算情况说明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5</w:t>
          </w:r>
        </w:p>
        <w:p w14:paraId="71EC1380">
          <w:pPr>
            <w:pStyle w:val="14"/>
            <w:tabs>
              <w:tab w:val="right" w:leader="dot" w:pos="8306"/>
              <w:tab w:val="clear" w:pos="8296"/>
            </w:tabs>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_Toc9684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国有资本经营预算支出决算情况说明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5</w:t>
          </w:r>
        </w:p>
        <w:p w14:paraId="08F7E7B6">
          <w:pPr>
            <w:pStyle w:val="14"/>
            <w:tabs>
              <w:tab w:val="right" w:leader="dot" w:pos="8306"/>
              <w:tab w:val="clear" w:pos="8296"/>
            </w:tabs>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_Toc8531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eastAsia="zh-CN"/>
            </w:rPr>
            <w:t>十、</w:t>
          </w:r>
          <w:r>
            <w:rPr>
              <w:rFonts w:hint="eastAsia" w:ascii="仿宋_GB2312" w:hAnsi="仿宋_GB2312" w:eastAsia="仿宋_GB2312" w:cs="仿宋_GB2312"/>
              <w:sz w:val="32"/>
              <w:szCs w:val="32"/>
            </w:rPr>
            <w:t>其他重要事项的情况说明</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5</w:t>
          </w:r>
        </w:p>
        <w:p w14:paraId="4660080A">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_Toc21605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（一）机关运行经费支出情况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_Toc21605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51690466">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_Toc28082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（二）政府采购支出情况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_Toc28082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13F0B60">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_Toc24752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（三）国有资产占有使用情况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_Toc24752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0066FFF9">
          <w:pPr>
            <w:pStyle w:val="9"/>
            <w:tabs>
              <w:tab w:val="right" w:leader="dot" w:pos="8306"/>
              <w:tab w:val="clear" w:pos="8296"/>
            </w:tabs>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_Toc1968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highlight w:val="none"/>
            </w:rPr>
            <w:t>（四）预算绩效管理情况</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_Toc1968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960F2A8">
          <w:pPr>
            <w:pStyle w:val="13"/>
            <w:tabs>
              <w:tab w:val="right" w:leader="dot" w:pos="8306"/>
              <w:tab w:val="clear" w:pos="8296"/>
            </w:tabs>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_Toc7347 </w:instrText>
          </w:r>
          <w:r>
            <w:rPr>
              <w:rFonts w:hint="eastAsia" w:ascii="仿宋_GB2312" w:hAnsi="仿宋_GB2312" w:eastAsia="仿宋_GB2312" w:cs="仿宋_GB2312"/>
              <w:sz w:val="32"/>
              <w:szCs w:val="32"/>
            </w:rPr>
            <w:fldChar w:fldCharType="separate"/>
          </w:r>
          <w:r>
            <w:rPr>
              <w:rFonts w:hint="eastAsia" w:ascii="黑体" w:hAnsi="黑体" w:eastAsia="黑体" w:cs="黑体"/>
              <w:sz w:val="32"/>
              <w:szCs w:val="32"/>
            </w:rPr>
            <w:t>第</w:t>
          </w:r>
          <w:r>
            <w:rPr>
              <w:rFonts w:hint="eastAsia" w:ascii="黑体" w:hAnsi="黑体" w:eastAsia="黑体" w:cs="黑体"/>
              <w:sz w:val="32"/>
              <w:szCs w:val="32"/>
              <w:lang w:eastAsia="zh-CN"/>
            </w:rPr>
            <w:t>三</w:t>
          </w:r>
          <w:r>
            <w:rPr>
              <w:rFonts w:hint="eastAsia" w:ascii="黑体" w:hAnsi="黑体" w:eastAsia="黑体" w:cs="黑体"/>
              <w:sz w:val="32"/>
              <w:szCs w:val="32"/>
            </w:rPr>
            <w:t>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名词解释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7</w:t>
          </w:r>
          <w:bookmarkStart w:id="95" w:name="_GoBack"/>
          <w:bookmarkEnd w:id="95"/>
        </w:p>
        <w:p w14:paraId="7B5B738B">
          <w:pPr>
            <w:pStyle w:val="13"/>
            <w:tabs>
              <w:tab w:val="right" w:leader="dot" w:pos="8306"/>
              <w:tab w:val="clear" w:pos="8296"/>
            </w:tabs>
            <w:rPr>
              <w:rFonts w:hint="eastAsia" w:eastAsia="仿宋_GB2312"/>
              <w:lang w:val="en-US" w:eastAsia="zh-CN"/>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HYPERLINK \l _Toc25043 </w:instrText>
          </w:r>
          <w:r>
            <w:rPr>
              <w:rFonts w:hint="eastAsia" w:ascii="仿宋_GB2312" w:hAnsi="仿宋_GB2312" w:eastAsia="仿宋_GB2312" w:cs="仿宋_GB2312"/>
              <w:sz w:val="32"/>
              <w:szCs w:val="32"/>
            </w:rPr>
            <w:fldChar w:fldCharType="separate"/>
          </w:r>
          <w:r>
            <w:rPr>
              <w:rFonts w:hint="eastAsia" w:ascii="黑体" w:hAnsi="黑体" w:eastAsia="黑体" w:cs="黑体"/>
              <w:sz w:val="32"/>
              <w:szCs w:val="32"/>
            </w:rPr>
            <w:t>第四部分</w:t>
          </w:r>
          <w:r>
            <w:rPr>
              <w:rFonts w:hint="eastAsia" w:ascii="黑体" w:hAnsi="黑体" w:eastAsia="黑体" w:cs="黑体"/>
              <w:sz w:val="32"/>
              <w:szCs w:val="32"/>
              <w:lang w:val="en-US" w:eastAsia="zh-CN"/>
            </w:rPr>
            <w:t xml:space="preserve"> </w:t>
          </w:r>
          <w:r>
            <w:rPr>
              <w:rFonts w:hint="eastAsia" w:ascii="黑体" w:hAnsi="黑体" w:eastAsia="黑体" w:cs="黑体"/>
              <w:sz w:val="32"/>
              <w:szCs w:val="32"/>
            </w:rPr>
            <w:t xml:space="preserve"> 附件</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0</w:t>
          </w:r>
        </w:p>
        <w:p w14:paraId="5A857753">
          <w:pPr>
            <w:pStyle w:val="2"/>
            <w:rPr>
              <w:rFonts w:ascii="Times New Roman" w:hAnsi="Times New Roman" w:eastAsia="宋体" w:cs="Times New Roman"/>
              <w:kern w:val="2"/>
              <w:sz w:val="18"/>
              <w:szCs w:val="18"/>
              <w:lang w:val="en-US" w:eastAsia="zh-CN" w:bidi="ar-SA"/>
            </w:rPr>
          </w:pPr>
          <w:r>
            <w:fldChar w:fldCharType="end"/>
          </w:r>
        </w:p>
      </w:sdtContent>
    </w:sdt>
    <w:p w14:paraId="1FF1318A">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仿宋_GB2312"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第五部分 附表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37</w:t>
      </w:r>
    </w:p>
    <w:p w14:paraId="305887B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37</w:t>
      </w:r>
    </w:p>
    <w:p w14:paraId="7B23097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37</w:t>
      </w:r>
    </w:p>
    <w:p w14:paraId="03B53CF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37</w:t>
      </w:r>
    </w:p>
    <w:p w14:paraId="4298DD0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37</w:t>
      </w:r>
    </w:p>
    <w:p w14:paraId="1AB363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37</w:t>
      </w:r>
    </w:p>
    <w:p w14:paraId="36A243A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37</w:t>
      </w:r>
    </w:p>
    <w:p w14:paraId="48392F2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七、一般公共预算财政拨款支出决算明细表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37</w:t>
      </w:r>
    </w:p>
    <w:p w14:paraId="5E8FF36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37</w:t>
      </w:r>
    </w:p>
    <w:p w14:paraId="449DD16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九、一般公共预算财政拨款项目支出决算表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37</w:t>
      </w:r>
    </w:p>
    <w:p w14:paraId="1460EB7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_Toc25043 \h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lang w:val="en-US" w:eastAsia="zh-CN"/>
        </w:rPr>
        <w:t>7</w:t>
      </w:r>
    </w:p>
    <w:p w14:paraId="2413FEA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十一、国有资本经营预算财政拨款收入支出决算表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37</w:t>
      </w:r>
    </w:p>
    <w:p w14:paraId="314318E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37</w:t>
      </w:r>
    </w:p>
    <w:p w14:paraId="3F1A11F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十三、财政拨款“三公”经费支出决算表</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lang w:val="en-US" w:eastAsia="zh-CN"/>
        </w:rPr>
        <w:t>37</w:t>
      </w:r>
    </w:p>
    <w:p w14:paraId="4FDCAFF3">
      <w:pPr>
        <w:pStyle w:val="3"/>
        <w:ind w:left="0" w:leftChars="0" w:firstLine="0" w:firstLineChars="0"/>
      </w:pPr>
      <w:r>
        <w:rPr>
          <w:rFonts w:hint="eastAsia" w:ascii="仿宋_GB2312" w:hAnsi="仿宋_GB2312" w:eastAsia="仿宋_GB2312" w:cs="仿宋_GB2312"/>
          <w:sz w:val="32"/>
          <w:szCs w:val="32"/>
        </w:rPr>
        <w:tab/>
      </w:r>
    </w:p>
    <w:p w14:paraId="45F21379">
      <w:pPr>
        <w:rPr>
          <w:rFonts w:hint="eastAsia"/>
        </w:rPr>
      </w:pPr>
      <w:bookmarkStart w:id="14" w:name="_Toc15396599"/>
      <w:bookmarkStart w:id="15" w:name="_Toc15377196"/>
      <w:bookmarkStart w:id="16" w:name="_Toc24568"/>
    </w:p>
    <w:p w14:paraId="7F9D79FD">
      <w:pPr>
        <w:pStyle w:val="5"/>
        <w:bidi w:val="0"/>
        <w:jc w:val="center"/>
        <w:rPr>
          <w:rFonts w:ascii="Times New Roman" w:hAnsi="Times New Roman" w:eastAsia="黑体"/>
          <w:color w:val="auto"/>
          <w:sz w:val="32"/>
          <w:szCs w:val="32"/>
          <w:highlight w:val="none"/>
        </w:rPr>
      </w:pPr>
      <w:r>
        <w:rPr>
          <w:rFonts w:hint="eastAsia"/>
        </w:rPr>
        <w:t>第一部分</w:t>
      </w:r>
      <w:r>
        <w:rPr>
          <w:rFonts w:hint="eastAsia"/>
          <w:lang w:val="en-US" w:eastAsia="zh-CN"/>
        </w:rPr>
        <w:t xml:space="preserve"> </w:t>
      </w:r>
      <w:r>
        <w:rPr>
          <w:rFonts w:hint="eastAsia"/>
        </w:rPr>
        <w:t xml:space="preserve"> 部门概况</w:t>
      </w:r>
      <w:bookmarkEnd w:id="14"/>
      <w:bookmarkEnd w:id="15"/>
      <w:bookmarkEnd w:id="16"/>
    </w:p>
    <w:p w14:paraId="1A9B5A8F">
      <w:pPr>
        <w:pStyle w:val="6"/>
        <w:numPr>
          <w:ilvl w:val="0"/>
          <w:numId w:val="1"/>
        </w:numPr>
        <w:bidi w:val="0"/>
        <w:rPr>
          <w:rFonts w:hint="eastAsia"/>
          <w:lang w:eastAsia="zh-CN"/>
        </w:rPr>
      </w:pPr>
      <w:bookmarkStart w:id="17" w:name="_Toc26691"/>
      <w:r>
        <w:rPr>
          <w:rFonts w:hint="eastAsia"/>
          <w:lang w:eastAsia="zh-CN"/>
        </w:rPr>
        <w:t>部门职责</w:t>
      </w:r>
      <w:bookmarkEnd w:id="17"/>
    </w:p>
    <w:p w14:paraId="3D205221">
      <w:pPr>
        <w:snapToGrid w:val="0"/>
        <w:spacing w:line="520" w:lineRule="exact"/>
        <w:ind w:firstLine="643" w:firstLineChars="200"/>
        <w:rPr>
          <w:rFonts w:hint="eastAsia" w:ascii="楷体_GB2312" w:hAnsi="仿宋" w:eastAsia="楷体_GB2312"/>
          <w:b/>
          <w:sz w:val="32"/>
          <w:szCs w:val="32"/>
          <w:highlight w:val="none"/>
        </w:rPr>
      </w:pPr>
      <w:r>
        <w:rPr>
          <w:rFonts w:hint="eastAsia" w:ascii="楷体_GB2312" w:hAnsi="仿宋" w:eastAsia="楷体_GB2312"/>
          <w:b/>
          <w:sz w:val="32"/>
          <w:szCs w:val="32"/>
          <w:highlight w:val="none"/>
        </w:rPr>
        <w:t>（一）基本情况。</w:t>
      </w:r>
    </w:p>
    <w:p w14:paraId="288446CF">
      <w:pPr>
        <w:snapToGrid w:val="0"/>
        <w:spacing w:line="52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主要职能。</w:t>
      </w:r>
    </w:p>
    <w:p w14:paraId="4C6BFE68">
      <w:pPr>
        <w:snapToGrid w:val="0"/>
        <w:spacing w:line="520" w:lineRule="exact"/>
        <w:ind w:firstLine="640" w:firstLineChars="200"/>
        <w:rPr>
          <w:rFonts w:hint="default"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人民检察院是国家的法律监督机关，依法行使下列职权：对于叛国案、分裂国家案以及严重破坏国家的政策、法律、政令统一实施的重大犯罪案件，行使检察权。对于直接受理的国家工作人员利用职权实施的犯罪案件，进行侦查。对于公安机关、国家安全机关等侦查机关侦查的案件进行审查，决定是否逮捕、起诉或者不起诉。并对侦查机关的侦查活动是否合法实行监督。对于刑事案件提起公诉，支持公诉；对于人民法院的刑事判决、裁定是否正确和审判活动是否合法实行监督。对于监狱、看守所等执行机关执行刑罚的活动是否合法实行监督。对于人民法院的民事审判活动实行法律监督，对人民法院已经发生效力的判决、裁定，发现违反法律、法规规定的，依法提出抗诉。对于行政诉讼实行法律监督。对人民法院已经发生效力的判决、裁定发现违反法律、法规规定的，依法提出抗诉。。</w:t>
      </w:r>
    </w:p>
    <w:p w14:paraId="4D026C17">
      <w:pPr>
        <w:snapToGrid w:val="0"/>
        <w:spacing w:line="520" w:lineRule="exact"/>
        <w:ind w:firstLine="643" w:firstLineChars="200"/>
        <w:rPr>
          <w:rFonts w:hint="eastAsia" w:ascii="楷体_GB2312" w:hAnsi="仿宋" w:eastAsia="楷体_GB2312"/>
          <w:b/>
          <w:sz w:val="32"/>
          <w:szCs w:val="32"/>
          <w:highlight w:val="none"/>
        </w:rPr>
      </w:pPr>
      <w:r>
        <w:rPr>
          <w:rFonts w:hint="eastAsia" w:ascii="楷体_GB2312" w:hAnsi="仿宋" w:eastAsia="楷体_GB2312"/>
          <w:b/>
          <w:sz w:val="32"/>
          <w:szCs w:val="32"/>
          <w:highlight w:val="none"/>
        </w:rPr>
        <w:t>（二）当年取得的主要事业成效。</w:t>
      </w:r>
    </w:p>
    <w:p w14:paraId="4B05FF8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right="0" w:firstLine="715" w:firstLineChars="200"/>
        <w:jc w:val="left"/>
        <w:rPr>
          <w:rFonts w:hint="default" w:ascii="Times New Roman" w:hAnsi="Times New Roman" w:eastAsia="仿宋_GB2312" w:cs="Times New Roman"/>
          <w:i w:val="0"/>
          <w:iCs w:val="0"/>
          <w:caps w:val="0"/>
          <w:color w:val="000000"/>
          <w:spacing w:val="18"/>
          <w:kern w:val="0"/>
          <w:sz w:val="32"/>
          <w:szCs w:val="32"/>
          <w:u w:val="none"/>
          <w:lang w:val="en-US" w:eastAsia="zh-CN" w:bidi="ar"/>
        </w:rPr>
      </w:pPr>
      <w:r>
        <w:rPr>
          <w:rFonts w:hint="default" w:ascii="Times New Roman" w:hAnsi="Times New Roman" w:eastAsia="楷体_GB2312" w:cs="Times New Roman"/>
          <w:b/>
          <w:bCs/>
          <w:i w:val="0"/>
          <w:iCs w:val="0"/>
          <w:caps w:val="0"/>
          <w:color w:val="000000"/>
          <w:spacing w:val="18"/>
          <w:kern w:val="0"/>
          <w:sz w:val="32"/>
          <w:szCs w:val="32"/>
          <w:u w:val="none"/>
          <w:lang w:val="en-US" w:eastAsia="zh-CN" w:bidi="ar"/>
        </w:rPr>
        <w:t>一是高要求坚持党的领导。</w:t>
      </w:r>
      <w:r>
        <w:rPr>
          <w:rFonts w:hint="default" w:ascii="Times New Roman" w:hAnsi="Times New Roman" w:eastAsia="仿宋_GB2312" w:cs="Times New Roman"/>
          <w:i w:val="0"/>
          <w:iCs w:val="0"/>
          <w:kern w:val="2"/>
          <w:sz w:val="32"/>
          <w:szCs w:val="32"/>
          <w:lang w:val="en-US" w:eastAsia="zh-CN" w:bidi="ar-SA"/>
        </w:rPr>
        <w:t>牢牢把握检察机关的政治属性，切实增强“四个意识”、坚定“四个自信”、做到“两个维护”。全面贯彻《中国共产党政法工作条例》，严格执行重大事项请示报告制度，严格落实意识形态工作责任制，不断提高政治判断力、政治领悟力、政治执行力，确保检察工作正确政治方向。</w:t>
      </w:r>
    </w:p>
    <w:p w14:paraId="2784E0C0">
      <w:pPr>
        <w:pStyle w:val="20"/>
        <w:ind w:firstLine="715" w:firstLineChars="200"/>
        <w:rPr>
          <w:rFonts w:hint="default" w:ascii="Times New Roman" w:hAnsi="Times New Roman" w:eastAsia="仿宋_GB2312" w:cs="Times New Roman"/>
          <w:i w:val="0"/>
          <w:iCs w:val="0"/>
          <w:kern w:val="2"/>
          <w:sz w:val="32"/>
          <w:szCs w:val="32"/>
          <w:lang w:val="en-US" w:eastAsia="zh-CN" w:bidi="ar-SA"/>
        </w:rPr>
      </w:pPr>
      <w:r>
        <w:rPr>
          <w:rFonts w:hint="default" w:ascii="Times New Roman" w:hAnsi="Times New Roman" w:eastAsia="楷体_GB2312" w:cs="Times New Roman"/>
          <w:b/>
          <w:bCs/>
          <w:i w:val="0"/>
          <w:iCs w:val="0"/>
          <w:caps w:val="0"/>
          <w:color w:val="000000"/>
          <w:spacing w:val="18"/>
          <w:kern w:val="0"/>
          <w:sz w:val="32"/>
          <w:szCs w:val="32"/>
          <w:u w:val="none"/>
          <w:lang w:val="en-US" w:eastAsia="zh-CN" w:bidi="ar"/>
        </w:rPr>
        <w:t>二是高水平服务中心大局</w:t>
      </w:r>
      <w:r>
        <w:rPr>
          <w:rFonts w:hint="default" w:ascii="Times New Roman" w:hAnsi="Times New Roman" w:eastAsia="楷体_GB2312" w:cs="Times New Roman"/>
          <w:i w:val="0"/>
          <w:iCs w:val="0"/>
          <w:caps w:val="0"/>
          <w:color w:val="000000"/>
          <w:spacing w:val="18"/>
          <w:kern w:val="0"/>
          <w:sz w:val="32"/>
          <w:szCs w:val="32"/>
          <w:u w:val="none"/>
          <w:lang w:val="en-US" w:eastAsia="zh-CN" w:bidi="ar"/>
        </w:rPr>
        <w:t>。</w:t>
      </w:r>
      <w:r>
        <w:rPr>
          <w:rFonts w:hint="default" w:ascii="Times New Roman" w:hAnsi="Times New Roman" w:eastAsia="仿宋_GB2312" w:cs="Times New Roman"/>
          <w:i w:val="0"/>
          <w:iCs w:val="0"/>
          <w:kern w:val="2"/>
          <w:sz w:val="32"/>
          <w:szCs w:val="32"/>
          <w:lang w:val="en-US" w:eastAsia="zh-CN" w:bidi="ar-SA"/>
        </w:rPr>
        <w:t>坚决维护社会安全稳定，纵深推进常态化扫黑除恶斗争，依法惩治危害社会安全稳定的各类犯罪，以新安全格局保障新发展格局。主动将检察工作融入全县经济社会发展大局，全面履行法律监督职责，为</w:t>
      </w:r>
      <w:r>
        <w:rPr>
          <w:rFonts w:hint="eastAsia" w:ascii="Times New Roman" w:hAnsi="Times New Roman" w:eastAsia="仿宋_GB2312" w:cs="Times New Roman"/>
          <w:i w:val="0"/>
          <w:iCs w:val="0"/>
          <w:kern w:val="2"/>
          <w:sz w:val="32"/>
          <w:szCs w:val="32"/>
          <w:lang w:val="en-US" w:eastAsia="zh-CN" w:bidi="ar-SA"/>
        </w:rPr>
        <w:t>平安</w:t>
      </w:r>
      <w:r>
        <w:rPr>
          <w:rFonts w:hint="default" w:ascii="Times New Roman" w:hAnsi="Times New Roman" w:eastAsia="仿宋_GB2312" w:cs="Times New Roman"/>
          <w:i w:val="0"/>
          <w:iCs w:val="0"/>
          <w:kern w:val="2"/>
          <w:sz w:val="32"/>
          <w:szCs w:val="32"/>
          <w:lang w:val="en-US" w:eastAsia="zh-CN" w:bidi="ar-SA"/>
        </w:rPr>
        <w:t>金川建设贡献检察力量。</w:t>
      </w:r>
    </w:p>
    <w:p w14:paraId="4CC8FC63">
      <w:pPr>
        <w:pStyle w:val="20"/>
        <w:ind w:firstLine="715" w:firstLineChars="200"/>
        <w:rPr>
          <w:rFonts w:hint="default" w:ascii="Times New Roman" w:hAnsi="Times New Roman" w:eastAsia="仿宋_GB2312" w:cs="Times New Roman"/>
          <w:i w:val="0"/>
          <w:iCs w:val="0"/>
          <w:kern w:val="2"/>
          <w:sz w:val="32"/>
          <w:szCs w:val="32"/>
          <w:lang w:val="en-US" w:eastAsia="zh-CN" w:bidi="ar-SA"/>
        </w:rPr>
      </w:pPr>
      <w:r>
        <w:rPr>
          <w:rFonts w:hint="default" w:ascii="Times New Roman" w:hAnsi="Times New Roman" w:eastAsia="楷体_GB2312" w:cs="Times New Roman"/>
          <w:b/>
          <w:bCs/>
          <w:i w:val="0"/>
          <w:iCs w:val="0"/>
          <w:caps w:val="0"/>
          <w:color w:val="000000"/>
          <w:spacing w:val="18"/>
          <w:kern w:val="0"/>
          <w:sz w:val="32"/>
          <w:szCs w:val="32"/>
          <w:u w:val="none"/>
          <w:lang w:val="en-US" w:eastAsia="zh-CN" w:bidi="ar"/>
        </w:rPr>
        <w:t>三是高质量服务群众需求。</w:t>
      </w:r>
      <w:r>
        <w:rPr>
          <w:rFonts w:hint="default" w:ascii="Times New Roman" w:hAnsi="Times New Roman" w:eastAsia="仿宋_GB2312" w:cs="Times New Roman"/>
          <w:i w:val="0"/>
          <w:iCs w:val="0"/>
          <w:kern w:val="2"/>
          <w:sz w:val="32"/>
          <w:szCs w:val="32"/>
          <w:lang w:val="en-US" w:eastAsia="zh-CN" w:bidi="ar-SA"/>
        </w:rPr>
        <w:t>落实以人民为中心的发展思想，顺应新时代人民对美好生活的新需求，进一步加强民生司法保障，注重实质性化解群众合法诉求，避免程序空转，办好群众身边的“小案”。开展社会保障、医疗卫生、特定群体权益保障等民生领域检察监督。</w:t>
      </w:r>
    </w:p>
    <w:p w14:paraId="63BEA33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right="0" w:firstLine="715" w:firstLineChars="200"/>
        <w:jc w:val="both"/>
        <w:rPr>
          <w:rFonts w:hint="default" w:ascii="Times New Roman" w:hAnsi="Times New Roman" w:eastAsia="仿宋_GB2312" w:cs="Times New Roman"/>
          <w:i w:val="0"/>
          <w:iCs w:val="0"/>
          <w:kern w:val="2"/>
          <w:sz w:val="32"/>
          <w:szCs w:val="32"/>
          <w:lang w:val="en-US" w:eastAsia="zh-CN" w:bidi="ar-SA"/>
        </w:rPr>
      </w:pPr>
      <w:r>
        <w:rPr>
          <w:rFonts w:hint="default" w:ascii="Times New Roman" w:hAnsi="Times New Roman" w:eastAsia="楷体_GB2312" w:cs="Times New Roman"/>
          <w:b/>
          <w:bCs/>
          <w:i w:val="0"/>
          <w:iCs w:val="0"/>
          <w:caps w:val="0"/>
          <w:color w:val="000000"/>
          <w:spacing w:val="18"/>
          <w:kern w:val="0"/>
          <w:sz w:val="32"/>
          <w:szCs w:val="32"/>
          <w:u w:val="none"/>
          <w:lang w:val="en-US" w:eastAsia="zh-CN" w:bidi="ar"/>
        </w:rPr>
        <w:t>四是高质效加强法律监督。</w:t>
      </w:r>
      <w:r>
        <w:rPr>
          <w:rFonts w:hint="default" w:ascii="Times New Roman" w:hAnsi="Times New Roman" w:eastAsia="仿宋_GB2312" w:cs="Times New Roman"/>
          <w:i w:val="0"/>
          <w:iCs w:val="0"/>
          <w:kern w:val="2"/>
          <w:sz w:val="32"/>
          <w:szCs w:val="32"/>
          <w:lang w:val="en-US" w:eastAsia="zh-CN" w:bidi="ar-SA"/>
        </w:rPr>
        <w:t>持续更新监督理念，强化刑事立案、侦查、审判和执行活动监督，把“高质效办好每一个案件”作为新时代新征程检察履职办案的基本价值追求。精准开展民事诉讼监督，全面加强行政检察监督，积极稳妥推进公益诉讼检察，着力提升法律监督质量和效果。坚持依法一体履职、综合履职，推动“四大检察”全面协调充分发展。</w:t>
      </w:r>
    </w:p>
    <w:p w14:paraId="7FB5121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4" w:lineRule="atLeast"/>
        <w:ind w:right="0" w:firstLine="715" w:firstLineChars="200"/>
        <w:jc w:val="both"/>
        <w:rPr>
          <w:rFonts w:hint="default" w:ascii="Times New Roman" w:hAnsi="Times New Roman" w:eastAsia="仿宋_GB2312" w:cs="Times New Roman"/>
          <w:i w:val="0"/>
          <w:iCs w:val="0"/>
          <w:kern w:val="2"/>
          <w:sz w:val="32"/>
          <w:szCs w:val="32"/>
          <w:lang w:val="en-US" w:eastAsia="zh-CN" w:bidi="ar-SA"/>
        </w:rPr>
      </w:pPr>
      <w:r>
        <w:rPr>
          <w:rFonts w:hint="default" w:ascii="Times New Roman" w:hAnsi="Times New Roman" w:eastAsia="楷体_GB2312" w:cs="Times New Roman"/>
          <w:b/>
          <w:bCs/>
          <w:i w:val="0"/>
          <w:iCs w:val="0"/>
          <w:caps w:val="0"/>
          <w:color w:val="000000"/>
          <w:spacing w:val="18"/>
          <w:kern w:val="0"/>
          <w:sz w:val="32"/>
          <w:szCs w:val="32"/>
          <w:u w:val="none"/>
          <w:lang w:val="en-US" w:eastAsia="zh-CN" w:bidi="ar"/>
        </w:rPr>
        <w:t>五是高标准锻造检察铁军。</w:t>
      </w:r>
      <w:r>
        <w:rPr>
          <w:rFonts w:hint="default" w:ascii="Times New Roman" w:hAnsi="Times New Roman" w:eastAsia="仿宋_GB2312" w:cs="Times New Roman"/>
          <w:i w:val="0"/>
          <w:iCs w:val="0"/>
          <w:kern w:val="2"/>
          <w:sz w:val="32"/>
          <w:szCs w:val="32"/>
          <w:lang w:val="en-US" w:eastAsia="zh-CN" w:bidi="ar-SA"/>
        </w:rPr>
        <w:t>认真落实最高检《关于加强新时代检察队伍建设的意见》，以政治建设为统领，融合推进人才队伍、专业能力、职业保障和纪律作风建设。切实加强领导班子建设，不断优化人员分类管理，健全完善正向激励体系，强化内部监督制约，自觉接受外部监督。严格落实“三个规定”等铁规禁令，全面准确落实“三个管理”，以过硬作风推动各项部署落实落地，把政治和业务融为一体，不断提高检察队伍的政治素质、业务素质和职业道德素质。</w:t>
      </w:r>
    </w:p>
    <w:p w14:paraId="30994CF1">
      <w:pPr>
        <w:numPr>
          <w:ilvl w:val="0"/>
          <w:numId w:val="0"/>
        </w:numPr>
        <w:rPr>
          <w:rFonts w:hint="eastAsia"/>
          <w:lang w:eastAsia="zh-CN"/>
        </w:rPr>
      </w:pPr>
    </w:p>
    <w:p w14:paraId="31A66DBB">
      <w:pPr>
        <w:pStyle w:val="6"/>
        <w:bidi w:val="0"/>
      </w:pPr>
      <w:bookmarkStart w:id="18" w:name="_Toc15377200"/>
      <w:bookmarkStart w:id="19" w:name="_Toc15396601"/>
      <w:bookmarkStart w:id="20" w:name="_Toc21387"/>
      <w:r>
        <w:rPr>
          <w:rFonts w:hint="eastAsia"/>
        </w:rPr>
        <w:t>二、机构设置</w:t>
      </w:r>
      <w:bookmarkEnd w:id="18"/>
      <w:bookmarkEnd w:id="19"/>
      <w:bookmarkEnd w:id="20"/>
    </w:p>
    <w:p w14:paraId="295096CD">
      <w:pPr>
        <w:widowControl/>
        <w:ind w:firstLine="640"/>
        <w:jc w:val="left"/>
        <w:rPr>
          <w:rFonts w:hint="eastAsia" w:ascii="仿宋_GB2312" w:hAnsi="仿宋" w:eastAsia="仿宋_GB2312"/>
          <w:sz w:val="32"/>
          <w:szCs w:val="32"/>
          <w:highlight w:val="none"/>
          <w:lang w:val="en-US" w:eastAsia="zh-CN"/>
        </w:rPr>
      </w:pPr>
      <w:r>
        <w:rPr>
          <w:rFonts w:hint="eastAsia" w:ascii="仿宋_GB2312" w:hAnsi="仿宋" w:eastAsia="仿宋_GB2312"/>
          <w:sz w:val="32"/>
          <w:szCs w:val="32"/>
          <w:highlight w:val="none"/>
          <w:lang w:val="en-US" w:eastAsia="zh-CN"/>
        </w:rPr>
        <w:t>我院属行政机构中公检法司机构，系独立核算单位。独立编制机构数1个，独立核算机构数1个。</w:t>
      </w:r>
    </w:p>
    <w:p w14:paraId="59B958E8">
      <w:pPr>
        <w:widowControl/>
        <w:ind w:firstLine="640"/>
        <w:jc w:val="left"/>
        <w:rPr>
          <w:rFonts w:ascii="Times New Roman" w:hAnsi="Times New Roman" w:eastAsia="仿宋"/>
          <w:color w:val="auto"/>
          <w:kern w:val="0"/>
          <w:sz w:val="32"/>
          <w:szCs w:val="32"/>
          <w:highlight w:val="none"/>
        </w:rPr>
      </w:pPr>
      <w:r>
        <w:rPr>
          <w:rFonts w:hint="eastAsia" w:ascii="仿宋_GB2312" w:eastAsia="仿宋_GB2312"/>
          <w:color w:val="000000"/>
          <w:sz w:val="32"/>
          <w:szCs w:val="32"/>
        </w:rPr>
        <w:t>单位编制数2</w:t>
      </w:r>
      <w:r>
        <w:rPr>
          <w:rFonts w:hint="eastAsia" w:ascii="仿宋_GB2312" w:eastAsia="仿宋_GB2312"/>
          <w:color w:val="000000"/>
          <w:sz w:val="32"/>
          <w:szCs w:val="32"/>
          <w:lang w:val="en-US" w:eastAsia="zh-CN"/>
        </w:rPr>
        <w:t>7</w:t>
      </w:r>
      <w:r>
        <w:rPr>
          <w:rFonts w:hint="eastAsia" w:ascii="仿宋_GB2312" w:eastAsia="仿宋_GB2312"/>
          <w:color w:val="000000"/>
          <w:sz w:val="32"/>
          <w:szCs w:val="32"/>
        </w:rPr>
        <w:t>个，其中：</w:t>
      </w:r>
      <w:r>
        <w:rPr>
          <w:rFonts w:hint="eastAsia" w:ascii="仿宋_GB2312" w:eastAsia="仿宋_GB2312"/>
          <w:color w:val="000000"/>
          <w:sz w:val="32"/>
        </w:rPr>
        <w:t>政法编制2</w:t>
      </w:r>
      <w:r>
        <w:rPr>
          <w:rFonts w:hint="eastAsia" w:ascii="仿宋_GB2312" w:eastAsia="仿宋_GB2312"/>
          <w:color w:val="000000"/>
          <w:sz w:val="32"/>
          <w:lang w:val="en-US" w:eastAsia="zh-CN"/>
        </w:rPr>
        <w:t>4</w:t>
      </w:r>
      <w:r>
        <w:rPr>
          <w:rFonts w:hint="eastAsia" w:ascii="仿宋_GB2312" w:eastAsia="仿宋_GB2312"/>
          <w:color w:val="000000"/>
          <w:sz w:val="32"/>
        </w:rPr>
        <w:t>人</w:t>
      </w:r>
      <w:r>
        <w:rPr>
          <w:rFonts w:hint="eastAsia" w:ascii="仿宋_GB2312" w:eastAsia="仿宋_GB2312"/>
          <w:color w:val="000000"/>
          <w:sz w:val="32"/>
          <w:szCs w:val="32"/>
        </w:rPr>
        <w:t>、行政工勤编制3人；截止202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年末，实有人数3</w:t>
      </w:r>
      <w:r>
        <w:rPr>
          <w:rFonts w:hint="eastAsia" w:ascii="仿宋_GB2312" w:eastAsia="仿宋_GB2312"/>
          <w:color w:val="000000"/>
          <w:sz w:val="32"/>
          <w:szCs w:val="32"/>
          <w:lang w:val="en-US" w:eastAsia="zh-CN"/>
        </w:rPr>
        <w:t>3</w:t>
      </w:r>
      <w:r>
        <w:rPr>
          <w:rFonts w:hint="eastAsia" w:ascii="仿宋_GB2312" w:eastAsia="仿宋_GB2312"/>
          <w:color w:val="000000"/>
          <w:sz w:val="32"/>
          <w:szCs w:val="32"/>
        </w:rPr>
        <w:t>人，其中：在职</w:t>
      </w:r>
      <w:r>
        <w:rPr>
          <w:rFonts w:hint="eastAsia" w:ascii="仿宋_GB2312" w:eastAsia="仿宋_GB2312"/>
          <w:color w:val="000000"/>
          <w:sz w:val="32"/>
          <w:szCs w:val="32"/>
          <w:lang w:val="en-US" w:eastAsia="zh-CN"/>
        </w:rPr>
        <w:t>20</w:t>
      </w:r>
      <w:r>
        <w:rPr>
          <w:rFonts w:hint="eastAsia" w:ascii="仿宋_GB2312" w:eastAsia="仿宋_GB2312"/>
          <w:color w:val="000000"/>
          <w:sz w:val="32"/>
          <w:szCs w:val="32"/>
        </w:rPr>
        <w:t>人（公务员</w:t>
      </w:r>
      <w:r>
        <w:rPr>
          <w:rFonts w:hint="eastAsia" w:ascii="仿宋_GB2312" w:eastAsia="仿宋_GB2312"/>
          <w:color w:val="000000"/>
          <w:sz w:val="32"/>
          <w:szCs w:val="32"/>
          <w:lang w:val="en-US" w:eastAsia="zh-CN"/>
        </w:rPr>
        <w:t>18</w:t>
      </w:r>
      <w:r>
        <w:rPr>
          <w:rFonts w:hint="eastAsia" w:ascii="仿宋_GB2312" w:eastAsia="仿宋_GB2312"/>
          <w:color w:val="000000"/>
          <w:sz w:val="32"/>
          <w:szCs w:val="32"/>
        </w:rPr>
        <w:t>人、行政工勤2人），</w:t>
      </w:r>
      <w:r>
        <w:rPr>
          <w:rFonts w:hint="eastAsia" w:ascii="仿宋_GB2312" w:eastAsia="仿宋_GB2312"/>
          <w:color w:val="000000"/>
          <w:sz w:val="32"/>
          <w:szCs w:val="32"/>
          <w:lang w:val="en-US" w:eastAsia="zh-CN"/>
        </w:rPr>
        <w:t>较上年减少3人，</w:t>
      </w:r>
      <w:r>
        <w:rPr>
          <w:rFonts w:hint="eastAsia" w:ascii="仿宋_GB2312" w:eastAsia="仿宋_GB2312"/>
          <w:color w:val="000000"/>
          <w:sz w:val="32"/>
        </w:rPr>
        <w:t>退休人员</w:t>
      </w:r>
      <w:r>
        <w:rPr>
          <w:rFonts w:hint="eastAsia" w:ascii="仿宋_GB2312" w:eastAsia="仿宋_GB2312"/>
          <w:color w:val="000000"/>
          <w:sz w:val="32"/>
          <w:lang w:val="en-US" w:eastAsia="zh-CN"/>
        </w:rPr>
        <w:t>23</w:t>
      </w:r>
      <w:r>
        <w:rPr>
          <w:rFonts w:hint="eastAsia" w:ascii="仿宋_GB2312" w:eastAsia="仿宋_GB2312"/>
          <w:color w:val="000000"/>
          <w:sz w:val="32"/>
          <w:szCs w:val="32"/>
        </w:rPr>
        <w:t>人，</w:t>
      </w:r>
      <w:r>
        <w:rPr>
          <w:rFonts w:hint="eastAsia" w:ascii="仿宋_GB2312" w:eastAsia="仿宋_GB2312"/>
          <w:color w:val="000000"/>
          <w:sz w:val="32"/>
          <w:szCs w:val="32"/>
          <w:lang w:val="en-US" w:eastAsia="zh-CN"/>
        </w:rPr>
        <w:t>较上年增加2人，其他人员13</w:t>
      </w:r>
      <w:r>
        <w:rPr>
          <w:rFonts w:hint="eastAsia" w:ascii="仿宋_GB2312" w:eastAsia="仿宋_GB2312"/>
          <w:color w:val="000000"/>
          <w:sz w:val="32"/>
          <w:szCs w:val="32"/>
        </w:rPr>
        <w:t>人。</w:t>
      </w:r>
      <w:r>
        <w:rPr>
          <w:rFonts w:ascii="Times New Roman" w:hAnsi="Times New Roman" w:eastAsia="仿宋"/>
          <w:color w:val="auto"/>
          <w:sz w:val="32"/>
          <w:szCs w:val="32"/>
          <w:highlight w:val="none"/>
        </w:rPr>
        <w:br w:type="page"/>
      </w:r>
    </w:p>
    <w:p w14:paraId="03AC9244">
      <w:pPr>
        <w:pStyle w:val="5"/>
        <w:bidi w:val="0"/>
        <w:rPr>
          <w:rFonts w:ascii="Times New Roman" w:hAnsi="Times New Roman"/>
          <w:color w:val="auto"/>
          <w:highlight w:val="none"/>
        </w:rPr>
      </w:pPr>
      <w:bookmarkStart w:id="21" w:name="_Toc15396602"/>
      <w:bookmarkStart w:id="22" w:name="_Toc15377204"/>
      <w:bookmarkStart w:id="23" w:name="_Toc6186"/>
      <w:r>
        <w:rPr>
          <w:rFonts w:hint="eastAsia"/>
        </w:rPr>
        <w:t>第二部分</w:t>
      </w:r>
      <w:r>
        <w:rPr>
          <w:rFonts w:hint="eastAsia"/>
          <w:lang w:val="en-US" w:eastAsia="zh-CN"/>
        </w:rPr>
        <w:t xml:space="preserve"> </w:t>
      </w:r>
      <w:r>
        <w:rPr>
          <w:rFonts w:hint="eastAsia"/>
        </w:rPr>
        <w:t xml:space="preserve"> </w:t>
      </w:r>
      <w:r>
        <w:rPr>
          <w:rFonts w:hint="eastAsia"/>
          <w:lang w:val="en-US" w:eastAsia="zh-CN"/>
        </w:rPr>
        <w:t>2025年度</w:t>
      </w:r>
      <w:r>
        <w:rPr>
          <w:rFonts w:hint="eastAsia"/>
        </w:rPr>
        <w:t>部门决算情况说明</w:t>
      </w:r>
      <w:bookmarkEnd w:id="21"/>
      <w:bookmarkEnd w:id="22"/>
      <w:bookmarkEnd w:id="23"/>
    </w:p>
    <w:p w14:paraId="6DA40782">
      <w:pPr>
        <w:pStyle w:val="6"/>
        <w:bidi w:val="0"/>
        <w:rPr>
          <w:rFonts w:hint="eastAsia"/>
        </w:rPr>
      </w:pPr>
      <w:bookmarkStart w:id="24" w:name="_Toc15396603"/>
      <w:bookmarkStart w:id="25" w:name="_Toc15893"/>
      <w:bookmarkStart w:id="26" w:name="_Toc15377205"/>
      <w:r>
        <w:rPr>
          <w:rFonts w:hint="eastAsia"/>
          <w:lang w:eastAsia="zh-CN"/>
        </w:rPr>
        <w:t>一、</w:t>
      </w:r>
      <w:r>
        <w:rPr>
          <w:rFonts w:hint="eastAsia"/>
        </w:rPr>
        <w:t>收入支出决算总体情况说明</w:t>
      </w:r>
      <w:bookmarkEnd w:id="24"/>
      <w:bookmarkEnd w:id="25"/>
      <w:bookmarkEnd w:id="26"/>
    </w:p>
    <w:p w14:paraId="63B16824">
      <w:pPr>
        <w:snapToGrid w:val="0"/>
        <w:spacing w:line="520" w:lineRule="exact"/>
        <w:ind w:firstLine="640" w:firstLineChars="200"/>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lang w:val="en-US" w:eastAsia="zh-CN"/>
        </w:rPr>
        <w:t>1084.69</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总计各减少</w:t>
      </w:r>
      <w:r>
        <w:rPr>
          <w:rFonts w:hint="eastAsia" w:ascii="仿宋" w:hAnsi="仿宋" w:eastAsia="仿宋"/>
          <w:color w:val="auto"/>
          <w:sz w:val="32"/>
          <w:szCs w:val="32"/>
          <w:highlight w:val="none"/>
          <w:lang w:val="en-US" w:eastAsia="zh-CN"/>
        </w:rPr>
        <w:t>9.55</w:t>
      </w:r>
      <w:r>
        <w:rPr>
          <w:rFonts w:hint="eastAsia" w:ascii="Times New Roman" w:hAnsi="Times New Roman" w:eastAsia="仿宋_GB2312" w:cs="仿宋_GB2312"/>
          <w:color w:val="auto"/>
          <w:sz w:val="32"/>
          <w:szCs w:val="32"/>
          <w:highlight w:val="none"/>
        </w:rPr>
        <w:t>万元，下降</w:t>
      </w:r>
      <w:r>
        <w:rPr>
          <w:rFonts w:hint="eastAsia" w:eastAsia="仿宋_GB2312" w:cs="仿宋_GB2312"/>
          <w:color w:val="auto"/>
          <w:sz w:val="32"/>
          <w:szCs w:val="32"/>
          <w:highlight w:val="none"/>
          <w:lang w:val="en-US" w:eastAsia="zh-CN"/>
        </w:rPr>
        <w:t>0.7</w:t>
      </w:r>
      <w:r>
        <w:rPr>
          <w:rFonts w:hint="eastAsia" w:ascii="Times New Roman" w:hAnsi="Times New Roman" w:eastAsia="仿宋_GB2312" w:cs="仿宋_GB2312"/>
          <w:color w:val="auto"/>
          <w:sz w:val="32"/>
          <w:szCs w:val="32"/>
          <w:highlight w:val="none"/>
        </w:rPr>
        <w:t>%。主要变动原因是</w:t>
      </w:r>
      <w:r>
        <w:rPr>
          <w:rFonts w:hint="eastAsia" w:ascii="仿宋" w:hAnsi="仿宋" w:eastAsia="仿宋"/>
          <w:color w:val="auto"/>
          <w:sz w:val="32"/>
          <w:szCs w:val="32"/>
          <w:highlight w:val="none"/>
          <w:lang w:val="en-US" w:eastAsia="zh-CN"/>
        </w:rPr>
        <w:t>人员变动</w:t>
      </w:r>
      <w:r>
        <w:rPr>
          <w:rFonts w:hint="eastAsia" w:ascii="仿宋_GB2312" w:hAnsi="仿宋" w:eastAsia="仿宋_GB2312"/>
          <w:sz w:val="32"/>
          <w:szCs w:val="32"/>
          <w:highlight w:val="none"/>
        </w:rPr>
        <w:t>。</w:t>
      </w:r>
    </w:p>
    <w:p w14:paraId="51C08BD5">
      <w:pPr>
        <w:keepNext w:val="0"/>
        <w:keepLines w:val="0"/>
        <w:pageBreakBefore w:val="0"/>
        <w:widowControl w:val="0"/>
        <w:kinsoku/>
        <w:wordWrap/>
        <w:overflowPunct/>
        <w:topLinePunct w:val="0"/>
        <w:autoSpaceDE/>
        <w:autoSpaceDN/>
        <w:bidi w:val="0"/>
        <w:adjustRightInd/>
        <w:snapToGrid/>
        <w:ind w:firstLine="420" w:firstLineChars="200"/>
        <w:textAlignment w:val="auto"/>
        <w:rPr>
          <w:highlight w:val="none"/>
        </w:rPr>
      </w:pPr>
    </w:p>
    <w:p w14:paraId="7D67AD8B">
      <w:pPr>
        <w:pStyle w:val="2"/>
        <w:rPr>
          <w:highlight w:val="none"/>
        </w:rPr>
      </w:pPr>
    </w:p>
    <w:p w14:paraId="70709AEC">
      <w:pPr>
        <w:pStyle w:val="3"/>
        <w:ind w:left="0" w:leftChars="0" w:firstLine="0" w:firstLineChars="0"/>
        <w:rPr>
          <w:rFonts w:hint="eastAsia" w:ascii="Times New Roman" w:hAnsi="Times New Roman" w:eastAsia="仿宋_GB2312" w:cs="仿宋_GB2312"/>
          <w:color w:val="auto"/>
          <w:sz w:val="32"/>
          <w:szCs w:val="32"/>
          <w:highlight w:val="none"/>
        </w:rPr>
      </w:pPr>
      <w:r>
        <w:rPr>
          <w:rFonts w:hint="eastAsia" w:eastAsia="宋体"/>
          <w:lang w:eastAsia="zh-CN"/>
        </w:rPr>
        <w:drawing>
          <wp:inline distT="0" distB="0" distL="114300" distR="114300">
            <wp:extent cx="5767705" cy="3655060"/>
            <wp:effectExtent l="4445" t="4445" r="19050" b="1333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F1C9C94">
      <w:pPr>
        <w:pStyle w:val="6"/>
        <w:bidi w:val="0"/>
        <w:rPr>
          <w:rFonts w:hint="eastAsia"/>
          <w:lang w:eastAsia="zh-CN"/>
        </w:rPr>
      </w:pPr>
      <w:bookmarkStart w:id="27" w:name="_Toc15377206"/>
      <w:bookmarkStart w:id="28" w:name="_Toc15396604"/>
      <w:bookmarkStart w:id="29" w:name="_Toc7022"/>
      <w:r>
        <w:rPr>
          <w:rFonts w:hint="eastAsia"/>
          <w:lang w:eastAsia="zh-CN"/>
        </w:rPr>
        <w:t>二、收入决算情况说明</w:t>
      </w:r>
      <w:bookmarkEnd w:id="27"/>
      <w:bookmarkEnd w:id="28"/>
      <w:bookmarkEnd w:id="29"/>
    </w:p>
    <w:p w14:paraId="5C1F51D2">
      <w:pPr>
        <w:ind w:firstLine="800" w:firstLineChars="25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lang w:val="en-US" w:eastAsia="zh-CN"/>
        </w:rPr>
        <w:t>1084.69</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799.09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73.68</w:t>
      </w:r>
      <w:r>
        <w:rPr>
          <w:rFonts w:hint="eastAsia" w:ascii="仿宋_GB2312" w:hAnsi="仿宋_GB2312"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lang w:val="en-US" w:eastAsia="zh-CN"/>
        </w:rPr>
        <w:t>278.63</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26.32</w:t>
      </w:r>
      <w:r>
        <w:rPr>
          <w:rFonts w:hint="eastAsia" w:ascii="仿宋_GB2312" w:hAnsi="仿宋_GB2312" w:eastAsia="仿宋_GB2312" w:cs="仿宋_GB2312"/>
          <w:color w:val="auto"/>
          <w:sz w:val="32"/>
          <w:szCs w:val="32"/>
          <w:highlight w:val="none"/>
          <w:lang w:eastAsia="zh-CN"/>
        </w:rPr>
        <w:t>%。</w:t>
      </w:r>
    </w:p>
    <w:p w14:paraId="576E9F8E">
      <w:pPr>
        <w:pStyle w:val="2"/>
        <w:rPr>
          <w:rFonts w:hint="eastAsia"/>
          <w:lang w:eastAsia="zh-CN"/>
        </w:rPr>
      </w:pPr>
    </w:p>
    <w:p w14:paraId="06EC1D1B">
      <w:pPr>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389880" cy="3199765"/>
            <wp:effectExtent l="4445" t="4445" r="15875" b="889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BEDA091">
      <w:pPr>
        <w:pStyle w:val="2"/>
        <w:rPr>
          <w:rFonts w:hint="eastAsia"/>
          <w:lang w:eastAsia="zh-CN"/>
        </w:rPr>
      </w:pPr>
    </w:p>
    <w:p w14:paraId="36AD5D2C">
      <w:pPr>
        <w:pStyle w:val="6"/>
        <w:bidi w:val="0"/>
        <w:rPr>
          <w:rFonts w:hint="eastAsia"/>
          <w:lang w:eastAsia="zh-CN"/>
        </w:rPr>
      </w:pPr>
      <w:bookmarkStart w:id="30" w:name="_Toc15377207"/>
      <w:bookmarkStart w:id="31" w:name="_Toc15396605"/>
      <w:bookmarkStart w:id="32" w:name="_Toc22216"/>
    </w:p>
    <w:p w14:paraId="69593FB8">
      <w:pPr>
        <w:pStyle w:val="6"/>
        <w:bidi w:val="0"/>
        <w:rPr>
          <w:rFonts w:hint="eastAsia"/>
        </w:rPr>
      </w:pPr>
      <w:r>
        <w:rPr>
          <w:rFonts w:hint="eastAsia"/>
          <w:lang w:eastAsia="zh-CN"/>
        </w:rPr>
        <w:t>三、</w:t>
      </w:r>
      <w:r>
        <w:rPr>
          <w:rFonts w:hint="eastAsia"/>
        </w:rPr>
        <w:t>支出决算情况说明</w:t>
      </w:r>
      <w:bookmarkEnd w:id="30"/>
      <w:bookmarkEnd w:id="31"/>
      <w:bookmarkEnd w:id="32"/>
    </w:p>
    <w:p w14:paraId="3210E6B3">
      <w:pPr>
        <w:ind w:firstLine="800" w:firstLineChars="25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lang w:val="en-US" w:eastAsia="zh-CN"/>
        </w:rPr>
        <w:t>1084.69</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lang w:val="en-US" w:eastAsia="zh-CN"/>
        </w:rPr>
        <w:t>773.16</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71.28</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lang w:val="en-US" w:eastAsia="zh-CN"/>
        </w:rPr>
        <w:t>298</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lang w:val="en-US" w:eastAsia="zh-CN"/>
        </w:rPr>
        <w:t>28.72</w:t>
      </w:r>
      <w:r>
        <w:rPr>
          <w:rFonts w:hint="eastAsia" w:ascii="仿宋_GB2312" w:hAnsi="仿宋_GB2312"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sz w:val="32"/>
          <w:szCs w:val="32"/>
          <w:highlight w:val="none"/>
          <w:lang w:eastAsia="zh-CN"/>
        </w:rPr>
        <w:t>%。</w:t>
      </w:r>
    </w:p>
    <w:p w14:paraId="0B5D7191">
      <w:pPr>
        <w:pStyle w:val="8"/>
        <w:rPr>
          <w:rFonts w:hint="eastAsia"/>
          <w:lang w:eastAsia="zh-CN"/>
        </w:rPr>
      </w:pPr>
    </w:p>
    <w:p w14:paraId="417BFAF7">
      <w:pPr>
        <w:pStyle w:val="8"/>
        <w:rPr>
          <w:rFonts w:hint="eastAsia"/>
          <w:lang w:eastAsia="zh-CN"/>
        </w:rPr>
      </w:pPr>
      <w:r>
        <w:rPr>
          <w:rFonts w:hint="eastAsia" w:eastAsia="宋体"/>
          <w:lang w:eastAsia="zh-CN"/>
        </w:rPr>
        <w:drawing>
          <wp:inline distT="0" distB="0" distL="114300" distR="114300">
            <wp:extent cx="5453380" cy="3277870"/>
            <wp:effectExtent l="4445" t="4445" r="15875" b="698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D8E1BC7">
      <w:pPr>
        <w:ind w:firstLine="525" w:firstLineChars="250"/>
        <w:rPr>
          <w:highlight w:val="none"/>
        </w:rPr>
      </w:pPr>
    </w:p>
    <w:p w14:paraId="233DE78A">
      <w:pPr>
        <w:pStyle w:val="2"/>
        <w:rPr>
          <w:rFonts w:hint="eastAsia" w:eastAsia="宋体"/>
          <w:lang w:eastAsia="zh-CN"/>
        </w:rPr>
      </w:pPr>
    </w:p>
    <w:p w14:paraId="685EE7ED">
      <w:pPr>
        <w:spacing w:line="600" w:lineRule="exact"/>
        <w:outlineLvl w:val="1"/>
        <w:rPr>
          <w:rStyle w:val="31"/>
          <w:rFonts w:ascii="Times New Roman" w:hAnsi="Times New Roman" w:eastAsia="黑体"/>
          <w:b w:val="0"/>
          <w:color w:val="auto"/>
          <w:highlight w:val="none"/>
        </w:rPr>
      </w:pPr>
      <w:bookmarkStart w:id="33" w:name="_Toc10360"/>
      <w:bookmarkStart w:id="34" w:name="_Toc15396606"/>
      <w:bookmarkStart w:id="35" w:name="_Toc15377208"/>
      <w:r>
        <w:rPr>
          <w:rFonts w:hint="eastAsia" w:ascii="Times New Roman" w:hAnsi="Times New Roman" w:eastAsia="黑体"/>
          <w:color w:val="auto"/>
          <w:sz w:val="32"/>
          <w:szCs w:val="32"/>
          <w:highlight w:val="none"/>
        </w:rPr>
        <w:t>四、财</w:t>
      </w:r>
      <w:r>
        <w:rPr>
          <w:rStyle w:val="31"/>
          <w:rFonts w:hint="eastAsia" w:ascii="Times New Roman" w:hAnsi="Times New Roman" w:eastAsia="黑体"/>
          <w:b w:val="0"/>
          <w:color w:val="auto"/>
          <w:highlight w:val="none"/>
        </w:rPr>
        <w:t>政拨款收入支出决算总体情况说明</w:t>
      </w:r>
      <w:bookmarkEnd w:id="33"/>
      <w:bookmarkEnd w:id="34"/>
      <w:bookmarkEnd w:id="35"/>
    </w:p>
    <w:p w14:paraId="729B327C">
      <w:pPr>
        <w:spacing w:line="600" w:lineRule="exact"/>
        <w:ind w:firstLine="640" w:firstLineChars="200"/>
        <w:rPr>
          <w:rFonts w:hint="eastAsia" w:ascii="Times New Roman" w:hAnsi="Times New Roman" w:eastAsia="仿宋_GB2312" w:cs="Times New Roman"/>
          <w:sz w:val="32"/>
          <w:szCs w:val="32"/>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lang w:eastAsia="zh-CN"/>
        </w:rPr>
        <w:t>799.09</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减少59.03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减少6.88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Times New Roman"/>
          <w:sz w:val="32"/>
          <w:szCs w:val="32"/>
          <w:lang w:val="en-US" w:eastAsia="zh-CN"/>
        </w:rPr>
        <w:t>2025</w:t>
      </w:r>
      <w:r>
        <w:rPr>
          <w:rFonts w:hint="eastAsia" w:ascii="Times New Roman" w:hAnsi="Times New Roman" w:eastAsia="仿宋_GB2312" w:cs="Times New Roman"/>
          <w:sz w:val="32"/>
          <w:szCs w:val="32"/>
          <w:lang w:val="en-US" w:eastAsia="zh-CN"/>
        </w:rPr>
        <w:t>年由于人员变动，使实际人员经费存在差异</w:t>
      </w:r>
      <w:r>
        <w:rPr>
          <w:rFonts w:hint="eastAsia" w:ascii="Times New Roman" w:hAnsi="Times New Roman" w:eastAsia="仿宋_GB2312" w:cs="Times New Roman"/>
          <w:sz w:val="32"/>
          <w:szCs w:val="32"/>
        </w:rPr>
        <w:t>。</w:t>
      </w:r>
    </w:p>
    <w:p w14:paraId="1B112F1A">
      <w:pPr>
        <w:pStyle w:val="3"/>
        <w:ind w:left="0" w:leftChars="0" w:firstLine="0" w:firstLineChars="0"/>
        <w:rPr>
          <w:rFonts w:hint="eastAsia"/>
          <w:lang w:val="en-US" w:eastAsia="zh-CN"/>
        </w:rPr>
      </w:pPr>
    </w:p>
    <w:p w14:paraId="1644DADE">
      <w:pPr>
        <w:spacing w:line="600" w:lineRule="exact"/>
        <w:outlineLvl w:val="1"/>
        <w:rPr>
          <w:rStyle w:val="31"/>
          <w:rFonts w:ascii="Times New Roman" w:hAnsi="Times New Roman" w:eastAsia="黑体"/>
          <w:b w:val="0"/>
          <w:color w:val="auto"/>
          <w:highlight w:val="none"/>
        </w:rPr>
      </w:pPr>
      <w:bookmarkStart w:id="36" w:name="_Toc28260"/>
      <w:bookmarkStart w:id="37" w:name="_Toc15377209"/>
      <w:bookmarkStart w:id="38"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1"/>
          <w:rFonts w:hint="eastAsia" w:ascii="Times New Roman" w:hAnsi="Times New Roman" w:eastAsia="黑体"/>
          <w:b w:val="0"/>
          <w:color w:val="auto"/>
          <w:highlight w:val="none"/>
        </w:rPr>
        <w:t>般公共预算财政拨款支出决算情况说明</w:t>
      </w:r>
      <w:bookmarkEnd w:id="36"/>
      <w:bookmarkEnd w:id="37"/>
      <w:bookmarkEnd w:id="38"/>
    </w:p>
    <w:p w14:paraId="480943C9">
      <w:pPr>
        <w:pStyle w:val="7"/>
        <w:bidi w:val="0"/>
        <w:rPr>
          <w:rFonts w:hint="eastAsia"/>
        </w:rPr>
      </w:pPr>
      <w:bookmarkStart w:id="39" w:name="_Toc15377210"/>
      <w:bookmarkStart w:id="40" w:name="_Toc22809"/>
      <w:r>
        <w:rPr>
          <w:rFonts w:hint="eastAsia"/>
        </w:rPr>
        <w:t>（一）一般公共预算财政拨款支出决算总体情况</w:t>
      </w:r>
      <w:bookmarkEnd w:id="39"/>
      <w:bookmarkEnd w:id="40"/>
    </w:p>
    <w:p w14:paraId="798FA58D">
      <w:pPr>
        <w:spacing w:line="600" w:lineRule="exact"/>
        <w:ind w:firstLine="640"/>
        <w:rPr>
          <w:rFonts w:hint="eastAsia" w:ascii="Times New Roman" w:hAnsi="Times New Roman" w:eastAsia="仿宋_GB2312" w:cs="Times New Roman"/>
          <w:sz w:val="32"/>
          <w:szCs w:val="32"/>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lang w:eastAsia="zh-CN"/>
        </w:rPr>
        <w:t>799.09</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lang w:val="en-US" w:eastAsia="zh-CN"/>
        </w:rPr>
        <w:t>73.68</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w:t>
      </w:r>
      <w:r>
        <w:rPr>
          <w:rFonts w:hint="eastAsia" w:eastAsia="仿宋_GB2312" w:cs="仿宋_GB2312"/>
          <w:color w:val="auto"/>
          <w:kern w:val="2"/>
          <w:sz w:val="32"/>
          <w:szCs w:val="32"/>
          <w:highlight w:val="none"/>
          <w:lang w:val="en-US" w:eastAsia="zh-CN" w:bidi="ar-SA"/>
        </w:rPr>
        <w:t>减少59.03</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减少6.88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Times New Roman" w:hAnsi="Times New Roman" w:eastAsia="仿宋_GB2312" w:cs="Times New Roman"/>
          <w:sz w:val="32"/>
          <w:szCs w:val="32"/>
          <w:lang w:val="en-US" w:eastAsia="zh-CN"/>
        </w:rPr>
        <w:t>由于人员变动，使实际人员经费存在差异</w:t>
      </w:r>
      <w:r>
        <w:rPr>
          <w:rFonts w:hint="eastAsia" w:ascii="Times New Roman" w:hAnsi="Times New Roman" w:eastAsia="仿宋_GB2312" w:cs="Times New Roman"/>
          <w:sz w:val="32"/>
          <w:szCs w:val="32"/>
        </w:rPr>
        <w:t>。</w:t>
      </w:r>
    </w:p>
    <w:p w14:paraId="28CAA73B">
      <w:pPr>
        <w:pStyle w:val="2"/>
        <w:rPr>
          <w:rFonts w:hint="eastAsia" w:ascii="Times New Roman" w:hAnsi="Times New Roman" w:eastAsia="仿宋_GB2312" w:cs="Times New Roman"/>
          <w:sz w:val="32"/>
          <w:szCs w:val="32"/>
        </w:rPr>
      </w:pPr>
    </w:p>
    <w:p w14:paraId="29DAB9D7">
      <w:pPr>
        <w:pStyle w:val="3"/>
        <w:rPr>
          <w:highlight w:val="none"/>
        </w:rPr>
      </w:pPr>
    </w:p>
    <w:p w14:paraId="2AFB0ECB">
      <w:pPr>
        <w:pStyle w:val="3"/>
        <w:rPr>
          <w:rFonts w:hint="eastAsia" w:eastAsia="宋体"/>
          <w:highlight w:val="none"/>
          <w:lang w:eastAsia="zh-CN"/>
        </w:rPr>
      </w:pPr>
      <w:r>
        <w:rPr>
          <w:rFonts w:hint="eastAsia" w:eastAsia="宋体"/>
          <w:highlight w:val="none"/>
          <w:lang w:eastAsia="zh-CN"/>
        </w:rPr>
        <w:drawing>
          <wp:inline distT="0" distB="0" distL="114300" distR="114300">
            <wp:extent cx="5256530" cy="2988310"/>
            <wp:effectExtent l="5080" t="4445" r="15240" b="17145"/>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5297569">
      <w:pPr>
        <w:pStyle w:val="3"/>
        <w:rPr>
          <w:rFonts w:hint="eastAsia"/>
          <w:highlight w:val="none"/>
          <w:lang w:val="en-US" w:eastAsia="zh-CN"/>
        </w:rPr>
      </w:pPr>
    </w:p>
    <w:p w14:paraId="5D53B8C0">
      <w:pPr>
        <w:pStyle w:val="7"/>
        <w:bidi w:val="0"/>
        <w:rPr>
          <w:rFonts w:hint="eastAsia"/>
        </w:rPr>
      </w:pPr>
      <w:bookmarkStart w:id="41" w:name="_Toc15377211"/>
      <w:bookmarkStart w:id="42" w:name="_Toc23357"/>
      <w:r>
        <w:rPr>
          <w:rFonts w:hint="eastAsia"/>
        </w:rPr>
        <w:t>（二）一般公共预算财政拨款支出决算结构情况</w:t>
      </w:r>
      <w:bookmarkEnd w:id="41"/>
      <w:bookmarkEnd w:id="42"/>
    </w:p>
    <w:p w14:paraId="1C244EF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w:t>
      </w:r>
      <w:r>
        <w:rPr>
          <w:rFonts w:hint="eastAsia" w:ascii="仿宋_GB2312" w:hAnsi="仿宋_GB2312" w:eastAsia="仿宋_GB2312" w:cs="仿宋_GB2312"/>
          <w:sz w:val="32"/>
          <w:szCs w:val="32"/>
          <w:lang w:eastAsia="zh-CN"/>
        </w:rPr>
        <w:t>799.09</w:t>
      </w:r>
      <w:r>
        <w:rPr>
          <w:rFonts w:hint="eastAsia" w:ascii="仿宋_GB2312" w:hAnsi="仿宋_GB2312"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公共安全支出</w:t>
      </w:r>
      <w:r>
        <w:rPr>
          <w:rFonts w:hint="eastAsia" w:eastAsia="仿宋_GB2312" w:cs="仿宋_GB2312"/>
          <w:color w:val="auto"/>
          <w:kern w:val="2"/>
          <w:sz w:val="32"/>
          <w:szCs w:val="32"/>
          <w:highlight w:val="none"/>
          <w:lang w:val="en-US" w:eastAsia="zh-CN" w:bidi="ar-SA"/>
        </w:rPr>
        <w:t>641.75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80.31</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76.09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9.52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32.13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4.02</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49.11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6.15</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0EE3BA3">
      <w:pPr>
        <w:pStyle w:val="3"/>
        <w:ind w:left="0" w:leftChars="0" w:firstLine="0" w:firstLineChars="0"/>
        <w:rPr>
          <w:rFonts w:hint="eastAsia"/>
          <w:lang w:val="en-US" w:eastAsia="zh-CN"/>
        </w:rPr>
      </w:pPr>
      <w:r>
        <w:rPr>
          <w:rFonts w:hint="eastAsia"/>
          <w:lang w:val="en-US" w:eastAsia="zh-CN"/>
        </w:rPr>
        <w:drawing>
          <wp:inline distT="0" distB="0" distL="114300" distR="114300">
            <wp:extent cx="5256530" cy="2988310"/>
            <wp:effectExtent l="5080" t="4445" r="8890" b="1714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55384BD">
      <w:pPr>
        <w:pStyle w:val="7"/>
        <w:bidi w:val="0"/>
        <w:rPr>
          <w:rFonts w:hint="eastAsia"/>
        </w:rPr>
      </w:pPr>
      <w:bookmarkStart w:id="43" w:name="_Toc15377212"/>
      <w:bookmarkStart w:id="44" w:name="_Toc26363"/>
      <w:r>
        <w:rPr>
          <w:rFonts w:hint="eastAsia"/>
        </w:rPr>
        <w:t>（三）一般公共预算财政拨款支出决算具体情况</w:t>
      </w:r>
      <w:bookmarkEnd w:id="43"/>
      <w:bookmarkEnd w:id="44"/>
    </w:p>
    <w:p w14:paraId="488606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5" w:name="_Toc15378460"/>
      <w:bookmarkStart w:id="46" w:name="_Toc15377444"/>
      <w:bookmarkStart w:id="47" w:name="_Toc15377213"/>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lang w:eastAsia="zh-CN"/>
        </w:rPr>
        <w:t>799.09</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5"/>
      <w:bookmarkEnd w:id="46"/>
      <w:bookmarkEnd w:id="47"/>
    </w:p>
    <w:p w14:paraId="21125713">
      <w:pPr>
        <w:spacing w:line="560" w:lineRule="exact"/>
        <w:ind w:firstLine="643" w:firstLineChars="200"/>
        <w:rPr>
          <w:rStyle w:val="18"/>
          <w:rFonts w:hint="eastAsia" w:ascii="仿宋_GB2312" w:eastAsia="仿宋_GB2312"/>
          <w:color w:val="000000"/>
          <w:sz w:val="32"/>
          <w:szCs w:val="32"/>
        </w:rPr>
      </w:pPr>
      <w:r>
        <w:rPr>
          <w:rStyle w:val="18"/>
          <w:rFonts w:ascii="Times New Roman" w:hAnsi="Times New Roman" w:eastAsia="仿宋" w:cs="Times New Roman"/>
          <w:bCs/>
          <w:sz w:val="32"/>
          <w:szCs w:val="32"/>
        </w:rPr>
        <w:t>1.</w:t>
      </w:r>
      <w:r>
        <w:rPr>
          <w:rStyle w:val="18"/>
          <w:rFonts w:hint="eastAsia" w:ascii="仿宋_GB2312" w:eastAsia="仿宋_GB2312"/>
          <w:color w:val="000000"/>
          <w:sz w:val="32"/>
          <w:szCs w:val="32"/>
        </w:rPr>
        <w:t>公共安全支出:</w:t>
      </w:r>
    </w:p>
    <w:p w14:paraId="438C9695">
      <w:pPr>
        <w:spacing w:line="560" w:lineRule="exact"/>
        <w:rPr>
          <w:rFonts w:hint="eastAsia" w:ascii="仿宋_GB2312" w:eastAsia="仿宋_GB2312"/>
          <w:color w:val="000000"/>
          <w:sz w:val="32"/>
          <w:szCs w:val="32"/>
        </w:rPr>
      </w:pPr>
      <w:r>
        <w:rPr>
          <w:rFonts w:hint="eastAsia" w:ascii="仿宋_GB2312" w:eastAsia="仿宋_GB2312"/>
          <w:color w:val="000000"/>
          <w:sz w:val="32"/>
          <w:szCs w:val="32"/>
          <w:lang w:val="en-US" w:eastAsia="zh-CN"/>
        </w:rPr>
        <w:t xml:space="preserve">    </w:t>
      </w:r>
      <w:r>
        <w:rPr>
          <w:rFonts w:hint="eastAsia" w:ascii="仿宋_GB2312" w:eastAsia="仿宋_GB2312"/>
          <w:color w:val="000000"/>
          <w:sz w:val="32"/>
          <w:szCs w:val="32"/>
        </w:rPr>
        <w:t>公共安全204（类）检察04（款）行政运行01（项）：</w:t>
      </w:r>
      <w:r>
        <w:rPr>
          <w:rFonts w:hint="eastAsia" w:ascii="仿宋_GB2312" w:eastAsia="仿宋_GB2312"/>
          <w:color w:val="000000"/>
          <w:sz w:val="32"/>
          <w:szCs w:val="32"/>
          <w:lang w:eastAsia="zh-CN"/>
        </w:rPr>
        <w:t>2025</w:t>
      </w:r>
      <w:r>
        <w:rPr>
          <w:rFonts w:hint="eastAsia" w:ascii="仿宋_GB2312" w:eastAsia="仿宋_GB2312"/>
          <w:color w:val="000000"/>
          <w:sz w:val="32"/>
          <w:szCs w:val="32"/>
        </w:rPr>
        <w:t>年决算数为</w:t>
      </w:r>
      <w:r>
        <w:rPr>
          <w:rFonts w:hint="eastAsia" w:eastAsia="仿宋_GB2312" w:cs="仿宋_GB2312"/>
          <w:color w:val="auto"/>
          <w:kern w:val="2"/>
          <w:sz w:val="32"/>
          <w:szCs w:val="32"/>
          <w:highlight w:val="none"/>
          <w:lang w:val="en-US" w:eastAsia="zh-CN" w:bidi="ar-SA"/>
        </w:rPr>
        <w:t>428.33</w:t>
      </w:r>
      <w:r>
        <w:rPr>
          <w:rFonts w:hint="eastAsia" w:ascii="仿宋_GB2312" w:eastAsia="仿宋_GB2312"/>
          <w:color w:val="000000"/>
          <w:sz w:val="32"/>
          <w:szCs w:val="32"/>
        </w:rPr>
        <w:t>万元，完成预算100%</w:t>
      </w:r>
      <w:r>
        <w:rPr>
          <w:rFonts w:hint="eastAsia" w:ascii="仿宋_GB2312" w:eastAsia="仿宋_GB2312"/>
          <w:color w:val="000000"/>
          <w:sz w:val="32"/>
          <w:szCs w:val="32"/>
          <w:lang w:eastAsia="zh-CN"/>
        </w:rPr>
        <w:t>。</w:t>
      </w:r>
    </w:p>
    <w:p w14:paraId="73C8B9A3">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公共安全204（类）检察04（款）一般行政管理事务02（项）：</w:t>
      </w:r>
      <w:r>
        <w:rPr>
          <w:rFonts w:hint="eastAsia" w:ascii="仿宋_GB2312" w:eastAsia="仿宋_GB2312"/>
          <w:color w:val="000000"/>
          <w:sz w:val="32"/>
          <w:szCs w:val="32"/>
          <w:lang w:eastAsia="zh-CN"/>
        </w:rPr>
        <w:t>2025</w:t>
      </w:r>
      <w:r>
        <w:rPr>
          <w:rFonts w:hint="eastAsia" w:ascii="仿宋_GB2312" w:eastAsia="仿宋_GB2312"/>
          <w:color w:val="000000"/>
          <w:sz w:val="32"/>
          <w:szCs w:val="32"/>
        </w:rPr>
        <w:t>年决算数为</w:t>
      </w:r>
      <w:r>
        <w:rPr>
          <w:rFonts w:hint="eastAsia" w:ascii="仿宋_GB2312" w:eastAsia="仿宋_GB2312"/>
          <w:color w:val="000000"/>
          <w:sz w:val="32"/>
          <w:szCs w:val="32"/>
          <w:lang w:val="en-US" w:eastAsia="zh-CN"/>
        </w:rPr>
        <w:t>213.43</w:t>
      </w:r>
      <w:r>
        <w:rPr>
          <w:rFonts w:hint="eastAsia" w:ascii="仿宋_GB2312" w:eastAsia="仿宋_GB2312"/>
          <w:color w:val="000000"/>
          <w:sz w:val="32"/>
          <w:szCs w:val="32"/>
        </w:rPr>
        <w:t>万元，完成预算100%。</w:t>
      </w:r>
    </w:p>
    <w:p w14:paraId="1F532028">
      <w:pPr>
        <w:spacing w:line="560" w:lineRule="exact"/>
        <w:ind w:firstLine="643" w:firstLineChars="200"/>
        <w:rPr>
          <w:rStyle w:val="18"/>
          <w:rFonts w:hint="eastAsia" w:ascii="仿宋_GB2312" w:eastAsia="仿宋_GB2312"/>
          <w:color w:val="000000"/>
          <w:sz w:val="32"/>
          <w:szCs w:val="32"/>
        </w:rPr>
      </w:pPr>
      <w:r>
        <w:rPr>
          <w:rStyle w:val="18"/>
          <w:rFonts w:ascii="Times New Roman" w:hAnsi="Times New Roman" w:eastAsia="仿宋" w:cs="Times New Roman"/>
          <w:bCs/>
          <w:sz w:val="32"/>
          <w:szCs w:val="32"/>
        </w:rPr>
        <w:t>2.</w:t>
      </w:r>
      <w:r>
        <w:rPr>
          <w:rStyle w:val="18"/>
          <w:rFonts w:hint="eastAsia" w:ascii="仿宋_GB2312" w:eastAsia="仿宋_GB2312"/>
          <w:color w:val="000000"/>
          <w:sz w:val="32"/>
          <w:szCs w:val="32"/>
        </w:rPr>
        <w:t>社会保障和就业:</w:t>
      </w:r>
    </w:p>
    <w:p w14:paraId="64A4B2DF">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社会保障和就业208（类）行政事业单位离退休05（款）机关事业单位基本养老保险缴费支出05（项）：</w:t>
      </w:r>
      <w:r>
        <w:rPr>
          <w:rFonts w:hint="eastAsia" w:ascii="仿宋_GB2312" w:eastAsia="仿宋_GB2312"/>
          <w:color w:val="000000"/>
          <w:sz w:val="32"/>
          <w:szCs w:val="32"/>
          <w:lang w:eastAsia="zh-CN"/>
        </w:rPr>
        <w:t>2025</w:t>
      </w:r>
      <w:r>
        <w:rPr>
          <w:rFonts w:hint="eastAsia" w:ascii="仿宋_GB2312" w:eastAsia="仿宋_GB2312"/>
          <w:color w:val="000000"/>
          <w:sz w:val="32"/>
          <w:szCs w:val="32"/>
        </w:rPr>
        <w:t>年决算数为</w:t>
      </w:r>
      <w:r>
        <w:rPr>
          <w:rFonts w:hint="eastAsia" w:ascii="仿宋_GB2312" w:eastAsia="仿宋_GB2312"/>
          <w:color w:val="000000"/>
          <w:sz w:val="32"/>
          <w:szCs w:val="32"/>
          <w:lang w:val="en-US" w:eastAsia="zh-CN"/>
        </w:rPr>
        <w:t>50.78</w:t>
      </w:r>
      <w:r>
        <w:rPr>
          <w:rFonts w:hint="eastAsia" w:ascii="仿宋_GB2312" w:eastAsia="仿宋_GB2312"/>
          <w:color w:val="000000"/>
          <w:sz w:val="32"/>
          <w:szCs w:val="32"/>
        </w:rPr>
        <w:t>万元，完成预算100%；</w:t>
      </w:r>
    </w:p>
    <w:p w14:paraId="17638CC6">
      <w:pPr>
        <w:spacing w:line="600" w:lineRule="exact"/>
        <w:ind w:firstLine="640" w:firstLineChars="200"/>
        <w:rPr>
          <w:rFonts w:ascii="Times New Roman" w:hAnsi="Times New Roman" w:eastAsia="仿宋" w:cs="Times New Roman"/>
          <w:b/>
          <w:sz w:val="32"/>
          <w:szCs w:val="32"/>
        </w:rPr>
      </w:pPr>
      <w:r>
        <w:rPr>
          <w:rFonts w:hint="eastAsia" w:ascii="仿宋_GB2312" w:eastAsia="仿宋_GB2312"/>
          <w:color w:val="000000"/>
          <w:sz w:val="32"/>
          <w:szCs w:val="32"/>
        </w:rPr>
        <w:t>社会保障和就业208（类）行政事业单位离退休05（款）机关事业单位职业年金缴费支出06（项）：</w:t>
      </w:r>
      <w:r>
        <w:rPr>
          <w:rFonts w:hint="eastAsia" w:ascii="仿宋_GB2312" w:eastAsia="仿宋_GB2312"/>
          <w:color w:val="000000"/>
          <w:sz w:val="32"/>
          <w:szCs w:val="32"/>
          <w:lang w:eastAsia="zh-CN"/>
        </w:rPr>
        <w:t>2025</w:t>
      </w:r>
      <w:r>
        <w:rPr>
          <w:rFonts w:hint="eastAsia" w:ascii="仿宋_GB2312" w:eastAsia="仿宋_GB2312"/>
          <w:color w:val="000000"/>
          <w:sz w:val="32"/>
          <w:szCs w:val="32"/>
        </w:rPr>
        <w:t>年决算数为</w:t>
      </w:r>
      <w:r>
        <w:rPr>
          <w:rFonts w:hint="eastAsia" w:ascii="仿宋_GB2312" w:eastAsia="仿宋_GB2312"/>
          <w:color w:val="000000"/>
          <w:sz w:val="32"/>
          <w:szCs w:val="32"/>
          <w:lang w:val="en-US" w:eastAsia="zh-CN"/>
        </w:rPr>
        <w:t>25.14</w:t>
      </w:r>
      <w:r>
        <w:rPr>
          <w:rFonts w:hint="eastAsia" w:ascii="仿宋_GB2312" w:eastAsia="仿宋_GB2312"/>
          <w:color w:val="000000"/>
          <w:sz w:val="32"/>
          <w:szCs w:val="32"/>
        </w:rPr>
        <w:t>万元，完成预算100%。</w:t>
      </w:r>
    </w:p>
    <w:p w14:paraId="39CED82C">
      <w:pPr>
        <w:spacing w:line="560" w:lineRule="exact"/>
        <w:ind w:firstLine="643" w:firstLineChars="200"/>
        <w:rPr>
          <w:rFonts w:hint="eastAsia" w:ascii="仿宋_GB2312" w:eastAsia="仿宋_GB2312"/>
          <w:color w:val="000000"/>
          <w:sz w:val="32"/>
          <w:szCs w:val="32"/>
        </w:rPr>
      </w:pPr>
      <w:r>
        <w:rPr>
          <w:rStyle w:val="18"/>
          <w:rFonts w:ascii="Times New Roman" w:hAnsi="Times New Roman" w:eastAsia="仿宋" w:cs="Times New Roman"/>
          <w:bCs/>
          <w:sz w:val="32"/>
          <w:szCs w:val="32"/>
        </w:rPr>
        <w:t>3.</w:t>
      </w:r>
      <w:r>
        <w:rPr>
          <w:rStyle w:val="18"/>
          <w:rFonts w:hint="eastAsia" w:ascii="仿宋_GB2312" w:eastAsia="仿宋_GB2312"/>
          <w:color w:val="000000"/>
          <w:sz w:val="32"/>
          <w:szCs w:val="32"/>
        </w:rPr>
        <w:t>卫生健康支出:</w:t>
      </w:r>
    </w:p>
    <w:p w14:paraId="0C8EC8B1">
      <w:pPr>
        <w:spacing w:line="560" w:lineRule="exact"/>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卫生健康210（类）行政单位医疗11（款）行政单位医疗01（项）</w:t>
      </w: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年决算数为</w:t>
      </w:r>
      <w:r>
        <w:rPr>
          <w:rFonts w:hint="eastAsia" w:ascii="仿宋_GB2312" w:eastAsia="仿宋_GB2312"/>
          <w:color w:val="000000"/>
          <w:sz w:val="32"/>
          <w:szCs w:val="32"/>
          <w:lang w:val="en-US" w:eastAsia="zh-CN"/>
        </w:rPr>
        <w:t>24.1</w:t>
      </w:r>
      <w:r>
        <w:rPr>
          <w:rFonts w:hint="eastAsia" w:ascii="仿宋_GB2312" w:eastAsia="仿宋_GB2312"/>
          <w:color w:val="000000"/>
          <w:sz w:val="32"/>
          <w:szCs w:val="32"/>
        </w:rPr>
        <w:t>万元，完成预算100%。</w:t>
      </w:r>
    </w:p>
    <w:p w14:paraId="603FA339">
      <w:pPr>
        <w:spacing w:line="560" w:lineRule="exact"/>
        <w:ind w:firstLine="640" w:firstLineChars="200"/>
        <w:rPr>
          <w:rFonts w:ascii="Times New Roman" w:hAnsi="Times New Roman" w:cs="Times New Roman"/>
        </w:rPr>
      </w:pPr>
      <w:r>
        <w:rPr>
          <w:rFonts w:hint="eastAsia" w:ascii="仿宋_GB2312" w:eastAsia="仿宋_GB2312"/>
          <w:color w:val="000000"/>
          <w:sz w:val="32"/>
          <w:szCs w:val="32"/>
        </w:rPr>
        <w:t>卫生健康210（类）行政单位医疗11（款）公务员医疗补助03（项）：</w:t>
      </w: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年决算数为</w:t>
      </w:r>
      <w:r>
        <w:rPr>
          <w:rFonts w:hint="eastAsia" w:ascii="仿宋_GB2312" w:eastAsia="仿宋_GB2312"/>
          <w:color w:val="000000"/>
          <w:sz w:val="32"/>
          <w:szCs w:val="32"/>
          <w:lang w:val="en-US" w:eastAsia="zh-CN"/>
        </w:rPr>
        <w:t>8.03</w:t>
      </w:r>
      <w:r>
        <w:rPr>
          <w:rFonts w:hint="eastAsia" w:ascii="仿宋_GB2312" w:eastAsia="仿宋_GB2312"/>
          <w:color w:val="000000"/>
          <w:sz w:val="32"/>
          <w:szCs w:val="32"/>
        </w:rPr>
        <w:t>万元，完成预算100%。</w:t>
      </w:r>
    </w:p>
    <w:p w14:paraId="2C6F8334">
      <w:pPr>
        <w:spacing w:line="560" w:lineRule="exact"/>
        <w:ind w:firstLine="643" w:firstLineChars="200"/>
        <w:rPr>
          <w:rStyle w:val="18"/>
          <w:rFonts w:hint="eastAsia" w:ascii="仿宋_GB2312" w:eastAsia="仿宋_GB2312"/>
          <w:color w:val="000000"/>
          <w:sz w:val="32"/>
          <w:szCs w:val="32"/>
        </w:rPr>
      </w:pPr>
      <w:r>
        <w:rPr>
          <w:rStyle w:val="18"/>
          <w:rFonts w:ascii="Times New Roman" w:hAnsi="Times New Roman" w:eastAsia="仿宋" w:cs="Times New Roman"/>
          <w:bCs/>
          <w:sz w:val="32"/>
          <w:szCs w:val="32"/>
        </w:rPr>
        <w:t>4.</w:t>
      </w:r>
      <w:r>
        <w:rPr>
          <w:rStyle w:val="18"/>
          <w:rFonts w:hint="eastAsia" w:ascii="仿宋_GB2312" w:eastAsia="仿宋_GB2312"/>
          <w:color w:val="000000"/>
          <w:sz w:val="32"/>
          <w:szCs w:val="32"/>
        </w:rPr>
        <w:t>住房保障支出:</w:t>
      </w:r>
    </w:p>
    <w:p w14:paraId="0B1BAE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000000"/>
          <w:sz w:val="32"/>
          <w:szCs w:val="32"/>
        </w:rPr>
        <w:t xml:space="preserve">住房保障支出221（类）住房改革支出02（款）住房公积金01（项）： </w:t>
      </w: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年决算数为</w:t>
      </w:r>
      <w:r>
        <w:rPr>
          <w:rFonts w:hint="eastAsia" w:ascii="仿宋_GB2312" w:eastAsia="仿宋_GB2312"/>
          <w:color w:val="000000"/>
          <w:sz w:val="32"/>
          <w:szCs w:val="32"/>
          <w:lang w:val="en-US" w:eastAsia="zh-CN"/>
        </w:rPr>
        <w:t>49.11</w:t>
      </w:r>
      <w:r>
        <w:rPr>
          <w:rFonts w:hint="eastAsia" w:ascii="仿宋_GB2312" w:eastAsia="仿宋_GB2312"/>
          <w:color w:val="000000"/>
          <w:sz w:val="32"/>
          <w:szCs w:val="32"/>
        </w:rPr>
        <w:t>万元，完成预算100%</w:t>
      </w:r>
      <w:r>
        <w:rPr>
          <w:rFonts w:hint="eastAsia" w:ascii="仿宋_GB2312" w:eastAsia="仿宋_GB2312"/>
          <w:color w:val="000000"/>
          <w:sz w:val="32"/>
          <w:szCs w:val="32"/>
          <w:lang w:eastAsia="zh-CN"/>
        </w:rPr>
        <w:t>。</w:t>
      </w:r>
    </w:p>
    <w:p w14:paraId="058085A7">
      <w:pPr>
        <w:tabs>
          <w:tab w:val="right" w:pos="8306"/>
        </w:tabs>
        <w:spacing w:line="600" w:lineRule="exact"/>
        <w:ind w:firstLine="640"/>
        <w:outlineLvl w:val="1"/>
        <w:rPr>
          <w:rStyle w:val="31"/>
          <w:rFonts w:ascii="Times New Roman" w:hAnsi="Times New Roman"/>
          <w:color w:val="auto"/>
          <w:highlight w:val="none"/>
        </w:rPr>
      </w:pPr>
      <w:bookmarkStart w:id="48" w:name="_Toc17007"/>
      <w:bookmarkStart w:id="49" w:name="_Toc15377214"/>
      <w:bookmarkStart w:id="50" w:name="_Toc15396608"/>
      <w:r>
        <w:rPr>
          <w:rStyle w:val="31"/>
          <w:rFonts w:hint="eastAsia"/>
        </w:rPr>
        <w:t>六、一般公共预算财政拨款基本支出决算情况说明</w:t>
      </w:r>
      <w:bookmarkEnd w:id="48"/>
      <w:bookmarkEnd w:id="49"/>
      <w:bookmarkEnd w:id="50"/>
      <w:r>
        <w:rPr>
          <w:rStyle w:val="31"/>
          <w:rFonts w:ascii="Times New Roman" w:hAnsi="Times New Roman" w:eastAsia="黑体"/>
          <w:b w:val="0"/>
          <w:color w:val="auto"/>
          <w:highlight w:val="none"/>
        </w:rPr>
        <w:tab/>
      </w:r>
    </w:p>
    <w:p w14:paraId="3B1A8C9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eastAsia="仿宋_GB2312" w:cs="仿宋_GB2312"/>
          <w:color w:val="auto"/>
          <w:kern w:val="2"/>
          <w:sz w:val="32"/>
          <w:szCs w:val="32"/>
          <w:highlight w:val="none"/>
          <w:lang w:val="en-US" w:eastAsia="zh-CN" w:bidi="ar-SA"/>
        </w:rPr>
        <w:t>799.09</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01C807A7">
      <w:pPr>
        <w:spacing w:line="560" w:lineRule="exact"/>
        <w:ind w:firstLine="645"/>
        <w:rPr>
          <w:rFonts w:hint="eastAsia" w:ascii="仿宋_GB2312" w:eastAsia="仿宋_GB2312"/>
          <w:color w:val="000000"/>
          <w:sz w:val="32"/>
          <w:szCs w:val="32"/>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lang w:val="en-US" w:eastAsia="zh-CN"/>
        </w:rPr>
        <w:t>521.23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w:t>
      </w:r>
      <w:r>
        <w:rPr>
          <w:rFonts w:hint="eastAsia" w:ascii="仿宋_GB2312" w:eastAsia="仿宋_GB2312"/>
          <w:color w:val="000000"/>
          <w:sz w:val="32"/>
          <w:szCs w:val="32"/>
        </w:rPr>
        <w:t>基本工资</w:t>
      </w:r>
      <w:r>
        <w:rPr>
          <w:rFonts w:hint="eastAsia" w:ascii="仿宋_GB2312" w:eastAsia="仿宋_GB2312"/>
          <w:color w:val="000000"/>
          <w:sz w:val="32"/>
          <w:szCs w:val="32"/>
          <w:lang w:val="en-US" w:eastAsia="zh-CN"/>
        </w:rPr>
        <w:t>131.64</w:t>
      </w:r>
      <w:r>
        <w:rPr>
          <w:rFonts w:hint="eastAsia" w:ascii="仿宋_GB2312" w:eastAsia="仿宋_GB2312"/>
          <w:color w:val="000000"/>
          <w:sz w:val="32"/>
          <w:szCs w:val="32"/>
        </w:rPr>
        <w:t>万元、津贴补贴</w:t>
      </w:r>
      <w:r>
        <w:rPr>
          <w:rFonts w:hint="eastAsia" w:ascii="仿宋_GB2312" w:eastAsia="仿宋_GB2312"/>
          <w:color w:val="000000"/>
          <w:sz w:val="32"/>
          <w:szCs w:val="32"/>
          <w:lang w:val="en-US" w:eastAsia="zh-CN"/>
        </w:rPr>
        <w:t>133.15</w:t>
      </w:r>
      <w:r>
        <w:rPr>
          <w:rFonts w:hint="eastAsia" w:ascii="仿宋_GB2312" w:eastAsia="仿宋_GB2312"/>
          <w:color w:val="000000"/>
          <w:sz w:val="32"/>
          <w:szCs w:val="32"/>
        </w:rPr>
        <w:t>万元、奖金</w:t>
      </w:r>
      <w:r>
        <w:rPr>
          <w:rFonts w:hint="eastAsia" w:ascii="仿宋_GB2312" w:eastAsia="仿宋_GB2312"/>
          <w:color w:val="000000"/>
          <w:sz w:val="32"/>
          <w:szCs w:val="32"/>
          <w:lang w:val="en-US" w:eastAsia="zh-CN"/>
        </w:rPr>
        <w:t>10.35</w:t>
      </w:r>
      <w:r>
        <w:rPr>
          <w:rFonts w:hint="eastAsia" w:ascii="仿宋_GB2312" w:eastAsia="仿宋_GB2312"/>
          <w:color w:val="000000"/>
          <w:sz w:val="32"/>
          <w:szCs w:val="32"/>
        </w:rPr>
        <w:t>万元、伙食补助费</w:t>
      </w:r>
      <w:r>
        <w:rPr>
          <w:rFonts w:hint="eastAsia" w:ascii="仿宋_GB2312" w:eastAsia="仿宋_GB2312"/>
          <w:color w:val="000000"/>
          <w:sz w:val="32"/>
          <w:szCs w:val="32"/>
          <w:lang w:val="en-US" w:eastAsia="zh-CN"/>
        </w:rPr>
        <w:t>5.98</w:t>
      </w:r>
      <w:r>
        <w:rPr>
          <w:rFonts w:hint="eastAsia" w:ascii="仿宋_GB2312" w:eastAsia="仿宋_GB2312"/>
          <w:color w:val="000000"/>
          <w:sz w:val="32"/>
          <w:szCs w:val="32"/>
        </w:rPr>
        <w:t>万元、绩效工资0万元、机关事业单位基本养老保险缴费</w:t>
      </w:r>
      <w:r>
        <w:rPr>
          <w:rFonts w:hint="eastAsia" w:ascii="仿宋_GB2312" w:eastAsia="仿宋_GB2312"/>
          <w:color w:val="000000"/>
          <w:sz w:val="32"/>
          <w:szCs w:val="32"/>
          <w:lang w:val="en-US" w:eastAsia="zh-CN"/>
        </w:rPr>
        <w:t>50.78</w:t>
      </w:r>
      <w:r>
        <w:rPr>
          <w:rFonts w:hint="eastAsia" w:ascii="仿宋_GB2312" w:eastAsia="仿宋_GB2312"/>
          <w:color w:val="000000"/>
          <w:sz w:val="32"/>
          <w:szCs w:val="32"/>
        </w:rPr>
        <w:t>万元、职业年金缴费</w:t>
      </w:r>
      <w:r>
        <w:rPr>
          <w:rFonts w:hint="eastAsia" w:ascii="仿宋_GB2312" w:eastAsia="仿宋_GB2312"/>
          <w:color w:val="000000"/>
          <w:sz w:val="32"/>
          <w:szCs w:val="32"/>
          <w:lang w:val="en-US" w:eastAsia="zh-CN"/>
        </w:rPr>
        <w:t>25.14</w:t>
      </w:r>
      <w:r>
        <w:rPr>
          <w:rFonts w:hint="eastAsia" w:ascii="仿宋_GB2312" w:eastAsia="仿宋_GB2312"/>
          <w:color w:val="000000"/>
          <w:sz w:val="32"/>
          <w:szCs w:val="32"/>
        </w:rPr>
        <w:t>万元、行政单位医疗</w:t>
      </w:r>
      <w:r>
        <w:rPr>
          <w:rFonts w:hint="eastAsia" w:ascii="仿宋_GB2312" w:eastAsia="仿宋_GB2312"/>
          <w:color w:val="000000"/>
          <w:sz w:val="32"/>
          <w:szCs w:val="32"/>
          <w:lang w:val="en-US" w:eastAsia="zh-CN"/>
        </w:rPr>
        <w:t>24.1</w:t>
      </w:r>
      <w:r>
        <w:rPr>
          <w:rFonts w:hint="eastAsia" w:ascii="仿宋_GB2312" w:eastAsia="仿宋_GB2312"/>
          <w:color w:val="000000"/>
          <w:sz w:val="32"/>
          <w:szCs w:val="32"/>
        </w:rPr>
        <w:t>万元、公务员医疗补助</w:t>
      </w:r>
      <w:r>
        <w:rPr>
          <w:rFonts w:hint="eastAsia" w:ascii="仿宋_GB2312" w:eastAsia="仿宋_GB2312"/>
          <w:color w:val="000000"/>
          <w:sz w:val="32"/>
          <w:szCs w:val="32"/>
          <w:lang w:val="en-US" w:eastAsia="zh-CN"/>
        </w:rPr>
        <w:t>8.03</w:t>
      </w:r>
      <w:r>
        <w:rPr>
          <w:rFonts w:hint="eastAsia" w:ascii="仿宋_GB2312" w:eastAsia="仿宋_GB2312"/>
          <w:color w:val="000000"/>
          <w:sz w:val="32"/>
          <w:szCs w:val="32"/>
        </w:rPr>
        <w:t>万元、其他社会保障缴费</w:t>
      </w:r>
      <w:r>
        <w:rPr>
          <w:rFonts w:hint="eastAsia" w:ascii="仿宋_GB2312" w:eastAsia="仿宋_GB2312"/>
          <w:color w:val="000000"/>
          <w:sz w:val="32"/>
          <w:szCs w:val="32"/>
          <w:lang w:val="en-US" w:eastAsia="zh-CN"/>
        </w:rPr>
        <w:t>0.79</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住房公积金49.11万元、</w:t>
      </w:r>
      <w:r>
        <w:rPr>
          <w:rFonts w:hint="eastAsia" w:ascii="仿宋_GB2312" w:eastAsia="仿宋_GB2312"/>
          <w:color w:val="000000"/>
          <w:sz w:val="32"/>
          <w:szCs w:val="32"/>
        </w:rPr>
        <w:t>其他工资福利支出</w:t>
      </w:r>
      <w:r>
        <w:rPr>
          <w:rFonts w:hint="eastAsia" w:ascii="仿宋_GB2312" w:eastAsia="仿宋_GB2312"/>
          <w:color w:val="000000"/>
          <w:sz w:val="32"/>
          <w:szCs w:val="32"/>
          <w:lang w:val="en-US" w:eastAsia="zh-CN"/>
        </w:rPr>
        <w:t>80.9</w:t>
      </w:r>
      <w:r>
        <w:rPr>
          <w:rFonts w:hint="eastAsia" w:ascii="仿宋_GB2312" w:eastAsia="仿宋_GB2312"/>
          <w:color w:val="000000"/>
          <w:sz w:val="32"/>
          <w:szCs w:val="32"/>
        </w:rPr>
        <w:t>万元、离休费0万元、退休费0万元、抚恤金</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万元、生活补助</w:t>
      </w:r>
      <w:r>
        <w:rPr>
          <w:rFonts w:hint="eastAsia" w:ascii="仿宋_GB2312" w:eastAsia="仿宋_GB2312"/>
          <w:color w:val="000000"/>
          <w:sz w:val="32"/>
          <w:szCs w:val="32"/>
          <w:lang w:val="en-US" w:eastAsia="zh-CN"/>
        </w:rPr>
        <w:t>1.07</w:t>
      </w:r>
      <w:r>
        <w:rPr>
          <w:rFonts w:hint="eastAsia" w:ascii="仿宋_GB2312" w:eastAsia="仿宋_GB2312"/>
          <w:color w:val="000000"/>
          <w:sz w:val="32"/>
          <w:szCs w:val="32"/>
        </w:rPr>
        <w:t>万元、救济费</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0A7FDFAE">
      <w:pPr>
        <w:spacing w:line="560" w:lineRule="exact"/>
        <w:ind w:firstLine="640" w:firstLineChars="200"/>
        <w:rPr>
          <w:rFonts w:ascii="Times New Roman" w:hAnsi="Times New Roman" w:cs="Times New Roman"/>
        </w:rPr>
      </w:pPr>
      <w:r>
        <w:rPr>
          <w:rFonts w:hint="eastAsia" w:ascii="Times New Roman" w:hAnsi="Times New Roman" w:eastAsia="仿宋_GB2312" w:cs="仿宋_GB2312"/>
          <w:color w:val="auto"/>
          <w:kern w:val="2"/>
          <w:sz w:val="32"/>
          <w:szCs w:val="32"/>
          <w:highlight w:val="none"/>
          <w:lang w:val="en-US" w:eastAsia="zh-CN" w:bidi="ar-SA"/>
        </w:rPr>
        <w:t>公用经费</w:t>
      </w:r>
      <w:r>
        <w:rPr>
          <w:rFonts w:hint="eastAsia" w:ascii="仿宋_GB2312" w:hAnsi="仿宋_GB2312" w:eastAsia="仿宋_GB2312" w:cs="仿宋_GB2312"/>
          <w:sz w:val="32"/>
          <w:szCs w:val="32"/>
          <w:lang w:val="en-US" w:eastAsia="zh-CN"/>
        </w:rPr>
        <w:t>64.43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元，主要包括：</w:t>
      </w:r>
      <w:r>
        <w:rPr>
          <w:rFonts w:hint="eastAsia" w:ascii="仿宋_GB2312" w:eastAsia="仿宋_GB2312"/>
          <w:color w:val="000000"/>
          <w:sz w:val="32"/>
          <w:szCs w:val="32"/>
        </w:rPr>
        <w:t>办公费</w:t>
      </w:r>
      <w:r>
        <w:rPr>
          <w:rFonts w:hint="eastAsia" w:ascii="仿宋_GB2312" w:eastAsia="仿宋_GB2312"/>
          <w:color w:val="000000"/>
          <w:sz w:val="32"/>
          <w:szCs w:val="32"/>
          <w:lang w:val="en-US" w:eastAsia="zh-CN"/>
        </w:rPr>
        <w:t>29.43</w:t>
      </w:r>
      <w:r>
        <w:rPr>
          <w:rFonts w:hint="eastAsia" w:ascii="仿宋_GB2312" w:eastAsia="仿宋_GB2312"/>
          <w:color w:val="000000"/>
          <w:sz w:val="32"/>
          <w:szCs w:val="32"/>
        </w:rPr>
        <w:t>万元、印刷费</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万元、咨询费0万元、手续费0万元、水费</w:t>
      </w:r>
      <w:r>
        <w:rPr>
          <w:rFonts w:hint="eastAsia" w:ascii="仿宋_GB2312" w:eastAsia="仿宋_GB2312"/>
          <w:color w:val="000000"/>
          <w:sz w:val="32"/>
          <w:szCs w:val="32"/>
          <w:lang w:val="en-US" w:eastAsia="zh-CN"/>
        </w:rPr>
        <w:t>0.06</w:t>
      </w:r>
      <w:r>
        <w:rPr>
          <w:rFonts w:hint="eastAsia" w:ascii="仿宋_GB2312" w:eastAsia="仿宋_GB2312"/>
          <w:color w:val="000000"/>
          <w:sz w:val="32"/>
          <w:szCs w:val="32"/>
        </w:rPr>
        <w:t>万元、电费</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万元、邮电费</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万元、取暖费</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万元、物业管理费0万元、差旅费</w:t>
      </w:r>
      <w:r>
        <w:rPr>
          <w:rFonts w:hint="eastAsia" w:ascii="仿宋_GB2312" w:eastAsia="仿宋_GB2312"/>
          <w:color w:val="000000"/>
          <w:sz w:val="32"/>
          <w:szCs w:val="32"/>
          <w:lang w:val="en-US" w:eastAsia="zh-CN"/>
        </w:rPr>
        <w:t>10.95</w:t>
      </w:r>
      <w:r>
        <w:rPr>
          <w:rFonts w:hint="eastAsia" w:ascii="仿宋_GB2312" w:eastAsia="仿宋_GB2312"/>
          <w:color w:val="000000"/>
          <w:sz w:val="32"/>
          <w:szCs w:val="32"/>
        </w:rPr>
        <w:t>万元、因公出国（境）费用0万元、维修（护）费</w:t>
      </w:r>
      <w:r>
        <w:rPr>
          <w:rFonts w:hint="eastAsia" w:ascii="仿宋_GB2312" w:eastAsia="仿宋_GB2312"/>
          <w:color w:val="000000"/>
          <w:sz w:val="32"/>
          <w:szCs w:val="32"/>
          <w:lang w:val="en-US" w:eastAsia="zh-CN"/>
        </w:rPr>
        <w:t>2.67</w:t>
      </w:r>
      <w:r>
        <w:rPr>
          <w:rFonts w:hint="eastAsia" w:ascii="仿宋_GB2312" w:eastAsia="仿宋_GB2312"/>
          <w:color w:val="000000"/>
          <w:sz w:val="32"/>
          <w:szCs w:val="32"/>
        </w:rPr>
        <w:t>万元、租赁费0万元、会议费</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万元、培训费</w:t>
      </w:r>
      <w:r>
        <w:rPr>
          <w:rFonts w:hint="eastAsia" w:ascii="仿宋_GB2312" w:eastAsia="仿宋_GB2312"/>
          <w:color w:val="000000"/>
          <w:sz w:val="32"/>
          <w:szCs w:val="32"/>
          <w:lang w:val="en-US" w:eastAsia="zh-CN"/>
        </w:rPr>
        <w:t>0.13</w:t>
      </w:r>
      <w:r>
        <w:rPr>
          <w:rFonts w:hint="eastAsia" w:ascii="仿宋_GB2312" w:eastAsia="仿宋_GB2312"/>
          <w:color w:val="000000"/>
          <w:sz w:val="32"/>
          <w:szCs w:val="32"/>
        </w:rPr>
        <w:t>万元、公务接待费</w:t>
      </w:r>
      <w:r>
        <w:rPr>
          <w:rFonts w:hint="eastAsia" w:ascii="仿宋_GB2312" w:eastAsia="仿宋_GB2312"/>
          <w:color w:val="000000"/>
          <w:sz w:val="32"/>
          <w:szCs w:val="32"/>
          <w:lang w:val="en-US" w:eastAsia="zh-CN"/>
        </w:rPr>
        <w:t>1.08</w:t>
      </w:r>
      <w:r>
        <w:rPr>
          <w:rFonts w:hint="eastAsia" w:ascii="仿宋_GB2312" w:eastAsia="仿宋_GB2312"/>
          <w:color w:val="000000"/>
          <w:sz w:val="32"/>
          <w:szCs w:val="32"/>
        </w:rPr>
        <w:t>万元、被装购置费</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万元、劳务费</w:t>
      </w:r>
      <w:r>
        <w:rPr>
          <w:rFonts w:hint="eastAsia" w:ascii="仿宋_GB2312" w:eastAsia="仿宋_GB2312"/>
          <w:color w:val="000000"/>
          <w:sz w:val="32"/>
          <w:szCs w:val="32"/>
          <w:lang w:val="en-US" w:eastAsia="zh-CN"/>
        </w:rPr>
        <w:t>0.17</w:t>
      </w:r>
      <w:r>
        <w:rPr>
          <w:rFonts w:hint="eastAsia" w:ascii="仿宋_GB2312" w:eastAsia="仿宋_GB2312"/>
          <w:color w:val="000000"/>
          <w:sz w:val="32"/>
          <w:szCs w:val="32"/>
        </w:rPr>
        <w:t>万元、委托业务费0万元、工会经费</w:t>
      </w:r>
      <w:r>
        <w:rPr>
          <w:rFonts w:hint="eastAsia" w:ascii="仿宋_GB2312" w:eastAsia="仿宋_GB2312"/>
          <w:color w:val="000000"/>
          <w:sz w:val="32"/>
          <w:szCs w:val="32"/>
          <w:lang w:val="en-US" w:eastAsia="zh-CN"/>
        </w:rPr>
        <w:t>3.14</w:t>
      </w:r>
      <w:r>
        <w:rPr>
          <w:rFonts w:hint="eastAsia" w:ascii="仿宋_GB2312" w:eastAsia="仿宋_GB2312"/>
          <w:color w:val="000000"/>
          <w:sz w:val="32"/>
          <w:szCs w:val="32"/>
        </w:rPr>
        <w:t>万元、福利费</w:t>
      </w:r>
      <w:r>
        <w:rPr>
          <w:rFonts w:hint="eastAsia" w:ascii="仿宋_GB2312" w:eastAsia="仿宋_GB2312"/>
          <w:color w:val="000000"/>
          <w:sz w:val="32"/>
          <w:szCs w:val="32"/>
          <w:lang w:val="en-US" w:eastAsia="zh-CN"/>
        </w:rPr>
        <w:t>5.52</w:t>
      </w:r>
      <w:r>
        <w:rPr>
          <w:rFonts w:hint="eastAsia" w:ascii="仿宋_GB2312" w:eastAsia="仿宋_GB2312"/>
          <w:color w:val="000000"/>
          <w:sz w:val="32"/>
          <w:szCs w:val="32"/>
        </w:rPr>
        <w:t>万元、公务用车运行维护费</w:t>
      </w:r>
      <w:r>
        <w:rPr>
          <w:rFonts w:hint="eastAsia" w:ascii="仿宋_GB2312" w:eastAsia="仿宋_GB2312"/>
          <w:color w:val="000000"/>
          <w:sz w:val="32"/>
          <w:szCs w:val="32"/>
          <w:lang w:val="en-US" w:eastAsia="zh-CN"/>
        </w:rPr>
        <w:t>9.6</w:t>
      </w:r>
      <w:r>
        <w:rPr>
          <w:rFonts w:hint="eastAsia" w:ascii="仿宋_GB2312" w:eastAsia="仿宋_GB2312"/>
          <w:color w:val="000000"/>
          <w:sz w:val="32"/>
          <w:szCs w:val="32"/>
        </w:rPr>
        <w:t>万元、其他交通费</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万元、税金及附加费用0万元、其他商品和服务支出</w:t>
      </w:r>
      <w:r>
        <w:rPr>
          <w:rFonts w:hint="eastAsia" w:ascii="仿宋_GB2312" w:eastAsia="仿宋_GB2312"/>
          <w:color w:val="000000"/>
          <w:sz w:val="32"/>
          <w:szCs w:val="32"/>
          <w:lang w:val="en-US" w:eastAsia="zh-CN"/>
        </w:rPr>
        <w:t>1.69</w:t>
      </w:r>
      <w:r>
        <w:rPr>
          <w:rFonts w:hint="eastAsia" w:ascii="仿宋_GB2312" w:eastAsia="仿宋_GB2312"/>
          <w:color w:val="000000"/>
          <w:sz w:val="32"/>
          <w:szCs w:val="32"/>
        </w:rPr>
        <w:t>万元、办公设备购置</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万元、专用设备购置0万元、信息网络及软件购置更新</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万元、其他资本性支出0万元等。</w:t>
      </w:r>
    </w:p>
    <w:p w14:paraId="5B23AF59">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06FB23D">
      <w:pPr>
        <w:pStyle w:val="6"/>
        <w:bidi w:val="0"/>
      </w:pPr>
      <w:bookmarkStart w:id="51" w:name="_Toc15377215"/>
      <w:bookmarkStart w:id="52" w:name="_Toc15396609"/>
      <w:bookmarkStart w:id="53" w:name="_Toc21626"/>
      <w:r>
        <w:rPr>
          <w:rFonts w:hint="eastAsia"/>
        </w:rPr>
        <w:t>七、财政拨款“三公”经费支出决算情况说明</w:t>
      </w:r>
      <w:bookmarkEnd w:id="51"/>
      <w:bookmarkEnd w:id="52"/>
      <w:bookmarkEnd w:id="53"/>
    </w:p>
    <w:p w14:paraId="7AA08832">
      <w:pPr>
        <w:pStyle w:val="7"/>
        <w:bidi w:val="0"/>
        <w:rPr>
          <w:rFonts w:hint="eastAsia" w:ascii="Times New Roman" w:hAnsi="Times New Roman" w:eastAsia="楷体_GB2312" w:cs="楷体_GB2312"/>
          <w:b/>
          <w:color w:val="auto"/>
          <w:szCs w:val="32"/>
          <w:highlight w:val="none"/>
        </w:rPr>
      </w:pPr>
      <w:bookmarkStart w:id="54" w:name="_Toc15377216"/>
      <w:bookmarkStart w:id="55" w:name="_Toc4049"/>
      <w:r>
        <w:rPr>
          <w:rFonts w:hint="eastAsia"/>
        </w:rPr>
        <w:t>（一）“三公”经费财政拨款支出决算总体情况说明</w:t>
      </w:r>
      <w:bookmarkEnd w:id="54"/>
      <w:bookmarkEnd w:id="55"/>
    </w:p>
    <w:p w14:paraId="33BF56B9">
      <w:pPr>
        <w:snapToGrid w:val="0"/>
        <w:spacing w:line="520" w:lineRule="exact"/>
        <w:ind w:firstLine="640" w:firstLineChars="200"/>
        <w:rPr>
          <w:rFonts w:hint="eastAsia" w:ascii="仿宋_GB2312" w:hAnsi="宋体" w:eastAsia="仿宋_GB2312"/>
          <w:color w:val="auto"/>
          <w:sz w:val="32"/>
          <w:szCs w:val="32"/>
          <w:highlight w:val="none"/>
          <w:lang w:eastAsia="zh-CN"/>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lang w:val="en-US" w:eastAsia="zh-CN"/>
        </w:rPr>
        <w:t>10.68</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宋体" w:eastAsia="仿宋_GB2312"/>
          <w:color w:val="auto"/>
          <w:sz w:val="32"/>
          <w:szCs w:val="32"/>
          <w:highlight w:val="none"/>
        </w:rPr>
        <w:t>：</w:t>
      </w:r>
      <w:r>
        <w:rPr>
          <w:rFonts w:hint="eastAsia" w:ascii="仿宋_GB2312" w:eastAsia="仿宋_GB2312"/>
          <w:color w:val="auto"/>
          <w:sz w:val="32"/>
          <w:szCs w:val="32"/>
          <w:highlight w:val="none"/>
        </w:rPr>
        <w:t>①</w:t>
      </w:r>
      <w:r>
        <w:rPr>
          <w:rFonts w:hint="eastAsia" w:ascii="仿宋_GB2312" w:hAnsi="宋体" w:eastAsia="仿宋_GB2312"/>
          <w:color w:val="auto"/>
          <w:sz w:val="32"/>
          <w:szCs w:val="32"/>
          <w:highlight w:val="none"/>
        </w:rPr>
        <w:t>因公出国（境）费预算</w:t>
      </w:r>
      <w:r>
        <w:rPr>
          <w:rFonts w:hint="eastAsia" w:ascii="仿宋" w:hAnsi="仿宋" w:eastAsia="仿宋"/>
          <w:color w:val="auto"/>
          <w:sz w:val="32"/>
          <w:szCs w:val="32"/>
          <w:highlight w:val="none"/>
          <w:lang w:val="en-US" w:eastAsia="zh-CN"/>
        </w:rPr>
        <w:t>0.00</w:t>
      </w:r>
      <w:r>
        <w:rPr>
          <w:rFonts w:hint="eastAsia" w:ascii="仿宋_GB2312" w:hAnsi="宋体" w:eastAsia="仿宋_GB2312" w:cs="宋体"/>
          <w:color w:val="auto"/>
          <w:sz w:val="32"/>
          <w:szCs w:val="32"/>
          <w:highlight w:val="none"/>
        </w:rPr>
        <w:t>万元</w:t>
      </w:r>
      <w:r>
        <w:rPr>
          <w:rFonts w:hint="eastAsia" w:ascii="仿宋_GB2312" w:hAnsi="宋体" w:eastAsia="仿宋_GB2312"/>
          <w:color w:val="auto"/>
          <w:sz w:val="32"/>
          <w:szCs w:val="32"/>
          <w:highlight w:val="none"/>
        </w:rPr>
        <w:t>，实际支出</w:t>
      </w:r>
      <w:r>
        <w:rPr>
          <w:rFonts w:hint="eastAsia" w:ascii="仿宋" w:hAnsi="仿宋" w:eastAsia="仿宋"/>
          <w:color w:val="auto"/>
          <w:sz w:val="32"/>
          <w:szCs w:val="32"/>
          <w:highlight w:val="none"/>
          <w:lang w:val="en-US" w:eastAsia="zh-CN"/>
        </w:rPr>
        <w:t>0.00</w:t>
      </w:r>
      <w:r>
        <w:rPr>
          <w:rFonts w:hint="eastAsia" w:ascii="仿宋_GB2312" w:hAnsi="宋体" w:eastAsia="仿宋_GB2312" w:cs="宋体"/>
          <w:color w:val="auto"/>
          <w:sz w:val="32"/>
          <w:szCs w:val="32"/>
          <w:highlight w:val="none"/>
        </w:rPr>
        <w:t>万元</w:t>
      </w:r>
      <w:r>
        <w:rPr>
          <w:rFonts w:hint="eastAsia" w:ascii="仿宋" w:hAnsi="仿宋" w:eastAsia="仿宋" w:cs="Times New Roman"/>
          <w:color w:val="auto"/>
          <w:kern w:val="2"/>
          <w:sz w:val="32"/>
          <w:szCs w:val="32"/>
          <w:highlight w:val="none"/>
          <w:lang w:val="en-US" w:eastAsia="zh-CN" w:bidi="ar-SA"/>
        </w:rPr>
        <w:t>，</w:t>
      </w:r>
      <w:r>
        <w:rPr>
          <w:rFonts w:hint="eastAsia" w:ascii="仿宋" w:hAnsi="仿宋" w:eastAsia="仿宋"/>
          <w:color w:val="auto"/>
          <w:sz w:val="32"/>
          <w:szCs w:val="32"/>
          <w:highlight w:val="none"/>
          <w:lang w:val="en-US" w:eastAsia="zh-CN"/>
        </w:rPr>
        <w:t>与上年持平</w:t>
      </w:r>
      <w:r>
        <w:rPr>
          <w:rFonts w:hint="eastAsia" w:ascii="仿宋_GB2312" w:hAnsi="宋体" w:eastAsia="仿宋_GB2312"/>
          <w:color w:val="auto"/>
          <w:sz w:val="32"/>
          <w:szCs w:val="32"/>
          <w:highlight w:val="none"/>
        </w:rPr>
        <w:t>；</w:t>
      </w:r>
      <w:r>
        <w:rPr>
          <w:rFonts w:hint="eastAsia" w:ascii="仿宋_GB2312" w:hAnsi="宋体" w:eastAsia="仿宋_GB2312" w:cs="宋体"/>
          <w:color w:val="auto"/>
          <w:sz w:val="32"/>
          <w:szCs w:val="32"/>
          <w:highlight w:val="none"/>
        </w:rPr>
        <w:t>②</w:t>
      </w:r>
      <w:r>
        <w:rPr>
          <w:rFonts w:hint="eastAsia" w:ascii="仿宋_GB2312" w:hAnsi="宋体" w:eastAsia="仿宋_GB2312"/>
          <w:color w:val="auto"/>
          <w:sz w:val="32"/>
          <w:szCs w:val="32"/>
          <w:highlight w:val="none"/>
          <w:lang w:eastAsia="zh-CN"/>
        </w:rPr>
        <w:t>单位公车保有量</w:t>
      </w:r>
      <w:r>
        <w:rPr>
          <w:rFonts w:hint="eastAsia" w:ascii="仿宋" w:hAnsi="仿宋" w:eastAsia="仿宋"/>
          <w:color w:val="auto"/>
          <w:sz w:val="32"/>
          <w:szCs w:val="32"/>
          <w:highlight w:val="none"/>
          <w:lang w:val="en-US" w:eastAsia="zh-CN"/>
        </w:rPr>
        <w:t>6</w:t>
      </w:r>
      <w:r>
        <w:rPr>
          <w:rFonts w:hint="eastAsia" w:ascii="仿宋_GB2312" w:hAnsi="宋体" w:eastAsia="仿宋_GB2312"/>
          <w:color w:val="auto"/>
          <w:sz w:val="32"/>
          <w:szCs w:val="32"/>
          <w:highlight w:val="none"/>
          <w:lang w:val="en-US" w:eastAsia="zh-CN"/>
        </w:rPr>
        <w:t>辆，公务</w:t>
      </w:r>
      <w:r>
        <w:rPr>
          <w:rFonts w:hint="eastAsia" w:ascii="仿宋_GB2312" w:hAnsi="宋体" w:eastAsia="仿宋_GB2312"/>
          <w:color w:val="auto"/>
          <w:sz w:val="32"/>
          <w:szCs w:val="32"/>
          <w:highlight w:val="none"/>
        </w:rPr>
        <w:t>用车公务用车购置及运行维护费预算</w:t>
      </w:r>
      <w:r>
        <w:rPr>
          <w:rFonts w:hint="eastAsia" w:ascii="仿宋" w:hAnsi="仿宋" w:eastAsia="仿宋"/>
          <w:color w:val="auto"/>
          <w:sz w:val="32"/>
          <w:szCs w:val="32"/>
          <w:highlight w:val="none"/>
          <w:lang w:val="en-US" w:eastAsia="zh-CN"/>
        </w:rPr>
        <w:t>9.6</w:t>
      </w:r>
      <w:r>
        <w:rPr>
          <w:rFonts w:hint="eastAsia" w:ascii="仿宋_GB2312" w:hAnsi="宋体" w:eastAsia="仿宋_GB2312" w:cs="宋体"/>
          <w:color w:val="auto"/>
          <w:sz w:val="32"/>
          <w:szCs w:val="32"/>
          <w:highlight w:val="none"/>
        </w:rPr>
        <w:t>万元</w:t>
      </w:r>
      <w:r>
        <w:rPr>
          <w:rFonts w:hint="eastAsia" w:ascii="仿宋_GB2312" w:hAnsi="宋体" w:eastAsia="仿宋_GB2312"/>
          <w:color w:val="auto"/>
          <w:sz w:val="32"/>
          <w:szCs w:val="32"/>
          <w:highlight w:val="none"/>
        </w:rPr>
        <w:t>，实际支出</w:t>
      </w:r>
      <w:r>
        <w:rPr>
          <w:rFonts w:hint="eastAsia" w:ascii="仿宋" w:hAnsi="仿宋" w:eastAsia="仿宋"/>
          <w:color w:val="auto"/>
          <w:sz w:val="32"/>
          <w:szCs w:val="32"/>
          <w:highlight w:val="none"/>
          <w:lang w:val="en-US" w:eastAsia="zh-CN"/>
        </w:rPr>
        <w:t>9.6</w:t>
      </w:r>
      <w:r>
        <w:rPr>
          <w:rFonts w:hint="eastAsia" w:ascii="仿宋_GB2312" w:hAnsi="宋体" w:eastAsia="仿宋_GB2312" w:cs="宋体"/>
          <w:color w:val="auto"/>
          <w:sz w:val="32"/>
          <w:szCs w:val="32"/>
          <w:highlight w:val="none"/>
        </w:rPr>
        <w:t>万元</w:t>
      </w:r>
      <w:r>
        <w:rPr>
          <w:rFonts w:hint="eastAsia" w:ascii="仿宋_GB2312" w:hAnsi="宋体" w:eastAsia="仿宋_GB2312"/>
          <w:color w:val="auto"/>
          <w:sz w:val="32"/>
          <w:szCs w:val="32"/>
          <w:highlight w:val="none"/>
        </w:rPr>
        <w:t>，</w:t>
      </w:r>
      <w:r>
        <w:rPr>
          <w:rFonts w:hint="eastAsia" w:ascii="仿宋" w:hAnsi="仿宋" w:eastAsia="仿宋"/>
          <w:color w:val="auto"/>
          <w:sz w:val="32"/>
          <w:szCs w:val="32"/>
          <w:highlight w:val="none"/>
          <w:lang w:val="en-US" w:eastAsia="zh-CN"/>
        </w:rPr>
        <w:t>较2024年增加1.21万元,原因是公务用车增加</w:t>
      </w:r>
      <w:r>
        <w:rPr>
          <w:rFonts w:hint="eastAsia" w:ascii="仿宋_GB2312" w:hAnsi="宋体" w:eastAsia="仿宋_GB2312"/>
          <w:color w:val="auto"/>
          <w:sz w:val="32"/>
          <w:szCs w:val="32"/>
          <w:highlight w:val="none"/>
        </w:rPr>
        <w:t>；</w:t>
      </w:r>
      <w:r>
        <w:rPr>
          <w:rFonts w:hint="eastAsia" w:ascii="仿宋_GB2312" w:hAnsi="宋体" w:eastAsia="仿宋_GB2312" w:cs="宋体"/>
          <w:sz w:val="32"/>
          <w:szCs w:val="32"/>
          <w:highlight w:val="none"/>
        </w:rPr>
        <w:t>③</w:t>
      </w:r>
      <w:r>
        <w:rPr>
          <w:rFonts w:hint="eastAsia" w:ascii="仿宋_GB2312" w:hAnsi="宋体" w:eastAsia="仿宋_GB2312"/>
          <w:color w:val="auto"/>
          <w:sz w:val="32"/>
          <w:szCs w:val="32"/>
          <w:highlight w:val="none"/>
        </w:rPr>
        <w:t>公务接待费预算</w:t>
      </w:r>
      <w:r>
        <w:rPr>
          <w:rFonts w:hint="eastAsia" w:ascii="仿宋" w:hAnsi="仿宋" w:eastAsia="仿宋"/>
          <w:color w:val="auto"/>
          <w:sz w:val="32"/>
          <w:szCs w:val="32"/>
          <w:highlight w:val="none"/>
          <w:lang w:val="en-US" w:eastAsia="zh-CN"/>
        </w:rPr>
        <w:t>1.08</w:t>
      </w:r>
      <w:r>
        <w:rPr>
          <w:rFonts w:hint="eastAsia" w:ascii="仿宋_GB2312" w:hAnsi="宋体" w:eastAsia="仿宋_GB2312" w:cs="宋体"/>
          <w:color w:val="auto"/>
          <w:sz w:val="32"/>
          <w:szCs w:val="32"/>
          <w:highlight w:val="none"/>
        </w:rPr>
        <w:t>万元</w:t>
      </w:r>
      <w:r>
        <w:rPr>
          <w:rFonts w:hint="eastAsia" w:ascii="仿宋_GB2312" w:hAnsi="宋体" w:eastAsia="仿宋_GB2312"/>
          <w:color w:val="auto"/>
          <w:sz w:val="32"/>
          <w:szCs w:val="32"/>
          <w:highlight w:val="none"/>
        </w:rPr>
        <w:t>，实际支出</w:t>
      </w:r>
      <w:r>
        <w:rPr>
          <w:rFonts w:hint="eastAsia" w:ascii="仿宋" w:hAnsi="仿宋" w:eastAsia="仿宋"/>
          <w:color w:val="auto"/>
          <w:sz w:val="32"/>
          <w:szCs w:val="32"/>
          <w:highlight w:val="none"/>
          <w:lang w:val="en-US" w:eastAsia="zh-CN"/>
        </w:rPr>
        <w:t>1.08</w:t>
      </w:r>
      <w:r>
        <w:rPr>
          <w:rFonts w:hint="eastAsia" w:ascii="仿宋_GB2312" w:hAnsi="宋体" w:eastAsia="仿宋_GB2312" w:cs="宋体"/>
          <w:color w:val="auto"/>
          <w:sz w:val="32"/>
          <w:szCs w:val="32"/>
          <w:highlight w:val="none"/>
        </w:rPr>
        <w:t>万元</w:t>
      </w:r>
      <w:r>
        <w:rPr>
          <w:rFonts w:hint="eastAsia" w:ascii="仿宋_GB2312" w:hAnsi="宋体" w:eastAsia="仿宋_GB2312"/>
          <w:color w:val="auto"/>
          <w:sz w:val="32"/>
          <w:szCs w:val="32"/>
          <w:highlight w:val="none"/>
        </w:rPr>
        <w:t>，</w:t>
      </w:r>
      <w:r>
        <w:rPr>
          <w:rFonts w:hint="eastAsia" w:ascii="仿宋" w:hAnsi="仿宋" w:eastAsia="仿宋"/>
          <w:color w:val="auto"/>
          <w:sz w:val="32"/>
          <w:szCs w:val="32"/>
          <w:highlight w:val="none"/>
          <w:lang w:val="en-US" w:eastAsia="zh-CN"/>
        </w:rPr>
        <w:t>较2024年减少0.12万元</w:t>
      </w:r>
      <w:r>
        <w:rPr>
          <w:rFonts w:hint="eastAsia" w:ascii="仿宋_GB2312" w:hAnsi="宋体" w:eastAsia="仿宋_GB2312"/>
          <w:color w:val="auto"/>
          <w:sz w:val="32"/>
          <w:szCs w:val="32"/>
          <w:highlight w:val="none"/>
        </w:rPr>
        <w:t>。</w:t>
      </w:r>
      <w:r>
        <w:rPr>
          <w:rFonts w:hint="eastAsia" w:ascii="仿宋_GB2312" w:hAnsi="宋体" w:eastAsia="仿宋_GB2312"/>
          <w:color w:val="auto"/>
          <w:sz w:val="32"/>
          <w:szCs w:val="32"/>
          <w:highlight w:val="none"/>
          <w:lang w:eastAsia="zh-CN"/>
        </w:rPr>
        <w:t>2025年</w:t>
      </w:r>
      <w:r>
        <w:rPr>
          <w:rFonts w:hint="eastAsia" w:ascii="仿宋_GB2312" w:hAnsi="宋体" w:eastAsia="仿宋_GB2312"/>
          <w:color w:val="auto"/>
          <w:sz w:val="32"/>
          <w:szCs w:val="32"/>
          <w:highlight w:val="none"/>
        </w:rPr>
        <w:t>本单位公务接待</w:t>
      </w:r>
      <w:r>
        <w:rPr>
          <w:rFonts w:hint="eastAsia" w:ascii="仿宋" w:hAnsi="仿宋" w:eastAsia="仿宋"/>
          <w:color w:val="auto"/>
          <w:sz w:val="32"/>
          <w:szCs w:val="32"/>
          <w:highlight w:val="none"/>
          <w:lang w:val="en-US" w:eastAsia="zh-CN"/>
        </w:rPr>
        <w:t>8</w:t>
      </w:r>
      <w:r>
        <w:rPr>
          <w:rFonts w:hint="eastAsia" w:ascii="仿宋_GB2312" w:hAnsi="宋体" w:eastAsia="仿宋_GB2312"/>
          <w:color w:val="auto"/>
          <w:sz w:val="32"/>
          <w:szCs w:val="32"/>
          <w:highlight w:val="none"/>
        </w:rPr>
        <w:t>批次，共计</w:t>
      </w:r>
      <w:r>
        <w:rPr>
          <w:rFonts w:hint="eastAsia" w:ascii="仿宋" w:hAnsi="仿宋" w:eastAsia="仿宋"/>
          <w:color w:val="auto"/>
          <w:sz w:val="32"/>
          <w:szCs w:val="32"/>
          <w:highlight w:val="none"/>
          <w:lang w:val="en-US" w:eastAsia="zh-CN"/>
        </w:rPr>
        <w:t>74</w:t>
      </w:r>
      <w:r>
        <w:rPr>
          <w:rFonts w:hint="eastAsia" w:ascii="仿宋_GB2312" w:hAnsi="宋体" w:eastAsia="仿宋_GB2312"/>
          <w:color w:val="auto"/>
          <w:sz w:val="32"/>
          <w:szCs w:val="32"/>
          <w:highlight w:val="none"/>
        </w:rPr>
        <w:t>人</w:t>
      </w:r>
      <w:r>
        <w:rPr>
          <w:rFonts w:hint="eastAsia" w:ascii="仿宋_GB2312" w:hAnsi="宋体" w:eastAsia="仿宋_GB2312"/>
          <w:color w:val="auto"/>
          <w:sz w:val="32"/>
          <w:szCs w:val="32"/>
          <w:highlight w:val="none"/>
          <w:lang w:val="en-US" w:eastAsia="zh-CN"/>
        </w:rPr>
        <w:t>次</w:t>
      </w:r>
      <w:r>
        <w:rPr>
          <w:rFonts w:hint="eastAsia" w:ascii="仿宋_GB2312" w:hAnsi="宋体" w:eastAsia="仿宋_GB2312"/>
          <w:color w:val="auto"/>
          <w:sz w:val="32"/>
          <w:szCs w:val="32"/>
          <w:highlight w:val="none"/>
          <w:lang w:eastAsia="zh-CN"/>
        </w:rPr>
        <w:t>。</w:t>
      </w:r>
    </w:p>
    <w:p w14:paraId="3BB7B274">
      <w:pPr>
        <w:pStyle w:val="7"/>
        <w:bidi w:val="0"/>
        <w:rPr>
          <w:rFonts w:hint="eastAsia"/>
        </w:rPr>
      </w:pPr>
      <w:bookmarkStart w:id="56" w:name="_Toc15377217"/>
      <w:bookmarkStart w:id="57" w:name="_Toc11604"/>
      <w:r>
        <w:rPr>
          <w:rFonts w:hint="eastAsia"/>
        </w:rPr>
        <w:t>（二）“三公”经费财政拨款支出决算具体情况说明</w:t>
      </w:r>
      <w:bookmarkEnd w:id="56"/>
      <w:bookmarkEnd w:id="57"/>
    </w:p>
    <w:p w14:paraId="735CC3C0">
      <w:pPr>
        <w:spacing w:line="600" w:lineRule="exact"/>
        <w:ind w:firstLine="640"/>
        <w:rPr>
          <w:rFonts w:hint="eastAsia"/>
          <w:lang w:val="en-US" w:eastAsia="zh-CN"/>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万元，占0%；公务用车购置及运行维护费支出决算9.6万元，占89.89%；公务接待费支出决算</w:t>
      </w:r>
      <w:r>
        <w:rPr>
          <w:rFonts w:hint="eastAsia" w:ascii="仿宋_GB2312" w:hAnsi="仿宋_GB2312" w:eastAsia="仿宋_GB2312" w:cs="仿宋_GB2312"/>
          <w:sz w:val="32"/>
          <w:szCs w:val="32"/>
          <w:lang w:val="en-US" w:eastAsia="zh-CN"/>
        </w:rPr>
        <w:t>1.08</w:t>
      </w:r>
      <w:r>
        <w:rPr>
          <w:rFonts w:hint="eastAsia" w:ascii="仿宋_GB2312" w:hAnsi="仿宋_GB2312" w:eastAsia="仿宋_GB2312" w:cs="仿宋_GB2312"/>
          <w:color w:val="auto"/>
          <w:kern w:val="2"/>
          <w:sz w:val="32"/>
          <w:szCs w:val="32"/>
          <w:highlight w:val="none"/>
          <w:lang w:val="en-US" w:eastAsia="zh-CN" w:bidi="ar-SA"/>
        </w:rPr>
        <w:t>万元，占10.11%。具体情况如下：</w:t>
      </w:r>
    </w:p>
    <w:p w14:paraId="000EAE99">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drawing>
          <wp:inline distT="0" distB="0" distL="114300" distR="114300">
            <wp:extent cx="5256530" cy="2988310"/>
            <wp:effectExtent l="5080" t="4445" r="15240" b="1714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FCD3F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w:t>
      </w:r>
      <w:r>
        <w:rPr>
          <w:rFonts w:hint="eastAsia" w:eastAsia="仿宋_GB2312" w:cs="仿宋_GB2312"/>
          <w:color w:val="auto"/>
          <w:kern w:val="2"/>
          <w:sz w:val="32"/>
          <w:szCs w:val="32"/>
          <w:highlight w:val="none"/>
          <w:lang w:val="en-US" w:eastAsia="zh-CN" w:bidi="ar-SA"/>
        </w:rPr>
        <w:t>不变。</w:t>
      </w:r>
    </w:p>
    <w:p w14:paraId="0451FE8D">
      <w:pPr>
        <w:spacing w:line="600" w:lineRule="exact"/>
        <w:ind w:firstLine="640"/>
        <w:rPr>
          <w:rFonts w:hint="eastAsia" w:ascii="仿宋" w:hAnsi="仿宋" w:eastAsia="仿宋"/>
          <w:color w:val="auto"/>
          <w:sz w:val="32"/>
          <w:szCs w:val="32"/>
          <w:highlight w:val="none"/>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9.6万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 w:hAnsi="仿宋" w:eastAsia="仿宋"/>
          <w:color w:val="auto"/>
          <w:sz w:val="32"/>
          <w:szCs w:val="32"/>
          <w:highlight w:val="none"/>
          <w:lang w:val="en-US" w:eastAsia="zh-CN"/>
        </w:rPr>
        <w:t>较2024年增加1.21万元,原因是公务用车增加</w:t>
      </w:r>
    </w:p>
    <w:p w14:paraId="7A0AE6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542DC7E4">
      <w:pPr>
        <w:pageBreakBefore w:val="0"/>
        <w:widowControl w:val="0"/>
        <w:kinsoku/>
        <w:wordWrap/>
        <w:overflowPunct/>
        <w:topLinePunct w:val="0"/>
        <w:bidi w:val="0"/>
        <w:spacing w:line="576"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lang w:val="en-US" w:eastAsia="zh-CN"/>
        </w:rPr>
        <w:t>9.6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000000"/>
          <w:sz w:val="32"/>
          <w:szCs w:val="32"/>
        </w:rPr>
        <w:t>办案等所需的公务用车燃料费、维修费、过路过桥费、保险费等支出</w:t>
      </w:r>
      <w:r>
        <w:rPr>
          <w:rFonts w:hint="eastAsia" w:ascii="Times New Roman" w:hAnsi="Times New Roman" w:eastAsia="仿宋_GB2312" w:cs="仿宋_GB2312"/>
          <w:color w:val="auto"/>
          <w:kern w:val="2"/>
          <w:sz w:val="32"/>
          <w:szCs w:val="32"/>
          <w:highlight w:val="none"/>
          <w:lang w:val="en-US" w:eastAsia="zh-CN" w:bidi="ar-SA"/>
        </w:rPr>
        <w:t>。</w:t>
      </w:r>
    </w:p>
    <w:p w14:paraId="2515B66B">
      <w:pPr>
        <w:numPr>
          <w:ilvl w:val="0"/>
          <w:numId w:val="2"/>
        </w:num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ascii="仿宋_GB2312" w:hAnsi="仿宋_GB2312" w:eastAsia="仿宋_GB2312" w:cs="仿宋_GB2312"/>
          <w:b/>
          <w:bCs/>
          <w:color w:val="auto"/>
          <w:kern w:val="2"/>
          <w:sz w:val="32"/>
          <w:szCs w:val="32"/>
          <w:highlight w:val="none"/>
          <w:lang w:val="en-US" w:eastAsia="zh-CN" w:bidi="ar-SA"/>
        </w:rPr>
        <w:t>1.08万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p>
    <w:p w14:paraId="6CC4E0FF">
      <w:pPr>
        <w:snapToGrid w:val="0"/>
        <w:spacing w:line="52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bookmarkStart w:id="58" w:name="_Toc15396610"/>
      <w:bookmarkStart w:id="59" w:name="_Toc15377218"/>
      <w:r>
        <w:rPr>
          <w:rFonts w:hint="eastAsia" w:ascii="仿宋_GB2312" w:hAnsi="宋体" w:eastAsia="仿宋_GB2312"/>
          <w:color w:val="auto"/>
          <w:sz w:val="32"/>
          <w:szCs w:val="32"/>
          <w:highlight w:val="none"/>
        </w:rPr>
        <w:t>公务接待费预算</w:t>
      </w:r>
      <w:r>
        <w:rPr>
          <w:rFonts w:hint="eastAsia" w:ascii="仿宋" w:hAnsi="仿宋" w:eastAsia="仿宋"/>
          <w:color w:val="auto"/>
          <w:sz w:val="32"/>
          <w:szCs w:val="32"/>
          <w:highlight w:val="none"/>
          <w:lang w:val="en-US" w:eastAsia="zh-CN"/>
        </w:rPr>
        <w:t>1.08</w:t>
      </w:r>
      <w:r>
        <w:rPr>
          <w:rFonts w:hint="eastAsia" w:ascii="仿宋_GB2312" w:hAnsi="宋体" w:eastAsia="仿宋_GB2312" w:cs="宋体"/>
          <w:color w:val="auto"/>
          <w:sz w:val="32"/>
          <w:szCs w:val="32"/>
          <w:highlight w:val="none"/>
        </w:rPr>
        <w:t>万元</w:t>
      </w:r>
      <w:r>
        <w:rPr>
          <w:rFonts w:hint="eastAsia" w:ascii="仿宋_GB2312" w:hAnsi="宋体" w:eastAsia="仿宋_GB2312"/>
          <w:color w:val="auto"/>
          <w:sz w:val="32"/>
          <w:szCs w:val="32"/>
          <w:highlight w:val="none"/>
        </w:rPr>
        <w:t>，实际支出</w:t>
      </w:r>
      <w:r>
        <w:rPr>
          <w:rFonts w:hint="eastAsia" w:ascii="仿宋" w:hAnsi="仿宋" w:eastAsia="仿宋"/>
          <w:color w:val="auto"/>
          <w:sz w:val="32"/>
          <w:szCs w:val="32"/>
          <w:highlight w:val="none"/>
          <w:lang w:val="en-US" w:eastAsia="zh-CN"/>
        </w:rPr>
        <w:t>1.08</w:t>
      </w:r>
      <w:r>
        <w:rPr>
          <w:rFonts w:hint="eastAsia" w:ascii="仿宋_GB2312" w:hAnsi="宋体" w:eastAsia="仿宋_GB2312" w:cs="宋体"/>
          <w:color w:val="auto"/>
          <w:sz w:val="32"/>
          <w:szCs w:val="32"/>
          <w:highlight w:val="none"/>
        </w:rPr>
        <w:t>万元</w:t>
      </w:r>
      <w:r>
        <w:rPr>
          <w:rFonts w:hint="eastAsia" w:ascii="仿宋_GB2312" w:hAnsi="宋体" w:eastAsia="仿宋_GB2312"/>
          <w:color w:val="auto"/>
          <w:sz w:val="32"/>
          <w:szCs w:val="32"/>
          <w:highlight w:val="none"/>
        </w:rPr>
        <w:t>，</w:t>
      </w:r>
      <w:r>
        <w:rPr>
          <w:rFonts w:hint="eastAsia" w:ascii="仿宋" w:hAnsi="仿宋" w:eastAsia="仿宋"/>
          <w:color w:val="auto"/>
          <w:sz w:val="32"/>
          <w:szCs w:val="32"/>
          <w:highlight w:val="none"/>
          <w:lang w:val="en-US" w:eastAsia="zh-CN"/>
        </w:rPr>
        <w:t>较2024年减少0.12万元</w:t>
      </w:r>
      <w:r>
        <w:rPr>
          <w:rFonts w:hint="eastAsia" w:ascii="仿宋_GB2312" w:hAnsi="宋体" w:eastAsia="仿宋_GB2312"/>
          <w:color w:val="auto"/>
          <w:sz w:val="32"/>
          <w:szCs w:val="32"/>
          <w:highlight w:val="none"/>
        </w:rPr>
        <w:t>。</w:t>
      </w:r>
      <w:r>
        <w:rPr>
          <w:rFonts w:hint="eastAsia" w:ascii="仿宋_GB2312" w:hAnsi="宋体" w:eastAsia="仿宋_GB2312"/>
          <w:color w:val="auto"/>
          <w:sz w:val="32"/>
          <w:szCs w:val="32"/>
          <w:highlight w:val="none"/>
          <w:lang w:eastAsia="zh-CN"/>
        </w:rPr>
        <w:t>2025年</w:t>
      </w:r>
      <w:r>
        <w:rPr>
          <w:rFonts w:hint="eastAsia" w:ascii="仿宋_GB2312" w:hAnsi="宋体" w:eastAsia="仿宋_GB2312"/>
          <w:color w:val="auto"/>
          <w:sz w:val="32"/>
          <w:szCs w:val="32"/>
          <w:highlight w:val="none"/>
        </w:rPr>
        <w:t>本单位公务接待</w:t>
      </w:r>
      <w:r>
        <w:rPr>
          <w:rFonts w:hint="eastAsia" w:ascii="仿宋" w:hAnsi="仿宋" w:eastAsia="仿宋"/>
          <w:color w:val="auto"/>
          <w:sz w:val="32"/>
          <w:szCs w:val="32"/>
          <w:highlight w:val="none"/>
          <w:lang w:val="en-US" w:eastAsia="zh-CN"/>
        </w:rPr>
        <w:t>8</w:t>
      </w:r>
      <w:r>
        <w:rPr>
          <w:rFonts w:hint="eastAsia" w:ascii="仿宋_GB2312" w:hAnsi="宋体" w:eastAsia="仿宋_GB2312"/>
          <w:color w:val="auto"/>
          <w:sz w:val="32"/>
          <w:szCs w:val="32"/>
          <w:highlight w:val="none"/>
        </w:rPr>
        <w:t>批次，共计</w:t>
      </w:r>
      <w:r>
        <w:rPr>
          <w:rFonts w:hint="eastAsia" w:ascii="仿宋" w:hAnsi="仿宋" w:eastAsia="仿宋"/>
          <w:color w:val="auto"/>
          <w:sz w:val="32"/>
          <w:szCs w:val="32"/>
          <w:highlight w:val="none"/>
          <w:lang w:val="en-US" w:eastAsia="zh-CN"/>
        </w:rPr>
        <w:t>74</w:t>
      </w:r>
      <w:r>
        <w:rPr>
          <w:rFonts w:hint="eastAsia" w:ascii="仿宋_GB2312" w:hAnsi="宋体" w:eastAsia="仿宋_GB2312"/>
          <w:color w:val="auto"/>
          <w:sz w:val="32"/>
          <w:szCs w:val="32"/>
          <w:highlight w:val="none"/>
        </w:rPr>
        <w:t>人</w:t>
      </w:r>
      <w:r>
        <w:rPr>
          <w:rFonts w:hint="eastAsia" w:ascii="仿宋_GB2312" w:hAnsi="宋体" w:eastAsia="仿宋_GB2312"/>
          <w:color w:val="auto"/>
          <w:sz w:val="32"/>
          <w:szCs w:val="32"/>
          <w:highlight w:val="none"/>
          <w:lang w:val="en-US" w:eastAsia="zh-CN"/>
        </w:rPr>
        <w:t>次</w:t>
      </w:r>
      <w:r>
        <w:rPr>
          <w:rFonts w:hint="eastAsia" w:ascii="仿宋_GB2312" w:hAnsi="宋体" w:eastAsia="仿宋_GB2312"/>
          <w:color w:val="auto"/>
          <w:sz w:val="32"/>
          <w:szCs w:val="32"/>
          <w:highlight w:val="none"/>
          <w:lang w:eastAsia="zh-CN"/>
        </w:rPr>
        <w:t>。</w:t>
      </w:r>
    </w:p>
    <w:p w14:paraId="3456B438">
      <w:pPr>
        <w:pStyle w:val="6"/>
        <w:bidi w:val="0"/>
        <w:rPr>
          <w:rStyle w:val="31"/>
          <w:rFonts w:ascii="Times New Roman" w:hAnsi="Times New Roman" w:eastAsia="黑体"/>
          <w:b/>
          <w:bCs/>
          <w:color w:val="auto"/>
          <w:highlight w:val="none"/>
        </w:rPr>
      </w:pPr>
      <w:bookmarkStart w:id="60" w:name="_Toc14949"/>
      <w:r>
        <w:rPr>
          <w:rFonts w:hint="eastAsia"/>
        </w:rPr>
        <w:t>八、政府性基金预算支出决算情况说明</w:t>
      </w:r>
      <w:bookmarkEnd w:id="58"/>
      <w:bookmarkEnd w:id="59"/>
      <w:bookmarkEnd w:id="60"/>
    </w:p>
    <w:p w14:paraId="28A5F364">
      <w:pPr>
        <w:spacing w:line="600" w:lineRule="exact"/>
        <w:ind w:firstLine="640"/>
        <w:rPr>
          <w:rFonts w:hint="default" w:ascii="Times New Roman" w:hAnsi="Times New Roman" w:eastAsia="仿宋_GB2312" w:cs="仿宋_GB2312"/>
          <w:b/>
          <w:bCs/>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_GB2312" w:hAnsi="宋体" w:eastAsia="仿宋_GB2312"/>
          <w:color w:val="auto"/>
          <w:sz w:val="32"/>
          <w:szCs w:val="32"/>
          <w:highlight w:val="none"/>
          <w:lang w:eastAsia="zh-CN"/>
        </w:rPr>
        <w:t>。</w:t>
      </w:r>
    </w:p>
    <w:p w14:paraId="13A091B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F1E1893">
      <w:pPr>
        <w:pStyle w:val="6"/>
        <w:bidi w:val="0"/>
      </w:pPr>
      <w:bookmarkStart w:id="61" w:name="_Toc15396611"/>
      <w:bookmarkStart w:id="62" w:name="_Toc9684"/>
      <w:bookmarkStart w:id="63" w:name="_Toc15377219"/>
      <w:r>
        <w:rPr>
          <w:rFonts w:hint="eastAsia"/>
          <w:lang w:eastAsia="zh-CN"/>
        </w:rPr>
        <w:t>九、</w:t>
      </w:r>
      <w:r>
        <w:rPr>
          <w:rFonts w:hint="eastAsia"/>
        </w:rPr>
        <w:t>国有资本经营预算支出决算情况说明</w:t>
      </w:r>
      <w:bookmarkEnd w:id="61"/>
      <w:bookmarkEnd w:id="62"/>
      <w:bookmarkEnd w:id="63"/>
    </w:p>
    <w:p w14:paraId="236CC42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01233474">
      <w:pPr>
        <w:pStyle w:val="6"/>
        <w:bidi w:val="0"/>
        <w:rPr>
          <w:rStyle w:val="31"/>
          <w:rFonts w:hint="eastAsia" w:ascii="Times New Roman" w:hAnsi="Times New Roman" w:eastAsia="黑体"/>
          <w:b w:val="0"/>
          <w:bCs/>
          <w:color w:val="auto"/>
          <w:highlight w:val="none"/>
        </w:rPr>
      </w:pPr>
      <w:bookmarkStart w:id="64" w:name="_Toc15396612"/>
      <w:bookmarkStart w:id="65" w:name="_Toc15377221"/>
      <w:bookmarkStart w:id="66" w:name="_Toc8531"/>
      <w:r>
        <w:rPr>
          <w:rFonts w:hint="eastAsia"/>
          <w:lang w:eastAsia="zh-CN"/>
        </w:rPr>
        <w:t>十、</w:t>
      </w:r>
      <w:r>
        <w:rPr>
          <w:rFonts w:hint="eastAsia"/>
        </w:rPr>
        <w:t>其他重要事项的情况说明</w:t>
      </w:r>
      <w:bookmarkEnd w:id="64"/>
      <w:bookmarkEnd w:id="65"/>
      <w:bookmarkEnd w:id="66"/>
    </w:p>
    <w:p w14:paraId="0083914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7" w:name="_Toc15377222"/>
      <w:bookmarkStart w:id="68" w:name="_Toc21605"/>
      <w:r>
        <w:rPr>
          <w:rFonts w:hint="eastAsia" w:ascii="Times New Roman" w:hAnsi="Times New Roman" w:eastAsia="楷体_GB2312" w:cs="楷体_GB2312"/>
          <w:b/>
          <w:color w:val="auto"/>
          <w:sz w:val="32"/>
          <w:szCs w:val="32"/>
          <w:highlight w:val="none"/>
        </w:rPr>
        <w:t>（一）机关运行经费支出情况</w:t>
      </w:r>
      <w:bookmarkEnd w:id="67"/>
      <w:bookmarkEnd w:id="68"/>
    </w:p>
    <w:p w14:paraId="0F7C3A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金川县人民检察院</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lang w:val="en-US" w:eastAsia="zh-CN"/>
        </w:rPr>
        <w:t>64.43</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年度减少</w:t>
      </w:r>
      <w:r>
        <w:rPr>
          <w:rFonts w:hint="eastAsia" w:eastAsia="仿宋_GB2312" w:cs="仿宋_GB2312"/>
          <w:color w:val="auto"/>
          <w:kern w:val="2"/>
          <w:sz w:val="32"/>
          <w:szCs w:val="32"/>
          <w:highlight w:val="none"/>
          <w:lang w:val="en-US" w:eastAsia="zh-CN" w:bidi="ar-SA"/>
        </w:rPr>
        <w:t>14.4</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18.27</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eastAsia="仿宋_GB2312" w:cs="仿宋_GB2312"/>
          <w:sz w:val="32"/>
          <w:szCs w:val="32"/>
          <w:lang w:eastAsia="zh-CN"/>
        </w:rPr>
        <w:t>2025</w:t>
      </w:r>
      <w:r>
        <w:rPr>
          <w:rFonts w:ascii="仿宋_GB2312" w:eastAsia="仿宋_GB2312" w:cs="仿宋_GB2312"/>
          <w:sz w:val="32"/>
          <w:szCs w:val="32"/>
        </w:rPr>
        <w:t>年</w:t>
      </w:r>
      <w:r>
        <w:rPr>
          <w:rFonts w:hint="eastAsia" w:ascii="仿宋_GB2312" w:eastAsia="仿宋_GB2312" w:cs="仿宋_GB2312"/>
          <w:sz w:val="32"/>
          <w:szCs w:val="32"/>
          <w:lang w:val="en-US" w:eastAsia="zh-CN"/>
        </w:rPr>
        <w:t>单位人员变动，同时厉行节约。</w:t>
      </w:r>
    </w:p>
    <w:p w14:paraId="5412196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9" w:name="_Toc15377223"/>
      <w:bookmarkStart w:id="70" w:name="_Toc28082"/>
      <w:r>
        <w:rPr>
          <w:rFonts w:hint="eastAsia" w:ascii="Times New Roman" w:hAnsi="Times New Roman" w:eastAsia="楷体_GB2312" w:cs="楷体_GB2312"/>
          <w:b/>
          <w:color w:val="auto"/>
          <w:sz w:val="32"/>
          <w:szCs w:val="32"/>
          <w:highlight w:val="none"/>
        </w:rPr>
        <w:t>（二）政府采购支出情况</w:t>
      </w:r>
      <w:bookmarkEnd w:id="69"/>
      <w:bookmarkEnd w:id="70"/>
    </w:p>
    <w:p w14:paraId="1C3FC691">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rPr>
        <w:t>金川县人民检察院</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仿宋_GB2312" w:hAnsi="仿宋_GB2312" w:eastAsia="仿宋_GB2312" w:cs="仿宋_GB2312"/>
          <w:color w:val="auto"/>
          <w:kern w:val="2"/>
          <w:sz w:val="32"/>
          <w:szCs w:val="32"/>
          <w:highlight w:val="none"/>
          <w:lang w:val="en-US" w:eastAsia="zh-CN" w:bidi="ar-SA"/>
        </w:rPr>
        <w:t>%。</w:t>
      </w:r>
    </w:p>
    <w:p w14:paraId="48B680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BD40BB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1" w:name="_Toc15377224"/>
      <w:bookmarkStart w:id="72" w:name="_Toc24752"/>
      <w:r>
        <w:rPr>
          <w:rFonts w:hint="eastAsia" w:ascii="Times New Roman" w:hAnsi="Times New Roman" w:eastAsia="楷体_GB2312" w:cs="楷体_GB2312"/>
          <w:b/>
          <w:color w:val="auto"/>
          <w:sz w:val="32"/>
          <w:szCs w:val="32"/>
          <w:highlight w:val="none"/>
        </w:rPr>
        <w:t>（三）国有资产占有使用情况</w:t>
      </w:r>
      <w:bookmarkEnd w:id="71"/>
      <w:bookmarkEnd w:id="72"/>
    </w:p>
    <w:p w14:paraId="2F383F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rPr>
        <w:t>金川县人民检察院</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6</w:t>
      </w:r>
      <w:r>
        <w:rPr>
          <w:rFonts w:hint="eastAsia" w:ascii="仿宋_GB2312" w:hAnsi="仿宋_GB2312" w:eastAsia="仿宋_GB2312" w:cs="仿宋_GB2312"/>
          <w:color w:val="auto"/>
          <w:kern w:val="2"/>
          <w:sz w:val="32"/>
          <w:szCs w:val="32"/>
          <w:highlight w:val="none"/>
          <w:lang w:val="en-US" w:eastAsia="zh-CN" w:bidi="ar-SA"/>
        </w:rPr>
        <w:t>辆，其中：</w:t>
      </w:r>
      <w:r>
        <w:rPr>
          <w:rFonts w:hint="eastAsia" w:ascii="仿宋_GB2312" w:eastAsia="仿宋_GB2312"/>
          <w:color w:val="000000"/>
          <w:sz w:val="32"/>
          <w:szCs w:val="32"/>
          <w:lang w:val="en-US" w:eastAsia="zh-CN"/>
        </w:rPr>
        <w:t>我院</w:t>
      </w:r>
      <w:r>
        <w:rPr>
          <w:rFonts w:hint="eastAsia" w:ascii="仿宋_GB2312" w:eastAsia="仿宋_GB2312"/>
          <w:color w:val="000000"/>
          <w:sz w:val="32"/>
          <w:szCs w:val="32"/>
        </w:rPr>
        <w:t>共有车辆</w:t>
      </w:r>
      <w:r>
        <w:rPr>
          <w:rFonts w:hint="eastAsia" w:ascii="仿宋_GB2312" w:eastAsia="仿宋_GB2312"/>
          <w:color w:val="000000"/>
          <w:sz w:val="32"/>
          <w:szCs w:val="32"/>
          <w:lang w:val="en-US" w:eastAsia="zh-CN"/>
        </w:rPr>
        <w:t>6</w:t>
      </w:r>
      <w:r>
        <w:rPr>
          <w:rFonts w:hint="eastAsia" w:ascii="仿宋_GB2312" w:eastAsia="仿宋_GB2312"/>
          <w:color w:val="000000"/>
          <w:sz w:val="32"/>
          <w:szCs w:val="32"/>
        </w:rPr>
        <w:t>辆，主要</w:t>
      </w:r>
      <w:r>
        <w:rPr>
          <w:rFonts w:hint="eastAsia" w:ascii="仿宋_GB2312" w:eastAsia="仿宋_GB2312"/>
          <w:color w:val="000000"/>
          <w:sz w:val="32"/>
          <w:szCs w:val="32"/>
          <w:lang w:eastAsia="zh-CN"/>
        </w:rPr>
        <w:t>为</w:t>
      </w:r>
      <w:r>
        <w:rPr>
          <w:rFonts w:hint="eastAsia" w:ascii="仿宋_GB2312" w:eastAsia="仿宋_GB2312"/>
          <w:color w:val="000000"/>
          <w:sz w:val="32"/>
          <w:szCs w:val="32"/>
        </w:rPr>
        <w:t>执法执勤用车</w:t>
      </w:r>
      <w:r>
        <w:rPr>
          <w:rFonts w:hint="eastAsia" w:ascii="仿宋_GB2312" w:eastAsia="仿宋_GB2312"/>
          <w:color w:val="000000"/>
          <w:sz w:val="32"/>
          <w:szCs w:val="32"/>
          <w:lang w:val="en-US" w:eastAsia="zh-CN"/>
        </w:rPr>
        <w:t>5辆及特种车1辆</w:t>
      </w:r>
      <w:r>
        <w:rPr>
          <w:rFonts w:hint="eastAsia" w:ascii="仿宋_GB2312" w:eastAsia="仿宋_GB2312"/>
          <w:color w:val="000000"/>
          <w:sz w:val="32"/>
          <w:szCs w:val="32"/>
          <w:lang w:eastAsia="zh-CN"/>
        </w:rPr>
        <w:t>，</w:t>
      </w:r>
      <w:r>
        <w:rPr>
          <w:rFonts w:hint="eastAsia" w:ascii="仿宋_GB2312" w:eastAsia="仿宋_GB2312"/>
          <w:color w:val="000000"/>
          <w:sz w:val="32"/>
          <w:szCs w:val="32"/>
        </w:rPr>
        <w:t>单价50万元以上通用设备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台，单价100万元以上专用设备</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台（套）</w:t>
      </w:r>
      <w:r>
        <w:rPr>
          <w:rFonts w:hint="eastAsia" w:ascii="Times New Roman" w:hAnsi="Times New Roman" w:eastAsia="仿宋_GB2312" w:cs="仿宋_GB2312"/>
          <w:color w:val="auto"/>
          <w:kern w:val="2"/>
          <w:sz w:val="32"/>
          <w:szCs w:val="32"/>
          <w:highlight w:val="none"/>
          <w:lang w:val="en-US" w:eastAsia="zh-CN" w:bidi="ar-SA"/>
        </w:rPr>
        <w:t>。</w:t>
      </w:r>
    </w:p>
    <w:p w14:paraId="07EE15E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2524B7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3" w:name="_Toc1968"/>
      <w:r>
        <w:rPr>
          <w:rFonts w:hint="eastAsia" w:ascii="Times New Roman" w:hAnsi="Times New Roman" w:eastAsia="楷体_GB2312" w:cs="楷体_GB2312"/>
          <w:b/>
          <w:color w:val="auto"/>
          <w:sz w:val="32"/>
          <w:szCs w:val="32"/>
          <w:highlight w:val="none"/>
        </w:rPr>
        <w:t>（四）预算绩效管理情况</w:t>
      </w:r>
      <w:bookmarkEnd w:id="73"/>
    </w:p>
    <w:p w14:paraId="6DEA6A37">
      <w:pPr>
        <w:pageBreakBefore w:val="0"/>
        <w:widowControl w:val="0"/>
        <w:kinsoku/>
        <w:wordWrap/>
        <w:overflowPunct/>
        <w:topLinePunct w:val="0"/>
        <w:bidi w:val="0"/>
        <w:spacing w:line="576"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ascii="Times New Roman" w:hAnsi="Times New Roman" w:eastAsia="仿宋_GB2312" w:cs="Times New Roman"/>
          <w:sz w:val="32"/>
          <w:szCs w:val="32"/>
        </w:rPr>
        <w:t>本部门在</w:t>
      </w:r>
      <w:r>
        <w:rPr>
          <w:rFonts w:hint="eastAsia" w:eastAsia="仿宋_GB2312" w:cs="Times New Roman"/>
          <w:sz w:val="32"/>
          <w:szCs w:val="32"/>
          <w:lang w:eastAsia="zh-CN"/>
        </w:rPr>
        <w:t>2025</w:t>
      </w:r>
      <w:r>
        <w:rPr>
          <w:rFonts w:ascii="Times New Roman" w:hAnsi="Times New Roman" w:eastAsia="仿宋_GB2312" w:cs="Times New Roman"/>
          <w:sz w:val="32"/>
          <w:szCs w:val="32"/>
        </w:rPr>
        <w:t>年度预算编制阶段，</w:t>
      </w:r>
      <w:r>
        <w:rPr>
          <w:rFonts w:hint="eastAsia" w:eastAsia="仿宋_GB2312" w:cs="Times New Roman"/>
          <w:sz w:val="32"/>
          <w:szCs w:val="32"/>
          <w:lang w:val="en-US" w:eastAsia="zh-CN"/>
        </w:rPr>
        <w:t>2024年上半年业务装备费</w:t>
      </w:r>
      <w:r>
        <w:rPr>
          <w:rFonts w:ascii="Times New Roman" w:hAnsi="Times New Roman" w:eastAsia="仿宋_GB2312" w:cs="Times New Roman"/>
          <w:sz w:val="32"/>
          <w:szCs w:val="32"/>
        </w:rPr>
        <w:t>等</w:t>
      </w:r>
      <w:r>
        <w:rPr>
          <w:rFonts w:hint="eastAsia" w:eastAsia="仿宋_GB2312" w:cs="Times New Roman"/>
          <w:sz w:val="32"/>
          <w:szCs w:val="32"/>
          <w:lang w:val="en-US" w:eastAsia="zh-CN"/>
        </w:rPr>
        <w:t>6</w:t>
      </w:r>
      <w:r>
        <w:rPr>
          <w:rFonts w:ascii="Times New Roman" w:hAnsi="Times New Roman" w:eastAsia="仿宋_GB2312" w:cs="Times New Roman"/>
          <w:sz w:val="32"/>
          <w:szCs w:val="32"/>
        </w:rPr>
        <w:t>个项目开展了预算事前绩效评估，对</w:t>
      </w:r>
      <w:r>
        <w:rPr>
          <w:rFonts w:hint="eastAsia" w:eastAsia="仿宋_GB2312" w:cs="Times New Roman"/>
          <w:sz w:val="32"/>
          <w:szCs w:val="32"/>
          <w:lang w:val="en-US" w:eastAsia="zh-CN"/>
        </w:rPr>
        <w:t>6</w:t>
      </w:r>
      <w:r>
        <w:rPr>
          <w:rFonts w:ascii="Times New Roman" w:hAnsi="Times New Roman" w:eastAsia="仿宋_GB2312" w:cs="Times New Roman"/>
          <w:sz w:val="32"/>
          <w:szCs w:val="32"/>
        </w:rPr>
        <w:t>个项目编制了绩效目标，预算执行过程中，选取</w:t>
      </w:r>
      <w:r>
        <w:rPr>
          <w:rFonts w:hint="eastAsia" w:eastAsia="仿宋_GB2312" w:cs="Times New Roman"/>
          <w:sz w:val="32"/>
          <w:szCs w:val="32"/>
          <w:lang w:val="en-US" w:eastAsia="zh-CN"/>
        </w:rPr>
        <w:t>6</w:t>
      </w:r>
      <w:r>
        <w:rPr>
          <w:rFonts w:ascii="Times New Roman" w:hAnsi="Times New Roman" w:eastAsia="仿宋_GB2312" w:cs="Times New Roman"/>
          <w:sz w:val="32"/>
          <w:szCs w:val="32"/>
        </w:rPr>
        <w:t>个项目开展绩效监控，年终执行完毕后，对</w:t>
      </w:r>
      <w:r>
        <w:rPr>
          <w:rFonts w:hint="eastAsia" w:eastAsia="仿宋_GB2312" w:cs="Times New Roman"/>
          <w:sz w:val="32"/>
          <w:szCs w:val="32"/>
          <w:lang w:val="en-US" w:eastAsia="zh-CN"/>
        </w:rPr>
        <w:t>6</w:t>
      </w:r>
      <w:r>
        <w:rPr>
          <w:rFonts w:ascii="Times New Roman" w:hAnsi="Times New Roman" w:eastAsia="仿宋_GB2312" w:cs="Times New Roman"/>
          <w:sz w:val="32"/>
          <w:szCs w:val="32"/>
        </w:rPr>
        <w:t>个项目开展了绩效自评。同时，本部门对</w:t>
      </w:r>
      <w:r>
        <w:rPr>
          <w:rFonts w:hint="eastAsia" w:eastAsia="仿宋_GB2312" w:cs="Times New Roman"/>
          <w:sz w:val="32"/>
          <w:szCs w:val="32"/>
          <w:lang w:eastAsia="zh-CN"/>
        </w:rPr>
        <w:t>2025</w:t>
      </w:r>
      <w:r>
        <w:rPr>
          <w:rFonts w:ascii="Times New Roman" w:hAnsi="Times New Roman" w:eastAsia="仿宋_GB2312" w:cs="Times New Roman"/>
          <w:sz w:val="32"/>
          <w:szCs w:val="32"/>
        </w:rPr>
        <w:t>年部门整体开展绩效自评，</w:t>
      </w:r>
      <w:r>
        <w:rPr>
          <w:rFonts w:hint="eastAsia" w:eastAsia="仿宋_GB2312" w:cs="Times New Roman"/>
          <w:sz w:val="32"/>
          <w:szCs w:val="32"/>
          <w:lang w:val="en-US" w:eastAsia="zh-CN"/>
        </w:rPr>
        <w:t>自评得分为：</w:t>
      </w:r>
      <w:r>
        <w:rPr>
          <w:rFonts w:hint="eastAsia" w:eastAsia="仿宋_GB2312" w:cs="Times New Roman"/>
          <w:color w:val="auto"/>
          <w:kern w:val="0"/>
          <w:sz w:val="32"/>
          <w:szCs w:val="32"/>
          <w:lang w:val="en-US" w:eastAsia="zh-CN" w:bidi="ar-SA"/>
        </w:rPr>
        <w:t>90.12</w:t>
      </w:r>
      <w:r>
        <w:rPr>
          <w:rFonts w:hint="eastAsia" w:ascii="Times New Roman" w:hAnsi="Times New Roman" w:eastAsia="仿宋_GB2312" w:cs="Times New Roman"/>
          <w:color w:val="auto"/>
          <w:kern w:val="0"/>
          <w:sz w:val="32"/>
          <w:szCs w:val="32"/>
          <w:lang w:val="zh-CN" w:eastAsia="zh-CN" w:bidi="ar-SA"/>
        </w:rPr>
        <w:t>分</w:t>
      </w:r>
      <w:r>
        <w:rPr>
          <w:rFonts w:hint="eastAsia" w:eastAsia="仿宋_GB2312" w:cs="Times New Roman"/>
          <w:color w:val="auto"/>
          <w:kern w:val="0"/>
          <w:sz w:val="32"/>
          <w:szCs w:val="32"/>
          <w:lang w:val="zh-CN" w:eastAsia="zh-CN" w:bidi="ar-SA"/>
        </w:rPr>
        <w:t>。</w:t>
      </w:r>
      <w:r>
        <w:rPr>
          <w:rFonts w:ascii="Times New Roman" w:hAnsi="Times New Roman" w:eastAsia="仿宋_GB2312" w:cs="Times New Roman"/>
          <w:sz w:val="32"/>
          <w:szCs w:val="32"/>
        </w:rPr>
        <w:t>《</w:t>
      </w:r>
      <w:r>
        <w:rPr>
          <w:rFonts w:hint="eastAsia" w:eastAsia="仿宋_GB2312" w:cs="Times New Roman"/>
          <w:sz w:val="32"/>
          <w:szCs w:val="32"/>
          <w:lang w:eastAsia="zh-CN"/>
        </w:rPr>
        <w:t>202</w:t>
      </w:r>
      <w:r>
        <w:rPr>
          <w:rFonts w:hint="eastAsia" w:eastAsia="仿宋_GB2312" w:cs="Times New Roman"/>
          <w:sz w:val="32"/>
          <w:szCs w:val="32"/>
          <w:lang w:val="en-US" w:eastAsia="zh-CN"/>
        </w:rPr>
        <w:t>5</w:t>
      </w:r>
      <w:r>
        <w:rPr>
          <w:rFonts w:ascii="Times New Roman" w:hAnsi="Times New Roman" w:eastAsia="仿宋_GB2312" w:cs="Times New Roman"/>
          <w:sz w:val="32"/>
          <w:szCs w:val="32"/>
        </w:rPr>
        <w:t>年</w:t>
      </w:r>
      <w:r>
        <w:rPr>
          <w:rFonts w:hint="eastAsia" w:eastAsia="仿宋_GB2312" w:cs="Times New Roman"/>
          <w:sz w:val="32"/>
          <w:szCs w:val="32"/>
          <w:lang w:val="en-US" w:eastAsia="zh-CN"/>
        </w:rPr>
        <w:t>金川检察院</w:t>
      </w:r>
      <w:r>
        <w:rPr>
          <w:rFonts w:ascii="Times New Roman" w:hAnsi="Times New Roman" w:eastAsia="仿宋_GB2312" w:cs="Times New Roman"/>
          <w:sz w:val="32"/>
          <w:szCs w:val="32"/>
        </w:rPr>
        <w:t>部门整体绩效评价报告》见附件（第四部分）。</w:t>
      </w:r>
    </w:p>
    <w:p w14:paraId="150E2ECB">
      <w:pPr>
        <w:pStyle w:val="5"/>
        <w:bidi w:val="0"/>
        <w:jc w:val="center"/>
        <w:rPr>
          <w:rFonts w:hint="eastAsia"/>
        </w:rPr>
      </w:pPr>
      <w:bookmarkStart w:id="74" w:name="_Toc7347"/>
      <w:bookmarkStart w:id="75" w:name="_Toc15396613"/>
      <w:bookmarkStart w:id="76" w:name="_Toc15377225"/>
    </w:p>
    <w:p w14:paraId="276CA35D">
      <w:pPr>
        <w:rPr>
          <w:rFonts w:hint="eastAsia"/>
        </w:rPr>
      </w:pPr>
    </w:p>
    <w:p w14:paraId="1882E72A">
      <w:pPr>
        <w:pStyle w:val="2"/>
        <w:rPr>
          <w:rFonts w:hint="eastAsia"/>
        </w:rPr>
      </w:pPr>
    </w:p>
    <w:p w14:paraId="58EF89C5">
      <w:pPr>
        <w:pStyle w:val="3"/>
        <w:rPr>
          <w:rFonts w:hint="eastAsia"/>
        </w:rPr>
      </w:pPr>
    </w:p>
    <w:p w14:paraId="44C38DAC">
      <w:pPr>
        <w:pStyle w:val="3"/>
        <w:rPr>
          <w:rFonts w:hint="eastAsia"/>
        </w:rPr>
      </w:pPr>
    </w:p>
    <w:p w14:paraId="79796565">
      <w:pPr>
        <w:pStyle w:val="3"/>
        <w:rPr>
          <w:rFonts w:hint="eastAsia"/>
        </w:rPr>
      </w:pPr>
    </w:p>
    <w:p w14:paraId="15314506">
      <w:pPr>
        <w:pStyle w:val="5"/>
        <w:bidi w:val="0"/>
        <w:jc w:val="center"/>
        <w:rPr>
          <w:rFonts w:ascii="Times New Roman" w:hAnsi="Times New Roman" w:eastAsia="仿宋_GB2312" w:cs="Times New Roman"/>
          <w:color w:val="auto"/>
          <w:sz w:val="32"/>
          <w:szCs w:val="32"/>
        </w:rPr>
      </w:pPr>
      <w:r>
        <w:rPr>
          <w:rFonts w:hint="eastAsia"/>
        </w:rPr>
        <w:t>第</w:t>
      </w:r>
      <w:r>
        <w:rPr>
          <w:rFonts w:hint="eastAsia"/>
          <w:lang w:eastAsia="zh-CN"/>
        </w:rPr>
        <w:t>三</w:t>
      </w:r>
      <w:r>
        <w:rPr>
          <w:rFonts w:hint="eastAsia"/>
        </w:rPr>
        <w:t>部分</w:t>
      </w:r>
      <w:r>
        <w:rPr>
          <w:rFonts w:hint="eastAsia"/>
          <w:lang w:val="en-US" w:eastAsia="zh-CN"/>
        </w:rPr>
        <w:t xml:space="preserve">  </w:t>
      </w:r>
      <w:r>
        <w:rPr>
          <w:rFonts w:hint="eastAsia"/>
        </w:rPr>
        <w:t>名词解释</w:t>
      </w:r>
      <w:bookmarkEnd w:id="74"/>
      <w:bookmarkEnd w:id="75"/>
      <w:bookmarkEnd w:id="76"/>
    </w:p>
    <w:p w14:paraId="7E1F1FD3">
      <w:pPr>
        <w:pStyle w:val="28"/>
        <w:pageBreakBefore w:val="0"/>
        <w:widowControl w:val="0"/>
        <w:kinsoku/>
        <w:wordWrap/>
        <w:overflowPunct/>
        <w:topLinePunct w:val="0"/>
        <w:autoSpaceDE w:val="0"/>
        <w:autoSpaceDN w:val="0"/>
        <w:bidi w:val="0"/>
        <w:spacing w:line="576" w:lineRule="exact"/>
        <w:ind w:firstLine="640" w:firstLineChars="200"/>
        <w:rPr>
          <w:rFonts w:ascii="Times New Roman" w:hAnsi="Times New Roman" w:eastAsia="仿宋_GB2312" w:cs="Times New Roman"/>
          <w:color w:val="auto"/>
          <w:sz w:val="32"/>
          <w:szCs w:val="32"/>
        </w:rPr>
      </w:pPr>
    </w:p>
    <w:p w14:paraId="4AF9FC42">
      <w:pPr>
        <w:pStyle w:val="28"/>
        <w:pageBreakBefore w:val="0"/>
        <w:widowControl w:val="0"/>
        <w:kinsoku/>
        <w:wordWrap/>
        <w:overflowPunct/>
        <w:topLinePunct w:val="0"/>
        <w:autoSpaceDE w:val="0"/>
        <w:autoSpaceDN w:val="0"/>
        <w:bidi w:val="0"/>
        <w:spacing w:line="576"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1.财政拨款收入：指单位从同级财政部门取得的财政预算资金。</w:t>
      </w:r>
    </w:p>
    <w:p w14:paraId="00B5B978">
      <w:pPr>
        <w:pStyle w:val="28"/>
        <w:pageBreakBefore w:val="0"/>
        <w:widowControl w:val="0"/>
        <w:kinsoku/>
        <w:wordWrap/>
        <w:overflowPunct/>
        <w:topLinePunct w:val="0"/>
        <w:autoSpaceDE w:val="0"/>
        <w:autoSpaceDN w:val="0"/>
        <w:bidi w:val="0"/>
        <w:spacing w:line="576"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2.事业收入：指事业单位开展专业业务活动及辅助活动取得的收入。</w:t>
      </w:r>
    </w:p>
    <w:p w14:paraId="74D01126">
      <w:pPr>
        <w:pStyle w:val="28"/>
        <w:pageBreakBefore w:val="0"/>
        <w:widowControl w:val="0"/>
        <w:kinsoku/>
        <w:wordWrap/>
        <w:overflowPunct/>
        <w:topLinePunct w:val="0"/>
        <w:autoSpaceDE w:val="0"/>
        <w:autoSpaceDN w:val="0"/>
        <w:bidi w:val="0"/>
        <w:spacing w:line="576"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3.经营收入：指事业单位在专业业务活动及其辅助活动之外开展非独立核算经营活动取得的收入</w:t>
      </w:r>
    </w:p>
    <w:p w14:paraId="421773E1">
      <w:pPr>
        <w:pStyle w:val="28"/>
        <w:pageBreakBefore w:val="0"/>
        <w:widowControl w:val="0"/>
        <w:kinsoku/>
        <w:wordWrap/>
        <w:overflowPunct/>
        <w:topLinePunct w:val="0"/>
        <w:autoSpaceDE w:val="0"/>
        <w:autoSpaceDN w:val="0"/>
        <w:bidi w:val="0"/>
        <w:spacing w:line="576"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4.其他收入：指单位取得的除上述收入以外的各项收入。主要是利息收入等。 </w:t>
      </w:r>
    </w:p>
    <w:p w14:paraId="4D7E663A">
      <w:pPr>
        <w:pStyle w:val="28"/>
        <w:pageBreakBefore w:val="0"/>
        <w:widowControl w:val="0"/>
        <w:kinsoku/>
        <w:wordWrap/>
        <w:overflowPunct/>
        <w:topLinePunct w:val="0"/>
        <w:autoSpaceDE w:val="0"/>
        <w:autoSpaceDN w:val="0"/>
        <w:bidi w:val="0"/>
        <w:spacing w:line="576"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5.使用非财政拨款结余：指事业单位使用以前年度积累的非财政拨款结余弥补当年收支差额的金额。 </w:t>
      </w:r>
    </w:p>
    <w:p w14:paraId="573AE539">
      <w:pPr>
        <w:pStyle w:val="28"/>
        <w:pageBreakBefore w:val="0"/>
        <w:widowControl w:val="0"/>
        <w:kinsoku/>
        <w:wordWrap/>
        <w:overflowPunct/>
        <w:topLinePunct w:val="0"/>
        <w:autoSpaceDE w:val="0"/>
        <w:autoSpaceDN w:val="0"/>
        <w:bidi w:val="0"/>
        <w:spacing w:line="576"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 xml:space="preserve">6.年初结转和结余：指以前年度尚未完成、结转到本年按有关规定继续使用的资金。 </w:t>
      </w:r>
    </w:p>
    <w:p w14:paraId="0314607F">
      <w:pPr>
        <w:pStyle w:val="28"/>
        <w:pageBreakBefore w:val="0"/>
        <w:widowControl w:val="0"/>
        <w:kinsoku/>
        <w:wordWrap/>
        <w:overflowPunct/>
        <w:topLinePunct w:val="0"/>
        <w:autoSpaceDE w:val="0"/>
        <w:autoSpaceDN w:val="0"/>
        <w:bidi w:val="0"/>
        <w:spacing w:line="576"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7.结余分配：指事业单位按照会计制度规定缴纳的所得税、提取的专用结余以及转入非财政拨款结余的金额等。</w:t>
      </w:r>
    </w:p>
    <w:p w14:paraId="415A03CA">
      <w:pPr>
        <w:pStyle w:val="28"/>
        <w:pageBreakBefore w:val="0"/>
        <w:widowControl w:val="0"/>
        <w:kinsoku/>
        <w:wordWrap/>
        <w:overflowPunct/>
        <w:topLinePunct w:val="0"/>
        <w:autoSpaceDE w:val="0"/>
        <w:autoSpaceDN w:val="0"/>
        <w:bidi w:val="0"/>
        <w:spacing w:line="576"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8、年末结转和结余：指单位按有关规定结转到下年或以后年度继续使用的资金。</w:t>
      </w:r>
    </w:p>
    <w:p w14:paraId="6BFD5EE4">
      <w:pPr>
        <w:pageBreakBefore w:val="0"/>
        <w:widowControl w:val="0"/>
        <w:kinsoku/>
        <w:wordWrap/>
        <w:overflowPunct/>
        <w:topLinePunct w:val="0"/>
        <w:bidi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9.</w:t>
      </w:r>
      <w:r>
        <w:rPr>
          <w:rFonts w:ascii="Times New Roman" w:hAnsi="Times New Roman" w:eastAsia="仿宋_GB2312" w:cs="Times New Roman"/>
          <w:bCs/>
          <w:kern w:val="0"/>
          <w:sz w:val="32"/>
          <w:szCs w:val="32"/>
        </w:rPr>
        <w:t>一般公共服务：行政运行</w:t>
      </w:r>
      <w:r>
        <w:rPr>
          <w:rFonts w:ascii="Times New Roman" w:hAnsi="Times New Roman" w:eastAsia="仿宋_GB2312" w:cs="Times New Roman"/>
          <w:bCs/>
          <w:kern w:val="0"/>
          <w:sz w:val="32"/>
          <w:szCs w:val="32"/>
          <w:lang w:eastAsia="zh-CN"/>
        </w:rPr>
        <w:t>，</w:t>
      </w:r>
      <w:r>
        <w:rPr>
          <w:rFonts w:ascii="Times New Roman" w:hAnsi="Times New Roman" w:eastAsia="仿宋_GB2312" w:cs="Times New Roman"/>
          <w:bCs/>
          <w:kern w:val="0"/>
          <w:sz w:val="32"/>
          <w:szCs w:val="32"/>
        </w:rPr>
        <w:t>反映党委办公厅（室）及相关机构的支出；一般行政管理事务</w:t>
      </w:r>
      <w:r>
        <w:rPr>
          <w:rFonts w:ascii="Times New Roman" w:hAnsi="Times New Roman" w:eastAsia="仿宋_GB2312" w:cs="Times New Roman"/>
          <w:bCs/>
          <w:kern w:val="0"/>
          <w:sz w:val="32"/>
          <w:szCs w:val="32"/>
          <w:lang w:eastAsia="zh-CN"/>
        </w:rPr>
        <w:t>，</w:t>
      </w:r>
      <w:r>
        <w:rPr>
          <w:rFonts w:ascii="Times New Roman" w:hAnsi="Times New Roman" w:eastAsia="仿宋_GB2312" w:cs="Times New Roman"/>
          <w:bCs/>
          <w:kern w:val="0"/>
          <w:sz w:val="32"/>
          <w:szCs w:val="32"/>
        </w:rPr>
        <w:t>反映行政单位（包括实行公务员管理的事业单位）未单独设置项级科目的其他项目支出。</w:t>
      </w:r>
    </w:p>
    <w:p w14:paraId="697A46BE">
      <w:pPr>
        <w:pageBreakBefore w:val="0"/>
        <w:widowControl w:val="0"/>
        <w:kinsoku/>
        <w:wordWrap/>
        <w:overflowPunct/>
        <w:topLinePunct w:val="0"/>
        <w:bidi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10.</w:t>
      </w:r>
      <w:r>
        <w:rPr>
          <w:rFonts w:ascii="Times New Roman" w:hAnsi="Times New Roman" w:eastAsia="仿宋_GB2312" w:cs="Times New Roman"/>
          <w:bCs/>
          <w:kern w:val="0"/>
          <w:sz w:val="32"/>
          <w:szCs w:val="32"/>
        </w:rPr>
        <w:t>社会保障和就业：反映政府在社会保障与就业方面的支出</w:t>
      </w:r>
      <w:r>
        <w:rPr>
          <w:rFonts w:ascii="Times New Roman" w:hAnsi="Times New Roman" w:eastAsia="仿宋_GB2312" w:cs="Times New Roman"/>
          <w:bCs/>
          <w:kern w:val="0"/>
          <w:sz w:val="32"/>
          <w:szCs w:val="32"/>
          <w:lang w:eastAsia="zh-CN"/>
        </w:rPr>
        <w:t>。</w:t>
      </w:r>
    </w:p>
    <w:p w14:paraId="77B49659">
      <w:pPr>
        <w:pageBreakBefore w:val="0"/>
        <w:widowControl w:val="0"/>
        <w:kinsoku/>
        <w:wordWrap/>
        <w:overflowPunct/>
        <w:topLinePunct w:val="0"/>
        <w:bidi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11.</w:t>
      </w:r>
      <w:r>
        <w:rPr>
          <w:rFonts w:ascii="Times New Roman" w:hAnsi="Times New Roman" w:eastAsia="仿宋_GB2312" w:cs="Times New Roman"/>
          <w:bCs/>
          <w:sz w:val="32"/>
          <w:szCs w:val="32"/>
        </w:rPr>
        <w:t>医疗卫生与计划生育：反映政府医疗卫生计划生育管理方面的支出</w:t>
      </w:r>
      <w:r>
        <w:rPr>
          <w:rFonts w:ascii="Times New Roman" w:hAnsi="Times New Roman" w:eastAsia="仿宋_GB2312" w:cs="Times New Roman"/>
          <w:bCs/>
          <w:sz w:val="32"/>
          <w:szCs w:val="32"/>
          <w:lang w:eastAsia="zh-CN"/>
        </w:rPr>
        <w:t>。</w:t>
      </w:r>
    </w:p>
    <w:p w14:paraId="13EC5423">
      <w:pPr>
        <w:pageBreakBefore w:val="0"/>
        <w:widowControl w:val="0"/>
        <w:kinsoku/>
        <w:wordWrap/>
        <w:overflowPunct/>
        <w:topLinePunct w:val="0"/>
        <w:bidi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12.住房保障支出：集中反映政府用于住房方面的支出。</w:t>
      </w:r>
    </w:p>
    <w:p w14:paraId="463A5EB6">
      <w:pPr>
        <w:pageBreakBefore w:val="0"/>
        <w:widowControl w:val="0"/>
        <w:kinsoku/>
        <w:wordWrap/>
        <w:overflowPunct/>
        <w:topLinePunct w:val="0"/>
        <w:bidi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13.基本支出：指为保障机构正常运转、完成日常工作任务而发生的人员支出和公用支出。</w:t>
      </w:r>
    </w:p>
    <w:p w14:paraId="6CD94374">
      <w:pPr>
        <w:pageBreakBefore w:val="0"/>
        <w:widowControl w:val="0"/>
        <w:kinsoku/>
        <w:wordWrap/>
        <w:overflowPunct/>
        <w:topLinePunct w:val="0"/>
        <w:bidi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14.项目支出：指在基本支出之外为完成特定行政任务和事业发展目标所发生的支出。 </w:t>
      </w:r>
    </w:p>
    <w:p w14:paraId="0B3C8DB2">
      <w:pPr>
        <w:pageBreakBefore w:val="0"/>
        <w:widowControl w:val="0"/>
        <w:kinsoku/>
        <w:wordWrap/>
        <w:overflowPunct/>
        <w:topLinePunct w:val="0"/>
        <w:bidi w:val="0"/>
        <w:spacing w:line="576"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15.经营支出：指事业单位在专业业务活动及其辅助活动之外开展非独立核算经营活动发生的支出。</w:t>
      </w:r>
    </w:p>
    <w:p w14:paraId="127A3BF9">
      <w:pPr>
        <w:pStyle w:val="28"/>
        <w:pageBreakBefore w:val="0"/>
        <w:widowControl w:val="0"/>
        <w:kinsoku/>
        <w:wordWrap/>
        <w:overflowPunct/>
        <w:topLinePunct w:val="0"/>
        <w:autoSpaceDE w:val="0"/>
        <w:autoSpaceDN w:val="0"/>
        <w:bidi w:val="0"/>
        <w:spacing w:line="576"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4429951">
      <w:pPr>
        <w:pStyle w:val="28"/>
        <w:pageBreakBefore w:val="0"/>
        <w:widowControl w:val="0"/>
        <w:kinsoku/>
        <w:wordWrap/>
        <w:overflowPunct/>
        <w:topLinePunct w:val="0"/>
        <w:autoSpaceDE w:val="0"/>
        <w:autoSpaceDN w:val="0"/>
        <w:bidi w:val="0"/>
        <w:spacing w:line="576" w:lineRule="exact"/>
        <w:ind w:firstLine="640" w:firstLineChars="200"/>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17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37BF5D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5D3F1FE8">
      <w:pPr>
        <w:pStyle w:val="5"/>
        <w:bidi w:val="0"/>
        <w:jc w:val="center"/>
        <w:rPr>
          <w:rFonts w:hint="eastAsia" w:ascii="Times New Roman" w:hAnsi="Times New Roman" w:eastAsia="黑体" w:cs="黑体"/>
          <w:color w:val="FF0000"/>
          <w:sz w:val="32"/>
          <w:szCs w:val="32"/>
          <w:highlight w:val="none"/>
        </w:rPr>
      </w:pPr>
      <w:bookmarkStart w:id="77" w:name="_Toc15377226"/>
      <w:r>
        <w:rPr>
          <w:rFonts w:hint="eastAsia" w:ascii="Times New Roman" w:hAnsi="Times New Roman" w:eastAsia="仿宋_GB2312" w:cs="仿宋_GB2312"/>
          <w:color w:val="auto"/>
          <w:kern w:val="2"/>
          <w:szCs w:val="32"/>
          <w:highlight w:val="none"/>
          <w:lang w:val="en-US" w:eastAsia="zh-CN" w:bidi="ar-SA"/>
        </w:rPr>
        <w:br w:type="page"/>
      </w:r>
      <w:bookmarkStart w:id="78" w:name="_Toc15396614"/>
      <w:bookmarkStart w:id="79" w:name="_Toc25043"/>
      <w:r>
        <w:rPr>
          <w:rFonts w:hint="eastAsia"/>
        </w:rPr>
        <w:t>第四部分</w:t>
      </w:r>
      <w:r>
        <w:rPr>
          <w:rFonts w:hint="eastAsia"/>
          <w:lang w:val="en-US" w:eastAsia="zh-CN"/>
        </w:rPr>
        <w:t xml:space="preserve"> </w:t>
      </w:r>
      <w:r>
        <w:rPr>
          <w:rFonts w:hint="eastAsia"/>
        </w:rPr>
        <w:t xml:space="preserve"> 附件</w:t>
      </w:r>
      <w:bookmarkEnd w:id="78"/>
      <w:bookmarkEnd w:id="79"/>
    </w:p>
    <w:p w14:paraId="27FE971A">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方正小标宋简体" w:cs="Times New Roman"/>
          <w:b w:val="0"/>
          <w:bCs/>
          <w:sz w:val="44"/>
          <w:szCs w:val="44"/>
          <w:highlight w:val="none"/>
          <w:shd w:val="clear" w:color="auto" w:fill="FFFFFF"/>
        </w:rPr>
      </w:pPr>
      <w:bookmarkStart w:id="80" w:name="_Toc24426"/>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80"/>
    </w:p>
    <w:p w14:paraId="1C1FF6FF">
      <w:pPr>
        <w:widowControl/>
        <w:spacing w:line="580" w:lineRule="exact"/>
        <w:contextualSpacing/>
        <w:jc w:val="center"/>
        <w:rPr>
          <w:rFonts w:hint="eastAsia" w:ascii="宋体" w:eastAsia="宋体"/>
          <w:b/>
          <w:sz w:val="44"/>
          <w:szCs w:val="44"/>
          <w:highlight w:val="none"/>
          <w:shd w:val="clear" w:color="auto" w:fill="FFFFFF"/>
          <w:lang w:eastAsia="zh-CN"/>
        </w:rPr>
      </w:pPr>
      <w:r>
        <w:rPr>
          <w:rFonts w:hint="eastAsia" w:ascii="宋体" w:eastAsia="宋体"/>
          <w:b/>
          <w:sz w:val="44"/>
          <w:szCs w:val="44"/>
          <w:highlight w:val="none"/>
          <w:shd w:val="clear" w:color="auto" w:fill="FFFFFF"/>
          <w:lang w:eastAsia="zh-CN"/>
        </w:rPr>
        <w:t>2025</w:t>
      </w:r>
      <w:r>
        <w:rPr>
          <w:rFonts w:hint="eastAsia" w:ascii="宋体" w:eastAsia="宋体"/>
          <w:b/>
          <w:sz w:val="44"/>
          <w:szCs w:val="44"/>
          <w:highlight w:val="none"/>
          <w:shd w:val="clear" w:color="auto" w:fill="FFFFFF"/>
        </w:rPr>
        <w:t>年</w:t>
      </w:r>
      <w:r>
        <w:rPr>
          <w:rFonts w:hint="eastAsia" w:ascii="宋体" w:eastAsia="宋体"/>
          <w:b/>
          <w:sz w:val="44"/>
          <w:szCs w:val="44"/>
          <w:highlight w:val="none"/>
          <w:shd w:val="clear" w:color="auto" w:fill="FFFFFF"/>
          <w:lang w:eastAsia="zh-CN"/>
        </w:rPr>
        <w:t>阿坝州金川县人民检察院</w:t>
      </w:r>
    </w:p>
    <w:p w14:paraId="03B3F776">
      <w:pPr>
        <w:widowControl/>
        <w:spacing w:line="580" w:lineRule="exact"/>
        <w:contextualSpacing/>
        <w:jc w:val="center"/>
        <w:rPr>
          <w:rFonts w:ascii="宋体" w:eastAsia="宋体"/>
          <w:b/>
          <w:sz w:val="44"/>
          <w:szCs w:val="44"/>
          <w:highlight w:val="none"/>
          <w:shd w:val="clear" w:color="auto" w:fill="FFFFFF"/>
        </w:rPr>
      </w:pPr>
      <w:r>
        <w:rPr>
          <w:rFonts w:hint="eastAsia" w:ascii="宋体" w:eastAsia="宋体"/>
          <w:b/>
          <w:sz w:val="44"/>
          <w:szCs w:val="44"/>
          <w:highlight w:val="none"/>
          <w:shd w:val="clear" w:color="auto" w:fill="FFFFFF"/>
          <w:lang w:val="en-US" w:eastAsia="zh-CN"/>
        </w:rPr>
        <w:t>部门</w:t>
      </w:r>
      <w:r>
        <w:rPr>
          <w:rFonts w:hint="eastAsia" w:ascii="宋体" w:eastAsia="宋体"/>
          <w:b/>
          <w:sz w:val="44"/>
          <w:szCs w:val="44"/>
          <w:highlight w:val="none"/>
          <w:shd w:val="clear" w:color="auto" w:fill="FFFFFF"/>
        </w:rPr>
        <w:t>整体支出绩效评价报告</w:t>
      </w:r>
    </w:p>
    <w:p w14:paraId="3E39625C">
      <w:pPr>
        <w:widowControl/>
        <w:adjustRightInd w:val="0"/>
        <w:snapToGrid w:val="0"/>
        <w:spacing w:line="580" w:lineRule="exact"/>
        <w:ind w:firstLine="480" w:firstLineChars="200"/>
        <w:contextualSpacing/>
        <w:jc w:val="left"/>
        <w:rPr>
          <w:rFonts w:ascii="黑体" w:eastAsia="黑体" w:cs="宋体"/>
          <w:color w:val="000000"/>
          <w:kern w:val="0"/>
          <w:sz w:val="24"/>
          <w:szCs w:val="32"/>
          <w:highlight w:val="none"/>
          <w:shd w:val="clear" w:color="auto" w:fill="FFFFFF"/>
        </w:rPr>
      </w:pPr>
    </w:p>
    <w:p w14:paraId="385172BE">
      <w:pPr>
        <w:widowControl/>
        <w:adjustRightInd w:val="0"/>
        <w:snapToGrid w:val="0"/>
        <w:spacing w:line="580" w:lineRule="exact"/>
        <w:ind w:firstLine="640" w:firstLineChars="200"/>
        <w:contextualSpacing/>
        <w:jc w:val="left"/>
        <w:rPr>
          <w:rFonts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en-US" w:eastAsia="zh-CN" w:bidi="ar-SA"/>
        </w:rPr>
        <w:t>一、</w:t>
      </w:r>
      <w:r>
        <w:rPr>
          <w:rFonts w:hint="eastAsia" w:ascii="Times New Roman" w:hAnsi="Times New Roman" w:eastAsia="仿宋_GB2312" w:cs="Times New Roman"/>
          <w:color w:val="auto"/>
          <w:kern w:val="0"/>
          <w:sz w:val="32"/>
          <w:szCs w:val="32"/>
          <w:lang w:val="zh-CN" w:eastAsia="zh-CN" w:bidi="ar-SA"/>
        </w:rPr>
        <w:t>部门（单位）概况</w:t>
      </w:r>
    </w:p>
    <w:p w14:paraId="6FBD0482">
      <w:pPr>
        <w:widowControl/>
        <w:adjustRightInd w:val="0"/>
        <w:snapToGrid w:val="0"/>
        <w:spacing w:line="580" w:lineRule="exact"/>
        <w:ind w:firstLine="640" w:firstLineChars="200"/>
        <w:contextualSpacing/>
        <w:jc w:val="left"/>
        <w:rPr>
          <w:rFonts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（一）机构组成。</w:t>
      </w:r>
    </w:p>
    <w:p w14:paraId="0059D37F">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阿坝州金川县人民检察院现设第一检察部、第二检察部、第三检察部、办公室、政治部等5个内设机构。</w:t>
      </w:r>
    </w:p>
    <w:p w14:paraId="4F65152E">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en-US" w:eastAsia="zh-CN" w:bidi="ar-SA"/>
        </w:rPr>
        <w:t>1.</w:t>
      </w:r>
      <w:r>
        <w:rPr>
          <w:rFonts w:hint="eastAsia" w:ascii="Times New Roman" w:hAnsi="Times New Roman" w:eastAsia="仿宋_GB2312" w:cs="Times New Roman"/>
          <w:color w:val="auto"/>
          <w:kern w:val="0"/>
          <w:sz w:val="32"/>
          <w:szCs w:val="32"/>
          <w:lang w:val="zh-CN" w:eastAsia="zh-CN" w:bidi="ar-SA"/>
        </w:rPr>
        <w:t>第一检察部（刑事检察部）</w:t>
      </w:r>
    </w:p>
    <w:p w14:paraId="0277288F">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负责刑事犯罪案件审查逮捕、审查起诉、补充侦查、出庭支持公诉、抗诉以及立案监督、侦查监督、审判监督；负责相关刑事申诉案件的办理；审查办理强制医疗案件。负责对法律规定由人民检察院办理的司法工作人员利用职权实施的非法拘禁、刑讯逼供、非法搜查等侵犯公民权利、损害司法公正犯罪以及按照刑事诉讼法规定需要由人民检察院直接受理的其他重大犯罪案件的侦查。</w:t>
      </w:r>
    </w:p>
    <w:p w14:paraId="7E26C344">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contextualSpacing/>
        <w:jc w:val="left"/>
        <w:textAlignment w:val="auto"/>
        <w:rPr>
          <w:rFonts w:hint="default"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2.第二检察部（民行与公益诉讼检察部）</w:t>
      </w:r>
    </w:p>
    <w:p w14:paraId="23A49CE2">
      <w:pPr>
        <w:keepNext w:val="0"/>
        <w:keepLines w:val="0"/>
        <w:pageBreakBefore w:val="0"/>
        <w:widowControl/>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负责办理对人民法院已经发生法律效力的民事、行政判决、裁定、调解书的监督案件；负责对人民法院民事、行政诉讼活动以及民事、行政执行活动进行法律监督；对审判监督程序以外的其他民事、行政审判程序中审判人员的违法行为提出检察建议；开展民事支持起诉工作；负责相关民事、行政申诉案件的办理。负责办理破坏生态环境和资源保护、食品药品安全领域侵害众多消费者合法权益等损害社会公共利益的民事公益诉讼案件；负责办理生态环境和资源保护、食品药品安全、国有财产保护、国有土地使用权出让等领域的行政公益诉讼案件；负责办理侵害英雄烈士姓名、肖像、名誉、荣誉的公益诉讼案件；对同级法院开庭审理的公益诉讼案件，派员出席法庭，依照有关规定提出检察建议；负责相关公益诉讼申诉案件的办理。</w:t>
      </w:r>
    </w:p>
    <w:p w14:paraId="5AF0EC45">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3.第三检察部（业务监管部）</w:t>
      </w:r>
    </w:p>
    <w:p w14:paraId="4A2A5945">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负责案件的统一受理流转、办案流程监控、涉案财物的监管、法律文书监管、案件信息公开；负责组织办案质量评查、业务考评；负责业务统计分析研判；负责管理检察机关统一业务应用系统；负责人民监督员工作。负责检察技术工作的管理，负责与案件有关的检验鉴定、技术性证据审查、参与勘查取证等工作。负责检察机关贯彻执行党的政策、国家法律情况以及检察业务工作的调查研究；负责检察理论研究工作；承办检察工作适用法律问题的请示事项；承担检察委员会日常工作。处理来信来访，受理控告申诉；承办国家赔偿案件；负责国家司法救助工作。负责检察机关司法警察勤务管理和使用。负责对执行法律、法规和有关检察工作规定、决定情况进行督察，承担内部执法监督和组织检务督察职能；负责检风检纪督查；负责与派驻本院纪检监察机构的工作协调。起草审核文件文稿。</w:t>
      </w:r>
    </w:p>
    <w:p w14:paraId="5CA863C8">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4.政治部</w:t>
      </w:r>
    </w:p>
    <w:p w14:paraId="00C102B0">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负责思想政治工作和组织人事工作。协同机构编制部门进行机构编制实名制管理、统计等日常管理事项；负责机关干部人事管理、工资管理、表彰奖励、思想政治、教育培训、意识形态、新闻宣传、检察文化等工作。负责检察机关司法警察警衔管理。负责机关离退休干部工作。</w:t>
      </w:r>
    </w:p>
    <w:p w14:paraId="6878DB0C">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5.办公室</w:t>
      </w:r>
    </w:p>
    <w:p w14:paraId="7548E390">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负责机关文电、会务、机要、保密、档案等工作；协助院领导处理检察政务，组织协调重要工作部署、重大决策的贯彻实施，管理秘书事务，处理和编发检察信息；负责人大代表、政协委员联络工作和特约检察员联系工作；负责有关工作部署、领导批办事项的督查工作。编制支出规划和部门预决算，负责财务管理、国有资产管理、政府采购；负责机关车辆使用管理等后勤服务和保障工作。负责检察信息化系统的设施建设、设备选用；负责检察机关通信、计算机网络、智能会议、信息安全、信息化应用、信息数据的管理、维护和保障工作。</w:t>
      </w:r>
    </w:p>
    <w:p w14:paraId="25216675">
      <w:pPr>
        <w:widowControl/>
        <w:adjustRightInd w:val="0"/>
        <w:snapToGrid w:val="0"/>
        <w:spacing w:line="580" w:lineRule="exact"/>
        <w:ind w:firstLine="640" w:firstLineChars="200"/>
        <w:contextualSpacing/>
        <w:jc w:val="left"/>
        <w:rPr>
          <w:rFonts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（二）机构职能。</w:t>
      </w:r>
    </w:p>
    <w:p w14:paraId="5D153DB3">
      <w:pPr>
        <w:widowControl/>
        <w:adjustRightInd w:val="0"/>
        <w:snapToGrid w:val="0"/>
        <w:spacing w:line="580" w:lineRule="exact"/>
        <w:ind w:firstLine="640" w:firstLineChars="200"/>
        <w:contextualSpacing/>
        <w:jc w:val="left"/>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审查批准逮捕、决定起诉并出席法庭支持公诉的职能。人民检察院是国家的法律监督机关，行使国家的检察权。对于叛国案、分裂国家案以及严重破坏国家的政策、法律、政令统一实施的重大犯罪案件，行使检察权。对于直接受理的国家工作人员利用职权实施的犯罪案件，进行侦查。对于公安机关、国家安全机关等侦查机关侦查的案件进行审查，决定是否逮捕、是否起诉，并监督侦查机关的侦查活动是否合法。对于刑事案件提起公诉，支持公诉；对于人民法院的刑事判决、裁定是否正确和审判活动是否合法实行监督。对于监狱、看守所等监所机关执行刑罚的活动是否合法实行监督。对于人民法院的民事审判活动实行法律监督，对人民法院已经发生效力的判决、裁定，发现违反法律、法规规定的，依法提出抗诉。对于行政诉讼实行法律监督。对人民法院已经发生效力的判决、裁定发现违反法律、法规规定的，依法提出抗诉。</w:t>
      </w:r>
    </w:p>
    <w:p w14:paraId="03CF9DB1">
      <w:pPr>
        <w:widowControl/>
        <w:adjustRightInd w:val="0"/>
        <w:snapToGrid w:val="0"/>
        <w:spacing w:line="580" w:lineRule="exact"/>
        <w:ind w:firstLine="640" w:firstLineChars="200"/>
        <w:contextualSpacing/>
        <w:jc w:val="left"/>
        <w:rPr>
          <w:rFonts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（三）人员概况。</w:t>
      </w:r>
    </w:p>
    <w:p w14:paraId="2AAF7C43">
      <w:pPr>
        <w:widowControl/>
        <w:adjustRightInd w:val="0"/>
        <w:snapToGrid w:val="0"/>
        <w:spacing w:line="580" w:lineRule="exact"/>
        <w:ind w:firstLine="640" w:firstLineChars="200"/>
        <w:contextualSpacing/>
        <w:jc w:val="both"/>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 2025独立编制单位机构数为 1个，财政供养人员编制为 </w:t>
      </w:r>
      <w:r>
        <w:rPr>
          <w:rFonts w:hint="eastAsia" w:ascii="Times New Roman" w:hAnsi="Times New Roman" w:eastAsia="仿宋_GB2312" w:cs="Times New Roman"/>
          <w:color w:val="auto"/>
          <w:kern w:val="0"/>
          <w:sz w:val="32"/>
          <w:szCs w:val="32"/>
          <w:lang w:val="en-US" w:eastAsia="zh-CN" w:bidi="ar-SA"/>
        </w:rPr>
        <w:t>27</w:t>
      </w:r>
      <w:r>
        <w:rPr>
          <w:rFonts w:hint="eastAsia" w:ascii="Times New Roman" w:hAnsi="Times New Roman" w:eastAsia="仿宋_GB2312" w:cs="Times New Roman"/>
          <w:color w:val="auto"/>
          <w:kern w:val="0"/>
          <w:sz w:val="32"/>
          <w:szCs w:val="32"/>
          <w:lang w:val="zh-CN" w:eastAsia="zh-CN" w:bidi="ar-SA"/>
        </w:rPr>
        <w:t>名，其中行政编制24名，行政工勤编制3名，事业编制0名（其中参照公务员法管理人员编制0人）；2025</w:t>
      </w:r>
      <w:r>
        <w:rPr>
          <w:rFonts w:hint="eastAsia" w:ascii="Times New Roman" w:hAnsi="Times New Roman" w:eastAsia="仿宋_GB2312" w:cs="Times New Roman"/>
          <w:color w:val="auto"/>
          <w:kern w:val="0"/>
          <w:sz w:val="32"/>
          <w:szCs w:val="32"/>
          <w:lang w:val="en-US" w:eastAsia="zh-CN" w:bidi="ar-SA"/>
        </w:rPr>
        <w:t>年底</w:t>
      </w:r>
      <w:r>
        <w:rPr>
          <w:rFonts w:hint="eastAsia" w:ascii="Times New Roman" w:hAnsi="Times New Roman" w:eastAsia="仿宋_GB2312" w:cs="Times New Roman"/>
          <w:color w:val="auto"/>
          <w:kern w:val="0"/>
          <w:sz w:val="32"/>
          <w:szCs w:val="32"/>
          <w:lang w:val="zh-CN" w:eastAsia="zh-CN" w:bidi="ar-SA"/>
        </w:rPr>
        <w:t>实际财政供养人员</w:t>
      </w:r>
      <w:r>
        <w:rPr>
          <w:rFonts w:hint="eastAsia" w:ascii="Times New Roman" w:hAnsi="Times New Roman" w:eastAsia="仿宋_GB2312" w:cs="Times New Roman"/>
          <w:color w:val="auto"/>
          <w:kern w:val="0"/>
          <w:sz w:val="32"/>
          <w:szCs w:val="32"/>
          <w:lang w:val="en-US" w:eastAsia="zh-CN" w:bidi="ar-SA"/>
        </w:rPr>
        <w:t>20</w:t>
      </w:r>
      <w:r>
        <w:rPr>
          <w:rFonts w:hint="eastAsia" w:ascii="Times New Roman" w:hAnsi="Times New Roman" w:eastAsia="仿宋_GB2312" w:cs="Times New Roman"/>
          <w:color w:val="auto"/>
          <w:kern w:val="0"/>
          <w:sz w:val="32"/>
          <w:szCs w:val="32"/>
          <w:lang w:val="zh-CN" w:eastAsia="zh-CN" w:bidi="ar-SA"/>
        </w:rPr>
        <w:t>人，较上年</w:t>
      </w:r>
      <w:r>
        <w:rPr>
          <w:rFonts w:hint="eastAsia" w:ascii="Times New Roman" w:hAnsi="Times New Roman" w:eastAsia="仿宋_GB2312" w:cs="Times New Roman"/>
          <w:color w:val="auto"/>
          <w:kern w:val="0"/>
          <w:sz w:val="32"/>
          <w:szCs w:val="32"/>
          <w:lang w:val="en-US" w:eastAsia="zh-CN" w:bidi="ar-SA"/>
        </w:rPr>
        <w:t>减少6</w:t>
      </w:r>
      <w:r>
        <w:rPr>
          <w:rFonts w:hint="eastAsia" w:ascii="Times New Roman" w:hAnsi="Times New Roman" w:eastAsia="仿宋_GB2312" w:cs="Times New Roman"/>
          <w:color w:val="auto"/>
          <w:kern w:val="0"/>
          <w:sz w:val="32"/>
          <w:szCs w:val="32"/>
          <w:lang w:val="zh-CN" w:eastAsia="zh-CN" w:bidi="ar-SA"/>
        </w:rPr>
        <w:t>人，其中：行政</w:t>
      </w:r>
      <w:r>
        <w:rPr>
          <w:rFonts w:hint="eastAsia" w:ascii="Times New Roman" w:hAnsi="Times New Roman" w:eastAsia="仿宋_GB2312" w:cs="Times New Roman"/>
          <w:color w:val="auto"/>
          <w:kern w:val="0"/>
          <w:sz w:val="32"/>
          <w:szCs w:val="32"/>
          <w:lang w:val="en-US" w:eastAsia="zh-CN" w:bidi="ar-SA"/>
        </w:rPr>
        <w:t>18</w:t>
      </w:r>
      <w:r>
        <w:rPr>
          <w:rFonts w:hint="eastAsia" w:ascii="Times New Roman" w:hAnsi="Times New Roman" w:eastAsia="仿宋_GB2312" w:cs="Times New Roman"/>
          <w:color w:val="auto"/>
          <w:kern w:val="0"/>
          <w:sz w:val="32"/>
          <w:szCs w:val="32"/>
          <w:lang w:val="zh-CN" w:eastAsia="zh-CN" w:bidi="ar-SA"/>
        </w:rPr>
        <w:t>人，行政工勤2人，事业0人。</w:t>
      </w:r>
    </w:p>
    <w:p w14:paraId="7008633F">
      <w:pPr>
        <w:widowControl/>
        <w:adjustRightInd w:val="0"/>
        <w:snapToGrid w:val="0"/>
        <w:spacing w:line="580" w:lineRule="exact"/>
        <w:ind w:firstLine="640" w:firstLineChars="200"/>
        <w:contextualSpacing/>
        <w:jc w:val="left"/>
        <w:rPr>
          <w:rFonts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二、部门财政资金收支情况</w:t>
      </w:r>
    </w:p>
    <w:p w14:paraId="55289409">
      <w:pPr>
        <w:widowControl/>
        <w:adjustRightInd w:val="0"/>
        <w:snapToGrid w:val="0"/>
        <w:spacing w:line="580" w:lineRule="exact"/>
        <w:ind w:firstLine="640" w:firstLineChars="200"/>
        <w:contextualSpacing/>
        <w:jc w:val="left"/>
        <w:rPr>
          <w:rFonts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（一）部门财政资金收入情况。</w:t>
      </w:r>
    </w:p>
    <w:p w14:paraId="0CC8BF16">
      <w:pPr>
        <w:widowControl/>
        <w:adjustRightInd w:val="0"/>
        <w:snapToGrid w:val="0"/>
        <w:spacing w:line="580" w:lineRule="exact"/>
        <w:ind w:firstLine="640" w:firstLineChars="200"/>
        <w:contextualSpacing/>
        <w:jc w:val="both"/>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阿坝州金川县人民检察院</w:t>
      </w:r>
      <w:r>
        <w:rPr>
          <w:rFonts w:hint="eastAsia" w:ascii="Times New Roman" w:hAnsi="Times New Roman" w:eastAsia="仿宋_GB2312" w:cs="Times New Roman"/>
          <w:color w:val="auto"/>
          <w:kern w:val="0"/>
          <w:sz w:val="32"/>
          <w:szCs w:val="32"/>
          <w:lang w:val="en-US" w:eastAsia="zh-CN" w:bidi="ar-SA"/>
        </w:rPr>
        <w:t>2025年年初预算收入620.58万元，</w:t>
      </w:r>
      <w:r>
        <w:rPr>
          <w:rFonts w:hint="eastAsia" w:ascii="Times New Roman" w:hAnsi="Times New Roman" w:eastAsia="仿宋_GB2312" w:cs="Times New Roman"/>
          <w:color w:val="auto"/>
          <w:kern w:val="0"/>
          <w:sz w:val="32"/>
          <w:szCs w:val="32"/>
          <w:lang w:val="zh-CN" w:eastAsia="zh-CN" w:bidi="ar-SA"/>
        </w:rPr>
        <w:t>年</w:t>
      </w:r>
      <w:r>
        <w:rPr>
          <w:rFonts w:hint="eastAsia" w:ascii="Times New Roman" w:hAnsi="Times New Roman" w:eastAsia="仿宋_GB2312" w:cs="Times New Roman"/>
          <w:color w:val="auto"/>
          <w:kern w:val="0"/>
          <w:sz w:val="32"/>
          <w:szCs w:val="32"/>
          <w:lang w:val="en-US" w:eastAsia="zh-CN" w:bidi="ar-SA"/>
        </w:rPr>
        <w:t>末决算</w:t>
      </w:r>
      <w:r>
        <w:rPr>
          <w:rFonts w:hint="eastAsia" w:ascii="Times New Roman" w:hAnsi="Times New Roman" w:eastAsia="仿宋_GB2312" w:cs="Times New Roman"/>
          <w:color w:val="auto"/>
          <w:kern w:val="0"/>
          <w:sz w:val="32"/>
          <w:szCs w:val="32"/>
          <w:lang w:val="zh-CN" w:eastAsia="zh-CN" w:bidi="ar-SA"/>
        </w:rPr>
        <w:t>部门财政资金收入</w:t>
      </w:r>
      <w:r>
        <w:rPr>
          <w:rFonts w:hint="eastAsia" w:ascii="Times New Roman" w:hAnsi="Times New Roman" w:eastAsia="仿宋_GB2312" w:cs="Times New Roman"/>
          <w:color w:val="auto"/>
          <w:kern w:val="0"/>
          <w:sz w:val="32"/>
          <w:szCs w:val="32"/>
          <w:lang w:val="en-US" w:eastAsia="zh-CN" w:bidi="ar-SA"/>
        </w:rPr>
        <w:t>总计1094.24</w:t>
      </w:r>
      <w:r>
        <w:rPr>
          <w:rFonts w:hint="eastAsia" w:ascii="Times New Roman" w:hAnsi="Times New Roman" w:eastAsia="仿宋_GB2312" w:cs="Times New Roman"/>
          <w:color w:val="auto"/>
          <w:kern w:val="0"/>
          <w:sz w:val="32"/>
          <w:szCs w:val="32"/>
          <w:lang w:val="zh-CN" w:eastAsia="zh-CN" w:bidi="ar-SA"/>
        </w:rPr>
        <w:t>万元，其中：一般公共预算财政拨款收入</w:t>
      </w:r>
      <w:r>
        <w:rPr>
          <w:rFonts w:hint="eastAsia" w:ascii="Times New Roman" w:hAnsi="Times New Roman" w:eastAsia="仿宋_GB2312" w:cs="Times New Roman"/>
          <w:color w:val="auto"/>
          <w:kern w:val="0"/>
          <w:sz w:val="32"/>
          <w:szCs w:val="32"/>
          <w:lang w:val="en-US" w:eastAsia="zh-CN" w:bidi="ar-SA"/>
        </w:rPr>
        <w:t>858.12</w:t>
      </w:r>
      <w:r>
        <w:rPr>
          <w:rFonts w:hint="eastAsia" w:ascii="Times New Roman" w:hAnsi="Times New Roman" w:eastAsia="仿宋_GB2312" w:cs="Times New Roman"/>
          <w:color w:val="auto"/>
          <w:kern w:val="0"/>
          <w:sz w:val="32"/>
          <w:szCs w:val="32"/>
          <w:lang w:val="zh-CN" w:eastAsia="zh-CN" w:bidi="ar-SA"/>
        </w:rPr>
        <w:t>万元，</w:t>
      </w:r>
      <w:r>
        <w:rPr>
          <w:rFonts w:hint="eastAsia" w:ascii="Times New Roman" w:hAnsi="Times New Roman" w:eastAsia="仿宋_GB2312" w:cs="Times New Roman"/>
          <w:color w:val="auto"/>
          <w:kern w:val="0"/>
          <w:sz w:val="32"/>
          <w:szCs w:val="32"/>
          <w:lang w:val="en-US" w:eastAsia="zh-CN" w:bidi="ar-SA"/>
        </w:rPr>
        <w:t>其他收入（县级财政拨款收入）236.12万元</w:t>
      </w:r>
      <w:r>
        <w:rPr>
          <w:rFonts w:hint="eastAsia" w:ascii="Times New Roman" w:hAnsi="Times New Roman" w:eastAsia="仿宋_GB2312" w:cs="Times New Roman"/>
          <w:color w:val="auto"/>
          <w:kern w:val="0"/>
          <w:sz w:val="32"/>
          <w:szCs w:val="32"/>
          <w:lang w:val="zh-CN" w:eastAsia="zh-CN" w:bidi="ar-SA"/>
        </w:rPr>
        <w:t>。</w:t>
      </w:r>
    </w:p>
    <w:p w14:paraId="4F271359">
      <w:pPr>
        <w:widowControl/>
        <w:adjustRightInd w:val="0"/>
        <w:snapToGrid w:val="0"/>
        <w:spacing w:line="580" w:lineRule="exact"/>
        <w:ind w:firstLine="640" w:firstLineChars="200"/>
        <w:contextualSpacing/>
        <w:jc w:val="left"/>
        <w:rPr>
          <w:rFonts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（二）部门财政资金支出情况。</w:t>
      </w:r>
    </w:p>
    <w:p w14:paraId="7DA8B028">
      <w:pPr>
        <w:widowControl/>
        <w:adjustRightInd w:val="0"/>
        <w:snapToGrid w:val="0"/>
        <w:spacing w:line="580" w:lineRule="exact"/>
        <w:ind w:firstLine="640" w:firstLineChars="200"/>
        <w:contextualSpacing/>
        <w:jc w:val="both"/>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zh-CN" w:eastAsia="zh-CN" w:bidi="ar-SA"/>
        </w:rPr>
        <w:t>阿坝州金川县人民检察院</w:t>
      </w:r>
      <w:r>
        <w:rPr>
          <w:rFonts w:hint="eastAsia" w:ascii="Times New Roman" w:hAnsi="Times New Roman" w:eastAsia="仿宋_GB2312" w:cs="Times New Roman"/>
          <w:color w:val="auto"/>
          <w:kern w:val="0"/>
          <w:sz w:val="32"/>
          <w:szCs w:val="32"/>
          <w:lang w:val="en-US" w:eastAsia="zh-CN" w:bidi="ar-SA"/>
        </w:rPr>
        <w:t>2025年年初预算支出620.58万元，年末决算财政资金支出合计1084.69万元。按功能分类划分，其中：公共安全支出869.17万元，社会保障和就业支出115.34万元，卫生健康支出32.13万元，住房保障支出52.71万元。</w:t>
      </w:r>
    </w:p>
    <w:p w14:paraId="5B019946">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按支出性质和经济分类划分，其中：基本支出771.36万元（其中人员经费706.92万元、日常公用经费支出64.43万元），项目支出298万元。</w:t>
      </w:r>
    </w:p>
    <w:p w14:paraId="3C6FED30">
      <w:pPr>
        <w:widowControl/>
        <w:numPr>
          <w:ilvl w:val="0"/>
          <w:numId w:val="3"/>
        </w:numPr>
        <w:adjustRightInd w:val="0"/>
        <w:snapToGrid w:val="0"/>
        <w:spacing w:line="580" w:lineRule="exact"/>
        <w:ind w:firstLine="640" w:firstLineChars="200"/>
        <w:contextualSpacing/>
        <w:jc w:val="left"/>
        <w:rPr>
          <w:rFonts w:hint="eastAsia" w:ascii="Times New Roman" w:hAnsi="Times New Roman" w:eastAsia="仿宋_GB2312" w:cs="Times New Roman"/>
          <w:color w:val="auto"/>
          <w:kern w:val="0"/>
          <w:sz w:val="32"/>
          <w:szCs w:val="32"/>
          <w:lang w:val="zh-CN" w:eastAsia="zh-CN" w:bidi="ar-SA"/>
        </w:rPr>
      </w:pPr>
      <w:r>
        <w:rPr>
          <w:rFonts w:hint="default" w:ascii="Times New Roman" w:hAnsi="Times New Roman" w:eastAsia="仿宋_GB2312" w:cs="Times New Roman"/>
          <w:color w:val="auto"/>
          <w:kern w:val="0"/>
          <w:sz w:val="32"/>
          <w:szCs w:val="32"/>
          <w:lang w:val="zh-CN" w:eastAsia="zh-CN" w:bidi="ar-SA"/>
        </w:rPr>
        <w:t>结余分配和结转结余情况</w:t>
      </w:r>
      <w:r>
        <w:rPr>
          <w:rFonts w:hint="eastAsia" w:ascii="Times New Roman" w:hAnsi="Times New Roman" w:eastAsia="仿宋_GB2312" w:cs="Times New Roman"/>
          <w:color w:val="auto"/>
          <w:kern w:val="0"/>
          <w:sz w:val="32"/>
          <w:szCs w:val="32"/>
          <w:lang w:val="zh-CN" w:eastAsia="zh-CN" w:bidi="ar-SA"/>
        </w:rPr>
        <w:t>。</w:t>
      </w:r>
    </w:p>
    <w:p w14:paraId="75252571">
      <w:pPr>
        <w:widowControl/>
        <w:numPr>
          <w:ilvl w:val="0"/>
          <w:numId w:val="0"/>
        </w:numPr>
        <w:adjustRightInd w:val="0"/>
        <w:snapToGrid w:val="0"/>
        <w:spacing w:line="580" w:lineRule="exact"/>
        <w:contextualSpacing/>
        <w:jc w:val="left"/>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en-US" w:eastAsia="zh-CN" w:bidi="ar-SA"/>
        </w:rPr>
        <w:t xml:space="preserve">    金川人民检察院根据财政经费使用管理要求，年末报表中结转结余为15.33万元。</w:t>
      </w:r>
    </w:p>
    <w:p w14:paraId="338BEAA4">
      <w:pPr>
        <w:widowControl/>
        <w:adjustRightInd w:val="0"/>
        <w:snapToGrid w:val="0"/>
        <w:spacing w:line="580" w:lineRule="exact"/>
        <w:ind w:firstLine="640" w:firstLineChars="200"/>
        <w:contextualSpacing/>
        <w:jc w:val="left"/>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三、部门预算绩效分析</w:t>
      </w:r>
    </w:p>
    <w:p w14:paraId="4549D9CF">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（一）部门</w:t>
      </w:r>
      <w:r>
        <w:rPr>
          <w:rFonts w:hint="eastAsia" w:ascii="Times New Roman" w:hAnsi="Times New Roman" w:eastAsia="仿宋_GB2312" w:cs="Times New Roman"/>
          <w:color w:val="auto"/>
          <w:kern w:val="0"/>
          <w:sz w:val="32"/>
          <w:szCs w:val="32"/>
          <w:lang w:val="en-US" w:eastAsia="zh-CN" w:bidi="ar-SA"/>
        </w:rPr>
        <w:t>预算总体绩效分析</w:t>
      </w:r>
    </w:p>
    <w:p w14:paraId="7BA2C97D">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w:t>
      </w:r>
      <w:r>
        <w:rPr>
          <w:rFonts w:hint="eastAsia" w:ascii="Times New Roman" w:hAnsi="Times New Roman" w:eastAsia="仿宋_GB2312" w:cs="Times New Roman"/>
          <w:color w:val="auto"/>
          <w:kern w:val="0"/>
          <w:sz w:val="32"/>
          <w:szCs w:val="32"/>
          <w:lang w:val="en-US" w:eastAsia="zh-CN" w:bidi="ar-SA"/>
        </w:rPr>
        <w:t>1</w:t>
      </w:r>
      <w:r>
        <w:rPr>
          <w:rFonts w:hint="eastAsia" w:ascii="Times New Roman" w:hAnsi="Times New Roman" w:eastAsia="仿宋_GB2312" w:cs="Times New Roman"/>
          <w:color w:val="auto"/>
          <w:kern w:val="0"/>
          <w:sz w:val="32"/>
          <w:szCs w:val="32"/>
          <w:lang w:val="zh-CN" w:eastAsia="zh-CN" w:bidi="ar-SA"/>
        </w:rPr>
        <w:t>）</w:t>
      </w:r>
      <w:r>
        <w:rPr>
          <w:rFonts w:hint="eastAsia" w:ascii="Times New Roman" w:hAnsi="Times New Roman" w:eastAsia="仿宋_GB2312" w:cs="Times New Roman"/>
          <w:color w:val="auto"/>
          <w:kern w:val="0"/>
          <w:sz w:val="32"/>
          <w:szCs w:val="32"/>
          <w:lang w:val="en-US" w:eastAsia="zh-CN" w:bidi="ar-SA"/>
        </w:rPr>
        <w:t>履职效能。</w:t>
      </w:r>
      <w:r>
        <w:rPr>
          <w:rFonts w:hint="eastAsia" w:ascii="Times New Roman" w:hAnsi="Times New Roman" w:eastAsia="仿宋_GB2312" w:cs="Times New Roman"/>
          <w:color w:val="auto"/>
          <w:kern w:val="0"/>
          <w:sz w:val="32"/>
          <w:szCs w:val="32"/>
          <w:lang w:val="zh-CN" w:eastAsia="zh-CN" w:bidi="ar-SA"/>
        </w:rPr>
        <w:t>“目标制定”自评质量标总分</w:t>
      </w:r>
      <w:r>
        <w:rPr>
          <w:rFonts w:hint="eastAsia" w:ascii="Times New Roman" w:hAnsi="Times New Roman" w:eastAsia="仿宋_GB2312" w:cs="Times New Roman"/>
          <w:color w:val="auto"/>
          <w:kern w:val="0"/>
          <w:sz w:val="32"/>
          <w:szCs w:val="32"/>
          <w:lang w:val="en-US" w:eastAsia="zh-CN" w:bidi="ar-SA"/>
        </w:rPr>
        <w:t>15</w:t>
      </w:r>
      <w:r>
        <w:rPr>
          <w:rFonts w:hint="eastAsia" w:ascii="Times New Roman" w:hAnsi="Times New Roman" w:eastAsia="仿宋_GB2312" w:cs="Times New Roman"/>
          <w:color w:val="auto"/>
          <w:kern w:val="0"/>
          <w:sz w:val="32"/>
          <w:szCs w:val="32"/>
          <w:lang w:val="zh-CN" w:eastAsia="zh-CN" w:bidi="ar-SA"/>
        </w:rPr>
        <w:t>分，自评得分</w:t>
      </w:r>
      <w:r>
        <w:rPr>
          <w:rFonts w:hint="eastAsia" w:ascii="Times New Roman" w:hAnsi="Times New Roman" w:eastAsia="仿宋_GB2312" w:cs="Times New Roman"/>
          <w:color w:val="auto"/>
          <w:kern w:val="0"/>
          <w:sz w:val="32"/>
          <w:szCs w:val="32"/>
          <w:lang w:val="en-US" w:eastAsia="zh-CN" w:bidi="ar-SA"/>
        </w:rPr>
        <w:t>15</w:t>
      </w:r>
      <w:r>
        <w:rPr>
          <w:rFonts w:hint="eastAsia" w:ascii="Times New Roman" w:hAnsi="Times New Roman" w:eastAsia="仿宋_GB2312" w:cs="Times New Roman"/>
          <w:color w:val="auto"/>
          <w:kern w:val="0"/>
          <w:sz w:val="32"/>
          <w:szCs w:val="32"/>
          <w:lang w:val="zh-CN" w:eastAsia="zh-CN" w:bidi="ar-SA"/>
        </w:rPr>
        <w:t>分。</w:t>
      </w:r>
    </w:p>
    <w:p w14:paraId="4623BD26">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1.数量指标得5分，2025年我院案件设定指标100件，结案率90%以上，2025年共办理案件113件，结案率93.04%，该指标得分5分。</w:t>
      </w:r>
    </w:p>
    <w:p w14:paraId="5EE4BC39">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2.满意度指标得5分，2025年我院满意度设定指标大于等于95%，通过年底问卷调查我院满意度为100%，该指标得分105%。</w:t>
      </w:r>
    </w:p>
    <w:p w14:paraId="7CD7E993">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 xml:space="preserve">3.社会成本指标得5分，2025年我院财政资金均足额到位，资金到位率为100%。      </w:t>
      </w:r>
    </w:p>
    <w:p w14:paraId="33EC5977">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（2）预算管理。</w:t>
      </w:r>
      <w:r>
        <w:rPr>
          <w:rFonts w:hint="eastAsia" w:ascii="Times New Roman" w:hAnsi="Times New Roman" w:eastAsia="仿宋_GB2312" w:cs="Times New Roman"/>
          <w:color w:val="auto"/>
          <w:kern w:val="0"/>
          <w:sz w:val="32"/>
          <w:szCs w:val="32"/>
          <w:lang w:val="zh-CN" w:eastAsia="zh-CN" w:bidi="ar-SA"/>
        </w:rPr>
        <w:t>“目标制定”自评质量标总分</w:t>
      </w:r>
      <w:r>
        <w:rPr>
          <w:rFonts w:hint="eastAsia" w:ascii="Times New Roman" w:hAnsi="Times New Roman" w:eastAsia="仿宋_GB2312" w:cs="Times New Roman"/>
          <w:color w:val="auto"/>
          <w:kern w:val="0"/>
          <w:sz w:val="32"/>
          <w:szCs w:val="32"/>
          <w:lang w:val="en-US" w:eastAsia="zh-CN" w:bidi="ar-SA"/>
        </w:rPr>
        <w:t>25</w:t>
      </w:r>
      <w:r>
        <w:rPr>
          <w:rFonts w:hint="eastAsia" w:ascii="Times New Roman" w:hAnsi="Times New Roman" w:eastAsia="仿宋_GB2312" w:cs="Times New Roman"/>
          <w:color w:val="auto"/>
          <w:kern w:val="0"/>
          <w:sz w:val="32"/>
          <w:szCs w:val="32"/>
          <w:lang w:val="zh-CN" w:eastAsia="zh-CN" w:bidi="ar-SA"/>
        </w:rPr>
        <w:t>分，</w:t>
      </w:r>
      <w:r>
        <w:rPr>
          <w:rFonts w:hint="eastAsia" w:ascii="Times New Roman" w:hAnsi="Times New Roman" w:eastAsia="仿宋_GB2312" w:cs="Times New Roman"/>
          <w:color w:val="auto"/>
          <w:kern w:val="0"/>
          <w:sz w:val="32"/>
          <w:szCs w:val="32"/>
          <w:lang w:val="en-US" w:eastAsia="zh-CN" w:bidi="ar-SA"/>
        </w:rPr>
        <w:t>自评得分19.02分。</w:t>
      </w:r>
    </w:p>
    <w:p w14:paraId="4445B8E2">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1.预算编制质量指标分值12分，自评得分8分。财政拨款预算偏离度为74.79%，资产配置及政府采购偏离度都为0。</w:t>
      </w:r>
    </w:p>
    <w:p w14:paraId="0D0AA978">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2.支出执行进度指标值6分，自评得分5.67分。通过比率分值法计算得1-6月执行进度得分2分,1-10月执行进度得分1.84分。1-6月无预警金额得1分，1-10月有预警得分0.83分。</w:t>
      </w:r>
    </w:p>
    <w:p w14:paraId="0C24AE3F">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3.预算年终结余指标分值2分，自评得分1.95分。部门整体预算结余率为2.47%，得分1.95分。</w:t>
      </w:r>
    </w:p>
    <w:p w14:paraId="072112D6">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4.严控一般性支出指分值5分，自评得分3.4分。一般性支出财政拨款年初预算较上年实现压减得1分，压减率为3%得0.6分；一般性支出财政拨款预算执行较上年实现压减得1分，压减率为4%得0.8分。</w:t>
      </w:r>
    </w:p>
    <w:p w14:paraId="188395CC">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（3）财务管理。</w:t>
      </w:r>
      <w:r>
        <w:rPr>
          <w:rFonts w:hint="eastAsia" w:ascii="Times New Roman" w:hAnsi="Times New Roman" w:eastAsia="仿宋_GB2312" w:cs="Times New Roman"/>
          <w:color w:val="auto"/>
          <w:kern w:val="0"/>
          <w:sz w:val="32"/>
          <w:szCs w:val="32"/>
          <w:lang w:val="zh-CN" w:eastAsia="zh-CN" w:bidi="ar-SA"/>
        </w:rPr>
        <w:t>“目标制定”自评质量标总分</w:t>
      </w:r>
      <w:r>
        <w:rPr>
          <w:rFonts w:hint="eastAsia" w:ascii="Times New Roman" w:hAnsi="Times New Roman" w:eastAsia="仿宋_GB2312" w:cs="Times New Roman"/>
          <w:color w:val="auto"/>
          <w:kern w:val="0"/>
          <w:sz w:val="32"/>
          <w:szCs w:val="32"/>
          <w:lang w:val="en-US" w:eastAsia="zh-CN" w:bidi="ar-SA"/>
        </w:rPr>
        <w:t>10</w:t>
      </w:r>
      <w:r>
        <w:rPr>
          <w:rFonts w:hint="eastAsia" w:ascii="Times New Roman" w:hAnsi="Times New Roman" w:eastAsia="仿宋_GB2312" w:cs="Times New Roman"/>
          <w:color w:val="auto"/>
          <w:kern w:val="0"/>
          <w:sz w:val="32"/>
          <w:szCs w:val="32"/>
          <w:lang w:val="zh-CN" w:eastAsia="zh-CN" w:bidi="ar-SA"/>
        </w:rPr>
        <w:t>分，</w:t>
      </w:r>
      <w:r>
        <w:rPr>
          <w:rFonts w:hint="eastAsia" w:ascii="Times New Roman" w:hAnsi="Times New Roman" w:eastAsia="仿宋_GB2312" w:cs="Times New Roman"/>
          <w:color w:val="auto"/>
          <w:kern w:val="0"/>
          <w:sz w:val="32"/>
          <w:szCs w:val="32"/>
          <w:lang w:val="en-US" w:eastAsia="zh-CN" w:bidi="ar-SA"/>
        </w:rPr>
        <w:t>自评得分10分。</w:t>
      </w:r>
      <w:r>
        <w:rPr>
          <w:rFonts w:hint="eastAsia" w:ascii="Times New Roman" w:hAnsi="Times New Roman" w:eastAsia="仿宋_GB2312" w:cs="Times New Roman"/>
          <w:color w:val="auto"/>
          <w:kern w:val="0"/>
          <w:sz w:val="32"/>
          <w:szCs w:val="32"/>
          <w:lang w:val="zh-CN" w:eastAsia="zh-CN" w:bidi="ar-SA"/>
        </w:rPr>
        <w:t>我院制定了经费管理办法指导日常经费规范支出，按照不相容岗位相分离的原则，设置财务负责人、资产管理人、会计、出纳等岗位，并规范相应工作职责。资金使用中按照预算进行安排，不存在虚列支出、超范围超标准使用经费等情况。</w:t>
      </w:r>
    </w:p>
    <w:p w14:paraId="619063DB">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（4）资产管理。</w:t>
      </w:r>
      <w:r>
        <w:rPr>
          <w:rFonts w:hint="eastAsia" w:ascii="Times New Roman" w:hAnsi="Times New Roman" w:eastAsia="仿宋_GB2312" w:cs="Times New Roman"/>
          <w:color w:val="auto"/>
          <w:kern w:val="0"/>
          <w:sz w:val="32"/>
          <w:szCs w:val="32"/>
          <w:lang w:val="zh-CN" w:eastAsia="zh-CN" w:bidi="ar-SA"/>
        </w:rPr>
        <w:t>“目标制定”自评质量标总分</w:t>
      </w:r>
      <w:r>
        <w:rPr>
          <w:rFonts w:hint="eastAsia" w:ascii="Times New Roman" w:hAnsi="Times New Roman" w:eastAsia="仿宋_GB2312" w:cs="Times New Roman"/>
          <w:color w:val="auto"/>
          <w:kern w:val="0"/>
          <w:sz w:val="32"/>
          <w:szCs w:val="32"/>
          <w:lang w:val="en-US" w:eastAsia="zh-CN" w:bidi="ar-SA"/>
        </w:rPr>
        <w:t>9</w:t>
      </w:r>
      <w:r>
        <w:rPr>
          <w:rFonts w:hint="eastAsia" w:ascii="Times New Roman" w:hAnsi="Times New Roman" w:eastAsia="仿宋_GB2312" w:cs="Times New Roman"/>
          <w:color w:val="auto"/>
          <w:kern w:val="0"/>
          <w:sz w:val="32"/>
          <w:szCs w:val="32"/>
          <w:lang w:val="zh-CN" w:eastAsia="zh-CN" w:bidi="ar-SA"/>
        </w:rPr>
        <w:t>分，</w:t>
      </w:r>
      <w:r>
        <w:rPr>
          <w:rFonts w:hint="eastAsia" w:ascii="Times New Roman" w:hAnsi="Times New Roman" w:eastAsia="仿宋_GB2312" w:cs="Times New Roman"/>
          <w:color w:val="auto"/>
          <w:kern w:val="0"/>
          <w:sz w:val="32"/>
          <w:szCs w:val="32"/>
          <w:lang w:val="en-US" w:eastAsia="zh-CN" w:bidi="ar-SA"/>
        </w:rPr>
        <w:t>自评得分5.1分。人均资产变化率为8.9%小于州直行事业单位人均资产变化率得1.5分；办公家具超最低年限资产利用率为2.57%，办公设备超最低使用年限资产利用率为36.54%,得分0.6分；本单位两年均无闲置资产得3分。</w:t>
      </w:r>
    </w:p>
    <w:p w14:paraId="37C8DB81">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（5）采购管理。</w:t>
      </w:r>
      <w:r>
        <w:rPr>
          <w:rFonts w:hint="eastAsia" w:ascii="Times New Roman" w:hAnsi="Times New Roman" w:eastAsia="仿宋_GB2312" w:cs="Times New Roman"/>
          <w:color w:val="auto"/>
          <w:kern w:val="0"/>
          <w:sz w:val="32"/>
          <w:szCs w:val="32"/>
          <w:lang w:val="zh-CN" w:eastAsia="zh-CN" w:bidi="ar-SA"/>
        </w:rPr>
        <w:t>“目标制定”自评质量标总分</w:t>
      </w:r>
      <w:r>
        <w:rPr>
          <w:rFonts w:hint="eastAsia" w:ascii="Times New Roman" w:hAnsi="Times New Roman" w:eastAsia="仿宋_GB2312" w:cs="Times New Roman"/>
          <w:color w:val="auto"/>
          <w:kern w:val="0"/>
          <w:sz w:val="32"/>
          <w:szCs w:val="32"/>
          <w:lang w:val="en-US" w:eastAsia="zh-CN" w:bidi="ar-SA"/>
        </w:rPr>
        <w:t>6</w:t>
      </w:r>
      <w:r>
        <w:rPr>
          <w:rFonts w:hint="eastAsia" w:ascii="Times New Roman" w:hAnsi="Times New Roman" w:eastAsia="仿宋_GB2312" w:cs="Times New Roman"/>
          <w:color w:val="auto"/>
          <w:kern w:val="0"/>
          <w:sz w:val="32"/>
          <w:szCs w:val="32"/>
          <w:lang w:val="zh-CN" w:eastAsia="zh-CN" w:bidi="ar-SA"/>
        </w:rPr>
        <w:t>分，</w:t>
      </w:r>
      <w:r>
        <w:rPr>
          <w:rFonts w:hint="eastAsia" w:ascii="Times New Roman" w:hAnsi="Times New Roman" w:eastAsia="仿宋_GB2312" w:cs="Times New Roman"/>
          <w:color w:val="auto"/>
          <w:kern w:val="0"/>
          <w:sz w:val="32"/>
          <w:szCs w:val="32"/>
          <w:lang w:val="en-US" w:eastAsia="zh-CN" w:bidi="ar-SA"/>
        </w:rPr>
        <w:t>自评得分6分。我院2025年大力支持中小企业发展，在采购预算中单独列示；当年政府采购实际支付总金额÷（当年政府采购总预算数-当年已完成采购项目节约金额）×100%×3，且有节约资金，无扣分。</w:t>
      </w:r>
    </w:p>
    <w:p w14:paraId="7C7A5426">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default"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w:t>
      </w:r>
      <w:r>
        <w:rPr>
          <w:rFonts w:hint="eastAsia" w:ascii="Times New Roman" w:hAnsi="Times New Roman" w:eastAsia="仿宋_GB2312" w:cs="Times New Roman"/>
          <w:color w:val="auto"/>
          <w:kern w:val="0"/>
          <w:sz w:val="32"/>
          <w:szCs w:val="32"/>
          <w:lang w:val="en-US" w:eastAsia="zh-CN" w:bidi="ar-SA"/>
        </w:rPr>
        <w:t>二</w:t>
      </w:r>
      <w:r>
        <w:rPr>
          <w:rFonts w:hint="eastAsia" w:ascii="Times New Roman" w:hAnsi="Times New Roman" w:eastAsia="仿宋_GB2312" w:cs="Times New Roman"/>
          <w:color w:val="auto"/>
          <w:kern w:val="0"/>
          <w:sz w:val="32"/>
          <w:szCs w:val="32"/>
          <w:lang w:val="zh-CN" w:eastAsia="zh-CN" w:bidi="ar-SA"/>
        </w:rPr>
        <w:t>）</w:t>
      </w:r>
      <w:r>
        <w:rPr>
          <w:rFonts w:hint="default" w:ascii="Times New Roman" w:hAnsi="Times New Roman" w:eastAsia="仿宋_GB2312" w:cs="Times New Roman"/>
          <w:color w:val="auto"/>
          <w:kern w:val="0"/>
          <w:sz w:val="32"/>
          <w:szCs w:val="32"/>
          <w:lang w:val="zh-CN" w:eastAsia="zh-CN" w:bidi="ar-SA"/>
        </w:rPr>
        <w:t>部门预算项目绩效分析</w:t>
      </w:r>
    </w:p>
    <w:p w14:paraId="7E51099D">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 xml:space="preserve"> （1）项目决策。</w:t>
      </w:r>
      <w:r>
        <w:rPr>
          <w:rFonts w:hint="eastAsia" w:ascii="Times New Roman" w:hAnsi="Times New Roman" w:eastAsia="仿宋_GB2312" w:cs="Times New Roman"/>
          <w:color w:val="auto"/>
          <w:kern w:val="0"/>
          <w:sz w:val="32"/>
          <w:szCs w:val="32"/>
          <w:lang w:val="zh-CN" w:eastAsia="zh-CN" w:bidi="ar-SA"/>
        </w:rPr>
        <w:t>“目标制定”自评质量标总分</w:t>
      </w:r>
      <w:r>
        <w:rPr>
          <w:rFonts w:hint="eastAsia" w:ascii="Times New Roman" w:hAnsi="Times New Roman" w:eastAsia="仿宋_GB2312" w:cs="Times New Roman"/>
          <w:color w:val="auto"/>
          <w:kern w:val="0"/>
          <w:sz w:val="32"/>
          <w:szCs w:val="32"/>
          <w:lang w:val="en-US" w:eastAsia="zh-CN" w:bidi="ar-SA"/>
        </w:rPr>
        <w:t>12</w:t>
      </w:r>
      <w:r>
        <w:rPr>
          <w:rFonts w:hint="eastAsia" w:ascii="Times New Roman" w:hAnsi="Times New Roman" w:eastAsia="仿宋_GB2312" w:cs="Times New Roman"/>
          <w:color w:val="auto"/>
          <w:kern w:val="0"/>
          <w:sz w:val="32"/>
          <w:szCs w:val="32"/>
          <w:lang w:val="zh-CN" w:eastAsia="zh-CN" w:bidi="ar-SA"/>
        </w:rPr>
        <w:t>分，</w:t>
      </w:r>
      <w:r>
        <w:rPr>
          <w:rFonts w:hint="eastAsia" w:ascii="Times New Roman" w:hAnsi="Times New Roman" w:eastAsia="仿宋_GB2312" w:cs="Times New Roman"/>
          <w:color w:val="auto"/>
          <w:kern w:val="0"/>
          <w:sz w:val="32"/>
          <w:szCs w:val="32"/>
          <w:lang w:val="en-US" w:eastAsia="zh-CN" w:bidi="ar-SA"/>
        </w:rPr>
        <w:t>自评得分12分。2025年度我院转移支付资金项目按照资金使用用途即预期实现目标，在财政资金安排前进行绩效目标设置并按期完成项目入库工作。</w:t>
      </w:r>
    </w:p>
    <w:p w14:paraId="57EB188E">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转移支付资金项目是根据《中共中央转发&lt;中央政法委员会关于深化司法体制改革若干问题的意见&gt;的通知》（中发〔2008〕19号）、中共中央办公厅、国务院办公厅《关于加强政法经费保障工作的意见》（厅字〔2009〕32号）、财政部《关于印发&lt;政法经费分类保障办法（试行）&gt;的通知》、四川省财政厅《关于印发&lt;四川省政法经费分类保障实施细则（试行）&gt;的通知》确定。根据目标设定资金到位率、资金支付率、装备购置数量、装备购置验收合格率等三级指标，通过项目年度实施自评，项目达到预期效果。</w:t>
      </w:r>
    </w:p>
    <w:p w14:paraId="10629774">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en-US" w:eastAsia="zh-CN" w:bidi="ar-SA"/>
        </w:rPr>
        <w:t>（2）项目执行。“</w:t>
      </w:r>
      <w:r>
        <w:rPr>
          <w:rFonts w:hint="eastAsia" w:ascii="Times New Roman" w:hAnsi="Times New Roman" w:eastAsia="仿宋_GB2312" w:cs="Times New Roman"/>
          <w:color w:val="auto"/>
          <w:kern w:val="0"/>
          <w:sz w:val="32"/>
          <w:szCs w:val="32"/>
          <w:lang w:val="zh-CN" w:eastAsia="zh-CN" w:bidi="ar-SA"/>
        </w:rPr>
        <w:t>目标制定”自评质量标总分</w:t>
      </w:r>
      <w:r>
        <w:rPr>
          <w:rFonts w:hint="eastAsia" w:ascii="Times New Roman" w:hAnsi="Times New Roman" w:eastAsia="仿宋_GB2312" w:cs="Times New Roman"/>
          <w:color w:val="auto"/>
          <w:kern w:val="0"/>
          <w:sz w:val="32"/>
          <w:szCs w:val="32"/>
          <w:lang w:val="en-US" w:eastAsia="zh-CN" w:bidi="ar-SA"/>
        </w:rPr>
        <w:t>12</w:t>
      </w:r>
      <w:r>
        <w:rPr>
          <w:rFonts w:hint="eastAsia" w:ascii="Times New Roman" w:hAnsi="Times New Roman" w:eastAsia="仿宋_GB2312" w:cs="Times New Roman"/>
          <w:color w:val="auto"/>
          <w:kern w:val="0"/>
          <w:sz w:val="32"/>
          <w:szCs w:val="32"/>
          <w:lang w:val="zh-CN" w:eastAsia="zh-CN" w:bidi="ar-SA"/>
        </w:rPr>
        <w:t>分，</w:t>
      </w:r>
      <w:r>
        <w:rPr>
          <w:rFonts w:hint="eastAsia" w:ascii="Times New Roman" w:hAnsi="Times New Roman" w:eastAsia="仿宋_GB2312" w:cs="Times New Roman"/>
          <w:color w:val="auto"/>
          <w:kern w:val="0"/>
          <w:sz w:val="32"/>
          <w:szCs w:val="32"/>
          <w:lang w:val="en-US" w:eastAsia="zh-CN" w:bidi="ar-SA"/>
        </w:rPr>
        <w:t>自评得分12分。</w:t>
      </w:r>
      <w:r>
        <w:rPr>
          <w:rFonts w:hint="eastAsia" w:ascii="Times New Roman" w:hAnsi="Times New Roman" w:eastAsia="仿宋_GB2312" w:cs="Times New Roman"/>
          <w:color w:val="auto"/>
          <w:kern w:val="0"/>
          <w:sz w:val="32"/>
          <w:szCs w:val="32"/>
          <w:lang w:val="zh-CN" w:eastAsia="zh-CN" w:bidi="ar-SA"/>
        </w:rPr>
        <w:t>各项目在实施过程中资金到位率和支付均均满足设定目标，在实施过程中经费不足，及时作出调整向财政申请资金追加，最终顺利完成全年预期目标。各项目实施后其设定的社会效益指标和满意度指标均达预期，项目执行达预期目标。</w:t>
      </w:r>
    </w:p>
    <w:p w14:paraId="700AF28A">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en-US" w:eastAsia="zh-CN" w:bidi="ar-SA"/>
        </w:rPr>
        <w:t>（3）</w:t>
      </w:r>
      <w:r>
        <w:rPr>
          <w:rFonts w:hint="eastAsia" w:ascii="Times New Roman" w:hAnsi="Times New Roman" w:eastAsia="仿宋_GB2312" w:cs="Times New Roman"/>
          <w:color w:val="auto"/>
          <w:kern w:val="0"/>
          <w:sz w:val="32"/>
          <w:szCs w:val="32"/>
          <w:lang w:val="zh-CN" w:eastAsia="zh-CN" w:bidi="ar-SA"/>
        </w:rPr>
        <w:t>目标实现。</w:t>
      </w:r>
      <w:r>
        <w:rPr>
          <w:rFonts w:hint="eastAsia" w:ascii="Times New Roman" w:hAnsi="Times New Roman" w:eastAsia="仿宋_GB2312" w:cs="Times New Roman"/>
          <w:color w:val="auto"/>
          <w:kern w:val="0"/>
          <w:sz w:val="32"/>
          <w:szCs w:val="32"/>
          <w:lang w:val="en-US" w:eastAsia="zh-CN" w:bidi="ar-SA"/>
        </w:rPr>
        <w:t>“</w:t>
      </w:r>
      <w:r>
        <w:rPr>
          <w:rFonts w:hint="eastAsia" w:ascii="Times New Roman" w:hAnsi="Times New Roman" w:eastAsia="仿宋_GB2312" w:cs="Times New Roman"/>
          <w:color w:val="auto"/>
          <w:kern w:val="0"/>
          <w:sz w:val="32"/>
          <w:szCs w:val="32"/>
          <w:lang w:val="zh-CN" w:eastAsia="zh-CN" w:bidi="ar-SA"/>
        </w:rPr>
        <w:t>目标制定”自评质量标总分</w:t>
      </w:r>
      <w:r>
        <w:rPr>
          <w:rFonts w:hint="eastAsia" w:ascii="Times New Roman" w:hAnsi="Times New Roman" w:eastAsia="仿宋_GB2312" w:cs="Times New Roman"/>
          <w:color w:val="auto"/>
          <w:kern w:val="0"/>
          <w:sz w:val="32"/>
          <w:szCs w:val="32"/>
          <w:lang w:val="en-US" w:eastAsia="zh-CN" w:bidi="ar-SA"/>
        </w:rPr>
        <w:t>11</w:t>
      </w:r>
      <w:r>
        <w:rPr>
          <w:rFonts w:hint="eastAsia" w:ascii="Times New Roman" w:hAnsi="Times New Roman" w:eastAsia="仿宋_GB2312" w:cs="Times New Roman"/>
          <w:color w:val="auto"/>
          <w:kern w:val="0"/>
          <w:sz w:val="32"/>
          <w:szCs w:val="32"/>
          <w:lang w:val="zh-CN" w:eastAsia="zh-CN" w:bidi="ar-SA"/>
        </w:rPr>
        <w:t>分，</w:t>
      </w:r>
      <w:r>
        <w:rPr>
          <w:rFonts w:hint="eastAsia" w:ascii="Times New Roman" w:hAnsi="Times New Roman" w:eastAsia="仿宋_GB2312" w:cs="Times New Roman"/>
          <w:color w:val="auto"/>
          <w:kern w:val="0"/>
          <w:sz w:val="32"/>
          <w:szCs w:val="32"/>
          <w:lang w:val="en-US" w:eastAsia="zh-CN" w:bidi="ar-SA"/>
        </w:rPr>
        <w:t>自评得分11分。</w:t>
      </w:r>
      <w:r>
        <w:rPr>
          <w:rFonts w:hint="eastAsia" w:ascii="Times New Roman" w:hAnsi="Times New Roman" w:eastAsia="仿宋_GB2312" w:cs="Times New Roman"/>
          <w:color w:val="auto"/>
          <w:kern w:val="0"/>
          <w:sz w:val="32"/>
          <w:szCs w:val="32"/>
          <w:lang w:val="zh-CN" w:eastAsia="zh-CN" w:bidi="ar-SA"/>
        </w:rPr>
        <w:t>所有项目均顺利完成年初设定目标，未出现目标偏离情况，项目实施有效缓解当事人困难、提升检察干警工作积极性、保障检察设施设备提到提升，维护了社会和谐稳定，提升了社会满意度。</w:t>
      </w:r>
    </w:p>
    <w:p w14:paraId="5F46D732">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contextualSpacing/>
        <w:jc w:val="left"/>
        <w:textAlignment w:val="auto"/>
        <w:rPr>
          <w:rFonts w:hint="default"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 xml:space="preserve">    四、评价结论及建议</w:t>
      </w:r>
    </w:p>
    <w:p w14:paraId="7A43517C">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（一）评价结论。</w:t>
      </w:r>
    </w:p>
    <w:p w14:paraId="2331DCF3">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2025年，</w:t>
      </w:r>
      <w:r>
        <w:rPr>
          <w:rFonts w:hint="eastAsia" w:ascii="Times New Roman" w:hAnsi="Times New Roman" w:eastAsia="仿宋_GB2312" w:cs="Times New Roman"/>
          <w:color w:val="auto"/>
          <w:kern w:val="0"/>
          <w:sz w:val="32"/>
          <w:szCs w:val="32"/>
          <w:lang w:val="en-US" w:eastAsia="zh-CN" w:bidi="ar-SA"/>
        </w:rPr>
        <w:t>单位</w:t>
      </w:r>
      <w:r>
        <w:rPr>
          <w:rFonts w:hint="eastAsia" w:ascii="Times New Roman" w:hAnsi="Times New Roman" w:eastAsia="仿宋_GB2312" w:cs="Times New Roman"/>
          <w:color w:val="auto"/>
          <w:kern w:val="0"/>
          <w:sz w:val="32"/>
          <w:szCs w:val="32"/>
          <w:lang w:val="zh-CN" w:eastAsia="zh-CN" w:bidi="ar-SA"/>
        </w:rPr>
        <w:t>积极履行工作职责、强化内部管理、规范资金使用，较好地完成年度工作目标，高质高效保障</w:t>
      </w:r>
      <w:r>
        <w:rPr>
          <w:rFonts w:hint="eastAsia" w:ascii="Times New Roman" w:hAnsi="Times New Roman" w:eastAsia="仿宋_GB2312" w:cs="Times New Roman"/>
          <w:color w:val="auto"/>
          <w:kern w:val="0"/>
          <w:sz w:val="32"/>
          <w:szCs w:val="32"/>
          <w:lang w:val="en-US" w:eastAsia="zh-CN" w:bidi="ar-SA"/>
        </w:rPr>
        <w:t>单位</w:t>
      </w:r>
      <w:r>
        <w:rPr>
          <w:rFonts w:hint="eastAsia" w:ascii="Times New Roman" w:hAnsi="Times New Roman" w:eastAsia="仿宋_GB2312" w:cs="Times New Roman"/>
          <w:color w:val="auto"/>
          <w:kern w:val="0"/>
          <w:sz w:val="32"/>
          <w:szCs w:val="32"/>
          <w:lang w:val="zh-CN" w:eastAsia="zh-CN" w:bidi="ar-SA"/>
        </w:rPr>
        <w:t>各项重点工作有序</w:t>
      </w:r>
      <w:r>
        <w:rPr>
          <w:rFonts w:hint="eastAsia" w:ascii="Times New Roman" w:hAnsi="Times New Roman" w:eastAsia="仿宋_GB2312" w:cs="Times New Roman"/>
          <w:color w:val="auto"/>
          <w:kern w:val="0"/>
          <w:sz w:val="32"/>
          <w:szCs w:val="32"/>
          <w:lang w:val="en-US" w:eastAsia="zh-CN" w:bidi="ar-SA"/>
        </w:rPr>
        <w:t>实施</w:t>
      </w:r>
      <w:r>
        <w:rPr>
          <w:rFonts w:hint="eastAsia" w:ascii="Times New Roman" w:hAnsi="Times New Roman" w:eastAsia="仿宋_GB2312" w:cs="Times New Roman"/>
          <w:color w:val="auto"/>
          <w:kern w:val="0"/>
          <w:sz w:val="32"/>
          <w:szCs w:val="32"/>
          <w:lang w:val="zh-CN" w:eastAsia="zh-CN" w:bidi="ar-SA"/>
        </w:rPr>
        <w:t>完成。为落实好</w:t>
      </w:r>
      <w:r>
        <w:rPr>
          <w:rFonts w:hint="eastAsia" w:ascii="Times New Roman" w:hAnsi="Times New Roman" w:eastAsia="仿宋_GB2312" w:cs="Times New Roman"/>
          <w:color w:val="auto"/>
          <w:kern w:val="0"/>
          <w:sz w:val="32"/>
          <w:szCs w:val="32"/>
          <w:lang w:val="en-US" w:eastAsia="zh-CN" w:bidi="ar-SA"/>
        </w:rPr>
        <w:t>单位</w:t>
      </w:r>
      <w:r>
        <w:rPr>
          <w:rFonts w:hint="eastAsia" w:ascii="Times New Roman" w:hAnsi="Times New Roman" w:eastAsia="仿宋_GB2312" w:cs="Times New Roman"/>
          <w:color w:val="auto"/>
          <w:kern w:val="0"/>
          <w:sz w:val="32"/>
          <w:szCs w:val="32"/>
          <w:lang w:val="zh-CN" w:eastAsia="zh-CN" w:bidi="ar-SA"/>
        </w:rPr>
        <w:t>2025年部门整体支出绩效自评工作要求，根据阿坝州财政局《关于开展202</w:t>
      </w:r>
      <w:r>
        <w:rPr>
          <w:rFonts w:hint="eastAsia" w:ascii="Times New Roman" w:hAnsi="Times New Roman" w:eastAsia="仿宋_GB2312" w:cs="Times New Roman"/>
          <w:color w:val="auto"/>
          <w:kern w:val="0"/>
          <w:sz w:val="32"/>
          <w:szCs w:val="32"/>
          <w:lang w:val="en-US" w:eastAsia="zh-CN" w:bidi="ar-SA"/>
        </w:rPr>
        <w:t>6</w:t>
      </w:r>
      <w:r>
        <w:rPr>
          <w:rFonts w:hint="eastAsia" w:ascii="Times New Roman" w:hAnsi="Times New Roman" w:eastAsia="仿宋_GB2312" w:cs="Times New Roman"/>
          <w:color w:val="auto"/>
          <w:kern w:val="0"/>
          <w:sz w:val="32"/>
          <w:szCs w:val="32"/>
          <w:lang w:val="zh-CN" w:eastAsia="zh-CN" w:bidi="ar-SA"/>
        </w:rPr>
        <w:t>年</w:t>
      </w:r>
      <w:r>
        <w:rPr>
          <w:rFonts w:hint="eastAsia" w:ascii="Times New Roman" w:hAnsi="Times New Roman" w:eastAsia="仿宋_GB2312" w:cs="Times New Roman"/>
          <w:color w:val="auto"/>
          <w:kern w:val="0"/>
          <w:sz w:val="32"/>
          <w:szCs w:val="32"/>
          <w:lang w:val="en-US" w:eastAsia="zh-CN" w:bidi="ar-SA"/>
        </w:rPr>
        <w:t>财政重点</w:t>
      </w:r>
      <w:r>
        <w:rPr>
          <w:rFonts w:hint="eastAsia" w:ascii="Times New Roman" w:hAnsi="Times New Roman" w:eastAsia="仿宋_GB2312" w:cs="Times New Roman"/>
          <w:color w:val="auto"/>
          <w:kern w:val="0"/>
          <w:sz w:val="32"/>
          <w:szCs w:val="32"/>
          <w:lang w:val="zh-CN" w:eastAsia="zh-CN" w:bidi="ar-SA"/>
        </w:rPr>
        <w:t>绩效评价工作的通知》（</w:t>
      </w:r>
      <w:r>
        <w:rPr>
          <w:rFonts w:hint="eastAsia" w:ascii="Times New Roman" w:hAnsi="Times New Roman" w:eastAsia="仿宋_GB2312" w:cs="Times New Roman"/>
          <w:color w:val="auto"/>
          <w:kern w:val="0"/>
          <w:sz w:val="32"/>
          <w:szCs w:val="32"/>
          <w:lang w:val="en-US" w:eastAsia="zh-CN" w:bidi="ar-SA"/>
        </w:rPr>
        <w:t>阿州</w:t>
      </w:r>
      <w:r>
        <w:rPr>
          <w:rFonts w:hint="eastAsia" w:ascii="Times New Roman" w:hAnsi="Times New Roman" w:eastAsia="仿宋_GB2312" w:cs="Times New Roman"/>
          <w:color w:val="auto"/>
          <w:kern w:val="0"/>
          <w:sz w:val="32"/>
          <w:szCs w:val="32"/>
          <w:lang w:val="zh-CN" w:eastAsia="zh-CN" w:bidi="ar-SA"/>
        </w:rPr>
        <w:t>财监绩〔202</w:t>
      </w:r>
      <w:r>
        <w:rPr>
          <w:rFonts w:hint="eastAsia" w:ascii="Times New Roman" w:hAnsi="Times New Roman" w:eastAsia="仿宋_GB2312" w:cs="Times New Roman"/>
          <w:color w:val="auto"/>
          <w:kern w:val="0"/>
          <w:sz w:val="32"/>
          <w:szCs w:val="32"/>
          <w:lang w:val="en-US" w:eastAsia="zh-CN" w:bidi="ar-SA"/>
        </w:rPr>
        <w:t>6</w:t>
      </w:r>
      <w:r>
        <w:rPr>
          <w:rFonts w:hint="eastAsia" w:ascii="Times New Roman" w:hAnsi="Times New Roman" w:eastAsia="仿宋_GB2312" w:cs="Times New Roman"/>
          <w:color w:val="auto"/>
          <w:kern w:val="0"/>
          <w:sz w:val="32"/>
          <w:szCs w:val="32"/>
          <w:lang w:val="zh-CN" w:eastAsia="zh-CN" w:bidi="ar-SA"/>
        </w:rPr>
        <w:t>〕</w:t>
      </w:r>
      <w:r>
        <w:rPr>
          <w:rFonts w:hint="eastAsia" w:ascii="Times New Roman" w:hAnsi="Times New Roman" w:eastAsia="仿宋_GB2312" w:cs="Times New Roman"/>
          <w:color w:val="auto"/>
          <w:kern w:val="0"/>
          <w:sz w:val="32"/>
          <w:szCs w:val="32"/>
          <w:lang w:val="en-US" w:eastAsia="zh-CN" w:bidi="ar-SA"/>
        </w:rPr>
        <w:t>3</w:t>
      </w:r>
      <w:r>
        <w:rPr>
          <w:rFonts w:hint="eastAsia" w:ascii="Times New Roman" w:hAnsi="Times New Roman" w:eastAsia="仿宋_GB2312" w:cs="Times New Roman"/>
          <w:color w:val="auto"/>
          <w:kern w:val="0"/>
          <w:sz w:val="32"/>
          <w:szCs w:val="32"/>
          <w:lang w:val="zh-CN" w:eastAsia="zh-CN" w:bidi="ar-SA"/>
        </w:rPr>
        <w:t>号）文件精神，由我</w:t>
      </w:r>
      <w:r>
        <w:rPr>
          <w:rFonts w:hint="eastAsia" w:ascii="Times New Roman" w:hAnsi="Times New Roman" w:eastAsia="仿宋_GB2312" w:cs="Times New Roman"/>
          <w:color w:val="auto"/>
          <w:kern w:val="0"/>
          <w:sz w:val="32"/>
          <w:szCs w:val="32"/>
          <w:lang w:val="en-US" w:eastAsia="zh-CN" w:bidi="ar-SA"/>
        </w:rPr>
        <w:t>院</w:t>
      </w:r>
      <w:r>
        <w:rPr>
          <w:rFonts w:hint="eastAsia" w:ascii="Times New Roman" w:hAnsi="Times New Roman" w:eastAsia="仿宋_GB2312" w:cs="Times New Roman"/>
          <w:color w:val="auto"/>
          <w:kern w:val="0"/>
          <w:sz w:val="32"/>
          <w:szCs w:val="32"/>
          <w:lang w:val="zh-CN" w:eastAsia="zh-CN" w:bidi="ar-SA"/>
        </w:rPr>
        <w:t>主要领导统筹部署、财务人员牵头组织实施、各股室各责任岗位配合提供相关资料和数据信息，本着客观、真实、准确的原则开展自评工作。</w:t>
      </w:r>
    </w:p>
    <w:p w14:paraId="610A44BA">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经评价，2025年</w:t>
      </w:r>
      <w:r>
        <w:rPr>
          <w:rFonts w:hint="eastAsia" w:ascii="Times New Roman" w:hAnsi="Times New Roman" w:eastAsia="仿宋_GB2312" w:cs="Times New Roman"/>
          <w:color w:val="auto"/>
          <w:kern w:val="0"/>
          <w:sz w:val="32"/>
          <w:szCs w:val="32"/>
          <w:lang w:val="en-US" w:eastAsia="zh-CN" w:bidi="ar-SA"/>
        </w:rPr>
        <w:t>金川县人民检察院</w:t>
      </w:r>
      <w:r>
        <w:rPr>
          <w:rFonts w:hint="eastAsia" w:ascii="Times New Roman" w:hAnsi="Times New Roman" w:eastAsia="仿宋_GB2312" w:cs="Times New Roman"/>
          <w:color w:val="auto"/>
          <w:kern w:val="0"/>
          <w:sz w:val="32"/>
          <w:szCs w:val="32"/>
          <w:lang w:val="zh-CN" w:eastAsia="zh-CN" w:bidi="ar-SA"/>
        </w:rPr>
        <w:t>部门整体支出绩效自评得分</w:t>
      </w:r>
      <w:r>
        <w:rPr>
          <w:rFonts w:hint="eastAsia" w:ascii="Times New Roman" w:hAnsi="Times New Roman" w:eastAsia="仿宋_GB2312" w:cs="Times New Roman"/>
          <w:color w:val="auto"/>
          <w:kern w:val="0"/>
          <w:sz w:val="32"/>
          <w:szCs w:val="32"/>
          <w:lang w:val="en-US" w:eastAsia="zh-CN" w:bidi="ar-SA"/>
        </w:rPr>
        <w:t>90.12</w:t>
      </w:r>
      <w:r>
        <w:rPr>
          <w:rFonts w:hint="eastAsia" w:ascii="Times New Roman" w:hAnsi="Times New Roman" w:eastAsia="仿宋_GB2312" w:cs="Times New Roman"/>
          <w:color w:val="auto"/>
          <w:kern w:val="0"/>
          <w:sz w:val="32"/>
          <w:szCs w:val="32"/>
          <w:lang w:val="zh-CN" w:eastAsia="zh-CN" w:bidi="ar-SA"/>
        </w:rPr>
        <w:t>分。评分明细详见附件《</w:t>
      </w:r>
      <w:r>
        <w:rPr>
          <w:rFonts w:hint="eastAsia" w:ascii="Times New Roman" w:hAnsi="Times New Roman" w:eastAsia="仿宋_GB2312" w:cs="Times New Roman"/>
          <w:color w:val="auto"/>
          <w:kern w:val="0"/>
          <w:sz w:val="32"/>
          <w:szCs w:val="32"/>
          <w:lang w:val="en-US" w:eastAsia="zh-CN" w:bidi="ar-SA"/>
        </w:rPr>
        <w:t>2025年度</w:t>
      </w:r>
      <w:r>
        <w:rPr>
          <w:rFonts w:hint="eastAsia" w:ascii="Times New Roman" w:hAnsi="Times New Roman" w:eastAsia="仿宋_GB2312" w:cs="Times New Roman"/>
          <w:color w:val="auto"/>
          <w:kern w:val="0"/>
          <w:sz w:val="32"/>
          <w:szCs w:val="32"/>
          <w:lang w:val="zh-CN" w:eastAsia="zh-CN" w:bidi="ar-SA"/>
        </w:rPr>
        <w:t>部门整体支出绩效评价指标体系》。</w:t>
      </w:r>
    </w:p>
    <w:p w14:paraId="7140BAE2">
      <w:pPr>
        <w:keepNext w:val="0"/>
        <w:keepLines w:val="0"/>
        <w:pageBreakBefore w:val="0"/>
        <w:widowControl/>
        <w:numPr>
          <w:ilvl w:val="0"/>
          <w:numId w:val="4"/>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en-US" w:eastAsia="zh-CN" w:bidi="ar-SA"/>
        </w:rPr>
      </w:pPr>
      <w:r>
        <w:rPr>
          <w:rFonts w:hint="eastAsia" w:ascii="Times New Roman" w:hAnsi="Times New Roman" w:eastAsia="仿宋_GB2312" w:cs="Times New Roman"/>
          <w:color w:val="auto"/>
          <w:kern w:val="0"/>
          <w:sz w:val="32"/>
          <w:szCs w:val="32"/>
          <w:lang w:val="en-US" w:eastAsia="zh-CN" w:bidi="ar-SA"/>
        </w:rPr>
        <w:t>存在问题</w:t>
      </w:r>
    </w:p>
    <w:p w14:paraId="56C3AE2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ab/>
      </w:r>
      <w:r>
        <w:rPr>
          <w:rFonts w:hint="eastAsia" w:ascii="Times New Roman" w:hAnsi="Times New Roman" w:eastAsia="仿宋_GB2312" w:cs="Times New Roman"/>
          <w:color w:val="auto"/>
          <w:kern w:val="0"/>
          <w:sz w:val="32"/>
          <w:szCs w:val="32"/>
          <w:lang w:val="en-US" w:eastAsia="zh-CN" w:bidi="ar-SA"/>
        </w:rPr>
        <w:t>一是部分项目上半年预算执行进度缓慢，项目负责人关注项目实施进展，不重视项目资金支付进度。二是特定项目资金下拨时间不确定，一定程度上影响单位预算整体安排，导致资金下拨后不能及时有效使用，影响整体支付进度。</w:t>
      </w:r>
    </w:p>
    <w:p w14:paraId="46A70248">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eastAsia"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w:t>
      </w:r>
      <w:r>
        <w:rPr>
          <w:rFonts w:hint="eastAsia" w:ascii="Times New Roman" w:hAnsi="Times New Roman" w:eastAsia="仿宋_GB2312" w:cs="Times New Roman"/>
          <w:color w:val="auto"/>
          <w:kern w:val="0"/>
          <w:sz w:val="32"/>
          <w:szCs w:val="32"/>
          <w:lang w:val="en-US" w:eastAsia="zh-CN" w:bidi="ar-SA"/>
        </w:rPr>
        <w:t>三</w:t>
      </w:r>
      <w:r>
        <w:rPr>
          <w:rFonts w:hint="eastAsia" w:ascii="Times New Roman" w:hAnsi="Times New Roman" w:eastAsia="仿宋_GB2312" w:cs="Times New Roman"/>
          <w:color w:val="auto"/>
          <w:kern w:val="0"/>
          <w:sz w:val="32"/>
          <w:szCs w:val="32"/>
          <w:lang w:val="zh-CN" w:eastAsia="zh-CN" w:bidi="ar-SA"/>
        </w:rPr>
        <w:t>）改进建议。</w:t>
      </w:r>
    </w:p>
    <w:p w14:paraId="11D2509F">
      <w:pPr>
        <w:keepNext w:val="0"/>
        <w:keepLines w:val="0"/>
        <w:pageBreakBefore w:val="0"/>
        <w:widowControl/>
        <w:numPr>
          <w:ilvl w:val="0"/>
          <w:numId w:val="0"/>
        </w:numPr>
        <w:kinsoku/>
        <w:wordWrap/>
        <w:overflowPunct/>
        <w:topLinePunct w:val="0"/>
        <w:autoSpaceDE/>
        <w:autoSpaceDN/>
        <w:bidi w:val="0"/>
        <w:adjustRightInd w:val="0"/>
        <w:snapToGrid w:val="0"/>
        <w:spacing w:line="580" w:lineRule="exact"/>
        <w:ind w:firstLine="640" w:firstLineChars="200"/>
        <w:contextualSpacing/>
        <w:jc w:val="left"/>
        <w:textAlignment w:val="auto"/>
        <w:rPr>
          <w:rFonts w:hint="default" w:ascii="Times New Roman" w:hAnsi="Times New Roman" w:eastAsia="仿宋_GB2312" w:cs="Times New Roman"/>
          <w:color w:val="auto"/>
          <w:kern w:val="0"/>
          <w:sz w:val="32"/>
          <w:szCs w:val="32"/>
          <w:lang w:val="zh-CN" w:eastAsia="zh-CN" w:bidi="ar-SA"/>
        </w:rPr>
      </w:pPr>
      <w:r>
        <w:rPr>
          <w:rFonts w:hint="eastAsia" w:ascii="Times New Roman" w:hAnsi="Times New Roman" w:eastAsia="仿宋_GB2312" w:cs="Times New Roman"/>
          <w:color w:val="auto"/>
          <w:kern w:val="0"/>
          <w:sz w:val="32"/>
          <w:szCs w:val="32"/>
          <w:lang w:val="zh-CN" w:eastAsia="zh-CN" w:bidi="ar-SA"/>
        </w:rPr>
        <w:t>在下</w:t>
      </w:r>
      <w:r>
        <w:rPr>
          <w:rFonts w:hint="eastAsia" w:ascii="Times New Roman" w:hAnsi="Times New Roman" w:eastAsia="仿宋_GB2312" w:cs="Times New Roman"/>
          <w:color w:val="auto"/>
          <w:kern w:val="0"/>
          <w:sz w:val="32"/>
          <w:szCs w:val="32"/>
          <w:lang w:val="en-US" w:eastAsia="zh-CN" w:bidi="ar-SA"/>
        </w:rPr>
        <w:t>一</w:t>
      </w:r>
      <w:r>
        <w:rPr>
          <w:rFonts w:hint="eastAsia" w:ascii="Times New Roman" w:hAnsi="Times New Roman" w:eastAsia="仿宋_GB2312" w:cs="Times New Roman"/>
          <w:color w:val="auto"/>
          <w:kern w:val="0"/>
          <w:sz w:val="32"/>
          <w:szCs w:val="32"/>
          <w:lang w:val="zh-CN" w:eastAsia="zh-CN" w:bidi="ar-SA"/>
        </w:rPr>
        <w:t>步工作中，将进一步提升预算编制的准确性。编制</w:t>
      </w:r>
      <w:r>
        <w:rPr>
          <w:rFonts w:hint="eastAsia" w:ascii="Times New Roman" w:hAnsi="Times New Roman" w:eastAsia="仿宋_GB2312" w:cs="Times New Roman"/>
          <w:color w:val="auto"/>
          <w:kern w:val="0"/>
          <w:sz w:val="32"/>
          <w:szCs w:val="32"/>
          <w:lang w:val="en-US" w:eastAsia="zh-CN" w:bidi="ar-SA"/>
        </w:rPr>
        <w:t>单位</w:t>
      </w:r>
      <w:r>
        <w:rPr>
          <w:rFonts w:hint="eastAsia" w:ascii="Times New Roman" w:hAnsi="Times New Roman" w:eastAsia="仿宋_GB2312" w:cs="Times New Roman"/>
          <w:color w:val="auto"/>
          <w:kern w:val="0"/>
          <w:sz w:val="32"/>
          <w:szCs w:val="32"/>
          <w:lang w:val="zh-CN" w:eastAsia="zh-CN" w:bidi="ar-SA"/>
        </w:rPr>
        <w:t>预算时，应根据工作需要提出</w:t>
      </w:r>
      <w:r>
        <w:rPr>
          <w:rFonts w:hint="eastAsia" w:ascii="Times New Roman" w:hAnsi="Times New Roman" w:eastAsia="仿宋_GB2312" w:cs="Times New Roman"/>
          <w:color w:val="auto"/>
          <w:kern w:val="0"/>
          <w:sz w:val="32"/>
          <w:szCs w:val="32"/>
          <w:lang w:val="en-US" w:eastAsia="zh-CN" w:bidi="ar-SA"/>
        </w:rPr>
        <w:t>经费</w:t>
      </w:r>
      <w:r>
        <w:rPr>
          <w:rFonts w:hint="eastAsia" w:ascii="Times New Roman" w:hAnsi="Times New Roman" w:eastAsia="仿宋_GB2312" w:cs="Times New Roman"/>
          <w:color w:val="auto"/>
          <w:kern w:val="0"/>
          <w:sz w:val="32"/>
          <w:szCs w:val="32"/>
          <w:lang w:val="zh-CN" w:eastAsia="zh-CN" w:bidi="ar-SA"/>
        </w:rPr>
        <w:t>需求，同时根据经费总量、</w:t>
      </w:r>
      <w:r>
        <w:rPr>
          <w:rFonts w:hint="eastAsia" w:ascii="Times New Roman" w:hAnsi="Times New Roman" w:eastAsia="仿宋_GB2312" w:cs="Times New Roman"/>
          <w:color w:val="auto"/>
          <w:kern w:val="0"/>
          <w:sz w:val="32"/>
          <w:szCs w:val="32"/>
          <w:lang w:val="en-US" w:eastAsia="zh-CN" w:bidi="ar-SA"/>
        </w:rPr>
        <w:t>收支</w:t>
      </w:r>
      <w:r>
        <w:rPr>
          <w:rFonts w:hint="eastAsia" w:ascii="Times New Roman" w:hAnsi="Times New Roman" w:eastAsia="仿宋_GB2312" w:cs="Times New Roman"/>
          <w:color w:val="auto"/>
          <w:kern w:val="0"/>
          <w:sz w:val="32"/>
          <w:szCs w:val="32"/>
          <w:lang w:val="zh-CN" w:eastAsia="zh-CN" w:bidi="ar-SA"/>
        </w:rPr>
        <w:t>标准、编配标准等因素进行平衡，预算编制、政府采购、资产管理、</w:t>
      </w:r>
      <w:r>
        <w:rPr>
          <w:rFonts w:hint="eastAsia" w:ascii="Times New Roman" w:hAnsi="Times New Roman" w:eastAsia="仿宋_GB2312" w:cs="Times New Roman"/>
          <w:color w:val="auto"/>
          <w:kern w:val="0"/>
          <w:sz w:val="32"/>
          <w:szCs w:val="32"/>
          <w:lang w:val="en-US" w:eastAsia="zh-CN" w:bidi="ar-SA"/>
        </w:rPr>
        <w:t>业务部门</w:t>
      </w:r>
      <w:r>
        <w:rPr>
          <w:rFonts w:hint="eastAsia" w:ascii="Times New Roman" w:hAnsi="Times New Roman" w:eastAsia="仿宋_GB2312" w:cs="Times New Roman"/>
          <w:color w:val="auto"/>
          <w:kern w:val="0"/>
          <w:sz w:val="32"/>
          <w:szCs w:val="32"/>
          <w:lang w:val="zh-CN" w:eastAsia="zh-CN" w:bidi="ar-SA"/>
        </w:rPr>
        <w:t>等</w:t>
      </w:r>
      <w:r>
        <w:rPr>
          <w:rFonts w:hint="eastAsia" w:ascii="Times New Roman" w:hAnsi="Times New Roman" w:eastAsia="仿宋_GB2312" w:cs="Times New Roman"/>
          <w:color w:val="auto"/>
          <w:kern w:val="0"/>
          <w:sz w:val="32"/>
          <w:szCs w:val="32"/>
          <w:lang w:val="en-US" w:eastAsia="zh-CN" w:bidi="ar-SA"/>
        </w:rPr>
        <w:t>相关预算</w:t>
      </w:r>
      <w:r>
        <w:rPr>
          <w:rFonts w:hint="eastAsia" w:ascii="Times New Roman" w:hAnsi="Times New Roman" w:eastAsia="仿宋_GB2312" w:cs="Times New Roman"/>
          <w:color w:val="auto"/>
          <w:kern w:val="0"/>
          <w:sz w:val="32"/>
          <w:szCs w:val="32"/>
          <w:lang w:val="zh-CN" w:eastAsia="zh-CN" w:bidi="ar-SA"/>
        </w:rPr>
        <w:t>岗位之间应密切沟通协调，使预算能满足各项业务工作计划的需要，和编配标准相适应。</w:t>
      </w:r>
      <w:r>
        <w:rPr>
          <w:rFonts w:hint="eastAsia" w:ascii="Times New Roman" w:hAnsi="Times New Roman" w:eastAsia="仿宋_GB2312" w:cs="Times New Roman"/>
          <w:color w:val="auto"/>
          <w:kern w:val="0"/>
          <w:sz w:val="32"/>
          <w:szCs w:val="32"/>
          <w:lang w:val="en-US" w:eastAsia="zh-CN" w:bidi="ar-SA"/>
        </w:rPr>
        <w:t>同时，严格落实预算绩效管理要求，</w:t>
      </w:r>
      <w:r>
        <w:rPr>
          <w:rFonts w:hint="eastAsia" w:ascii="Times New Roman" w:hAnsi="Times New Roman" w:eastAsia="仿宋_GB2312" w:cs="Times New Roman"/>
          <w:color w:val="auto"/>
          <w:kern w:val="0"/>
          <w:sz w:val="32"/>
          <w:szCs w:val="32"/>
          <w:lang w:val="zh-CN" w:eastAsia="zh-CN" w:bidi="ar-SA"/>
        </w:rPr>
        <w:t>进一步强化绩效管理理念，夯实基础工作，加强前期调研与论证，结合项目业务特点或借鉴学习先进可行的绩效目标操作管理方法，提高绩效目标填报水平、预算执行有效性、绩效自评质量、绩效结果应用等。</w:t>
      </w:r>
    </w:p>
    <w:p w14:paraId="1DAD1324">
      <w:pPr>
        <w:pStyle w:val="2"/>
        <w:rPr>
          <w:rFonts w:hint="eastAsia" w:ascii="Times New Roman" w:hAnsi="Times New Roman" w:eastAsia="仿宋_GB2312" w:cs="Times New Roman"/>
          <w:color w:val="auto"/>
          <w:kern w:val="0"/>
          <w:sz w:val="32"/>
          <w:szCs w:val="32"/>
          <w:lang w:val="zh-CN" w:eastAsia="zh-CN" w:bidi="ar-SA"/>
        </w:rPr>
      </w:pPr>
    </w:p>
    <w:p w14:paraId="666D1727">
      <w:pPr>
        <w:pStyle w:val="3"/>
        <w:rPr>
          <w:rFonts w:hint="eastAsia" w:ascii="Times New Roman" w:hAnsi="Times New Roman" w:eastAsia="仿宋_GB2312" w:cs="Times New Roman"/>
          <w:color w:val="auto"/>
          <w:kern w:val="0"/>
          <w:sz w:val="32"/>
          <w:szCs w:val="32"/>
          <w:lang w:val="zh-CN" w:eastAsia="zh-CN" w:bidi="ar-SA"/>
        </w:rPr>
      </w:pPr>
    </w:p>
    <w:p w14:paraId="4FC68676">
      <w:pPr>
        <w:pStyle w:val="8"/>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tbl>
      <w:tblPr>
        <w:tblStyle w:val="16"/>
        <w:tblW w:w="83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40"/>
        <w:gridCol w:w="803"/>
        <w:gridCol w:w="59"/>
        <w:gridCol w:w="637"/>
        <w:gridCol w:w="1209"/>
        <w:gridCol w:w="387"/>
        <w:gridCol w:w="934"/>
        <w:gridCol w:w="890"/>
        <w:gridCol w:w="1"/>
        <w:gridCol w:w="153"/>
        <w:gridCol w:w="732"/>
        <w:gridCol w:w="659"/>
        <w:gridCol w:w="1232"/>
      </w:tblGrid>
      <w:tr w14:paraId="55162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125" w:hRule="atLeast"/>
        </w:trPr>
        <w:tc>
          <w:tcPr>
            <w:tcW w:w="8336" w:type="dxa"/>
            <w:gridSpan w:val="13"/>
            <w:shd w:val="clear" w:color="auto" w:fill="auto"/>
            <w:vAlign w:val="bottom"/>
          </w:tcPr>
          <w:p w14:paraId="74FA0226">
            <w:pPr>
              <w:keepNext w:val="0"/>
              <w:keepLines w:val="0"/>
              <w:widowControl/>
              <w:suppressLineNumbers w:val="0"/>
              <w:jc w:val="center"/>
              <w:textAlignment w:val="bottom"/>
              <w:rPr>
                <w:rFonts w:hint="eastAsia" w:ascii="宋体" w:hAnsi="宋体" w:eastAsia="宋体" w:cs="宋体"/>
                <w:b/>
                <w:i w:val="0"/>
                <w:color w:val="000000"/>
                <w:sz w:val="30"/>
                <w:szCs w:val="30"/>
                <w:u w:val="none"/>
              </w:rPr>
            </w:pPr>
            <w:r>
              <w:rPr>
                <w:rFonts w:hint="eastAsia" w:ascii="宋体" w:hAnsi="宋体" w:eastAsia="宋体" w:cs="宋体"/>
                <w:b/>
                <w:i w:val="0"/>
                <w:color w:val="000000"/>
                <w:kern w:val="0"/>
                <w:sz w:val="30"/>
                <w:szCs w:val="30"/>
                <w:u w:val="none"/>
                <w:lang w:val="en-US" w:eastAsia="zh-CN" w:bidi="ar"/>
              </w:rPr>
              <w:t>2025年度部门整体绩效目标</w:t>
            </w:r>
          </w:p>
        </w:tc>
      </w:tr>
      <w:tr w14:paraId="503F1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40" w:hRule="atLeast"/>
        </w:trPr>
        <w:tc>
          <w:tcPr>
            <w:tcW w:w="640" w:type="dxa"/>
            <w:shd w:val="clear" w:color="auto" w:fill="auto"/>
            <w:vAlign w:val="bottom"/>
          </w:tcPr>
          <w:p w14:paraId="0181BEAC">
            <w:pPr>
              <w:keepNext w:val="0"/>
              <w:keepLines w:val="0"/>
              <w:widowControl/>
              <w:suppressLineNumbers w:val="0"/>
              <w:jc w:val="left"/>
              <w:textAlignment w:val="bottom"/>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部门名称：</w:t>
            </w:r>
          </w:p>
        </w:tc>
        <w:tc>
          <w:tcPr>
            <w:tcW w:w="4919" w:type="dxa"/>
            <w:gridSpan w:val="7"/>
            <w:shd w:val="clear" w:color="auto" w:fill="auto"/>
            <w:vAlign w:val="bottom"/>
          </w:tcPr>
          <w:p w14:paraId="5D6273CB">
            <w:pPr>
              <w:keepNext w:val="0"/>
              <w:keepLines w:val="0"/>
              <w:widowControl/>
              <w:suppressLineNumbers w:val="0"/>
              <w:jc w:val="left"/>
              <w:textAlignment w:val="bottom"/>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金川县人民检察院部门</w:t>
            </w:r>
          </w:p>
        </w:tc>
        <w:tc>
          <w:tcPr>
            <w:tcW w:w="154" w:type="dxa"/>
            <w:gridSpan w:val="2"/>
            <w:shd w:val="clear" w:color="auto" w:fill="auto"/>
            <w:vAlign w:val="center"/>
          </w:tcPr>
          <w:p w14:paraId="35BB892B">
            <w:pPr>
              <w:rPr>
                <w:rFonts w:hint="eastAsia" w:ascii="黑体" w:hAnsi="黑体" w:eastAsia="黑体" w:cs="黑体"/>
                <w:i w:val="0"/>
                <w:color w:val="000000"/>
                <w:sz w:val="18"/>
                <w:szCs w:val="18"/>
                <w:u w:val="none"/>
              </w:rPr>
            </w:pPr>
          </w:p>
        </w:tc>
        <w:tc>
          <w:tcPr>
            <w:tcW w:w="1391" w:type="dxa"/>
            <w:gridSpan w:val="2"/>
            <w:shd w:val="clear" w:color="auto" w:fill="auto"/>
            <w:vAlign w:val="center"/>
          </w:tcPr>
          <w:p w14:paraId="29F96950">
            <w:pPr>
              <w:rPr>
                <w:rFonts w:hint="eastAsia" w:ascii="黑体" w:hAnsi="黑体" w:eastAsia="黑体" w:cs="黑体"/>
                <w:i w:val="0"/>
                <w:color w:val="000000"/>
                <w:sz w:val="18"/>
                <w:szCs w:val="18"/>
                <w:u w:val="none"/>
              </w:rPr>
            </w:pPr>
          </w:p>
        </w:tc>
        <w:tc>
          <w:tcPr>
            <w:tcW w:w="1232" w:type="dxa"/>
            <w:shd w:val="clear" w:color="auto" w:fill="auto"/>
            <w:vAlign w:val="bottom"/>
          </w:tcPr>
          <w:p w14:paraId="7F75605D">
            <w:pPr>
              <w:keepNext w:val="0"/>
              <w:keepLines w:val="0"/>
              <w:widowControl/>
              <w:suppressLineNumbers w:val="0"/>
              <w:jc w:val="right"/>
              <w:textAlignment w:val="bottom"/>
              <w:rPr>
                <w:rFonts w:ascii="宋体" w:hAnsi="宋体" w:eastAsia="宋体" w:cs="宋体"/>
                <w:i w:val="0"/>
                <w:color w:val="000000"/>
                <w:sz w:val="16"/>
                <w:szCs w:val="16"/>
                <w:u w:val="none"/>
              </w:rPr>
            </w:pPr>
            <w:r>
              <w:rPr>
                <w:rFonts w:ascii="宋体" w:hAnsi="宋体" w:eastAsia="宋体" w:cs="宋体"/>
                <w:i w:val="0"/>
                <w:color w:val="000000"/>
                <w:kern w:val="0"/>
                <w:sz w:val="16"/>
                <w:szCs w:val="16"/>
                <w:u w:val="none"/>
                <w:lang w:val="en-US" w:eastAsia="zh-CN" w:bidi="ar"/>
              </w:rPr>
              <w:t>单位：万元</w:t>
            </w:r>
          </w:p>
        </w:tc>
      </w:tr>
      <w:tr w14:paraId="6B3D3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55" w:hRule="atLeast"/>
        </w:trPr>
        <w:tc>
          <w:tcPr>
            <w:tcW w:w="14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46679D">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年度部门整体预算</w:t>
            </w:r>
          </w:p>
        </w:tc>
        <w:tc>
          <w:tcPr>
            <w:tcW w:w="22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F64926">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资金总额</w:t>
            </w:r>
          </w:p>
        </w:tc>
        <w:tc>
          <w:tcPr>
            <w:tcW w:w="19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BD6277">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财政拨款</w:t>
            </w:r>
          </w:p>
        </w:tc>
        <w:tc>
          <w:tcPr>
            <w:tcW w:w="26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586778">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其他资金</w:t>
            </w:r>
          </w:p>
        </w:tc>
      </w:tr>
      <w:tr w14:paraId="09489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55" w:hRule="atLeast"/>
        </w:trPr>
        <w:tc>
          <w:tcPr>
            <w:tcW w:w="14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B8E439">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收入预算</w:t>
            </w:r>
          </w:p>
        </w:tc>
        <w:tc>
          <w:tcPr>
            <w:tcW w:w="22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F1C280">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620.58</w:t>
            </w:r>
          </w:p>
        </w:tc>
        <w:tc>
          <w:tcPr>
            <w:tcW w:w="19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4ED2179">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620.58</w:t>
            </w:r>
          </w:p>
        </w:tc>
        <w:tc>
          <w:tcPr>
            <w:tcW w:w="26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40EE37">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r>
      <w:tr w14:paraId="1635A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55" w:hRule="atLeast"/>
        </w:trPr>
        <w:tc>
          <w:tcPr>
            <w:tcW w:w="14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222C2D">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支出预算</w:t>
            </w:r>
          </w:p>
        </w:tc>
        <w:tc>
          <w:tcPr>
            <w:tcW w:w="2292"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C4F562">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620.58</w:t>
            </w:r>
          </w:p>
        </w:tc>
        <w:tc>
          <w:tcPr>
            <w:tcW w:w="1978"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82CB35">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620.58</w:t>
            </w:r>
          </w:p>
        </w:tc>
        <w:tc>
          <w:tcPr>
            <w:tcW w:w="26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FC7286">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0.00</w:t>
            </w:r>
          </w:p>
        </w:tc>
      </w:tr>
      <w:tr w14:paraId="7CE2B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00" w:hRule="atLeast"/>
        </w:trPr>
        <w:tc>
          <w:tcPr>
            <w:tcW w:w="144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67CB8">
            <w:pPr>
              <w:keepNext w:val="0"/>
              <w:keepLines w:val="0"/>
              <w:widowControl/>
              <w:suppressLineNumbers w:val="0"/>
              <w:jc w:val="center"/>
              <w:textAlignment w:val="center"/>
              <w:rPr>
                <w:rFonts w:ascii="宋体" w:hAnsi="宋体" w:eastAsia="宋体" w:cs="宋体"/>
                <w:b/>
                <w:i w:val="0"/>
                <w:color w:val="000000"/>
                <w:sz w:val="18"/>
                <w:szCs w:val="18"/>
                <w:u w:val="none"/>
              </w:rPr>
            </w:pPr>
            <w:r>
              <w:rPr>
                <w:rFonts w:ascii="宋体" w:hAnsi="宋体" w:eastAsia="宋体" w:cs="宋体"/>
                <w:b/>
                <w:i w:val="0"/>
                <w:color w:val="000000"/>
                <w:kern w:val="0"/>
                <w:sz w:val="18"/>
                <w:szCs w:val="18"/>
                <w:u w:val="none"/>
                <w:lang w:val="en-US" w:eastAsia="zh-CN" w:bidi="ar"/>
              </w:rPr>
              <w:t>年度总体目标</w:t>
            </w:r>
          </w:p>
        </w:tc>
        <w:tc>
          <w:tcPr>
            <w:tcW w:w="6893"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1F342CF">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负责对刑事犯罪案件依法审查批准逮捕、决定逮捕、提起公益诉讼；依法对本县民事和行政案件审批活动进行法律监督；依法对执行机关执行刑罚的活动和监管活动是否合法实行监督；对本县人民法院作出的已发生法律效力、但确有错误的判决和裁定、依法提出抗诉。受理公民控告、申诉和检举；办理刑事赔偿事项；受理对贪污贿赂等犯罪的举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二、符合批准逮捕条件的，作出逮捕决定，不符合逮捕的作出不批捕的决定，不符合逮捕作出的不批捕决定。</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三、负责对本县检察干部进行培训、表彰奖励、查办违法乱纪案件、巡视工作、印刷、业务报刊、人民监督员工作、保密工作等综合管理事务。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四、对涉访涉诉及案件当事人进行救济及救助。</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五、保障我院聘用制书记员工资发放。</w:t>
            </w:r>
          </w:p>
        </w:tc>
      </w:tr>
      <w:tr w14:paraId="436E3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25" w:hRule="atLeast"/>
        </w:trPr>
        <w:tc>
          <w:tcPr>
            <w:tcW w:w="833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5F63F935">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管理效率</w:t>
            </w:r>
          </w:p>
        </w:tc>
      </w:tr>
      <w:tr w14:paraId="6872F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C241C5">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86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BA6F9">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01FD7C">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120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8F72A7">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三级指标</w:t>
            </w:r>
          </w:p>
        </w:tc>
        <w:tc>
          <w:tcPr>
            <w:tcW w:w="132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67EAE7">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指标值</w:t>
            </w:r>
          </w:p>
        </w:tc>
        <w:tc>
          <w:tcPr>
            <w:tcW w:w="36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60078E1">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指标参考值</w:t>
            </w:r>
          </w:p>
        </w:tc>
      </w:tr>
      <w:tr w14:paraId="0CDE3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842F5">
            <w:pPr>
              <w:jc w:val="center"/>
              <w:rPr>
                <w:rFonts w:hint="eastAsia" w:ascii="宋体" w:hAnsi="宋体" w:eastAsia="宋体" w:cs="宋体"/>
                <w:b/>
                <w:i w:val="0"/>
                <w:color w:val="000000"/>
                <w:sz w:val="18"/>
                <w:szCs w:val="18"/>
                <w:u w:val="none"/>
              </w:rPr>
            </w:pPr>
          </w:p>
        </w:tc>
        <w:tc>
          <w:tcPr>
            <w:tcW w:w="86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34EB8">
            <w:pPr>
              <w:jc w:val="center"/>
              <w:rPr>
                <w:rFonts w:hint="eastAsia" w:ascii="宋体" w:hAnsi="宋体" w:eastAsia="宋体" w:cs="宋体"/>
                <w:b/>
                <w:i w:val="0"/>
                <w:color w:val="000000"/>
                <w:sz w:val="18"/>
                <w:szCs w:val="18"/>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185B3">
            <w:pPr>
              <w:jc w:val="center"/>
              <w:rPr>
                <w:rFonts w:hint="eastAsia" w:ascii="宋体" w:hAnsi="宋体" w:eastAsia="宋体" w:cs="宋体"/>
                <w:b/>
                <w:i w:val="0"/>
                <w:color w:val="000000"/>
                <w:sz w:val="18"/>
                <w:szCs w:val="18"/>
                <w:u w:val="none"/>
              </w:rPr>
            </w:pPr>
          </w:p>
        </w:tc>
        <w:tc>
          <w:tcPr>
            <w:tcW w:w="120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16759">
            <w:pPr>
              <w:jc w:val="center"/>
              <w:rPr>
                <w:rFonts w:hint="eastAsia" w:ascii="宋体" w:hAnsi="宋体" w:eastAsia="宋体" w:cs="宋体"/>
                <w:b/>
                <w:i w:val="0"/>
                <w:color w:val="000000"/>
                <w:sz w:val="18"/>
                <w:szCs w:val="18"/>
                <w:u w:val="none"/>
              </w:rPr>
            </w:pPr>
          </w:p>
        </w:tc>
        <w:tc>
          <w:tcPr>
            <w:tcW w:w="132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05876">
            <w:pPr>
              <w:jc w:val="center"/>
              <w:rPr>
                <w:rFonts w:hint="eastAsia" w:ascii="宋体" w:hAnsi="宋体" w:eastAsia="宋体" w:cs="宋体"/>
                <w:b/>
                <w:i w:val="0"/>
                <w:color w:val="000000"/>
                <w:sz w:val="18"/>
                <w:szCs w:val="18"/>
                <w:u w:val="none"/>
              </w:rPr>
            </w:pPr>
          </w:p>
        </w:tc>
        <w:tc>
          <w:tcPr>
            <w:tcW w:w="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CFFE65">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三年均值</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CA393A">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2022</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F13C5">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2023</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B5E8">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2024</w:t>
            </w:r>
          </w:p>
        </w:tc>
      </w:tr>
      <w:tr w14:paraId="48BD1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6E401">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DB7C08">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0B49">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17EB6">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财政拨款预算偏离度</w:t>
            </w:r>
          </w:p>
        </w:tc>
        <w:tc>
          <w:tcPr>
            <w:tcW w:w="13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F57C40">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AB0F6B">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14.70%</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417F5D">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7.11%</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8EB71">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0.16%</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814B">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36.82%</w:t>
            </w:r>
          </w:p>
        </w:tc>
      </w:tr>
      <w:tr w14:paraId="1BAF3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349EF">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0C0B32">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F1AC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AD4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预算年终结余率</w:t>
            </w:r>
          </w:p>
        </w:tc>
        <w:tc>
          <w:tcPr>
            <w:tcW w:w="13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97CE57">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w:t>
            </w:r>
          </w:p>
        </w:tc>
        <w:tc>
          <w:tcPr>
            <w:tcW w:w="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43A443">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36.14%</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E42CB1">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38.63%</w:t>
            </w: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23A7">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38.69%</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2E747">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31.1%</w:t>
            </w:r>
          </w:p>
        </w:tc>
      </w:tr>
      <w:tr w14:paraId="2E2F1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7732C">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5F82B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1999D">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预算管理</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0C57">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一般性支出金额</w:t>
            </w:r>
          </w:p>
        </w:tc>
        <w:tc>
          <w:tcPr>
            <w:tcW w:w="13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B7FDAD">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89.93万元</w:t>
            </w:r>
          </w:p>
        </w:tc>
        <w:tc>
          <w:tcPr>
            <w:tcW w:w="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A85F69">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92.76万元</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FDA9A">
            <w:pPr>
              <w:jc w:val="right"/>
              <w:rPr>
                <w:rFonts w:hint="eastAsia" w:ascii="宋体" w:hAnsi="宋体" w:eastAsia="宋体" w:cs="宋体"/>
                <w:i w:val="0"/>
                <w:color w:val="000000"/>
                <w:sz w:val="18"/>
                <w:szCs w:val="18"/>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944CB">
            <w:pPr>
              <w:jc w:val="right"/>
              <w:rPr>
                <w:rFonts w:hint="eastAsia" w:ascii="宋体" w:hAnsi="宋体" w:eastAsia="宋体" w:cs="宋体"/>
                <w:i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46C9B">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92.76万元</w:t>
            </w:r>
          </w:p>
        </w:tc>
      </w:tr>
      <w:tr w14:paraId="1EC07B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8CDFA">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D5A61">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9B3E4">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财务管理</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EC5A">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财务管理规范</w:t>
            </w:r>
          </w:p>
        </w:tc>
        <w:tc>
          <w:tcPr>
            <w:tcW w:w="13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EBF7F2">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优</w:t>
            </w:r>
          </w:p>
        </w:tc>
        <w:tc>
          <w:tcPr>
            <w:tcW w:w="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4189D0">
            <w:pPr>
              <w:jc w:val="right"/>
              <w:rPr>
                <w:rFonts w:hint="eastAsia" w:ascii="宋体" w:hAnsi="宋体" w:eastAsia="宋体" w:cs="宋体"/>
                <w:i w:val="0"/>
                <w:color w:val="000000"/>
                <w:sz w:val="18"/>
                <w:szCs w:val="18"/>
                <w:u w:val="none"/>
              </w:rPr>
            </w:pP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B2550">
            <w:pPr>
              <w:jc w:val="right"/>
              <w:rPr>
                <w:rFonts w:hint="eastAsia" w:ascii="宋体" w:hAnsi="宋体" w:eastAsia="宋体" w:cs="宋体"/>
                <w:i w:val="0"/>
                <w:color w:val="000000"/>
                <w:sz w:val="18"/>
                <w:szCs w:val="18"/>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BD4FC">
            <w:pPr>
              <w:jc w:val="right"/>
              <w:rPr>
                <w:rFonts w:hint="eastAsia" w:ascii="宋体" w:hAnsi="宋体" w:eastAsia="宋体" w:cs="宋体"/>
                <w:i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8401">
            <w:pPr>
              <w:jc w:val="right"/>
              <w:rPr>
                <w:rFonts w:hint="eastAsia" w:ascii="宋体" w:hAnsi="宋体" w:eastAsia="宋体" w:cs="宋体"/>
                <w:i w:val="0"/>
                <w:color w:val="000000"/>
                <w:sz w:val="18"/>
                <w:szCs w:val="18"/>
                <w:u w:val="none"/>
              </w:rPr>
            </w:pPr>
          </w:p>
        </w:tc>
      </w:tr>
      <w:tr w14:paraId="148A5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99DC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80279C">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成本指标</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BA5B">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采购管理</w:t>
            </w:r>
          </w:p>
        </w:tc>
        <w:tc>
          <w:tcPr>
            <w:tcW w:w="120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47E00">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采购执行率</w:t>
            </w:r>
          </w:p>
        </w:tc>
        <w:tc>
          <w:tcPr>
            <w:tcW w:w="13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AAE5E0">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8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E3853">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100.00%</w:t>
            </w:r>
          </w:p>
        </w:tc>
        <w:tc>
          <w:tcPr>
            <w:tcW w:w="8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F1BA47">
            <w:pPr>
              <w:jc w:val="right"/>
              <w:rPr>
                <w:rFonts w:hint="eastAsia" w:ascii="宋体" w:hAnsi="宋体" w:eastAsia="宋体" w:cs="宋体"/>
                <w:i w:val="0"/>
                <w:color w:val="000000"/>
                <w:sz w:val="18"/>
                <w:szCs w:val="18"/>
                <w:u w:val="none"/>
              </w:rPr>
            </w:pPr>
          </w:p>
        </w:tc>
        <w:tc>
          <w:tcPr>
            <w:tcW w:w="6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7ADFC">
            <w:pPr>
              <w:jc w:val="right"/>
              <w:rPr>
                <w:rFonts w:hint="eastAsia" w:ascii="宋体" w:hAnsi="宋体" w:eastAsia="宋体" w:cs="宋体"/>
                <w:i w:val="0"/>
                <w:color w:val="000000"/>
                <w:sz w:val="18"/>
                <w:szCs w:val="18"/>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13A46">
            <w:pPr>
              <w:keepNext w:val="0"/>
              <w:keepLines w:val="0"/>
              <w:widowControl/>
              <w:suppressLineNumbers w:val="0"/>
              <w:jc w:val="righ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r>
      <w:tr w14:paraId="57506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10" w:hRule="atLeast"/>
        </w:trPr>
        <w:tc>
          <w:tcPr>
            <w:tcW w:w="8336" w:type="dxa"/>
            <w:gridSpan w:val="13"/>
            <w:tcBorders>
              <w:top w:val="single" w:color="000000" w:sz="4" w:space="0"/>
              <w:left w:val="single" w:color="000000" w:sz="4" w:space="0"/>
              <w:bottom w:val="single" w:color="000000" w:sz="4" w:space="0"/>
              <w:right w:val="single" w:color="000000" w:sz="4" w:space="0"/>
            </w:tcBorders>
            <w:shd w:val="clear" w:color="auto" w:fill="auto"/>
            <w:vAlign w:val="center"/>
          </w:tcPr>
          <w:p w14:paraId="2F5310F0">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履职效能</w:t>
            </w:r>
          </w:p>
        </w:tc>
      </w:tr>
      <w:tr w14:paraId="38255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59195">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序号</w:t>
            </w:r>
          </w:p>
        </w:tc>
        <w:tc>
          <w:tcPr>
            <w:tcW w:w="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E5849">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一级指标</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10448">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二级指标</w:t>
            </w:r>
          </w:p>
        </w:tc>
        <w:tc>
          <w:tcPr>
            <w:tcW w:w="2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05994A">
            <w:pPr>
              <w:keepNext w:val="0"/>
              <w:keepLines w:val="0"/>
              <w:widowControl/>
              <w:suppressLineNumbers w:val="0"/>
              <w:jc w:val="center"/>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三级指标</w:t>
            </w:r>
          </w:p>
        </w:tc>
        <w:tc>
          <w:tcPr>
            <w:tcW w:w="36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D38A51">
            <w:pPr>
              <w:keepNext w:val="0"/>
              <w:keepLines w:val="0"/>
              <w:widowControl/>
              <w:suppressLineNumbers w:val="0"/>
              <w:jc w:val="center"/>
              <w:textAlignment w:val="center"/>
              <w:rPr>
                <w:rFonts w:ascii="宋体" w:hAnsi="宋体" w:eastAsia="宋体" w:cs="宋体"/>
                <w:b/>
                <w:i w:val="0"/>
                <w:color w:val="000000"/>
                <w:sz w:val="18"/>
                <w:szCs w:val="18"/>
                <w:u w:val="none"/>
              </w:rPr>
            </w:pPr>
            <w:r>
              <w:rPr>
                <w:rFonts w:ascii="宋体" w:hAnsi="宋体" w:eastAsia="宋体" w:cs="宋体"/>
                <w:b/>
                <w:i w:val="0"/>
                <w:color w:val="000000"/>
                <w:kern w:val="0"/>
                <w:sz w:val="18"/>
                <w:szCs w:val="18"/>
                <w:u w:val="none"/>
                <w:lang w:val="en-US" w:eastAsia="zh-CN" w:bidi="ar"/>
              </w:rPr>
              <w:t>指标值（包括数字及文字描述）</w:t>
            </w:r>
          </w:p>
        </w:tc>
      </w:tr>
      <w:tr w14:paraId="614C8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86A8">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8984A1">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产出指标</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D5659">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2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3DE72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批捕案件办结时限</w:t>
            </w:r>
          </w:p>
        </w:tc>
        <w:tc>
          <w:tcPr>
            <w:tcW w:w="36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6F55AF">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≤7天</w:t>
            </w:r>
          </w:p>
        </w:tc>
      </w:tr>
      <w:tr w14:paraId="76E7B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11A4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986E8C">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产出指标</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7D891">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时效指标</w:t>
            </w:r>
          </w:p>
        </w:tc>
        <w:tc>
          <w:tcPr>
            <w:tcW w:w="2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631A8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资金发放及时率</w:t>
            </w:r>
          </w:p>
        </w:tc>
        <w:tc>
          <w:tcPr>
            <w:tcW w:w="36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C70304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≥95%</w:t>
            </w:r>
          </w:p>
        </w:tc>
      </w:tr>
      <w:tr w14:paraId="1DC31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BD60">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C6DC60">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产出指标</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74A8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数量指标</w:t>
            </w:r>
          </w:p>
        </w:tc>
        <w:tc>
          <w:tcPr>
            <w:tcW w:w="2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E2F898">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案件办理数</w:t>
            </w:r>
          </w:p>
        </w:tc>
        <w:tc>
          <w:tcPr>
            <w:tcW w:w="36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FCD93B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≥150件</w:t>
            </w:r>
          </w:p>
        </w:tc>
      </w:tr>
      <w:tr w14:paraId="574A6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7FD6E">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2C6292">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产出指标</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34DDC">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质量指标</w:t>
            </w:r>
          </w:p>
        </w:tc>
        <w:tc>
          <w:tcPr>
            <w:tcW w:w="2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A02AEE">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批捕准确率</w:t>
            </w:r>
          </w:p>
        </w:tc>
        <w:tc>
          <w:tcPr>
            <w:tcW w:w="36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F2A933">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1</w:t>
            </w:r>
          </w:p>
        </w:tc>
      </w:tr>
      <w:tr w14:paraId="73E26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6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418D2">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8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FF68A7">
            <w:pPr>
              <w:keepNext w:val="0"/>
              <w:keepLines w:val="0"/>
              <w:widowControl/>
              <w:suppressLineNumbers w:val="0"/>
              <w:jc w:val="left"/>
              <w:textAlignment w:val="center"/>
              <w:rPr>
                <w:rFonts w:hint="eastAsia" w:ascii="黑体" w:hAnsi="黑体" w:eastAsia="黑体" w:cs="黑体"/>
                <w:i w:val="0"/>
                <w:color w:val="000000"/>
                <w:sz w:val="18"/>
                <w:szCs w:val="18"/>
                <w:u w:val="none"/>
              </w:rPr>
            </w:pPr>
            <w:r>
              <w:rPr>
                <w:rFonts w:hint="eastAsia" w:ascii="黑体" w:hAnsi="黑体" w:eastAsia="黑体" w:cs="黑体"/>
                <w:i w:val="0"/>
                <w:color w:val="000000"/>
                <w:kern w:val="0"/>
                <w:sz w:val="18"/>
                <w:szCs w:val="18"/>
                <w:u w:val="none"/>
                <w:lang w:val="en-US" w:eastAsia="zh-CN" w:bidi="ar"/>
              </w:rPr>
              <w:t>效益指标</w:t>
            </w: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FCC86">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社会效益指标</w:t>
            </w:r>
          </w:p>
        </w:tc>
        <w:tc>
          <w:tcPr>
            <w:tcW w:w="253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77627">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保障司法公平公正</w:t>
            </w:r>
          </w:p>
        </w:tc>
        <w:tc>
          <w:tcPr>
            <w:tcW w:w="3667"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F3B5F3B">
            <w:pPr>
              <w:keepNext w:val="0"/>
              <w:keepLines w:val="0"/>
              <w:widowControl/>
              <w:suppressLineNumbers w:val="0"/>
              <w:jc w:val="left"/>
              <w:textAlignment w:val="center"/>
              <w:rPr>
                <w:rFonts w:ascii="宋体" w:hAnsi="宋体" w:eastAsia="宋体" w:cs="宋体"/>
                <w:i w:val="0"/>
                <w:color w:val="000000"/>
                <w:sz w:val="18"/>
                <w:szCs w:val="18"/>
                <w:u w:val="none"/>
              </w:rPr>
            </w:pPr>
            <w:r>
              <w:rPr>
                <w:rFonts w:ascii="宋体" w:hAnsi="宋体" w:eastAsia="宋体" w:cs="宋体"/>
                <w:i w:val="0"/>
                <w:color w:val="000000"/>
                <w:kern w:val="0"/>
                <w:sz w:val="18"/>
                <w:szCs w:val="18"/>
                <w:u w:val="none"/>
                <w:lang w:val="en-US" w:eastAsia="zh-CN" w:bidi="ar"/>
              </w:rPr>
              <w:t>优</w:t>
            </w:r>
          </w:p>
        </w:tc>
      </w:tr>
    </w:tbl>
    <w:p w14:paraId="017FF044">
      <w:pPr>
        <w:pStyle w:val="8"/>
        <w:rPr>
          <w:rFonts w:hint="eastAsia" w:ascii="Times New Roman" w:hAnsi="Times New Roman" w:eastAsia="黑体" w:cs="黑体"/>
          <w:color w:val="auto"/>
          <w:kern w:val="0"/>
          <w:sz w:val="32"/>
          <w:szCs w:val="32"/>
          <w:highlight w:val="none"/>
          <w:shd w:val="clear" w:color="auto" w:fill="FFFFFF"/>
          <w:lang w:val="zh-CN"/>
        </w:rPr>
      </w:pPr>
    </w:p>
    <w:p w14:paraId="4F0F6B48">
      <w:pPr>
        <w:pStyle w:val="8"/>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eastAsia="黑体" w:cs="黑体"/>
          <w:color w:val="auto"/>
          <w:kern w:val="0"/>
          <w:sz w:val="32"/>
          <w:szCs w:val="32"/>
          <w:highlight w:val="none"/>
          <w:shd w:val="clear" w:color="auto" w:fill="FFFFFF"/>
          <w:lang w:val="en-US" w:eastAsia="zh-CN"/>
        </w:rPr>
        <w:t>3</w:t>
      </w:r>
    </w:p>
    <w:tbl>
      <w:tblPr>
        <w:tblStyle w:val="16"/>
        <w:tblW w:w="83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14"/>
        <w:gridCol w:w="86"/>
        <w:gridCol w:w="428"/>
        <w:gridCol w:w="857"/>
        <w:gridCol w:w="478"/>
        <w:gridCol w:w="1552"/>
        <w:gridCol w:w="752"/>
        <w:gridCol w:w="3037"/>
        <w:gridCol w:w="632"/>
      </w:tblGrid>
      <w:tr w14:paraId="7E52FA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30" w:hRule="atLeast"/>
        </w:trPr>
        <w:tc>
          <w:tcPr>
            <w:tcW w:w="600" w:type="dxa"/>
            <w:gridSpan w:val="2"/>
            <w:shd w:val="clear" w:color="auto" w:fill="auto"/>
            <w:vAlign w:val="center"/>
          </w:tcPr>
          <w:p w14:paraId="1A888719">
            <w:pPr>
              <w:rPr>
                <w:rFonts w:hint="eastAsia" w:ascii="宋体" w:hAnsi="宋体" w:eastAsia="宋体" w:cs="宋体"/>
                <w:i w:val="0"/>
                <w:color w:val="000000"/>
                <w:sz w:val="22"/>
                <w:szCs w:val="22"/>
                <w:u w:val="none"/>
              </w:rPr>
            </w:pPr>
          </w:p>
        </w:tc>
        <w:tc>
          <w:tcPr>
            <w:tcW w:w="7104" w:type="dxa"/>
            <w:gridSpan w:val="6"/>
            <w:shd w:val="clear" w:color="auto" w:fill="auto"/>
            <w:vAlign w:val="center"/>
          </w:tcPr>
          <w:p w14:paraId="33734438">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48"/>
                <w:szCs w:val="48"/>
                <w:u w:val="none"/>
              </w:rPr>
            </w:pPr>
            <w:r>
              <w:rPr>
                <w:rFonts w:hint="eastAsia" w:ascii="方正小标宋简体" w:hAnsi="方正小标宋简体" w:eastAsia="方正小标宋简体" w:cs="方正小标宋简体"/>
                <w:i w:val="0"/>
                <w:color w:val="000000"/>
                <w:kern w:val="0"/>
                <w:sz w:val="48"/>
                <w:szCs w:val="48"/>
                <w:u w:val="none"/>
                <w:lang w:val="en-US" w:eastAsia="zh-CN" w:bidi="ar"/>
              </w:rPr>
              <w:t>部门预算绩效评价指标体系</w:t>
            </w:r>
          </w:p>
        </w:tc>
        <w:tc>
          <w:tcPr>
            <w:tcW w:w="632" w:type="dxa"/>
            <w:shd w:val="clear" w:color="auto" w:fill="auto"/>
            <w:vAlign w:val="center"/>
          </w:tcPr>
          <w:p w14:paraId="073C53A7">
            <w:pPr>
              <w:jc w:val="center"/>
              <w:rPr>
                <w:rFonts w:hint="eastAsia" w:ascii="方正小标宋简体" w:hAnsi="方正小标宋简体" w:eastAsia="方正小标宋简体" w:cs="方正小标宋简体"/>
                <w:i w:val="0"/>
                <w:color w:val="000000"/>
                <w:sz w:val="24"/>
                <w:szCs w:val="24"/>
                <w:u w:val="none"/>
              </w:rPr>
            </w:pPr>
          </w:p>
        </w:tc>
      </w:tr>
      <w:tr w14:paraId="11284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2363"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B3E32F">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指标分值</w:t>
            </w:r>
          </w:p>
        </w:tc>
        <w:tc>
          <w:tcPr>
            <w:tcW w:w="15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3020CD">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4E5F8">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自评得分</w:t>
            </w:r>
          </w:p>
        </w:tc>
        <w:tc>
          <w:tcPr>
            <w:tcW w:w="3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D3DDA2">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评分说明</w:t>
            </w:r>
          </w:p>
        </w:tc>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68A052">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备注</w:t>
            </w:r>
          </w:p>
        </w:tc>
      </w:tr>
      <w:tr w14:paraId="1A540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514" w:type="dxa"/>
            <w:tcBorders>
              <w:top w:val="single" w:color="000000" w:sz="4" w:space="0"/>
              <w:left w:val="single" w:color="000000" w:sz="4" w:space="0"/>
              <w:bottom w:val="single" w:color="000000" w:sz="4" w:space="0"/>
            </w:tcBorders>
            <w:shd w:val="clear" w:color="auto" w:fill="auto"/>
            <w:vAlign w:val="center"/>
          </w:tcPr>
          <w:p w14:paraId="39B40B97">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BB556F">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DF5D2">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34D0C">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0C47F">
            <w:pPr>
              <w:jc w:val="center"/>
              <w:rPr>
                <w:rFonts w:hint="eastAsia" w:ascii="黑体" w:hAnsi="宋体" w:eastAsia="黑体" w:cs="黑体"/>
                <w:i w:val="0"/>
                <w:color w:val="000000"/>
                <w:sz w:val="24"/>
                <w:szCs w:val="24"/>
                <w:u w:val="none"/>
              </w:rPr>
            </w:pPr>
          </w:p>
        </w:tc>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E6501">
            <w:pPr>
              <w:jc w:val="center"/>
              <w:rPr>
                <w:rFonts w:hint="eastAsia" w:ascii="黑体" w:hAnsi="宋体" w:eastAsia="黑体" w:cs="黑体"/>
                <w:i w:val="0"/>
                <w:color w:val="000000"/>
                <w:sz w:val="24"/>
                <w:szCs w:val="24"/>
                <w:u w:val="none"/>
              </w:rPr>
            </w:pP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1D683">
            <w:pPr>
              <w:jc w:val="center"/>
              <w:rPr>
                <w:rFonts w:hint="eastAsia" w:ascii="黑体" w:hAnsi="宋体" w:eastAsia="黑体" w:cs="黑体"/>
                <w:i w:val="0"/>
                <w:color w:val="000000"/>
                <w:sz w:val="24"/>
                <w:szCs w:val="24"/>
                <w:u w:val="none"/>
              </w:rPr>
            </w:pP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FA26C">
            <w:pPr>
              <w:jc w:val="center"/>
              <w:rPr>
                <w:rFonts w:hint="eastAsia" w:ascii="黑体" w:hAnsi="宋体" w:eastAsia="黑体" w:cs="黑体"/>
                <w:i w:val="0"/>
                <w:color w:val="000000"/>
                <w:sz w:val="24"/>
                <w:szCs w:val="24"/>
                <w:u w:val="none"/>
              </w:rPr>
            </w:pPr>
          </w:p>
        </w:tc>
      </w:tr>
      <w:tr w14:paraId="3E010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0"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2C3E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5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00BBE9">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履职效能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（15分）</w:t>
            </w:r>
          </w:p>
        </w:tc>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D8231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刑事检察履职效果</w:t>
            </w:r>
          </w:p>
        </w:tc>
        <w:tc>
          <w:tcPr>
            <w:tcW w:w="478" w:type="dxa"/>
            <w:vMerge w:val="restart"/>
            <w:tcBorders>
              <w:left w:val="single" w:color="000000" w:sz="4" w:space="0"/>
              <w:bottom w:val="single" w:color="000000" w:sz="4" w:space="0"/>
              <w:right w:val="single" w:color="000000" w:sz="4" w:space="0"/>
            </w:tcBorders>
            <w:shd w:val="clear" w:color="auto" w:fill="auto"/>
            <w:vAlign w:val="center"/>
          </w:tcPr>
          <w:p w14:paraId="53EE406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15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011C4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部门整体绩效目标中选定3-5个核心职能目标，反映该项职能目标完成效果情况</w:t>
            </w:r>
          </w:p>
        </w:tc>
        <w:tc>
          <w:tcPr>
            <w:tcW w:w="75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5EA2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15分</w:t>
            </w:r>
          </w:p>
        </w:tc>
        <w:tc>
          <w:tcPr>
            <w:tcW w:w="3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7013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1.数量指标得5分，2025年我院案件设定指标100件，结案率90%以上，2025年共办理案件113件，结案率93.04%，该指标得分5分。2.满意度指标得5分，2025年我院满意度设定指标大于等于95%，通过年底问卷调查我院满意度为100%，该指标得分105%。3.社会成本指标得5分，2025年我院财政资金均足额到位，资金到位率为100%。   </w:t>
            </w:r>
          </w:p>
        </w:tc>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E4103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自评得分共计：90.12分</w:t>
            </w:r>
          </w:p>
        </w:tc>
      </w:tr>
      <w:tr w14:paraId="39809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E8D0C">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3CAE3">
            <w:pPr>
              <w:jc w:val="center"/>
              <w:rPr>
                <w:rFonts w:hint="eastAsia" w:ascii="宋体" w:hAnsi="宋体" w:eastAsia="宋体" w:cs="宋体"/>
                <w:b/>
                <w:i w:val="0"/>
                <w:color w:val="000000"/>
                <w:sz w:val="24"/>
                <w:szCs w:val="24"/>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A8A11">
            <w:pPr>
              <w:jc w:val="center"/>
              <w:rPr>
                <w:rFonts w:hint="eastAsia" w:ascii="宋体" w:hAnsi="宋体" w:eastAsia="宋体" w:cs="宋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644E601D">
            <w:pPr>
              <w:jc w:val="center"/>
              <w:rPr>
                <w:rFonts w:hint="eastAsia" w:ascii="宋体" w:hAnsi="宋体" w:eastAsia="宋体" w:cs="宋体"/>
                <w:i w:val="0"/>
                <w:color w:val="000000"/>
                <w:sz w:val="24"/>
                <w:szCs w:val="24"/>
                <w:u w:val="none"/>
              </w:rPr>
            </w:pP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8E705">
            <w:pPr>
              <w:jc w:val="left"/>
              <w:rPr>
                <w:rFonts w:hint="eastAsia" w:ascii="宋体" w:hAnsi="宋体" w:eastAsia="宋体" w:cs="宋体"/>
                <w:i w:val="0"/>
                <w:color w:val="000000"/>
                <w:sz w:val="24"/>
                <w:szCs w:val="24"/>
                <w:u w:val="none"/>
              </w:rPr>
            </w:pPr>
          </w:p>
        </w:tc>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ABE6F">
            <w:pPr>
              <w:jc w:val="center"/>
              <w:rPr>
                <w:rFonts w:hint="eastAsia" w:ascii="宋体" w:hAnsi="宋体" w:eastAsia="宋体" w:cs="宋体"/>
                <w:i w:val="0"/>
                <w:color w:val="000000"/>
                <w:sz w:val="24"/>
                <w:szCs w:val="24"/>
                <w:u w:val="none"/>
              </w:rPr>
            </w:pP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E7F5D">
            <w:pPr>
              <w:jc w:val="left"/>
              <w:rPr>
                <w:rFonts w:hint="eastAsia" w:ascii="宋体" w:hAnsi="宋体" w:eastAsia="宋体" w:cs="宋体"/>
                <w:i w:val="0"/>
                <w:color w:val="000000"/>
                <w:sz w:val="24"/>
                <w:szCs w:val="24"/>
                <w:u w:val="none"/>
              </w:rPr>
            </w:pP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B150B">
            <w:pPr>
              <w:jc w:val="center"/>
              <w:rPr>
                <w:rFonts w:hint="eastAsia" w:ascii="宋体" w:hAnsi="宋体" w:eastAsia="宋体" w:cs="宋体"/>
                <w:i w:val="0"/>
                <w:color w:val="000000"/>
                <w:sz w:val="24"/>
                <w:szCs w:val="24"/>
                <w:u w:val="none"/>
              </w:rPr>
            </w:pPr>
          </w:p>
        </w:tc>
      </w:tr>
      <w:tr w14:paraId="64654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19BCF">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C914C">
            <w:pPr>
              <w:jc w:val="center"/>
              <w:rPr>
                <w:rFonts w:hint="eastAsia" w:ascii="宋体" w:hAnsi="宋体" w:eastAsia="宋体" w:cs="宋体"/>
                <w:b/>
                <w:i w:val="0"/>
                <w:color w:val="000000"/>
                <w:sz w:val="24"/>
                <w:szCs w:val="24"/>
                <w:u w:val="none"/>
              </w:rPr>
            </w:pPr>
          </w:p>
        </w:tc>
        <w:tc>
          <w:tcPr>
            <w:tcW w:w="85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EC9B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公益诉讼检察履职效果</w:t>
            </w: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02F710A7">
            <w:pPr>
              <w:jc w:val="center"/>
              <w:rPr>
                <w:rFonts w:hint="eastAsia" w:ascii="宋体" w:hAnsi="宋体" w:eastAsia="宋体" w:cs="宋体"/>
                <w:i w:val="0"/>
                <w:color w:val="000000"/>
                <w:sz w:val="24"/>
                <w:szCs w:val="24"/>
                <w:u w:val="none"/>
              </w:rPr>
            </w:pP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28148">
            <w:pPr>
              <w:jc w:val="left"/>
              <w:rPr>
                <w:rFonts w:hint="eastAsia" w:ascii="宋体" w:hAnsi="宋体" w:eastAsia="宋体" w:cs="宋体"/>
                <w:i w:val="0"/>
                <w:color w:val="000000"/>
                <w:sz w:val="24"/>
                <w:szCs w:val="24"/>
                <w:u w:val="none"/>
              </w:rPr>
            </w:pPr>
          </w:p>
        </w:tc>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F92CF">
            <w:pPr>
              <w:jc w:val="center"/>
              <w:rPr>
                <w:rFonts w:hint="eastAsia" w:ascii="宋体" w:hAnsi="宋体" w:eastAsia="宋体" w:cs="宋体"/>
                <w:i w:val="0"/>
                <w:color w:val="000000"/>
                <w:sz w:val="24"/>
                <w:szCs w:val="24"/>
                <w:u w:val="none"/>
              </w:rPr>
            </w:pP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81CD1">
            <w:pPr>
              <w:jc w:val="left"/>
              <w:rPr>
                <w:rFonts w:hint="eastAsia" w:ascii="宋体" w:hAnsi="宋体" w:eastAsia="宋体" w:cs="宋体"/>
                <w:i w:val="0"/>
                <w:color w:val="000000"/>
                <w:sz w:val="24"/>
                <w:szCs w:val="24"/>
                <w:u w:val="none"/>
              </w:rPr>
            </w:pP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64DE4">
            <w:pPr>
              <w:jc w:val="center"/>
              <w:rPr>
                <w:rFonts w:hint="eastAsia" w:ascii="宋体" w:hAnsi="宋体" w:eastAsia="宋体" w:cs="宋体"/>
                <w:i w:val="0"/>
                <w:color w:val="000000"/>
                <w:sz w:val="24"/>
                <w:szCs w:val="24"/>
                <w:u w:val="none"/>
              </w:rPr>
            </w:pPr>
          </w:p>
        </w:tc>
      </w:tr>
      <w:tr w14:paraId="7FA39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513B4">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B40AF">
            <w:pPr>
              <w:jc w:val="center"/>
              <w:rPr>
                <w:rFonts w:hint="eastAsia" w:ascii="宋体" w:hAnsi="宋体" w:eastAsia="宋体" w:cs="宋体"/>
                <w:b/>
                <w:i w:val="0"/>
                <w:color w:val="000000"/>
                <w:sz w:val="24"/>
                <w:szCs w:val="24"/>
                <w:u w:val="none"/>
              </w:rPr>
            </w:pPr>
          </w:p>
        </w:tc>
        <w:tc>
          <w:tcPr>
            <w:tcW w:w="85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16270">
            <w:pPr>
              <w:jc w:val="center"/>
              <w:rPr>
                <w:rFonts w:hint="eastAsia" w:ascii="宋体" w:hAnsi="宋体" w:eastAsia="宋体" w:cs="宋体"/>
                <w:i w:val="0"/>
                <w:color w:val="000000"/>
                <w:sz w:val="24"/>
                <w:szCs w:val="24"/>
                <w:u w:val="none"/>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1F9B0A55">
            <w:pPr>
              <w:jc w:val="center"/>
              <w:rPr>
                <w:rFonts w:hint="eastAsia" w:ascii="宋体" w:hAnsi="宋体" w:eastAsia="宋体" w:cs="宋体"/>
                <w:i w:val="0"/>
                <w:color w:val="000000"/>
                <w:sz w:val="24"/>
                <w:szCs w:val="24"/>
                <w:u w:val="none"/>
              </w:rPr>
            </w:pP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DA47F">
            <w:pPr>
              <w:jc w:val="left"/>
              <w:rPr>
                <w:rFonts w:hint="eastAsia" w:ascii="宋体" w:hAnsi="宋体" w:eastAsia="宋体" w:cs="宋体"/>
                <w:i w:val="0"/>
                <w:color w:val="000000"/>
                <w:sz w:val="24"/>
                <w:szCs w:val="24"/>
                <w:u w:val="none"/>
              </w:rPr>
            </w:pPr>
          </w:p>
        </w:tc>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A6695">
            <w:pPr>
              <w:jc w:val="center"/>
              <w:rPr>
                <w:rFonts w:hint="eastAsia" w:ascii="宋体" w:hAnsi="宋体" w:eastAsia="宋体" w:cs="宋体"/>
                <w:i w:val="0"/>
                <w:color w:val="000000"/>
                <w:sz w:val="24"/>
                <w:szCs w:val="24"/>
                <w:u w:val="none"/>
              </w:rPr>
            </w:pP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E8460">
            <w:pPr>
              <w:jc w:val="left"/>
              <w:rPr>
                <w:rFonts w:hint="eastAsia" w:ascii="宋体" w:hAnsi="宋体" w:eastAsia="宋体" w:cs="宋体"/>
                <w:i w:val="0"/>
                <w:color w:val="000000"/>
                <w:sz w:val="24"/>
                <w:szCs w:val="24"/>
                <w:u w:val="none"/>
              </w:rPr>
            </w:pP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91CED">
            <w:pPr>
              <w:jc w:val="center"/>
              <w:rPr>
                <w:rFonts w:hint="eastAsia" w:ascii="宋体" w:hAnsi="宋体" w:eastAsia="宋体" w:cs="宋体"/>
                <w:i w:val="0"/>
                <w:color w:val="000000"/>
                <w:sz w:val="24"/>
                <w:szCs w:val="24"/>
                <w:u w:val="none"/>
              </w:rPr>
            </w:pPr>
          </w:p>
        </w:tc>
      </w:tr>
      <w:tr w14:paraId="77509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0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4822E">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8EC92">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8A0B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维护社会稳定履职效果</w:t>
            </w: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5AC2A270">
            <w:pPr>
              <w:jc w:val="center"/>
              <w:rPr>
                <w:rFonts w:hint="eastAsia" w:ascii="宋体" w:hAnsi="宋体" w:eastAsia="宋体" w:cs="宋体"/>
                <w:i w:val="0"/>
                <w:color w:val="000000"/>
                <w:sz w:val="24"/>
                <w:szCs w:val="24"/>
                <w:u w:val="none"/>
              </w:rPr>
            </w:pPr>
          </w:p>
        </w:tc>
        <w:tc>
          <w:tcPr>
            <w:tcW w:w="15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04E45">
            <w:pPr>
              <w:jc w:val="left"/>
              <w:rPr>
                <w:rFonts w:hint="eastAsia" w:ascii="宋体" w:hAnsi="宋体" w:eastAsia="宋体" w:cs="宋体"/>
                <w:i w:val="0"/>
                <w:color w:val="000000"/>
                <w:sz w:val="24"/>
                <w:szCs w:val="24"/>
                <w:u w:val="none"/>
              </w:rPr>
            </w:pPr>
          </w:p>
        </w:tc>
        <w:tc>
          <w:tcPr>
            <w:tcW w:w="75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22F6C">
            <w:pPr>
              <w:jc w:val="center"/>
              <w:rPr>
                <w:rFonts w:hint="eastAsia" w:ascii="宋体" w:hAnsi="宋体" w:eastAsia="宋体" w:cs="宋体"/>
                <w:i w:val="0"/>
                <w:color w:val="000000"/>
                <w:sz w:val="24"/>
                <w:szCs w:val="24"/>
                <w:u w:val="none"/>
              </w:rPr>
            </w:pP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E48B4">
            <w:pPr>
              <w:jc w:val="left"/>
              <w:rPr>
                <w:rFonts w:hint="eastAsia" w:ascii="宋体" w:hAnsi="宋体" w:eastAsia="宋体" w:cs="宋体"/>
                <w:i w:val="0"/>
                <w:color w:val="000000"/>
                <w:sz w:val="24"/>
                <w:szCs w:val="24"/>
                <w:u w:val="none"/>
              </w:rPr>
            </w:pP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2F8D6">
            <w:pPr>
              <w:jc w:val="center"/>
              <w:rPr>
                <w:rFonts w:hint="eastAsia" w:ascii="宋体" w:hAnsi="宋体" w:eastAsia="宋体" w:cs="宋体"/>
                <w:i w:val="0"/>
                <w:color w:val="000000"/>
                <w:sz w:val="24"/>
                <w:szCs w:val="24"/>
                <w:u w:val="none"/>
              </w:rPr>
            </w:pPr>
          </w:p>
        </w:tc>
      </w:tr>
      <w:tr w14:paraId="30E95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6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E6B45">
            <w:pPr>
              <w:jc w:val="center"/>
              <w:rPr>
                <w:rFonts w:hint="eastAsia" w:ascii="宋体" w:hAnsi="宋体" w:eastAsia="宋体" w:cs="宋体"/>
                <w:b/>
                <w:i w:val="0"/>
                <w:color w:val="000000"/>
                <w:sz w:val="24"/>
                <w:szCs w:val="24"/>
                <w:u w:val="none"/>
              </w:rPr>
            </w:pPr>
          </w:p>
        </w:tc>
        <w:tc>
          <w:tcPr>
            <w:tcW w:w="5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59E91D">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预算管理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（25分）</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E08F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预算编制质量</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169B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12</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9077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部门是否严格按要求编制年初部门预算，年初预算编制的科学性和准确性</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BE4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8分</w:t>
            </w:r>
          </w:p>
        </w:tc>
        <w:tc>
          <w:tcPr>
            <w:tcW w:w="3037" w:type="dxa"/>
            <w:shd w:val="clear" w:color="auto" w:fill="auto"/>
            <w:vAlign w:val="center"/>
          </w:tcPr>
          <w:p w14:paraId="057D792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预算编制质量指标分值12分，自评得分9分。财政拨款预算偏离度为74.79%，设置评分6分，得2分，资产配置及政府采购偏离度都为0，得6分。</w:t>
            </w:r>
          </w:p>
        </w:tc>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E5D82">
            <w:pPr>
              <w:jc w:val="center"/>
              <w:rPr>
                <w:rFonts w:hint="eastAsia" w:ascii="宋体" w:hAnsi="宋体" w:eastAsia="宋体" w:cs="宋体"/>
                <w:i w:val="0"/>
                <w:color w:val="000000"/>
                <w:sz w:val="24"/>
                <w:szCs w:val="24"/>
                <w:u w:val="none"/>
              </w:rPr>
            </w:pPr>
          </w:p>
        </w:tc>
      </w:tr>
      <w:tr w14:paraId="3C6EE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7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AE247">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D6CE2">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58C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单位收入统筹</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E43D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C3EE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部门统筹自有收入程度</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C047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0分</w:t>
            </w:r>
          </w:p>
        </w:tc>
        <w:tc>
          <w:tcPr>
            <w:tcW w:w="3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97D0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不涉及该指标，已纳入预算编制质量</w:t>
            </w: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04702">
            <w:pPr>
              <w:jc w:val="center"/>
              <w:rPr>
                <w:rFonts w:hint="eastAsia" w:ascii="宋体" w:hAnsi="宋体" w:eastAsia="宋体" w:cs="宋体"/>
                <w:i w:val="0"/>
                <w:color w:val="000000"/>
                <w:sz w:val="24"/>
                <w:szCs w:val="24"/>
                <w:u w:val="none"/>
              </w:rPr>
            </w:pPr>
          </w:p>
        </w:tc>
      </w:tr>
      <w:tr w14:paraId="79F44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5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32CE7">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7616E">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92A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支出执行进度</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6736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5C0F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部门1至6月、1至10月预算执行情况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04F1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5.67分</w:t>
            </w:r>
          </w:p>
        </w:tc>
        <w:tc>
          <w:tcPr>
            <w:tcW w:w="3037" w:type="dxa"/>
            <w:shd w:val="clear" w:color="auto" w:fill="auto"/>
            <w:vAlign w:val="center"/>
          </w:tcPr>
          <w:p w14:paraId="6212304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通过比率分值法计算得1-6月执行进度得分2分,1-10月执行进度得分1.84分。1-6月无预警金额得1分,1-10月有3个预警且均已处置得0.83。</w:t>
            </w: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1AC0F">
            <w:pPr>
              <w:jc w:val="center"/>
              <w:rPr>
                <w:rFonts w:hint="eastAsia" w:ascii="宋体" w:hAnsi="宋体" w:eastAsia="宋体" w:cs="宋体"/>
                <w:i w:val="0"/>
                <w:color w:val="000000"/>
                <w:sz w:val="24"/>
                <w:szCs w:val="24"/>
                <w:u w:val="none"/>
              </w:rPr>
            </w:pPr>
          </w:p>
        </w:tc>
      </w:tr>
      <w:tr w14:paraId="504D9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94C0F">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B741E">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902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预算年终结余</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424D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44E7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部门整体年终预算结余情况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F06C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1.95分</w:t>
            </w:r>
          </w:p>
        </w:tc>
        <w:tc>
          <w:tcPr>
            <w:tcW w:w="3037" w:type="dxa"/>
            <w:shd w:val="clear" w:color="auto" w:fill="auto"/>
            <w:vAlign w:val="center"/>
          </w:tcPr>
          <w:p w14:paraId="07D66CB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部门整体预算结余率为2.47%，得分1.95分。</w:t>
            </w: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14C6E">
            <w:pPr>
              <w:jc w:val="center"/>
              <w:rPr>
                <w:rFonts w:hint="eastAsia" w:ascii="宋体" w:hAnsi="宋体" w:eastAsia="宋体" w:cs="宋体"/>
                <w:i w:val="0"/>
                <w:color w:val="000000"/>
                <w:sz w:val="24"/>
                <w:szCs w:val="24"/>
                <w:u w:val="none"/>
              </w:rPr>
            </w:pPr>
          </w:p>
        </w:tc>
      </w:tr>
      <w:tr w14:paraId="589CC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86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ABCAC">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82DA4">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FEC3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严控一般性支出</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821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8A6E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部门严控“三公”经费、会议、培训、差旅、办节办展、办公设备购置、信息网络及软件购置更新、课题经费等8项一般性支出情况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D9D8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3.4分</w:t>
            </w:r>
          </w:p>
        </w:tc>
        <w:tc>
          <w:tcPr>
            <w:tcW w:w="3037" w:type="dxa"/>
            <w:shd w:val="clear" w:color="auto" w:fill="auto"/>
            <w:vAlign w:val="center"/>
          </w:tcPr>
          <w:p w14:paraId="2174B759">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一般性支出财政拨款年初预算较上年实现压减得1分，压减率为3%得0.6分；一般性支出财政拨款预算执行较上年实现压减得1分，压减率为4%得0.8分</w:t>
            </w: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35BD0">
            <w:pPr>
              <w:jc w:val="center"/>
              <w:rPr>
                <w:rFonts w:hint="eastAsia" w:ascii="宋体" w:hAnsi="宋体" w:eastAsia="宋体" w:cs="宋体"/>
                <w:i w:val="0"/>
                <w:color w:val="000000"/>
                <w:sz w:val="24"/>
                <w:szCs w:val="24"/>
                <w:u w:val="none"/>
              </w:rPr>
            </w:pPr>
          </w:p>
        </w:tc>
      </w:tr>
      <w:tr w14:paraId="1DA91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8B1A0">
            <w:pPr>
              <w:jc w:val="center"/>
              <w:rPr>
                <w:rFonts w:hint="eastAsia" w:ascii="宋体" w:hAnsi="宋体" w:eastAsia="宋体" w:cs="宋体"/>
                <w:b/>
                <w:i w:val="0"/>
                <w:color w:val="000000"/>
                <w:sz w:val="24"/>
                <w:szCs w:val="24"/>
                <w:u w:val="none"/>
              </w:rPr>
            </w:pPr>
          </w:p>
        </w:tc>
        <w:tc>
          <w:tcPr>
            <w:tcW w:w="5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B48408">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财务管理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4B6C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财务管理制度</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C40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2E1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部门财务管理制度建立情况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FE1D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4分</w:t>
            </w:r>
          </w:p>
        </w:tc>
        <w:tc>
          <w:tcPr>
            <w:tcW w:w="3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4F13B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我院制定了经费管理办法指导日常经费规范支出，按照不相容岗位相分离的原则，设置财务负责人、资产管理人、会计、出纳等岗位，并规范相应工作职责。资金使用中按照预算进行安排，不存在虚列支出、超范围超标准使用经费等情况。</w:t>
            </w:r>
          </w:p>
        </w:tc>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94CC4">
            <w:pPr>
              <w:jc w:val="center"/>
              <w:rPr>
                <w:rFonts w:hint="eastAsia" w:ascii="宋体" w:hAnsi="宋体" w:eastAsia="宋体" w:cs="宋体"/>
                <w:i w:val="0"/>
                <w:color w:val="000000"/>
                <w:sz w:val="24"/>
                <w:szCs w:val="24"/>
                <w:u w:val="none"/>
              </w:rPr>
            </w:pPr>
          </w:p>
        </w:tc>
      </w:tr>
      <w:tr w14:paraId="34E5E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2E994">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1AA25B">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BA3D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财务岗位设置</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1DD0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C79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部门财务岗位设置是否符合相关财务管理制度要求</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DAF8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2分</w:t>
            </w: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D4515">
            <w:pPr>
              <w:jc w:val="left"/>
              <w:rPr>
                <w:rFonts w:hint="eastAsia" w:ascii="宋体" w:hAnsi="宋体" w:eastAsia="宋体" w:cs="宋体"/>
                <w:i w:val="0"/>
                <w:color w:val="000000"/>
                <w:sz w:val="24"/>
                <w:szCs w:val="24"/>
                <w:u w:val="none"/>
              </w:rPr>
            </w:pP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6D14B">
            <w:pPr>
              <w:jc w:val="center"/>
              <w:rPr>
                <w:rFonts w:hint="eastAsia" w:ascii="宋体" w:hAnsi="宋体" w:eastAsia="宋体" w:cs="宋体"/>
                <w:i w:val="0"/>
                <w:color w:val="000000"/>
                <w:sz w:val="24"/>
                <w:szCs w:val="24"/>
                <w:u w:val="none"/>
              </w:rPr>
            </w:pPr>
          </w:p>
        </w:tc>
      </w:tr>
      <w:tr w14:paraId="48ED3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75019">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6BDC3">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FDA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资金使用规范</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CF46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03B0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部门资金使用是否符合相关财务管理制度规定</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585A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4分</w:t>
            </w: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FEC65">
            <w:pPr>
              <w:jc w:val="left"/>
              <w:rPr>
                <w:rFonts w:hint="eastAsia" w:ascii="宋体" w:hAnsi="宋体" w:eastAsia="宋体" w:cs="宋体"/>
                <w:i w:val="0"/>
                <w:color w:val="000000"/>
                <w:sz w:val="24"/>
                <w:szCs w:val="24"/>
                <w:u w:val="none"/>
              </w:rPr>
            </w:pP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4DFCF">
            <w:pPr>
              <w:jc w:val="center"/>
              <w:rPr>
                <w:rFonts w:hint="eastAsia" w:ascii="宋体" w:hAnsi="宋体" w:eastAsia="宋体" w:cs="宋体"/>
                <w:i w:val="0"/>
                <w:color w:val="000000"/>
                <w:sz w:val="24"/>
                <w:szCs w:val="24"/>
                <w:u w:val="none"/>
              </w:rPr>
            </w:pPr>
          </w:p>
        </w:tc>
      </w:tr>
      <w:tr w14:paraId="0E8F0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9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DD467">
            <w:pPr>
              <w:jc w:val="center"/>
              <w:rPr>
                <w:rFonts w:hint="eastAsia" w:ascii="宋体" w:hAnsi="宋体" w:eastAsia="宋体" w:cs="宋体"/>
                <w:b/>
                <w:i w:val="0"/>
                <w:color w:val="000000"/>
                <w:sz w:val="24"/>
                <w:szCs w:val="24"/>
                <w:u w:val="none"/>
              </w:rPr>
            </w:pPr>
          </w:p>
        </w:tc>
        <w:tc>
          <w:tcPr>
            <w:tcW w:w="5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7E0BF0">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4BC8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人均资产变化率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DE0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2FFE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部门人均资产变化情况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0759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1.5分</w:t>
            </w:r>
          </w:p>
        </w:tc>
        <w:tc>
          <w:tcPr>
            <w:tcW w:w="3037" w:type="dxa"/>
            <w:shd w:val="clear" w:color="auto" w:fill="auto"/>
            <w:vAlign w:val="center"/>
          </w:tcPr>
          <w:p w14:paraId="71B3A9B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人均资产变化率为8.9%小于州直行事业单位人均资产变化率得1.5分；</w:t>
            </w:r>
          </w:p>
        </w:tc>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5BDC6E">
            <w:pPr>
              <w:jc w:val="center"/>
              <w:rPr>
                <w:rFonts w:hint="eastAsia" w:ascii="宋体" w:hAnsi="宋体" w:eastAsia="宋体" w:cs="宋体"/>
                <w:i w:val="0"/>
                <w:color w:val="000000"/>
                <w:sz w:val="24"/>
                <w:szCs w:val="24"/>
                <w:u w:val="none"/>
              </w:rPr>
            </w:pPr>
          </w:p>
        </w:tc>
      </w:tr>
      <w:tr w14:paraId="1DF18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9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C4312">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8A02A">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4C16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资产利用率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68C8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4BB5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部门资产超最低使用年限情况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272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0.6分</w:t>
            </w:r>
          </w:p>
        </w:tc>
        <w:tc>
          <w:tcPr>
            <w:tcW w:w="3037" w:type="dxa"/>
            <w:shd w:val="clear" w:color="auto" w:fill="auto"/>
            <w:vAlign w:val="center"/>
          </w:tcPr>
          <w:p w14:paraId="00DD3C49">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办公家具超最低年限资产利用率为2.57%，办公设备超最低使用年限资产利用率为36.54%,得分0.6分；</w:t>
            </w: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D82BF">
            <w:pPr>
              <w:jc w:val="center"/>
              <w:rPr>
                <w:rFonts w:hint="eastAsia" w:ascii="宋体" w:hAnsi="宋体" w:eastAsia="宋体" w:cs="宋体"/>
                <w:i w:val="0"/>
                <w:color w:val="000000"/>
                <w:sz w:val="24"/>
                <w:szCs w:val="24"/>
                <w:u w:val="none"/>
              </w:rPr>
            </w:pPr>
          </w:p>
        </w:tc>
      </w:tr>
      <w:tr w14:paraId="289F0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560"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9A0137">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总体绩效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（65分）</w:t>
            </w:r>
          </w:p>
        </w:tc>
        <w:tc>
          <w:tcPr>
            <w:tcW w:w="51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D719D6">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资产管理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9AE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资产盘活率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074C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442AD">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部门闲置一年以上的资产盘活情况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5095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3分</w:t>
            </w:r>
          </w:p>
        </w:tc>
        <w:tc>
          <w:tcPr>
            <w:tcW w:w="3037" w:type="dxa"/>
            <w:shd w:val="clear" w:color="auto" w:fill="auto"/>
            <w:vAlign w:val="center"/>
          </w:tcPr>
          <w:p w14:paraId="46A3D4A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本单位两年均无闲置资产得3分</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78DB">
            <w:pPr>
              <w:jc w:val="center"/>
              <w:rPr>
                <w:rFonts w:hint="eastAsia" w:ascii="宋体" w:hAnsi="宋体" w:eastAsia="宋体" w:cs="宋体"/>
                <w:i w:val="0"/>
                <w:color w:val="000000"/>
                <w:sz w:val="24"/>
                <w:szCs w:val="24"/>
                <w:u w:val="none"/>
              </w:rPr>
            </w:pPr>
          </w:p>
        </w:tc>
      </w:tr>
      <w:tr w14:paraId="22A53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FEBC9">
            <w:pPr>
              <w:jc w:val="center"/>
              <w:rPr>
                <w:rFonts w:hint="eastAsia" w:ascii="宋体" w:hAnsi="宋体" w:eastAsia="宋体" w:cs="宋体"/>
                <w:b/>
                <w:i w:val="0"/>
                <w:color w:val="000000"/>
                <w:sz w:val="24"/>
                <w:szCs w:val="24"/>
                <w:u w:val="none"/>
              </w:rPr>
            </w:pPr>
          </w:p>
        </w:tc>
        <w:tc>
          <w:tcPr>
            <w:tcW w:w="5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7C4F4D">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采购管理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（6分）</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019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支持中小企业发展</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5D8E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0B311">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部门是否严格执行政府采购促进中小企业发展相关管理办法</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F0C2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3分</w:t>
            </w:r>
          </w:p>
        </w:tc>
        <w:tc>
          <w:tcPr>
            <w:tcW w:w="3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3044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我院2025年大力支持中小企业发展，无扣分。</w:t>
            </w:r>
          </w:p>
        </w:tc>
        <w:tc>
          <w:tcPr>
            <w:tcW w:w="6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9863B">
            <w:pPr>
              <w:jc w:val="center"/>
              <w:rPr>
                <w:rFonts w:hint="eastAsia" w:ascii="宋体" w:hAnsi="宋体" w:eastAsia="宋体" w:cs="宋体"/>
                <w:i w:val="0"/>
                <w:color w:val="000000"/>
                <w:sz w:val="24"/>
                <w:szCs w:val="24"/>
                <w:u w:val="none"/>
              </w:rPr>
            </w:pPr>
          </w:p>
        </w:tc>
      </w:tr>
      <w:tr w14:paraId="4F009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8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8C21B">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3D1DD">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056C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采购执行率</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3AF5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C7CE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部门政府采购项目资金支付比例情况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AB0E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3分</w:t>
            </w: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5F4F8">
            <w:pPr>
              <w:jc w:val="left"/>
              <w:rPr>
                <w:rFonts w:hint="eastAsia" w:ascii="宋体" w:hAnsi="宋体" w:eastAsia="宋体" w:cs="宋体"/>
                <w:i w:val="0"/>
                <w:color w:val="000000"/>
                <w:sz w:val="24"/>
                <w:szCs w:val="24"/>
                <w:u w:val="none"/>
              </w:rPr>
            </w:pPr>
          </w:p>
        </w:tc>
        <w:tc>
          <w:tcPr>
            <w:tcW w:w="6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5A776E">
            <w:pPr>
              <w:jc w:val="center"/>
              <w:rPr>
                <w:rFonts w:hint="eastAsia" w:ascii="宋体" w:hAnsi="宋体" w:eastAsia="宋体" w:cs="宋体"/>
                <w:i w:val="0"/>
                <w:color w:val="000000"/>
                <w:sz w:val="24"/>
                <w:szCs w:val="24"/>
                <w:u w:val="none"/>
              </w:rPr>
            </w:pPr>
          </w:p>
        </w:tc>
      </w:tr>
      <w:tr w14:paraId="7AB42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75"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2042ED">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项目绩效</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（35分）</w:t>
            </w:r>
          </w:p>
        </w:tc>
        <w:tc>
          <w:tcPr>
            <w:tcW w:w="514" w:type="dxa"/>
            <w:gridSpan w:val="2"/>
            <w:vMerge w:val="restart"/>
            <w:tcBorders>
              <w:top w:val="single" w:color="000000" w:sz="4" w:space="0"/>
              <w:left w:val="single" w:color="000000" w:sz="4" w:space="0"/>
              <w:right w:val="single" w:color="000000" w:sz="4" w:space="0"/>
            </w:tcBorders>
            <w:shd w:val="clear" w:color="auto" w:fill="auto"/>
            <w:vAlign w:val="center"/>
          </w:tcPr>
          <w:p w14:paraId="6BC7E171">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0D74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41AE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823D5">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部门预算项目设立是否按规定履行评估论证、申报程序</w:t>
            </w:r>
          </w:p>
        </w:tc>
        <w:tc>
          <w:tcPr>
            <w:tcW w:w="752" w:type="dxa"/>
            <w:tcBorders>
              <w:top w:val="single" w:color="000000" w:sz="4" w:space="0"/>
              <w:left w:val="single" w:color="000000" w:sz="4" w:space="0"/>
              <w:bottom w:val="single" w:color="000000" w:sz="4" w:space="0"/>
            </w:tcBorders>
            <w:shd w:val="clear" w:color="auto" w:fill="auto"/>
            <w:vAlign w:val="center"/>
          </w:tcPr>
          <w:p w14:paraId="6002CFC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4分</w:t>
            </w:r>
          </w:p>
        </w:tc>
        <w:tc>
          <w:tcPr>
            <w:tcW w:w="3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D0C3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2025年度我院对转移支付业务费及装备费项目按照资金使用用途即预期实现目标，在财政资金安排前进行绩效目标设置并按期完成项目入库工作</w:t>
            </w:r>
          </w:p>
        </w:tc>
        <w:tc>
          <w:tcPr>
            <w:tcW w:w="632" w:type="dxa"/>
            <w:tcBorders>
              <w:top w:val="single" w:color="000000" w:sz="4" w:space="0"/>
              <w:bottom w:val="single" w:color="000000" w:sz="4" w:space="0"/>
              <w:right w:val="single" w:color="000000" w:sz="4" w:space="0"/>
            </w:tcBorders>
            <w:shd w:val="clear" w:color="auto" w:fill="auto"/>
            <w:vAlign w:val="center"/>
          </w:tcPr>
          <w:p w14:paraId="0416C7E7">
            <w:pPr>
              <w:jc w:val="center"/>
              <w:rPr>
                <w:rFonts w:hint="eastAsia" w:ascii="宋体" w:hAnsi="宋体" w:eastAsia="宋体" w:cs="宋体"/>
                <w:i w:val="0"/>
                <w:color w:val="000000"/>
                <w:sz w:val="24"/>
                <w:szCs w:val="24"/>
                <w:u w:val="none"/>
              </w:rPr>
            </w:pPr>
          </w:p>
        </w:tc>
      </w:tr>
      <w:tr w14:paraId="0F21B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4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67ED5">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right w:val="single" w:color="000000" w:sz="4" w:space="0"/>
            </w:tcBorders>
            <w:shd w:val="clear" w:color="auto" w:fill="auto"/>
            <w:vAlign w:val="center"/>
          </w:tcPr>
          <w:p w14:paraId="2500F56E">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265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目标设置</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B2D8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BD17A">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部门预算项目绩效目标与计划期内的任务量、预算安排的资金量匹配情况，绩效目标设置是否科学合理、规范完整、量化细化、预算匹配</w:t>
            </w:r>
          </w:p>
        </w:tc>
        <w:tc>
          <w:tcPr>
            <w:tcW w:w="752" w:type="dxa"/>
            <w:tcBorders>
              <w:top w:val="single" w:color="000000" w:sz="4" w:space="0"/>
              <w:left w:val="single" w:color="000000" w:sz="4" w:space="0"/>
              <w:bottom w:val="single" w:color="000000" w:sz="4" w:space="0"/>
            </w:tcBorders>
            <w:shd w:val="clear" w:color="auto" w:fill="auto"/>
            <w:vAlign w:val="center"/>
          </w:tcPr>
          <w:p w14:paraId="5EB41D5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4分</w:t>
            </w: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AD47E">
            <w:pPr>
              <w:jc w:val="left"/>
              <w:rPr>
                <w:rFonts w:hint="eastAsia" w:ascii="宋体" w:hAnsi="宋体" w:eastAsia="宋体" w:cs="宋体"/>
                <w:i w:val="0"/>
                <w:color w:val="000000"/>
                <w:sz w:val="24"/>
                <w:szCs w:val="24"/>
                <w:u w:val="none"/>
              </w:rPr>
            </w:pPr>
          </w:p>
        </w:tc>
        <w:tc>
          <w:tcPr>
            <w:tcW w:w="632" w:type="dxa"/>
            <w:tcBorders>
              <w:top w:val="single" w:color="000000" w:sz="4" w:space="0"/>
              <w:bottom w:val="single" w:color="000000" w:sz="4" w:space="0"/>
              <w:right w:val="single" w:color="000000" w:sz="4" w:space="0"/>
            </w:tcBorders>
            <w:shd w:val="clear" w:color="auto" w:fill="auto"/>
            <w:vAlign w:val="center"/>
          </w:tcPr>
          <w:p w14:paraId="16B13E71">
            <w:pPr>
              <w:jc w:val="center"/>
              <w:rPr>
                <w:rFonts w:hint="eastAsia" w:ascii="宋体" w:hAnsi="宋体" w:eastAsia="宋体" w:cs="宋体"/>
                <w:i w:val="0"/>
                <w:color w:val="000000"/>
                <w:sz w:val="24"/>
                <w:szCs w:val="24"/>
                <w:u w:val="none"/>
              </w:rPr>
            </w:pPr>
          </w:p>
        </w:tc>
      </w:tr>
      <w:tr w14:paraId="67EA1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5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1710F">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right w:val="single" w:color="000000" w:sz="4" w:space="0"/>
            </w:tcBorders>
            <w:shd w:val="clear" w:color="auto" w:fill="auto"/>
            <w:vAlign w:val="center"/>
          </w:tcPr>
          <w:p w14:paraId="657EDF3D">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8242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项目入库</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BAF9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6E24B">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部门预算项目是否在规定时间完成项目入库</w:t>
            </w:r>
          </w:p>
        </w:tc>
        <w:tc>
          <w:tcPr>
            <w:tcW w:w="752" w:type="dxa"/>
            <w:tcBorders>
              <w:top w:val="single" w:color="000000" w:sz="4" w:space="0"/>
              <w:left w:val="single" w:color="000000" w:sz="4" w:space="0"/>
              <w:bottom w:val="single" w:color="000000" w:sz="4" w:space="0"/>
            </w:tcBorders>
            <w:shd w:val="clear" w:color="auto" w:fill="auto"/>
            <w:vAlign w:val="center"/>
          </w:tcPr>
          <w:p w14:paraId="2C11DE6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4分</w:t>
            </w: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6474C">
            <w:pPr>
              <w:jc w:val="left"/>
              <w:rPr>
                <w:rFonts w:hint="eastAsia" w:ascii="宋体" w:hAnsi="宋体" w:eastAsia="宋体" w:cs="宋体"/>
                <w:i w:val="0"/>
                <w:color w:val="000000"/>
                <w:sz w:val="24"/>
                <w:szCs w:val="24"/>
                <w:u w:val="none"/>
              </w:rPr>
            </w:pPr>
          </w:p>
        </w:tc>
        <w:tc>
          <w:tcPr>
            <w:tcW w:w="632" w:type="dxa"/>
            <w:tcBorders>
              <w:top w:val="single" w:color="000000" w:sz="4" w:space="0"/>
              <w:bottom w:val="single" w:color="000000" w:sz="4" w:space="0"/>
              <w:right w:val="single" w:color="000000" w:sz="4" w:space="0"/>
            </w:tcBorders>
            <w:shd w:val="clear" w:color="auto" w:fill="auto"/>
            <w:vAlign w:val="center"/>
          </w:tcPr>
          <w:p w14:paraId="48493466">
            <w:pPr>
              <w:jc w:val="center"/>
              <w:rPr>
                <w:rFonts w:hint="eastAsia" w:ascii="宋体" w:hAnsi="宋体" w:eastAsia="宋体" w:cs="宋体"/>
                <w:i w:val="0"/>
                <w:color w:val="000000"/>
                <w:sz w:val="24"/>
                <w:szCs w:val="24"/>
                <w:u w:val="none"/>
              </w:rPr>
            </w:pPr>
          </w:p>
        </w:tc>
      </w:tr>
      <w:tr w14:paraId="2B444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1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66163">
            <w:pPr>
              <w:jc w:val="center"/>
              <w:rPr>
                <w:rFonts w:hint="eastAsia" w:ascii="宋体" w:hAnsi="宋体" w:eastAsia="宋体" w:cs="宋体"/>
                <w:b/>
                <w:i w:val="0"/>
                <w:color w:val="000000"/>
                <w:sz w:val="24"/>
                <w:szCs w:val="24"/>
                <w:u w:val="none"/>
              </w:rPr>
            </w:pPr>
          </w:p>
        </w:tc>
        <w:tc>
          <w:tcPr>
            <w:tcW w:w="514" w:type="dxa"/>
            <w:gridSpan w:val="2"/>
            <w:vMerge w:val="restart"/>
            <w:tcBorders>
              <w:top w:val="single" w:color="000000" w:sz="4" w:space="0"/>
              <w:left w:val="single" w:color="000000" w:sz="4" w:space="0"/>
              <w:right w:val="single" w:color="000000" w:sz="4" w:space="0"/>
            </w:tcBorders>
            <w:shd w:val="clear" w:color="auto" w:fill="auto"/>
            <w:vAlign w:val="center"/>
          </w:tcPr>
          <w:p w14:paraId="2D4B99DE">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项目执行</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（12分）</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BD35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执行同向</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C2C0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211C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部门预算项目实际列支内容是否与绩效目标设置方向相符</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F14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4分</w:t>
            </w:r>
          </w:p>
        </w:tc>
        <w:tc>
          <w:tcPr>
            <w:tcW w:w="3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F4EEA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各项目在实施过程中资金到位率和支付均均满足设定目标，在实施过程中经费不足，及时作出调整向财政申请资金追加，最终顺利完成全年预期目标。各项目实施后其设定的社会效益指标和满意度指标均达预期，项目执行达预期目标。</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49B2">
            <w:pPr>
              <w:jc w:val="center"/>
              <w:rPr>
                <w:rFonts w:hint="eastAsia" w:ascii="宋体" w:hAnsi="宋体" w:eastAsia="宋体" w:cs="宋体"/>
                <w:i w:val="0"/>
                <w:color w:val="000000"/>
                <w:sz w:val="24"/>
                <w:szCs w:val="24"/>
                <w:u w:val="none"/>
              </w:rPr>
            </w:pPr>
          </w:p>
        </w:tc>
      </w:tr>
      <w:tr w14:paraId="193B0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2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A4A28">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right w:val="single" w:color="000000" w:sz="4" w:space="0"/>
            </w:tcBorders>
            <w:shd w:val="clear" w:color="auto" w:fill="auto"/>
            <w:vAlign w:val="center"/>
          </w:tcPr>
          <w:p w14:paraId="550C38DC">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right w:val="single" w:color="000000" w:sz="4" w:space="0"/>
            </w:tcBorders>
            <w:shd w:val="clear" w:color="auto" w:fill="auto"/>
            <w:vAlign w:val="center"/>
          </w:tcPr>
          <w:p w14:paraId="391072E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项目调整</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95F8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C0A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部门预算项目是否采取对应调整措施</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7554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4分</w:t>
            </w: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0CF16">
            <w:pPr>
              <w:jc w:val="center"/>
              <w:rPr>
                <w:rFonts w:hint="eastAsia" w:ascii="宋体" w:hAnsi="宋体" w:eastAsia="宋体" w:cs="宋体"/>
                <w:i w:val="0"/>
                <w:color w:val="000000"/>
                <w:sz w:val="24"/>
                <w:szCs w:val="24"/>
                <w:u w:val="none"/>
              </w:rPr>
            </w:pP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4EF2">
            <w:pPr>
              <w:jc w:val="center"/>
              <w:rPr>
                <w:rFonts w:hint="eastAsia" w:ascii="宋体" w:hAnsi="宋体" w:eastAsia="宋体" w:cs="宋体"/>
                <w:i w:val="0"/>
                <w:color w:val="000000"/>
                <w:sz w:val="24"/>
                <w:szCs w:val="24"/>
                <w:u w:val="none"/>
              </w:rPr>
            </w:pPr>
          </w:p>
        </w:tc>
      </w:tr>
      <w:tr w14:paraId="32AA3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5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675D7">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right w:val="single" w:color="000000" w:sz="4" w:space="0"/>
            </w:tcBorders>
            <w:shd w:val="clear" w:color="auto" w:fill="auto"/>
            <w:vAlign w:val="center"/>
          </w:tcPr>
          <w:p w14:paraId="0928ADE1">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5F23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执行结果</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7C99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88B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部门预算项目预算执行情况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28E6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4分</w:t>
            </w: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BC4A6">
            <w:pPr>
              <w:jc w:val="center"/>
              <w:rPr>
                <w:rFonts w:hint="eastAsia" w:ascii="宋体" w:hAnsi="宋体" w:eastAsia="宋体" w:cs="宋体"/>
                <w:i w:val="0"/>
                <w:color w:val="000000"/>
                <w:sz w:val="24"/>
                <w:szCs w:val="24"/>
                <w:u w:val="none"/>
              </w:rPr>
            </w:pPr>
          </w:p>
        </w:tc>
        <w:tc>
          <w:tcPr>
            <w:tcW w:w="632" w:type="dxa"/>
            <w:tcBorders>
              <w:left w:val="single" w:color="000000" w:sz="4" w:space="0"/>
              <w:bottom w:val="single" w:color="000000" w:sz="4" w:space="0"/>
              <w:right w:val="single" w:color="000000" w:sz="4" w:space="0"/>
            </w:tcBorders>
            <w:shd w:val="clear" w:color="auto" w:fill="auto"/>
            <w:vAlign w:val="center"/>
          </w:tcPr>
          <w:p w14:paraId="6DBFFD01">
            <w:pPr>
              <w:jc w:val="center"/>
              <w:rPr>
                <w:rFonts w:hint="eastAsia" w:ascii="宋体" w:hAnsi="宋体" w:eastAsia="宋体" w:cs="宋体"/>
                <w:i w:val="0"/>
                <w:color w:val="000000"/>
                <w:sz w:val="24"/>
                <w:szCs w:val="24"/>
                <w:u w:val="none"/>
              </w:rPr>
            </w:pPr>
          </w:p>
        </w:tc>
      </w:tr>
      <w:tr w14:paraId="50056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1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890BF">
            <w:pPr>
              <w:jc w:val="center"/>
              <w:rPr>
                <w:rFonts w:hint="eastAsia" w:ascii="宋体" w:hAnsi="宋体" w:eastAsia="宋体" w:cs="宋体"/>
                <w:b/>
                <w:i w:val="0"/>
                <w:color w:val="000000"/>
                <w:sz w:val="24"/>
                <w:szCs w:val="24"/>
                <w:u w:val="none"/>
              </w:rPr>
            </w:pPr>
          </w:p>
        </w:tc>
        <w:tc>
          <w:tcPr>
            <w:tcW w:w="514"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B583E2">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目标实现</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（11分）</w:t>
            </w: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6FA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5691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2CEB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部门预算项目绩效目标数量指标完成情况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7008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4分</w:t>
            </w:r>
          </w:p>
        </w:tc>
        <w:tc>
          <w:tcPr>
            <w:tcW w:w="30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6A734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制定”自评质量标总分11分，自评得分11分。所有项目均顺利完成年初设定目标；未出现目标偏离情况，项目实施有效缓解当事人困难、提升检察干警工作积极性、保障检察设施设备提到提升，维护了社会和谐稳定，提升了社会满意度。</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70C6">
            <w:pPr>
              <w:jc w:val="center"/>
              <w:rPr>
                <w:rFonts w:hint="eastAsia" w:ascii="宋体" w:hAnsi="宋体" w:eastAsia="宋体" w:cs="宋体"/>
                <w:i w:val="0"/>
                <w:color w:val="000000"/>
                <w:sz w:val="24"/>
                <w:szCs w:val="24"/>
                <w:u w:val="none"/>
              </w:rPr>
            </w:pPr>
          </w:p>
        </w:tc>
      </w:tr>
      <w:tr w14:paraId="572CD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7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3BBC5">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EF9F4">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07DE">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目标偏离</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CE7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D24A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部门预算项目绩效目标数量指标实现程度与预期目标的偏离情况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ECF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4分</w:t>
            </w: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8C0A0">
            <w:pPr>
              <w:jc w:val="left"/>
              <w:rPr>
                <w:rFonts w:hint="eastAsia" w:ascii="宋体" w:hAnsi="宋体" w:eastAsia="宋体" w:cs="宋体"/>
                <w:i w:val="0"/>
                <w:color w:val="000000"/>
                <w:sz w:val="24"/>
                <w:szCs w:val="24"/>
                <w:u w:val="none"/>
              </w:rPr>
            </w:pP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592B4">
            <w:pPr>
              <w:jc w:val="center"/>
              <w:rPr>
                <w:rFonts w:hint="eastAsia" w:ascii="宋体" w:hAnsi="宋体" w:eastAsia="宋体" w:cs="宋体"/>
                <w:i w:val="0"/>
                <w:color w:val="000000"/>
                <w:sz w:val="24"/>
                <w:szCs w:val="24"/>
                <w:u w:val="none"/>
              </w:rPr>
            </w:pPr>
          </w:p>
        </w:tc>
      </w:tr>
      <w:tr w14:paraId="2319C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55"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DDD8F">
            <w:pPr>
              <w:jc w:val="center"/>
              <w:rPr>
                <w:rFonts w:hint="eastAsia" w:ascii="宋体" w:hAnsi="宋体" w:eastAsia="宋体" w:cs="宋体"/>
                <w:b/>
                <w:i w:val="0"/>
                <w:color w:val="000000"/>
                <w:sz w:val="24"/>
                <w:szCs w:val="24"/>
                <w:u w:val="none"/>
              </w:rPr>
            </w:pPr>
          </w:p>
        </w:tc>
        <w:tc>
          <w:tcPr>
            <w:tcW w:w="514"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C1FD1">
            <w:pPr>
              <w:jc w:val="center"/>
              <w:rPr>
                <w:rFonts w:hint="eastAsia" w:ascii="宋体" w:hAnsi="宋体" w:eastAsia="宋体" w:cs="宋体"/>
                <w:b/>
                <w:i w:val="0"/>
                <w:color w:val="000000"/>
                <w:sz w:val="24"/>
                <w:szCs w:val="24"/>
                <w:u w:val="none"/>
              </w:rPr>
            </w:pPr>
          </w:p>
        </w:tc>
        <w:tc>
          <w:tcPr>
            <w:tcW w:w="8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96E8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实现效果</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DE78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DF4CE">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部门预算项目绩效目标效益指标实施效果</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DBA5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3分</w:t>
            </w:r>
          </w:p>
        </w:tc>
        <w:tc>
          <w:tcPr>
            <w:tcW w:w="30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7056E">
            <w:pPr>
              <w:jc w:val="left"/>
              <w:rPr>
                <w:rFonts w:hint="eastAsia" w:ascii="宋体" w:hAnsi="宋体" w:eastAsia="宋体" w:cs="宋体"/>
                <w:i w:val="0"/>
                <w:color w:val="000000"/>
                <w:sz w:val="24"/>
                <w:szCs w:val="24"/>
                <w:u w:val="none"/>
              </w:rPr>
            </w:pP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7A560">
            <w:pPr>
              <w:jc w:val="center"/>
              <w:rPr>
                <w:rFonts w:hint="eastAsia" w:ascii="宋体" w:hAnsi="宋体" w:eastAsia="宋体" w:cs="宋体"/>
                <w:i w:val="0"/>
                <w:color w:val="000000"/>
                <w:sz w:val="24"/>
                <w:szCs w:val="24"/>
                <w:u w:val="none"/>
              </w:rPr>
            </w:pPr>
          </w:p>
        </w:tc>
      </w:tr>
      <w:tr w14:paraId="09594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470" w:hRule="atLeast"/>
        </w:trPr>
        <w:tc>
          <w:tcPr>
            <w:tcW w:w="5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1F2D52">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3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9EE6E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预算绩效存在问题</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C9C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6CFC8">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预算管理和绩效管理工作存在问题</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AD71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缺（错）项</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扣分法</w:t>
            </w:r>
          </w:p>
        </w:tc>
        <w:tc>
          <w:tcPr>
            <w:tcW w:w="3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5DF0">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依据评价年度人大监督、巡视巡察、审计监督、财会监督等结果以及评价指标体系涉及的履职效果、预算管理、财务管理、资产管理、采购管理、项目绩效等方面出现的问题，每有一个问题点扣1分，扣完为止。</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8329B">
            <w:pPr>
              <w:jc w:val="center"/>
              <w:rPr>
                <w:rFonts w:hint="eastAsia" w:ascii="宋体" w:hAnsi="宋体" w:eastAsia="宋体" w:cs="宋体"/>
                <w:i w:val="0"/>
                <w:color w:val="000000"/>
                <w:sz w:val="24"/>
                <w:szCs w:val="24"/>
                <w:u w:val="none"/>
              </w:rPr>
            </w:pPr>
          </w:p>
        </w:tc>
      </w:tr>
      <w:tr w14:paraId="491E9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00" w:hRule="atLeast"/>
        </w:trPr>
        <w:tc>
          <w:tcPr>
            <w:tcW w:w="5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E176F">
            <w:pPr>
              <w:jc w:val="center"/>
              <w:rPr>
                <w:rFonts w:hint="eastAsia" w:ascii="宋体" w:hAnsi="宋体" w:eastAsia="宋体" w:cs="宋体"/>
                <w:b/>
                <w:i w:val="0"/>
                <w:color w:val="000000"/>
                <w:sz w:val="24"/>
                <w:szCs w:val="24"/>
                <w:u w:val="none"/>
              </w:rPr>
            </w:pPr>
          </w:p>
        </w:tc>
        <w:tc>
          <w:tcPr>
            <w:tcW w:w="137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8B5A0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被评价部门配合度</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C93A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15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D2144">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336F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缺（错）项</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扣分法</w:t>
            </w:r>
          </w:p>
        </w:tc>
        <w:tc>
          <w:tcPr>
            <w:tcW w:w="30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656B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评价工作开展过程中，被评价对象拖延推诿、提交资料不及时等拒不配合评价工作的，每发现一次扣1分，扣完为止。</w:t>
            </w:r>
          </w:p>
        </w:tc>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059A">
            <w:pPr>
              <w:jc w:val="center"/>
              <w:rPr>
                <w:rFonts w:hint="eastAsia" w:ascii="宋体" w:hAnsi="宋体" w:eastAsia="宋体" w:cs="宋体"/>
                <w:i w:val="0"/>
                <w:color w:val="000000"/>
                <w:sz w:val="24"/>
                <w:szCs w:val="24"/>
                <w:u w:val="none"/>
              </w:rPr>
            </w:pPr>
          </w:p>
        </w:tc>
      </w:tr>
    </w:tbl>
    <w:p w14:paraId="1B17C1B7">
      <w:pPr>
        <w:pStyle w:val="3"/>
        <w:rPr>
          <w:rFonts w:hint="eastAsia" w:ascii="Times New Roman" w:hAnsi="Times New Roman" w:eastAsia="仿宋_GB2312" w:cs="仿宋_GB2312"/>
          <w:b w:val="0"/>
          <w:bCs w:val="0"/>
          <w:kern w:val="0"/>
          <w:position w:val="0"/>
          <w:sz w:val="32"/>
          <w:szCs w:val="32"/>
          <w:highlight w:val="none"/>
          <w:lang w:val="en-US" w:eastAsia="zh-CN" w:bidi="ar-SA"/>
        </w:rPr>
      </w:pPr>
    </w:p>
    <w:p w14:paraId="4BEC7D13">
      <w:pPr>
        <w:pStyle w:val="3"/>
        <w:rPr>
          <w:rFonts w:hint="eastAsia" w:ascii="Times New Roman" w:hAnsi="Times New Roman" w:eastAsia="仿宋_GB2312" w:cs="仿宋_GB2312"/>
          <w:b w:val="0"/>
          <w:bCs w:val="0"/>
          <w:kern w:val="0"/>
          <w:position w:val="0"/>
          <w:sz w:val="32"/>
          <w:szCs w:val="32"/>
          <w:highlight w:val="none"/>
          <w:lang w:val="en-US" w:eastAsia="zh-CN" w:bidi="ar-SA"/>
        </w:rPr>
      </w:pPr>
    </w:p>
    <w:p w14:paraId="4EFF1020">
      <w:pPr>
        <w:widowControl/>
        <w:jc w:val="center"/>
        <w:rPr>
          <w:rFonts w:hint="eastAsia" w:ascii="Times New Roman" w:hAnsi="Times New Roman" w:eastAsia="黑体"/>
          <w:color w:val="auto"/>
          <w:sz w:val="44"/>
          <w:szCs w:val="44"/>
          <w:highlight w:val="none"/>
        </w:rPr>
      </w:pPr>
      <w:bookmarkStart w:id="81" w:name="_Toc15396618"/>
    </w:p>
    <w:p w14:paraId="7379A61C">
      <w:pPr>
        <w:widowControl/>
        <w:jc w:val="center"/>
        <w:rPr>
          <w:rFonts w:hint="eastAsia" w:ascii="Times New Roman" w:hAnsi="Times New Roman" w:eastAsia="黑体"/>
          <w:color w:val="auto"/>
          <w:sz w:val="44"/>
          <w:szCs w:val="44"/>
          <w:highlight w:val="none"/>
        </w:rPr>
      </w:pPr>
    </w:p>
    <w:p w14:paraId="4B4FE1BC">
      <w:pPr>
        <w:widowControl/>
        <w:jc w:val="center"/>
        <w:rPr>
          <w:rFonts w:hint="eastAsia" w:ascii="Times New Roman" w:hAnsi="Times New Roman" w:eastAsia="黑体"/>
          <w:color w:val="auto"/>
          <w:sz w:val="44"/>
          <w:szCs w:val="44"/>
          <w:highlight w:val="none"/>
        </w:rPr>
      </w:pPr>
    </w:p>
    <w:p w14:paraId="62F2ABC4">
      <w:pPr>
        <w:widowControl/>
        <w:jc w:val="center"/>
        <w:rPr>
          <w:rFonts w:hint="eastAsia" w:ascii="Times New Roman" w:hAnsi="Times New Roman" w:eastAsia="黑体"/>
          <w:color w:val="auto"/>
          <w:sz w:val="44"/>
          <w:szCs w:val="44"/>
          <w:highlight w:val="none"/>
        </w:rPr>
      </w:pPr>
    </w:p>
    <w:p w14:paraId="5723B016">
      <w:pPr>
        <w:widowControl/>
        <w:jc w:val="center"/>
        <w:rPr>
          <w:rFonts w:hint="eastAsia" w:ascii="Times New Roman" w:hAnsi="Times New Roman" w:eastAsia="黑体"/>
          <w:color w:val="auto"/>
          <w:sz w:val="44"/>
          <w:szCs w:val="44"/>
          <w:highlight w:val="none"/>
        </w:rPr>
      </w:pPr>
    </w:p>
    <w:p w14:paraId="0B5BF9D4">
      <w:pPr>
        <w:widowControl/>
        <w:jc w:val="center"/>
        <w:rPr>
          <w:rFonts w:hint="eastAsia" w:ascii="Times New Roman" w:hAnsi="Times New Roman" w:eastAsia="黑体"/>
          <w:color w:val="auto"/>
          <w:sz w:val="44"/>
          <w:szCs w:val="44"/>
          <w:highlight w:val="none"/>
        </w:rPr>
      </w:pPr>
    </w:p>
    <w:p w14:paraId="76450A11">
      <w:pPr>
        <w:widowControl/>
        <w:jc w:val="center"/>
        <w:rPr>
          <w:rFonts w:hint="eastAsia" w:ascii="Times New Roman" w:hAnsi="Times New Roman" w:eastAsia="黑体"/>
          <w:color w:val="auto"/>
          <w:sz w:val="44"/>
          <w:szCs w:val="44"/>
          <w:highlight w:val="none"/>
        </w:rPr>
      </w:pPr>
    </w:p>
    <w:p w14:paraId="4F17DD72">
      <w:pPr>
        <w:widowControl/>
        <w:jc w:val="center"/>
        <w:rPr>
          <w:rFonts w:hint="eastAsia" w:ascii="Times New Roman" w:hAnsi="Times New Roman" w:eastAsia="黑体"/>
          <w:color w:val="auto"/>
          <w:sz w:val="44"/>
          <w:szCs w:val="44"/>
          <w:highlight w:val="none"/>
        </w:rPr>
      </w:pPr>
    </w:p>
    <w:p w14:paraId="68B0F661">
      <w:pPr>
        <w:widowControl/>
        <w:jc w:val="center"/>
        <w:rPr>
          <w:rFonts w:hint="eastAsia" w:ascii="Times New Roman" w:hAnsi="Times New Roman" w:eastAsia="黑体"/>
          <w:color w:val="auto"/>
          <w:sz w:val="44"/>
          <w:szCs w:val="44"/>
          <w:highlight w:val="none"/>
        </w:rPr>
      </w:pPr>
    </w:p>
    <w:p w14:paraId="77D508AF">
      <w:pPr>
        <w:widowControl/>
        <w:jc w:val="center"/>
        <w:rPr>
          <w:rFonts w:hint="eastAsia" w:ascii="Times New Roman" w:hAnsi="Times New Roman" w:eastAsia="黑体"/>
          <w:color w:val="auto"/>
          <w:sz w:val="44"/>
          <w:szCs w:val="44"/>
          <w:highlight w:val="none"/>
        </w:rPr>
      </w:pPr>
    </w:p>
    <w:p w14:paraId="6A9FAE41">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30"/>
          <w:rFonts w:hint="eastAsia" w:ascii="Times New Roman" w:hAnsi="Times New Roman" w:eastAsia="黑体"/>
          <w:b w:val="0"/>
          <w:color w:val="auto"/>
          <w:highlight w:val="none"/>
        </w:rPr>
        <w:t>五部分 附表</w:t>
      </w:r>
      <w:bookmarkEnd w:id="77"/>
      <w:bookmarkEnd w:id="81"/>
      <w:bookmarkStart w:id="82" w:name="_Toc15396619"/>
    </w:p>
    <w:p w14:paraId="19A3104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7B0198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2"/>
    </w:p>
    <w:p w14:paraId="201EF4D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0"/>
      <w:r>
        <w:rPr>
          <w:rFonts w:hint="eastAsia" w:ascii="Times New Roman" w:hAnsi="Times New Roman" w:eastAsia="仿宋_GB2312" w:cs="仿宋_GB2312"/>
          <w:color w:val="auto"/>
          <w:sz w:val="32"/>
          <w:szCs w:val="32"/>
          <w:highlight w:val="none"/>
        </w:rPr>
        <w:t>二、收入决算表</w:t>
      </w:r>
      <w:bookmarkEnd w:id="83"/>
    </w:p>
    <w:p w14:paraId="60E6C60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15396621"/>
      <w:r>
        <w:rPr>
          <w:rFonts w:hint="eastAsia" w:ascii="Times New Roman" w:hAnsi="Times New Roman" w:eastAsia="仿宋_GB2312" w:cs="仿宋_GB2312"/>
          <w:color w:val="auto"/>
          <w:sz w:val="32"/>
          <w:szCs w:val="32"/>
          <w:highlight w:val="none"/>
        </w:rPr>
        <w:t>三、支出决算表</w:t>
      </w:r>
      <w:bookmarkEnd w:id="84"/>
    </w:p>
    <w:p w14:paraId="5FDF382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22"/>
      <w:r>
        <w:rPr>
          <w:rFonts w:hint="eastAsia" w:ascii="Times New Roman" w:hAnsi="Times New Roman" w:eastAsia="仿宋_GB2312" w:cs="仿宋_GB2312"/>
          <w:color w:val="auto"/>
          <w:sz w:val="32"/>
          <w:szCs w:val="32"/>
          <w:highlight w:val="none"/>
        </w:rPr>
        <w:t>四、财政拨款收入支出决算总表</w:t>
      </w:r>
      <w:bookmarkEnd w:id="85"/>
    </w:p>
    <w:p w14:paraId="144E3F2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3"/>
      <w:r>
        <w:rPr>
          <w:rFonts w:hint="eastAsia" w:ascii="Times New Roman" w:hAnsi="Times New Roman" w:eastAsia="仿宋_GB2312" w:cs="仿宋_GB2312"/>
          <w:color w:val="auto"/>
          <w:sz w:val="32"/>
          <w:szCs w:val="32"/>
          <w:highlight w:val="none"/>
        </w:rPr>
        <w:t>五、财政拨款支出决算明细表</w:t>
      </w:r>
      <w:bookmarkEnd w:id="86"/>
      <w:bookmarkStart w:id="87" w:name="_Toc15396624"/>
    </w:p>
    <w:p w14:paraId="057AC4F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7"/>
    </w:p>
    <w:p w14:paraId="23365A0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5"/>
      <w:r>
        <w:rPr>
          <w:rFonts w:hint="eastAsia" w:ascii="Times New Roman" w:hAnsi="Times New Roman" w:eastAsia="仿宋_GB2312" w:cs="仿宋_GB2312"/>
          <w:color w:val="auto"/>
          <w:sz w:val="32"/>
          <w:szCs w:val="32"/>
          <w:highlight w:val="none"/>
        </w:rPr>
        <w:t>七、一般公共预算财政拨款支出决算明细表</w:t>
      </w:r>
      <w:bookmarkEnd w:id="88"/>
    </w:p>
    <w:p w14:paraId="0AE3ED8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6"/>
      <w:r>
        <w:rPr>
          <w:rFonts w:hint="eastAsia" w:ascii="Times New Roman" w:hAnsi="Times New Roman" w:eastAsia="仿宋_GB2312" w:cs="仿宋_GB2312"/>
          <w:color w:val="auto"/>
          <w:sz w:val="32"/>
          <w:szCs w:val="32"/>
          <w:highlight w:val="none"/>
        </w:rPr>
        <w:t>八、一般公共预算财政拨款基本支出决算表</w:t>
      </w:r>
      <w:bookmarkEnd w:id="89"/>
    </w:p>
    <w:p w14:paraId="532E18E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27"/>
      <w:r>
        <w:rPr>
          <w:rFonts w:hint="eastAsia" w:ascii="Times New Roman" w:hAnsi="Times New Roman" w:eastAsia="仿宋_GB2312" w:cs="仿宋_GB2312"/>
          <w:color w:val="auto"/>
          <w:sz w:val="32"/>
          <w:szCs w:val="32"/>
          <w:highlight w:val="none"/>
        </w:rPr>
        <w:t>九、一般公共预算财政拨款项目支出决算表</w:t>
      </w:r>
      <w:bookmarkEnd w:id="90"/>
    </w:p>
    <w:p w14:paraId="10D3023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28"/>
      <w:r>
        <w:rPr>
          <w:rFonts w:hint="eastAsia" w:ascii="Times New Roman" w:hAnsi="Times New Roman" w:eastAsia="仿宋_GB2312" w:cs="仿宋_GB2312"/>
          <w:color w:val="auto"/>
          <w:sz w:val="32"/>
          <w:szCs w:val="32"/>
          <w:highlight w:val="none"/>
        </w:rPr>
        <w:t>十、</w:t>
      </w:r>
      <w:bookmarkEnd w:id="91"/>
      <w:r>
        <w:rPr>
          <w:rFonts w:hint="eastAsia" w:ascii="Times New Roman" w:hAnsi="Times New Roman" w:eastAsia="仿宋_GB2312" w:cs="仿宋_GB2312"/>
          <w:color w:val="auto"/>
          <w:sz w:val="32"/>
          <w:szCs w:val="32"/>
          <w:highlight w:val="none"/>
        </w:rPr>
        <w:t>政府性基金预算财政拨款收入支出决算表</w:t>
      </w:r>
    </w:p>
    <w:p w14:paraId="3F4C21A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15396629"/>
      <w:r>
        <w:rPr>
          <w:rFonts w:hint="eastAsia" w:ascii="Times New Roman" w:hAnsi="Times New Roman" w:eastAsia="仿宋_GB2312" w:cs="仿宋_GB2312"/>
          <w:color w:val="auto"/>
          <w:sz w:val="32"/>
          <w:szCs w:val="32"/>
          <w:highlight w:val="none"/>
        </w:rPr>
        <w:t>十一、</w:t>
      </w:r>
      <w:bookmarkEnd w:id="9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BFA6CB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3" w:name="_Toc15396630"/>
      <w:r>
        <w:rPr>
          <w:rFonts w:hint="eastAsia" w:ascii="Times New Roman" w:hAnsi="Times New Roman" w:eastAsia="仿宋_GB2312" w:cs="仿宋_GB2312"/>
          <w:color w:val="auto"/>
          <w:sz w:val="32"/>
          <w:szCs w:val="32"/>
          <w:highlight w:val="none"/>
        </w:rPr>
        <w:t>十二、</w:t>
      </w:r>
      <w:bookmarkEnd w:id="93"/>
      <w:r>
        <w:rPr>
          <w:rFonts w:hint="eastAsia" w:ascii="Times New Roman" w:hAnsi="Times New Roman" w:eastAsia="仿宋_GB2312" w:cs="仿宋_GB2312"/>
          <w:color w:val="auto"/>
          <w:sz w:val="32"/>
          <w:szCs w:val="32"/>
          <w:highlight w:val="none"/>
          <w:lang w:eastAsia="zh-CN"/>
        </w:rPr>
        <w:t>国有资本经营预算财政拨款支出决算表</w:t>
      </w:r>
    </w:p>
    <w:p w14:paraId="096FED3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4" w:name="_Toc15396631"/>
      <w:r>
        <w:rPr>
          <w:rFonts w:hint="eastAsia" w:ascii="Times New Roman" w:hAnsi="Times New Roman" w:eastAsia="仿宋_GB2312" w:cs="仿宋_GB2312"/>
          <w:color w:val="auto"/>
          <w:sz w:val="32"/>
          <w:szCs w:val="32"/>
          <w:highlight w:val="none"/>
        </w:rPr>
        <w:t>十三、</w:t>
      </w:r>
      <w:bookmarkEnd w:id="94"/>
      <w:r>
        <w:rPr>
          <w:rFonts w:hint="eastAsia" w:ascii="Times New Roman" w:hAnsi="Times New Roman" w:eastAsia="仿宋_GB2312" w:cs="仿宋_GB2312"/>
          <w:color w:val="auto"/>
          <w:sz w:val="32"/>
          <w:szCs w:val="32"/>
          <w:highlight w:val="none"/>
          <w:lang w:eastAsia="zh-CN"/>
        </w:rPr>
        <w:t>财政拨款“三公”经费支出决算表</w:t>
      </w:r>
    </w:p>
    <w:p w14:paraId="2FFAE8D1">
      <w:pPr>
        <w:rPr>
          <w:rFonts w:hint="eastAsia" w:ascii="Times New Roman" w:hAnsi="Times New Roman"/>
          <w:lang w:eastAsia="zh-CN"/>
        </w:rPr>
      </w:pPr>
    </w:p>
    <w:p w14:paraId="32603092">
      <w:pPr>
        <w:pStyle w:val="2"/>
        <w:rPr>
          <w:rFonts w:hint="eastAsia" w:ascii="Times New Roman" w:hAnsi="Times New Roman"/>
          <w:lang w:eastAsia="zh-CN"/>
        </w:rPr>
      </w:pPr>
    </w:p>
    <w:p w14:paraId="4590DA62">
      <w:pPr>
        <w:pStyle w:val="2"/>
        <w:rPr>
          <w:rFonts w:hint="eastAsia" w:ascii="Times New Roman" w:hAnsi="Times New Roman"/>
          <w:lang w:eastAsia="zh-CN"/>
        </w:rPr>
      </w:pPr>
    </w:p>
    <w:p w14:paraId="79AE0517">
      <w:pPr>
        <w:pStyle w:val="2"/>
        <w:rPr>
          <w:rFonts w:hint="eastAsia" w:ascii="Times New Roman" w:hAnsi="Times New Roman"/>
          <w:lang w:eastAsia="zh-CN"/>
        </w:rPr>
      </w:pPr>
    </w:p>
    <w:p w14:paraId="51E154F1">
      <w:pPr>
        <w:pStyle w:val="3"/>
        <w:rPr>
          <w:rFonts w:hint="eastAsia" w:ascii="Times New Roman" w:hAnsi="Times New Roman"/>
          <w:lang w:eastAsia="zh-CN"/>
        </w:rPr>
      </w:pPr>
    </w:p>
    <w:p w14:paraId="0D8FD0AD">
      <w:pPr>
        <w:pStyle w:val="3"/>
        <w:rPr>
          <w:rFonts w:hint="eastAsia" w:ascii="Times New Roman" w:hAnsi="Times New Roman"/>
          <w:lang w:eastAsia="zh-CN"/>
        </w:rPr>
      </w:pPr>
    </w:p>
    <w:p w14:paraId="492B0BFE">
      <w:pPr>
        <w:pStyle w:val="3"/>
        <w:rPr>
          <w:rFonts w:hint="eastAsia" w:ascii="Times New Roman" w:hAnsi="Times New Roman"/>
          <w:lang w:eastAsia="zh-CN"/>
        </w:rPr>
      </w:pPr>
    </w:p>
    <w:p w14:paraId="223A307C">
      <w:pPr>
        <w:pStyle w:val="3"/>
        <w:rPr>
          <w:rFonts w:hint="eastAsia" w:ascii="Times New Roman" w:hAnsi="Times New Roman"/>
          <w:lang w:eastAsia="zh-CN"/>
        </w:rPr>
      </w:pPr>
    </w:p>
    <w:p w14:paraId="256435F8">
      <w:pPr>
        <w:pStyle w:val="3"/>
        <w:rPr>
          <w:rFonts w:hint="eastAsia" w:ascii="Times New Roman" w:hAnsi="Times New Roman"/>
          <w:lang w:eastAsia="zh-CN"/>
        </w:rPr>
      </w:pPr>
    </w:p>
    <w:p w14:paraId="6AF9AABD">
      <w:pPr>
        <w:pStyle w:val="3"/>
        <w:rPr>
          <w:rFonts w:hint="eastAsia" w:ascii="Times New Roman" w:hAnsi="Times New Roman"/>
          <w:lang w:eastAsia="zh-CN"/>
        </w:rPr>
      </w:pPr>
    </w:p>
    <w:p w14:paraId="44F35CD4">
      <w:pPr>
        <w:pStyle w:val="3"/>
        <w:rPr>
          <w:rFonts w:hint="eastAsia" w:ascii="Times New Roman" w:hAnsi="Times New Roman"/>
          <w:lang w:eastAsia="zh-CN"/>
        </w:rPr>
      </w:pPr>
    </w:p>
    <w:p w14:paraId="3AE4A528">
      <w:pPr>
        <w:pStyle w:val="3"/>
        <w:rPr>
          <w:rFonts w:hint="eastAsia" w:ascii="Times New Roman" w:hAnsi="Times New Roman"/>
          <w:lang w:eastAsia="zh-CN"/>
        </w:rPr>
      </w:pPr>
    </w:p>
    <w:p w14:paraId="766B8C81">
      <w:pPr>
        <w:pStyle w:val="3"/>
        <w:rPr>
          <w:rFonts w:hint="eastAsia" w:ascii="Times New Roman" w:hAnsi="Times New Roman"/>
          <w:lang w:eastAsia="zh-CN"/>
        </w:rPr>
      </w:pPr>
    </w:p>
    <w:p w14:paraId="29653C96">
      <w:pPr>
        <w:pStyle w:val="3"/>
        <w:ind w:left="0" w:leftChars="0" w:firstLine="0" w:firstLineChars="0"/>
        <w:rPr>
          <w:rFonts w:hint="eastAsia" w:ascii="Times New Roman" w:hAnsi="Times New Roman"/>
          <w:lang w:eastAsia="zh-CN"/>
        </w:rPr>
      </w:pPr>
    </w:p>
    <w:p w14:paraId="2AF08873">
      <w:pPr>
        <w:pStyle w:val="3"/>
        <w:rPr>
          <w:rFonts w:hint="eastAsia" w:ascii="Times New Roman" w:hAnsi="Times New Roman"/>
          <w:lang w:eastAsia="zh-CN"/>
        </w:rPr>
      </w:pPr>
    </w:p>
    <w:p w14:paraId="0B27C2A9">
      <w:pPr>
        <w:jc w:val="center"/>
        <w:rPr>
          <w:rFonts w:hint="eastAsia" w:ascii="仿宋_GB2312" w:hAnsi="仿宋_GB2312" w:eastAsia="仿宋_GB2312" w:cs="仿宋_GB2312"/>
          <w:sz w:val="44"/>
          <w:szCs w:val="44"/>
          <w:lang w:val="en-US" w:eastAsia="zh-CN"/>
        </w:rPr>
      </w:pPr>
      <w:r>
        <w:rPr>
          <w:rFonts w:hint="eastAsia" w:ascii="仿宋_GB2312" w:hAnsi="仿宋_GB2312" w:eastAsia="仿宋_GB2312" w:cs="仿宋_GB2312"/>
          <w:sz w:val="44"/>
          <w:szCs w:val="44"/>
          <w:lang w:val="en-US" w:eastAsia="zh-CN"/>
        </w:rPr>
        <w:t>金川县人民检察院</w:t>
      </w:r>
    </w:p>
    <w:p w14:paraId="46514CEE">
      <w:pPr>
        <w:jc w:val="center"/>
        <w:rPr>
          <w:rFonts w:hint="eastAsia" w:ascii="仿宋_GB2312" w:hAnsi="仿宋_GB2312" w:eastAsia="仿宋_GB2312" w:cs="仿宋_GB2312"/>
          <w:sz w:val="44"/>
          <w:szCs w:val="44"/>
          <w:lang w:val="en-US" w:eastAsia="zh-CN"/>
        </w:rPr>
      </w:pPr>
      <w:r>
        <w:rPr>
          <w:rFonts w:hint="eastAsia" w:ascii="仿宋_GB2312" w:hAnsi="仿宋_GB2312" w:eastAsia="仿宋_GB2312" w:cs="仿宋_GB2312"/>
          <w:sz w:val="44"/>
          <w:szCs w:val="44"/>
          <w:lang w:val="en-US" w:eastAsia="zh-CN"/>
        </w:rPr>
        <w:t>关于在2025年度决算公开中没有数据进行零报告的文字说明</w:t>
      </w:r>
    </w:p>
    <w:p w14:paraId="4EDC31BD">
      <w:pPr>
        <w:jc w:val="center"/>
        <w:rPr>
          <w:rFonts w:hint="eastAsia" w:ascii="仿宋_GB2312" w:hAnsi="仿宋_GB2312" w:eastAsia="仿宋_GB2312" w:cs="仿宋_GB2312"/>
          <w:sz w:val="44"/>
          <w:szCs w:val="44"/>
          <w:lang w:val="en-US" w:eastAsia="zh-CN"/>
        </w:rPr>
      </w:pPr>
    </w:p>
    <w:p w14:paraId="6913A446">
      <w:pPr>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我院2025年度决算报表中，政府性基金预算财政拨款收入支出决算表、国有资本经营预算财政拨款收入支出决算表、国有资本经营预算财政拨款支出决算表均未发生相关业务，无数据，进行零报告。</w:t>
      </w:r>
    </w:p>
    <w:p w14:paraId="14150C9F">
      <w:p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特此说明。</w:t>
      </w:r>
    </w:p>
    <w:p w14:paraId="304C9E31">
      <w:pPr>
        <w:ind w:firstLine="640" w:firstLineChars="200"/>
        <w:jc w:val="both"/>
        <w:rPr>
          <w:rFonts w:hint="eastAsia" w:ascii="仿宋_GB2312" w:hAnsi="仿宋_GB2312" w:eastAsia="仿宋_GB2312" w:cs="仿宋_GB2312"/>
          <w:sz w:val="32"/>
          <w:szCs w:val="32"/>
          <w:lang w:val="en-US" w:eastAsia="zh-CN"/>
        </w:rPr>
      </w:pPr>
    </w:p>
    <w:p w14:paraId="55D72236">
      <w:pPr>
        <w:ind w:firstLine="640" w:firstLineChars="200"/>
        <w:jc w:val="both"/>
        <w:rPr>
          <w:rFonts w:hint="eastAsia" w:ascii="仿宋_GB2312" w:hAnsi="仿宋_GB2312" w:eastAsia="仿宋_GB2312" w:cs="仿宋_GB2312"/>
          <w:sz w:val="32"/>
          <w:szCs w:val="32"/>
          <w:lang w:val="en-US" w:eastAsia="zh-CN"/>
        </w:rPr>
      </w:pPr>
    </w:p>
    <w:p w14:paraId="6FF79709">
      <w:pPr>
        <w:ind w:firstLine="640" w:firstLineChars="20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金川县人民检察院</w:t>
      </w:r>
    </w:p>
    <w:p w14:paraId="7F164AAD">
      <w:pPr>
        <w:ind w:firstLine="640" w:firstLineChars="200"/>
        <w:jc w:val="center"/>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2026年9月18日</w:t>
      </w:r>
    </w:p>
    <w:p w14:paraId="36039AEC">
      <w:pPr>
        <w:pStyle w:val="2"/>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黑体_GBK">
    <w:panose1 w:val="02000000000000000000"/>
    <w:charset w:val="86"/>
    <w:family w:val="auto"/>
    <w:pitch w:val="default"/>
    <w:sig w:usb0="00000001" w:usb1="08000000" w:usb2="00000000" w:usb3="00000000" w:csb0="00040000" w:csb1="00000000"/>
  </w:font>
  <w:font w:name="??">
    <w:altName w:val="C059"/>
    <w:panose1 w:val="00000000000000000000"/>
    <w:charset w:val="00"/>
    <w:family w:val="roman"/>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简体">
    <w:panose1 w:val="02000000000000000000"/>
    <w:charset w:val="86"/>
    <w:family w:val="script"/>
    <w:pitch w:val="default"/>
    <w:sig w:usb0="A00002BF" w:usb1="184F6CFA" w:usb2="00000012" w:usb3="00000000" w:csb0="00040001"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00" w:usb3="00000000" w:csb0="00000000" w:csb1="00000000"/>
  </w:font>
  <w:font w:name="Liberation Serif">
    <w:panose1 w:val="02020603050405020304"/>
    <w:charset w:val="00"/>
    <w:family w:val="auto"/>
    <w:pitch w:val="default"/>
    <w:sig w:usb0="A00002AF" w:usb1="500078FB" w:usb2="00000000" w:usb3="00000000" w:csb0="6000009F" w:csb1="DFD70000"/>
  </w:font>
  <w:font w:name="国标宋体-超大字符集扩">
    <w:panose1 w:val="000005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8FF3">
    <w:pPr>
      <w:pStyle w:val="11"/>
      <w:jc w:val="center"/>
    </w:pPr>
  </w:p>
  <w:p w14:paraId="342E94D5">
    <w:pPr>
      <w:pStyle w:val="11"/>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928F86">
                          <w:pPr>
                            <w:pStyle w:val="11"/>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B928F86">
                    <w:pPr>
                      <w:pStyle w:val="11"/>
                    </w:pPr>
                    <w:r>
                      <w:fldChar w:fldCharType="begin"/>
                    </w:r>
                    <w:r>
                      <w:instrText xml:space="preserve"> PAGE  \* MERGEFORMAT </w:instrText>
                    </w:r>
                    <w:r>
                      <w:fldChar w:fldCharType="separate"/>
                    </w:r>
                    <w:r>
                      <w:t>- 2 -</w:t>
                    </w:r>
                    <w:r>
                      <w:fldChar w:fldCharType="end"/>
                    </w:r>
                  </w:p>
                </w:txbxContent>
              </v:textbox>
            </v:shape>
          </w:pict>
        </mc:Fallback>
      </mc:AlternateContent>
    </w:r>
  </w:p>
  <w:p w14:paraId="55713216">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D4EA1A">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FD0ED1">
                          <w:pPr>
                            <w:pStyle w:val="11"/>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BFD0ED1">
                    <w:pPr>
                      <w:pStyle w:val="1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E3ABA">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5B470D"/>
    <w:multiLevelType w:val="singleLevel"/>
    <w:tmpl w:val="FE5B470D"/>
    <w:lvl w:ilvl="0" w:tentative="0">
      <w:start w:val="1"/>
      <w:numFmt w:val="chineseCounting"/>
      <w:suff w:val="nothing"/>
      <w:lvlText w:val="%1、"/>
      <w:lvlJc w:val="left"/>
      <w:rPr>
        <w:rFonts w:hint="eastAsia"/>
      </w:rPr>
    </w:lvl>
  </w:abstractNum>
  <w:abstractNum w:abstractNumId="1">
    <w:nsid w:val="447B3DB2"/>
    <w:multiLevelType w:val="singleLevel"/>
    <w:tmpl w:val="447B3DB2"/>
    <w:lvl w:ilvl="0" w:tentative="0">
      <w:start w:val="3"/>
      <w:numFmt w:val="decimal"/>
      <w:lvlText w:val="%1."/>
      <w:lvlJc w:val="left"/>
      <w:pPr>
        <w:tabs>
          <w:tab w:val="left" w:pos="312"/>
        </w:tabs>
      </w:pPr>
    </w:lvl>
  </w:abstractNum>
  <w:abstractNum w:abstractNumId="2">
    <w:nsid w:val="66A99569"/>
    <w:multiLevelType w:val="singleLevel"/>
    <w:tmpl w:val="66A99569"/>
    <w:lvl w:ilvl="0" w:tentative="0">
      <w:start w:val="2"/>
      <w:numFmt w:val="chineseCounting"/>
      <w:suff w:val="nothing"/>
      <w:lvlText w:val="（%1）"/>
      <w:lvlJc w:val="left"/>
    </w:lvl>
  </w:abstractNum>
  <w:abstractNum w:abstractNumId="3">
    <w:nsid w:val="67F61D9B"/>
    <w:multiLevelType w:val="singleLevel"/>
    <w:tmpl w:val="67F61D9B"/>
    <w:lvl w:ilvl="0" w:tentative="0">
      <w:start w:val="3"/>
      <w:numFmt w:val="chineseCounting"/>
      <w:suff w:val="nothing"/>
      <w:lvlText w:val="（%1）"/>
      <w:lvlJc w:val="left"/>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FEBE30"/>
    <w:rsid w:val="04916F1E"/>
    <w:rsid w:val="04A60DB7"/>
    <w:rsid w:val="061E35DE"/>
    <w:rsid w:val="066E0107"/>
    <w:rsid w:val="07996F6E"/>
    <w:rsid w:val="07DFD8BA"/>
    <w:rsid w:val="08B842B3"/>
    <w:rsid w:val="08E66803"/>
    <w:rsid w:val="09867E8F"/>
    <w:rsid w:val="0A2032A3"/>
    <w:rsid w:val="0CA8290A"/>
    <w:rsid w:val="0D35B1ED"/>
    <w:rsid w:val="0E254B6B"/>
    <w:rsid w:val="0F627ED5"/>
    <w:rsid w:val="0F98263C"/>
    <w:rsid w:val="10007A72"/>
    <w:rsid w:val="101860EC"/>
    <w:rsid w:val="101F47CC"/>
    <w:rsid w:val="10C055FF"/>
    <w:rsid w:val="11694EBD"/>
    <w:rsid w:val="11772AA4"/>
    <w:rsid w:val="118107EC"/>
    <w:rsid w:val="12E24EE2"/>
    <w:rsid w:val="13D50BC4"/>
    <w:rsid w:val="14B17F78"/>
    <w:rsid w:val="15F115A2"/>
    <w:rsid w:val="165E0673"/>
    <w:rsid w:val="16B831D5"/>
    <w:rsid w:val="16BB723D"/>
    <w:rsid w:val="16EB715F"/>
    <w:rsid w:val="17E50567"/>
    <w:rsid w:val="186504BB"/>
    <w:rsid w:val="19A445FC"/>
    <w:rsid w:val="19C730D6"/>
    <w:rsid w:val="1BE8440E"/>
    <w:rsid w:val="1C5129DB"/>
    <w:rsid w:val="1D155CEE"/>
    <w:rsid w:val="1D1638FE"/>
    <w:rsid w:val="1E1C1FEB"/>
    <w:rsid w:val="1E312DEB"/>
    <w:rsid w:val="1E740ACF"/>
    <w:rsid w:val="1FF35744"/>
    <w:rsid w:val="1FF6BC77"/>
    <w:rsid w:val="2186353C"/>
    <w:rsid w:val="23860B96"/>
    <w:rsid w:val="240371BF"/>
    <w:rsid w:val="244F3473"/>
    <w:rsid w:val="24C97D99"/>
    <w:rsid w:val="25A718F0"/>
    <w:rsid w:val="25BB59F6"/>
    <w:rsid w:val="260F557C"/>
    <w:rsid w:val="26970054"/>
    <w:rsid w:val="27A94059"/>
    <w:rsid w:val="281408E2"/>
    <w:rsid w:val="29FD04D3"/>
    <w:rsid w:val="2BFF7BC6"/>
    <w:rsid w:val="2C8A61B5"/>
    <w:rsid w:val="2DF04E50"/>
    <w:rsid w:val="2E586DFA"/>
    <w:rsid w:val="2F040D46"/>
    <w:rsid w:val="2F6B035B"/>
    <w:rsid w:val="2FAE5751"/>
    <w:rsid w:val="2FB1A395"/>
    <w:rsid w:val="2FD80F0B"/>
    <w:rsid w:val="2FD9A7D8"/>
    <w:rsid w:val="2FDBF714"/>
    <w:rsid w:val="30AB6865"/>
    <w:rsid w:val="319F7F4E"/>
    <w:rsid w:val="32BD1EF1"/>
    <w:rsid w:val="3304709D"/>
    <w:rsid w:val="339559A1"/>
    <w:rsid w:val="33A773CB"/>
    <w:rsid w:val="349D6851"/>
    <w:rsid w:val="36AA5135"/>
    <w:rsid w:val="36BE0DA7"/>
    <w:rsid w:val="376B6AA6"/>
    <w:rsid w:val="376D39B2"/>
    <w:rsid w:val="37E16F03"/>
    <w:rsid w:val="37F53A3B"/>
    <w:rsid w:val="389B6C89"/>
    <w:rsid w:val="38D469F0"/>
    <w:rsid w:val="39627CCD"/>
    <w:rsid w:val="397BAF1F"/>
    <w:rsid w:val="3AB79AF3"/>
    <w:rsid w:val="3AE834C0"/>
    <w:rsid w:val="3B7EF35A"/>
    <w:rsid w:val="3B9FDB6C"/>
    <w:rsid w:val="3BF5BC2F"/>
    <w:rsid w:val="3CEBA265"/>
    <w:rsid w:val="3D98207C"/>
    <w:rsid w:val="3DEE7CF3"/>
    <w:rsid w:val="3E740A63"/>
    <w:rsid w:val="3E78745D"/>
    <w:rsid w:val="3EE17838"/>
    <w:rsid w:val="3F55381A"/>
    <w:rsid w:val="3F7F7599"/>
    <w:rsid w:val="3F86164F"/>
    <w:rsid w:val="3FF4CAE0"/>
    <w:rsid w:val="3FF7B227"/>
    <w:rsid w:val="421B3B23"/>
    <w:rsid w:val="448229F0"/>
    <w:rsid w:val="44E268DA"/>
    <w:rsid w:val="450D13D7"/>
    <w:rsid w:val="45506656"/>
    <w:rsid w:val="486A6C7A"/>
    <w:rsid w:val="4A627F82"/>
    <w:rsid w:val="4B0E749A"/>
    <w:rsid w:val="4B2477C4"/>
    <w:rsid w:val="4B4F25DA"/>
    <w:rsid w:val="4BCE0250"/>
    <w:rsid w:val="4BD14D5D"/>
    <w:rsid w:val="4BE068DB"/>
    <w:rsid w:val="4CD377C1"/>
    <w:rsid w:val="4D577224"/>
    <w:rsid w:val="4DBF1CEB"/>
    <w:rsid w:val="4DF0007C"/>
    <w:rsid w:val="4E005A63"/>
    <w:rsid w:val="4EAB630A"/>
    <w:rsid w:val="4ECE2238"/>
    <w:rsid w:val="4F833267"/>
    <w:rsid w:val="4FE9BD67"/>
    <w:rsid w:val="4FFB052F"/>
    <w:rsid w:val="537E6D0A"/>
    <w:rsid w:val="53F74C96"/>
    <w:rsid w:val="551344AA"/>
    <w:rsid w:val="55170BA8"/>
    <w:rsid w:val="553218C9"/>
    <w:rsid w:val="567E1AA5"/>
    <w:rsid w:val="56E47B74"/>
    <w:rsid w:val="57175D52"/>
    <w:rsid w:val="57BD3DD4"/>
    <w:rsid w:val="583E4CD5"/>
    <w:rsid w:val="59C42312"/>
    <w:rsid w:val="5AF92295"/>
    <w:rsid w:val="5B250254"/>
    <w:rsid w:val="5BDD79E6"/>
    <w:rsid w:val="5BF561CA"/>
    <w:rsid w:val="5BFF5DFC"/>
    <w:rsid w:val="5CD71FC4"/>
    <w:rsid w:val="5D1F11B5"/>
    <w:rsid w:val="5D594230"/>
    <w:rsid w:val="5D695134"/>
    <w:rsid w:val="5DAE1B18"/>
    <w:rsid w:val="5DE7D9E5"/>
    <w:rsid w:val="5E2546EA"/>
    <w:rsid w:val="5ECEC941"/>
    <w:rsid w:val="5FBF9FF3"/>
    <w:rsid w:val="5FCD4E2C"/>
    <w:rsid w:val="5FEF394A"/>
    <w:rsid w:val="5FF67715"/>
    <w:rsid w:val="6131545A"/>
    <w:rsid w:val="625879A5"/>
    <w:rsid w:val="62BF3928"/>
    <w:rsid w:val="62D42625"/>
    <w:rsid w:val="63B3701E"/>
    <w:rsid w:val="64585E06"/>
    <w:rsid w:val="647F5392"/>
    <w:rsid w:val="65E66580"/>
    <w:rsid w:val="664B1D71"/>
    <w:rsid w:val="664B4E8E"/>
    <w:rsid w:val="671C5541"/>
    <w:rsid w:val="67277B67"/>
    <w:rsid w:val="67AA3209"/>
    <w:rsid w:val="693C59B3"/>
    <w:rsid w:val="695F170A"/>
    <w:rsid w:val="698D0931"/>
    <w:rsid w:val="6A7FE5F3"/>
    <w:rsid w:val="6B053271"/>
    <w:rsid w:val="6BDD78B3"/>
    <w:rsid w:val="6C4A05C8"/>
    <w:rsid w:val="6C8742B8"/>
    <w:rsid w:val="6DBF5E93"/>
    <w:rsid w:val="6DCB7F29"/>
    <w:rsid w:val="6DFF077E"/>
    <w:rsid w:val="6E2A5BFF"/>
    <w:rsid w:val="6E714EF0"/>
    <w:rsid w:val="6E7E3605"/>
    <w:rsid w:val="6E7FDCC7"/>
    <w:rsid w:val="6ED6A62E"/>
    <w:rsid w:val="6EE00B15"/>
    <w:rsid w:val="6F6FB3EB"/>
    <w:rsid w:val="6F8731EA"/>
    <w:rsid w:val="6FCE6052"/>
    <w:rsid w:val="6FD57C00"/>
    <w:rsid w:val="6FEFFFD8"/>
    <w:rsid w:val="6FF20447"/>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4731E5"/>
    <w:rsid w:val="74BBD01D"/>
    <w:rsid w:val="74ED5379"/>
    <w:rsid w:val="75CB18FA"/>
    <w:rsid w:val="75DEEEC2"/>
    <w:rsid w:val="75E32345"/>
    <w:rsid w:val="76E3355F"/>
    <w:rsid w:val="76FF5125"/>
    <w:rsid w:val="776F6FFA"/>
    <w:rsid w:val="778769C8"/>
    <w:rsid w:val="77A75DCA"/>
    <w:rsid w:val="77DC22F5"/>
    <w:rsid w:val="77EE1279"/>
    <w:rsid w:val="783E271A"/>
    <w:rsid w:val="78616DE9"/>
    <w:rsid w:val="78E875D7"/>
    <w:rsid w:val="79086DAD"/>
    <w:rsid w:val="79D7FD79"/>
    <w:rsid w:val="79ED0632"/>
    <w:rsid w:val="79EE5BA4"/>
    <w:rsid w:val="7A3A1CFA"/>
    <w:rsid w:val="7A894339"/>
    <w:rsid w:val="7AD284E8"/>
    <w:rsid w:val="7AFF7572"/>
    <w:rsid w:val="7B6C7DFB"/>
    <w:rsid w:val="7BBFBED0"/>
    <w:rsid w:val="7BC3E394"/>
    <w:rsid w:val="7C1F3737"/>
    <w:rsid w:val="7C86179F"/>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E7F4851"/>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0E13E5"/>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4"/>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7"/>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3"/>
    <w:unhideWhenUsed/>
    <w:qFormat/>
    <w:uiPriority w:val="99"/>
    <w:rPr>
      <w:sz w:val="18"/>
      <w:szCs w:val="18"/>
    </w:rPr>
  </w:style>
  <w:style w:type="paragraph" w:styleId="11">
    <w:name w:val="footer"/>
    <w:basedOn w:val="1"/>
    <w:link w:val="25"/>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3"/>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unhideWhenUsed/>
    <w:qFormat/>
    <w:uiPriority w:val="99"/>
    <w:pPr>
      <w:widowControl/>
      <w:jc w:val="left"/>
    </w:pPr>
    <w:rPr>
      <w:rFonts w:ascii="宋体" w:hAnsi="宋体" w:eastAsia="宋体" w:cs="宋体"/>
      <w:kern w:val="0"/>
      <w:sz w:val="24"/>
      <w:szCs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HtmlAddress"/>
    <w:basedOn w:val="1"/>
    <w:qFormat/>
    <w:uiPriority w:val="0"/>
    <w:pPr>
      <w:jc w:val="both"/>
      <w:textAlignment w:val="baseline"/>
    </w:pPr>
    <w:rPr>
      <w:rFonts w:ascii="Calibri" w:hAnsi="Calibri" w:eastAsia="宋体"/>
      <w:i/>
      <w:iCs/>
      <w:kern w:val="2"/>
      <w:sz w:val="32"/>
      <w:lang w:val="en-US" w:eastAsia="zh-CN" w:bidi="ar-SA"/>
    </w:rPr>
  </w:style>
  <w:style w:type="paragraph" w:customStyle="1" w:styleId="21">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2">
    <w:name w:val="Header Char"/>
    <w:basedOn w:val="17"/>
    <w:semiHidden/>
    <w:qFormat/>
    <w:uiPriority w:val="99"/>
    <w:rPr>
      <w:rFonts w:ascii="Times New Roman" w:hAnsi="Times New Roman"/>
      <w:sz w:val="18"/>
      <w:szCs w:val="18"/>
    </w:rPr>
  </w:style>
  <w:style w:type="character" w:customStyle="1" w:styleId="23">
    <w:name w:val="页眉 Char"/>
    <w:link w:val="12"/>
    <w:semiHidden/>
    <w:qFormat/>
    <w:locked/>
    <w:uiPriority w:val="99"/>
    <w:rPr>
      <w:sz w:val="18"/>
    </w:rPr>
  </w:style>
  <w:style w:type="character" w:customStyle="1" w:styleId="24">
    <w:name w:val="Footer Char"/>
    <w:basedOn w:val="17"/>
    <w:semiHidden/>
    <w:qFormat/>
    <w:uiPriority w:val="99"/>
    <w:rPr>
      <w:rFonts w:ascii="Times New Roman" w:hAnsi="Times New Roman"/>
      <w:sz w:val="18"/>
      <w:szCs w:val="18"/>
    </w:rPr>
  </w:style>
  <w:style w:type="character" w:customStyle="1" w:styleId="25">
    <w:name w:val="页脚 Char"/>
    <w:link w:val="11"/>
    <w:qFormat/>
    <w:locked/>
    <w:uiPriority w:val="99"/>
    <w:rPr>
      <w:sz w:val="18"/>
    </w:rPr>
  </w:style>
  <w:style w:type="character" w:customStyle="1" w:styleId="26">
    <w:name w:val="Body Text Char"/>
    <w:basedOn w:val="17"/>
    <w:semiHidden/>
    <w:qFormat/>
    <w:uiPriority w:val="99"/>
    <w:rPr>
      <w:rFonts w:ascii="Times New Roman" w:hAnsi="Times New Roman"/>
      <w:szCs w:val="24"/>
    </w:rPr>
  </w:style>
  <w:style w:type="character" w:customStyle="1" w:styleId="27">
    <w:name w:val="正文文本 Char"/>
    <w:link w:val="8"/>
    <w:qFormat/>
    <w:locked/>
    <w:uiPriority w:val="99"/>
    <w:rPr>
      <w:rFonts w:ascii="仿宋_GB2312" w:hAnsi="Times New Roman" w:eastAsia="仿宋_GB2312"/>
      <w:sz w:val="24"/>
    </w:rPr>
  </w:style>
  <w:style w:type="paragraph" w:customStyle="1" w:styleId="28">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9">
    <w:name w:val="List Paragraph"/>
    <w:basedOn w:val="1"/>
    <w:qFormat/>
    <w:uiPriority w:val="34"/>
    <w:pPr>
      <w:ind w:firstLine="420" w:firstLineChars="200"/>
    </w:pPr>
  </w:style>
  <w:style w:type="character" w:customStyle="1" w:styleId="30">
    <w:name w:val="标题 1 Char"/>
    <w:basedOn w:val="17"/>
    <w:link w:val="5"/>
    <w:qFormat/>
    <w:uiPriority w:val="9"/>
    <w:rPr>
      <w:rFonts w:ascii="Times New Roman" w:hAnsi="Times New Roman"/>
      <w:b/>
      <w:bCs/>
      <w:kern w:val="44"/>
      <w:sz w:val="44"/>
      <w:szCs w:val="44"/>
    </w:rPr>
  </w:style>
  <w:style w:type="character" w:customStyle="1" w:styleId="31">
    <w:name w:val="标题 2 Char"/>
    <w:basedOn w:val="17"/>
    <w:link w:val="6"/>
    <w:qFormat/>
    <w:uiPriority w:val="9"/>
    <w:rPr>
      <w:rFonts w:asciiTheme="majorHAnsi" w:hAnsiTheme="majorHAnsi" w:eastAsiaTheme="majorEastAsia" w:cstheme="majorBidi"/>
      <w:b/>
      <w:bCs/>
      <w:kern w:val="2"/>
      <w:sz w:val="32"/>
      <w:szCs w:val="32"/>
    </w:rPr>
  </w:style>
  <w:style w:type="paragraph" w:customStyle="1" w:styleId="32">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3">
    <w:name w:val="批注框文本 Char"/>
    <w:basedOn w:val="17"/>
    <w:link w:val="10"/>
    <w:semiHidden/>
    <w:qFormat/>
    <w:uiPriority w:val="99"/>
    <w:rPr>
      <w:rFonts w:ascii="Times New Roman" w:hAnsi="Times New Roman"/>
      <w:kern w:val="2"/>
      <w:sz w:val="18"/>
      <w:szCs w:val="18"/>
    </w:rPr>
  </w:style>
  <w:style w:type="character" w:customStyle="1" w:styleId="34">
    <w:name w:val="标题 3 Char"/>
    <w:basedOn w:val="17"/>
    <w:link w:val="7"/>
    <w:qFormat/>
    <w:uiPriority w:val="9"/>
    <w:rPr>
      <w:rFonts w:ascii="Times New Roman" w:hAnsi="Times New Roman"/>
      <w:b/>
      <w:bCs/>
      <w:kern w:val="2"/>
      <w:sz w:val="32"/>
      <w:szCs w:val="32"/>
    </w:rPr>
  </w:style>
  <w:style w:type="paragraph" w:customStyle="1" w:styleId="35">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6">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531046146412177"/>
          <c:y val="0.169995750106247"/>
          <c:w val="0.89736651365064"/>
          <c:h val="0.63905652358691"/>
        </c:manualLayout>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1094.24</c:v>
                </c:pt>
                <c:pt idx="1">
                  <c:v>1094.24</c:v>
                </c:pt>
              </c:numCache>
            </c:numRef>
          </c:val>
        </c:ser>
        <c:ser>
          <c:idx val="1"/>
          <c:order val="1"/>
          <c:tx>
            <c:strRef>
              <c:f>Sheet1!$C$1</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1084.69</c:v>
                </c:pt>
                <c:pt idx="1">
                  <c:v>1084.69</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收入</c:v>
                </c:pt>
                <c:pt idx="1">
                  <c:v>支出</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489917360"/>
        <c:axId val="67550625"/>
      </c:barChart>
      <c:catAx>
        <c:axId val="48991736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7550625"/>
        <c:crosses val="autoZero"/>
        <c:auto val="1"/>
        <c:lblAlgn val="ctr"/>
        <c:lblOffset val="100"/>
        <c:noMultiLvlLbl val="0"/>
      </c:catAx>
      <c:valAx>
        <c:axId val="6755062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9917360"/>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818fa4a-9007-4d5d-8a97-a65c23f605c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0.00%</c:formatCode>
                <c:ptCount val="2"/>
                <c:pt idx="0">
                  <c:v>0.7368</c:v>
                </c:pt>
                <c:pt idx="1">
                  <c:v>0.2632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242208262865426"/>
          <c:y val="0.926051848703782"/>
          <c:w val="0.540106305870983"/>
          <c:h val="0.064385890352741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97abf27-5b62-488c-85b6-214008d23c0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0.00%</c:formatCode>
                <c:ptCount val="2"/>
                <c:pt idx="0">
                  <c:v>0.7128</c:v>
                </c:pt>
                <c:pt idx="1">
                  <c:v>0.2872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382761536603044"/>
          <c:y val="0.91988950276243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d217618-35e2-4482-b813-07d164ea75a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一般公共预算财政拨款支出</c:v>
                </c:pt>
                <c:pt idx="1">
                  <c:v>其他收入</c:v>
                </c:pt>
              </c:strCache>
            </c:strRef>
          </c:cat>
          <c:val>
            <c:numRef>
              <c:f>Sheet1!$B$2:$B$3</c:f>
              <c:numCache>
                <c:formatCode>0.00%</c:formatCode>
                <c:ptCount val="2"/>
                <c:pt idx="0">
                  <c:v>0.7368</c:v>
                </c:pt>
                <c:pt idx="1">
                  <c:v>0.2632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29820004832085"/>
          <c:y val="0.92286442838929"/>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3be38b9-3add-4311-8a18-5a87c474231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公共安全支出</c:v>
                </c:pt>
                <c:pt idx="1">
                  <c:v>社会保障和就业支出</c:v>
                </c:pt>
                <c:pt idx="2">
                  <c:v>卫生健康支出</c:v>
                </c:pt>
                <c:pt idx="3">
                  <c:v>住房保障支出</c:v>
                </c:pt>
              </c:strCache>
            </c:strRef>
          </c:cat>
          <c:val>
            <c:numRef>
              <c:f>Sheet1!$B$2:$B$5</c:f>
              <c:numCache>
                <c:formatCode>0.00%</c:formatCode>
                <c:ptCount val="4"/>
                <c:pt idx="0">
                  <c:v>0.8031</c:v>
                </c:pt>
                <c:pt idx="1">
                  <c:v>0.0952</c:v>
                </c:pt>
                <c:pt idx="2">
                  <c:v>0.0402</c:v>
                </c:pt>
                <c:pt idx="3">
                  <c:v>0.0615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manualLayout>
          <c:xMode val="edge"/>
          <c:yMode val="edge"/>
          <c:x val="0.714182169606185"/>
          <c:y val="0.595410114747131"/>
          <c:w val="0.275308045421599"/>
          <c:h val="0.30131746706332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1800ecd-0a59-4117-a822-0134ad1c407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公务用车购置及运行维护费支出</c:v>
                </c:pt>
                <c:pt idx="1">
                  <c:v>公务接待费支出</c:v>
                </c:pt>
                <c:pt idx="2">
                  <c:v>因公出国（境）费支出</c:v>
                </c:pt>
              </c:strCache>
            </c:strRef>
          </c:cat>
          <c:val>
            <c:numRef>
              <c:f>Sheet1!$B$2:$B$4</c:f>
              <c:numCache>
                <c:formatCode>0.00%</c:formatCode>
                <c:ptCount val="3"/>
                <c:pt idx="0">
                  <c:v>0.8989</c:v>
                </c:pt>
                <c:pt idx="1">
                  <c:v>0.1011</c:v>
                </c:pt>
                <c:pt idx="2" c: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c364364-8d0d-4ef6-a0dd-72e9d0830cd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38</Pages>
  <Words>9863</Words>
  <Characters>10747</Characters>
  <Lines>61</Lines>
  <Paragraphs>17</Paragraphs>
  <TotalTime>15</TotalTime>
  <ScaleCrop>false</ScaleCrop>
  <LinksUpToDate>false</LinksUpToDate>
  <CharactersWithSpaces>10834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2020-08-10T01:49:00Z</dcterms:created>
  <dc:creator>曹颖</dc:creator>
  <cp:lastModifiedBy>Blank</cp:lastModifiedBy>
  <cp:lastPrinted>2025-08-07T09:34:00Z</cp:lastPrinted>
  <dcterms:modified xsi:type="dcterms:W3CDTF">2026-09-17T16:21:17Z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04787F2533EB45DC91BCDE4AB213247F</vt:lpwstr>
  </property>
  <property fmtid="{D5CDD505-2E9C-101B-9397-08002B2CF9AE}" pid="4" name="KSOTemplateDocerSaveRecord">
    <vt:lpwstr>eyJoZGlkIjoiNzk4ODE4Y2E0ODIwOTg1ODliNTJlYzRiMTMyMGE0ZTMiLCJ1c2VySWQiOiIzMTg0NjI0ODAifQ==</vt:lpwstr>
  </property>
</Properties>
</file>