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eastAsiaTheme="minorEastAsia"/>
          <w:lang w:eastAsia="zh-CN"/>
        </w:rPr>
      </w:pPr>
    </w:p>
    <w:p>
      <w:pPr>
        <w:rPr>
          <w:rFonts w:hint="eastAsia" w:eastAsiaTheme="minorEastAsia"/>
          <w:lang w:eastAsia="zh-CN"/>
        </w:rPr>
      </w:pPr>
    </w:p>
    <w:p>
      <w:pPr>
        <w:pStyle w:val="2"/>
        <w:rPr>
          <w:rFonts w:hint="eastAsia"/>
          <w:lang w:eastAsia="zh-CN"/>
        </w:rPr>
      </w:pPr>
    </w:p>
    <w:p>
      <w:pPr>
        <w:adjustRightInd w:val="0"/>
        <w:snapToGrid w:val="0"/>
        <w:spacing w:line="360" w:lineRule="auto"/>
        <w:jc w:val="center"/>
        <w:outlineLvl w:val="0"/>
        <w:rPr>
          <w:rFonts w:hint="default" w:ascii="黑体" w:hAnsi="黑体" w:eastAsia="黑体" w:cs="Times New Roman"/>
          <w:color w:val="000000"/>
          <w:sz w:val="72"/>
          <w:szCs w:val="72"/>
          <w:lang w:val="en-US"/>
        </w:rPr>
      </w:pPr>
      <w:bookmarkStart w:id="0" w:name="_Toc27383"/>
      <w:bookmarkStart w:id="1" w:name="_Toc26634"/>
      <w:bookmarkStart w:id="2" w:name="_Toc7370"/>
      <w:r>
        <w:rPr>
          <w:rFonts w:hint="eastAsia" w:ascii="黑体" w:hAnsi="黑体" w:eastAsia="黑体" w:cs="Times New Roman"/>
          <w:color w:val="000000"/>
          <w:sz w:val="72"/>
          <w:szCs w:val="72"/>
          <w:lang w:val="en-US" w:eastAsia="zh-CN"/>
        </w:rPr>
        <w:t>2022年度</w:t>
      </w:r>
      <w:bookmarkEnd w:id="0"/>
      <w:bookmarkEnd w:id="1"/>
      <w:bookmarkEnd w:id="2"/>
    </w:p>
    <w:p>
      <w:pPr>
        <w:adjustRightInd w:val="0"/>
        <w:snapToGrid w:val="0"/>
        <w:spacing w:line="360" w:lineRule="auto"/>
        <w:jc w:val="center"/>
        <w:outlineLvl w:val="0"/>
        <w:rPr>
          <w:rFonts w:hint="eastAsia" w:ascii="黑体" w:hAnsi="黑体" w:eastAsia="黑体" w:cs="Times New Roman"/>
          <w:color w:val="000000"/>
          <w:sz w:val="72"/>
          <w:szCs w:val="72"/>
          <w:lang w:val="en-US" w:eastAsia="zh-CN"/>
        </w:rPr>
      </w:pPr>
      <w:bookmarkStart w:id="3" w:name="_Toc10049"/>
      <w:bookmarkStart w:id="4" w:name="_Toc18693"/>
      <w:bookmarkStart w:id="5" w:name="_Toc23175"/>
      <w:r>
        <w:rPr>
          <w:rFonts w:hint="eastAsia" w:ascii="黑体" w:hAnsi="黑体" w:eastAsia="黑体" w:cs="Times New Roman"/>
          <w:color w:val="000000"/>
          <w:sz w:val="72"/>
          <w:szCs w:val="72"/>
          <w:lang w:val="en-US" w:eastAsia="zh-CN"/>
        </w:rPr>
        <w:t>阿坝州小金县人民检察院部门决算公开</w:t>
      </w:r>
      <w:bookmarkEnd w:id="3"/>
      <w:bookmarkEnd w:id="4"/>
      <w:bookmarkEnd w:id="5"/>
    </w:p>
    <w:p>
      <w:pPr>
        <w:pStyle w:val="2"/>
        <w:rPr>
          <w:rFonts w:hint="eastAsia" w:ascii="黑体" w:hAnsi="黑体" w:eastAsia="黑体" w:cs="Times New Roman"/>
          <w:color w:val="000000"/>
          <w:sz w:val="72"/>
          <w:szCs w:val="72"/>
          <w:lang w:val="en-US" w:eastAsia="zh-CN"/>
        </w:rPr>
      </w:pPr>
    </w:p>
    <w:p>
      <w:pPr>
        <w:rPr>
          <w:rFonts w:hint="eastAsia" w:ascii="黑体" w:hAnsi="黑体" w:eastAsia="黑体" w:cs="Times New Roman"/>
          <w:color w:val="000000"/>
          <w:sz w:val="72"/>
          <w:szCs w:val="72"/>
          <w:lang w:val="en-US" w:eastAsia="zh-CN"/>
        </w:rPr>
      </w:pPr>
    </w:p>
    <w:p>
      <w:pPr>
        <w:pStyle w:val="2"/>
        <w:rPr>
          <w:rFonts w:hint="eastAsia" w:ascii="黑体" w:hAnsi="黑体" w:eastAsia="黑体" w:cs="Times New Roman"/>
          <w:color w:val="000000"/>
          <w:sz w:val="72"/>
          <w:szCs w:val="72"/>
          <w:lang w:val="en-US" w:eastAsia="zh-CN"/>
        </w:rPr>
      </w:pPr>
    </w:p>
    <w:p>
      <w:pPr>
        <w:rPr>
          <w:rFonts w:hint="eastAsia" w:cs="仿宋_GB2312" w:eastAsiaTheme="minorEastAsia"/>
          <w:sz w:val="32"/>
          <w:szCs w:val="32"/>
          <w:lang w:eastAsia="zh-CN"/>
        </w:rPr>
      </w:pPr>
      <w:r>
        <w:rPr>
          <w:rFonts w:hint="eastAsia" w:cs="仿宋_GB2312"/>
          <w:sz w:val="32"/>
          <w:szCs w:val="32"/>
        </w:rPr>
        <w:t>已经保密审查、内容审定，同意对外公开</w:t>
      </w:r>
      <w:r>
        <w:rPr>
          <w:rFonts w:hint="eastAsia" w:cs="仿宋_GB2312"/>
          <w:sz w:val="32"/>
          <w:szCs w:val="32"/>
          <w:lang w:eastAsia="zh-CN"/>
        </w:rPr>
        <w:t>。</w:t>
      </w:r>
    </w:p>
    <w:p>
      <w:pPr>
        <w:pStyle w:val="2"/>
        <w:rPr>
          <w:rFonts w:hint="eastAsia" w:cs="仿宋_GB2312"/>
          <w:sz w:val="32"/>
          <w:szCs w:val="32"/>
        </w:rPr>
      </w:pPr>
    </w:p>
    <w:p>
      <w:pPr>
        <w:rPr>
          <w:rFonts w:hint="eastAsia" w:cs="仿宋_GB2312"/>
          <w:sz w:val="32"/>
          <w:szCs w:val="32"/>
        </w:rPr>
      </w:pPr>
    </w:p>
    <w:p>
      <w:pPr>
        <w:pStyle w:val="2"/>
        <w:rPr>
          <w:rFonts w:hint="eastAsia" w:cs="仿宋_GB2312"/>
          <w:sz w:val="32"/>
          <w:szCs w:val="32"/>
        </w:rPr>
      </w:pPr>
    </w:p>
    <w:p>
      <w:pPr>
        <w:rPr>
          <w:rFonts w:hint="eastAsia" w:ascii="黑体" w:eastAsia="黑体"/>
          <w:sz w:val="48"/>
          <w:szCs w:val="48"/>
        </w:rPr>
      </w:pPr>
      <w:r>
        <w:rPr>
          <w:rFonts w:hint="eastAsia" w:ascii="黑体" w:eastAsia="黑体"/>
          <w:sz w:val="48"/>
          <w:szCs w:val="48"/>
        </w:rPr>
        <w:br w:type="page"/>
      </w:r>
    </w:p>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bookmarkStart w:id="122" w:name="_GoBack"/>
      <w:bookmarkEnd w:id="122"/>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TOC \o "1-2" \h \u </w:instrText>
      </w:r>
      <w:r>
        <w:rPr>
          <w:rFonts w:hint="eastAsia" w:ascii="宋体" w:hAnsi="宋体" w:eastAsia="宋体" w:cs="宋体"/>
          <w:b w:val="0"/>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_Toc31283 </w:instrText>
      </w:r>
      <w:r>
        <w:rPr>
          <w:rFonts w:hint="eastAsia" w:ascii="宋体" w:hAnsi="宋体" w:eastAsia="宋体" w:cs="宋体"/>
          <w:sz w:val="24"/>
          <w:szCs w:val="24"/>
        </w:rPr>
        <w:fldChar w:fldCharType="separate"/>
      </w:r>
      <w:r>
        <w:rPr>
          <w:rFonts w:hint="eastAsia" w:ascii="宋体" w:hAnsi="宋体" w:eastAsia="宋体" w:cs="宋体"/>
          <w:sz w:val="24"/>
          <w:szCs w:val="24"/>
          <w:shd w:val="clear" w:fill="FFFFFF"/>
        </w:rPr>
        <w:t>第一部分 部门概况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_Toc31283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_Toc17655 </w:instrText>
      </w:r>
      <w:r>
        <w:rPr>
          <w:rFonts w:hint="eastAsia" w:ascii="宋体" w:hAnsi="宋体" w:eastAsia="宋体" w:cs="宋体"/>
          <w:sz w:val="24"/>
          <w:szCs w:val="24"/>
        </w:rPr>
        <w:fldChar w:fldCharType="separate"/>
      </w:r>
      <w:r>
        <w:rPr>
          <w:rFonts w:hint="eastAsia" w:ascii="宋体" w:hAnsi="宋体" w:eastAsia="宋体" w:cs="宋体"/>
          <w:sz w:val="24"/>
          <w:szCs w:val="24"/>
          <w:shd w:val="clear" w:fill="FFFFFF"/>
          <w:lang w:eastAsia="zh-CN"/>
        </w:rPr>
        <w:t>一、</w:t>
      </w:r>
      <w:r>
        <w:rPr>
          <w:rFonts w:hint="eastAsia" w:ascii="宋体" w:hAnsi="宋体" w:eastAsia="宋体" w:cs="宋体"/>
          <w:sz w:val="24"/>
          <w:szCs w:val="24"/>
          <w:shd w:val="clear" w:fill="FFFFFF"/>
        </w:rPr>
        <w:t>基本职能及主要工作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_Toc17655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_Toc2559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lang w:val="en-US" w:eastAsia="zh-CN" w:bidi="ar-SA"/>
        </w:rPr>
        <w:t>（一）主要职能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_Toc8920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lang w:val="en-US" w:eastAsia="zh-CN" w:bidi="ar-SA"/>
        </w:rPr>
        <w:t>（二）2022年重点工作完成情况。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_Toc8920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_Toc22700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rPr>
        <w:t>二、</w:t>
      </w:r>
      <w:r>
        <w:rPr>
          <w:rFonts w:hint="eastAsia" w:ascii="宋体" w:hAnsi="宋体" w:eastAsia="宋体" w:cs="宋体"/>
          <w:sz w:val="24"/>
          <w:szCs w:val="24"/>
        </w:rPr>
        <w:t>机构设置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_Toc22700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_Toc19842 </w:instrText>
      </w:r>
      <w:r>
        <w:rPr>
          <w:rFonts w:hint="eastAsia" w:ascii="宋体" w:hAnsi="宋体" w:eastAsia="宋体" w:cs="宋体"/>
          <w:sz w:val="24"/>
          <w:szCs w:val="24"/>
        </w:rPr>
        <w:fldChar w:fldCharType="separate"/>
      </w:r>
      <w:r>
        <w:rPr>
          <w:rFonts w:hint="eastAsia" w:ascii="宋体" w:hAnsi="宋体" w:eastAsia="宋体" w:cs="宋体"/>
          <w:sz w:val="24"/>
          <w:szCs w:val="24"/>
          <w:shd w:val="clear" w:fill="FFFFFF"/>
        </w:rPr>
        <w:t>第二部分 2022年度部门决算情况说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_Toc19842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_Toc9657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_Toc9657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_Toc19422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二、收入决算情况说明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_Toc19422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_Toc5189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_Toc5189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_Toc29945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_Toc29945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_Toc9683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_Toc9683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_Toc22610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_Toc22610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_Toc8578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七、“三公”经费财政拨款支出决算情况说明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_Toc8578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_Toc17261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_Toc17261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_Toc6696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九、国有资本经营预算支出决算情况说明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_Toc6696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_Toc21941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十、其他重要事项的情况说明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_Toc21941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_Toc17477 </w:instrText>
      </w:r>
      <w:r>
        <w:rPr>
          <w:rFonts w:hint="eastAsia" w:ascii="宋体" w:hAnsi="宋体" w:eastAsia="宋体" w:cs="宋体"/>
          <w:sz w:val="24"/>
          <w:szCs w:val="24"/>
        </w:rPr>
        <w:fldChar w:fldCharType="separate"/>
      </w:r>
      <w:r>
        <w:rPr>
          <w:rFonts w:hint="eastAsia" w:ascii="宋体" w:hAnsi="宋体" w:eastAsia="宋体" w:cs="宋体"/>
          <w:sz w:val="24"/>
          <w:szCs w:val="24"/>
        </w:rPr>
        <w:t>第三部分 名词解释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_Toc17477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_Toc13212 </w:instrText>
      </w:r>
      <w:r>
        <w:rPr>
          <w:rFonts w:hint="eastAsia" w:ascii="宋体" w:hAnsi="宋体" w:eastAsia="宋体" w:cs="宋体"/>
          <w:sz w:val="24"/>
          <w:szCs w:val="24"/>
        </w:rPr>
        <w:fldChar w:fldCharType="separate"/>
      </w:r>
      <w:r>
        <w:rPr>
          <w:rFonts w:hint="eastAsia" w:ascii="宋体" w:hAnsi="宋体" w:eastAsia="宋体" w:cs="宋体"/>
          <w:sz w:val="24"/>
          <w:szCs w:val="24"/>
          <w:shd w:val="clear" w:fill="FFFFFF"/>
        </w:rPr>
        <w:t>第四部分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_Toc13212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_Toc6254 </w:instrText>
      </w:r>
      <w:r>
        <w:rPr>
          <w:rFonts w:hint="eastAsia" w:ascii="宋体" w:hAnsi="宋体" w:eastAsia="宋体" w:cs="宋体"/>
          <w:sz w:val="24"/>
          <w:szCs w:val="24"/>
        </w:rPr>
        <w:fldChar w:fldCharType="separate"/>
      </w:r>
      <w:r>
        <w:rPr>
          <w:rFonts w:hint="eastAsia" w:ascii="宋体" w:hAnsi="宋体" w:eastAsia="宋体" w:cs="宋体"/>
          <w:sz w:val="24"/>
          <w:szCs w:val="24"/>
          <w:shd w:val="clear" w:fill="FFFFFF"/>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_Toc6254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_Toc26020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一、</w:t>
      </w:r>
      <w:r>
        <w:rPr>
          <w:rFonts w:hint="eastAsia" w:ascii="宋体" w:hAnsi="宋体" w:eastAsia="宋体" w:cs="宋体"/>
          <w:kern w:val="0"/>
          <w:sz w:val="24"/>
          <w:szCs w:val="24"/>
          <w:lang w:val="zh-CN"/>
        </w:rPr>
        <w:t>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_Toc26020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_Toc3699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（一）机构组成。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_Toc3699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_Toc6241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（二）机构职能。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_Toc6241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_Toc3190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（三）人员概况。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_Toc24009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二、部门财政资金收支情况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_Toc24009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_Toc30599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（一）部门财政资金收入情况。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_Toc30599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_Toc32216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（二）部门财政资金支出情况。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_Toc32216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_Toc14903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三、部门整体预算绩效管理情况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_Toc14903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_Toc31058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（一）部门预算管理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_Toc31058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_Toc30924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（二）结果应用情况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_Toc30924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_Toc14258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四、评价结论及建议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_Toc14258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_Toc10225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（一）评价结论。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_Toc10225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_Toc24973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（二）存在问题。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_Toc24973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_Toc8735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（三）改进建议。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_Toc8735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_Toc13029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一、</w:t>
      </w:r>
      <w:r>
        <w:rPr>
          <w:rFonts w:hint="eastAsia" w:ascii="宋体" w:hAnsi="宋体" w:eastAsia="宋体" w:cs="宋体"/>
          <w:kern w:val="0"/>
          <w:sz w:val="24"/>
          <w:szCs w:val="24"/>
          <w:lang w:val="zh-CN"/>
        </w:rPr>
        <w:t>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_Toc13029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_Toc30992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w:t>
      </w:r>
      <w:r>
        <w:rPr>
          <w:rFonts w:hint="eastAsia" w:ascii="宋体" w:hAnsi="宋体" w:eastAsia="宋体" w:cs="宋体"/>
          <w:bCs/>
          <w:sz w:val="24"/>
          <w:szCs w:val="24"/>
          <w:lang w:eastAsia="zh-CN"/>
        </w:rPr>
        <w:t>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_Toc30992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_Toc11589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w:t>
      </w:r>
      <w:r>
        <w:rPr>
          <w:rFonts w:hint="eastAsia" w:ascii="宋体" w:hAnsi="宋体" w:eastAsia="宋体" w:cs="宋体"/>
          <w:bCs/>
          <w:sz w:val="24"/>
          <w:szCs w:val="24"/>
          <w:lang w:eastAsia="zh-CN"/>
        </w:rPr>
        <w:t>项目绩效目标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_Toc11589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_Toc27638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w:t>
      </w:r>
      <w:r>
        <w:rPr>
          <w:rFonts w:hint="eastAsia" w:ascii="宋体" w:hAnsi="宋体" w:eastAsia="宋体" w:cs="宋体"/>
          <w:bCs/>
          <w:sz w:val="24"/>
          <w:szCs w:val="24"/>
          <w:lang w:eastAsia="zh-CN"/>
        </w:rPr>
        <w:t>项目自评步骤及方法。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_Toc27638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_Toc4002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二、</w:t>
      </w:r>
      <w:r>
        <w:rPr>
          <w:rFonts w:hint="eastAsia" w:ascii="宋体" w:hAnsi="宋体" w:eastAsia="宋体" w:cs="宋体"/>
          <w:kern w:val="0"/>
          <w:sz w:val="24"/>
          <w:szCs w:val="24"/>
          <w:lang w:eastAsia="zh-CN"/>
        </w:rPr>
        <w:t>项目资金申报及使用情况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_Toc4002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_Toc28755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（一）项目资金申报及批复情况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_Toc28755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_Toc27215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（二）资金计划、到位及使用情况（可用表格形式反映）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_Toc27215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_Toc27297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三、</w:t>
      </w:r>
      <w:r>
        <w:rPr>
          <w:rFonts w:hint="eastAsia" w:ascii="宋体" w:hAnsi="宋体" w:eastAsia="宋体" w:cs="宋体"/>
          <w:kern w:val="0"/>
          <w:sz w:val="24"/>
          <w:szCs w:val="24"/>
          <w:lang w:eastAsia="zh-CN"/>
        </w:rPr>
        <w:t>项目实施及管理情况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_Toc27297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_Toc6024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（一）项目组织架构及实施流程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_Toc6024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_Toc23853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（二）项目管理情况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_Toc23853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_Toc25952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项目绩效情况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_Toc25952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_Toc18128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（一）项目完成情况。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_Toc18128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_Toc25623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（二）项目效益情况。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_Toc25623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_Toc30828 </w:instrText>
      </w:r>
      <w:r>
        <w:rPr>
          <w:rFonts w:hint="eastAsia" w:ascii="宋体" w:hAnsi="宋体" w:eastAsia="宋体" w:cs="宋体"/>
          <w:sz w:val="24"/>
          <w:szCs w:val="24"/>
        </w:rPr>
        <w:fldChar w:fldCharType="separate"/>
      </w:r>
      <w:r>
        <w:rPr>
          <w:rFonts w:hint="eastAsia" w:ascii="宋体" w:hAnsi="宋体" w:eastAsia="宋体" w:cs="宋体"/>
          <w:kern w:val="0"/>
          <w:sz w:val="24"/>
          <w:szCs w:val="24"/>
          <w:lang w:eastAsia="zh-CN"/>
        </w:rPr>
        <w:t>五、评价结论及建议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_Toc30828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_Toc9250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（一）评价结论。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_Toc9250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_Toc8022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（二）存在的问题。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_Toc8022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_Toc18791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（三）相关建议。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_Toc18791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_Toc29720 </w:instrText>
      </w:r>
      <w:r>
        <w:rPr>
          <w:rFonts w:hint="eastAsia" w:ascii="宋体" w:hAnsi="宋体" w:eastAsia="宋体" w:cs="宋体"/>
          <w:sz w:val="24"/>
          <w:szCs w:val="24"/>
        </w:rPr>
        <w:fldChar w:fldCharType="separate"/>
      </w:r>
      <w:r>
        <w:rPr>
          <w:rFonts w:hint="eastAsia" w:ascii="宋体" w:hAnsi="宋体" w:eastAsia="宋体" w:cs="宋体"/>
          <w:sz w:val="24"/>
          <w:szCs w:val="24"/>
        </w:rPr>
        <w:t>第五部分 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_Toc29720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
        <w:pageBreakBefore w:val="0"/>
        <w:kinsoku/>
        <w:wordWrap/>
        <w:overflowPunct/>
        <w:topLinePunct w:val="0"/>
        <w:autoSpaceDE/>
        <w:autoSpaceDN/>
        <w:bidi w:val="0"/>
        <w:adjustRightInd/>
        <w:snapToGrid/>
        <w:spacing w:before="0" w:beforeAutospacing="0" w:after="0" w:afterAutospacing="0" w:line="560" w:lineRule="exact"/>
        <w:jc w:val="both"/>
        <w:textAlignment w:val="auto"/>
        <w:outlineLvl w:val="9"/>
        <w:rPr>
          <w:shd w:val="clear" w:fill="FFFFFF"/>
        </w:rPr>
      </w:pPr>
      <w:r>
        <w:rPr>
          <w:rFonts w:hint="eastAsia" w:ascii="宋体" w:hAnsi="宋体" w:eastAsia="宋体" w:cs="宋体"/>
          <w:sz w:val="24"/>
          <w:szCs w:val="24"/>
        </w:rPr>
        <w:fldChar w:fldCharType="end"/>
      </w:r>
    </w:p>
    <w:p>
      <w:pPr>
        <w:pStyle w:val="2"/>
        <w:rPr>
          <w:shd w:val="clear" w:fill="FFFFFF"/>
        </w:rPr>
      </w:pPr>
    </w:p>
    <w:p/>
    <w:p>
      <w:pPr>
        <w:rPr>
          <w:shd w:val="clear" w:fill="FFFFFF"/>
        </w:rPr>
      </w:pPr>
    </w:p>
    <w:p>
      <w:pPr>
        <w:pStyle w:val="2"/>
      </w:pPr>
    </w:p>
    <w:p>
      <w:pPr>
        <w:pStyle w:val="3"/>
        <w:keepNext w:val="0"/>
        <w:keepLines w:val="0"/>
        <w:widowControl/>
        <w:suppressLineNumbers w:val="0"/>
        <w:ind w:left="0" w:right="75"/>
        <w:jc w:val="center"/>
        <w:outlineLvl w:val="0"/>
        <w:rPr>
          <w:shd w:val="clear" w:fill="FFFFFF"/>
        </w:rPr>
      </w:pPr>
    </w:p>
    <w:p>
      <w:pPr>
        <w:rPr>
          <w:shd w:val="clear" w:fill="FFFFFF"/>
        </w:rPr>
      </w:pPr>
      <w:bookmarkStart w:id="6" w:name="_Toc31283"/>
      <w:r>
        <w:rPr>
          <w:shd w:val="clear" w:fill="FFFFFF"/>
        </w:rPr>
        <w:br w:type="page"/>
      </w:r>
    </w:p>
    <w:p>
      <w:pPr>
        <w:pStyle w:val="3"/>
        <w:keepNext w:val="0"/>
        <w:keepLines w:val="0"/>
        <w:widowControl/>
        <w:suppressLineNumbers w:val="0"/>
        <w:ind w:left="0" w:right="75"/>
        <w:jc w:val="center"/>
        <w:outlineLvl w:val="0"/>
      </w:pPr>
      <w:r>
        <w:rPr>
          <w:shd w:val="clear" w:fill="FFFFFF"/>
        </w:rPr>
        <w:t>第一部分 部门概况</w:t>
      </w:r>
      <w:bookmarkEnd w:id="6"/>
    </w:p>
    <w:p>
      <w:pPr>
        <w:pStyle w:val="4"/>
        <w:pageBreakBefore w:val="0"/>
        <w:widowControl w:val="0"/>
        <w:numPr>
          <w:ilvl w:val="0"/>
          <w:numId w:val="0"/>
        </w:numPr>
        <w:kinsoku/>
        <w:wordWrap/>
        <w:overflowPunct/>
        <w:topLinePunct w:val="0"/>
        <w:autoSpaceDE/>
        <w:autoSpaceDN/>
        <w:bidi w:val="0"/>
        <w:adjustRightInd/>
        <w:spacing w:before="0" w:after="0" w:line="560" w:lineRule="exact"/>
        <w:ind w:right="0" w:rightChars="0" w:firstLine="723" w:firstLineChars="200"/>
        <w:jc w:val="both"/>
        <w:textAlignment w:val="auto"/>
        <w:outlineLvl w:val="1"/>
        <w:rPr>
          <w:shd w:val="clear" w:fill="FFFFFF"/>
        </w:rPr>
      </w:pPr>
      <w:bookmarkStart w:id="7" w:name="_Toc17655"/>
      <w:r>
        <w:rPr>
          <w:rFonts w:hint="eastAsia"/>
          <w:shd w:val="clear" w:fill="FFFFFF"/>
          <w:lang w:eastAsia="zh-CN"/>
        </w:rPr>
        <w:t>一、</w:t>
      </w:r>
      <w:r>
        <w:rPr>
          <w:shd w:val="clear" w:fill="FFFFFF"/>
        </w:rPr>
        <w:t>基本职能及主要工作</w:t>
      </w:r>
      <w:bookmarkEnd w:id="7"/>
    </w:p>
    <w:p>
      <w:pPr>
        <w:keepNext w:val="0"/>
        <w:keepLines w:val="0"/>
        <w:pageBreakBefore w:val="0"/>
        <w:numPr>
          <w:ilvl w:val="0"/>
          <w:numId w:val="0"/>
        </w:numPr>
        <w:kinsoku/>
        <w:wordWrap/>
        <w:overflowPunct/>
        <w:topLinePunct w:val="0"/>
        <w:bidi w:val="0"/>
        <w:spacing w:beforeAutospacing="0" w:afterAutospacing="0" w:line="560" w:lineRule="exact"/>
        <w:ind w:firstLine="964" w:firstLineChars="300"/>
        <w:textAlignment w:val="auto"/>
        <w:outlineLvl w:val="1"/>
        <w:rPr>
          <w:rFonts w:hint="eastAsia" w:ascii="仿宋" w:hAnsi="Times New Roman" w:eastAsia="仿宋" w:cs="Times New Roman"/>
          <w:b/>
          <w:bCs/>
          <w:kern w:val="44"/>
          <w:sz w:val="32"/>
          <w:szCs w:val="32"/>
          <w:lang w:val="en-US" w:eastAsia="zh-CN" w:bidi="ar-SA"/>
        </w:rPr>
      </w:pPr>
      <w:bookmarkStart w:id="8" w:name="_Toc2559"/>
      <w:r>
        <w:rPr>
          <w:rFonts w:hint="eastAsia" w:ascii="仿宋" w:hAnsi="Times New Roman" w:eastAsia="仿宋" w:cs="Times New Roman"/>
          <w:b/>
          <w:bCs/>
          <w:kern w:val="44"/>
          <w:sz w:val="32"/>
          <w:szCs w:val="32"/>
          <w:lang w:val="en-US" w:eastAsia="zh-CN" w:bidi="ar-SA"/>
        </w:rPr>
        <w:t>（一）主要职能</w:t>
      </w:r>
      <w:bookmarkEnd w:id="8"/>
    </w:p>
    <w:p>
      <w:pPr>
        <w:pStyle w:val="9"/>
        <w:keepNext w:val="0"/>
        <w:keepLines w:val="0"/>
        <w:pageBreakBefore w:val="0"/>
        <w:widowControl/>
        <w:suppressLineNumbers w:val="0"/>
        <w:kinsoku/>
        <w:wordWrap/>
        <w:overflowPunct/>
        <w:topLinePunct w:val="0"/>
        <w:autoSpaceDE/>
        <w:autoSpaceDN/>
        <w:bidi w:val="0"/>
        <w:snapToGrid w:val="0"/>
        <w:spacing w:before="0" w:beforeAutospacing="0" w:after="0" w:afterAutospacing="0" w:line="560" w:lineRule="exact"/>
        <w:ind w:right="0" w:firstLine="640" w:firstLineChars="200"/>
        <w:jc w:val="left"/>
        <w:textAlignment w:val="auto"/>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小金</w:t>
      </w:r>
      <w:r>
        <w:rPr>
          <w:rFonts w:hint="eastAsia" w:ascii="仿宋" w:hAnsi="仿宋" w:eastAsia="仿宋"/>
          <w:bCs/>
          <w:color w:val="000000"/>
          <w:sz w:val="32"/>
          <w:szCs w:val="32"/>
        </w:rPr>
        <w:t>县人民检察院是国家的法律监督机关，在阿坝州人民检察院领导下，依据宪法和法律独立行使检察权，对</w:t>
      </w:r>
      <w:r>
        <w:rPr>
          <w:rFonts w:hint="eastAsia" w:ascii="仿宋" w:hAnsi="仿宋" w:eastAsia="仿宋"/>
          <w:bCs/>
          <w:color w:val="000000"/>
          <w:sz w:val="32"/>
          <w:szCs w:val="32"/>
          <w:lang w:eastAsia="zh-CN"/>
        </w:rPr>
        <w:t>小金</w:t>
      </w:r>
      <w:r>
        <w:rPr>
          <w:rFonts w:hint="eastAsia" w:ascii="仿宋" w:hAnsi="仿宋" w:eastAsia="仿宋"/>
          <w:bCs/>
          <w:color w:val="000000"/>
          <w:sz w:val="32"/>
          <w:szCs w:val="32"/>
        </w:rPr>
        <w:t>县人民代表大会及其常务委员会负责并报告工作。其主要职责是：</w:t>
      </w:r>
    </w:p>
    <w:p>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、执行国家法律法规，贯彻落实上级人民检察院、同级党委工作部署，制定检察工作目标，完成各项检察工作任务。</w:t>
      </w:r>
    </w:p>
    <w:p>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、依法办理审查批准逮捕、决定逮捕案件，实施立案侦查监督、侦查活动监督。</w:t>
      </w:r>
    </w:p>
    <w:p>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、依法办理审查起诉、提起公诉、抗诉案件，对人民法院刑事审判活动实行监督工作。</w:t>
      </w:r>
    </w:p>
    <w:p>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、对刑罚执行和监管活动实行监督，维护刑罚执行和监管活动的公平公正，维护监管秩序稳定。</w:t>
      </w:r>
    </w:p>
    <w:p>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、受理公民的报案、举报、控告和刑事申诉，依法处理举报线索，办理刑事申诉、国家赔偿、司法救助案件。</w:t>
      </w:r>
    </w:p>
    <w:p>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6</w:t>
      </w:r>
      <w:r>
        <w:rPr>
          <w:rFonts w:hint="eastAsia" w:ascii="仿宋" w:hAnsi="仿宋" w:eastAsia="仿宋"/>
          <w:bCs/>
          <w:color w:val="000000"/>
          <w:sz w:val="32"/>
          <w:szCs w:val="32"/>
        </w:rPr>
        <w:t>、对人民法院民事诉讼和行政诉讼实行法律监督。</w:t>
      </w:r>
    </w:p>
    <w:p>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7</w:t>
      </w:r>
      <w:r>
        <w:rPr>
          <w:rFonts w:hint="eastAsia" w:ascii="仿宋" w:hAnsi="仿宋" w:eastAsia="仿宋"/>
          <w:bCs/>
          <w:color w:val="000000"/>
          <w:sz w:val="32"/>
          <w:szCs w:val="32"/>
        </w:rPr>
        <w:t>、开展涉及生态环境保护的检察工作。</w:t>
      </w:r>
    </w:p>
    <w:p>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、开展未成年人检察工作。</w:t>
      </w:r>
    </w:p>
    <w:p>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、负责检察队伍建设和思想政治工作，对检察人员进行教育培训，负责检察机关党的思想、组织、作风建设。</w:t>
      </w:r>
    </w:p>
    <w:p>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10</w:t>
      </w:r>
      <w:r>
        <w:rPr>
          <w:rFonts w:hint="eastAsia" w:ascii="仿宋" w:hAnsi="仿宋" w:eastAsia="仿宋"/>
          <w:bCs/>
          <w:color w:val="000000"/>
          <w:sz w:val="32"/>
          <w:szCs w:val="32"/>
        </w:rPr>
        <w:t>、按照干部管理权限，协同地方党委、上级人民检察院管理本院检察人员，提请本级人民代表大会常务委员会决定任免副检察长、检察委员会委员、检察员。</w:t>
      </w:r>
    </w:p>
    <w:p>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11</w:t>
      </w:r>
      <w:r>
        <w:rPr>
          <w:rFonts w:hint="eastAsia" w:ascii="仿宋" w:hAnsi="仿宋" w:eastAsia="仿宋"/>
          <w:bCs/>
          <w:color w:val="000000"/>
          <w:sz w:val="32"/>
          <w:szCs w:val="32"/>
        </w:rPr>
        <w:t>、规划落实检察机关财务装备工作，开展检察机关信息化建设、检察技术工作。</w:t>
      </w:r>
    </w:p>
    <w:p>
      <w:pPr>
        <w:pStyle w:val="6"/>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12</w:t>
      </w:r>
      <w:r>
        <w:rPr>
          <w:rFonts w:hint="eastAsia" w:ascii="仿宋" w:hAnsi="仿宋" w:eastAsia="仿宋"/>
          <w:bCs/>
          <w:color w:val="000000"/>
          <w:sz w:val="32"/>
          <w:szCs w:val="32"/>
        </w:rPr>
        <w:t>、负责其他应当由县级人民检察院承办的事项。</w:t>
      </w:r>
    </w:p>
    <w:p>
      <w:pPr>
        <w:keepNext w:val="0"/>
        <w:keepLines w:val="0"/>
        <w:pageBreakBefore w:val="0"/>
        <w:numPr>
          <w:ilvl w:val="0"/>
          <w:numId w:val="0"/>
        </w:numPr>
        <w:kinsoku/>
        <w:wordWrap/>
        <w:overflowPunct/>
        <w:topLinePunct w:val="0"/>
        <w:bidi w:val="0"/>
        <w:spacing w:beforeAutospacing="0" w:afterAutospacing="0" w:line="560" w:lineRule="exact"/>
        <w:ind w:firstLine="643" w:firstLineChars="200"/>
        <w:textAlignment w:val="auto"/>
        <w:outlineLvl w:val="1"/>
        <w:rPr>
          <w:rFonts w:hint="eastAsia" w:ascii="仿宋" w:hAnsi="Times New Roman" w:eastAsia="仿宋" w:cs="Times New Roman"/>
          <w:b/>
          <w:bCs/>
          <w:kern w:val="44"/>
          <w:sz w:val="32"/>
          <w:szCs w:val="32"/>
          <w:lang w:val="en-US" w:eastAsia="zh-CN" w:bidi="ar-SA"/>
        </w:rPr>
      </w:pPr>
      <w:bookmarkStart w:id="9" w:name="_Toc8920"/>
      <w:r>
        <w:rPr>
          <w:rFonts w:hint="eastAsia" w:ascii="仿宋" w:hAnsi="Times New Roman" w:eastAsia="仿宋" w:cs="Times New Roman"/>
          <w:b/>
          <w:bCs/>
          <w:kern w:val="44"/>
          <w:sz w:val="32"/>
          <w:szCs w:val="32"/>
          <w:lang w:val="en-US" w:eastAsia="zh-CN" w:bidi="ar-SA"/>
        </w:rPr>
        <w:t>（二）2022年重点工作完成情况。</w:t>
      </w:r>
      <w:bookmarkEnd w:id="9"/>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3" w:firstLineChars="200"/>
        <w:textAlignment w:val="auto"/>
        <w:rPr>
          <w:rFonts w:hint="eastAsia" w:ascii="Times New Roman" w:hAnsi="Times New Roman" w:eastAsia="仿宋_GB2312" w:cs="Times New Roman"/>
          <w:sz w:val="32"/>
          <w:lang w:val="zh-CN" w:eastAsia="zh-CN"/>
        </w:rPr>
      </w:pPr>
      <w:bookmarkStart w:id="10" w:name="_Toc15377204"/>
      <w:bookmarkStart w:id="11" w:name="_Toc15396602"/>
      <w:r>
        <w:rPr>
          <w:rFonts w:hint="eastAsia" w:ascii="楷体_GB2312" w:hAnsi="楷体_GB2312" w:eastAsia="楷体_GB2312" w:cs="楷体_GB2312"/>
          <w:b/>
          <w:bCs w:val="0"/>
          <w:sz w:val="32"/>
          <w:szCs w:val="32"/>
          <w:lang w:val="zh-CN" w:eastAsia="zh-CN"/>
        </w:rPr>
        <w:t>全力维护国家政治安全和社会大局稳定。</w:t>
      </w:r>
      <w:r>
        <w:rPr>
          <w:rFonts w:hint="eastAsia" w:ascii="Times New Roman" w:hAnsi="Times New Roman" w:eastAsia="仿宋_GB2312" w:cs="Times New Roman"/>
          <w:sz w:val="32"/>
          <w:lang w:val="zh-CN" w:eastAsia="zh-CN"/>
        </w:rPr>
        <w:t>坚决维护国家政治安全，持之以恒抓好维稳工作，坚决确保</w:t>
      </w:r>
      <w:r>
        <w:rPr>
          <w:rFonts w:hint="eastAsia" w:ascii="Times New Roman" w:hAnsi="Times New Roman" w:eastAsia="仿宋_GB2312" w:cs="Times New Roman"/>
          <w:sz w:val="32"/>
          <w:lang w:val="en-US" w:eastAsia="zh-CN"/>
        </w:rPr>
        <w:t>小金</w:t>
      </w:r>
      <w:r>
        <w:rPr>
          <w:rFonts w:hint="eastAsia" w:ascii="Times New Roman" w:hAnsi="Times New Roman" w:eastAsia="仿宋_GB2312" w:cs="Times New Roman"/>
          <w:sz w:val="32"/>
          <w:lang w:val="zh-CN" w:eastAsia="zh-CN"/>
        </w:rPr>
        <w:t>政治大局绝对平安，全力保障党的二十大胜利召开。常态化开展扫黑除恶斗争，让常态化扫黑除恶向纵深发展。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val="0"/>
          <w:sz w:val="32"/>
          <w:szCs w:val="32"/>
          <w:lang w:val="zh-CN" w:eastAsia="zh-CN"/>
        </w:rPr>
        <w:t>主动融入乡村振兴战略。</w:t>
      </w:r>
      <w:r>
        <w:rPr>
          <w:rFonts w:hint="eastAsia" w:ascii="Times New Roman" w:hAnsi="Times New Roman" w:eastAsia="仿宋_GB2312" w:cs="Times New Roman"/>
          <w:sz w:val="32"/>
          <w:szCs w:val="32"/>
          <w:lang w:val="zh-CN" w:eastAsia="zh-CN"/>
        </w:rPr>
        <w:t>持续巩固拓展脱贫攻坚同乡村振兴有效衔接，选派</w:t>
      </w:r>
      <w:r>
        <w:rPr>
          <w:rFonts w:hint="eastAsia" w:ascii="Times New Roman" w:hAnsi="Times New Roman" w:eastAsia="仿宋_GB2312" w:cs="Times New Roman"/>
          <w:sz w:val="32"/>
          <w:szCs w:val="32"/>
          <w:lang w:val="en-US" w:eastAsia="zh-CN"/>
        </w:rPr>
        <w:t>1名干警开展驻村帮扶工作，</w:t>
      </w:r>
      <w:r>
        <w:rPr>
          <w:rFonts w:hint="eastAsia" w:ascii="Times New Roman" w:hAnsi="Times New Roman" w:eastAsia="仿宋_GB2312" w:cs="Times New Roman"/>
          <w:sz w:val="32"/>
          <w:szCs w:val="32"/>
          <w:lang w:val="zh-CN" w:eastAsia="zh-CN"/>
        </w:rPr>
        <w:t>常态化开展“</w:t>
      </w:r>
      <w:r>
        <w:rPr>
          <w:rFonts w:hint="default" w:ascii="Times New Roman" w:hAnsi="Times New Roman" w:eastAsia="仿宋_GB2312" w:cs="Times New Roman"/>
          <w:sz w:val="32"/>
          <w:szCs w:val="32"/>
          <w:lang w:val="zh-CN" w:eastAsia="zh-CN"/>
        </w:rPr>
        <w:t>两联一进”全覆盖</w:t>
      </w:r>
      <w:r>
        <w:rPr>
          <w:rFonts w:hint="eastAsia" w:ascii="Times New Roman" w:hAnsi="Times New Roman" w:eastAsia="仿宋_GB2312" w:cs="Times New Roman"/>
          <w:sz w:val="32"/>
          <w:szCs w:val="32"/>
          <w:lang w:val="zh-CN" w:eastAsia="zh-CN"/>
        </w:rPr>
        <w:t>工作，</w:t>
      </w:r>
      <w:r>
        <w:rPr>
          <w:rFonts w:hint="eastAsia" w:ascii="Times New Roman" w:hAnsi="Times New Roman" w:eastAsia="仿宋_GB2312" w:cs="Times New Roman"/>
          <w:sz w:val="32"/>
          <w:szCs w:val="32"/>
          <w:lang w:val="en-US" w:eastAsia="zh-CN"/>
        </w:rPr>
        <w:t>推动司法救助融入乡村振兴，办理国家司法救助案件2件3人，发放救助金3.6万元，切实惠及农村低收入当事人，为全面实施乡村振兴战略贡献检察智慧和力量。</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pPr>
      <w:r>
        <w:rPr>
          <w:rFonts w:hint="eastAsia" w:ascii="楷体_GB2312" w:hAnsi="楷体_GB2312" w:eastAsia="楷体_GB2312" w:cs="楷体_GB2312"/>
          <w:b/>
          <w:bCs w:val="0"/>
          <w:sz w:val="32"/>
          <w:szCs w:val="32"/>
          <w:lang w:val="en-US" w:eastAsia="zh-CN"/>
        </w:rPr>
        <w:t>认真推进反腐败工作。</w:t>
      </w:r>
      <w:r>
        <w:rPr>
          <w:rFonts w:hint="eastAsia" w:ascii="Times New Roman" w:hAnsi="Times New Roman" w:eastAsia="仿宋_GB2312" w:cs="Times New Roman"/>
          <w:kern w:val="2"/>
          <w:sz w:val="32"/>
          <w:szCs w:val="32"/>
          <w:lang w:val="en-US" w:eastAsia="zh-CN" w:bidi="ar-SA"/>
        </w:rPr>
        <w:t>持续强化与县监委协作配合，建立职务犯罪案件提前介入、线索移送等各项制度机制，组建职务犯罪刑事办案组，依法履行检察职责，确保精准打击，积极为反腐败斗争贡献检察力量。</w:t>
      </w:r>
    </w:p>
    <w:p>
      <w:pPr>
        <w:pStyle w:val="4"/>
        <w:pageBreakBefore w:val="0"/>
        <w:widowControl w:val="0"/>
        <w:numPr>
          <w:ilvl w:val="0"/>
          <w:numId w:val="0"/>
        </w:numPr>
        <w:kinsoku/>
        <w:wordWrap/>
        <w:overflowPunct/>
        <w:topLinePunct w:val="0"/>
        <w:autoSpaceDE/>
        <w:autoSpaceDN/>
        <w:bidi w:val="0"/>
        <w:adjustRightInd/>
        <w:spacing w:before="0" w:after="0" w:line="560" w:lineRule="exact"/>
        <w:ind w:right="0" w:rightChars="0" w:firstLine="720" w:firstLineChars="200"/>
        <w:jc w:val="both"/>
        <w:textAlignment w:val="auto"/>
        <w:outlineLvl w:val="1"/>
        <w:rPr>
          <w:rStyle w:val="13"/>
          <w:rFonts w:hint="eastAsia" w:ascii="黑体" w:eastAsia="黑体"/>
          <w:b w:val="0"/>
        </w:rPr>
      </w:pPr>
      <w:bookmarkStart w:id="12" w:name="_Toc22700"/>
      <w:r>
        <w:rPr>
          <w:rStyle w:val="13"/>
          <w:rFonts w:hint="eastAsia" w:ascii="黑体" w:eastAsia="黑体"/>
          <w:b w:val="0"/>
          <w:lang w:val="en-US"/>
        </w:rPr>
        <w:t>二、</w:t>
      </w:r>
      <w:r>
        <w:rPr>
          <w:rStyle w:val="13"/>
          <w:rFonts w:hint="eastAsia" w:ascii="黑体" w:eastAsia="黑体"/>
          <w:b w:val="0"/>
        </w:rPr>
        <w:t>机构设置</w:t>
      </w:r>
      <w:bookmarkEnd w:id="12"/>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我院独立核算机构1个，是独立编报预算的单位。</w:t>
      </w:r>
    </w:p>
    <w:p>
      <w:pPr>
        <w:pStyle w:val="3"/>
        <w:keepNext w:val="0"/>
        <w:keepLines w:val="0"/>
        <w:widowControl/>
        <w:suppressLineNumbers w:val="0"/>
        <w:ind w:left="0" w:right="75"/>
        <w:jc w:val="center"/>
        <w:outlineLvl w:val="0"/>
        <w:rPr>
          <w:rFonts w:hint="eastAsia" w:ascii="黑体" w:eastAsia="黑体"/>
          <w:sz w:val="32"/>
          <w:szCs w:val="32"/>
          <w:lang w:eastAsia="zh-CN"/>
        </w:rPr>
      </w:pPr>
      <w:bookmarkStart w:id="13" w:name="_Toc19842"/>
      <w:r>
        <w:rPr>
          <w:shd w:val="clear" w:fill="FFFFFF"/>
        </w:rPr>
        <w:t>第二部分 2022年度部门决算情况说</w:t>
      </w:r>
      <w:bookmarkEnd w:id="10"/>
      <w:bookmarkEnd w:id="11"/>
      <w:bookmarkEnd w:id="13"/>
      <w:bookmarkStart w:id="14" w:name="_Toc15377205"/>
      <w:bookmarkStart w:id="15" w:name="_Toc15396603"/>
    </w:p>
    <w:p>
      <w:pPr>
        <w:pStyle w:val="4"/>
        <w:pageBreakBefore w:val="0"/>
        <w:widowControl w:val="0"/>
        <w:numPr>
          <w:ilvl w:val="0"/>
          <w:numId w:val="0"/>
        </w:numPr>
        <w:kinsoku/>
        <w:wordWrap/>
        <w:overflowPunct/>
        <w:topLinePunct w:val="0"/>
        <w:autoSpaceDE/>
        <w:autoSpaceDN/>
        <w:bidi w:val="0"/>
        <w:adjustRightInd/>
        <w:spacing w:before="0" w:after="0" w:line="560" w:lineRule="exact"/>
        <w:ind w:right="0" w:rightChars="0" w:firstLine="640" w:firstLineChars="200"/>
        <w:jc w:val="both"/>
        <w:textAlignment w:val="auto"/>
        <w:outlineLvl w:val="1"/>
        <w:rPr>
          <w:rStyle w:val="13"/>
          <w:rFonts w:hint="eastAsia" w:ascii="黑体" w:eastAsia="黑体"/>
          <w:b w:val="0"/>
          <w:sz w:val="32"/>
          <w:szCs w:val="32"/>
          <w:lang w:val="en-US" w:eastAsia="zh-CN"/>
        </w:rPr>
      </w:pPr>
      <w:bookmarkStart w:id="16" w:name="_Toc9657"/>
      <w:r>
        <w:rPr>
          <w:rStyle w:val="13"/>
          <w:rFonts w:hint="eastAsia" w:ascii="黑体" w:eastAsia="黑体"/>
          <w:b w:val="0"/>
          <w:sz w:val="32"/>
          <w:szCs w:val="32"/>
          <w:lang w:val="en-US" w:eastAsia="zh-CN"/>
        </w:rPr>
        <w:t>一、收入支出决算总体情况说明</w:t>
      </w:r>
      <w:bookmarkEnd w:id="14"/>
      <w:bookmarkEnd w:id="15"/>
      <w:bookmarkEnd w:id="16"/>
    </w:p>
    <w:p>
      <w:pPr>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年度</w:t>
      </w:r>
      <w:r>
        <w:rPr>
          <w:rFonts w:hint="eastAsia" w:ascii="仿宋" w:hAnsi="仿宋" w:eastAsia="仿宋"/>
          <w:color w:val="000000"/>
          <w:sz w:val="32"/>
          <w:szCs w:val="32"/>
          <w:lang w:eastAsia="zh-CN"/>
        </w:rPr>
        <w:t>收入总计</w:t>
      </w:r>
      <w:r>
        <w:rPr>
          <w:rFonts w:hint="eastAsia" w:ascii="仿宋" w:hAnsi="仿宋" w:eastAsia="仿宋"/>
          <w:color w:val="000000"/>
          <w:sz w:val="32"/>
          <w:szCs w:val="32"/>
          <w:lang w:val="en-US" w:eastAsia="zh-CN"/>
        </w:rPr>
        <w:t>968.85万元，</w:t>
      </w:r>
      <w:r>
        <w:rPr>
          <w:rFonts w:hint="eastAsia" w:ascii="仿宋" w:hAnsi="仿宋" w:eastAsia="仿宋"/>
          <w:color w:val="000000"/>
          <w:sz w:val="32"/>
          <w:szCs w:val="32"/>
        </w:rPr>
        <w:t>与20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w:t>
      </w:r>
      <w:r>
        <w:rPr>
          <w:rFonts w:hint="eastAsia" w:ascii="仿宋" w:hAnsi="仿宋" w:eastAsia="仿宋"/>
          <w:color w:val="000000"/>
          <w:sz w:val="32"/>
          <w:szCs w:val="32"/>
          <w:lang w:eastAsia="zh-CN"/>
        </w:rPr>
        <w:t>收入总计</w:t>
      </w:r>
      <w:r>
        <w:rPr>
          <w:rFonts w:hint="eastAsia" w:ascii="仿宋" w:hAnsi="仿宋" w:eastAsia="仿宋"/>
          <w:color w:val="000000"/>
          <w:sz w:val="32"/>
          <w:szCs w:val="32"/>
          <w:lang w:val="en-US" w:eastAsia="zh-CN"/>
        </w:rPr>
        <w:t>747.64万元</w:t>
      </w:r>
      <w:r>
        <w:rPr>
          <w:rFonts w:hint="eastAsia" w:ascii="仿宋" w:hAnsi="仿宋" w:eastAsia="仿宋"/>
          <w:color w:val="000000"/>
          <w:sz w:val="32"/>
          <w:szCs w:val="32"/>
        </w:rPr>
        <w:t>相比，</w:t>
      </w:r>
      <w:r>
        <w:rPr>
          <w:rFonts w:hint="eastAsia" w:ascii="仿宋" w:hAnsi="仿宋" w:eastAsia="仿宋"/>
          <w:color w:val="000000"/>
          <w:sz w:val="32"/>
          <w:szCs w:val="32"/>
          <w:lang w:eastAsia="zh-CN"/>
        </w:rPr>
        <w:t>收入</w:t>
      </w:r>
      <w:r>
        <w:rPr>
          <w:rFonts w:hint="eastAsia" w:ascii="仿宋" w:hAnsi="仿宋" w:eastAsia="仿宋"/>
          <w:color w:val="000000"/>
          <w:sz w:val="32"/>
          <w:szCs w:val="32"/>
          <w:lang w:val="en-US" w:eastAsia="zh-CN"/>
        </w:rPr>
        <w:t>总计增加221.21万元，增加29.59%。主要变动原因是基本工资津贴补贴等有所增加。</w:t>
      </w:r>
    </w:p>
    <w:p>
      <w:pPr>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年度</w:t>
      </w:r>
      <w:r>
        <w:rPr>
          <w:rFonts w:hint="eastAsia" w:ascii="仿宋" w:hAnsi="仿宋" w:eastAsia="仿宋"/>
          <w:color w:val="000000"/>
          <w:sz w:val="32"/>
          <w:szCs w:val="32"/>
          <w:lang w:eastAsia="zh-CN"/>
        </w:rPr>
        <w:t>支出总计</w:t>
      </w:r>
      <w:r>
        <w:rPr>
          <w:rFonts w:hint="eastAsia" w:ascii="仿宋" w:hAnsi="仿宋" w:eastAsia="仿宋"/>
          <w:color w:val="000000"/>
          <w:sz w:val="32"/>
          <w:szCs w:val="32"/>
          <w:lang w:val="en-US" w:eastAsia="zh-CN"/>
        </w:rPr>
        <w:t>968.85万元，</w:t>
      </w:r>
      <w:r>
        <w:rPr>
          <w:rFonts w:hint="eastAsia" w:ascii="仿宋" w:hAnsi="仿宋" w:eastAsia="仿宋"/>
          <w:color w:val="000000"/>
          <w:sz w:val="32"/>
          <w:szCs w:val="32"/>
        </w:rPr>
        <w:t>与2</w:t>
      </w:r>
      <w:r>
        <w:rPr>
          <w:rFonts w:hint="eastAsia" w:ascii="仿宋" w:hAnsi="仿宋" w:eastAsia="仿宋"/>
          <w:color w:val="000000"/>
          <w:sz w:val="32"/>
          <w:szCs w:val="32"/>
          <w:lang w:val="en-US" w:eastAsia="zh-CN"/>
        </w:rPr>
        <w:t>021</w:t>
      </w:r>
      <w:r>
        <w:rPr>
          <w:rFonts w:hint="eastAsia" w:ascii="仿宋" w:hAnsi="仿宋" w:eastAsia="仿宋"/>
          <w:color w:val="000000"/>
          <w:sz w:val="32"/>
          <w:szCs w:val="32"/>
        </w:rPr>
        <w:t>年</w:t>
      </w:r>
      <w:r>
        <w:rPr>
          <w:rFonts w:hint="eastAsia" w:ascii="仿宋" w:hAnsi="仿宋" w:eastAsia="仿宋"/>
          <w:color w:val="000000"/>
          <w:sz w:val="32"/>
          <w:szCs w:val="32"/>
          <w:lang w:eastAsia="zh-CN"/>
        </w:rPr>
        <w:t>支出总计</w:t>
      </w:r>
      <w:r>
        <w:rPr>
          <w:rFonts w:hint="eastAsia" w:ascii="仿宋" w:hAnsi="仿宋" w:eastAsia="仿宋"/>
          <w:color w:val="000000"/>
          <w:sz w:val="32"/>
          <w:szCs w:val="32"/>
          <w:lang w:val="en-US" w:eastAsia="zh-CN"/>
        </w:rPr>
        <w:t>924.11万元</w:t>
      </w:r>
      <w:r>
        <w:rPr>
          <w:rFonts w:hint="eastAsia" w:ascii="仿宋" w:hAnsi="仿宋" w:eastAsia="仿宋"/>
          <w:color w:val="000000"/>
          <w:sz w:val="32"/>
          <w:szCs w:val="32"/>
        </w:rPr>
        <w:t>相比</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总计增加44.74万元，增加4.8%。主要变动原因是人员经费支出增加。</w:t>
      </w:r>
    </w:p>
    <w:p>
      <w:pPr>
        <w:pStyle w:val="9"/>
        <w:keepNext w:val="0"/>
        <w:keepLines w:val="0"/>
        <w:widowControl/>
        <w:suppressLineNumbers w:val="0"/>
        <w:snapToGrid w:val="0"/>
        <w:spacing w:before="0" w:beforeAutospacing="0" w:after="0" w:afterAutospacing="1"/>
        <w:ind w:left="0" w:right="0"/>
        <w:jc w:val="left"/>
        <w:rPr>
          <w:rFonts w:hint="eastAsia" w:ascii="宋体" w:hAnsi="宋体" w:eastAsia="宋体" w:cs="宋体"/>
          <w:b/>
          <w:bCs/>
          <w:kern w:val="0"/>
          <w:sz w:val="24"/>
          <w:szCs w:val="24"/>
          <w:shd w:val="clear" w:fill="FFFFFF"/>
          <w:lang w:val="en-US" w:eastAsia="zh-CN" w:bidi="ar"/>
        </w:rPr>
      </w:pPr>
    </w:p>
    <w:p>
      <w:pPr>
        <w:pStyle w:val="9"/>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drawing>
          <wp:inline distT="0" distB="0" distL="114300" distR="114300">
            <wp:extent cx="4222750" cy="2839085"/>
            <wp:effectExtent l="5080" t="5080" r="8890"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eastAsia" w:ascii="宋体" w:hAnsi="宋体" w:eastAsia="宋体" w:cs="宋体"/>
          <w:kern w:val="0"/>
          <w:sz w:val="24"/>
          <w:szCs w:val="24"/>
          <w:shd w:val="clear" w:fill="FFFFFF"/>
          <w:lang w:val="en-US" w:eastAsia="zh-CN" w:bidi="ar"/>
        </w:rPr>
        <w:t xml:space="preserve"> </w:t>
      </w:r>
    </w:p>
    <w:p>
      <w:pPr>
        <w:pStyle w:val="9"/>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（图1：收、支决算总计变动情况图）（柱状图）</w:t>
      </w:r>
    </w:p>
    <w:p>
      <w:pPr>
        <w:pStyle w:val="4"/>
        <w:pageBreakBefore w:val="0"/>
        <w:widowControl w:val="0"/>
        <w:numPr>
          <w:ilvl w:val="0"/>
          <w:numId w:val="0"/>
        </w:numPr>
        <w:kinsoku/>
        <w:wordWrap/>
        <w:overflowPunct/>
        <w:topLinePunct w:val="0"/>
        <w:autoSpaceDE/>
        <w:autoSpaceDN/>
        <w:bidi w:val="0"/>
        <w:adjustRightInd/>
        <w:spacing w:before="0" w:after="0" w:line="560" w:lineRule="exact"/>
        <w:ind w:right="0" w:rightChars="0" w:firstLine="640" w:firstLineChars="200"/>
        <w:jc w:val="both"/>
        <w:textAlignment w:val="auto"/>
        <w:outlineLvl w:val="1"/>
        <w:rPr>
          <w:rStyle w:val="13"/>
          <w:rFonts w:hint="eastAsia" w:ascii="黑体" w:eastAsia="黑体"/>
          <w:b w:val="0"/>
          <w:sz w:val="32"/>
          <w:szCs w:val="32"/>
          <w:lang w:eastAsia="zh-CN"/>
        </w:rPr>
      </w:pPr>
      <w:bookmarkStart w:id="17" w:name="_Toc19422"/>
      <w:r>
        <w:rPr>
          <w:rStyle w:val="13"/>
          <w:rFonts w:hint="eastAsia" w:ascii="黑体" w:eastAsia="黑体"/>
          <w:b w:val="0"/>
          <w:sz w:val="32"/>
          <w:szCs w:val="32"/>
          <w:lang w:val="en-US" w:eastAsia="zh-CN"/>
        </w:rPr>
        <w:t>二、收入决算情况说明</w:t>
      </w:r>
      <w:bookmarkEnd w:id="17"/>
    </w:p>
    <w:p>
      <w:pPr>
        <w:pStyle w:val="9"/>
        <w:keepNext w:val="0"/>
        <w:keepLines w:val="0"/>
        <w:widowControl/>
        <w:suppressLineNumbers w:val="0"/>
        <w:snapToGrid w:val="0"/>
        <w:spacing w:before="0" w:beforeAutospacing="0" w:after="0" w:afterAutospacing="1"/>
        <w:ind w:left="240" w:right="0" w:hanging="240" w:hangingChars="100"/>
        <w:jc w:val="left"/>
        <w:rPr>
          <w:rFonts w:hint="eastAsia" w:ascii="仿宋" w:hAnsi="仿宋" w:eastAsia="仿宋" w:cstheme="minorBidi"/>
          <w:color w:val="000000"/>
          <w:kern w:val="2"/>
          <w:sz w:val="32"/>
          <w:szCs w:val="32"/>
          <w:lang w:val="en-US" w:eastAsia="zh-CN" w:bidi="ar-SA"/>
        </w:rPr>
      </w:pPr>
      <w:r>
        <w:rPr>
          <w:rFonts w:hint="eastAsia" w:ascii="宋体" w:hAnsi="宋体" w:eastAsia="宋体" w:cs="宋体"/>
          <w:kern w:val="0"/>
          <w:sz w:val="24"/>
          <w:szCs w:val="24"/>
          <w:shd w:val="clear" w:fill="FFFFFF"/>
          <w:lang w:val="en-US" w:eastAsia="zh-CN" w:bidi="ar"/>
        </w:rPr>
        <w:t xml:space="preserve">   </w:t>
      </w:r>
      <w:r>
        <w:rPr>
          <w:rFonts w:hint="eastAsia" w:cs="宋体"/>
          <w:kern w:val="0"/>
          <w:sz w:val="24"/>
          <w:szCs w:val="24"/>
          <w:shd w:val="clear" w:fill="FFFFFF"/>
          <w:lang w:val="en-US" w:eastAsia="zh-CN" w:bidi="ar"/>
        </w:rPr>
        <w:t xml:space="preserve">    </w:t>
      </w:r>
      <w:r>
        <w:rPr>
          <w:rFonts w:hint="eastAsia" w:ascii="仿宋" w:hAnsi="仿宋" w:eastAsia="仿宋" w:cstheme="minorBidi"/>
          <w:color w:val="000000"/>
          <w:kern w:val="2"/>
          <w:sz w:val="32"/>
          <w:szCs w:val="32"/>
          <w:lang w:val="en-US" w:eastAsia="zh-CN" w:bidi="ar-SA"/>
        </w:rPr>
        <w:t>2022本年收入合计968.85万元，其中：一般公共预算财拨款收入668.97万元，占 69.04%；国有资本经营预算财政拨款收入0.00万元，占 0.00%;上级补助收入0.00万元，占 0.00%；事业收入0.00万元，占 0.00%；经营收入0.00万元，占 0.00%；附属单位上缴收入0.00万元，占 0.00%；其他收入299.89万元，占 30.96%。</w:t>
      </w:r>
    </w:p>
    <w:p>
      <w:pPr>
        <w:pStyle w:val="6"/>
        <w:rPr>
          <w:rFonts w:hint="eastAsia"/>
          <w:lang w:val="en-US" w:eastAsia="zh-CN"/>
        </w:rPr>
      </w:pPr>
      <w:r>
        <w:rPr>
          <w:rFonts w:hint="eastAsia" w:ascii="仿宋" w:hAnsi="仿宋" w:eastAsia="仿宋" w:cstheme="minorBidi"/>
          <w:color w:val="000000"/>
          <w:kern w:val="2"/>
          <w:sz w:val="32"/>
          <w:szCs w:val="32"/>
          <w:lang w:val="en-US" w:eastAsia="zh-CN" w:bidi="ar-SA"/>
        </w:rPr>
        <w:drawing>
          <wp:inline distT="0" distB="0" distL="114300" distR="114300">
            <wp:extent cx="5248910" cy="2826385"/>
            <wp:effectExtent l="4445" t="4445" r="19685"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9"/>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（图2：收入决算结构图）（饼状图）</w:t>
      </w:r>
    </w:p>
    <w:p>
      <w:pPr>
        <w:pStyle w:val="4"/>
        <w:pageBreakBefore w:val="0"/>
        <w:widowControl w:val="0"/>
        <w:numPr>
          <w:ilvl w:val="0"/>
          <w:numId w:val="0"/>
        </w:numPr>
        <w:kinsoku/>
        <w:wordWrap/>
        <w:overflowPunct/>
        <w:topLinePunct w:val="0"/>
        <w:autoSpaceDE/>
        <w:autoSpaceDN/>
        <w:bidi w:val="0"/>
        <w:adjustRightInd/>
        <w:spacing w:before="0" w:after="0" w:line="560" w:lineRule="exact"/>
        <w:ind w:right="0" w:rightChars="0" w:firstLine="640" w:firstLineChars="200"/>
        <w:jc w:val="both"/>
        <w:textAlignment w:val="auto"/>
        <w:outlineLvl w:val="1"/>
        <w:rPr>
          <w:rStyle w:val="13"/>
          <w:rFonts w:hint="eastAsia" w:ascii="黑体" w:eastAsia="黑体"/>
          <w:b w:val="0"/>
          <w:sz w:val="32"/>
          <w:szCs w:val="32"/>
          <w:lang w:val="en-US" w:eastAsia="zh-CN"/>
        </w:rPr>
      </w:pPr>
      <w:bookmarkStart w:id="18" w:name="_Toc5189"/>
      <w:r>
        <w:rPr>
          <w:rStyle w:val="13"/>
          <w:rFonts w:hint="eastAsia" w:ascii="黑体" w:eastAsia="黑体"/>
          <w:b w:val="0"/>
          <w:sz w:val="32"/>
          <w:szCs w:val="32"/>
          <w:lang w:val="en-US" w:eastAsia="zh-CN"/>
        </w:rPr>
        <w:t>三、支出决算情况说明</w:t>
      </w:r>
      <w:bookmarkEnd w:id="18"/>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r>
        <w:rPr>
          <w:rFonts w:hint="eastAsia" w:ascii="仿宋" w:hAnsi="仿宋" w:eastAsia="仿宋" w:cstheme="minorBidi"/>
          <w:color w:val="000000"/>
          <w:kern w:val="2"/>
          <w:sz w:val="32"/>
          <w:szCs w:val="32"/>
          <w:lang w:val="en-US" w:eastAsia="zh-CN" w:bidi="ar-SA"/>
        </w:rPr>
        <w:t>2022年本年支出合计968.85万元，其中：基本支出811.75万元，占83.78%；项目支出157.1万元，占16.22%；上缴上级支出0.00万元，占 0.00%；经营支出0.00万元，占 0.00%；对附属单位补助支出0.00万元，占 0.00%；。</w:t>
      </w:r>
    </w:p>
    <w:p>
      <w:pPr>
        <w:pStyle w:val="9"/>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drawing>
          <wp:inline distT="0" distB="0" distL="114300" distR="114300">
            <wp:extent cx="3975100" cy="2248535"/>
            <wp:effectExtent l="4445" t="4445" r="13335" b="177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ascii="宋体" w:hAnsi="宋体" w:eastAsia="宋体" w:cs="宋体"/>
          <w:kern w:val="0"/>
          <w:sz w:val="24"/>
          <w:szCs w:val="24"/>
          <w:shd w:val="clear" w:fill="FFFFFF"/>
          <w:lang w:val="en-US" w:eastAsia="zh-CN" w:bidi="ar"/>
        </w:rPr>
        <w:t xml:space="preserve"> </w:t>
      </w:r>
    </w:p>
    <w:p>
      <w:pPr>
        <w:pStyle w:val="9"/>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（图3：支出决算结构图）（饼状图）</w:t>
      </w:r>
    </w:p>
    <w:p>
      <w:pPr>
        <w:pStyle w:val="9"/>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4"/>
        <w:pageBreakBefore w:val="0"/>
        <w:widowControl w:val="0"/>
        <w:numPr>
          <w:ilvl w:val="0"/>
          <w:numId w:val="0"/>
        </w:numPr>
        <w:kinsoku/>
        <w:wordWrap/>
        <w:overflowPunct/>
        <w:topLinePunct w:val="0"/>
        <w:autoSpaceDE/>
        <w:autoSpaceDN/>
        <w:bidi w:val="0"/>
        <w:adjustRightInd/>
        <w:spacing w:before="0" w:after="0" w:line="560" w:lineRule="exact"/>
        <w:ind w:right="0" w:rightChars="0" w:firstLine="640" w:firstLineChars="200"/>
        <w:jc w:val="both"/>
        <w:textAlignment w:val="auto"/>
        <w:outlineLvl w:val="1"/>
        <w:rPr>
          <w:rStyle w:val="13"/>
          <w:rFonts w:hint="eastAsia" w:ascii="黑体" w:eastAsia="黑体"/>
          <w:b w:val="0"/>
          <w:sz w:val="32"/>
          <w:szCs w:val="32"/>
          <w:lang w:val="en-US" w:eastAsia="zh-CN"/>
        </w:rPr>
      </w:pPr>
      <w:bookmarkStart w:id="19" w:name="_Toc29945"/>
      <w:r>
        <w:rPr>
          <w:rStyle w:val="13"/>
          <w:rFonts w:hint="eastAsia" w:ascii="黑体" w:eastAsia="黑体"/>
          <w:b w:val="0"/>
          <w:sz w:val="32"/>
          <w:szCs w:val="32"/>
          <w:lang w:val="en-US" w:eastAsia="zh-CN"/>
        </w:rPr>
        <w:t>四、财政拨款收入支出决算总体情况说明</w:t>
      </w:r>
      <w:bookmarkEnd w:id="19"/>
    </w:p>
    <w:p>
      <w:pPr>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年度</w:t>
      </w:r>
      <w:r>
        <w:rPr>
          <w:rFonts w:hint="eastAsia" w:ascii="仿宋" w:hAnsi="仿宋" w:eastAsia="仿宋"/>
          <w:color w:val="000000"/>
          <w:sz w:val="32"/>
          <w:szCs w:val="32"/>
          <w:lang w:eastAsia="zh-CN"/>
        </w:rPr>
        <w:t>收入总计</w:t>
      </w:r>
      <w:r>
        <w:rPr>
          <w:rFonts w:hint="eastAsia" w:ascii="仿宋" w:hAnsi="仿宋" w:eastAsia="仿宋"/>
          <w:color w:val="000000"/>
          <w:sz w:val="32"/>
          <w:szCs w:val="32"/>
          <w:lang w:val="en-US" w:eastAsia="zh-CN"/>
        </w:rPr>
        <w:t>668.96万元，</w:t>
      </w:r>
      <w:r>
        <w:rPr>
          <w:rFonts w:hint="eastAsia" w:ascii="仿宋" w:hAnsi="仿宋" w:eastAsia="仿宋"/>
          <w:color w:val="000000"/>
          <w:sz w:val="32"/>
          <w:szCs w:val="32"/>
        </w:rPr>
        <w:t>与20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w:t>
      </w:r>
      <w:r>
        <w:rPr>
          <w:rFonts w:hint="eastAsia" w:ascii="仿宋" w:hAnsi="仿宋" w:eastAsia="仿宋"/>
          <w:color w:val="000000"/>
          <w:sz w:val="32"/>
          <w:szCs w:val="32"/>
          <w:lang w:eastAsia="zh-CN"/>
        </w:rPr>
        <w:t>收入总计</w:t>
      </w:r>
      <w:r>
        <w:rPr>
          <w:rFonts w:hint="eastAsia" w:ascii="仿宋" w:hAnsi="仿宋" w:eastAsia="仿宋"/>
          <w:color w:val="000000"/>
          <w:sz w:val="32"/>
          <w:szCs w:val="32"/>
          <w:lang w:val="en-US" w:eastAsia="zh-CN"/>
        </w:rPr>
        <w:t>747.76万元</w:t>
      </w:r>
      <w:r>
        <w:rPr>
          <w:rFonts w:hint="eastAsia" w:ascii="仿宋" w:hAnsi="仿宋" w:eastAsia="仿宋"/>
          <w:color w:val="000000"/>
          <w:sz w:val="32"/>
          <w:szCs w:val="32"/>
        </w:rPr>
        <w:t>相比，</w:t>
      </w:r>
      <w:r>
        <w:rPr>
          <w:rFonts w:hint="eastAsia" w:ascii="仿宋" w:hAnsi="仿宋" w:eastAsia="仿宋"/>
          <w:color w:val="000000"/>
          <w:sz w:val="32"/>
          <w:szCs w:val="32"/>
          <w:lang w:eastAsia="zh-CN"/>
        </w:rPr>
        <w:t>收入</w:t>
      </w:r>
      <w:r>
        <w:rPr>
          <w:rFonts w:hint="eastAsia" w:ascii="仿宋" w:hAnsi="仿宋" w:eastAsia="仿宋"/>
          <w:color w:val="000000"/>
          <w:sz w:val="32"/>
          <w:szCs w:val="32"/>
          <w:lang w:val="en-US" w:eastAsia="zh-CN"/>
        </w:rPr>
        <w:t>总计减少78.67万元，减少10.52%。主要变动原因是人员经费、项目经费减少。</w:t>
      </w:r>
    </w:p>
    <w:p>
      <w:pPr>
        <w:pStyle w:val="9"/>
        <w:keepNext w:val="0"/>
        <w:keepLines w:val="0"/>
        <w:widowControl/>
        <w:suppressLineNumbers w:val="0"/>
        <w:snapToGrid w:val="0"/>
        <w:spacing w:before="0" w:beforeAutospacing="0" w:after="0" w:afterAutospacing="1"/>
        <w:ind w:left="0" w:right="0" w:firstLine="640" w:firstLineChars="200"/>
        <w:jc w:val="left"/>
        <w:rPr>
          <w:rFonts w:hint="eastAsia" w:ascii="宋体" w:hAnsi="宋体" w:eastAsia="宋体" w:cs="宋体"/>
          <w:kern w:val="0"/>
          <w:sz w:val="24"/>
          <w:szCs w:val="24"/>
        </w:rPr>
      </w:pPr>
      <w:r>
        <w:rPr>
          <w:rFonts w:hint="eastAsia" w:ascii="仿宋" w:hAnsi="仿宋" w:eastAsia="仿宋" w:cstheme="minorBidi"/>
          <w:color w:val="000000"/>
          <w:kern w:val="2"/>
          <w:sz w:val="32"/>
          <w:szCs w:val="32"/>
          <w:lang w:val="en-US" w:eastAsia="zh-CN" w:bidi="ar-SA"/>
        </w:rPr>
        <w:t xml:space="preserve">2022年度支出总计968.85万元，与2021年支出总计924.11万元相比，支出总计增加44.74万元，增加4.8%。主要变动原因是人员经费支出增加。 </w:t>
      </w:r>
      <w:r>
        <w:rPr>
          <w:rFonts w:hint="eastAsia" w:ascii="宋体" w:hAnsi="宋体" w:eastAsia="宋体" w:cs="宋体"/>
          <w:kern w:val="0"/>
          <w:sz w:val="24"/>
          <w:szCs w:val="24"/>
          <w:shd w:val="clear" w:fill="FFFFFF"/>
          <w:lang w:val="en-US" w:eastAsia="zh-CN" w:bidi="ar"/>
        </w:rPr>
        <w:drawing>
          <wp:inline distT="0" distB="0" distL="114300" distR="114300">
            <wp:extent cx="5447030" cy="3977005"/>
            <wp:effectExtent l="4445" t="4445" r="19685" b="114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9"/>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（图4：财政拨款收、支决算总计变动情况）（柱状图）</w:t>
      </w:r>
    </w:p>
    <w:p>
      <w:pPr>
        <w:pStyle w:val="4"/>
        <w:pageBreakBefore w:val="0"/>
        <w:widowControl w:val="0"/>
        <w:numPr>
          <w:ilvl w:val="0"/>
          <w:numId w:val="0"/>
        </w:numPr>
        <w:kinsoku/>
        <w:wordWrap/>
        <w:overflowPunct/>
        <w:topLinePunct w:val="0"/>
        <w:autoSpaceDE/>
        <w:autoSpaceDN/>
        <w:bidi w:val="0"/>
        <w:adjustRightInd/>
        <w:spacing w:before="0" w:after="0" w:line="560" w:lineRule="exact"/>
        <w:ind w:right="0" w:rightChars="0" w:firstLine="640" w:firstLineChars="200"/>
        <w:jc w:val="both"/>
        <w:textAlignment w:val="auto"/>
        <w:outlineLvl w:val="1"/>
        <w:rPr>
          <w:rStyle w:val="13"/>
          <w:rFonts w:hint="eastAsia" w:ascii="黑体" w:eastAsia="黑体"/>
          <w:b w:val="0"/>
          <w:sz w:val="32"/>
          <w:szCs w:val="32"/>
          <w:lang w:val="en-US" w:eastAsia="zh-CN"/>
        </w:rPr>
      </w:pPr>
      <w:bookmarkStart w:id="20" w:name="_Toc9683"/>
      <w:r>
        <w:rPr>
          <w:rStyle w:val="13"/>
          <w:rFonts w:hint="eastAsia" w:ascii="黑体" w:eastAsia="黑体"/>
          <w:b w:val="0"/>
          <w:sz w:val="32"/>
          <w:szCs w:val="32"/>
          <w:lang w:val="en-US" w:eastAsia="zh-CN"/>
        </w:rPr>
        <w:t>五、一般公共预算财政拨款支出决算情况说明</w:t>
      </w:r>
      <w:bookmarkEnd w:id="20"/>
    </w:p>
    <w:p>
      <w:pPr>
        <w:pStyle w:val="5"/>
        <w:pageBreakBefore w:val="0"/>
        <w:widowControl w:val="0"/>
        <w:numPr>
          <w:ilvl w:val="0"/>
          <w:numId w:val="0"/>
        </w:numPr>
        <w:kinsoku/>
        <w:wordWrap/>
        <w:overflowPunct/>
        <w:topLinePunct w:val="0"/>
        <w:autoSpaceDE/>
        <w:autoSpaceDN/>
        <w:bidi w:val="0"/>
        <w:adjustRightInd/>
        <w:spacing w:before="0" w:after="0" w:line="560" w:lineRule="exact"/>
        <w:ind w:right="0" w:rightChars="0" w:firstLine="643" w:firstLineChars="200"/>
        <w:jc w:val="both"/>
        <w:textAlignment w:val="auto"/>
        <w:outlineLvl w:val="2"/>
        <w:rPr>
          <w:rFonts w:hint="eastAsia" w:ascii="仿宋" w:hAnsi="Times New Roman" w:eastAsia="仿宋" w:cs="Times New Roman"/>
          <w:b/>
          <w:sz w:val="32"/>
          <w:szCs w:val="32"/>
        </w:rPr>
      </w:pPr>
      <w:r>
        <w:rPr>
          <w:rFonts w:hint="eastAsia" w:ascii="仿宋" w:hAnsi="Times New Roman" w:eastAsia="仿宋" w:cs="Times New Roman"/>
          <w:b/>
          <w:sz w:val="32"/>
          <w:szCs w:val="32"/>
          <w:lang w:val="en-US" w:eastAsia="zh-CN"/>
        </w:rPr>
        <w:t>（一）一般公共预算财政拨款支出决算总体情况</w:t>
      </w:r>
    </w:p>
    <w:p>
      <w:pPr>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default" w:ascii="仿宋" w:hAnsi="仿宋" w:eastAsia="仿宋"/>
          <w:color w:val="000000"/>
          <w:sz w:val="32"/>
          <w:szCs w:val="32"/>
          <w:lang w:val="en-US" w:eastAsia="zh-CN"/>
        </w:rPr>
      </w:pPr>
      <w:r>
        <w:rPr>
          <w:rFonts w:hint="eastAsia" w:ascii="仿宋" w:hAnsi="仿宋" w:eastAsia="仿宋" w:cstheme="minorBidi"/>
          <w:color w:val="000000"/>
          <w:kern w:val="2"/>
          <w:sz w:val="32"/>
          <w:szCs w:val="32"/>
          <w:lang w:val="en-US" w:eastAsia="zh-CN" w:bidi="ar-SA"/>
        </w:rPr>
        <w:t>2022年一般公共预算财政拨款支出968.85万元，占本年支出合计的 100.00%。与2021年相比，924.11万元相比，支出总计增加44.74万元，增加4.8%。主要变动原因是人员经费支出增加。</w:t>
      </w:r>
    </w:p>
    <w:p>
      <w:pPr>
        <w:pStyle w:val="9"/>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drawing>
          <wp:inline distT="0" distB="0" distL="114300" distR="114300">
            <wp:extent cx="4820285" cy="2269490"/>
            <wp:effectExtent l="4445" t="5080" r="6350" b="1143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宋体" w:hAnsi="宋体" w:eastAsia="宋体" w:cs="宋体"/>
          <w:kern w:val="0"/>
          <w:sz w:val="24"/>
          <w:szCs w:val="24"/>
          <w:shd w:val="clear" w:fill="FFFFFF"/>
          <w:lang w:val="en-US" w:eastAsia="zh-CN" w:bidi="ar"/>
        </w:rPr>
        <w:t xml:space="preserve"> </w:t>
      </w:r>
    </w:p>
    <w:p>
      <w:pPr>
        <w:pStyle w:val="9"/>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（图5：一般公共预算财政拨款支出决算变动情况）（柱状图）</w:t>
      </w:r>
    </w:p>
    <w:p>
      <w:pPr>
        <w:keepNext w:val="0"/>
        <w:keepLines w:val="0"/>
        <w:pageBreakBefore w:val="0"/>
        <w:kinsoku/>
        <w:wordWrap/>
        <w:overflowPunct/>
        <w:topLinePunct w:val="0"/>
        <w:autoSpaceDE/>
        <w:autoSpaceDN/>
        <w:bidi w:val="0"/>
        <w:adjustRightInd/>
        <w:spacing w:afterAutospacing="0" w:line="560" w:lineRule="exact"/>
        <w:ind w:firstLine="643" w:firstLineChars="200"/>
        <w:textAlignment w:val="auto"/>
        <w:outlineLvl w:val="2"/>
        <w:rPr>
          <w:rFonts w:ascii="仿宋" w:eastAsia="仿宋"/>
          <w:b/>
          <w:sz w:val="32"/>
          <w:szCs w:val="32"/>
        </w:rPr>
      </w:pPr>
      <w:bookmarkStart w:id="21" w:name="_Toc15377211"/>
      <w:r>
        <w:rPr>
          <w:rFonts w:hint="eastAsia" w:ascii="仿宋" w:eastAsia="仿宋"/>
          <w:b/>
          <w:sz w:val="32"/>
          <w:szCs w:val="32"/>
        </w:rPr>
        <w:t>（二）一般公共预算财政拨款支出决算结构情况</w:t>
      </w:r>
      <w:bookmarkEnd w:id="21"/>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480" w:firstLineChars="200"/>
        <w:jc w:val="left"/>
        <w:textAlignment w:val="auto"/>
        <w:rPr>
          <w:rFonts w:hint="eastAsia" w:ascii="仿宋" w:hAnsi="仿宋" w:eastAsia="仿宋" w:cstheme="minorBidi"/>
          <w:color w:val="000000"/>
          <w:kern w:val="2"/>
          <w:sz w:val="32"/>
          <w:szCs w:val="32"/>
          <w:lang w:val="en-US" w:eastAsia="zh-CN" w:bidi="ar-SA"/>
        </w:rPr>
      </w:pPr>
      <w:r>
        <w:rPr>
          <w:rFonts w:hint="eastAsia" w:ascii="宋体" w:hAnsi="宋体" w:eastAsia="宋体" w:cs="宋体"/>
          <w:kern w:val="0"/>
          <w:sz w:val="24"/>
          <w:szCs w:val="24"/>
          <w:shd w:val="clear" w:fill="FFFFFF"/>
          <w:lang w:val="en-US" w:eastAsia="zh-CN" w:bidi="ar"/>
        </w:rPr>
        <w:t xml:space="preserve">  </w:t>
      </w:r>
      <w:r>
        <w:rPr>
          <w:rFonts w:hint="eastAsia" w:ascii="仿宋" w:hAnsi="仿宋" w:eastAsia="仿宋" w:cstheme="minorBidi"/>
          <w:color w:val="000000"/>
          <w:kern w:val="2"/>
          <w:sz w:val="32"/>
          <w:szCs w:val="32"/>
          <w:lang w:val="en-US" w:eastAsia="zh-CN" w:bidi="ar-SA"/>
        </w:rPr>
        <w:t xml:space="preserve"> 2022年一般公共预算财政拨款支出968.85万元，主要用于以下方面:一般公共服务（类）支出0.00万元，占0.00%；外交支出（类）0.00万元，占0.00%，国防支出（类）0.00万元，占0.00%；公共安全支出（类）904.96万元，占93.4%；教育支出（类）0.00万元，占0.00%；科学技术（类）支出0.00万元，占0.00%；文化旅游体育与传媒（类）支出0.00万元，占0.00%；社会保障和就业（类）支出0.00万元，占0.00%；卫生健康支出（类）5.63万元，占0.58%；节能环保支出（类）0.00万元，占0.00%；城乡社区支出（类）0.00万元，占0.00%；农林水支出（类）0.00万元，占0.00%；交通运输支出（类）0.00万元，占0.00%；资源勘探信息等支出（类）0.00万元，占0.00%；商业服务业等支出（类）0.00万元，占0.00%；金融支出（类）0.00万元，占0.00%；援助其他地区支出（类）0.00万元，占0.00%；自然资源海洋气象等支出（类）0.00万元，占0.00%；住房保障支出（类）46.51万元，占6.01%；粮油物资储备支出（类）0.00万元，占0.00%；国有资本经营预算支出（类）0.00万元，占0.00%；灾害防治及应急管理支出（类）0.00万元，占0.00%；其他支出（类）0.00万元，占0.00%；债务还本支出（类）0.00万元，占0.00%；债务付息支出（类）0.00万元，占0.00%；抗役特别国债安排的支出（类）0.00万元，占0.00%。</w:t>
      </w:r>
    </w:p>
    <w:p>
      <w:pPr>
        <w:pStyle w:val="9"/>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r>
        <w:rPr>
          <w:rFonts w:hint="eastAsia" w:ascii="宋体" w:hAnsi="宋体" w:eastAsia="宋体" w:cs="宋体"/>
          <w:kern w:val="0"/>
          <w:sz w:val="24"/>
          <w:szCs w:val="24"/>
        </w:rPr>
        <w:drawing>
          <wp:inline distT="0" distB="0" distL="114300" distR="114300">
            <wp:extent cx="5022850" cy="2543175"/>
            <wp:effectExtent l="4445" t="4445" r="17145" b="1270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9"/>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（图6：一般公共预算财政拨款支出决算结构）（饼状图）</w:t>
      </w: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723" w:firstLineChars="300"/>
        <w:jc w:val="both"/>
        <w:textAlignment w:val="auto"/>
        <w:outlineLvl w:val="2"/>
        <w:rPr>
          <w:rFonts w:hint="eastAsia" w:ascii="宋体" w:hAnsi="宋体" w:eastAsia="宋体" w:cs="宋体"/>
          <w:kern w:val="0"/>
          <w:sz w:val="24"/>
          <w:szCs w:val="24"/>
        </w:rPr>
      </w:pPr>
      <w:r>
        <w:rPr>
          <w:rStyle w:val="14"/>
          <w:rFonts w:hint="eastAsia" w:ascii="宋体" w:hAnsi="宋体" w:eastAsia="宋体" w:cs="宋体"/>
          <w:b/>
          <w:sz w:val="24"/>
          <w:szCs w:val="24"/>
          <w:shd w:val="clear" w:fill="FFFFFF"/>
          <w:lang w:val="en-US" w:eastAsia="zh-CN" w:bidi="ar"/>
        </w:rPr>
        <w:t>（三）一般公共预算财政拨款支出决算具体情况</w:t>
      </w: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left"/>
        <w:textAlignment w:val="auto"/>
        <w:rPr>
          <w:rFonts w:hint="eastAsia"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 xml:space="preserve">  2022年一般公共预算支出决算数为968.85，完成预算100%。其中：</w:t>
      </w:r>
    </w:p>
    <w:p>
      <w:pPr>
        <w:keepNext w:val="0"/>
        <w:keepLines w:val="0"/>
        <w:pageBreakBefore w:val="0"/>
        <w:kinsoku/>
        <w:wordWrap/>
        <w:overflowPunct/>
        <w:topLinePunct w:val="0"/>
        <w:autoSpaceDE/>
        <w:autoSpaceDN/>
        <w:bidi w:val="0"/>
        <w:adjustRightInd/>
        <w:spacing w:afterAutospacing="0" w:line="560" w:lineRule="exact"/>
        <w:ind w:firstLine="643" w:firstLineChars="200"/>
        <w:textAlignment w:val="auto"/>
        <w:rPr>
          <w:rStyle w:val="12"/>
          <w:rFonts w:hint="eastAsia" w:ascii="仿宋" w:hAnsi="仿宋" w:eastAsia="仿宋"/>
          <w:b w:val="0"/>
          <w:bCs/>
          <w:color w:val="000000"/>
          <w:sz w:val="32"/>
          <w:szCs w:val="32"/>
          <w:lang w:eastAsia="zh-CN"/>
        </w:rPr>
      </w:pPr>
      <w:r>
        <w:rPr>
          <w:rStyle w:val="12"/>
          <w:rFonts w:hint="eastAsia" w:ascii="仿宋" w:hAnsi="仿宋" w:eastAsia="仿宋"/>
          <w:bCs/>
          <w:color w:val="000000"/>
          <w:sz w:val="32"/>
          <w:szCs w:val="32"/>
          <w:lang w:val="en-US" w:eastAsia="zh-CN"/>
        </w:rPr>
        <w:t>1</w:t>
      </w:r>
      <w:r>
        <w:rPr>
          <w:rStyle w:val="12"/>
          <w:rFonts w:ascii="仿宋" w:hAnsi="仿宋" w:eastAsia="仿宋"/>
          <w:bCs/>
          <w:color w:val="000000"/>
          <w:sz w:val="32"/>
          <w:szCs w:val="32"/>
        </w:rPr>
        <w:t>.</w:t>
      </w:r>
      <w:r>
        <w:rPr>
          <w:rStyle w:val="12"/>
          <w:rFonts w:hint="eastAsia" w:ascii="仿宋" w:hAnsi="仿宋" w:eastAsia="仿宋"/>
          <w:bCs/>
          <w:color w:val="000000"/>
          <w:sz w:val="32"/>
          <w:szCs w:val="32"/>
          <w:lang w:eastAsia="zh-CN"/>
        </w:rPr>
        <w:t>一般公共安全支出</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eastAsia="zh-CN"/>
        </w:rPr>
        <w:t>检察</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eastAsia="zh-CN"/>
        </w:rPr>
        <w:t>行政运行</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747.86</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lang w:eastAsia="zh-CN"/>
        </w:rPr>
        <w:t>。</w:t>
      </w:r>
    </w:p>
    <w:p>
      <w:pPr>
        <w:keepNext w:val="0"/>
        <w:keepLines w:val="0"/>
        <w:pageBreakBefore w:val="0"/>
        <w:kinsoku/>
        <w:wordWrap/>
        <w:overflowPunct/>
        <w:topLinePunct w:val="0"/>
        <w:autoSpaceDE/>
        <w:autoSpaceDN/>
        <w:bidi w:val="0"/>
        <w:adjustRightInd/>
        <w:spacing w:afterAutospacing="0" w:line="560" w:lineRule="exact"/>
        <w:ind w:firstLine="643" w:firstLineChars="200"/>
        <w:textAlignment w:val="auto"/>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2</w:t>
      </w:r>
      <w:r>
        <w:rPr>
          <w:rStyle w:val="12"/>
          <w:rFonts w:ascii="仿宋" w:hAnsi="仿宋" w:eastAsia="仿宋"/>
          <w:bCs/>
          <w:color w:val="000000"/>
          <w:sz w:val="32"/>
          <w:szCs w:val="32"/>
        </w:rPr>
        <w:t>.</w:t>
      </w:r>
      <w:r>
        <w:rPr>
          <w:rStyle w:val="12"/>
          <w:rFonts w:hint="eastAsia" w:ascii="仿宋" w:hAnsi="仿宋" w:eastAsia="仿宋"/>
          <w:bCs/>
          <w:color w:val="000000"/>
          <w:sz w:val="32"/>
          <w:szCs w:val="32"/>
          <w:lang w:eastAsia="zh-CN"/>
        </w:rPr>
        <w:t>一般公共安全支出</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eastAsia="zh-CN"/>
        </w:rPr>
        <w:t>检察</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eastAsia="zh-CN"/>
        </w:rPr>
        <w:t>一般行政管理事务</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157.10</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keepNext w:val="0"/>
        <w:keepLines w:val="0"/>
        <w:pageBreakBefore w:val="0"/>
        <w:kinsoku/>
        <w:wordWrap/>
        <w:overflowPunct/>
        <w:topLinePunct w:val="0"/>
        <w:autoSpaceDE/>
        <w:autoSpaceDN/>
        <w:bidi w:val="0"/>
        <w:adjustRightInd/>
        <w:spacing w:afterAutospacing="0" w:line="560" w:lineRule="exact"/>
        <w:ind w:firstLine="643" w:firstLineChars="200"/>
        <w:textAlignment w:val="auto"/>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3</w:t>
      </w:r>
      <w:r>
        <w:rPr>
          <w:rStyle w:val="12"/>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eastAsia="zh-CN"/>
        </w:rPr>
        <w:t>行政事业单位医疗</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eastAsia="zh-CN"/>
        </w:rPr>
        <w:t>行政单位医疗</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5.63</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keepNext w:val="0"/>
        <w:keepLines w:val="0"/>
        <w:pageBreakBefore w:val="0"/>
        <w:kinsoku/>
        <w:wordWrap/>
        <w:overflowPunct/>
        <w:topLinePunct w:val="0"/>
        <w:autoSpaceDE/>
        <w:autoSpaceDN/>
        <w:bidi w:val="0"/>
        <w:adjustRightInd/>
        <w:spacing w:afterAutospacing="0" w:line="560" w:lineRule="exact"/>
        <w:ind w:firstLine="643" w:firstLineChars="200"/>
        <w:textAlignment w:val="auto"/>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4</w:t>
      </w:r>
      <w:r>
        <w:rPr>
          <w:rStyle w:val="12"/>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住房保障支出</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eastAsia="zh-CN"/>
        </w:rPr>
        <w:t>住房改革支出</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eastAsia="zh-CN"/>
        </w:rPr>
        <w:t>住房公积金</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58.26</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pStyle w:val="4"/>
        <w:pageBreakBefore w:val="0"/>
        <w:widowControl w:val="0"/>
        <w:numPr>
          <w:ilvl w:val="0"/>
          <w:numId w:val="0"/>
        </w:numPr>
        <w:kinsoku/>
        <w:wordWrap/>
        <w:overflowPunct/>
        <w:topLinePunct w:val="0"/>
        <w:autoSpaceDE/>
        <w:autoSpaceDN/>
        <w:bidi w:val="0"/>
        <w:adjustRightInd/>
        <w:spacing w:before="0" w:after="0" w:line="560" w:lineRule="exact"/>
        <w:ind w:right="0" w:rightChars="0" w:firstLine="640" w:firstLineChars="200"/>
        <w:jc w:val="both"/>
        <w:textAlignment w:val="auto"/>
        <w:outlineLvl w:val="1"/>
        <w:rPr>
          <w:rStyle w:val="13"/>
          <w:rFonts w:hint="eastAsia" w:ascii="黑体" w:eastAsia="黑体"/>
          <w:b w:val="0"/>
          <w:sz w:val="32"/>
          <w:szCs w:val="32"/>
          <w:lang w:val="en-US" w:eastAsia="zh-CN"/>
        </w:rPr>
      </w:pPr>
      <w:bookmarkStart w:id="22" w:name="_Toc15396608"/>
      <w:bookmarkStart w:id="23" w:name="_Toc15377214"/>
      <w:bookmarkStart w:id="24" w:name="_Toc22610"/>
      <w:r>
        <w:rPr>
          <w:rStyle w:val="13"/>
          <w:rFonts w:hint="eastAsia" w:ascii="黑体" w:eastAsia="黑体"/>
          <w:b w:val="0"/>
          <w:sz w:val="32"/>
          <w:szCs w:val="32"/>
          <w:lang w:val="en-US" w:eastAsia="zh-CN"/>
        </w:rPr>
        <w:t>六、一般公共预算财政拨款基本支出决算情况</w:t>
      </w:r>
      <w:r>
        <w:rPr>
          <w:rStyle w:val="13"/>
          <w:rFonts w:hint="eastAsia" w:ascii="黑体" w:eastAsia="黑体"/>
          <w:b w:val="0"/>
          <w:sz w:val="32"/>
          <w:szCs w:val="32"/>
          <w:lang w:val="en-US" w:eastAsia="zh-CN"/>
        </w:rPr>
        <w:t>说明</w:t>
      </w:r>
      <w:bookmarkEnd w:id="22"/>
      <w:bookmarkEnd w:id="23"/>
      <w:bookmarkEnd w:id="24"/>
      <w:r>
        <w:rPr>
          <w:rStyle w:val="13"/>
          <w:rFonts w:hint="eastAsia" w:ascii="黑体" w:eastAsia="黑体"/>
          <w:b w:val="0"/>
          <w:sz w:val="32"/>
          <w:szCs w:val="32"/>
          <w:lang w:val="en-US" w:eastAsia="zh-CN"/>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left"/>
        <w:textAlignment w:val="auto"/>
        <w:rPr>
          <w:rFonts w:hint="default" w:ascii="仿宋" w:hAnsi="Times New Roman" w:eastAsia="仿宋" w:cs="Times New Roman"/>
          <w:kern w:val="2"/>
          <w:sz w:val="32"/>
          <w:szCs w:val="32"/>
          <w:lang w:val="en-US" w:eastAsia="zh-CN" w:bidi="ar-SA"/>
        </w:rPr>
      </w:pPr>
      <w:r>
        <w:rPr>
          <w:rFonts w:hint="eastAsia" w:ascii="仿宋" w:hAnsi="Times New Roman" w:eastAsia="仿宋" w:cs="Times New Roman"/>
          <w:kern w:val="2"/>
          <w:sz w:val="32"/>
          <w:szCs w:val="32"/>
          <w:lang w:val="en-US" w:eastAsia="zh-CN" w:bidi="ar-SA"/>
        </w:rPr>
        <w:t>2022年一般公共预算财政拨款基本支出550.24万元，其中：</w:t>
      </w: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left"/>
        <w:textAlignment w:val="auto"/>
        <w:rPr>
          <w:rFonts w:hint="eastAsia" w:ascii="仿宋" w:hAnsi="仿宋" w:eastAsia="仿宋"/>
          <w:color w:val="000000"/>
          <w:sz w:val="32"/>
          <w:szCs w:val="32"/>
        </w:rPr>
      </w:pPr>
      <w:r>
        <w:rPr>
          <w:rFonts w:hint="eastAsia" w:ascii="仿宋" w:eastAsia="仿宋" w:hAnsiTheme="minorHAnsi" w:cstheme="minorBidi"/>
          <w:b/>
          <w:kern w:val="2"/>
          <w:sz w:val="32"/>
          <w:szCs w:val="32"/>
          <w:lang w:val="en-US" w:eastAsia="zh-CN" w:bidi="ar-SA"/>
        </w:rPr>
        <w:t>人员经费501.52万元，主要包括</w:t>
      </w:r>
      <w:r>
        <w:rPr>
          <w:rFonts w:hint="eastAsia" w:ascii="仿宋" w:hAnsi="Times New Roman" w:eastAsia="仿宋" w:cs="Times New Roman"/>
          <w:kern w:val="2"/>
          <w:sz w:val="32"/>
          <w:szCs w:val="32"/>
          <w:lang w:val="en-US" w:eastAsia="zh-CN" w:bidi="ar-SA"/>
        </w:rPr>
        <w:t>：基本工</w:t>
      </w:r>
      <w:r>
        <w:rPr>
          <w:rFonts w:hint="eastAsia" w:ascii="仿宋" w:hAnsi="仿宋" w:eastAsia="仿宋"/>
          <w:color w:val="000000"/>
          <w:sz w:val="32"/>
          <w:szCs w:val="32"/>
        </w:rPr>
        <w:t>资</w:t>
      </w:r>
      <w:r>
        <w:rPr>
          <w:rFonts w:hint="eastAsia" w:ascii="仿宋" w:hAnsi="仿宋" w:eastAsia="仿宋"/>
          <w:color w:val="000000"/>
          <w:sz w:val="32"/>
          <w:szCs w:val="32"/>
          <w:lang w:val="en-US" w:eastAsia="zh-CN"/>
        </w:rPr>
        <w:t>126.23万元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146.66万元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10.55万元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47.27万元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21.99万元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职工基本医疗保险</w:t>
      </w:r>
      <w:r>
        <w:rPr>
          <w:rFonts w:hint="eastAsia" w:ascii="仿宋" w:hAnsi="仿宋" w:eastAsia="仿宋"/>
          <w:color w:val="000000"/>
          <w:sz w:val="32"/>
          <w:szCs w:val="32"/>
          <w:lang w:val="en-US" w:eastAsia="zh-CN"/>
        </w:rPr>
        <w:t>30.33万元、公务员医疗补助缴费7.89万元、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15万元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58.26万元</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其他工资福利支出35.05万元</w:t>
      </w:r>
      <w:r>
        <w:rPr>
          <w:rFonts w:hint="eastAsia" w:ascii="仿宋" w:hAnsi="仿宋" w:eastAsia="仿宋"/>
          <w:color w:val="000000"/>
          <w:sz w:val="32"/>
          <w:szCs w:val="32"/>
        </w:rPr>
        <w:t>。</w:t>
      </w:r>
      <w:r>
        <w:rPr>
          <w:rFonts w:ascii="仿宋" w:hAnsi="仿宋" w:eastAsia="仿宋"/>
          <w:color w:val="000000"/>
          <w:sz w:val="32"/>
          <w:szCs w:val="32"/>
        </w:rPr>
        <w:br w:type="textWrapping"/>
      </w:r>
      <w:r>
        <w:rPr>
          <w:rFonts w:hint="eastAsia" w:ascii="仿宋" w:hAnsi="仿宋" w:eastAsia="仿宋"/>
          <w:color w:val="000000"/>
          <w:sz w:val="32"/>
          <w:szCs w:val="32"/>
        </w:rPr>
        <w:t>　　</w:t>
      </w:r>
      <w:r>
        <w:rPr>
          <w:rFonts w:hint="eastAsia" w:ascii="仿宋" w:eastAsia="仿宋" w:hAnsiTheme="minorHAnsi" w:cstheme="minorBidi"/>
          <w:b/>
          <w:kern w:val="2"/>
          <w:sz w:val="32"/>
          <w:szCs w:val="32"/>
          <w:lang w:val="en-US" w:eastAsia="zh-CN" w:bidi="ar-SA"/>
        </w:rPr>
        <w:t>日常公用经费48.73万元，主要包括</w:t>
      </w:r>
      <w:r>
        <w:rPr>
          <w:rFonts w:hint="eastAsia" w:ascii="仿宋" w:hAnsi="仿宋" w:eastAsia="仿宋"/>
          <w:color w:val="000000"/>
          <w:sz w:val="32"/>
          <w:szCs w:val="32"/>
        </w:rPr>
        <w:t>：办公费</w:t>
      </w:r>
      <w:r>
        <w:rPr>
          <w:rFonts w:hint="eastAsia" w:ascii="仿宋" w:hAnsi="仿宋" w:eastAsia="仿宋"/>
          <w:color w:val="000000"/>
          <w:sz w:val="32"/>
          <w:szCs w:val="32"/>
          <w:lang w:val="en-US" w:eastAsia="zh-CN"/>
        </w:rPr>
        <w:t>32.74万元</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水费0.42万元、电费1.59万元、邮电费1.9万元、</w:t>
      </w:r>
      <w:r>
        <w:rPr>
          <w:rFonts w:hint="eastAsia" w:ascii="仿宋" w:hAnsi="仿宋" w:eastAsia="仿宋"/>
          <w:color w:val="000000"/>
          <w:sz w:val="32"/>
          <w:szCs w:val="32"/>
        </w:rPr>
        <w:t>差旅</w:t>
      </w:r>
      <w:r>
        <w:rPr>
          <w:rFonts w:hint="eastAsia" w:ascii="仿宋" w:hAnsi="仿宋" w:eastAsia="仿宋"/>
          <w:color w:val="000000"/>
          <w:sz w:val="32"/>
          <w:szCs w:val="32"/>
          <w:lang w:eastAsia="zh-CN"/>
        </w:rPr>
        <w:t>费</w:t>
      </w:r>
      <w:r>
        <w:rPr>
          <w:rFonts w:hint="eastAsia" w:ascii="仿宋" w:hAnsi="仿宋" w:eastAsia="仿宋"/>
          <w:color w:val="000000"/>
          <w:sz w:val="32"/>
          <w:szCs w:val="32"/>
          <w:lang w:val="en-US" w:eastAsia="zh-CN"/>
        </w:rPr>
        <w:t>2.15万元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维修（护）费</w:t>
      </w:r>
      <w:r>
        <w:rPr>
          <w:rFonts w:hint="eastAsia" w:ascii="仿宋" w:hAnsi="仿宋" w:eastAsia="仿宋"/>
          <w:color w:val="000000"/>
          <w:sz w:val="32"/>
          <w:szCs w:val="32"/>
          <w:lang w:val="en-US" w:eastAsia="zh-CN"/>
        </w:rPr>
        <w:t>1.05万元、</w:t>
      </w:r>
      <w:r>
        <w:rPr>
          <w:rFonts w:hint="eastAsia" w:ascii="仿宋" w:hAnsi="仿宋" w:eastAsia="仿宋"/>
          <w:color w:val="000000"/>
          <w:sz w:val="32"/>
          <w:szCs w:val="32"/>
        </w:rPr>
        <w:t>公务接待费</w:t>
      </w:r>
      <w:r>
        <w:rPr>
          <w:rFonts w:hint="eastAsia" w:ascii="仿宋" w:hAnsi="仿宋" w:eastAsia="仿宋"/>
          <w:color w:val="000000"/>
          <w:sz w:val="32"/>
          <w:szCs w:val="32"/>
          <w:lang w:val="en-US" w:eastAsia="zh-CN"/>
        </w:rPr>
        <w:t>0.73万元、劳务费0.04万元。</w:t>
      </w:r>
      <w:r>
        <w:rPr>
          <w:rFonts w:hint="eastAsia" w:ascii="仿宋" w:hAnsi="仿宋" w:eastAsia="仿宋"/>
          <w:color w:val="000000"/>
          <w:sz w:val="32"/>
          <w:szCs w:val="32"/>
        </w:rPr>
        <w:t>　</w:t>
      </w:r>
    </w:p>
    <w:p>
      <w:pPr>
        <w:keepNext w:val="0"/>
        <w:keepLines w:val="0"/>
        <w:pageBreakBefore w:val="0"/>
        <w:kinsoku/>
        <w:wordWrap/>
        <w:overflowPunct/>
        <w:topLinePunct w:val="0"/>
        <w:autoSpaceDE/>
        <w:autoSpaceDN/>
        <w:bidi w:val="0"/>
        <w:adjustRightInd/>
        <w:spacing w:afterAutospacing="0" w:line="560" w:lineRule="exact"/>
        <w:ind w:firstLine="643" w:firstLineChars="200"/>
        <w:textAlignment w:val="auto"/>
        <w:outlineLvl w:val="1"/>
        <w:rPr>
          <w:rFonts w:hint="default" w:ascii="仿宋" w:hAnsi="仿宋" w:eastAsia="仿宋"/>
          <w:color w:val="000000"/>
          <w:sz w:val="32"/>
          <w:szCs w:val="32"/>
          <w:lang w:val="en-US" w:eastAsia="zh-CN"/>
        </w:rPr>
      </w:pPr>
      <w:bookmarkStart w:id="25" w:name="_Toc30688"/>
      <w:bookmarkStart w:id="26" w:name="_Toc15377215"/>
      <w:bookmarkStart w:id="27" w:name="_Toc15396609"/>
      <w:r>
        <w:rPr>
          <w:rFonts w:hint="eastAsia" w:ascii="仿宋" w:eastAsia="仿宋" w:hAnsiTheme="minorHAnsi" w:cstheme="minorBidi"/>
          <w:b/>
          <w:kern w:val="2"/>
          <w:sz w:val="32"/>
          <w:szCs w:val="32"/>
          <w:lang w:val="en-US" w:eastAsia="zh-CN" w:bidi="ar-SA"/>
        </w:rPr>
        <w:t>对个人和家庭的补助</w:t>
      </w:r>
      <w:r>
        <w:rPr>
          <w:rFonts w:hint="eastAsia" w:ascii="仿宋" w:eastAsia="仿宋" w:cstheme="minorBidi"/>
          <w:b/>
          <w:kern w:val="2"/>
          <w:sz w:val="32"/>
          <w:szCs w:val="32"/>
          <w:lang w:val="en-US" w:eastAsia="zh-CN" w:bidi="ar-SA"/>
        </w:rPr>
        <w:t>2.27</w:t>
      </w:r>
      <w:r>
        <w:rPr>
          <w:rFonts w:hint="eastAsia" w:ascii="仿宋" w:eastAsia="仿宋" w:hAnsiTheme="minorHAnsi" w:cstheme="minorBidi"/>
          <w:b/>
          <w:kern w:val="2"/>
          <w:sz w:val="32"/>
          <w:szCs w:val="32"/>
          <w:lang w:val="en-US" w:eastAsia="zh-CN" w:bidi="ar-SA"/>
        </w:rPr>
        <w:t>万元。</w:t>
      </w:r>
      <w:r>
        <w:rPr>
          <w:rFonts w:hint="eastAsia" w:ascii="仿宋" w:hAnsi="仿宋" w:eastAsia="仿宋"/>
          <w:color w:val="000000"/>
          <w:sz w:val="32"/>
          <w:szCs w:val="32"/>
          <w:lang w:val="en-US" w:eastAsia="zh-CN"/>
        </w:rPr>
        <w:t>主要包括生活补助2.27万元、奖励金0.01万元。</w:t>
      </w:r>
      <w:bookmarkEnd w:id="25"/>
    </w:p>
    <w:p>
      <w:pPr>
        <w:pStyle w:val="4"/>
        <w:pageBreakBefore w:val="0"/>
        <w:widowControl w:val="0"/>
        <w:numPr>
          <w:ilvl w:val="0"/>
          <w:numId w:val="0"/>
        </w:numPr>
        <w:kinsoku/>
        <w:wordWrap/>
        <w:overflowPunct/>
        <w:topLinePunct w:val="0"/>
        <w:autoSpaceDE/>
        <w:autoSpaceDN/>
        <w:bidi w:val="0"/>
        <w:adjustRightInd/>
        <w:spacing w:before="0" w:after="0" w:line="560" w:lineRule="exact"/>
        <w:ind w:right="0" w:rightChars="0" w:firstLine="640" w:firstLineChars="200"/>
        <w:jc w:val="both"/>
        <w:textAlignment w:val="auto"/>
        <w:outlineLvl w:val="1"/>
        <w:rPr>
          <w:rStyle w:val="13"/>
          <w:rFonts w:hint="eastAsia" w:ascii="黑体" w:eastAsia="黑体"/>
          <w:b w:val="0"/>
          <w:sz w:val="32"/>
          <w:szCs w:val="32"/>
          <w:lang w:val="en-US" w:eastAsia="zh-CN"/>
        </w:rPr>
      </w:pPr>
      <w:bookmarkStart w:id="28" w:name="_Toc8578"/>
      <w:r>
        <w:rPr>
          <w:rStyle w:val="13"/>
          <w:rFonts w:hint="eastAsia" w:ascii="黑体" w:eastAsia="黑体"/>
          <w:b w:val="0"/>
          <w:sz w:val="32"/>
          <w:szCs w:val="32"/>
          <w:lang w:val="en-US" w:eastAsia="zh-CN"/>
        </w:rPr>
        <w:t>七、“三公”经费财政拨款支出决算情况说明</w:t>
      </w:r>
      <w:bookmarkEnd w:id="26"/>
      <w:bookmarkEnd w:id="27"/>
      <w:bookmarkEnd w:id="28"/>
    </w:p>
    <w:p>
      <w:pPr>
        <w:keepNext w:val="0"/>
        <w:keepLines w:val="0"/>
        <w:pageBreakBefore w:val="0"/>
        <w:kinsoku/>
        <w:wordWrap/>
        <w:overflowPunct/>
        <w:topLinePunct w:val="0"/>
        <w:autoSpaceDE/>
        <w:autoSpaceDN/>
        <w:bidi w:val="0"/>
        <w:adjustRightInd/>
        <w:spacing w:afterAutospacing="0" w:line="560" w:lineRule="exact"/>
        <w:ind w:firstLine="643" w:firstLineChars="200"/>
        <w:textAlignment w:val="auto"/>
        <w:outlineLvl w:val="2"/>
        <w:rPr>
          <w:rFonts w:ascii="仿宋" w:eastAsia="仿宋"/>
          <w:b/>
          <w:sz w:val="32"/>
          <w:szCs w:val="32"/>
        </w:rPr>
      </w:pPr>
      <w:bookmarkStart w:id="29" w:name="_Toc15377216"/>
      <w:r>
        <w:rPr>
          <w:rFonts w:hint="eastAsia" w:ascii="仿宋" w:eastAsia="仿宋"/>
          <w:b/>
          <w:sz w:val="32"/>
          <w:szCs w:val="32"/>
        </w:rPr>
        <w:t>（一）“三公”经费财政拨款支出决算总体情况说明</w:t>
      </w:r>
      <w:bookmarkEnd w:id="29"/>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left"/>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lang w:val="en-US" w:eastAsia="zh-CN"/>
        </w:rPr>
        <w:t xml:space="preserve"> 2022年“三公”经费财政拨款支出决算为21.51万元，完成预算100.00%，</w:t>
      </w:r>
    </w:p>
    <w:p>
      <w:pPr>
        <w:keepNext w:val="0"/>
        <w:keepLines w:val="0"/>
        <w:pageBreakBefore w:val="0"/>
        <w:kinsoku/>
        <w:wordWrap/>
        <w:overflowPunct/>
        <w:topLinePunct w:val="0"/>
        <w:autoSpaceDE/>
        <w:autoSpaceDN/>
        <w:bidi w:val="0"/>
        <w:adjustRightInd/>
        <w:spacing w:afterAutospacing="0" w:line="560" w:lineRule="exact"/>
        <w:ind w:firstLine="643" w:firstLineChars="200"/>
        <w:textAlignment w:val="auto"/>
        <w:outlineLvl w:val="2"/>
        <w:rPr>
          <w:rFonts w:hint="eastAsia" w:ascii="仿宋" w:eastAsia="仿宋"/>
          <w:b/>
          <w:sz w:val="32"/>
          <w:szCs w:val="32"/>
        </w:rPr>
      </w:pPr>
      <w:r>
        <w:rPr>
          <w:rFonts w:hint="eastAsia" w:ascii="仿宋" w:eastAsia="仿宋"/>
          <w:b/>
          <w:sz w:val="32"/>
          <w:szCs w:val="32"/>
          <w:lang w:val="en-US" w:eastAsia="zh-CN"/>
        </w:rPr>
        <w:t>（二）</w:t>
      </w:r>
      <w:r>
        <w:rPr>
          <w:rFonts w:hint="default" w:ascii="仿宋" w:eastAsia="仿宋"/>
          <w:b/>
          <w:sz w:val="32"/>
          <w:szCs w:val="32"/>
          <w:lang w:val="en-US" w:eastAsia="zh-CN"/>
        </w:rPr>
        <w:t>“</w:t>
      </w:r>
      <w:r>
        <w:rPr>
          <w:rFonts w:hint="eastAsia" w:ascii="仿宋" w:eastAsia="仿宋"/>
          <w:b/>
          <w:sz w:val="32"/>
          <w:szCs w:val="32"/>
          <w:lang w:val="en-US" w:eastAsia="zh-CN"/>
        </w:rPr>
        <w:t>三公</w:t>
      </w:r>
      <w:r>
        <w:rPr>
          <w:rFonts w:hint="default" w:ascii="仿宋" w:eastAsia="仿宋"/>
          <w:b/>
          <w:sz w:val="32"/>
          <w:szCs w:val="32"/>
          <w:lang w:val="en-US" w:eastAsia="zh-CN"/>
        </w:rPr>
        <w:t>”</w:t>
      </w:r>
      <w:r>
        <w:rPr>
          <w:rFonts w:hint="eastAsia" w:ascii="仿宋" w:eastAsia="仿宋"/>
          <w:b/>
          <w:sz w:val="32"/>
          <w:szCs w:val="32"/>
          <w:lang w:val="en-US" w:eastAsia="zh-CN"/>
        </w:rPr>
        <w:t>经费财政拨款支出决算具体情况说明</w:t>
      </w: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left"/>
        <w:textAlignment w:val="auto"/>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 xml:space="preserve"> 2022年“三公”经费财政拨款支出决算中，因公出国（境）费支出决算0.00万元，占 0.00%；公务用车购置及运行维护费支出决算20.78万元，占96.6%；公务接待费支出决算0.73万元，占 3.4%。具体情况如下：</w:t>
      </w:r>
    </w:p>
    <w:p>
      <w:pPr>
        <w:pStyle w:val="9"/>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r>
        <w:rPr>
          <w:rFonts w:hint="eastAsia" w:ascii="宋体" w:hAnsi="宋体" w:eastAsia="宋体" w:cs="宋体"/>
          <w:kern w:val="0"/>
          <w:sz w:val="24"/>
          <w:szCs w:val="24"/>
        </w:rPr>
        <w:drawing>
          <wp:inline distT="0" distB="0" distL="114300" distR="114300">
            <wp:extent cx="4946650" cy="2628265"/>
            <wp:effectExtent l="4445" t="4445" r="17145" b="1905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9"/>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（图7：“三公”经费财政拨款支出结构）（饼状图） </w:t>
      </w:r>
    </w:p>
    <w:p>
      <w:pPr>
        <w:keepNext w:val="0"/>
        <w:keepLines w:val="0"/>
        <w:pageBreakBefore w:val="0"/>
        <w:kinsoku/>
        <w:wordWrap/>
        <w:overflowPunct/>
        <w:topLinePunct w:val="0"/>
        <w:autoSpaceDE/>
        <w:autoSpaceDN/>
        <w:bidi w:val="0"/>
        <w:adjustRightInd/>
        <w:spacing w:afterAutospacing="0" w:line="560" w:lineRule="exact"/>
        <w:ind w:firstLine="480" w:firstLineChars="200"/>
        <w:textAlignment w:val="auto"/>
        <w:rPr>
          <w:rFonts w:ascii="仿宋_GB2312" w:eastAsia="仿宋_GB2312"/>
          <w:b/>
          <w:color w:val="000000"/>
          <w:sz w:val="32"/>
          <w:szCs w:val="32"/>
        </w:rPr>
      </w:pPr>
      <w:r>
        <w:rPr>
          <w:rFonts w:hint="eastAsia" w:ascii="宋体" w:hAnsi="宋体" w:eastAsia="宋体" w:cs="宋体"/>
          <w:kern w:val="0"/>
          <w:sz w:val="24"/>
          <w:szCs w:val="24"/>
          <w:shd w:val="clear" w:fill="FFFFFF"/>
          <w:lang w:val="en-US" w:eastAsia="zh-CN" w:bidi="ar"/>
        </w:rPr>
        <w:t xml:space="preserve"> </w:t>
      </w: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keepNext w:val="0"/>
        <w:keepLines w:val="0"/>
        <w:pageBreakBefore w:val="0"/>
        <w:kinsoku/>
        <w:wordWrap/>
        <w:overflowPunct/>
        <w:topLinePunct w:val="0"/>
        <w:autoSpaceDE/>
        <w:autoSpaceDN/>
        <w:bidi w:val="0"/>
        <w:adjustRightInd/>
        <w:spacing w:afterAutospacing="0" w:line="560" w:lineRule="exact"/>
        <w:ind w:firstLine="643" w:firstLineChars="200"/>
        <w:textAlignment w:val="auto"/>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20.78</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w:t>
      </w:r>
      <w:r>
        <w:rPr>
          <w:rFonts w:hint="eastAsia" w:ascii="仿宋_GB2312" w:eastAsia="仿宋_GB2312"/>
          <w:color w:val="000000"/>
          <w:sz w:val="32"/>
          <w:szCs w:val="32"/>
          <w:lang w:val="en-US" w:eastAsia="zh-CN"/>
        </w:rPr>
        <w:t>021年减少了7.33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减少了</w:t>
      </w:r>
      <w:r>
        <w:rPr>
          <w:rFonts w:hint="eastAsia" w:ascii="仿宋_GB2312" w:eastAsia="仿宋_GB2312"/>
          <w:color w:val="000000"/>
          <w:sz w:val="32"/>
          <w:szCs w:val="32"/>
          <w:lang w:val="en-US" w:eastAsia="zh-CN"/>
        </w:rPr>
        <w:t>25.43</w:t>
      </w:r>
      <w:r>
        <w:rPr>
          <w:rFonts w:ascii="仿宋_GB2312" w:eastAsia="仿宋_GB2312"/>
          <w:color w:val="000000"/>
          <w:sz w:val="32"/>
          <w:szCs w:val="32"/>
        </w:rPr>
        <w:t>%</w:t>
      </w:r>
      <w:r>
        <w:rPr>
          <w:rFonts w:hint="eastAsia" w:ascii="仿宋_GB2312" w:eastAsia="仿宋_GB2312"/>
          <w:color w:val="000000"/>
          <w:sz w:val="32"/>
          <w:szCs w:val="32"/>
        </w:rPr>
        <w:t>。主要</w:t>
      </w:r>
      <w:r>
        <w:rPr>
          <w:rFonts w:hint="eastAsia" w:ascii="仿宋_GB2312" w:eastAsia="仿宋_GB2312"/>
          <w:color w:val="000000"/>
          <w:sz w:val="32"/>
          <w:szCs w:val="32"/>
          <w:lang w:eastAsia="zh-CN"/>
        </w:rPr>
        <w:t>原因是</w:t>
      </w:r>
      <w:r>
        <w:rPr>
          <w:rFonts w:hint="eastAsia" w:ascii="仿宋_GB2312" w:eastAsia="仿宋_GB2312"/>
          <w:color w:val="000000"/>
          <w:sz w:val="32"/>
          <w:szCs w:val="32"/>
          <w:lang w:val="en-US" w:eastAsia="zh-CN"/>
        </w:rPr>
        <w:t>2022年厉行节约压缩支出。</w:t>
      </w:r>
    </w:p>
    <w:p>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keepNext w:val="0"/>
        <w:keepLines w:val="0"/>
        <w:pageBreakBefore w:val="0"/>
        <w:kinsoku/>
        <w:wordWrap/>
        <w:overflowPunct/>
        <w:topLinePunct w:val="0"/>
        <w:autoSpaceDE/>
        <w:autoSpaceDN/>
        <w:bidi w:val="0"/>
        <w:adjustRightInd/>
        <w:spacing w:afterAutospacing="0" w:line="560" w:lineRule="exact"/>
        <w:ind w:firstLine="643" w:firstLineChars="20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20.78</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各项检察业务工作</w:t>
      </w:r>
      <w:r>
        <w:rPr>
          <w:rFonts w:hint="eastAsia" w:ascii="仿宋_GB2312" w:eastAsia="仿宋_GB2312"/>
          <w:color w:val="000000"/>
          <w:sz w:val="32"/>
          <w:szCs w:val="32"/>
        </w:rPr>
        <w:t>所需的公务用车燃料费、维修费、过路过桥费、保险费等支出。</w:t>
      </w:r>
    </w:p>
    <w:p>
      <w:pPr>
        <w:keepNext w:val="0"/>
        <w:keepLines w:val="0"/>
        <w:pageBreakBefore w:val="0"/>
        <w:kinsoku/>
        <w:wordWrap/>
        <w:overflowPunct/>
        <w:topLinePunct w:val="0"/>
        <w:autoSpaceDE/>
        <w:autoSpaceDN/>
        <w:bidi w:val="0"/>
        <w:adjustRightInd/>
        <w:spacing w:afterAutospacing="0" w:line="560" w:lineRule="exact"/>
        <w:ind w:firstLine="643" w:firstLineChars="200"/>
        <w:textAlignment w:val="auto"/>
        <w:rPr>
          <w:rFonts w:hint="eastAsia" w:ascii="仿宋_GB2312" w:eastAsia="仿宋_GB2312"/>
          <w:color w:val="000000"/>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0.73</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减少了</w:t>
      </w:r>
      <w:r>
        <w:rPr>
          <w:rFonts w:hint="eastAsia" w:ascii="仿宋_GB2312" w:eastAsia="仿宋_GB2312"/>
          <w:color w:val="000000"/>
          <w:sz w:val="32"/>
          <w:szCs w:val="32"/>
          <w:lang w:val="en-US" w:eastAsia="zh-CN"/>
        </w:rPr>
        <w:t>0.08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减少了</w:t>
      </w:r>
      <w:r>
        <w:rPr>
          <w:rFonts w:hint="eastAsia" w:ascii="仿宋_GB2312" w:eastAsia="仿宋_GB2312"/>
          <w:color w:val="000000"/>
          <w:sz w:val="32"/>
          <w:szCs w:val="32"/>
          <w:lang w:val="en-US" w:eastAsia="zh-CN"/>
        </w:rPr>
        <w:t>10.4%</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厉行节约。</w:t>
      </w:r>
    </w:p>
    <w:p>
      <w:pPr>
        <w:keepNext w:val="0"/>
        <w:keepLines w:val="0"/>
        <w:pageBreakBefore w:val="0"/>
        <w:kinsoku/>
        <w:wordWrap/>
        <w:overflowPunct/>
        <w:topLinePunct w:val="0"/>
        <w:autoSpaceDE/>
        <w:autoSpaceDN/>
        <w:bidi w:val="0"/>
        <w:adjustRightInd/>
        <w:spacing w:afterAutospacing="0" w:line="560" w:lineRule="exact"/>
        <w:ind w:firstLine="643" w:firstLineChars="200"/>
        <w:textAlignment w:val="auto"/>
        <w:rPr>
          <w:rFonts w:ascii="方正小标宋简体" w:hAnsi="方正小标宋简体" w:eastAsia="方正小标宋简体" w:cs="方正小标宋简体"/>
          <w:sz w:val="44"/>
          <w:szCs w:val="44"/>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0.73</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开</w:t>
      </w:r>
      <w:r>
        <w:rPr>
          <w:rFonts w:hint="eastAsia" w:ascii="仿宋_GB2312" w:eastAsia="仿宋_GB2312"/>
          <w:color w:val="000000"/>
          <w:sz w:val="32"/>
          <w:szCs w:val="32"/>
        </w:rPr>
        <w:t>执行公务、开展业务活动开支的交通费、用餐费等。国内公务接待</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56</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0.73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pStyle w:val="4"/>
        <w:pageBreakBefore w:val="0"/>
        <w:widowControl w:val="0"/>
        <w:numPr>
          <w:ilvl w:val="0"/>
          <w:numId w:val="0"/>
        </w:numPr>
        <w:kinsoku/>
        <w:wordWrap/>
        <w:overflowPunct/>
        <w:topLinePunct w:val="0"/>
        <w:autoSpaceDE/>
        <w:autoSpaceDN/>
        <w:bidi w:val="0"/>
        <w:adjustRightInd/>
        <w:spacing w:before="0" w:after="0" w:line="560" w:lineRule="exact"/>
        <w:ind w:right="0" w:rightChars="0" w:firstLine="640" w:firstLineChars="200"/>
        <w:jc w:val="both"/>
        <w:textAlignment w:val="auto"/>
        <w:outlineLvl w:val="1"/>
        <w:rPr>
          <w:rStyle w:val="13"/>
          <w:rFonts w:hint="eastAsia" w:ascii="黑体" w:eastAsia="黑体"/>
          <w:b w:val="0"/>
          <w:sz w:val="32"/>
          <w:szCs w:val="32"/>
          <w:lang w:val="en-US" w:eastAsia="zh-CN"/>
        </w:rPr>
      </w:pPr>
      <w:bookmarkStart w:id="30" w:name="_Toc17261"/>
      <w:r>
        <w:rPr>
          <w:rStyle w:val="13"/>
          <w:rFonts w:hint="eastAsia" w:ascii="黑体" w:eastAsia="黑体"/>
          <w:b w:val="0"/>
          <w:sz w:val="32"/>
          <w:szCs w:val="32"/>
          <w:lang w:val="en-US" w:eastAsia="zh-CN"/>
        </w:rPr>
        <w:t>八、政府性基金预算支出决算情况说明</w:t>
      </w:r>
      <w:bookmarkEnd w:id="30"/>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eastAsia="仿宋_GB2312" w:hAnsiTheme="minorHAnsi" w:cstheme="minorBidi"/>
          <w:color w:val="000000"/>
          <w:kern w:val="2"/>
          <w:sz w:val="32"/>
          <w:szCs w:val="32"/>
          <w:lang w:val="en-US" w:eastAsia="zh-CN" w:bidi="ar-SA"/>
        </w:rPr>
      </w:pPr>
      <w:r>
        <w:rPr>
          <w:rFonts w:hint="eastAsia" w:ascii="仿宋_GB2312" w:eastAsia="仿宋_GB2312" w:hAnsiTheme="minorHAnsi" w:cstheme="minorBidi"/>
          <w:color w:val="000000"/>
          <w:kern w:val="2"/>
          <w:sz w:val="32"/>
          <w:szCs w:val="32"/>
          <w:lang w:val="en-US" w:eastAsia="zh-CN" w:bidi="ar-SA"/>
        </w:rPr>
        <w:t xml:space="preserve"> 2022年政府性基金预算拨款支出0.00万元。</w:t>
      </w:r>
    </w:p>
    <w:p>
      <w:pPr>
        <w:pStyle w:val="4"/>
        <w:pageBreakBefore w:val="0"/>
        <w:widowControl w:val="0"/>
        <w:numPr>
          <w:ilvl w:val="0"/>
          <w:numId w:val="0"/>
        </w:numPr>
        <w:kinsoku/>
        <w:wordWrap/>
        <w:overflowPunct/>
        <w:topLinePunct w:val="0"/>
        <w:autoSpaceDE/>
        <w:autoSpaceDN/>
        <w:bidi w:val="0"/>
        <w:adjustRightInd/>
        <w:spacing w:before="0" w:after="0" w:line="560" w:lineRule="exact"/>
        <w:ind w:right="0" w:rightChars="0" w:firstLine="640" w:firstLineChars="200"/>
        <w:jc w:val="both"/>
        <w:textAlignment w:val="auto"/>
        <w:outlineLvl w:val="1"/>
        <w:rPr>
          <w:rStyle w:val="13"/>
          <w:rFonts w:hint="eastAsia" w:ascii="黑体" w:eastAsia="黑体"/>
          <w:b w:val="0"/>
          <w:sz w:val="32"/>
          <w:szCs w:val="32"/>
          <w:lang w:val="en-US" w:eastAsia="zh-CN"/>
        </w:rPr>
      </w:pPr>
      <w:bookmarkStart w:id="31" w:name="_Toc6696"/>
      <w:r>
        <w:rPr>
          <w:rStyle w:val="13"/>
          <w:rFonts w:hint="eastAsia" w:ascii="黑体" w:eastAsia="黑体"/>
          <w:b w:val="0"/>
          <w:sz w:val="32"/>
          <w:szCs w:val="32"/>
          <w:lang w:val="en-US" w:eastAsia="zh-CN"/>
        </w:rPr>
        <w:t>九、国有资本经营预算支出决算情况说明</w:t>
      </w:r>
      <w:bookmarkEnd w:id="31"/>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eastAsia="仿宋_GB2312" w:hAnsiTheme="minorHAnsi" w:cstheme="minorBidi"/>
          <w:color w:val="000000"/>
          <w:kern w:val="2"/>
          <w:sz w:val="32"/>
          <w:szCs w:val="32"/>
          <w:lang w:val="en-US" w:eastAsia="zh-CN" w:bidi="ar-SA"/>
        </w:rPr>
      </w:pPr>
      <w:r>
        <w:rPr>
          <w:rFonts w:hint="eastAsia" w:ascii="仿宋_GB2312" w:eastAsia="仿宋_GB2312" w:hAnsiTheme="minorHAnsi" w:cstheme="minorBidi"/>
          <w:color w:val="000000"/>
          <w:kern w:val="2"/>
          <w:sz w:val="32"/>
          <w:szCs w:val="32"/>
          <w:lang w:val="en-US" w:eastAsia="zh-CN" w:bidi="ar-SA"/>
        </w:rPr>
        <w:t>2022年国有资本经营预算拨款支出0.00万元。</w:t>
      </w:r>
    </w:p>
    <w:p>
      <w:pPr>
        <w:pStyle w:val="4"/>
        <w:pageBreakBefore w:val="0"/>
        <w:widowControl w:val="0"/>
        <w:numPr>
          <w:ilvl w:val="0"/>
          <w:numId w:val="0"/>
        </w:numPr>
        <w:kinsoku/>
        <w:wordWrap/>
        <w:overflowPunct/>
        <w:topLinePunct w:val="0"/>
        <w:autoSpaceDE/>
        <w:autoSpaceDN/>
        <w:bidi w:val="0"/>
        <w:adjustRightInd/>
        <w:spacing w:before="0" w:after="0" w:line="560" w:lineRule="exact"/>
        <w:ind w:right="0" w:rightChars="0" w:firstLine="640" w:firstLineChars="200"/>
        <w:jc w:val="both"/>
        <w:textAlignment w:val="auto"/>
        <w:outlineLvl w:val="1"/>
        <w:rPr>
          <w:rStyle w:val="13"/>
          <w:rFonts w:hint="eastAsia" w:ascii="黑体" w:eastAsia="黑体"/>
          <w:b w:val="0"/>
          <w:sz w:val="32"/>
          <w:szCs w:val="32"/>
          <w:lang w:val="en-US" w:eastAsia="zh-CN"/>
        </w:rPr>
      </w:pPr>
      <w:bookmarkStart w:id="32" w:name="_Toc21941"/>
      <w:r>
        <w:rPr>
          <w:rStyle w:val="13"/>
          <w:rFonts w:hint="eastAsia" w:ascii="黑体" w:eastAsia="黑体"/>
          <w:b w:val="0"/>
          <w:sz w:val="32"/>
          <w:szCs w:val="32"/>
          <w:lang w:val="en-US" w:eastAsia="zh-CN"/>
        </w:rPr>
        <w:t>十、其他重要事项的情况说明</w:t>
      </w:r>
      <w:bookmarkEnd w:id="32"/>
    </w:p>
    <w:p>
      <w:pPr>
        <w:keepNext w:val="0"/>
        <w:keepLines w:val="0"/>
        <w:pageBreakBefore w:val="0"/>
        <w:kinsoku/>
        <w:wordWrap/>
        <w:overflowPunct/>
        <w:topLinePunct w:val="0"/>
        <w:autoSpaceDE/>
        <w:autoSpaceDN/>
        <w:bidi w:val="0"/>
        <w:adjustRightInd/>
        <w:spacing w:line="560" w:lineRule="exact"/>
        <w:ind w:firstLine="643" w:firstLineChars="200"/>
        <w:textAlignment w:val="auto"/>
        <w:outlineLvl w:val="2"/>
        <w:rPr>
          <w:rFonts w:hint="eastAsia" w:ascii="仿宋" w:eastAsia="仿宋"/>
          <w:b/>
          <w:sz w:val="32"/>
          <w:szCs w:val="32"/>
        </w:rPr>
      </w:pPr>
      <w:r>
        <w:rPr>
          <w:rFonts w:hint="eastAsia" w:ascii="仿宋" w:eastAsia="仿宋"/>
          <w:b/>
          <w:sz w:val="32"/>
          <w:szCs w:val="32"/>
          <w:lang w:val="en-US" w:eastAsia="zh-CN"/>
        </w:rPr>
        <w:t>（一）机关运行经费支出情况</w:t>
      </w: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r>
        <w:rPr>
          <w:rFonts w:hint="eastAsia" w:ascii="仿宋_GB2312" w:eastAsia="仿宋_GB2312" w:hAnsiTheme="minorHAnsi" w:cstheme="minorBidi"/>
          <w:color w:val="000000"/>
          <w:kern w:val="2"/>
          <w:sz w:val="32"/>
          <w:szCs w:val="32"/>
          <w:lang w:val="en-US" w:eastAsia="zh-CN" w:bidi="ar-SA"/>
        </w:rPr>
        <w:t>2022年，阿坝州小金县人民检察院机关运行经费支出48.72万元，比2021年增加2.28万元，增长4.91%。主要原因相应预算有所增加。</w:t>
      </w:r>
    </w:p>
    <w:p>
      <w:pPr>
        <w:keepNext w:val="0"/>
        <w:keepLines w:val="0"/>
        <w:pageBreakBefore w:val="0"/>
        <w:kinsoku/>
        <w:wordWrap/>
        <w:overflowPunct/>
        <w:topLinePunct w:val="0"/>
        <w:autoSpaceDE/>
        <w:autoSpaceDN/>
        <w:bidi w:val="0"/>
        <w:adjustRightInd/>
        <w:spacing w:line="560" w:lineRule="exact"/>
        <w:ind w:firstLine="643" w:firstLineChars="200"/>
        <w:textAlignment w:val="auto"/>
        <w:outlineLvl w:val="2"/>
        <w:rPr>
          <w:rFonts w:hint="eastAsia" w:ascii="仿宋" w:eastAsia="仿宋"/>
          <w:b/>
          <w:sz w:val="32"/>
          <w:szCs w:val="32"/>
          <w:lang w:val="en-US" w:eastAsia="zh-CN"/>
        </w:rPr>
      </w:pPr>
      <w:r>
        <w:rPr>
          <w:rFonts w:hint="eastAsia" w:ascii="仿宋" w:eastAsia="仿宋"/>
          <w:b/>
          <w:sz w:val="32"/>
          <w:szCs w:val="32"/>
          <w:lang w:val="en-US" w:eastAsia="zh-CN"/>
        </w:rPr>
        <w:t>（二）政府采购支出情况</w:t>
      </w: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eastAsia="仿宋_GB2312" w:hAnsiTheme="minorHAnsi" w:cstheme="minorBidi"/>
          <w:color w:val="000000"/>
          <w:kern w:val="2"/>
          <w:sz w:val="32"/>
          <w:szCs w:val="32"/>
          <w:lang w:val="en-US" w:eastAsia="zh-CN" w:bidi="ar-SA"/>
        </w:rPr>
      </w:pPr>
      <w:r>
        <w:rPr>
          <w:rFonts w:hint="eastAsia" w:ascii="仿宋_GB2312" w:eastAsia="仿宋_GB2312" w:hAnsiTheme="minorHAnsi" w:cstheme="minorBidi"/>
          <w:color w:val="000000"/>
          <w:kern w:val="2"/>
          <w:sz w:val="32"/>
          <w:szCs w:val="32"/>
          <w:lang w:val="en-US" w:eastAsia="zh-CN" w:bidi="ar-SA"/>
        </w:rPr>
        <w:t xml:space="preserve"> 2022年，阿坝州小金县人民检察院政府采购支出总额21.77万元。</w:t>
      </w: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outlineLvl w:val="2"/>
        <w:rPr>
          <w:rFonts w:hint="eastAsia" w:ascii="仿宋" w:eastAsia="仿宋"/>
          <w:b/>
          <w:sz w:val="32"/>
          <w:szCs w:val="32"/>
          <w:lang w:val="en-US" w:eastAsia="zh-CN"/>
        </w:rPr>
      </w:pPr>
      <w:r>
        <w:rPr>
          <w:rFonts w:hint="eastAsia" w:ascii="仿宋" w:eastAsia="仿宋"/>
          <w:b/>
          <w:sz w:val="32"/>
          <w:szCs w:val="32"/>
          <w:lang w:val="en-US" w:eastAsia="zh-CN"/>
        </w:rPr>
        <w:t>（三）国有资产占有使用情况</w:t>
      </w: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eastAsia="仿宋_GB2312" w:hAnsiTheme="minorHAnsi" w:cstheme="minorBidi"/>
          <w:color w:val="000000"/>
          <w:kern w:val="2"/>
          <w:sz w:val="32"/>
          <w:szCs w:val="32"/>
          <w:lang w:val="en-US" w:eastAsia="zh-CN" w:bidi="ar-SA"/>
        </w:rPr>
      </w:pPr>
      <w:r>
        <w:rPr>
          <w:rFonts w:hint="eastAsia" w:ascii="仿宋_GB2312" w:eastAsia="仿宋_GB2312" w:hAnsiTheme="minorHAnsi" w:cstheme="minorBidi"/>
          <w:color w:val="000000"/>
          <w:kern w:val="2"/>
          <w:sz w:val="32"/>
          <w:szCs w:val="32"/>
          <w:lang w:val="en-US" w:eastAsia="zh-CN" w:bidi="ar-SA"/>
        </w:rPr>
        <w:t>截至2022年12月31日，阿坝州小金县人民检察院共有车辆5辆，其中：主要领导干部用车0 辆、机要通信用车0辆、应急保障用车0辆、执法执勤用车5 辆、特种专业技术用车0辆、离退休干部用车0辆、其他用车 0辆。主要是用于履行检察职能。单价50万元以上通用设备2台（套），单价100万元以上专用设备0台（套）。</w:t>
      </w: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3" w:firstLineChars="200"/>
        <w:jc w:val="left"/>
        <w:textAlignment w:val="auto"/>
        <w:outlineLvl w:val="2"/>
        <w:rPr>
          <w:rFonts w:hint="eastAsia" w:ascii="仿宋" w:eastAsia="仿宋"/>
          <w:b/>
          <w:sz w:val="32"/>
          <w:szCs w:val="32"/>
          <w:lang w:val="en-US" w:eastAsia="zh-CN"/>
        </w:rPr>
      </w:pPr>
      <w:r>
        <w:rPr>
          <w:rFonts w:hint="eastAsia" w:ascii="仿宋" w:eastAsia="仿宋"/>
          <w:b/>
          <w:sz w:val="32"/>
          <w:szCs w:val="32"/>
          <w:lang w:val="en-US" w:eastAsia="zh-CN"/>
        </w:rPr>
        <w:t>（四）预算绩效管理情况。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hAnsiTheme="minorHAnsi" w:cstheme="minorBidi"/>
          <w:color w:val="000000"/>
          <w:kern w:val="2"/>
          <w:sz w:val="32"/>
          <w:szCs w:val="32"/>
          <w:lang w:val="en-US" w:eastAsia="zh-CN" w:bidi="ar-SA"/>
        </w:rPr>
      </w:pPr>
      <w:r>
        <w:rPr>
          <w:rFonts w:hint="eastAsia" w:ascii="仿宋_GB2312" w:eastAsia="仿宋_GB2312" w:cs="仿宋_GB2312"/>
          <w:sz w:val="32"/>
          <w:szCs w:val="32"/>
        </w:rPr>
        <w:t>根据预算绩效管理要求，本单位在202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年度预算编制阶段，组织对</w:t>
      </w:r>
      <w:r>
        <w:rPr>
          <w:rFonts w:hint="eastAsia" w:ascii="仿宋_GB2312" w:eastAsia="仿宋_GB2312" w:cs="仿宋_GB2312"/>
          <w:sz w:val="32"/>
          <w:szCs w:val="32"/>
          <w:lang w:eastAsia="zh-CN"/>
        </w:rPr>
        <w:t>中央政法转移支付</w:t>
      </w:r>
      <w:r>
        <w:rPr>
          <w:rFonts w:hint="eastAsia" w:ascii="仿宋_GB2312" w:eastAsia="仿宋_GB2312" w:cs="仿宋_GB2312"/>
          <w:sz w:val="32"/>
          <w:szCs w:val="32"/>
        </w:rPr>
        <w:t>项目开展了预算事前绩效评估，对</w:t>
      </w:r>
      <w:r>
        <w:rPr>
          <w:rFonts w:hint="eastAsia" w:ascii="仿宋_GB2312" w:eastAsia="仿宋_GB2312" w:cs="仿宋_GB2312"/>
          <w:sz w:val="32"/>
          <w:szCs w:val="32"/>
          <w:lang w:eastAsia="zh-CN"/>
        </w:rPr>
        <w:t>本</w:t>
      </w:r>
      <w:r>
        <w:rPr>
          <w:rFonts w:hint="eastAsia" w:ascii="仿宋_GB2312" w:eastAsia="仿宋_GB2312" w:cs="仿宋_GB2312"/>
          <w:sz w:val="32"/>
          <w:szCs w:val="32"/>
        </w:rPr>
        <w:t>项目编制了绩效目标，预算执行过程中，选取</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个项目开展绩效监控，年终执行完毕后，对</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个项目开展了绩效自评，202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年特定目标类部门预算项目绩效目标自评表见附件（第四部分）。</w:t>
      </w: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eastAsia="仿宋_GB2312" w:hAnsiTheme="minorHAnsi" w:cstheme="minorBidi"/>
          <w:color w:val="000000"/>
          <w:kern w:val="2"/>
          <w:sz w:val="32"/>
          <w:szCs w:val="32"/>
          <w:lang w:val="en-US" w:eastAsia="zh-CN" w:bidi="ar-SA"/>
        </w:rPr>
      </w:pPr>
    </w:p>
    <w:p>
      <w:pPr>
        <w:pStyle w:val="6"/>
        <w:rPr>
          <w:rFonts w:hint="eastAsia" w:ascii="仿宋_GB2312" w:eastAsia="仿宋_GB2312" w:hAnsiTheme="minorHAnsi" w:cstheme="minorBidi"/>
          <w:color w:val="000000"/>
          <w:kern w:val="2"/>
          <w:sz w:val="32"/>
          <w:szCs w:val="32"/>
          <w:lang w:val="en-US" w:eastAsia="zh-CN" w:bidi="ar-SA"/>
        </w:rPr>
      </w:pPr>
    </w:p>
    <w:p>
      <w:pPr>
        <w:pStyle w:val="6"/>
        <w:rPr>
          <w:rFonts w:hint="eastAsia" w:ascii="仿宋_GB2312" w:eastAsia="仿宋_GB2312" w:hAnsiTheme="minorHAnsi" w:cstheme="minorBidi"/>
          <w:color w:val="000000"/>
          <w:kern w:val="2"/>
          <w:sz w:val="32"/>
          <w:szCs w:val="32"/>
          <w:lang w:val="en-US" w:eastAsia="zh-CN" w:bidi="ar-SA"/>
        </w:rPr>
      </w:pPr>
    </w:p>
    <w:p>
      <w:pPr>
        <w:rPr>
          <w:rFonts w:hint="eastAsia" w:ascii="仿宋_GB2312" w:eastAsia="仿宋_GB2312" w:hAnsiTheme="minorHAnsi" w:cstheme="minorBidi"/>
          <w:color w:val="000000"/>
          <w:kern w:val="2"/>
          <w:sz w:val="32"/>
          <w:szCs w:val="32"/>
          <w:lang w:val="en-US" w:eastAsia="zh-CN" w:bidi="ar-SA"/>
        </w:rPr>
      </w:pPr>
      <w:r>
        <w:rPr>
          <w:rFonts w:hint="eastAsia" w:ascii="仿宋_GB2312" w:eastAsia="仿宋_GB2312" w:hAnsiTheme="minorHAnsi" w:cstheme="minorBidi"/>
          <w:color w:val="000000"/>
          <w:kern w:val="2"/>
          <w:sz w:val="32"/>
          <w:szCs w:val="32"/>
          <w:lang w:val="en-US" w:eastAsia="zh-CN" w:bidi="ar-SA"/>
        </w:rPr>
        <w:br w:type="page"/>
      </w:r>
    </w:p>
    <w:p>
      <w:pPr>
        <w:numPr>
          <w:ilvl w:val="0"/>
          <w:numId w:val="1"/>
        </w:numPr>
        <w:spacing w:line="600" w:lineRule="exact"/>
        <w:ind w:firstLine="360" w:firstLineChars="150"/>
        <w:jc w:val="center"/>
        <w:outlineLvl w:val="0"/>
        <w:rPr>
          <w:rStyle w:val="15"/>
          <w:rFonts w:ascii="黑体" w:eastAsia="黑体"/>
          <w:b w:val="0"/>
        </w:rPr>
      </w:pPr>
      <w:r>
        <w:rPr>
          <w:rFonts w:hint="eastAsia" w:ascii="宋体" w:hAnsi="宋体" w:eastAsia="宋体" w:cs="宋体"/>
          <w:kern w:val="0"/>
          <w:sz w:val="24"/>
          <w:szCs w:val="24"/>
          <w:shd w:val="clear" w:fill="FFFFFF"/>
          <w:lang w:val="en-US" w:eastAsia="zh-CN" w:bidi="ar"/>
        </w:rPr>
        <w:t xml:space="preserve"> </w:t>
      </w:r>
      <w:bookmarkStart w:id="33" w:name="_Toc15377225"/>
      <w:bookmarkStart w:id="34" w:name="_Toc15396613"/>
      <w:bookmarkStart w:id="35" w:name="_Toc17477"/>
      <w:r>
        <w:rPr>
          <w:rFonts w:hint="eastAsia" w:ascii="黑体" w:eastAsia="黑体"/>
          <w:sz w:val="44"/>
          <w:szCs w:val="44"/>
        </w:rPr>
        <w:t>名</w:t>
      </w:r>
      <w:r>
        <w:rPr>
          <w:rStyle w:val="15"/>
          <w:rFonts w:hint="eastAsia" w:ascii="黑体" w:eastAsia="黑体"/>
          <w:b w:val="0"/>
        </w:rPr>
        <w:t>词解释</w:t>
      </w:r>
      <w:bookmarkEnd w:id="33"/>
      <w:bookmarkEnd w:id="34"/>
      <w:bookmarkEnd w:id="35"/>
    </w:p>
    <w:p>
      <w:pPr>
        <w:pStyle w:val="9"/>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shd w:val="clear" w:fill="FFFFFF"/>
          <w:lang w:val="en-US" w:eastAsia="zh-CN" w:bidi="ar"/>
        </w:rPr>
      </w:pP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1.财政拨款收入：指单位从同级财政部门取得的财政预算资金。</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2</w:t>
      </w:r>
      <w:r>
        <w:rPr>
          <w:rFonts w:hint="eastAsia" w:ascii="仿宋_GB2312" w:hAnsi="Times New Roman" w:eastAsia="仿宋_GB2312"/>
          <w:color w:val="auto"/>
          <w:sz w:val="32"/>
          <w:szCs w:val="32"/>
        </w:rPr>
        <w:t>.其他收入：指单位取得的除上述收入以外的各项收入。</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3</w:t>
      </w:r>
      <w:r>
        <w:rPr>
          <w:rFonts w:hint="eastAsia" w:ascii="仿宋_GB2312" w:hAnsi="Times New Roman" w:eastAsia="仿宋_GB2312"/>
          <w:color w:val="auto"/>
          <w:sz w:val="32"/>
          <w:szCs w:val="32"/>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4</w:t>
      </w:r>
      <w:r>
        <w:rPr>
          <w:rFonts w:hint="eastAsia" w:ascii="仿宋_GB2312" w:hAnsi="Times New Roman" w:eastAsia="仿宋_GB2312"/>
          <w:color w:val="auto"/>
          <w:sz w:val="32"/>
          <w:szCs w:val="32"/>
        </w:rPr>
        <w:t xml:space="preserve">.年初结转和结余：指以前年度尚未完成、结转到本年按有关规定继续使用的资金。 </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.结余分配：指事业单位按照事业单位会计制度的规定从非财政补助结余中分配的事业基金和职工福利基金等。</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、年末结转和结余：指单位按有关规定结转到下年或以后年度继续使用的资金。</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7</w:t>
      </w:r>
      <w:r>
        <w:rPr>
          <w:rFonts w:hint="eastAsia" w:ascii="仿宋_GB2312" w:hAnsi="Times New Roman" w:eastAsia="仿宋_GB2312"/>
          <w:color w:val="auto"/>
          <w:sz w:val="32"/>
          <w:szCs w:val="32"/>
        </w:rPr>
        <w:t>.一般公共服务（类）</w:t>
      </w:r>
      <w:r>
        <w:rPr>
          <w:rFonts w:hint="eastAsia" w:ascii="仿宋_GB2312" w:hAnsi="Times New Roman" w:eastAsia="仿宋_GB2312"/>
          <w:color w:val="auto"/>
          <w:sz w:val="32"/>
          <w:szCs w:val="32"/>
          <w:lang w:eastAsia="zh-CN"/>
        </w:rPr>
        <w:t>其他一般公共服务</w:t>
      </w:r>
      <w:r>
        <w:rPr>
          <w:rFonts w:hint="eastAsia" w:ascii="仿宋_GB2312" w:hAnsi="Times New Roman" w:eastAsia="仿宋_GB2312"/>
          <w:color w:val="auto"/>
          <w:sz w:val="32"/>
          <w:szCs w:val="32"/>
        </w:rPr>
        <w:t>（款）</w:t>
      </w:r>
      <w:r>
        <w:rPr>
          <w:rFonts w:hint="eastAsia" w:ascii="仿宋_GB2312" w:hAnsi="Times New Roman" w:eastAsia="仿宋_GB2312"/>
          <w:color w:val="auto"/>
          <w:sz w:val="32"/>
          <w:szCs w:val="32"/>
          <w:lang w:eastAsia="zh-CN"/>
        </w:rPr>
        <w:t>其他一般公共服务</w:t>
      </w:r>
      <w:r>
        <w:rPr>
          <w:rFonts w:hint="eastAsia" w:ascii="仿宋_GB2312" w:hAnsi="Times New Roman" w:eastAsia="仿宋_GB2312"/>
          <w:color w:val="auto"/>
          <w:sz w:val="32"/>
          <w:szCs w:val="32"/>
        </w:rPr>
        <w:t>（项）：指</w:t>
      </w:r>
      <w:r>
        <w:rPr>
          <w:rFonts w:hint="eastAsia" w:ascii="仿宋_GB2312" w:hAnsi="Times New Roman" w:eastAsia="仿宋_GB2312"/>
          <w:color w:val="auto"/>
          <w:sz w:val="32"/>
          <w:szCs w:val="32"/>
          <w:lang w:eastAsia="zh-CN"/>
        </w:rPr>
        <w:t>副县级领导干部绩效</w:t>
      </w:r>
      <w:r>
        <w:rPr>
          <w:rFonts w:hint="eastAsia" w:ascii="仿宋_GB2312" w:hAnsi="Times New Roman" w:eastAsia="仿宋_GB2312"/>
          <w:color w:val="auto"/>
          <w:sz w:val="32"/>
          <w:szCs w:val="32"/>
        </w:rPr>
        <w:t>。</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8</w:t>
      </w:r>
      <w:r>
        <w:rPr>
          <w:rFonts w:hint="eastAsia" w:ascii="仿宋_GB2312" w:hAnsi="Times New Roman" w:eastAsia="仿宋_GB2312"/>
          <w:color w:val="auto"/>
          <w:sz w:val="32"/>
          <w:szCs w:val="32"/>
        </w:rPr>
        <w:t>.公共安全（类）</w:t>
      </w:r>
      <w:r>
        <w:rPr>
          <w:rFonts w:hint="eastAsia" w:ascii="仿宋_GB2312" w:hAnsi="Times New Roman" w:eastAsia="仿宋_GB2312"/>
          <w:color w:val="auto"/>
          <w:sz w:val="32"/>
          <w:szCs w:val="32"/>
          <w:lang w:eastAsia="zh-CN"/>
        </w:rPr>
        <w:t>检察</w:t>
      </w:r>
      <w:r>
        <w:rPr>
          <w:rFonts w:hint="eastAsia" w:ascii="仿宋_GB2312" w:hAnsi="Times New Roman" w:eastAsia="仿宋_GB2312"/>
          <w:color w:val="auto"/>
          <w:sz w:val="32"/>
          <w:szCs w:val="32"/>
        </w:rPr>
        <w:t>（款）</w:t>
      </w:r>
      <w:r>
        <w:rPr>
          <w:rFonts w:hint="eastAsia" w:ascii="仿宋_GB2312" w:hAnsi="Times New Roman" w:eastAsia="仿宋_GB2312"/>
          <w:color w:val="auto"/>
          <w:sz w:val="32"/>
          <w:szCs w:val="32"/>
          <w:lang w:eastAsia="zh-CN"/>
        </w:rPr>
        <w:t>行政运行</w:t>
      </w:r>
      <w:r>
        <w:rPr>
          <w:rFonts w:hint="eastAsia" w:ascii="仿宋_GB2312" w:hAnsi="Times New Roman" w:eastAsia="仿宋_GB2312"/>
          <w:color w:val="auto"/>
          <w:sz w:val="32"/>
          <w:szCs w:val="32"/>
        </w:rPr>
        <w:t>（项）：指</w:t>
      </w:r>
      <w:r>
        <w:rPr>
          <w:rFonts w:hint="eastAsia" w:ascii="仿宋_GB2312" w:hAnsi="Times New Roman" w:eastAsia="仿宋_GB2312"/>
          <w:color w:val="auto"/>
          <w:sz w:val="32"/>
          <w:szCs w:val="32"/>
          <w:lang w:eastAsia="zh-CN"/>
        </w:rPr>
        <w:t>公职人员基本工资、津贴补贴、公用经费等</w:t>
      </w:r>
      <w:r>
        <w:rPr>
          <w:rFonts w:hint="eastAsia" w:ascii="仿宋_GB2312" w:hAnsi="Times New Roman" w:eastAsia="仿宋_GB2312"/>
          <w:color w:val="auto"/>
          <w:sz w:val="32"/>
          <w:szCs w:val="32"/>
        </w:rPr>
        <w:t>。</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9</w:t>
      </w:r>
      <w:r>
        <w:rPr>
          <w:rFonts w:hint="eastAsia" w:ascii="仿宋_GB2312" w:hAnsi="Times New Roman" w:eastAsia="仿宋_GB2312"/>
          <w:color w:val="auto"/>
          <w:sz w:val="32"/>
          <w:szCs w:val="32"/>
        </w:rPr>
        <w:t>.公共安全（类）</w:t>
      </w:r>
      <w:r>
        <w:rPr>
          <w:rFonts w:hint="eastAsia" w:ascii="仿宋_GB2312" w:hAnsi="Times New Roman" w:eastAsia="仿宋_GB2312"/>
          <w:color w:val="auto"/>
          <w:sz w:val="32"/>
          <w:szCs w:val="32"/>
          <w:lang w:eastAsia="zh-CN"/>
        </w:rPr>
        <w:t>检察</w:t>
      </w:r>
      <w:r>
        <w:rPr>
          <w:rFonts w:hint="eastAsia" w:ascii="仿宋_GB2312" w:hAnsi="Times New Roman" w:eastAsia="仿宋_GB2312"/>
          <w:color w:val="auto"/>
          <w:sz w:val="32"/>
          <w:szCs w:val="32"/>
        </w:rPr>
        <w:t>（款）</w:t>
      </w:r>
      <w:r>
        <w:rPr>
          <w:rFonts w:hint="eastAsia" w:ascii="仿宋_GB2312" w:hAnsi="Times New Roman" w:eastAsia="仿宋_GB2312"/>
          <w:color w:val="auto"/>
          <w:sz w:val="32"/>
          <w:szCs w:val="32"/>
          <w:lang w:eastAsia="zh-CN"/>
        </w:rPr>
        <w:t>一般行政管理事务</w:t>
      </w:r>
      <w:r>
        <w:rPr>
          <w:rFonts w:hint="eastAsia" w:ascii="仿宋_GB2312" w:hAnsi="Times New Roman" w:eastAsia="仿宋_GB2312"/>
          <w:color w:val="auto"/>
          <w:sz w:val="32"/>
          <w:szCs w:val="32"/>
        </w:rPr>
        <w:t>（项）：指</w:t>
      </w:r>
      <w:r>
        <w:rPr>
          <w:rFonts w:hint="eastAsia" w:ascii="仿宋_GB2312" w:hAnsi="Times New Roman" w:eastAsia="仿宋_GB2312"/>
          <w:color w:val="auto"/>
          <w:sz w:val="32"/>
          <w:szCs w:val="32"/>
          <w:lang w:eastAsia="zh-CN"/>
        </w:rPr>
        <w:t>检察业务办案经费及设备经费</w:t>
      </w:r>
      <w:r>
        <w:rPr>
          <w:rFonts w:hint="eastAsia" w:ascii="仿宋_GB2312" w:hAnsi="Times New Roman" w:eastAsia="仿宋_GB2312"/>
          <w:color w:val="auto"/>
          <w:sz w:val="32"/>
          <w:szCs w:val="32"/>
        </w:rPr>
        <w:t>。</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1</w:t>
      </w:r>
      <w:r>
        <w:rPr>
          <w:rFonts w:hint="eastAsia" w:ascii="仿宋_GB2312" w:hAnsi="Times New Roman" w:eastAsia="仿宋_GB2312"/>
          <w:color w:val="auto"/>
          <w:sz w:val="32"/>
          <w:szCs w:val="32"/>
          <w:lang w:val="en-US" w:eastAsia="zh-CN"/>
        </w:rPr>
        <w:t>0</w:t>
      </w:r>
      <w:r>
        <w:rPr>
          <w:rFonts w:hint="eastAsia" w:ascii="仿宋_GB2312" w:hAnsi="Times New Roman" w:eastAsia="仿宋_GB2312"/>
          <w:color w:val="auto"/>
          <w:sz w:val="32"/>
          <w:szCs w:val="32"/>
        </w:rPr>
        <w:t>.公共安全（类）</w:t>
      </w:r>
      <w:r>
        <w:rPr>
          <w:rFonts w:hint="eastAsia" w:ascii="仿宋_GB2312" w:hAnsi="Times New Roman" w:eastAsia="仿宋_GB2312"/>
          <w:color w:val="auto"/>
          <w:sz w:val="32"/>
          <w:szCs w:val="32"/>
          <w:lang w:eastAsia="zh-CN"/>
        </w:rPr>
        <w:t>检察</w:t>
      </w:r>
      <w:r>
        <w:rPr>
          <w:rFonts w:hint="eastAsia" w:ascii="仿宋_GB2312" w:hAnsi="Times New Roman" w:eastAsia="仿宋_GB2312"/>
          <w:color w:val="auto"/>
          <w:sz w:val="32"/>
          <w:szCs w:val="32"/>
        </w:rPr>
        <w:t>（款）</w:t>
      </w:r>
      <w:r>
        <w:rPr>
          <w:rFonts w:hint="eastAsia" w:ascii="仿宋_GB2312" w:hAnsi="Times New Roman" w:eastAsia="仿宋_GB2312"/>
          <w:color w:val="auto"/>
          <w:sz w:val="32"/>
          <w:szCs w:val="32"/>
          <w:lang w:eastAsia="zh-CN"/>
        </w:rPr>
        <w:t>“两房”建设</w:t>
      </w:r>
      <w:r>
        <w:rPr>
          <w:rFonts w:hint="eastAsia" w:ascii="仿宋_GB2312" w:hAnsi="Times New Roman" w:eastAsia="仿宋_GB2312"/>
          <w:color w:val="auto"/>
          <w:sz w:val="32"/>
          <w:szCs w:val="32"/>
        </w:rPr>
        <w:t>（项）：指</w:t>
      </w:r>
      <w:r>
        <w:rPr>
          <w:rFonts w:hint="eastAsia" w:ascii="仿宋_GB2312" w:hAnsi="Times New Roman" w:eastAsia="仿宋_GB2312"/>
          <w:color w:val="auto"/>
          <w:sz w:val="32"/>
          <w:szCs w:val="32"/>
          <w:lang w:eastAsia="zh-CN"/>
        </w:rPr>
        <w:t>人民检察院办案用房和专业技术用房检察相关支出</w:t>
      </w:r>
      <w:r>
        <w:rPr>
          <w:rFonts w:hint="eastAsia" w:ascii="仿宋_GB2312" w:hAnsi="Times New Roman" w:eastAsia="仿宋_GB2312"/>
          <w:color w:val="auto"/>
          <w:sz w:val="32"/>
          <w:szCs w:val="32"/>
        </w:rPr>
        <w:t>。</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1</w:t>
      </w:r>
      <w:r>
        <w:rPr>
          <w:rFonts w:hint="eastAsia" w:ascii="仿宋_GB2312" w:hAnsi="Times New Roman" w:eastAsia="仿宋_GB2312"/>
          <w:color w:val="auto"/>
          <w:sz w:val="32"/>
          <w:szCs w:val="32"/>
          <w:lang w:val="en-US" w:eastAsia="zh-CN"/>
        </w:rPr>
        <w:t>1</w:t>
      </w:r>
      <w:r>
        <w:rPr>
          <w:rFonts w:hint="eastAsia" w:ascii="仿宋_GB2312" w:hAnsi="Times New Roman" w:eastAsia="仿宋_GB2312"/>
          <w:color w:val="auto"/>
          <w:sz w:val="32"/>
          <w:szCs w:val="32"/>
        </w:rPr>
        <w:t>.公共安全（类）</w:t>
      </w:r>
      <w:r>
        <w:rPr>
          <w:rFonts w:hint="eastAsia" w:ascii="仿宋_GB2312" w:hAnsi="Times New Roman" w:eastAsia="仿宋_GB2312"/>
          <w:color w:val="auto"/>
          <w:sz w:val="32"/>
          <w:szCs w:val="32"/>
          <w:lang w:eastAsia="zh-CN"/>
        </w:rPr>
        <w:t>检察</w:t>
      </w:r>
      <w:r>
        <w:rPr>
          <w:rFonts w:hint="eastAsia" w:ascii="仿宋_GB2312" w:hAnsi="Times New Roman" w:eastAsia="仿宋_GB2312"/>
          <w:color w:val="auto"/>
          <w:sz w:val="32"/>
          <w:szCs w:val="32"/>
        </w:rPr>
        <w:t>（款）</w:t>
      </w:r>
      <w:r>
        <w:rPr>
          <w:rFonts w:hint="eastAsia" w:ascii="仿宋_GB2312" w:hAnsi="Times New Roman" w:eastAsia="仿宋_GB2312"/>
          <w:color w:val="auto"/>
          <w:sz w:val="32"/>
          <w:szCs w:val="32"/>
          <w:lang w:eastAsia="zh-CN"/>
        </w:rPr>
        <w:t>其他检察支出</w:t>
      </w:r>
      <w:r>
        <w:rPr>
          <w:rFonts w:hint="eastAsia" w:ascii="仿宋_GB2312" w:hAnsi="Times New Roman" w:eastAsia="仿宋_GB2312"/>
          <w:color w:val="auto"/>
          <w:sz w:val="32"/>
          <w:szCs w:val="32"/>
        </w:rPr>
        <w:t>（项）：指</w:t>
      </w:r>
      <w:r>
        <w:rPr>
          <w:rFonts w:hint="eastAsia" w:ascii="仿宋_GB2312" w:hAnsi="Times New Roman" w:eastAsia="仿宋_GB2312"/>
          <w:color w:val="auto"/>
          <w:sz w:val="32"/>
          <w:szCs w:val="32"/>
          <w:lang w:eastAsia="zh-CN"/>
        </w:rPr>
        <w:t>检察业务办案经费及设备经费</w:t>
      </w:r>
      <w:r>
        <w:rPr>
          <w:rFonts w:hint="eastAsia" w:ascii="仿宋_GB2312" w:hAnsi="Times New Roman" w:eastAsia="仿宋_GB2312"/>
          <w:color w:val="auto"/>
          <w:sz w:val="32"/>
          <w:szCs w:val="32"/>
        </w:rPr>
        <w:t>。</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1</w:t>
      </w:r>
      <w:r>
        <w:rPr>
          <w:rFonts w:hint="eastAsia" w:ascii="仿宋_GB2312" w:hAnsi="Times New Roman" w:eastAsia="仿宋_GB2312"/>
          <w:color w:val="auto"/>
          <w:sz w:val="32"/>
          <w:szCs w:val="32"/>
          <w:lang w:val="en-US" w:eastAsia="zh-CN"/>
        </w:rPr>
        <w:t>2</w:t>
      </w:r>
      <w:r>
        <w:rPr>
          <w:rFonts w:hint="eastAsia" w:ascii="仿宋_GB2312" w:hAnsi="Times New Roman" w:eastAsia="仿宋_GB2312"/>
          <w:color w:val="auto"/>
          <w:sz w:val="32"/>
          <w:szCs w:val="32"/>
        </w:rPr>
        <w:t>.社会保障和就业（类）</w:t>
      </w:r>
      <w:r>
        <w:rPr>
          <w:rFonts w:hint="eastAsia" w:ascii="仿宋_GB2312" w:hAnsi="Times New Roman" w:eastAsia="仿宋_GB2312"/>
          <w:color w:val="auto"/>
          <w:sz w:val="32"/>
          <w:szCs w:val="32"/>
          <w:lang w:eastAsia="zh-CN"/>
        </w:rPr>
        <w:t>行政事业单位离退休</w:t>
      </w:r>
      <w:r>
        <w:rPr>
          <w:rFonts w:hint="eastAsia" w:ascii="仿宋_GB2312" w:hAnsi="Times New Roman" w:eastAsia="仿宋_GB2312"/>
          <w:color w:val="auto"/>
          <w:sz w:val="32"/>
          <w:szCs w:val="32"/>
        </w:rPr>
        <w:t>（款）</w:t>
      </w:r>
      <w:r>
        <w:rPr>
          <w:rFonts w:hint="eastAsia" w:ascii="仿宋_GB2312" w:hAnsi="Times New Roman" w:eastAsia="仿宋_GB2312"/>
          <w:color w:val="auto"/>
          <w:sz w:val="32"/>
          <w:szCs w:val="32"/>
          <w:lang w:eastAsia="zh-CN"/>
        </w:rPr>
        <w:t>机关事业外单位基本养老保险缴费支出</w:t>
      </w:r>
      <w:r>
        <w:rPr>
          <w:rFonts w:hint="eastAsia" w:ascii="仿宋_GB2312" w:hAnsi="Times New Roman" w:eastAsia="仿宋_GB2312"/>
          <w:color w:val="auto"/>
          <w:sz w:val="32"/>
          <w:szCs w:val="32"/>
        </w:rPr>
        <w:t>（项）：指</w:t>
      </w:r>
      <w:r>
        <w:rPr>
          <w:rFonts w:hint="eastAsia" w:ascii="仿宋_GB2312" w:hAnsi="Times New Roman" w:eastAsia="仿宋_GB2312"/>
          <w:color w:val="auto"/>
          <w:sz w:val="32"/>
          <w:szCs w:val="32"/>
          <w:lang w:eastAsia="zh-CN"/>
        </w:rPr>
        <w:t>基本养老保险的支出</w:t>
      </w:r>
      <w:r>
        <w:rPr>
          <w:rFonts w:hint="eastAsia" w:ascii="仿宋_GB2312" w:hAnsi="Times New Roman" w:eastAsia="仿宋_GB2312"/>
          <w:color w:val="auto"/>
          <w:sz w:val="32"/>
          <w:szCs w:val="32"/>
        </w:rPr>
        <w:t>。</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1</w:t>
      </w:r>
      <w:r>
        <w:rPr>
          <w:rFonts w:hint="eastAsia" w:ascii="仿宋_GB2312" w:hAnsi="Times New Roman" w:eastAsia="仿宋_GB2312"/>
          <w:color w:val="auto"/>
          <w:sz w:val="32"/>
          <w:szCs w:val="32"/>
          <w:lang w:val="en-US" w:eastAsia="zh-CN"/>
        </w:rPr>
        <w:t>3</w:t>
      </w:r>
      <w:r>
        <w:rPr>
          <w:rFonts w:hint="eastAsia" w:ascii="仿宋_GB2312" w:hAnsi="Times New Roman" w:eastAsia="仿宋_GB2312"/>
          <w:color w:val="auto"/>
          <w:sz w:val="32"/>
          <w:szCs w:val="32"/>
        </w:rPr>
        <w:t>.社会保障和就业（类）</w:t>
      </w:r>
      <w:r>
        <w:rPr>
          <w:rFonts w:hint="eastAsia" w:ascii="仿宋_GB2312" w:hAnsi="Times New Roman" w:eastAsia="仿宋_GB2312"/>
          <w:color w:val="auto"/>
          <w:sz w:val="32"/>
          <w:szCs w:val="32"/>
          <w:lang w:eastAsia="zh-CN"/>
        </w:rPr>
        <w:t>行政事业单位离退休</w:t>
      </w:r>
      <w:r>
        <w:rPr>
          <w:rFonts w:hint="eastAsia" w:ascii="仿宋_GB2312" w:hAnsi="Times New Roman" w:eastAsia="仿宋_GB2312"/>
          <w:color w:val="auto"/>
          <w:sz w:val="32"/>
          <w:szCs w:val="32"/>
        </w:rPr>
        <w:t>（款）</w:t>
      </w:r>
      <w:r>
        <w:rPr>
          <w:rFonts w:hint="eastAsia" w:ascii="仿宋_GB2312" w:hAnsi="Times New Roman" w:eastAsia="仿宋_GB2312"/>
          <w:color w:val="auto"/>
          <w:sz w:val="32"/>
          <w:szCs w:val="32"/>
          <w:lang w:eastAsia="zh-CN"/>
        </w:rPr>
        <w:t>机关事业外单位职业年金缴费支出</w:t>
      </w:r>
      <w:r>
        <w:rPr>
          <w:rFonts w:hint="eastAsia" w:ascii="仿宋_GB2312" w:hAnsi="Times New Roman" w:eastAsia="仿宋_GB2312"/>
          <w:color w:val="auto"/>
          <w:sz w:val="32"/>
          <w:szCs w:val="32"/>
        </w:rPr>
        <w:t>（项）：指</w:t>
      </w:r>
      <w:r>
        <w:rPr>
          <w:rFonts w:hint="eastAsia" w:ascii="仿宋_GB2312" w:hAnsi="Times New Roman" w:eastAsia="仿宋_GB2312"/>
          <w:color w:val="auto"/>
          <w:sz w:val="32"/>
          <w:szCs w:val="32"/>
          <w:lang w:eastAsia="zh-CN"/>
        </w:rPr>
        <w:t>职业年金的缴费支出</w:t>
      </w:r>
      <w:r>
        <w:rPr>
          <w:rFonts w:hint="eastAsia" w:ascii="仿宋_GB2312" w:hAnsi="Times New Roman" w:eastAsia="仿宋_GB2312"/>
          <w:color w:val="auto"/>
          <w:sz w:val="32"/>
          <w:szCs w:val="32"/>
        </w:rPr>
        <w:t>。</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1</w:t>
      </w:r>
      <w:r>
        <w:rPr>
          <w:rFonts w:hint="eastAsia" w:ascii="仿宋_GB2312" w:hAnsi="Times New Roman" w:eastAsia="仿宋_GB2312"/>
          <w:color w:val="auto"/>
          <w:sz w:val="32"/>
          <w:szCs w:val="32"/>
          <w:lang w:val="en-US" w:eastAsia="zh-CN"/>
        </w:rPr>
        <w:t>4</w:t>
      </w:r>
      <w:r>
        <w:rPr>
          <w:rFonts w:hint="eastAsia" w:ascii="仿宋_GB2312" w:hAnsi="Times New Roman" w:eastAsia="仿宋_GB2312"/>
          <w:color w:val="auto"/>
          <w:sz w:val="32"/>
          <w:szCs w:val="32"/>
        </w:rPr>
        <w:t>.医疗卫生与计划生育（类）</w:t>
      </w:r>
      <w:r>
        <w:rPr>
          <w:rFonts w:hint="eastAsia" w:ascii="仿宋_GB2312" w:hAnsi="Times New Roman" w:eastAsia="仿宋_GB2312"/>
          <w:color w:val="auto"/>
          <w:sz w:val="32"/>
          <w:szCs w:val="32"/>
          <w:lang w:eastAsia="zh-CN"/>
        </w:rPr>
        <w:t>行政事业单位医疗</w:t>
      </w:r>
      <w:r>
        <w:rPr>
          <w:rFonts w:hint="eastAsia" w:ascii="仿宋_GB2312" w:hAnsi="Times New Roman" w:eastAsia="仿宋_GB2312"/>
          <w:color w:val="auto"/>
          <w:sz w:val="32"/>
          <w:szCs w:val="32"/>
        </w:rPr>
        <w:t>（款）</w:t>
      </w:r>
      <w:r>
        <w:rPr>
          <w:rFonts w:hint="eastAsia" w:ascii="仿宋_GB2312" w:hAnsi="Times New Roman" w:eastAsia="仿宋_GB2312"/>
          <w:color w:val="auto"/>
          <w:sz w:val="32"/>
          <w:szCs w:val="32"/>
          <w:lang w:eastAsia="zh-CN"/>
        </w:rPr>
        <w:t>行政单位医疗</w:t>
      </w:r>
      <w:r>
        <w:rPr>
          <w:rFonts w:hint="eastAsia" w:ascii="仿宋_GB2312" w:hAnsi="Times New Roman" w:eastAsia="仿宋_GB2312"/>
          <w:color w:val="auto"/>
          <w:sz w:val="32"/>
          <w:szCs w:val="32"/>
        </w:rPr>
        <w:t>（项）：指</w:t>
      </w:r>
      <w:r>
        <w:rPr>
          <w:rFonts w:hint="eastAsia" w:ascii="仿宋_GB2312" w:hAnsi="Times New Roman" w:eastAsia="仿宋_GB2312"/>
          <w:color w:val="auto"/>
          <w:sz w:val="32"/>
          <w:szCs w:val="32"/>
          <w:lang w:eastAsia="zh-CN"/>
        </w:rPr>
        <w:t>单位缴费基本医疗保险支出</w:t>
      </w:r>
      <w:r>
        <w:rPr>
          <w:rFonts w:hint="eastAsia" w:ascii="仿宋_GB2312" w:hAnsi="Times New Roman" w:eastAsia="仿宋_GB2312"/>
          <w:color w:val="auto"/>
          <w:sz w:val="32"/>
          <w:szCs w:val="32"/>
        </w:rPr>
        <w:t>。</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1</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.医疗卫生与计划生育（类）</w:t>
      </w:r>
      <w:r>
        <w:rPr>
          <w:rFonts w:hint="eastAsia" w:ascii="仿宋_GB2312" w:hAnsi="Times New Roman" w:eastAsia="仿宋_GB2312"/>
          <w:color w:val="auto"/>
          <w:sz w:val="32"/>
          <w:szCs w:val="32"/>
          <w:lang w:eastAsia="zh-CN"/>
        </w:rPr>
        <w:t>行政事业单位医疗</w:t>
      </w:r>
      <w:r>
        <w:rPr>
          <w:rFonts w:hint="eastAsia" w:ascii="仿宋_GB2312" w:hAnsi="Times New Roman" w:eastAsia="仿宋_GB2312"/>
          <w:color w:val="auto"/>
          <w:sz w:val="32"/>
          <w:szCs w:val="32"/>
        </w:rPr>
        <w:t>（款）</w:t>
      </w:r>
      <w:r>
        <w:rPr>
          <w:rFonts w:hint="eastAsia" w:ascii="仿宋_GB2312" w:hAnsi="Times New Roman" w:eastAsia="仿宋_GB2312"/>
          <w:color w:val="auto"/>
          <w:sz w:val="32"/>
          <w:szCs w:val="32"/>
          <w:lang w:eastAsia="zh-CN"/>
        </w:rPr>
        <w:t>公务员医疗</w:t>
      </w:r>
      <w:r>
        <w:rPr>
          <w:rFonts w:hint="eastAsia" w:ascii="仿宋_GB2312" w:hAnsi="Times New Roman" w:eastAsia="仿宋_GB2312"/>
          <w:color w:val="auto"/>
          <w:sz w:val="32"/>
          <w:szCs w:val="32"/>
        </w:rPr>
        <w:t>（项）：指</w:t>
      </w:r>
      <w:r>
        <w:rPr>
          <w:rFonts w:hint="eastAsia" w:ascii="仿宋_GB2312" w:hAnsi="Times New Roman" w:eastAsia="仿宋_GB2312"/>
          <w:color w:val="auto"/>
          <w:sz w:val="32"/>
          <w:szCs w:val="32"/>
          <w:lang w:eastAsia="zh-CN"/>
        </w:rPr>
        <w:t>单位缴费公务员补充医疗保险支出</w:t>
      </w:r>
      <w:r>
        <w:rPr>
          <w:rFonts w:hint="eastAsia" w:ascii="仿宋_GB2312" w:hAnsi="Times New Roman" w:eastAsia="仿宋_GB2312"/>
          <w:color w:val="auto"/>
          <w:sz w:val="32"/>
          <w:szCs w:val="32"/>
        </w:rPr>
        <w:t>。</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1</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.住房保障（类）</w:t>
      </w:r>
      <w:r>
        <w:rPr>
          <w:rFonts w:hint="eastAsia" w:ascii="仿宋_GB2312" w:hAnsi="Times New Roman" w:eastAsia="仿宋_GB2312"/>
          <w:color w:val="auto"/>
          <w:sz w:val="32"/>
          <w:szCs w:val="32"/>
          <w:lang w:eastAsia="zh-CN"/>
        </w:rPr>
        <w:t>住房改革支出</w:t>
      </w:r>
      <w:r>
        <w:rPr>
          <w:rFonts w:hint="eastAsia" w:ascii="仿宋_GB2312" w:hAnsi="Times New Roman" w:eastAsia="仿宋_GB2312"/>
          <w:color w:val="auto"/>
          <w:sz w:val="32"/>
          <w:szCs w:val="32"/>
        </w:rPr>
        <w:t>（款）</w:t>
      </w:r>
      <w:r>
        <w:rPr>
          <w:rFonts w:hint="eastAsia" w:ascii="仿宋_GB2312" w:hAnsi="Times New Roman" w:eastAsia="仿宋_GB2312"/>
          <w:color w:val="auto"/>
          <w:sz w:val="32"/>
          <w:szCs w:val="32"/>
          <w:lang w:eastAsia="zh-CN"/>
        </w:rPr>
        <w:t>公积金</w:t>
      </w:r>
      <w:r>
        <w:rPr>
          <w:rFonts w:hint="eastAsia" w:ascii="仿宋_GB2312" w:hAnsi="Times New Roman" w:eastAsia="仿宋_GB2312"/>
          <w:color w:val="auto"/>
          <w:sz w:val="32"/>
          <w:szCs w:val="32"/>
        </w:rPr>
        <w:t>（项）：指</w:t>
      </w:r>
      <w:r>
        <w:rPr>
          <w:rFonts w:hint="eastAsia" w:ascii="仿宋_GB2312" w:hAnsi="Times New Roman" w:eastAsia="仿宋_GB2312"/>
          <w:color w:val="auto"/>
          <w:sz w:val="32"/>
          <w:szCs w:val="32"/>
          <w:lang w:eastAsia="zh-CN"/>
        </w:rPr>
        <w:t>单位缴纳公积金支出</w:t>
      </w:r>
      <w:r>
        <w:rPr>
          <w:rFonts w:hint="eastAsia" w:ascii="仿宋_GB2312" w:hAnsi="Times New Roman" w:eastAsia="仿宋_GB2312"/>
          <w:color w:val="auto"/>
          <w:sz w:val="32"/>
          <w:szCs w:val="32"/>
        </w:rPr>
        <w:t>。</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17</w:t>
      </w:r>
      <w:r>
        <w:rPr>
          <w:rFonts w:hint="eastAsia" w:ascii="仿宋_GB2312" w:hAnsi="Times New Roman" w:eastAsia="仿宋_GB2312"/>
          <w:color w:val="auto"/>
          <w:sz w:val="32"/>
          <w:szCs w:val="32"/>
        </w:rPr>
        <w:t>.基本支出：指为保障机构正常运转、完成日常工作任务而发生的人员支出和公用支出。</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18</w:t>
      </w:r>
      <w:r>
        <w:rPr>
          <w:rFonts w:hint="eastAsia" w:ascii="仿宋_GB2312" w:hAnsi="Times New Roman" w:eastAsia="仿宋_GB2312"/>
          <w:color w:val="auto"/>
          <w:sz w:val="32"/>
          <w:szCs w:val="32"/>
        </w:rPr>
        <w:t xml:space="preserve">.项目支出：指在基本支出之外为完成特定行政任务和事业发展目标所发生的支出。 </w:t>
      </w:r>
    </w:p>
    <w:p>
      <w:pPr>
        <w:pStyle w:val="16"/>
        <w:spacing w:line="56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19</w:t>
      </w:r>
      <w:r>
        <w:rPr>
          <w:rFonts w:hint="eastAsia" w:ascii="仿宋_GB2312" w:hAnsi="Times New Roman"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spacing w:line="560" w:lineRule="exact"/>
        <w:ind w:firstLine="640" w:firstLineChars="200"/>
        <w:rPr>
          <w:rFonts w:hint="eastAsia" w:ascii="宋体" w:hAnsi="宋体" w:eastAsia="宋体" w:cs="宋体"/>
          <w:kern w:val="0"/>
          <w:sz w:val="24"/>
          <w:szCs w:val="24"/>
          <w:shd w:val="clear" w:fill="FFFFFF"/>
          <w:lang w:val="en-US" w:eastAsia="zh-CN" w:bidi="ar"/>
        </w:rPr>
      </w:pPr>
      <w:r>
        <w:rPr>
          <w:rFonts w:hint="eastAsia" w:ascii="仿宋_GB2312" w:hAnsi="Times New Roman" w:eastAsia="仿宋_GB2312"/>
          <w:color w:val="auto"/>
          <w:sz w:val="32"/>
          <w:szCs w:val="32"/>
          <w:lang w:val="en-US" w:eastAsia="zh-CN"/>
        </w:rPr>
        <w:t>20</w:t>
      </w:r>
      <w:r>
        <w:rPr>
          <w:rFonts w:hint="eastAsia" w:ascii="仿宋_GB2312" w:hAnsi="Times New Roman"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 xml:space="preserve"> </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783" w:firstLineChars="200"/>
        <w:jc w:val="center"/>
        <w:textAlignment w:val="auto"/>
        <w:rPr>
          <w:rStyle w:val="12"/>
          <w:sz w:val="39"/>
          <w:szCs w:val="39"/>
          <w:shd w:val="clear" w:fill="FFFFFF"/>
        </w:rPr>
      </w:pP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783" w:firstLineChars="200"/>
        <w:jc w:val="center"/>
        <w:textAlignment w:val="auto"/>
        <w:rPr>
          <w:rStyle w:val="12"/>
          <w:sz w:val="39"/>
          <w:szCs w:val="39"/>
          <w:shd w:val="clear" w:fill="FFFFFF"/>
        </w:rPr>
      </w:pP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783" w:firstLineChars="200"/>
        <w:jc w:val="center"/>
        <w:textAlignment w:val="auto"/>
        <w:rPr>
          <w:rStyle w:val="12"/>
          <w:sz w:val="39"/>
          <w:szCs w:val="39"/>
          <w:shd w:val="clear" w:fill="FFFFFF"/>
        </w:rPr>
      </w:pP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783" w:firstLineChars="200"/>
        <w:jc w:val="center"/>
        <w:textAlignment w:val="auto"/>
        <w:rPr>
          <w:rStyle w:val="12"/>
          <w:sz w:val="39"/>
          <w:szCs w:val="39"/>
          <w:shd w:val="clear" w:fill="FFFFFF"/>
        </w:rPr>
      </w:pP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783" w:firstLineChars="200"/>
        <w:jc w:val="center"/>
        <w:textAlignment w:val="auto"/>
        <w:rPr>
          <w:rStyle w:val="12"/>
          <w:sz w:val="39"/>
          <w:szCs w:val="39"/>
          <w:shd w:val="clear" w:fill="FFFFFF"/>
        </w:rPr>
      </w:pPr>
    </w:p>
    <w:p>
      <w:pPr>
        <w:rPr>
          <w:rStyle w:val="12"/>
          <w:sz w:val="39"/>
          <w:szCs w:val="39"/>
          <w:shd w:val="clear" w:fill="FFFFFF"/>
        </w:rPr>
      </w:pPr>
      <w:r>
        <w:rPr>
          <w:rStyle w:val="12"/>
          <w:sz w:val="39"/>
          <w:szCs w:val="39"/>
          <w:shd w:val="clear" w:fill="FFFFFF"/>
        </w:rPr>
        <w:br w:type="page"/>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783" w:firstLineChars="200"/>
        <w:jc w:val="center"/>
        <w:textAlignment w:val="auto"/>
        <w:outlineLvl w:val="0"/>
      </w:pPr>
      <w:bookmarkStart w:id="36" w:name="_Toc13212"/>
      <w:r>
        <w:rPr>
          <w:rStyle w:val="12"/>
          <w:sz w:val="39"/>
          <w:szCs w:val="39"/>
          <w:shd w:val="clear" w:fill="FFFFFF"/>
        </w:rPr>
        <w:t>第四部分 附件</w:t>
      </w:r>
      <w:bookmarkEnd w:id="36"/>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jc w:val="left"/>
        <w:textAlignment w:val="auto"/>
        <w:outlineLvl w:val="0"/>
        <w:rPr>
          <w:rFonts w:hint="eastAsia" w:ascii="方正小标宋_GBK" w:eastAsia="方正小标宋_GBK" w:cs="方正小标宋_GBK"/>
          <w:b w:val="0"/>
          <w:bCs/>
          <w:sz w:val="44"/>
          <w:szCs w:val="44"/>
          <w:shd w:val="clear" w:color="auto" w:fill="FFFFFF"/>
          <w:lang w:eastAsia="zh-CN"/>
        </w:rPr>
      </w:pPr>
      <w:bookmarkStart w:id="37" w:name="_Toc6254"/>
      <w:r>
        <w:rPr>
          <w:rFonts w:hint="eastAsia" w:ascii="仿宋_GB2312" w:hAnsi="仿宋_GB2312" w:eastAsia="仿宋_GB2312" w:cs="仿宋_GB2312"/>
          <w:sz w:val="32"/>
          <w:szCs w:val="32"/>
          <w:shd w:val="clear" w:fill="FFFFFF"/>
        </w:rPr>
        <w:t>附件</w:t>
      </w:r>
      <w:bookmarkEnd w:id="37"/>
    </w:p>
    <w:p>
      <w:pPr>
        <w:keepNext w:val="0"/>
        <w:keepLines w:val="0"/>
        <w:pageBreakBefore w:val="0"/>
        <w:widowControl/>
        <w:kinsoku/>
        <w:wordWrap/>
        <w:overflowPunct/>
        <w:topLinePunct w:val="0"/>
        <w:autoSpaceDE/>
        <w:autoSpaceDN/>
        <w:bidi w:val="0"/>
        <w:spacing w:beforeAutospacing="0" w:afterAutospacing="0" w:line="560" w:lineRule="exact"/>
        <w:ind w:left="0" w:leftChars="0" w:right="0" w:firstLine="880" w:firstLineChars="200"/>
        <w:contextualSpacing/>
        <w:jc w:val="center"/>
        <w:textAlignment w:val="auto"/>
        <w:rPr>
          <w:rFonts w:hint="eastAsia" w:ascii="方正小标宋_GBK" w:eastAsia="方正小标宋_GBK" w:cs="方正小标宋_GBK"/>
          <w:b w:val="0"/>
          <w:bCs/>
          <w:sz w:val="44"/>
          <w:szCs w:val="44"/>
          <w:shd w:val="clear" w:color="auto" w:fill="FFFFFF"/>
          <w:lang w:val="en-US" w:eastAsia="zh-CN"/>
        </w:rPr>
      </w:pPr>
      <w:r>
        <w:rPr>
          <w:rFonts w:hint="eastAsia" w:ascii="方正小标宋_GBK" w:eastAsia="方正小标宋_GBK" w:cs="方正小标宋_GBK"/>
          <w:b w:val="0"/>
          <w:bCs/>
          <w:sz w:val="44"/>
          <w:szCs w:val="44"/>
          <w:shd w:val="clear" w:color="auto" w:fill="FFFFFF"/>
          <w:lang w:eastAsia="zh-CN"/>
        </w:rPr>
        <w:t>小金县</w:t>
      </w:r>
      <w:r>
        <w:rPr>
          <w:rFonts w:hint="eastAsia" w:ascii="方正小标宋_GBK" w:eastAsia="方正小标宋_GBK" w:cs="方正小标宋_GBK"/>
          <w:b w:val="0"/>
          <w:bCs/>
          <w:sz w:val="44"/>
          <w:szCs w:val="44"/>
          <w:shd w:val="clear" w:color="auto" w:fill="FFFFFF"/>
          <w:lang w:val="en-US" w:eastAsia="zh-CN"/>
        </w:rPr>
        <w:t>人民检察院</w:t>
      </w: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firstLine="880" w:firstLineChars="200"/>
        <w:contextualSpacing/>
        <w:jc w:val="center"/>
        <w:textAlignment w:val="auto"/>
        <w:rPr>
          <w:rFonts w:hint="eastAsia" w:ascii="方正小标宋_GBK" w:eastAsia="方正小标宋_GBK" w:cs="方正小标宋_GBK"/>
          <w:b w:val="0"/>
          <w:bCs/>
          <w:sz w:val="44"/>
          <w:szCs w:val="44"/>
          <w:shd w:val="clear" w:color="auto" w:fill="FFFFFF"/>
        </w:rPr>
      </w:pPr>
      <w:r>
        <w:rPr>
          <w:rFonts w:hint="eastAsia" w:ascii="方正小标宋_GBK" w:eastAsia="方正小标宋_GBK" w:cs="方正小标宋_GBK"/>
          <w:b w:val="0"/>
          <w:bCs/>
          <w:sz w:val="44"/>
          <w:szCs w:val="44"/>
          <w:shd w:val="clear" w:color="auto" w:fill="FFFFFF"/>
        </w:rPr>
        <w:t>2</w:t>
      </w:r>
      <w:r>
        <w:rPr>
          <w:rFonts w:hint="eastAsia" w:ascii="方正小标宋_GBK" w:eastAsia="方正小标宋_GBK" w:cs="方正小标宋_GBK"/>
          <w:b w:val="0"/>
          <w:bCs/>
          <w:sz w:val="44"/>
          <w:szCs w:val="44"/>
          <w:shd w:val="clear" w:color="auto" w:fill="FFFFFF"/>
          <w:lang w:val="en-US" w:eastAsia="zh-CN"/>
        </w:rPr>
        <w:t>022</w:t>
      </w:r>
      <w:r>
        <w:rPr>
          <w:rFonts w:hint="eastAsia" w:ascii="方正小标宋_GBK" w:eastAsia="方正小标宋_GBK" w:cs="方正小标宋_GBK"/>
          <w:b w:val="0"/>
          <w:bCs/>
          <w:sz w:val="44"/>
          <w:szCs w:val="44"/>
          <w:shd w:val="clear" w:color="auto" w:fill="FFFFFF"/>
        </w:rPr>
        <w:t>年</w:t>
      </w:r>
      <w:r>
        <w:rPr>
          <w:rFonts w:hint="eastAsia" w:ascii="方正小标宋_GBK" w:eastAsia="方正小标宋_GBK" w:cs="方正小标宋_GBK"/>
          <w:b w:val="0"/>
          <w:bCs/>
          <w:sz w:val="44"/>
          <w:szCs w:val="44"/>
          <w:shd w:val="clear" w:color="auto" w:fill="FFFFFF"/>
          <w:lang w:eastAsia="zh-CN"/>
        </w:rPr>
        <w:t>度州级</w:t>
      </w:r>
      <w:r>
        <w:rPr>
          <w:rFonts w:hint="eastAsia" w:ascii="方正小标宋_GBK" w:eastAsia="方正小标宋_GBK" w:cs="方正小标宋_GBK"/>
          <w:b w:val="0"/>
          <w:bCs/>
          <w:sz w:val="44"/>
          <w:szCs w:val="44"/>
          <w:shd w:val="clear" w:color="auto" w:fill="FFFFFF"/>
        </w:rPr>
        <w:t>部门整体支出绩效评价报告</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480" w:firstLineChars="200"/>
        <w:contextualSpacing/>
        <w:jc w:val="left"/>
        <w:textAlignment w:val="auto"/>
        <w:rPr>
          <w:rFonts w:ascii="黑体" w:eastAsia="黑体" w:cs="宋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0" w:firstLineChars="200"/>
        <w:jc w:val="left"/>
        <w:textAlignment w:val="auto"/>
        <w:outlineLvl w:val="0"/>
        <w:rPr>
          <w:rFonts w:hint="eastAsia" w:ascii="黑体" w:hAnsi="宋体" w:eastAsia="黑体" w:cs="宋体"/>
          <w:color w:val="000000"/>
          <w:kern w:val="0"/>
          <w:sz w:val="32"/>
          <w:lang w:val="zh-CN"/>
        </w:rPr>
      </w:pPr>
      <w:bookmarkStart w:id="38" w:name="_Toc26020"/>
      <w:r>
        <w:rPr>
          <w:rFonts w:hint="eastAsia" w:ascii="黑体" w:hAnsi="宋体" w:eastAsia="黑体" w:cs="宋体"/>
          <w:color w:val="000000"/>
          <w:kern w:val="0"/>
          <w:sz w:val="32"/>
        </w:rPr>
        <w:t>一、</w:t>
      </w:r>
      <w:r>
        <w:rPr>
          <w:rFonts w:hint="eastAsia" w:ascii="黑体" w:hAnsi="宋体" w:eastAsia="黑体" w:cs="宋体"/>
          <w:color w:val="000000"/>
          <w:kern w:val="0"/>
          <w:sz w:val="32"/>
          <w:lang w:val="zh-CN"/>
        </w:rPr>
        <w:t>单位概况</w:t>
      </w:r>
      <w:bookmarkEnd w:id="38"/>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3" w:firstLineChars="200"/>
        <w:jc w:val="left"/>
        <w:textAlignment w:val="auto"/>
        <w:outlineLvl w:val="1"/>
        <w:rPr>
          <w:rFonts w:hint="eastAsia" w:ascii="仿宋_GB2312" w:hAnsi="宋体" w:eastAsia="仿宋" w:cs="宋体"/>
          <w:b/>
          <w:bCs/>
          <w:color w:val="333333"/>
          <w:sz w:val="32"/>
          <w:szCs w:val="32"/>
        </w:rPr>
      </w:pPr>
      <w:bookmarkStart w:id="39" w:name="_Toc3699"/>
      <w:r>
        <w:rPr>
          <w:rFonts w:hint="eastAsia" w:ascii="仿宋_GB2312" w:hAnsi="宋体" w:eastAsia="仿宋" w:cs="宋体"/>
          <w:b/>
          <w:bCs/>
          <w:color w:val="333333"/>
          <w:sz w:val="32"/>
          <w:szCs w:val="32"/>
        </w:rPr>
        <w:t>（一）机构组成。</w:t>
      </w:r>
      <w:bookmarkEnd w:id="39"/>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rPr>
      </w:pPr>
      <w:r>
        <w:rPr>
          <w:rFonts w:hint="eastAsia" w:ascii="仿宋_GB2312" w:hAnsi="宋体" w:eastAsia="仿宋" w:cs="宋体"/>
          <w:color w:val="333333"/>
          <w:sz w:val="32"/>
          <w:szCs w:val="32"/>
        </w:rPr>
        <w:t>我院独立核算机构1个，是独立编报预算的单位。</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3" w:firstLineChars="200"/>
        <w:jc w:val="left"/>
        <w:textAlignment w:val="auto"/>
        <w:outlineLvl w:val="1"/>
        <w:rPr>
          <w:rFonts w:hint="eastAsia" w:ascii="仿宋_GB2312" w:hAnsi="宋体" w:eastAsia="仿宋" w:cs="宋体"/>
          <w:b/>
          <w:bCs/>
          <w:color w:val="333333"/>
          <w:sz w:val="32"/>
          <w:szCs w:val="32"/>
        </w:rPr>
      </w:pPr>
      <w:bookmarkStart w:id="40" w:name="_Toc6241"/>
      <w:r>
        <w:rPr>
          <w:rFonts w:hint="eastAsia" w:ascii="仿宋_GB2312" w:hAnsi="宋体" w:eastAsia="仿宋" w:cs="宋体"/>
          <w:b/>
          <w:bCs/>
          <w:color w:val="333333"/>
          <w:sz w:val="32"/>
          <w:szCs w:val="32"/>
        </w:rPr>
        <w:t>（二）机构职能。</w:t>
      </w:r>
      <w:bookmarkEnd w:id="40"/>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420" w:firstLineChars="200"/>
        <w:textAlignment w:val="auto"/>
        <w:rPr>
          <w:rFonts w:hint="eastAsia" w:ascii="仿宋_GB2312" w:hAnsi="宋体" w:eastAsia="仿宋" w:cs="宋体"/>
          <w:color w:val="333333"/>
          <w:sz w:val="32"/>
          <w:szCs w:val="32"/>
        </w:rPr>
      </w:pPr>
      <w:r>
        <w:rPr>
          <w:rFonts w:hint="eastAsia" w:ascii="仿宋_GB2312" w:hAnsi="宋体" w:eastAsia="仿宋" w:cs="宋体"/>
          <w:color w:val="333333"/>
          <w:szCs w:val="32"/>
        </w:rPr>
        <w:t xml:space="preserve">  </w:t>
      </w:r>
      <w:r>
        <w:rPr>
          <w:rFonts w:hint="eastAsia" w:ascii="仿宋_GB2312" w:hAnsi="宋体" w:eastAsia="仿宋" w:cs="宋体"/>
          <w:color w:val="333333"/>
          <w:sz w:val="32"/>
          <w:szCs w:val="32"/>
          <w:lang w:val="en-US" w:eastAsia="zh-CN"/>
        </w:rPr>
        <w:t xml:space="preserve"> 1</w:t>
      </w:r>
      <w:r>
        <w:rPr>
          <w:rFonts w:hint="eastAsia" w:ascii="仿宋_GB2312" w:hAnsi="宋体" w:eastAsia="仿宋" w:cs="宋体"/>
          <w:color w:val="333333"/>
          <w:sz w:val="32"/>
          <w:szCs w:val="32"/>
        </w:rPr>
        <w:t>、执行国家法律法规，贯彻落实上级人民检察院、同级党委工作部署，制定检察工作目标，完成各项检察工作任务。</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rPr>
      </w:pPr>
      <w:r>
        <w:rPr>
          <w:rFonts w:hint="eastAsia" w:ascii="仿宋_GB2312" w:hAnsi="宋体" w:eastAsia="仿宋" w:cs="宋体"/>
          <w:color w:val="333333"/>
          <w:sz w:val="32"/>
          <w:szCs w:val="32"/>
          <w:lang w:val="en-US" w:eastAsia="zh-CN"/>
        </w:rPr>
        <w:t xml:space="preserve"> 2</w:t>
      </w:r>
      <w:r>
        <w:rPr>
          <w:rFonts w:hint="eastAsia" w:ascii="仿宋_GB2312" w:hAnsi="宋体" w:eastAsia="仿宋" w:cs="宋体"/>
          <w:color w:val="333333"/>
          <w:sz w:val="32"/>
          <w:szCs w:val="32"/>
        </w:rPr>
        <w:t>、依法办理审查批准逮捕、决定逮捕案件，实施立案侦查监督、侦查活动监督。</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rPr>
      </w:pPr>
      <w:r>
        <w:rPr>
          <w:rFonts w:hint="eastAsia" w:ascii="仿宋_GB2312" w:hAnsi="宋体" w:eastAsia="仿宋" w:cs="宋体"/>
          <w:color w:val="333333"/>
          <w:sz w:val="32"/>
          <w:szCs w:val="32"/>
          <w:lang w:val="en-US" w:eastAsia="zh-CN"/>
        </w:rPr>
        <w:t>3</w:t>
      </w:r>
      <w:r>
        <w:rPr>
          <w:rFonts w:hint="eastAsia" w:ascii="仿宋_GB2312" w:hAnsi="宋体" w:eastAsia="仿宋" w:cs="宋体"/>
          <w:color w:val="333333"/>
          <w:sz w:val="32"/>
          <w:szCs w:val="32"/>
        </w:rPr>
        <w:t>、依法办理审查起诉、提起公诉、抗诉案件，对人民法院刑事审判活动实行监督工作。</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rPr>
      </w:pPr>
      <w:r>
        <w:rPr>
          <w:rFonts w:hint="eastAsia" w:ascii="仿宋_GB2312" w:hAnsi="宋体" w:eastAsia="仿宋" w:cs="宋体"/>
          <w:color w:val="333333"/>
          <w:sz w:val="32"/>
          <w:szCs w:val="32"/>
          <w:lang w:val="en-US" w:eastAsia="zh-CN"/>
        </w:rPr>
        <w:t>4</w:t>
      </w:r>
      <w:r>
        <w:rPr>
          <w:rFonts w:hint="eastAsia" w:ascii="仿宋_GB2312" w:hAnsi="宋体" w:eastAsia="仿宋" w:cs="宋体"/>
          <w:color w:val="333333"/>
          <w:sz w:val="32"/>
          <w:szCs w:val="32"/>
        </w:rPr>
        <w:t>、对刑罚执行和监管活动实行监督，维护刑罚执行和监管活动的公平公正，维护监管秩序稳定。</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rPr>
      </w:pPr>
      <w:r>
        <w:rPr>
          <w:rFonts w:hint="eastAsia" w:ascii="仿宋_GB2312" w:hAnsi="宋体" w:eastAsia="仿宋" w:cs="宋体"/>
          <w:color w:val="333333"/>
          <w:sz w:val="32"/>
          <w:szCs w:val="32"/>
          <w:lang w:val="en-US" w:eastAsia="zh-CN"/>
        </w:rPr>
        <w:t>5</w:t>
      </w:r>
      <w:r>
        <w:rPr>
          <w:rFonts w:hint="eastAsia" w:ascii="仿宋_GB2312" w:hAnsi="宋体" w:eastAsia="仿宋" w:cs="宋体"/>
          <w:color w:val="333333"/>
          <w:sz w:val="32"/>
          <w:szCs w:val="32"/>
        </w:rPr>
        <w:t>、受理公民的报案、举报、控告和刑事申诉，依法处理举报线索，办理刑事申诉、国家赔偿、司法救助案件。</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rPr>
      </w:pPr>
      <w:r>
        <w:rPr>
          <w:rFonts w:hint="eastAsia" w:ascii="仿宋_GB2312" w:hAnsi="宋体" w:eastAsia="仿宋" w:cs="宋体"/>
          <w:color w:val="333333"/>
          <w:sz w:val="32"/>
          <w:szCs w:val="32"/>
          <w:lang w:val="en-US" w:eastAsia="zh-CN"/>
        </w:rPr>
        <w:t>6</w:t>
      </w:r>
      <w:r>
        <w:rPr>
          <w:rFonts w:hint="eastAsia" w:ascii="仿宋_GB2312" w:hAnsi="宋体" w:eastAsia="仿宋" w:cs="宋体"/>
          <w:color w:val="333333"/>
          <w:sz w:val="32"/>
          <w:szCs w:val="32"/>
        </w:rPr>
        <w:t>、对人民法院民事诉讼和行政诉讼实行法律监督。</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rPr>
      </w:pPr>
      <w:r>
        <w:rPr>
          <w:rFonts w:hint="eastAsia" w:ascii="仿宋_GB2312" w:hAnsi="宋体" w:eastAsia="仿宋" w:cs="宋体"/>
          <w:color w:val="333333"/>
          <w:sz w:val="32"/>
          <w:szCs w:val="32"/>
          <w:lang w:val="en-US" w:eastAsia="zh-CN"/>
        </w:rPr>
        <w:t>7</w:t>
      </w:r>
      <w:r>
        <w:rPr>
          <w:rFonts w:hint="eastAsia" w:ascii="仿宋_GB2312" w:hAnsi="宋体" w:eastAsia="仿宋" w:cs="宋体"/>
          <w:color w:val="333333"/>
          <w:sz w:val="32"/>
          <w:szCs w:val="32"/>
        </w:rPr>
        <w:t>、开展涉及生态环境保护的检察工作。</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rPr>
      </w:pPr>
      <w:r>
        <w:rPr>
          <w:rFonts w:hint="eastAsia" w:ascii="仿宋_GB2312" w:hAnsi="宋体" w:eastAsia="仿宋" w:cs="宋体"/>
          <w:color w:val="333333"/>
          <w:sz w:val="32"/>
          <w:szCs w:val="32"/>
          <w:lang w:val="en-US" w:eastAsia="zh-CN"/>
        </w:rPr>
        <w:t>8</w:t>
      </w:r>
      <w:r>
        <w:rPr>
          <w:rFonts w:hint="eastAsia" w:ascii="仿宋_GB2312" w:hAnsi="宋体" w:eastAsia="仿宋" w:cs="宋体"/>
          <w:color w:val="333333"/>
          <w:sz w:val="32"/>
          <w:szCs w:val="32"/>
        </w:rPr>
        <w:t>、开展未成年人检察工作。</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9、负责检察队伍建设和思想政治工作，对检察人员进行教育培训，负责检察机关党的思想、组织、作风建设。</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10、按照干部管理权限，协同地方党委、上级人民检察院管理本院检察人员，提请本级人民代表大会常务委员会决定任免副检察长、检察委员会委员、检察员。</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11、规划落实检察机关财务装备工作，开展检察机关信息化建设、检察技术工作。</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12、负责其他应当由县级人民检察院承办的事项。</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3" w:firstLineChars="200"/>
        <w:jc w:val="left"/>
        <w:textAlignment w:val="auto"/>
        <w:outlineLvl w:val="1"/>
        <w:rPr>
          <w:rFonts w:hint="eastAsia" w:ascii="仿宋_GB2312" w:hAnsi="宋体" w:eastAsia="仿宋" w:cs="宋体"/>
          <w:b/>
          <w:bCs/>
          <w:color w:val="333333"/>
          <w:sz w:val="32"/>
          <w:szCs w:val="32"/>
        </w:rPr>
      </w:pPr>
      <w:bookmarkStart w:id="41" w:name="_Toc3190"/>
      <w:r>
        <w:rPr>
          <w:rFonts w:hint="eastAsia" w:ascii="仿宋_GB2312" w:hAnsi="宋体" w:eastAsia="仿宋" w:cs="宋体"/>
          <w:b/>
          <w:bCs/>
          <w:color w:val="333333"/>
          <w:sz w:val="32"/>
          <w:szCs w:val="32"/>
        </w:rPr>
        <w:t>（三）人员概况。</w:t>
      </w:r>
      <w:bookmarkEnd w:id="41"/>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default"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截止目前我单位共有编制26个，其中政法专项编制23名，实有政法编制干警23人，行政工勤编制3个，实有工勤3人。聘用制书记员编制9人，实有聘用制书记员9人。</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0" w:firstLineChars="200"/>
        <w:jc w:val="left"/>
        <w:textAlignment w:val="auto"/>
        <w:outlineLvl w:val="0"/>
        <w:rPr>
          <w:rFonts w:hint="eastAsia" w:ascii="黑体" w:hAnsi="宋体" w:eastAsia="黑体" w:cs="宋体"/>
          <w:color w:val="000000"/>
          <w:kern w:val="0"/>
          <w:sz w:val="32"/>
        </w:rPr>
      </w:pPr>
      <w:bookmarkStart w:id="42" w:name="_Toc24009"/>
      <w:r>
        <w:rPr>
          <w:rFonts w:hint="eastAsia" w:ascii="黑体" w:hAnsi="宋体" w:eastAsia="黑体" w:cs="宋体"/>
          <w:color w:val="000000"/>
          <w:kern w:val="0"/>
          <w:sz w:val="32"/>
        </w:rPr>
        <w:t>二、部门财政资金收支情况</w:t>
      </w:r>
      <w:bookmarkEnd w:id="42"/>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3" w:firstLineChars="200"/>
        <w:jc w:val="left"/>
        <w:textAlignment w:val="auto"/>
        <w:outlineLvl w:val="1"/>
        <w:rPr>
          <w:rFonts w:hint="eastAsia" w:ascii="仿宋_GB2312" w:hAnsi="宋体" w:eastAsia="仿宋" w:cs="宋体"/>
          <w:b/>
          <w:bCs/>
          <w:color w:val="333333"/>
          <w:sz w:val="32"/>
          <w:szCs w:val="32"/>
          <w:lang w:val="zh-CN"/>
        </w:rPr>
      </w:pPr>
      <w:bookmarkStart w:id="43" w:name="_Toc30599"/>
      <w:r>
        <w:rPr>
          <w:rFonts w:hint="eastAsia" w:ascii="仿宋_GB2312" w:hAnsi="宋体" w:eastAsia="仿宋" w:cs="宋体"/>
          <w:b/>
          <w:bCs/>
          <w:color w:val="333333"/>
          <w:sz w:val="32"/>
          <w:szCs w:val="32"/>
          <w:lang w:val="zh-CN"/>
        </w:rPr>
        <w:t>（一）部门财政资金收入情况。</w:t>
      </w:r>
      <w:bookmarkEnd w:id="43"/>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zh-CN" w:eastAsia="zh-CN"/>
        </w:rPr>
      </w:pPr>
      <w:r>
        <w:rPr>
          <w:rFonts w:hint="eastAsia" w:ascii="仿宋_GB2312" w:hAnsi="宋体" w:eastAsia="仿宋" w:cs="宋体"/>
          <w:color w:val="333333"/>
          <w:sz w:val="32"/>
          <w:szCs w:val="32"/>
          <w:lang w:val="en-US" w:eastAsia="zh-CN"/>
        </w:rPr>
        <w:t>本单位本年度收入决算数为968.85万元</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3" w:firstLineChars="200"/>
        <w:jc w:val="left"/>
        <w:textAlignment w:val="auto"/>
        <w:outlineLvl w:val="1"/>
        <w:rPr>
          <w:rFonts w:hint="eastAsia" w:ascii="仿宋_GB2312" w:hAnsi="宋体" w:eastAsia="仿宋" w:cs="宋体"/>
          <w:b/>
          <w:bCs/>
          <w:color w:val="333333"/>
          <w:sz w:val="32"/>
          <w:szCs w:val="32"/>
          <w:lang w:val="zh-CN"/>
        </w:rPr>
      </w:pPr>
      <w:bookmarkStart w:id="44" w:name="_Toc32216"/>
      <w:r>
        <w:rPr>
          <w:rFonts w:hint="eastAsia" w:ascii="仿宋_GB2312" w:hAnsi="宋体" w:eastAsia="仿宋" w:cs="宋体"/>
          <w:b/>
          <w:bCs/>
          <w:color w:val="333333"/>
          <w:sz w:val="32"/>
          <w:szCs w:val="32"/>
          <w:lang w:val="zh-CN"/>
        </w:rPr>
        <w:t>（二）部门财政资金支出情况。</w:t>
      </w:r>
      <w:bookmarkEnd w:id="44"/>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本单位本年度财政拨款收入为668.96万元，财政拨款支出为968.85万元，其中：基本支出811.75万元。项目支出主要为一般行政管理支出157.10万元。</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0" w:firstLineChars="200"/>
        <w:jc w:val="left"/>
        <w:textAlignment w:val="auto"/>
        <w:outlineLvl w:val="0"/>
        <w:rPr>
          <w:rFonts w:hint="eastAsia" w:ascii="黑体" w:hAnsi="宋体" w:eastAsia="黑体" w:cs="宋体"/>
          <w:color w:val="000000"/>
          <w:kern w:val="0"/>
          <w:sz w:val="32"/>
        </w:rPr>
      </w:pPr>
      <w:bookmarkStart w:id="45" w:name="_Toc14903"/>
      <w:r>
        <w:rPr>
          <w:rFonts w:hint="eastAsia" w:ascii="黑体" w:hAnsi="宋体" w:eastAsia="黑体" w:cs="宋体"/>
          <w:color w:val="000000"/>
          <w:kern w:val="0"/>
          <w:sz w:val="32"/>
        </w:rPr>
        <w:t>三、部门整体预算绩效管理情况</w:t>
      </w:r>
      <w:bookmarkEnd w:id="45"/>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3" w:firstLineChars="200"/>
        <w:jc w:val="left"/>
        <w:textAlignment w:val="auto"/>
        <w:outlineLvl w:val="1"/>
        <w:rPr>
          <w:rFonts w:hint="eastAsia" w:ascii="仿宋_GB2312" w:hAnsi="宋体" w:eastAsia="仿宋" w:cs="宋体"/>
          <w:b/>
          <w:bCs/>
          <w:color w:val="333333"/>
          <w:sz w:val="32"/>
          <w:szCs w:val="32"/>
          <w:lang w:val="zh-CN"/>
        </w:rPr>
      </w:pPr>
      <w:bookmarkStart w:id="46" w:name="_Toc31058"/>
      <w:r>
        <w:rPr>
          <w:rFonts w:hint="eastAsia" w:ascii="仿宋_GB2312" w:hAnsi="宋体" w:eastAsia="仿宋" w:cs="宋体"/>
          <w:b/>
          <w:bCs/>
          <w:color w:val="333333"/>
          <w:sz w:val="32"/>
          <w:szCs w:val="32"/>
          <w:lang w:val="zh-CN"/>
        </w:rPr>
        <w:t>（一）部门预算管理</w:t>
      </w:r>
      <w:bookmarkEnd w:id="46"/>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 xml:space="preserve">部门总目标：细化预算编制工作，认真做好预算编制；加强财务管理，严格财务审核；抓好“三公经费”控制管理,确保各项业务工作任务圆满完成。 </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 xml:space="preserve">资产管理：我院进一步加强资产的管理，完善资产系统录入，明确了具体责任人，完善了固定资产档案，我院无任何资产流失现象。 </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default"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三公经费控制情况：我院贯彻落实上级有关精神，严格控制“三公经费”支出，取得了良好效果。</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内部管理制度建设：健全我院财务管理制度，加强对资金、物资的合理使用和管理；制定内部监督检查制度，强化内部制度执行的监督管理。</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 xml:space="preserve">项目绩效总目标完成情况：2022年，我院各项业务工作任务圆满完成。 </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3" w:firstLineChars="200"/>
        <w:jc w:val="left"/>
        <w:textAlignment w:val="auto"/>
        <w:outlineLvl w:val="1"/>
        <w:rPr>
          <w:rFonts w:hint="eastAsia" w:ascii="仿宋_GB2312" w:hAnsi="宋体" w:eastAsia="仿宋" w:cs="宋体"/>
          <w:b/>
          <w:bCs/>
          <w:color w:val="333333"/>
          <w:sz w:val="32"/>
          <w:szCs w:val="32"/>
          <w:lang w:val="zh-CN"/>
        </w:rPr>
      </w:pPr>
      <w:bookmarkStart w:id="47" w:name="_Toc30924"/>
      <w:r>
        <w:rPr>
          <w:rFonts w:hint="eastAsia" w:ascii="仿宋_GB2312" w:hAnsi="宋体" w:eastAsia="仿宋" w:cs="宋体"/>
          <w:b/>
          <w:bCs/>
          <w:color w:val="333333"/>
          <w:sz w:val="32"/>
          <w:szCs w:val="32"/>
          <w:lang w:val="zh-CN"/>
        </w:rPr>
        <w:t>（二）结果应用情况</w:t>
      </w:r>
      <w:bookmarkEnd w:id="47"/>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从整体情况来看，我院严格按照年初预算进行部门整体支出。在支出过程中，能严格遵守各项规章制度。严格落实《预算法》及省、市、县绩效管理工作的有关规定，进一步规范财政资金的管理，强化财政支出绩效理念，提升部门责任意识，提高资金使用效益，促进检察工作的发展。</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0" w:firstLineChars="200"/>
        <w:jc w:val="left"/>
        <w:textAlignment w:val="auto"/>
        <w:outlineLvl w:val="0"/>
        <w:rPr>
          <w:rFonts w:hint="eastAsia" w:ascii="黑体" w:hAnsi="宋体" w:eastAsia="黑体" w:cs="宋体"/>
          <w:color w:val="000000"/>
          <w:kern w:val="0"/>
          <w:sz w:val="32"/>
        </w:rPr>
      </w:pPr>
      <w:bookmarkStart w:id="48" w:name="_Toc14258"/>
      <w:r>
        <w:rPr>
          <w:rFonts w:hint="eastAsia" w:ascii="黑体" w:hAnsi="宋体" w:eastAsia="黑体" w:cs="宋体"/>
          <w:color w:val="000000"/>
          <w:kern w:val="0"/>
          <w:sz w:val="32"/>
        </w:rPr>
        <w:t>四、评价结论及建议</w:t>
      </w:r>
      <w:bookmarkEnd w:id="48"/>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3" w:firstLineChars="200"/>
        <w:jc w:val="left"/>
        <w:textAlignment w:val="auto"/>
        <w:outlineLvl w:val="1"/>
        <w:rPr>
          <w:rFonts w:hint="eastAsia" w:ascii="仿宋_GB2312" w:hAnsi="宋体" w:eastAsia="仿宋" w:cs="宋体"/>
          <w:b/>
          <w:bCs/>
          <w:color w:val="333333"/>
          <w:sz w:val="32"/>
          <w:szCs w:val="32"/>
          <w:lang w:val="zh-CN"/>
        </w:rPr>
      </w:pPr>
      <w:bookmarkStart w:id="49" w:name="_Toc10225"/>
      <w:r>
        <w:rPr>
          <w:rFonts w:hint="eastAsia" w:ascii="仿宋_GB2312" w:hAnsi="宋体" w:eastAsia="仿宋" w:cs="宋体"/>
          <w:b/>
          <w:bCs/>
          <w:color w:val="333333"/>
          <w:sz w:val="32"/>
          <w:szCs w:val="32"/>
          <w:lang w:val="zh-CN"/>
        </w:rPr>
        <w:t>（一）评价结论。</w:t>
      </w:r>
      <w:bookmarkEnd w:id="49"/>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zh-CN" w:eastAsia="zh-CN"/>
        </w:rPr>
      </w:pPr>
      <w:r>
        <w:rPr>
          <w:rFonts w:hint="eastAsia" w:ascii="仿宋_GB2312" w:hAnsi="宋体" w:eastAsia="仿宋" w:cs="宋体"/>
          <w:color w:val="333333"/>
          <w:sz w:val="32"/>
          <w:szCs w:val="32"/>
          <w:lang w:val="zh-CN" w:eastAsia="zh-CN"/>
        </w:rPr>
        <w:t>我院预算执行情况良好，无不良记录及违规违纪行为，预算支出和决算支出情况相符。根据绩效评价工作要求，我们对自评工作实施方案进行了认真的研究和部署，使自评工作得以顺利开展，并取得了较好的效果。</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3" w:firstLineChars="200"/>
        <w:jc w:val="left"/>
        <w:textAlignment w:val="auto"/>
        <w:outlineLvl w:val="1"/>
        <w:rPr>
          <w:rFonts w:hint="eastAsia" w:ascii="仿宋_GB2312" w:hAnsi="宋体" w:eastAsia="仿宋" w:cs="宋体"/>
          <w:b/>
          <w:bCs/>
          <w:color w:val="333333"/>
          <w:sz w:val="32"/>
          <w:szCs w:val="32"/>
          <w:lang w:val="zh-CN"/>
        </w:rPr>
      </w:pPr>
      <w:bookmarkStart w:id="50" w:name="_Toc24973"/>
      <w:r>
        <w:rPr>
          <w:rFonts w:hint="eastAsia" w:ascii="仿宋_GB2312" w:hAnsi="宋体" w:eastAsia="仿宋" w:cs="宋体"/>
          <w:b/>
          <w:bCs/>
          <w:color w:val="333333"/>
          <w:sz w:val="32"/>
          <w:szCs w:val="32"/>
          <w:lang w:val="zh-CN"/>
        </w:rPr>
        <w:t>（二）存在问题。</w:t>
      </w:r>
      <w:bookmarkEnd w:id="50"/>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zh-CN" w:eastAsia="zh-CN"/>
        </w:rPr>
      </w:pPr>
      <w:r>
        <w:rPr>
          <w:rFonts w:hint="eastAsia" w:ascii="仿宋_GB2312" w:hAnsi="宋体" w:eastAsia="仿宋" w:cs="宋体"/>
          <w:color w:val="333333"/>
          <w:sz w:val="32"/>
          <w:szCs w:val="32"/>
          <w:lang w:val="zh-CN" w:eastAsia="zh-CN"/>
        </w:rPr>
        <w:t>主要是预算编制的合理性、前瞻性有待提高，不能全面反映部门职责履行情况。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firstLine="643" w:firstLineChars="200"/>
        <w:jc w:val="left"/>
        <w:textAlignment w:val="auto"/>
        <w:outlineLvl w:val="1"/>
        <w:rPr>
          <w:rFonts w:hint="eastAsia" w:ascii="仿宋_GB2312" w:hAnsi="宋体" w:eastAsia="仿宋" w:cs="宋体"/>
          <w:b/>
          <w:bCs/>
          <w:color w:val="333333"/>
          <w:sz w:val="32"/>
          <w:szCs w:val="32"/>
          <w:lang w:val="zh-CN"/>
        </w:rPr>
      </w:pPr>
      <w:bookmarkStart w:id="51" w:name="_Toc8735"/>
      <w:r>
        <w:rPr>
          <w:rFonts w:hint="eastAsia" w:ascii="仿宋_GB2312" w:hAnsi="宋体" w:eastAsia="仿宋" w:cs="宋体"/>
          <w:b/>
          <w:bCs/>
          <w:color w:val="333333"/>
          <w:sz w:val="32"/>
          <w:szCs w:val="32"/>
          <w:lang w:val="zh-CN"/>
        </w:rPr>
        <w:t>（三）改进建议。</w:t>
      </w:r>
      <w:bookmarkEnd w:id="51"/>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zh-CN" w:eastAsia="zh-CN"/>
        </w:rPr>
      </w:pPr>
      <w:r>
        <w:rPr>
          <w:rFonts w:hint="eastAsia" w:ascii="仿宋_GB2312" w:hAnsi="宋体" w:eastAsia="仿宋" w:cs="宋体"/>
          <w:color w:val="333333"/>
          <w:sz w:val="32"/>
          <w:szCs w:val="32"/>
          <w:lang w:val="zh-CN" w:eastAsia="zh-CN"/>
        </w:rPr>
        <w:t>针对上述存在的问题及我院整体支出管理工作的需要，拟实施的改进措施如下：</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zh-CN" w:eastAsia="zh-CN"/>
        </w:rPr>
      </w:pPr>
      <w:r>
        <w:rPr>
          <w:rFonts w:hint="eastAsia" w:ascii="仿宋_GB2312" w:hAnsi="宋体" w:eastAsia="仿宋" w:cs="宋体"/>
          <w:color w:val="333333"/>
          <w:sz w:val="32"/>
          <w:szCs w:val="32"/>
          <w:lang w:val="zh-CN" w:eastAsia="zh-CN"/>
        </w:rPr>
        <w:t>1. 细化预算编制工作，认真做好预算的编制。进一步加强内设机构各处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提高预算的合理性和准确性。</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zh-CN" w:eastAsia="zh-CN"/>
        </w:rPr>
      </w:pPr>
      <w:r>
        <w:rPr>
          <w:rFonts w:hint="eastAsia" w:ascii="仿宋_GB2312" w:hAnsi="宋体" w:eastAsia="仿宋" w:cs="宋体"/>
          <w:color w:val="333333"/>
          <w:sz w:val="32"/>
          <w:szCs w:val="32"/>
          <w:lang w:val="zh-CN" w:eastAsia="zh-CN"/>
        </w:rPr>
        <w:t>2. 加强财务管理，严格财务审核。在费用报账支付时，按照预算规定的费用项目和用途进行资金使用审核、列报支付、财务核算，杜绝超支现象的发生。</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zh-CN" w:eastAsia="zh-CN"/>
        </w:rPr>
      </w:pPr>
      <w:r>
        <w:rPr>
          <w:rFonts w:hint="eastAsia" w:ascii="仿宋_GB2312" w:hAnsi="宋体" w:eastAsia="仿宋" w:cs="宋体"/>
          <w:color w:val="333333"/>
          <w:sz w:val="32"/>
          <w:szCs w:val="32"/>
          <w:lang w:val="zh-CN" w:eastAsia="zh-CN"/>
        </w:rPr>
        <w:t>3．持续抓好“三公”经费控制管理。严格控制“三公”经费的规模和比例，把关“三公”经费支出的审核、审批，杜绝挪用和挤占其他预算资金行为；进一步细化“三公”经费的管理，合理压缩“三公”经费支出。</w:t>
      </w:r>
    </w:p>
    <w:p>
      <w:pPr>
        <w:pStyle w:val="2"/>
        <w:keepNext w:val="0"/>
        <w:keepLines w:val="0"/>
        <w:pageBreakBefore w:val="0"/>
        <w:kinsoku/>
        <w:wordWrap/>
        <w:overflowPunct/>
        <w:topLinePunct w:val="0"/>
        <w:autoSpaceDE/>
        <w:autoSpaceDN/>
        <w:bidi w:val="0"/>
        <w:spacing w:beforeAutospacing="0" w:after="0" w:afterLines="0" w:afterAutospacing="0" w:line="560" w:lineRule="exact"/>
        <w:ind w:left="0" w:leftChars="0" w:right="0" w:firstLine="420" w:firstLineChars="200"/>
        <w:textAlignment w:val="auto"/>
        <w:rPr>
          <w:rFonts w:hint="eastAsia" w:hAnsi="宋体" w:cs="宋体"/>
          <w:bCs/>
          <w:kern w:val="0"/>
          <w:lang w:val="zh-CN"/>
        </w:rPr>
      </w:pPr>
    </w:p>
    <w:p>
      <w:pPr>
        <w:keepNext w:val="0"/>
        <w:keepLines w:val="0"/>
        <w:pageBreakBefore w:val="0"/>
        <w:kinsoku/>
        <w:wordWrap/>
        <w:overflowPunct/>
        <w:topLinePunct w:val="0"/>
        <w:autoSpaceDE/>
        <w:autoSpaceDN/>
        <w:bidi w:val="0"/>
        <w:spacing w:beforeAutospacing="0" w:afterAutospacing="0" w:line="560" w:lineRule="exact"/>
        <w:ind w:left="0" w:leftChars="0" w:right="0" w:firstLine="420" w:firstLineChars="200"/>
        <w:textAlignment w:val="auto"/>
        <w:rPr>
          <w:rFonts w:hint="eastAsia" w:hAnsi="宋体" w:cs="宋体"/>
          <w:bCs/>
          <w:kern w:val="0"/>
          <w:lang w:val="zh-CN"/>
        </w:rPr>
      </w:pP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420" w:firstLineChars="200"/>
        <w:textAlignment w:val="auto"/>
        <w:rPr>
          <w:rFonts w:hint="eastAsia" w:ascii="仿宋_GB2312" w:hAnsi="宋体" w:eastAsia="仿宋" w:cs="宋体"/>
          <w:color w:val="333333"/>
          <w:sz w:val="32"/>
          <w:szCs w:val="32"/>
          <w:lang w:val="zh-CN" w:eastAsia="zh-CN"/>
        </w:rPr>
      </w:pPr>
      <w:r>
        <w:rPr>
          <w:rFonts w:hint="eastAsia" w:hAnsi="宋体" w:cs="宋体"/>
          <w:bCs/>
          <w:kern w:val="0"/>
          <w:lang w:val="zh-CN"/>
        </w:rPr>
        <w:t xml:space="preserve">   </w:t>
      </w:r>
      <w:r>
        <w:rPr>
          <w:rFonts w:hint="eastAsia" w:hAnsi="宋体" w:cs="宋体"/>
          <w:bCs/>
          <w:kern w:val="0"/>
          <w:lang w:val="en-US" w:eastAsia="zh-CN"/>
        </w:rPr>
        <w:t xml:space="preserve">                     </w:t>
      </w:r>
      <w:r>
        <w:rPr>
          <w:rFonts w:hint="eastAsia" w:ascii="仿宋_GB2312" w:hAnsi="宋体" w:eastAsia="仿宋" w:cs="宋体"/>
          <w:color w:val="333333"/>
          <w:sz w:val="32"/>
          <w:szCs w:val="32"/>
          <w:lang w:val="en-US" w:eastAsia="zh-CN"/>
        </w:rPr>
        <w:t xml:space="preserve">                </w:t>
      </w:r>
      <w:r>
        <w:rPr>
          <w:rFonts w:hint="eastAsia" w:ascii="仿宋_GB2312" w:hAnsi="宋体" w:eastAsia="仿宋" w:cs="宋体"/>
          <w:color w:val="333333"/>
          <w:sz w:val="32"/>
          <w:szCs w:val="32"/>
          <w:lang w:val="zh-CN" w:eastAsia="zh-CN"/>
        </w:rPr>
        <w:t>小金县人民检察院</w:t>
      </w:r>
    </w:p>
    <w:p>
      <w:pPr>
        <w:keepNext w:val="0"/>
        <w:keepLines w:val="0"/>
        <w:pageBreakBefore w:val="0"/>
        <w:kinsoku/>
        <w:wordWrap/>
        <w:overflowPunct/>
        <w:topLinePunct w:val="0"/>
        <w:autoSpaceDE/>
        <w:autoSpaceDN/>
        <w:bidi w:val="0"/>
        <w:snapToGrid w:val="0"/>
        <w:spacing w:beforeAutospacing="0" w:afterAutospacing="0" w:line="560" w:lineRule="exact"/>
        <w:ind w:left="0" w:leftChars="0" w:right="0" w:firstLine="640" w:firstLineChars="200"/>
        <w:textAlignment w:val="auto"/>
        <w:rPr>
          <w:rFonts w:hint="eastAsia" w:ascii="仿宋_GB2312" w:hAnsi="宋体" w:eastAsia="仿宋" w:cs="宋体"/>
          <w:color w:val="333333"/>
          <w:sz w:val="32"/>
          <w:szCs w:val="32"/>
          <w:lang w:val="zh-CN" w:eastAsia="zh-CN"/>
        </w:rPr>
      </w:pPr>
      <w:r>
        <w:rPr>
          <w:rFonts w:hint="eastAsia" w:ascii="仿宋_GB2312" w:hAnsi="宋体" w:eastAsia="仿宋" w:cs="宋体"/>
          <w:color w:val="333333"/>
          <w:sz w:val="32"/>
          <w:szCs w:val="32"/>
          <w:lang w:val="zh-CN" w:eastAsia="zh-CN"/>
        </w:rPr>
        <w:t xml:space="preserve">                               202</w:t>
      </w:r>
      <w:r>
        <w:rPr>
          <w:rFonts w:hint="eastAsia" w:ascii="仿宋_GB2312" w:hAnsi="宋体" w:eastAsia="仿宋" w:cs="宋体"/>
          <w:color w:val="333333"/>
          <w:sz w:val="32"/>
          <w:szCs w:val="32"/>
          <w:lang w:val="en-US" w:eastAsia="zh-CN"/>
        </w:rPr>
        <w:t>3</w:t>
      </w:r>
      <w:r>
        <w:rPr>
          <w:rFonts w:hint="eastAsia" w:ascii="仿宋_GB2312" w:hAnsi="宋体" w:eastAsia="仿宋" w:cs="宋体"/>
          <w:color w:val="333333"/>
          <w:sz w:val="32"/>
          <w:szCs w:val="32"/>
          <w:lang w:val="zh-CN" w:eastAsia="zh-CN"/>
        </w:rPr>
        <w:t>年</w:t>
      </w:r>
      <w:r>
        <w:rPr>
          <w:rFonts w:hint="eastAsia" w:ascii="仿宋_GB2312" w:hAnsi="宋体" w:eastAsia="仿宋" w:cs="宋体"/>
          <w:color w:val="333333"/>
          <w:sz w:val="32"/>
          <w:szCs w:val="32"/>
          <w:lang w:val="en-US" w:eastAsia="zh-CN"/>
        </w:rPr>
        <w:t>9</w:t>
      </w:r>
      <w:r>
        <w:rPr>
          <w:rFonts w:hint="eastAsia" w:ascii="仿宋_GB2312" w:hAnsi="宋体" w:eastAsia="仿宋" w:cs="宋体"/>
          <w:color w:val="333333"/>
          <w:sz w:val="32"/>
          <w:szCs w:val="32"/>
          <w:lang w:val="zh-CN" w:eastAsia="zh-CN"/>
        </w:rPr>
        <w:t>月</w:t>
      </w:r>
      <w:r>
        <w:rPr>
          <w:rFonts w:hint="eastAsia" w:ascii="仿宋_GB2312" w:hAnsi="宋体" w:eastAsia="仿宋" w:cs="宋体"/>
          <w:color w:val="333333"/>
          <w:sz w:val="32"/>
          <w:szCs w:val="32"/>
          <w:lang w:val="en-US" w:eastAsia="zh-CN"/>
        </w:rPr>
        <w:t>28</w:t>
      </w:r>
      <w:r>
        <w:rPr>
          <w:rFonts w:hint="eastAsia" w:ascii="仿宋_GB2312" w:hAnsi="宋体" w:eastAsia="仿宋" w:cs="宋体"/>
          <w:color w:val="333333"/>
          <w:sz w:val="32"/>
          <w:szCs w:val="32"/>
          <w:lang w:val="zh-CN" w:eastAsia="zh-CN"/>
        </w:rPr>
        <w:t>日</w:t>
      </w:r>
    </w:p>
    <w:p>
      <w:pPr>
        <w:widowControl/>
        <w:adjustRightInd w:val="0"/>
        <w:snapToGrid w:val="0"/>
        <w:spacing w:line="560" w:lineRule="exact"/>
        <w:ind w:firstLine="420" w:firstLineChars="200"/>
        <w:contextualSpacing/>
        <w:jc w:val="left"/>
        <w:rPr>
          <w:rFonts w:ascii="仿宋_GB2312" w:cs="宋体"/>
          <w:color w:val="000000"/>
          <w:kern w:val="0"/>
          <w:szCs w:val="32"/>
          <w:shd w:val="clear" w:color="auto" w:fill="FFFFFF"/>
          <w:lang w:val="zh-CN"/>
        </w:rPr>
      </w:pPr>
    </w:p>
    <w:p>
      <w:pPr>
        <w:pStyle w:val="2"/>
        <w:rPr>
          <w:rFonts w:ascii="仿宋_GB2312" w:cs="宋体"/>
          <w:color w:val="000000"/>
          <w:kern w:val="0"/>
          <w:szCs w:val="32"/>
          <w:shd w:val="clear" w:color="auto" w:fill="FFFFFF"/>
          <w:lang w:val="zh-CN"/>
        </w:rPr>
      </w:pPr>
    </w:p>
    <w:p>
      <w:pPr>
        <w:rPr>
          <w:rFonts w:ascii="仿宋_GB2312" w:cs="宋体"/>
          <w:color w:val="000000"/>
          <w:kern w:val="0"/>
          <w:szCs w:val="32"/>
          <w:shd w:val="clear" w:color="auto" w:fill="FFFFFF"/>
          <w:lang w:val="zh-CN"/>
        </w:rPr>
      </w:pPr>
    </w:p>
    <w:p>
      <w:pPr>
        <w:pStyle w:val="6"/>
        <w:rPr>
          <w:rFonts w:hint="eastAsia" w:ascii="宋体" w:hAnsi="宋体" w:eastAsia="宋体" w:cs="宋体"/>
          <w:kern w:val="0"/>
          <w:sz w:val="24"/>
          <w:szCs w:val="24"/>
          <w:shd w:val="clear" w:fill="FFFFFF"/>
          <w:lang w:val="en-US" w:eastAsia="zh-CN" w:bidi="ar"/>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_GBK" w:eastAsia="方正小标宋_GBK" w:cs="方正小标宋_GBK"/>
          <w:b w:val="0"/>
          <w:bCs/>
          <w:sz w:val="44"/>
          <w:szCs w:val="44"/>
          <w:shd w:val="clear" w:color="auto" w:fill="FFFFFF"/>
          <w:lang w:val="en-US" w:eastAsia="zh-CN"/>
        </w:rPr>
      </w:pPr>
      <w:r>
        <w:rPr>
          <w:rFonts w:hint="eastAsia" w:ascii="方正小标宋_GBK" w:eastAsia="方正小标宋_GBK" w:cs="方正小标宋_GBK"/>
          <w:b w:val="0"/>
          <w:bCs/>
          <w:sz w:val="44"/>
          <w:szCs w:val="44"/>
          <w:shd w:val="clear" w:color="auto" w:fill="FFFFFF"/>
          <w:lang w:eastAsia="zh-CN"/>
        </w:rPr>
        <w:t>小金县</w:t>
      </w:r>
      <w:r>
        <w:rPr>
          <w:rFonts w:hint="eastAsia" w:ascii="方正小标宋_GBK" w:eastAsia="方正小标宋_GBK" w:cs="方正小标宋_GBK"/>
          <w:b w:val="0"/>
          <w:bCs/>
          <w:sz w:val="44"/>
          <w:szCs w:val="44"/>
          <w:shd w:val="clear" w:color="auto" w:fill="FFFFFF"/>
          <w:lang w:val="en-US" w:eastAsia="zh-CN"/>
        </w:rPr>
        <w:t>人民检察院</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_GBK" w:eastAsia="方正小标宋_GBK" w:cs="方正小标宋_GBK"/>
          <w:b w:val="0"/>
          <w:bCs/>
          <w:sz w:val="44"/>
          <w:szCs w:val="44"/>
          <w:shd w:val="clear" w:color="auto" w:fill="FFFFFF"/>
        </w:rPr>
      </w:pPr>
      <w:r>
        <w:rPr>
          <w:rFonts w:hint="eastAsia" w:ascii="方正小标宋_GBK" w:eastAsia="方正小标宋_GBK" w:cs="方正小标宋_GBK"/>
          <w:b w:val="0"/>
          <w:bCs/>
          <w:sz w:val="44"/>
          <w:szCs w:val="44"/>
          <w:shd w:val="clear" w:color="auto" w:fill="FFFFFF"/>
        </w:rPr>
        <w:t>2</w:t>
      </w:r>
      <w:r>
        <w:rPr>
          <w:rFonts w:hint="eastAsia" w:ascii="方正小标宋_GBK" w:eastAsia="方正小标宋_GBK" w:cs="方正小标宋_GBK"/>
          <w:b w:val="0"/>
          <w:bCs/>
          <w:sz w:val="44"/>
          <w:szCs w:val="44"/>
          <w:shd w:val="clear" w:color="auto" w:fill="FFFFFF"/>
          <w:lang w:val="en-US" w:eastAsia="zh-CN"/>
        </w:rPr>
        <w:t>022</w:t>
      </w:r>
      <w:r>
        <w:rPr>
          <w:rFonts w:hint="eastAsia" w:ascii="方正小标宋_GBK" w:eastAsia="方正小标宋_GBK" w:cs="方正小标宋_GBK"/>
          <w:b w:val="0"/>
          <w:bCs/>
          <w:sz w:val="44"/>
          <w:szCs w:val="44"/>
          <w:shd w:val="clear" w:color="auto" w:fill="FFFFFF"/>
        </w:rPr>
        <w:t>年</w:t>
      </w:r>
      <w:r>
        <w:rPr>
          <w:rFonts w:hint="eastAsia" w:ascii="方正小标宋_GBK" w:eastAsia="方正小标宋_GBK" w:cs="方正小标宋_GBK"/>
          <w:b w:val="0"/>
          <w:bCs/>
          <w:sz w:val="44"/>
          <w:szCs w:val="44"/>
          <w:shd w:val="clear" w:color="auto" w:fill="FFFFFF"/>
          <w:lang w:eastAsia="zh-CN"/>
        </w:rPr>
        <w:t>度专项预算项目支出绩效自评</w:t>
      </w:r>
      <w:r>
        <w:rPr>
          <w:rFonts w:hint="eastAsia" w:ascii="方正小标宋_GBK" w:eastAsia="方正小标宋_GBK" w:cs="方正小标宋_GBK"/>
          <w:b w:val="0"/>
          <w:bCs/>
          <w:sz w:val="44"/>
          <w:szCs w:val="44"/>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rPr>
          <w:rFonts w:ascii="黑体" w:eastAsia="黑体" w:cs="宋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黑体" w:hAnsi="宋体" w:eastAsia="黑体" w:cs="宋体"/>
          <w:color w:val="000000"/>
          <w:kern w:val="0"/>
          <w:sz w:val="32"/>
          <w:lang w:val="zh-CN"/>
        </w:rPr>
      </w:pPr>
      <w:bookmarkStart w:id="52" w:name="_Toc13029"/>
      <w:r>
        <w:rPr>
          <w:rFonts w:hint="eastAsia" w:ascii="黑体" w:hAnsi="宋体" w:eastAsia="黑体" w:cs="宋体"/>
          <w:color w:val="000000"/>
          <w:kern w:val="0"/>
          <w:sz w:val="32"/>
        </w:rPr>
        <w:t>一、</w:t>
      </w:r>
      <w:r>
        <w:rPr>
          <w:rFonts w:hint="eastAsia" w:ascii="黑体" w:hAnsi="宋体" w:eastAsia="黑体" w:cs="宋体"/>
          <w:color w:val="000000"/>
          <w:kern w:val="0"/>
          <w:sz w:val="32"/>
          <w:lang w:val="zh-CN"/>
        </w:rPr>
        <w:t>项目概况</w:t>
      </w:r>
      <w:bookmarkEnd w:id="52"/>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1"/>
        <w:rPr>
          <w:rFonts w:hint="eastAsia" w:ascii="仿宋_GB2312" w:hAnsi="宋体" w:eastAsia="仿宋" w:cs="宋体"/>
          <w:b/>
          <w:bCs/>
          <w:color w:val="333333"/>
          <w:sz w:val="32"/>
          <w:szCs w:val="32"/>
          <w:lang w:eastAsia="zh-CN"/>
        </w:rPr>
      </w:pPr>
      <w:bookmarkStart w:id="53" w:name="_Toc30992"/>
      <w:r>
        <w:rPr>
          <w:rFonts w:hint="eastAsia" w:ascii="仿宋_GB2312" w:hAnsi="宋体" w:eastAsia="仿宋" w:cs="宋体"/>
          <w:b/>
          <w:bCs/>
          <w:color w:val="333333"/>
          <w:sz w:val="32"/>
          <w:szCs w:val="32"/>
        </w:rPr>
        <w:t>（一）</w:t>
      </w:r>
      <w:r>
        <w:rPr>
          <w:rFonts w:hint="eastAsia" w:ascii="仿宋_GB2312" w:hAnsi="宋体" w:eastAsia="仿宋" w:cs="宋体"/>
          <w:b/>
          <w:bCs/>
          <w:color w:val="333333"/>
          <w:sz w:val="32"/>
          <w:szCs w:val="32"/>
          <w:lang w:eastAsia="zh-CN"/>
        </w:rPr>
        <w:t>项目基本情况</w:t>
      </w:r>
      <w:bookmarkEnd w:id="5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小金县人民检察院2022年中央政法纪检监察转移支付资金中办案业务经费，主要用于检察业务案件办理的相关支出，包括但不限于办公费、差旅费、办案费、检察宣传费等。</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1"/>
        <w:rPr>
          <w:rFonts w:hint="eastAsia" w:ascii="仿宋_GB2312" w:hAnsi="宋体" w:eastAsia="仿宋" w:cs="宋体"/>
          <w:b/>
          <w:bCs/>
          <w:color w:val="333333"/>
          <w:sz w:val="32"/>
          <w:szCs w:val="32"/>
          <w:lang w:eastAsia="zh-CN"/>
        </w:rPr>
      </w:pPr>
      <w:bookmarkStart w:id="54" w:name="_Toc11589"/>
      <w:r>
        <w:rPr>
          <w:rFonts w:hint="eastAsia" w:ascii="仿宋_GB2312" w:hAnsi="宋体" w:eastAsia="仿宋" w:cs="宋体"/>
          <w:b/>
          <w:bCs/>
          <w:color w:val="333333"/>
          <w:sz w:val="32"/>
          <w:szCs w:val="32"/>
        </w:rPr>
        <w:t>（二）</w:t>
      </w:r>
      <w:r>
        <w:rPr>
          <w:rFonts w:hint="eastAsia" w:ascii="仿宋_GB2312" w:hAnsi="宋体" w:eastAsia="仿宋" w:cs="宋体"/>
          <w:b/>
          <w:bCs/>
          <w:color w:val="333333"/>
          <w:sz w:val="32"/>
          <w:szCs w:val="32"/>
          <w:lang w:eastAsia="zh-CN"/>
        </w:rPr>
        <w:t>项目绩效目标</w:t>
      </w:r>
      <w:bookmarkEnd w:id="54"/>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 xml:space="preserve"> 2022年度中央政法纪检监察转移支付资金下达211万元，其中当年办案业务费97万元，当年装备费75万元，使用往年结余39</w:t>
      </w:r>
      <w:r>
        <w:rPr>
          <w:rFonts w:hint="eastAsia" w:ascii="仿宋_GB2312" w:hAnsi="宋体" w:eastAsia="仿宋" w:cs="宋体"/>
          <w:color w:val="333333"/>
          <w:sz w:val="32"/>
          <w:szCs w:val="32"/>
          <w:lang w:val="en-US" w:eastAsia="zh-CN"/>
        </w:rPr>
        <w:tab/>
      </w:r>
      <w:r>
        <w:rPr>
          <w:rFonts w:hint="eastAsia" w:ascii="仿宋_GB2312" w:hAnsi="宋体" w:eastAsia="仿宋" w:cs="宋体"/>
          <w:color w:val="333333"/>
          <w:sz w:val="32"/>
          <w:szCs w:val="32"/>
          <w:lang w:val="en-US" w:eastAsia="zh-CN"/>
        </w:rPr>
        <w:t>万元，2022年度转移支付资金绩效总体目标为强化法律监督，维护公平正义。深入践行“让检察机关成为良好经济发展环境重要组成部分”的理念，努力服务大局，保障大局。充分履行职责，积极投入平安小金、法治小金建设。</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1"/>
        <w:rPr>
          <w:rFonts w:hint="eastAsia" w:ascii="仿宋_GB2312" w:hAnsi="宋体" w:eastAsia="仿宋" w:cs="宋体"/>
          <w:b/>
          <w:bCs/>
          <w:color w:val="333333"/>
          <w:sz w:val="32"/>
          <w:szCs w:val="32"/>
          <w:lang w:eastAsia="zh-CN"/>
        </w:rPr>
      </w:pPr>
      <w:bookmarkStart w:id="55" w:name="_Toc27638"/>
      <w:r>
        <w:rPr>
          <w:rFonts w:hint="eastAsia" w:ascii="仿宋_GB2312" w:hAnsi="宋体" w:eastAsia="仿宋" w:cs="宋体"/>
          <w:b/>
          <w:bCs/>
          <w:color w:val="333333"/>
          <w:sz w:val="32"/>
          <w:szCs w:val="32"/>
        </w:rPr>
        <w:t>（三）</w:t>
      </w:r>
      <w:r>
        <w:rPr>
          <w:rFonts w:hint="eastAsia" w:ascii="仿宋_GB2312" w:hAnsi="宋体" w:eastAsia="仿宋" w:cs="宋体"/>
          <w:b/>
          <w:bCs/>
          <w:color w:val="333333"/>
          <w:sz w:val="32"/>
          <w:szCs w:val="32"/>
          <w:lang w:eastAsia="zh-CN"/>
        </w:rPr>
        <w:t>项目自评步骤及方法。</w:t>
      </w:r>
      <w:bookmarkEnd w:id="55"/>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1.资金投入和使用情况。项目预算编制、批复情况；预算执行、调整和决算情况，包括资金到位率、实际支出率，具体用途和拨付、使用，财务会计制度的执行和资金使用效益情况等。围绕专项资金使用效率、预算变更情况与财政资源配置的合理性管理等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2.项目实施管理情况。项目制度健全，组织机构管理，职责权限分明及实施情况。一是专项资金的使用合规性、财务管理制度的健全性，并根据本级财政部门决算要求，及时编制专项资金年度决算表情况。二是项目业务管理制度健全、实施过程管理规范和项目质量可控性的管理程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3.绩效目标的实现程度及效果。项目绩效目标实现程度及效果。包括项目产出、项目效益等。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黑体" w:hAnsi="宋体" w:eastAsia="黑体" w:cs="宋体"/>
          <w:color w:val="000000"/>
          <w:kern w:val="0"/>
          <w:sz w:val="32"/>
          <w:lang w:eastAsia="zh-CN"/>
        </w:rPr>
      </w:pPr>
      <w:bookmarkStart w:id="56" w:name="_Toc4002"/>
      <w:r>
        <w:rPr>
          <w:rFonts w:hint="eastAsia" w:ascii="黑体" w:hAnsi="宋体" w:eastAsia="黑体" w:cs="宋体"/>
          <w:color w:val="000000"/>
          <w:kern w:val="0"/>
          <w:sz w:val="32"/>
        </w:rPr>
        <w:t>二、</w:t>
      </w:r>
      <w:r>
        <w:rPr>
          <w:rFonts w:hint="eastAsia" w:ascii="黑体" w:hAnsi="宋体" w:eastAsia="黑体" w:cs="宋体"/>
          <w:color w:val="000000"/>
          <w:kern w:val="0"/>
          <w:sz w:val="32"/>
          <w:lang w:eastAsia="zh-CN"/>
        </w:rPr>
        <w:t>项目资金申报及使用情况</w:t>
      </w:r>
      <w:bookmarkEnd w:id="56"/>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1"/>
        <w:rPr>
          <w:rFonts w:hint="eastAsia" w:ascii="仿宋_GB2312" w:hAnsi="宋体" w:eastAsia="仿宋" w:cs="宋体"/>
          <w:b/>
          <w:bCs/>
          <w:color w:val="333333"/>
          <w:sz w:val="32"/>
          <w:szCs w:val="32"/>
          <w:lang w:val="zh-CN"/>
        </w:rPr>
      </w:pPr>
      <w:bookmarkStart w:id="57" w:name="_Toc28755"/>
      <w:r>
        <w:rPr>
          <w:rFonts w:hint="eastAsia" w:ascii="仿宋_GB2312" w:hAnsi="宋体" w:eastAsia="仿宋" w:cs="宋体"/>
          <w:b/>
          <w:bCs/>
          <w:color w:val="333333"/>
          <w:sz w:val="32"/>
          <w:szCs w:val="32"/>
          <w:lang w:val="zh-CN"/>
        </w:rPr>
        <w:t>（一）项目资金申报及批复情况</w:t>
      </w:r>
      <w:bookmarkEnd w:id="57"/>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严格按照相关文件申请小金县人民检察院2022年中央政法纪检监察转移支付资金中办案业务经费到我院一体化平台。</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1"/>
        <w:rPr>
          <w:rFonts w:hint="eastAsia" w:ascii="仿宋_GB2312" w:hAnsi="宋体" w:eastAsia="仿宋" w:cs="宋体"/>
          <w:b/>
          <w:bCs/>
          <w:color w:val="333333"/>
          <w:sz w:val="32"/>
          <w:szCs w:val="32"/>
          <w:lang w:val="zh-CN"/>
        </w:rPr>
      </w:pPr>
      <w:bookmarkStart w:id="58" w:name="_Toc27215"/>
      <w:r>
        <w:rPr>
          <w:rFonts w:hint="eastAsia" w:ascii="仿宋_GB2312" w:hAnsi="宋体" w:eastAsia="仿宋" w:cs="宋体"/>
          <w:b/>
          <w:bCs/>
          <w:color w:val="333333"/>
          <w:sz w:val="32"/>
          <w:szCs w:val="32"/>
          <w:lang w:val="zh-CN"/>
        </w:rPr>
        <w:t>（二）资金计划、到位及使用情况（可用表格形式反映）</w:t>
      </w:r>
      <w:bookmarkEnd w:id="58"/>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1.中央政法纪检监察转移支付资金2022年度项目资金实际拨付172万元，到位率100%。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2.我院2022年转移支付资金使用57万元，预算进度为33%，未完成的主要原因为2022年度业务装备采购项目进度落后。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3.项目资金管理情况分析：2022年度资金我院严格按照《人民检察院财务管理规定》进行开支，县财政局行财股对我院办案装备费开支进行资金审批，根据我院上报的用款计划进行划拨。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黑体" w:hAnsi="宋体" w:eastAsia="黑体" w:cs="宋体"/>
          <w:color w:val="000000"/>
          <w:kern w:val="0"/>
          <w:sz w:val="32"/>
          <w:lang w:eastAsia="zh-CN"/>
        </w:rPr>
      </w:pPr>
      <w:bookmarkStart w:id="59" w:name="_Toc27297"/>
      <w:r>
        <w:rPr>
          <w:rFonts w:hint="eastAsia" w:ascii="黑体" w:hAnsi="宋体" w:eastAsia="黑体" w:cs="宋体"/>
          <w:color w:val="000000"/>
          <w:kern w:val="0"/>
          <w:sz w:val="32"/>
        </w:rPr>
        <w:t>三、</w:t>
      </w:r>
      <w:r>
        <w:rPr>
          <w:rFonts w:hint="eastAsia" w:ascii="黑体" w:hAnsi="宋体" w:eastAsia="黑体" w:cs="宋体"/>
          <w:color w:val="000000"/>
          <w:kern w:val="0"/>
          <w:sz w:val="32"/>
          <w:lang w:eastAsia="zh-CN"/>
        </w:rPr>
        <w:t>项目实施及管理情况</w:t>
      </w:r>
      <w:bookmarkEnd w:id="59"/>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1"/>
        <w:rPr>
          <w:rFonts w:hint="eastAsia" w:ascii="仿宋_GB2312" w:hAnsi="宋体" w:eastAsia="仿宋" w:cs="宋体"/>
          <w:b/>
          <w:bCs/>
          <w:color w:val="333333"/>
          <w:sz w:val="32"/>
          <w:szCs w:val="32"/>
          <w:lang w:val="zh-CN"/>
        </w:rPr>
      </w:pPr>
      <w:bookmarkStart w:id="60" w:name="_Toc6024"/>
      <w:r>
        <w:rPr>
          <w:rFonts w:hint="eastAsia" w:ascii="仿宋_GB2312" w:hAnsi="宋体" w:eastAsia="仿宋" w:cs="宋体"/>
          <w:b/>
          <w:bCs/>
          <w:color w:val="333333"/>
          <w:sz w:val="32"/>
          <w:szCs w:val="32"/>
          <w:lang w:val="zh-CN"/>
        </w:rPr>
        <w:t>（一）项目组织架构及实施流程</w:t>
      </w:r>
      <w:bookmarkEnd w:id="60"/>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项目制度健全，组织机构管理，职责权限分明及实施情况。一是专项资金的使用合规性、财务管理制度的健全性，并根据本级财政部门决算要求，及时编制专项资金年度决算表情况。二是项目业务管理制度健全、实施过程管理规范和项目质量可控性的管理程度。</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1"/>
        <w:rPr>
          <w:rFonts w:hint="eastAsia" w:ascii="仿宋_GB2312" w:hAnsi="宋体" w:eastAsia="仿宋" w:cs="宋体"/>
          <w:b/>
          <w:bCs/>
          <w:color w:val="333333"/>
          <w:sz w:val="32"/>
          <w:szCs w:val="32"/>
          <w:lang w:val="zh-CN"/>
        </w:rPr>
      </w:pPr>
      <w:bookmarkStart w:id="61" w:name="_Toc23853"/>
      <w:r>
        <w:rPr>
          <w:rFonts w:hint="eastAsia" w:ascii="仿宋_GB2312" w:hAnsi="宋体" w:eastAsia="仿宋" w:cs="宋体"/>
          <w:b/>
          <w:bCs/>
          <w:color w:val="333333"/>
          <w:sz w:val="32"/>
          <w:szCs w:val="32"/>
          <w:lang w:val="zh-CN"/>
        </w:rPr>
        <w:t>（二）项目管理情况</w:t>
      </w:r>
      <w:bookmarkEnd w:id="61"/>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从整体情况来看，我院在支出过程中，能严格遵守各项规章制度。严格落实《预算法》及省、市、县绩效管理工作的有关规定，进一步规范财政资金的管理，强化财政支出绩效理念，提升部门责任意识，提高资金使用效益，促进检察工作的发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黑体" w:hAnsi="宋体" w:eastAsia="黑体" w:cs="宋体"/>
          <w:color w:val="000000"/>
          <w:kern w:val="0"/>
          <w:sz w:val="32"/>
          <w:lang w:eastAsia="zh-CN"/>
        </w:rPr>
      </w:pPr>
      <w:bookmarkStart w:id="62" w:name="_Toc25952"/>
      <w:r>
        <w:rPr>
          <w:rFonts w:hint="eastAsia" w:ascii="黑体" w:hAnsi="宋体" w:eastAsia="黑体" w:cs="宋体"/>
          <w:color w:val="000000"/>
          <w:kern w:val="0"/>
          <w:sz w:val="32"/>
        </w:rPr>
        <w:t>四、</w:t>
      </w:r>
      <w:r>
        <w:rPr>
          <w:rFonts w:hint="eastAsia" w:ascii="黑体" w:hAnsi="宋体" w:eastAsia="黑体" w:cs="宋体"/>
          <w:color w:val="000000"/>
          <w:kern w:val="0"/>
          <w:sz w:val="32"/>
          <w:lang w:eastAsia="zh-CN"/>
        </w:rPr>
        <w:t>项目绩效情况</w:t>
      </w:r>
      <w:bookmarkEnd w:id="62"/>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1"/>
        <w:rPr>
          <w:rFonts w:hint="eastAsia" w:ascii="仿宋_GB2312" w:hAnsi="宋体" w:eastAsia="仿宋" w:cs="宋体"/>
          <w:b/>
          <w:bCs/>
          <w:color w:val="333333"/>
          <w:sz w:val="32"/>
          <w:szCs w:val="32"/>
          <w:lang w:val="zh-CN"/>
        </w:rPr>
      </w:pPr>
      <w:bookmarkStart w:id="63" w:name="_Toc18128"/>
      <w:r>
        <w:rPr>
          <w:rFonts w:hint="eastAsia" w:ascii="仿宋_GB2312" w:hAnsi="宋体" w:eastAsia="仿宋" w:cs="宋体"/>
          <w:b/>
          <w:bCs/>
          <w:color w:val="333333"/>
          <w:sz w:val="32"/>
          <w:szCs w:val="32"/>
          <w:lang w:val="zh-CN"/>
        </w:rPr>
        <w:t>（一）项目完成情况。</w:t>
      </w:r>
      <w:bookmarkEnd w:id="63"/>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2022年我院检察工作的总体要求是：要始终高举习近平新时代中国特色社会主义思想伟大旗帜，深入学习贯彻习近平法治思想，全面贯彻党的十九大和十九届历次全会精神，落实党中央28号文件和省委“若干措施”，认真落实全州检察长（扩大）会议部署，按照州院“1396”工作思路和“标准、效能、法治、情怀”工作要求，坚持稳中求进、贯彻能动检察，以省院“质量建设年”、州委政法委“政治建设年”、州院“效能提升年”为抓手，以推进案件提质增效为重点，在队伍素能提升、规范管理联动、内部监管增力上求突破，全面协调充分履行“四大检察”职能，推动小金检察“后发赶超、勇争一流”，为加快建设“五个示范”、建成“五个家园”贡献检察力量。</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1"/>
        <w:rPr>
          <w:rFonts w:hint="eastAsia" w:ascii="仿宋_GB2312" w:hAnsi="宋体" w:eastAsia="仿宋" w:cs="宋体"/>
          <w:b/>
          <w:bCs/>
          <w:color w:val="333333"/>
          <w:sz w:val="32"/>
          <w:szCs w:val="32"/>
          <w:lang w:val="zh-CN"/>
        </w:rPr>
      </w:pPr>
      <w:bookmarkStart w:id="64" w:name="_Toc25623"/>
      <w:r>
        <w:rPr>
          <w:rFonts w:hint="eastAsia" w:ascii="仿宋_GB2312" w:hAnsi="宋体" w:eastAsia="仿宋" w:cs="宋体"/>
          <w:b/>
          <w:bCs/>
          <w:color w:val="333333"/>
          <w:sz w:val="32"/>
          <w:szCs w:val="32"/>
          <w:lang w:val="zh-CN"/>
        </w:rPr>
        <w:t>（二）项目效益情况。</w:t>
      </w:r>
      <w:bookmarkEnd w:id="64"/>
    </w:p>
    <w:p>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1.产出指标完成情况分析。</w:t>
      </w:r>
    </w:p>
    <w:p>
      <w:pPr>
        <w:keepNext w:val="0"/>
        <w:keepLines w:val="0"/>
        <w:pageBreakBefore w:val="0"/>
        <w:kinsoku/>
        <w:wordWrap/>
        <w:overflowPunct/>
        <w:topLinePunct w:val="0"/>
        <w:autoSpaceDE/>
        <w:autoSpaceDN/>
        <w:bidi w:val="0"/>
        <w:spacing w:line="560" w:lineRule="exact"/>
        <w:ind w:firstLine="640" w:firstLineChars="200"/>
        <w:textAlignment w:val="auto"/>
        <w:outlineLvl w:val="3"/>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（1）数量指标：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审查逮捕人数(人)：已完成。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审查起诉人数（人）：已完成。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立案监督案件办理数（人）：已完成。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民事案件办理数（件）：已完成。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行政案件办理数（件）：已完成。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公益诉讼案件办理数（件）：已完成。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各类信访案件办理数（件）：已完成。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国家司法救助人数（人）：已完成。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刑罚执行监管违法提出纠正案件数（件）：已完成。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购置检察业务技术装备（台套）：已完成。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购置检察通信设备数量(台套)：已完成。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购置信息网络设备数量(台套)：已完成。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购置检察业务常规设备数量(台套)：已完成。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购置其他业务装备数量(台套)：已完成。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质量指标：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1.案件办结率：100%。</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2.购置装备合格率:100%，已完成。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3）时效指标：我单位严格按照项目预算确定的时限完成了各项工作任务。2022年，坚持全面从严治党与全面从严治检深度融合、检察工作与司法改革一体推进、法律监督与自身监督同步加强，各项工作取得新的成绩。该指标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（4）成本指标：装备采购成本节约率。大于5%，已完成。</w:t>
      </w:r>
    </w:p>
    <w:p>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2.效益指标完成情况分析。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（1）社会效益指标：化解社会矛盾，为经济社会发展提供良好环境，该目标已完成。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（2）</w:t>
      </w:r>
      <w:r>
        <w:rPr>
          <w:rFonts w:hint="default" w:ascii="仿宋_GB2312" w:hAnsi="宋体" w:eastAsia="仿宋" w:cs="宋体"/>
          <w:color w:val="333333"/>
          <w:sz w:val="32"/>
          <w:szCs w:val="32"/>
          <w:lang w:val="en-US" w:eastAsia="zh-CN"/>
        </w:rPr>
        <w:t>可持续影响指标</w:t>
      </w:r>
      <w:r>
        <w:rPr>
          <w:rFonts w:hint="eastAsia" w:ascii="仿宋_GB2312" w:hAnsi="宋体" w:eastAsia="仿宋" w:cs="宋体"/>
          <w:color w:val="333333"/>
          <w:sz w:val="32"/>
          <w:szCs w:val="32"/>
          <w:lang w:val="en-US" w:eastAsia="zh-CN"/>
        </w:rPr>
        <w:t>：对基层检察机关业务装备经费保障力度持续加强，我院2022年转移支付较上年增加3万元。</w:t>
      </w:r>
    </w:p>
    <w:p>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3.满意度指标完成情况分析。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（1）社会公众满意度：该指标全年完成值为100%，已完成。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zh-CN" w:eastAsia="zh-CN"/>
        </w:rPr>
      </w:pPr>
      <w:r>
        <w:rPr>
          <w:rFonts w:hint="eastAsia" w:ascii="仿宋_GB2312" w:hAnsi="宋体" w:eastAsia="仿宋" w:cs="宋体"/>
          <w:color w:val="333333"/>
          <w:sz w:val="32"/>
          <w:szCs w:val="32"/>
          <w:lang w:val="en-US" w:eastAsia="zh-CN"/>
        </w:rPr>
        <w:t>（2）办案人员满意度：该指标全年完成值为100%，已完成。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黑体" w:hAnsi="宋体" w:eastAsia="黑体" w:cs="宋体"/>
          <w:color w:val="000000"/>
          <w:kern w:val="0"/>
          <w:sz w:val="32"/>
          <w:lang w:eastAsia="zh-CN"/>
        </w:rPr>
      </w:pPr>
      <w:bookmarkStart w:id="65" w:name="_Toc30828"/>
      <w:r>
        <w:rPr>
          <w:rFonts w:hint="eastAsia" w:ascii="黑体" w:hAnsi="宋体" w:eastAsia="黑体" w:cs="宋体"/>
          <w:color w:val="000000"/>
          <w:kern w:val="0"/>
          <w:sz w:val="32"/>
          <w:lang w:eastAsia="zh-CN"/>
        </w:rPr>
        <w:t>五、评价结论及建议</w:t>
      </w:r>
      <w:bookmarkEnd w:id="65"/>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1"/>
        <w:rPr>
          <w:rFonts w:hint="eastAsia" w:ascii="仿宋_GB2312" w:hAnsi="宋体" w:eastAsia="仿宋" w:cs="宋体"/>
          <w:b/>
          <w:bCs/>
          <w:color w:val="333333"/>
          <w:sz w:val="32"/>
          <w:szCs w:val="32"/>
          <w:lang w:val="zh-CN"/>
        </w:rPr>
      </w:pPr>
      <w:bookmarkStart w:id="66" w:name="_Toc9250"/>
      <w:r>
        <w:rPr>
          <w:rFonts w:hint="eastAsia" w:ascii="仿宋_GB2312" w:hAnsi="宋体" w:eastAsia="仿宋" w:cs="宋体"/>
          <w:b/>
          <w:bCs/>
          <w:color w:val="333333"/>
          <w:sz w:val="32"/>
          <w:szCs w:val="32"/>
          <w:lang w:val="zh-CN"/>
        </w:rPr>
        <w:t>（一）评价结论。</w:t>
      </w:r>
      <w:bookmarkEnd w:id="66"/>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zh-CN" w:eastAsia="zh-CN"/>
        </w:rPr>
      </w:pPr>
      <w:r>
        <w:rPr>
          <w:rFonts w:hint="eastAsia" w:ascii="仿宋_GB2312" w:hAnsi="宋体" w:eastAsia="仿宋" w:cs="宋体"/>
          <w:color w:val="333333"/>
          <w:sz w:val="32"/>
          <w:szCs w:val="32"/>
          <w:lang w:val="en-US" w:eastAsia="zh-CN"/>
        </w:rPr>
        <w:t>2022年度，我院总体绩效目标，操作程序科学规范，资金到位及时无误，服务周到，群众满意。下一步改进措施：建议总结经验，改进管理措施，不断增强和落实绩效管理责任，完善工作机制，不断提高资金管理水平和使用效益。</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1"/>
        <w:rPr>
          <w:rFonts w:hint="eastAsia" w:ascii="仿宋_GB2312" w:hAnsi="宋体" w:eastAsia="仿宋" w:cs="宋体"/>
          <w:b/>
          <w:bCs/>
          <w:color w:val="333333"/>
          <w:sz w:val="32"/>
          <w:szCs w:val="32"/>
          <w:lang w:val="zh-CN"/>
        </w:rPr>
      </w:pPr>
      <w:bookmarkStart w:id="67" w:name="_Toc8022"/>
      <w:r>
        <w:rPr>
          <w:rFonts w:hint="eastAsia" w:ascii="仿宋_GB2312" w:hAnsi="宋体" w:eastAsia="仿宋" w:cs="宋体"/>
          <w:b/>
          <w:bCs/>
          <w:color w:val="333333"/>
          <w:sz w:val="32"/>
          <w:szCs w:val="32"/>
          <w:lang w:val="zh-CN"/>
        </w:rPr>
        <w:t>（二）存在的问题。</w:t>
      </w:r>
      <w:bookmarkEnd w:id="67"/>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zh-CN" w:eastAsia="zh-CN"/>
        </w:rPr>
      </w:pPr>
      <w:r>
        <w:rPr>
          <w:rFonts w:hint="eastAsia" w:ascii="仿宋_GB2312" w:hAnsi="宋体" w:eastAsia="仿宋" w:cs="宋体"/>
          <w:color w:val="333333"/>
          <w:sz w:val="32"/>
          <w:szCs w:val="32"/>
          <w:lang w:val="en-US" w:eastAsia="zh-CN"/>
        </w:rPr>
        <w:t>部门整体预算执行滞后。2022年中央政法纪检监察转移支付经费资金于当年7月下达，下达时间较迟，很多办案业务经费还未拨付，资金使用较慢。造成专项转移支付项目预算执行滞后、绩效目标出现偏差。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1"/>
        <w:rPr>
          <w:rFonts w:hint="eastAsia" w:ascii="仿宋_GB2312" w:hAnsi="宋体" w:eastAsia="仿宋" w:cs="宋体"/>
          <w:b/>
          <w:bCs/>
          <w:color w:val="333333"/>
          <w:sz w:val="32"/>
          <w:szCs w:val="32"/>
          <w:lang w:val="zh-CN"/>
        </w:rPr>
      </w:pPr>
      <w:bookmarkStart w:id="68" w:name="_Toc18791"/>
      <w:r>
        <w:rPr>
          <w:rFonts w:hint="eastAsia" w:ascii="仿宋_GB2312" w:hAnsi="宋体" w:eastAsia="仿宋" w:cs="宋体"/>
          <w:b/>
          <w:bCs/>
          <w:color w:val="333333"/>
          <w:sz w:val="32"/>
          <w:szCs w:val="32"/>
          <w:lang w:val="zh-CN"/>
        </w:rPr>
        <w:t>（三）相关建议。</w:t>
      </w:r>
      <w:bookmarkEnd w:id="6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宋体" w:eastAsia="仿宋" w:cs="宋体"/>
          <w:color w:val="333333"/>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仿宋_GB2312" w:hAnsi="宋体" w:eastAsia="仿宋" w:cs="宋体"/>
          <w:color w:val="333333"/>
          <w:sz w:val="32"/>
          <w:szCs w:val="32"/>
          <w:lang w:val="en-US" w:eastAsia="zh-CN"/>
        </w:rPr>
        <w:t>强化项目单位对资金绩效实现情况的责任约束。对专项资金偏离预算绩效目标的支出，及时采取有效措施予以纠正，让资金管理人、使用人皆知“自家的钱怎么花的，花得怎么样，存在什么责任”，进一步规范专项资金使用绩效。</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仿宋_GB2312" w:hAnsi="宋体" w:eastAsia="仿宋" w:cs="宋体"/>
          <w:color w:val="333333"/>
          <w:sz w:val="32"/>
          <w:szCs w:val="32"/>
          <w:lang w:val="en-US" w:eastAsia="zh-CN"/>
        </w:rPr>
      </w:pPr>
      <w:r>
        <w:rPr>
          <w:rFonts w:hint="default" w:ascii="Times New Roman" w:hAnsi="Times New Roman" w:eastAsia="仿宋_GB2312" w:cs="Times New Roman"/>
          <w:b/>
          <w:bCs/>
          <w:sz w:val="32"/>
          <w:szCs w:val="32"/>
          <w:lang w:val="en-US" w:eastAsia="zh-CN"/>
        </w:rPr>
        <w:t>二是</w:t>
      </w:r>
      <w:r>
        <w:rPr>
          <w:rFonts w:hint="default" w:ascii="仿宋_GB2312" w:hAnsi="宋体" w:eastAsia="仿宋" w:cs="宋体"/>
          <w:color w:val="333333"/>
          <w:sz w:val="32"/>
          <w:szCs w:val="32"/>
          <w:lang w:val="en-US" w:eastAsia="zh-CN"/>
        </w:rPr>
        <w:t>加强财政资金使用效益跟踪“回头看”。反馈局业务科室针对资金绩效运行状况，及时预控、查找资金使用和管理过程中的薄弱环节，提出纠偏措施；对本年度尚未启用的预算资金、沉淀的结余资金给予及时收回，加快资金拨付进度，确保后续绩效目标的有效实现提供有力支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333333"/>
          <w:sz w:val="32"/>
          <w:szCs w:val="32"/>
          <w:lang w:val="en-US" w:eastAsia="zh-CN"/>
        </w:rPr>
      </w:pPr>
      <w:r>
        <w:rPr>
          <w:rFonts w:hint="eastAsia" w:ascii="仿宋_GB2312" w:hAnsi="宋体" w:eastAsia="仿宋" w:cs="宋体"/>
          <w:color w:val="333333"/>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lang w:val="en-US" w:eastAsia="zh-CN"/>
        </w:rPr>
      </w:pPr>
      <w:r>
        <w:rPr>
          <w:rFonts w:hint="eastAsia" w:ascii="仿宋_GB2312" w:hAnsi="宋体" w:eastAsia="仿宋" w:cs="宋体"/>
          <w:color w:val="333333"/>
          <w:sz w:val="32"/>
          <w:szCs w:val="32"/>
          <w:lang w:val="en-US" w:eastAsia="zh-CN"/>
        </w:rPr>
        <w:t xml:space="preserve">            </w:t>
      </w:r>
      <w:r>
        <w:rPr>
          <w:rFonts w:hint="eastAsia"/>
          <w:lang w:val="en-US" w:eastAsia="zh-CN"/>
        </w:rPr>
        <w:t xml:space="preserve"> </w:t>
      </w:r>
    </w:p>
    <w:p>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Times New Roman"/>
          <w:sz w:val="32"/>
          <w:lang w:val="en-US" w:eastAsia="zh-CN"/>
        </w:rPr>
      </w:pPr>
      <w:r>
        <w:rPr>
          <w:rFonts w:hint="eastAsia"/>
          <w:lang w:val="en-US" w:eastAsia="zh-CN"/>
        </w:rPr>
        <w:t xml:space="preserve">                               </w:t>
      </w:r>
      <w:r>
        <w:rPr>
          <w:rFonts w:hint="eastAsia" w:ascii="Times New Roman" w:hAnsi="Times New Roman" w:eastAsia="仿宋_GB2312" w:cs="Times New Roman"/>
          <w:sz w:val="32"/>
          <w:lang w:val="en-US" w:eastAsia="zh-CN"/>
        </w:rPr>
        <w:t xml:space="preserve">          小金县人民检察院</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 xml:space="preserve">                               2023年7月13日</w:t>
      </w:r>
    </w:p>
    <w:p>
      <w:pPr>
        <w:keepNext w:val="0"/>
        <w:keepLines w:val="0"/>
        <w:pageBreakBefore w:val="0"/>
        <w:widowControl/>
        <w:kinsoku/>
        <w:wordWrap/>
        <w:overflowPunct/>
        <w:topLinePunct w:val="0"/>
        <w:autoSpaceDE/>
        <w:autoSpaceDN/>
        <w:bidi w:val="0"/>
        <w:adjustRightInd w:val="0"/>
        <w:snapToGrid w:val="0"/>
        <w:spacing w:line="560" w:lineRule="exact"/>
        <w:ind w:firstLine="422" w:firstLineChars="200"/>
        <w:jc w:val="left"/>
        <w:textAlignment w:val="auto"/>
        <w:rPr>
          <w:rFonts w:hint="eastAsia" w:ascii="仿宋_GB2312" w:hAnsi="宋体" w:eastAsia="仿宋" w:cs="宋体"/>
          <w:b/>
          <w:bCs/>
          <w:color w:val="333333"/>
          <w:szCs w:val="32"/>
          <w:lang w:val="zh-CN"/>
        </w:rPr>
      </w:pPr>
    </w:p>
    <w:p>
      <w:pPr>
        <w:pStyle w:val="6"/>
        <w:rPr>
          <w:rFonts w:hint="eastAsia" w:ascii="宋体" w:hAnsi="宋体" w:eastAsia="宋体" w:cs="宋体"/>
          <w:kern w:val="0"/>
          <w:sz w:val="24"/>
          <w:szCs w:val="24"/>
          <w:shd w:val="clear" w:fill="FFFFFF"/>
          <w:lang w:val="en-US" w:eastAsia="zh-CN" w:bidi="ar"/>
        </w:rPr>
      </w:pPr>
    </w:p>
    <w:p>
      <w:pPr>
        <w:pStyle w:val="6"/>
        <w:rPr>
          <w:rFonts w:hint="eastAsia" w:ascii="宋体" w:hAnsi="宋体" w:eastAsia="宋体" w:cs="宋体"/>
          <w:kern w:val="0"/>
          <w:sz w:val="24"/>
          <w:szCs w:val="24"/>
          <w:shd w:val="clear" w:fill="FFFFFF"/>
          <w:lang w:val="en-US" w:eastAsia="zh-CN" w:bidi="ar"/>
        </w:rPr>
      </w:pPr>
    </w:p>
    <w:p>
      <w:pPr>
        <w:pStyle w:val="6"/>
        <w:rPr>
          <w:rFonts w:hint="eastAsia" w:ascii="宋体" w:hAnsi="宋体" w:eastAsia="宋体" w:cs="宋体"/>
          <w:kern w:val="0"/>
          <w:sz w:val="24"/>
          <w:szCs w:val="24"/>
          <w:shd w:val="clear" w:fill="FFFFFF"/>
          <w:lang w:val="en-US" w:eastAsia="zh-CN" w:bidi="ar"/>
        </w:rPr>
      </w:pPr>
    </w:p>
    <w:p>
      <w:pPr>
        <w:rPr>
          <w:rFonts w:hint="eastAsia" w:ascii="黑体" w:eastAsia="黑体"/>
          <w:sz w:val="44"/>
          <w:szCs w:val="44"/>
        </w:rPr>
      </w:pPr>
      <w:r>
        <w:rPr>
          <w:rFonts w:hint="eastAsia" w:ascii="黑体" w:eastAsia="黑体"/>
          <w:sz w:val="44"/>
          <w:szCs w:val="44"/>
        </w:rPr>
        <w:br w:type="page"/>
      </w: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2640" w:firstLineChars="600"/>
        <w:jc w:val="left"/>
        <w:textAlignment w:val="auto"/>
        <w:outlineLvl w:val="0"/>
        <w:rPr>
          <w:rStyle w:val="15"/>
          <w:rFonts w:hint="eastAsia" w:ascii="黑体" w:eastAsia="黑体"/>
          <w:b w:val="0"/>
        </w:rPr>
      </w:pPr>
      <w:bookmarkStart w:id="69" w:name="_Toc29720"/>
      <w:r>
        <w:rPr>
          <w:rFonts w:hint="eastAsia" w:ascii="黑体" w:eastAsia="黑体"/>
          <w:sz w:val="44"/>
          <w:szCs w:val="44"/>
        </w:rPr>
        <w:t>第</w:t>
      </w:r>
      <w:r>
        <w:rPr>
          <w:rStyle w:val="15"/>
          <w:rFonts w:hint="eastAsia" w:ascii="黑体" w:eastAsia="黑体"/>
          <w:b w:val="0"/>
        </w:rPr>
        <w:t>五部分 附表</w:t>
      </w:r>
      <w:bookmarkEnd w:id="69"/>
      <w:bookmarkStart w:id="70" w:name="_Toc15396619"/>
    </w:p>
    <w:p>
      <w:pPr>
        <w:pStyle w:val="6"/>
      </w:pPr>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 w:eastAsia="仿宋"/>
        </w:rPr>
      </w:pPr>
      <w:bookmarkStart w:id="71" w:name="_Toc5486"/>
      <w:bookmarkStart w:id="72" w:name="_Toc828"/>
      <w:bookmarkStart w:id="73" w:name="_Toc17798"/>
      <w:r>
        <w:rPr>
          <w:rFonts w:hint="eastAsia" w:ascii="仿宋" w:eastAsia="仿宋"/>
          <w:b w:val="0"/>
        </w:rPr>
        <w:t>一、收</w:t>
      </w:r>
      <w:r>
        <w:rPr>
          <w:rStyle w:val="13"/>
          <w:rFonts w:hint="eastAsia" w:ascii="仿宋" w:eastAsia="仿宋"/>
          <w:b w:val="0"/>
          <w:bCs w:val="0"/>
        </w:rPr>
        <w:t>入支出决算总表</w:t>
      </w:r>
      <w:bookmarkEnd w:id="70"/>
      <w:bookmarkEnd w:id="71"/>
      <w:bookmarkEnd w:id="72"/>
      <w:bookmarkEnd w:id="73"/>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 w:eastAsia="仿宋"/>
        </w:rPr>
      </w:pPr>
      <w:bookmarkStart w:id="74" w:name="_Toc15396620"/>
      <w:bookmarkStart w:id="75" w:name="_Toc17576"/>
      <w:bookmarkStart w:id="76" w:name="_Toc27913"/>
      <w:bookmarkStart w:id="77" w:name="_Toc14380"/>
      <w:r>
        <w:rPr>
          <w:rFonts w:hint="eastAsia" w:ascii="仿宋" w:eastAsia="仿宋"/>
          <w:b w:val="0"/>
        </w:rPr>
        <w:t>二、收</w:t>
      </w:r>
      <w:r>
        <w:rPr>
          <w:rStyle w:val="13"/>
          <w:rFonts w:hint="eastAsia" w:ascii="仿宋" w:eastAsia="仿宋"/>
          <w:b w:val="0"/>
          <w:bCs w:val="0"/>
        </w:rPr>
        <w:t>入决算表</w:t>
      </w:r>
      <w:bookmarkEnd w:id="74"/>
      <w:bookmarkEnd w:id="75"/>
      <w:bookmarkEnd w:id="76"/>
      <w:bookmarkEnd w:id="77"/>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 w:eastAsia="仿宋"/>
        </w:rPr>
      </w:pPr>
      <w:bookmarkStart w:id="78" w:name="_Toc15396621"/>
      <w:bookmarkStart w:id="79" w:name="_Toc31289"/>
      <w:bookmarkStart w:id="80" w:name="_Toc11412"/>
      <w:bookmarkStart w:id="81" w:name="_Toc22810"/>
      <w:r>
        <w:rPr>
          <w:rStyle w:val="13"/>
          <w:rFonts w:hint="eastAsia" w:ascii="仿宋" w:eastAsia="仿宋"/>
          <w:b w:val="0"/>
          <w:bCs w:val="0"/>
        </w:rPr>
        <w:t>三、</w:t>
      </w:r>
      <w:r>
        <w:rPr>
          <w:rFonts w:hint="eastAsia" w:ascii="仿宋" w:eastAsia="仿宋"/>
          <w:b w:val="0"/>
        </w:rPr>
        <w:t>支</w:t>
      </w:r>
      <w:r>
        <w:rPr>
          <w:rStyle w:val="13"/>
          <w:rFonts w:hint="eastAsia" w:ascii="仿宋" w:eastAsia="仿宋"/>
          <w:b w:val="0"/>
          <w:bCs w:val="0"/>
        </w:rPr>
        <w:t>出决算表</w:t>
      </w:r>
      <w:bookmarkEnd w:id="78"/>
      <w:bookmarkEnd w:id="79"/>
      <w:bookmarkEnd w:id="80"/>
      <w:bookmarkEnd w:id="81"/>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 w:eastAsia="仿宋"/>
          <w:b w:val="0"/>
        </w:rPr>
      </w:pPr>
      <w:bookmarkStart w:id="82" w:name="_Toc15396622"/>
      <w:bookmarkStart w:id="83" w:name="_Toc6655"/>
      <w:bookmarkStart w:id="84" w:name="_Toc32205"/>
      <w:bookmarkStart w:id="85" w:name="_Toc17054"/>
      <w:r>
        <w:rPr>
          <w:rStyle w:val="13"/>
          <w:rFonts w:hint="eastAsia" w:ascii="仿宋" w:eastAsia="仿宋"/>
          <w:b w:val="0"/>
          <w:bCs w:val="0"/>
        </w:rPr>
        <w:t>四、</w:t>
      </w:r>
      <w:r>
        <w:rPr>
          <w:rFonts w:hint="eastAsia" w:ascii="仿宋" w:eastAsia="仿宋"/>
          <w:b w:val="0"/>
        </w:rPr>
        <w:t>财</w:t>
      </w:r>
      <w:r>
        <w:rPr>
          <w:rStyle w:val="13"/>
          <w:rFonts w:hint="eastAsia" w:ascii="仿宋" w:eastAsia="仿宋"/>
          <w:b w:val="0"/>
          <w:bCs w:val="0"/>
        </w:rPr>
        <w:t>政拨款收入支出决算总表</w:t>
      </w:r>
      <w:bookmarkEnd w:id="82"/>
      <w:bookmarkEnd w:id="83"/>
      <w:bookmarkEnd w:id="84"/>
      <w:bookmarkEnd w:id="85"/>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Style w:val="13"/>
          <w:rFonts w:ascii="仿宋" w:eastAsia="仿宋"/>
          <w:b w:val="0"/>
          <w:bCs w:val="0"/>
        </w:rPr>
      </w:pPr>
      <w:bookmarkStart w:id="86" w:name="_Toc15396623"/>
      <w:bookmarkStart w:id="87" w:name="_Toc6832"/>
      <w:bookmarkStart w:id="88" w:name="_Toc1669"/>
      <w:bookmarkStart w:id="89" w:name="_Toc15451"/>
      <w:r>
        <w:rPr>
          <w:rStyle w:val="13"/>
          <w:rFonts w:hint="eastAsia" w:ascii="仿宋" w:eastAsia="仿宋"/>
          <w:b w:val="0"/>
          <w:bCs w:val="0"/>
        </w:rPr>
        <w:t>五、</w:t>
      </w:r>
      <w:r>
        <w:rPr>
          <w:rFonts w:hint="eastAsia" w:ascii="仿宋" w:eastAsia="仿宋"/>
          <w:b w:val="0"/>
        </w:rPr>
        <w:t>财</w:t>
      </w:r>
      <w:r>
        <w:rPr>
          <w:rStyle w:val="13"/>
          <w:rFonts w:hint="eastAsia" w:ascii="仿宋" w:eastAsia="仿宋"/>
          <w:b w:val="0"/>
          <w:bCs w:val="0"/>
        </w:rPr>
        <w:t>政拨款支出决算明细表</w:t>
      </w:r>
      <w:bookmarkEnd w:id="86"/>
      <w:bookmarkEnd w:id="87"/>
      <w:bookmarkEnd w:id="88"/>
      <w:bookmarkEnd w:id="89"/>
      <w:bookmarkStart w:id="90" w:name="_Toc15396624"/>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 w:eastAsia="仿宋"/>
        </w:rPr>
      </w:pPr>
      <w:bookmarkStart w:id="91" w:name="_Toc21570"/>
      <w:bookmarkStart w:id="92" w:name="_Toc13159"/>
      <w:bookmarkStart w:id="93" w:name="_Toc6841"/>
      <w:r>
        <w:rPr>
          <w:rStyle w:val="13"/>
          <w:rFonts w:hint="eastAsia" w:ascii="仿宋" w:eastAsia="仿宋"/>
          <w:b w:val="0"/>
          <w:bCs w:val="0"/>
        </w:rPr>
        <w:t>六、</w:t>
      </w:r>
      <w:r>
        <w:rPr>
          <w:rFonts w:hint="eastAsia" w:ascii="仿宋" w:eastAsia="仿宋"/>
          <w:b w:val="0"/>
        </w:rPr>
        <w:t>一</w:t>
      </w:r>
      <w:r>
        <w:rPr>
          <w:rStyle w:val="13"/>
          <w:rFonts w:hint="eastAsia" w:ascii="仿宋" w:eastAsia="仿宋"/>
          <w:b w:val="0"/>
          <w:bCs w:val="0"/>
        </w:rPr>
        <w:t>般公共预算财政拨款支出决算表</w:t>
      </w:r>
      <w:bookmarkEnd w:id="90"/>
      <w:bookmarkEnd w:id="91"/>
      <w:bookmarkEnd w:id="92"/>
      <w:bookmarkEnd w:id="93"/>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 w:eastAsia="仿宋"/>
        </w:rPr>
      </w:pPr>
      <w:bookmarkStart w:id="94" w:name="_Toc15396625"/>
      <w:bookmarkStart w:id="95" w:name="_Toc8584"/>
      <w:bookmarkStart w:id="96" w:name="_Toc25357"/>
      <w:bookmarkStart w:id="97" w:name="_Toc4495"/>
      <w:r>
        <w:rPr>
          <w:rStyle w:val="13"/>
          <w:rFonts w:hint="eastAsia" w:ascii="仿宋" w:eastAsia="仿宋"/>
          <w:b w:val="0"/>
          <w:bCs w:val="0"/>
        </w:rPr>
        <w:t>七、</w:t>
      </w:r>
      <w:r>
        <w:rPr>
          <w:rFonts w:hint="eastAsia" w:ascii="仿宋" w:eastAsia="仿宋"/>
          <w:b w:val="0"/>
        </w:rPr>
        <w:t>一</w:t>
      </w:r>
      <w:r>
        <w:rPr>
          <w:rStyle w:val="13"/>
          <w:rFonts w:hint="eastAsia" w:ascii="仿宋" w:eastAsia="仿宋"/>
          <w:b w:val="0"/>
          <w:bCs w:val="0"/>
        </w:rPr>
        <w:t>般公共预算财政拨款支出决算明细表</w:t>
      </w:r>
      <w:bookmarkEnd w:id="94"/>
      <w:bookmarkEnd w:id="95"/>
      <w:bookmarkEnd w:id="96"/>
      <w:bookmarkEnd w:id="97"/>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 w:eastAsia="仿宋"/>
        </w:rPr>
      </w:pPr>
      <w:bookmarkStart w:id="98" w:name="_Toc15396626"/>
      <w:bookmarkStart w:id="99" w:name="_Toc1266"/>
      <w:bookmarkStart w:id="100" w:name="_Toc20200"/>
      <w:bookmarkStart w:id="101" w:name="_Toc22829"/>
      <w:r>
        <w:rPr>
          <w:rStyle w:val="13"/>
          <w:rFonts w:hint="eastAsia" w:ascii="仿宋" w:eastAsia="仿宋"/>
          <w:b w:val="0"/>
          <w:bCs w:val="0"/>
        </w:rPr>
        <w:t>八、</w:t>
      </w:r>
      <w:r>
        <w:rPr>
          <w:rFonts w:hint="eastAsia" w:ascii="仿宋" w:eastAsia="仿宋"/>
          <w:b w:val="0"/>
        </w:rPr>
        <w:t>一</w:t>
      </w:r>
      <w:r>
        <w:rPr>
          <w:rStyle w:val="13"/>
          <w:rFonts w:hint="eastAsia" w:ascii="仿宋" w:eastAsia="仿宋"/>
          <w:b w:val="0"/>
          <w:bCs w:val="0"/>
        </w:rPr>
        <w:t>般公共预算财政拨款基本支出决算表</w:t>
      </w:r>
      <w:bookmarkEnd w:id="98"/>
      <w:bookmarkEnd w:id="99"/>
      <w:bookmarkEnd w:id="100"/>
      <w:bookmarkEnd w:id="101"/>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 w:eastAsia="仿宋"/>
        </w:rPr>
      </w:pPr>
      <w:bookmarkStart w:id="102" w:name="_Toc15396627"/>
      <w:bookmarkStart w:id="103" w:name="_Toc3445"/>
      <w:bookmarkStart w:id="104" w:name="_Toc480"/>
      <w:bookmarkStart w:id="105" w:name="_Toc6176"/>
      <w:r>
        <w:rPr>
          <w:rStyle w:val="13"/>
          <w:rFonts w:hint="eastAsia" w:ascii="仿宋" w:eastAsia="仿宋"/>
          <w:b w:val="0"/>
          <w:bCs w:val="0"/>
        </w:rPr>
        <w:t>九、</w:t>
      </w:r>
      <w:r>
        <w:rPr>
          <w:rFonts w:hint="eastAsia" w:ascii="仿宋" w:eastAsia="仿宋"/>
          <w:b w:val="0"/>
        </w:rPr>
        <w:t>一</w:t>
      </w:r>
      <w:r>
        <w:rPr>
          <w:rStyle w:val="13"/>
          <w:rFonts w:hint="eastAsia" w:ascii="仿宋" w:eastAsia="仿宋"/>
          <w:b w:val="0"/>
          <w:bCs w:val="0"/>
        </w:rPr>
        <w:t>般公共预算财政拨款项目支出决算表</w:t>
      </w:r>
      <w:bookmarkEnd w:id="102"/>
      <w:bookmarkEnd w:id="103"/>
      <w:bookmarkEnd w:id="104"/>
      <w:bookmarkEnd w:id="105"/>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 w:eastAsia="仿宋"/>
        </w:rPr>
      </w:pPr>
      <w:bookmarkStart w:id="106" w:name="_Toc15396628"/>
      <w:bookmarkStart w:id="107" w:name="_Toc24153"/>
      <w:bookmarkStart w:id="108" w:name="_Toc4238"/>
      <w:bookmarkStart w:id="109" w:name="_Toc2896"/>
      <w:r>
        <w:rPr>
          <w:rStyle w:val="13"/>
          <w:rFonts w:hint="eastAsia" w:ascii="仿宋" w:eastAsia="仿宋"/>
          <w:b w:val="0"/>
          <w:bCs w:val="0"/>
        </w:rPr>
        <w:t>十、</w:t>
      </w:r>
      <w:r>
        <w:rPr>
          <w:rFonts w:hint="eastAsia" w:ascii="仿宋" w:eastAsia="仿宋"/>
          <w:b w:val="0"/>
        </w:rPr>
        <w:t>一</w:t>
      </w:r>
      <w:r>
        <w:rPr>
          <w:rStyle w:val="13"/>
          <w:rFonts w:hint="eastAsia" w:ascii="仿宋" w:eastAsia="仿宋"/>
          <w:b w:val="0"/>
          <w:bCs w:val="0"/>
        </w:rPr>
        <w:t>般公共预算财政拨款“三公”经费支出决算表</w:t>
      </w:r>
      <w:bookmarkEnd w:id="106"/>
      <w:bookmarkEnd w:id="107"/>
      <w:bookmarkEnd w:id="108"/>
      <w:bookmarkEnd w:id="109"/>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 w:eastAsia="仿宋"/>
        </w:rPr>
      </w:pPr>
      <w:bookmarkStart w:id="110" w:name="_Toc15396629"/>
      <w:bookmarkStart w:id="111" w:name="_Toc25684"/>
      <w:bookmarkStart w:id="112" w:name="_Toc3126"/>
      <w:bookmarkStart w:id="113" w:name="_Toc3416"/>
      <w:r>
        <w:rPr>
          <w:rStyle w:val="13"/>
          <w:rFonts w:hint="eastAsia" w:ascii="仿宋" w:eastAsia="仿宋"/>
          <w:b w:val="0"/>
          <w:bCs w:val="0"/>
        </w:rPr>
        <w:t>十一、</w:t>
      </w:r>
      <w:r>
        <w:rPr>
          <w:rFonts w:hint="eastAsia" w:ascii="仿宋" w:eastAsia="仿宋"/>
          <w:b w:val="0"/>
        </w:rPr>
        <w:t>政</w:t>
      </w:r>
      <w:r>
        <w:rPr>
          <w:rStyle w:val="13"/>
          <w:rFonts w:hint="eastAsia" w:ascii="仿宋" w:eastAsia="仿宋"/>
          <w:b w:val="0"/>
          <w:bCs w:val="0"/>
        </w:rPr>
        <w:t>府性基金预算财政拨款收入支出决算表</w:t>
      </w:r>
      <w:bookmarkEnd w:id="110"/>
      <w:bookmarkEnd w:id="111"/>
      <w:bookmarkEnd w:id="112"/>
      <w:bookmarkEnd w:id="113"/>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 w:eastAsia="仿宋"/>
        </w:rPr>
      </w:pPr>
      <w:bookmarkStart w:id="114" w:name="_Toc15396630"/>
      <w:bookmarkStart w:id="115" w:name="_Toc155"/>
      <w:bookmarkStart w:id="116" w:name="_Toc1752"/>
      <w:bookmarkStart w:id="117" w:name="_Toc29025"/>
      <w:r>
        <w:rPr>
          <w:rStyle w:val="13"/>
          <w:rFonts w:hint="eastAsia" w:ascii="仿宋" w:eastAsia="仿宋"/>
          <w:b w:val="0"/>
          <w:bCs w:val="0"/>
        </w:rPr>
        <w:t>十二、</w:t>
      </w:r>
      <w:r>
        <w:rPr>
          <w:rFonts w:hint="eastAsia" w:ascii="仿宋" w:eastAsia="仿宋"/>
          <w:b w:val="0"/>
        </w:rPr>
        <w:t>政</w:t>
      </w:r>
      <w:r>
        <w:rPr>
          <w:rStyle w:val="13"/>
          <w:rFonts w:hint="eastAsia" w:ascii="仿宋" w:eastAsia="仿宋"/>
          <w:b w:val="0"/>
          <w:bCs w:val="0"/>
        </w:rPr>
        <w:t>府性基金预算财政拨款“三公”经费支出决算表</w:t>
      </w:r>
      <w:bookmarkEnd w:id="114"/>
      <w:bookmarkEnd w:id="115"/>
      <w:bookmarkEnd w:id="116"/>
      <w:bookmarkEnd w:id="117"/>
    </w:p>
    <w:p>
      <w:pPr>
        <w:pStyle w:val="4"/>
        <w:keepNext w:val="0"/>
        <w:keepLines w:val="0"/>
        <w:pageBreakBefore w:val="0"/>
        <w:kinsoku/>
        <w:wordWrap/>
        <w:overflowPunct/>
        <w:topLinePunct w:val="0"/>
        <w:autoSpaceDE/>
        <w:autoSpaceDN/>
        <w:bidi w:val="0"/>
        <w:adjustRightInd/>
        <w:spacing w:beforeAutospacing="0" w:afterAutospacing="0" w:line="560" w:lineRule="exact"/>
        <w:textAlignment w:val="auto"/>
        <w:rPr>
          <w:rStyle w:val="13"/>
          <w:rFonts w:ascii="仿宋" w:eastAsia="仿宋"/>
          <w:b w:val="0"/>
          <w:bCs w:val="0"/>
        </w:rPr>
      </w:pPr>
      <w:bookmarkStart w:id="118" w:name="_Toc15396631"/>
      <w:bookmarkStart w:id="119" w:name="_Toc6288"/>
      <w:bookmarkStart w:id="120" w:name="_Toc24593"/>
      <w:bookmarkStart w:id="121" w:name="_Toc20502"/>
      <w:r>
        <w:rPr>
          <w:rStyle w:val="13"/>
          <w:rFonts w:hint="eastAsia" w:ascii="仿宋" w:eastAsia="仿宋"/>
          <w:b w:val="0"/>
          <w:bCs w:val="0"/>
        </w:rPr>
        <w:t>十三、</w:t>
      </w:r>
      <w:r>
        <w:rPr>
          <w:rFonts w:hint="eastAsia" w:ascii="仿宋" w:eastAsia="仿宋"/>
          <w:b w:val="0"/>
        </w:rPr>
        <w:t>国</w:t>
      </w:r>
      <w:r>
        <w:rPr>
          <w:rStyle w:val="13"/>
          <w:rFonts w:hint="eastAsia" w:ascii="仿宋" w:eastAsia="仿宋"/>
          <w:b w:val="0"/>
          <w:bCs w:val="0"/>
        </w:rPr>
        <w:t>有资本经营预算财政拨款收入支出决算表</w:t>
      </w:r>
      <w:bookmarkEnd w:id="118"/>
      <w:bookmarkEnd w:id="119"/>
      <w:bookmarkEnd w:id="120"/>
      <w:bookmarkEnd w:id="121"/>
    </w:p>
    <w:p>
      <w:pPr>
        <w:keepNext w:val="0"/>
        <w:keepLines w:val="0"/>
        <w:pageBreakBefore w:val="0"/>
        <w:kinsoku/>
        <w:wordWrap/>
        <w:overflowPunct/>
        <w:topLinePunct w:val="0"/>
        <w:autoSpaceDE/>
        <w:autoSpaceDN/>
        <w:bidi w:val="0"/>
        <w:adjustRightInd/>
        <w:spacing w:beforeAutospacing="0" w:afterAutospacing="0" w:line="560" w:lineRule="exact"/>
        <w:textAlignment w:val="auto"/>
        <w:rPr>
          <w:rFonts w:eastAsia="仿宋"/>
        </w:rPr>
      </w:pPr>
      <w:r>
        <w:rPr>
          <w:rStyle w:val="13"/>
          <w:rFonts w:hint="eastAsia" w:ascii="仿宋" w:eastAsia="仿宋"/>
          <w:b w:val="0"/>
          <w:bCs w:val="0"/>
        </w:rPr>
        <w:t>十四、国有资本经营预算财政拨款支出决算表</w:t>
      </w:r>
    </w:p>
    <w:p>
      <w:pPr>
        <w:rPr>
          <w:rFonts w:hint="eastAsia"/>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ind w:left="0" w:firstLine="0"/>
      </w:pPr>
      <w:rPr>
        <w:rFonts w:hint="eastAsia" w:ascii="黑体" w:hAnsi="黑体" w:eastAsia="黑体" w:cs="黑体"/>
        <w:sz w:val="44"/>
        <w:szCs w:val="4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TVhMzA0ZmI5MzE0ZTQ4Njg5NWUwM2ZhMTJkY2QifQ=="/>
  </w:docVars>
  <w:rsids>
    <w:rsidRoot w:val="05A76E58"/>
    <w:rsid w:val="05A76E58"/>
    <w:rsid w:val="10BD77AB"/>
    <w:rsid w:val="152B522B"/>
    <w:rsid w:val="189F7A56"/>
    <w:rsid w:val="2BE748AD"/>
    <w:rsid w:val="307173FE"/>
    <w:rsid w:val="38AE4FFB"/>
    <w:rsid w:val="394C749E"/>
    <w:rsid w:val="3CDD2778"/>
    <w:rsid w:val="3E934025"/>
    <w:rsid w:val="42153EFE"/>
    <w:rsid w:val="49693E74"/>
    <w:rsid w:val="4EFD16A2"/>
    <w:rsid w:val="57EC0950"/>
    <w:rsid w:val="5CC93E70"/>
    <w:rsid w:val="5DE12568"/>
    <w:rsid w:val="69B95AAE"/>
    <w:rsid w:val="6D0B49F7"/>
    <w:rsid w:val="73E84F83"/>
    <w:rsid w:val="7726232C"/>
    <w:rsid w:val="7726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3"/>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afterLines="0" w:afterAutospacing="0" w:line="480" w:lineRule="auto"/>
      <w:ind w:left="420" w:leftChars="200"/>
    </w:pPr>
    <w:rPr>
      <w:rFonts w:ascii="Times New Roman" w:hAnsi="Times New Roman" w:eastAsia="宋体" w:cs="Times New Roman"/>
    </w:rPr>
  </w:style>
  <w:style w:type="paragraph" w:styleId="6">
    <w:name w:val="Body Text"/>
    <w:basedOn w:val="1"/>
    <w:qFormat/>
    <w:uiPriority w:val="99"/>
    <w:pPr>
      <w:spacing w:beforeLines="30"/>
    </w:pPr>
    <w:rPr>
      <w:rFonts w:ascii="仿宋_GB2312" w:eastAsia="仿宋_GB2312"/>
      <w:kern w:val="0"/>
      <w:sz w:val="30"/>
    </w:rPr>
  </w:style>
  <w:style w:type="paragraph" w:styleId="7">
    <w:name w:val="toc 1"/>
    <w:basedOn w:val="1"/>
    <w:next w:val="1"/>
    <w:qFormat/>
    <w:uiPriority w:val="0"/>
    <w:pPr>
      <w:tabs>
        <w:tab w:val="right" w:leader="dot" w:pos="8296"/>
      </w:tabs>
      <w:spacing w:before="93"/>
      <w:jc w:val="center"/>
    </w:pPr>
    <w:rPr>
      <w:rFonts w:ascii="仿宋" w:eastAsia="仿宋"/>
      <w:sz w:val="28"/>
      <w:szCs w:val="28"/>
    </w:rPr>
  </w:style>
  <w:style w:type="paragraph" w:styleId="8">
    <w:name w:val="toc 2"/>
    <w:basedOn w:val="1"/>
    <w:next w:val="1"/>
    <w:uiPriority w:val="0"/>
    <w:pPr>
      <w:ind w:left="420" w:leftChars="200"/>
    </w:pPr>
  </w:style>
  <w:style w:type="paragraph" w:styleId="9">
    <w:name w:val="Normal (Web)"/>
    <w:basedOn w:val="1"/>
    <w:next w:val="6"/>
    <w:qFormat/>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character" w:styleId="12">
    <w:name w:val="Strong"/>
    <w:basedOn w:val="11"/>
    <w:qFormat/>
    <w:uiPriority w:val="99"/>
    <w:rPr>
      <w:b/>
    </w:rPr>
  </w:style>
  <w:style w:type="character" w:customStyle="1" w:styleId="13">
    <w:name w:val="标题 2 字符"/>
    <w:basedOn w:val="11"/>
    <w:link w:val="4"/>
    <w:qFormat/>
    <w:uiPriority w:val="0"/>
    <w:rPr>
      <w:rFonts w:hint="eastAsia" w:ascii="宋体" w:hAnsi="宋体" w:eastAsia="宋体" w:cs="宋体"/>
      <w:b/>
      <w:kern w:val="0"/>
      <w:sz w:val="36"/>
      <w:szCs w:val="36"/>
      <w:lang w:val="en-US" w:eastAsia="zh-CN" w:bidi="ar"/>
    </w:rPr>
  </w:style>
  <w:style w:type="character" w:customStyle="1" w:styleId="14">
    <w:name w:val="15"/>
    <w:basedOn w:val="11"/>
    <w:qFormat/>
    <w:uiPriority w:val="0"/>
    <w:rPr>
      <w:rFonts w:hint="default" w:ascii="Times New Roman" w:hAnsi="Times New Roman" w:cs="Times New Roman"/>
      <w:b/>
    </w:rPr>
  </w:style>
  <w:style w:type="character" w:customStyle="1" w:styleId="15">
    <w:name w:val="标题 1 字符"/>
    <w:basedOn w:val="11"/>
    <w:link w:val="3"/>
    <w:qFormat/>
    <w:uiPriority w:val="0"/>
    <w:rPr>
      <w:b/>
      <w:bCs/>
      <w:kern w:val="44"/>
      <w:sz w:val="44"/>
      <w:szCs w:val="44"/>
    </w:r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WPSOffice手动目录 1"/>
    <w:uiPriority w:val="0"/>
    <w:pPr>
      <w:ind w:leftChars="0"/>
    </w:pPr>
    <w:rPr>
      <w:sz w:val="20"/>
      <w:szCs w:val="20"/>
    </w:rPr>
  </w:style>
  <w:style w:type="paragraph" w:customStyle="1" w:styleId="18">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968.85</c:v>
                </c:pt>
                <c:pt idx="1">
                  <c:v>968.85</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747.64</c:v>
                </c:pt>
                <c:pt idx="1">
                  <c:v>924.11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77388701"/>
        <c:axId val="716579161"/>
      </c:barChart>
      <c:catAx>
        <c:axId val="9773887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6579161"/>
        <c:crosses val="autoZero"/>
        <c:auto val="1"/>
        <c:lblAlgn val="ctr"/>
        <c:lblOffset val="100"/>
        <c:noMultiLvlLbl val="0"/>
      </c:catAx>
      <c:valAx>
        <c:axId val="7165791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73887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一般财政拨款收入</c:v>
                </c:pt>
                <c:pt idx="1">
                  <c:v>  其他收入</c:v>
                </c:pt>
              </c:strCache>
            </c:strRef>
          </c:cat>
          <c:val>
            <c:numRef>
              <c:f>Sheet1!$B$2:$B$5</c:f>
              <c:numCache>
                <c:formatCode>General</c:formatCode>
                <c:ptCount val="4"/>
                <c:pt idx="0">
                  <c:v>668.97</c:v>
                </c:pt>
                <c:pt idx="1">
                  <c:v>299.89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支出分类</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811.75</c:v>
                </c:pt>
                <c:pt idx="1">
                  <c:v>157.1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668.96</c:v>
                </c:pt>
                <c:pt idx="1">
                  <c:v>968.85</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747.64</c:v>
                </c:pt>
                <c:pt idx="1">
                  <c:v>924.11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77388701"/>
        <c:axId val="716579161"/>
      </c:barChart>
      <c:catAx>
        <c:axId val="9773887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6579161"/>
        <c:crosses val="autoZero"/>
        <c:auto val="1"/>
        <c:lblAlgn val="ctr"/>
        <c:lblOffset val="100"/>
        <c:noMultiLvlLbl val="0"/>
      </c:catAx>
      <c:valAx>
        <c:axId val="7165791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73887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delete val="1"/>
          </c:dLbls>
          <c:cat>
            <c:strRef>
              <c:f>Sheet1!$A$2:$A$3</c:f>
              <c:strCache>
                <c:ptCount val="2"/>
                <c:pt idx="0">
                  <c:v>2022年</c:v>
                </c:pt>
                <c:pt idx="1">
                  <c:v>2021年</c:v>
                </c:pt>
              </c:strCache>
            </c:strRef>
          </c:cat>
          <c:val>
            <c:numRef>
              <c:f>Sheet1!$B$2:$B$3</c:f>
              <c:numCache>
                <c:formatCode>General</c:formatCode>
                <c:ptCount val="2"/>
                <c:pt idx="0">
                  <c:v>968.85</c:v>
                </c:pt>
                <c:pt idx="1">
                  <c:v>924.11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2021年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2021年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1372671"/>
        <c:axId val="627446537"/>
      </c:barChart>
      <c:catAx>
        <c:axId val="713726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7446537"/>
        <c:crosses val="autoZero"/>
        <c:auto val="1"/>
        <c:lblAlgn val="ctr"/>
        <c:lblOffset val="100"/>
        <c:noMultiLvlLbl val="0"/>
      </c:catAx>
      <c:valAx>
        <c:axId val="6274465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7267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一般公共服务</c:v>
                </c:pt>
                <c:pt idx="1">
                  <c:v>公共安全支出</c:v>
                </c:pt>
                <c:pt idx="2">
                  <c:v>社会保障和就业类</c:v>
                </c:pt>
                <c:pt idx="3">
                  <c:v>卫生健康支出</c:v>
                </c:pt>
                <c:pt idx="4">
                  <c:v>住房保障支出</c:v>
                </c:pt>
              </c:strCache>
            </c:strRef>
          </c:cat>
          <c:val>
            <c:numRef>
              <c:f>Sheet1!$B$2:$B$6</c:f>
              <c:numCache>
                <c:formatCode>General</c:formatCode>
                <c:ptCount val="5"/>
                <c:pt idx="0">
                  <c:v>0</c:v>
                </c:pt>
                <c:pt idx="1">
                  <c:v>904.96</c:v>
                </c:pt>
                <c:pt idx="3">
                  <c:v>5.63</c:v>
                </c:pt>
                <c:pt idx="4">
                  <c:v>58.26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c:v>
                </c:pt>
                <c:pt idx="1">
                  <c:v>公务用车</c:v>
                </c:pt>
                <c:pt idx="2">
                  <c:v>公务接待</c:v>
                </c:pt>
              </c:strCache>
            </c:strRef>
          </c:cat>
          <c:val>
            <c:numRef>
              <c:f>Sheet1!$B$2:$B$4</c:f>
              <c:numCache>
                <c:formatCode>General</c:formatCode>
                <c:ptCount val="3"/>
                <c:pt idx="0">
                  <c:v>0</c:v>
                </c:pt>
                <c:pt idx="1">
                  <c:v>20.78</c:v>
                </c:pt>
                <c:pt idx="2">
                  <c:v>0.73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2023-09-28T07:16:00Z</dcterms:created>
  <dc:creator>泥土的气息</dc:creator>
  <cp:lastModifiedBy>Administrator</cp:lastModifiedBy>
  <dcterms:modified xsi:type="dcterms:W3CDTF">2023-09-28T10:02:21Z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D69665C79B02402080735AA828517D23_11</vt:lpwstr>
  </property>
</Properties>
</file>