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7EA3">
      <w:pPr>
        <w:spacing w:line="600" w:lineRule="exact"/>
        <w:jc w:val="left"/>
        <w:outlineLvl w:val="9"/>
        <w:rPr>
          <w:rFonts w:ascii="方正小标宋简体" w:hAnsi="宋体" w:eastAsia="方正小标宋简体"/>
          <w:szCs w:val="21"/>
        </w:rPr>
      </w:pPr>
      <w:bookmarkStart w:id="0" w:name="_Toc15306267"/>
    </w:p>
    <w:p w14:paraId="7EBA0D5D">
      <w:pPr>
        <w:pStyle w:val="5"/>
        <w:spacing w:before="93"/>
      </w:pPr>
    </w:p>
    <w:p w14:paraId="12BA12A4">
      <w:pPr>
        <w:spacing w:line="600" w:lineRule="exact"/>
        <w:jc w:val="center"/>
        <w:outlineLvl w:val="9"/>
        <w:rPr>
          <w:rFonts w:ascii="方正小标宋简体" w:hAnsi="宋体" w:eastAsia="方正小标宋简体"/>
          <w:sz w:val="72"/>
          <w:szCs w:val="72"/>
        </w:rPr>
      </w:pPr>
    </w:p>
    <w:p w14:paraId="540D2876">
      <w:pPr>
        <w:spacing w:line="600" w:lineRule="exact"/>
        <w:jc w:val="center"/>
        <w:outlineLvl w:val="9"/>
        <w:rPr>
          <w:rFonts w:ascii="方正小标宋简体" w:hAnsi="宋体" w:eastAsia="方正小标宋简体"/>
          <w:sz w:val="72"/>
          <w:szCs w:val="72"/>
        </w:rPr>
      </w:pPr>
    </w:p>
    <w:p w14:paraId="168C1281">
      <w:pPr>
        <w:adjustRightInd w:val="0"/>
        <w:snapToGrid w:val="0"/>
        <w:spacing w:line="360" w:lineRule="auto"/>
        <w:jc w:val="center"/>
        <w:outlineLvl w:val="9"/>
        <w:rPr>
          <w:rFonts w:ascii="方正小标宋简体" w:hAnsi="方正小标宋简体" w:eastAsia="方正小标宋简体" w:cs="方正小标宋简体"/>
          <w:sz w:val="52"/>
          <w:szCs w:val="52"/>
        </w:rPr>
      </w:pPr>
      <w:bookmarkStart w:id="1" w:name="_Toc15396475"/>
      <w:bookmarkStart w:id="2" w:name="_Toc15377425"/>
      <w:bookmarkStart w:id="3" w:name="_Toc15396597"/>
      <w:bookmarkStart w:id="4" w:name="_Toc15378441"/>
      <w:bookmarkStart w:id="5" w:name="_Toc15377193"/>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bookmarkEnd w:id="1"/>
      <w:bookmarkEnd w:id="2"/>
      <w:bookmarkEnd w:id="3"/>
      <w:bookmarkEnd w:id="4"/>
      <w:bookmarkEnd w:id="5"/>
    </w:p>
    <w:p w14:paraId="7A95338B">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6" w:name="_Toc13862"/>
      <w:bookmarkStart w:id="7" w:name="_Toc15377426"/>
      <w:bookmarkStart w:id="8" w:name="_Toc15377194"/>
      <w:bookmarkStart w:id="9" w:name="_Toc15378442"/>
      <w:bookmarkStart w:id="10" w:name="_Toc15396598"/>
      <w:bookmarkStart w:id="11" w:name="_Toc15396476"/>
      <w:r>
        <w:rPr>
          <w:rFonts w:hint="eastAsia" w:ascii="方正小标宋简体" w:hAnsi="方正小标宋简体" w:eastAsia="方正小标宋简体" w:cs="方正小标宋简体"/>
          <w:sz w:val="52"/>
          <w:szCs w:val="52"/>
        </w:rPr>
        <w:t>四川省</w:t>
      </w:r>
      <w:bookmarkEnd w:id="0"/>
      <w:bookmarkStart w:id="12" w:name="_Toc15306268"/>
      <w:r>
        <w:rPr>
          <w:rFonts w:hint="eastAsia" w:ascii="方正小标宋简体" w:hAnsi="方正小标宋简体" w:eastAsia="方正小标宋简体" w:cs="方正小标宋简体"/>
          <w:sz w:val="52"/>
          <w:szCs w:val="52"/>
          <w:lang w:eastAsia="zh-CN"/>
        </w:rPr>
        <w:t>阿坝州小金县人民检察院</w:t>
      </w:r>
      <w:bookmarkEnd w:id="6"/>
    </w:p>
    <w:p w14:paraId="2337D248">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13" w:name="_Toc5150"/>
      <w:r>
        <w:rPr>
          <w:rFonts w:hint="eastAsia" w:ascii="方正小标宋简体" w:hAnsi="方正小标宋简体" w:eastAsia="方正小标宋简体" w:cs="方正小标宋简体"/>
          <w:sz w:val="52"/>
          <w:szCs w:val="52"/>
          <w:lang w:eastAsia="zh-CN"/>
        </w:rPr>
        <w:t>部门</w:t>
      </w:r>
      <w:r>
        <w:rPr>
          <w:rFonts w:hint="eastAsia" w:ascii="方正小标宋简体" w:hAnsi="方正小标宋简体" w:eastAsia="方正小标宋简体" w:cs="方正小标宋简体"/>
          <w:sz w:val="52"/>
          <w:szCs w:val="52"/>
        </w:rPr>
        <w:t>决算</w:t>
      </w:r>
      <w:bookmarkEnd w:id="7"/>
      <w:bookmarkEnd w:id="8"/>
      <w:bookmarkEnd w:id="9"/>
      <w:bookmarkEnd w:id="10"/>
      <w:bookmarkEnd w:id="11"/>
      <w:bookmarkEnd w:id="12"/>
      <w:r>
        <w:rPr>
          <w:rFonts w:hint="eastAsia" w:ascii="方正小标宋简体" w:hAnsi="方正小标宋简体" w:eastAsia="方正小标宋简体" w:cs="方正小标宋简体"/>
          <w:sz w:val="52"/>
          <w:szCs w:val="52"/>
          <w:lang w:eastAsia="zh-CN"/>
        </w:rPr>
        <w:t>公开</w:t>
      </w:r>
      <w:bookmarkEnd w:id="13"/>
    </w:p>
    <w:p w14:paraId="6757FA67">
      <w:pPr>
        <w:pStyle w:val="9"/>
        <w:rPr>
          <w:rFonts w:hint="eastAsia" w:ascii="方正小标宋简体" w:hAnsi="方正小标宋简体" w:eastAsia="方正小标宋简体" w:cs="方正小标宋简体"/>
          <w:sz w:val="52"/>
          <w:szCs w:val="52"/>
          <w:lang w:eastAsia="zh-CN"/>
        </w:rPr>
      </w:pPr>
    </w:p>
    <w:p w14:paraId="10F65925">
      <w:pPr>
        <w:rPr>
          <w:rFonts w:hint="eastAsia" w:ascii="方正小标宋简体" w:hAnsi="方正小标宋简体" w:eastAsia="方正小标宋简体" w:cs="方正小标宋简体"/>
          <w:sz w:val="52"/>
          <w:szCs w:val="52"/>
          <w:lang w:eastAsia="zh-CN"/>
        </w:rPr>
      </w:pPr>
    </w:p>
    <w:p w14:paraId="05CCF85E">
      <w:pPr>
        <w:pStyle w:val="9"/>
        <w:rPr>
          <w:rFonts w:hint="eastAsia" w:ascii="方正小标宋简体" w:hAnsi="方正小标宋简体" w:eastAsia="方正小标宋简体" w:cs="方正小标宋简体"/>
          <w:sz w:val="52"/>
          <w:szCs w:val="52"/>
          <w:lang w:eastAsia="zh-CN"/>
        </w:rPr>
      </w:pPr>
    </w:p>
    <w:p w14:paraId="28F5902A">
      <w:pPr>
        <w:rPr>
          <w:rFonts w:hint="eastAsia" w:ascii="方正小标宋简体" w:hAnsi="方正小标宋简体" w:eastAsia="方正小标宋简体" w:cs="方正小标宋简体"/>
          <w:sz w:val="52"/>
          <w:szCs w:val="52"/>
          <w:lang w:eastAsia="zh-CN"/>
        </w:rPr>
      </w:pPr>
    </w:p>
    <w:p w14:paraId="640236B8">
      <w:pPr>
        <w:pStyle w:val="9"/>
        <w:rPr>
          <w:rFonts w:hint="eastAsia" w:ascii="方正小标宋简体" w:hAnsi="方正小标宋简体" w:eastAsia="方正小标宋简体" w:cs="方正小标宋简体"/>
          <w:sz w:val="52"/>
          <w:szCs w:val="52"/>
          <w:lang w:eastAsia="zh-CN"/>
        </w:rPr>
      </w:pPr>
    </w:p>
    <w:p w14:paraId="6F80000F">
      <w:pPr>
        <w:rPr>
          <w:rFonts w:hint="eastAsia"/>
          <w:lang w:eastAsia="zh-CN"/>
        </w:rPr>
      </w:pPr>
    </w:p>
    <w:p w14:paraId="1F565789">
      <w:pPr>
        <w:pStyle w:val="9"/>
        <w:rPr>
          <w:rFonts w:hint="eastAsia"/>
          <w:lang w:eastAsia="zh-CN"/>
        </w:rPr>
      </w:pPr>
    </w:p>
    <w:p w14:paraId="4F387283">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14F0375">
      <w:pPr>
        <w:widowControl/>
        <w:jc w:val="center"/>
        <w:rPr>
          <w:rFonts w:ascii="黑体" w:hAnsi="黑体" w:eastAsia="黑体" w:cstheme="minorBidi"/>
          <w:sz w:val="28"/>
          <w:szCs w:val="28"/>
        </w:rPr>
      </w:pPr>
    </w:p>
    <w:p w14:paraId="39BE784B">
      <w:pPr>
        <w:pStyle w:val="13"/>
      </w:pPr>
      <w:r>
        <w:rPr>
          <w:rFonts w:hint="eastAsia"/>
        </w:rPr>
        <w:t>公开时间：202</w:t>
      </w:r>
      <w:r>
        <w:rPr>
          <w:rFonts w:hint="eastAsia"/>
          <w:lang w:val="en-US" w:eastAsia="zh-CN"/>
        </w:rPr>
        <w:t>5</w:t>
      </w:r>
      <w:r>
        <w:rPr>
          <w:rFonts w:hint="eastAsia"/>
        </w:rPr>
        <w:t>年9月</w:t>
      </w:r>
      <w:r>
        <w:rPr>
          <w:rFonts w:hint="eastAsia"/>
          <w:lang w:val="en-US" w:eastAsia="zh-CN"/>
        </w:rPr>
        <w:t>18</w:t>
      </w:r>
      <w:r>
        <w:rPr>
          <w:rFonts w:hint="eastAsia"/>
        </w:rPr>
        <w:t>日</w:t>
      </w:r>
    </w:p>
    <w:sdt>
      <w:sdtPr>
        <w:rPr>
          <w:rFonts w:ascii="宋体" w:hAnsi="宋体" w:eastAsia="宋体" w:cs="Times New Roman"/>
          <w:kern w:val="2"/>
          <w:sz w:val="21"/>
          <w:szCs w:val="24"/>
          <w:lang w:val="en-US" w:eastAsia="zh-CN" w:bidi="ar-SA"/>
        </w:rPr>
        <w:id w:val="14746088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034B6A6B">
          <w:pPr>
            <w:pStyle w:val="37"/>
            <w:tabs>
              <w:tab w:val="right" w:leader="dot" w:pos="8306"/>
            </w:tabs>
            <w:rPr>
              <w:b/>
            </w:rPr>
          </w:pPr>
          <w:bookmarkStart w:id="14" w:name="_Toc15377196"/>
          <w:bookmarkStart w:id="15" w:name="_Toc15396599"/>
          <w:r>
            <w:fldChar w:fldCharType="begin"/>
          </w:r>
          <w:r>
            <w:instrText xml:space="preserve">TOC \o "1-2" \h \u </w:instrText>
          </w:r>
          <w:r>
            <w:fldChar w:fldCharType="separate"/>
          </w:r>
        </w:p>
        <w:p w14:paraId="5F99AF50">
          <w:pPr>
            <w:pStyle w:val="37"/>
            <w:tabs>
              <w:tab w:val="right" w:leader="dot" w:pos="8306"/>
            </w:tabs>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HYPERLINK \l _Toc27726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第一部分 单位概况</w:t>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PAGEREF _Toc27726 \h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4</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fldChar w:fldCharType="end"/>
          </w:r>
        </w:p>
        <w:p w14:paraId="46C4063E">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 主要职责</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67BDBF9">
          <w:pPr>
            <w:pStyle w:val="38"/>
            <w:tabs>
              <w:tab w:val="right" w:leader="dot" w:pos="8306"/>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_Toc17754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二、机构设置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_Toc17754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D78F526">
          <w:pPr>
            <w:pStyle w:val="37"/>
            <w:tabs>
              <w:tab w:val="right" w:leader="dot" w:pos="8306"/>
            </w:tabs>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HYPERLINK \l _Toc2360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第二部分 202</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年度单位决算情况说明</w:t>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PAGEREF _Toc2360 \h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6</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fldChar w:fldCharType="end"/>
          </w:r>
        </w:p>
        <w:p w14:paraId="06B6F8FE">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_Toc541 </w:instrText>
          </w:r>
          <w:r>
            <w:rPr>
              <w:rFonts w:hint="eastAsia" w:ascii="仿宋" w:hAnsi="仿宋" w:eastAsia="仿宋" w:cs="仿宋"/>
              <w:color w:val="auto"/>
              <w:sz w:val="28"/>
              <w:szCs w:val="28"/>
              <w:highlight w:val="none"/>
            </w:rPr>
            <w:fldChar w:fldCharType="separate"/>
          </w:r>
          <w:r>
            <w:rPr>
              <w:rFonts w:hint="default" w:ascii="仿宋" w:hAnsi="仿宋" w:eastAsia="仿宋" w:cs="仿宋"/>
              <w:color w:val="auto"/>
              <w:sz w:val="28"/>
              <w:szCs w:val="28"/>
              <w:highlight w:val="none"/>
            </w:rPr>
            <w:t xml:space="preserve">一、 </w:t>
          </w:r>
          <w:r>
            <w:rPr>
              <w:rFonts w:hint="eastAsia" w:ascii="仿宋" w:hAnsi="仿宋" w:eastAsia="仿宋" w:cs="仿宋"/>
              <w:color w:val="auto"/>
              <w:sz w:val="28"/>
              <w:szCs w:val="28"/>
              <w:highlight w:val="none"/>
            </w:rPr>
            <w:t>收入支出决算总体情况说明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_Toc541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468CDF">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_Toc18913 </w:instrText>
          </w:r>
          <w:r>
            <w:rPr>
              <w:rFonts w:hint="eastAsia" w:ascii="仿宋" w:hAnsi="仿宋" w:eastAsia="仿宋" w:cs="仿宋"/>
              <w:color w:val="auto"/>
              <w:sz w:val="28"/>
              <w:szCs w:val="28"/>
              <w:highlight w:val="none"/>
            </w:rPr>
            <w:fldChar w:fldCharType="separate"/>
          </w:r>
          <w:r>
            <w:rPr>
              <w:rFonts w:hint="default" w:ascii="仿宋" w:hAnsi="仿宋" w:eastAsia="仿宋" w:cs="仿宋"/>
              <w:color w:val="auto"/>
              <w:sz w:val="28"/>
              <w:szCs w:val="28"/>
              <w:highlight w:val="none"/>
            </w:rPr>
            <w:t xml:space="preserve">二、 </w:t>
          </w:r>
          <w:r>
            <w:rPr>
              <w:rFonts w:hint="eastAsia" w:ascii="仿宋" w:hAnsi="仿宋" w:eastAsia="仿宋" w:cs="仿宋"/>
              <w:color w:val="auto"/>
              <w:sz w:val="28"/>
              <w:szCs w:val="28"/>
              <w:highlight w:val="none"/>
            </w:rPr>
            <w:t>收入决算情况说明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_Toc18913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A6E8F14">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_Toc7020 </w:instrText>
          </w:r>
          <w:r>
            <w:rPr>
              <w:rFonts w:hint="eastAsia" w:ascii="仿宋" w:hAnsi="仿宋" w:eastAsia="仿宋" w:cs="仿宋"/>
              <w:color w:val="auto"/>
              <w:sz w:val="28"/>
              <w:szCs w:val="28"/>
              <w:highlight w:val="none"/>
            </w:rPr>
            <w:fldChar w:fldCharType="separate"/>
          </w:r>
          <w:r>
            <w:rPr>
              <w:rFonts w:hint="default" w:ascii="仿宋" w:hAnsi="仿宋" w:eastAsia="仿宋" w:cs="仿宋"/>
              <w:color w:val="auto"/>
              <w:sz w:val="28"/>
              <w:szCs w:val="28"/>
              <w:highlight w:val="none"/>
            </w:rPr>
            <w:t xml:space="preserve">三、 </w:t>
          </w:r>
          <w:r>
            <w:rPr>
              <w:rFonts w:hint="eastAsia" w:ascii="仿宋" w:hAnsi="仿宋" w:eastAsia="仿宋" w:cs="仿宋"/>
              <w:color w:val="auto"/>
              <w:sz w:val="28"/>
              <w:szCs w:val="28"/>
              <w:highlight w:val="none"/>
            </w:rPr>
            <w:t>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_Toc7020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186C5DD">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_Toc11185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四、财政拨款收入支出决算总体情况说明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_Toc11185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D9427E9">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_Toc11749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五、一般公共预算财政拨款支出决算情况说明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_Toc11749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149E1AE">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六、一般公共预算财政拨款基本支出决算情况说明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_Toc2354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64C0CE4">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_Toc8382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七、财政拨款“三公”经费支出决算情况说明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_Toc8382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22DB406">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_Toc12340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八、政府性基金预算支出决算情况说明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_Toc12340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376630D">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_Toc18482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九、 国有资本经营预算支出决算情况说明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_Toc18482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0AAD198">
          <w:pPr>
            <w:pStyle w:val="38"/>
            <w:tabs>
              <w:tab w:val="right" w:leader="dot" w:pos="8306"/>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十、 其他重要事项的情况说明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E5C5131">
          <w:pPr>
            <w:pStyle w:val="37"/>
            <w:tabs>
              <w:tab w:val="right" w:leader="dot" w:pos="8306"/>
            </w:tabs>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HYPERLINK \l _Toc2128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第三部分 名词解释</w:t>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PAGEREF _Toc2128 \h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14</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fldChar w:fldCharType="end"/>
          </w:r>
        </w:p>
        <w:p w14:paraId="510E5E89">
          <w:pPr>
            <w:pStyle w:val="37"/>
            <w:tabs>
              <w:tab w:val="right" w:leader="dot" w:pos="8306"/>
            </w:tabs>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HYPERLINK \l _Toc26151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第四部分 附件</w:t>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PAGEREF _Toc26151 \h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17</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fldChar w:fldCharType="end"/>
          </w:r>
        </w:p>
        <w:p w14:paraId="7652F488">
          <w:pPr>
            <w:pStyle w:val="37"/>
            <w:tabs>
              <w:tab w:val="right" w:leader="dot" w:pos="8306"/>
            </w:tabs>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HYPERLINK \l _Toc30169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第五部分 附表</w:t>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PAGEREF _Toc30169 \h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24</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fldChar w:fldCharType="end"/>
          </w:r>
        </w:p>
        <w:p w14:paraId="539CD43E">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_Toc17773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一、收入支出决算总表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_Toc17773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EAED4D8">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_Toc16739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二、收入决算表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_Toc16739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B5E28DB">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_Toc6491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_Toc6491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C9AB021">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_Toc18967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四、财政拨款收入支出决算总表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_Toc18967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11906C6">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_Toc31080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五、财政拨款支出决算明细表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_Toc31080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067B8E2">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_Toc9368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六、一般公共预算财政拨款支出决算表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_Toc9368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3054D63">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_Toc16010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七、一般公共预算财政拨款支出决算明细表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_Toc16010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76AC629">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_Toc2403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八、一般公共预算财政拨款基本支出决算表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_Toc2403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F720EA0">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_Toc23872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九、一般公共预算财政拨款项目支出决算表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_Toc23872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BC3748A">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_Toc2332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十、政府性基金预算财政拨款收入支出决算表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_Toc2332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BE95E2C">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十一、国有资本经营预算财政拨款收入支出决算表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AA9DFD8">
          <w:pPr>
            <w:pStyle w:val="38"/>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_Toc4232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十二、国有资本经营预算财政拨款支出决算表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_Toc4232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BB375F7">
          <w:pPr>
            <w:pStyle w:val="38"/>
            <w:tabs>
              <w:tab w:val="right" w:leader="dot" w:pos="8306"/>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_Toc32102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十三、财政拨款“三公”经费支出决算表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_Toc32102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F5755FC">
          <w:pPr>
            <w:rPr>
              <w:b/>
            </w:rPr>
          </w:pPr>
          <w:r>
            <w:rPr>
              <w:b/>
            </w:rPr>
            <w:fldChar w:fldCharType="end"/>
          </w:r>
        </w:p>
      </w:sdtContent>
    </w:sdt>
    <w:p w14:paraId="16DACFBD">
      <w:pPr>
        <w:rPr>
          <w:b/>
        </w:rPr>
      </w:pPr>
    </w:p>
    <w:p w14:paraId="532647BE">
      <w:pPr>
        <w:widowControl/>
        <w:spacing w:line="440" w:lineRule="exact"/>
        <w:jc w:val="left"/>
        <w:rPr>
          <w:rFonts w:ascii="仿宋" w:hAnsi="仿宋" w:eastAsia="仿宋"/>
          <w:bCs/>
          <w:kern w:val="44"/>
          <w:sz w:val="24"/>
        </w:rPr>
      </w:pPr>
      <w:r>
        <w:rPr>
          <w:rFonts w:ascii="仿宋" w:hAnsi="仿宋" w:eastAsia="仿宋"/>
          <w:b/>
          <w:sz w:val="24"/>
        </w:rPr>
        <w:br w:type="page"/>
      </w:r>
    </w:p>
    <w:p w14:paraId="59ACCE2A">
      <w:pPr>
        <w:pStyle w:val="2"/>
        <w:jc w:val="center"/>
        <w:rPr>
          <w:rFonts w:ascii="黑体" w:eastAsia="黑体"/>
          <w:sz w:val="32"/>
          <w:szCs w:val="32"/>
        </w:rPr>
      </w:pPr>
      <w:bookmarkStart w:id="16" w:name="_Toc27726"/>
      <w:r>
        <w:rPr>
          <w:rFonts w:hint="eastAsia" w:ascii="黑体" w:hAnsi="黑体" w:eastAsia="黑体"/>
          <w:b w:val="0"/>
        </w:rPr>
        <w:t>第一部分 单位</w:t>
      </w:r>
      <w:r>
        <w:rPr>
          <w:rStyle w:val="30"/>
          <w:rFonts w:hint="eastAsia" w:ascii="黑体" w:hAnsi="黑体" w:eastAsia="黑体"/>
          <w:b w:val="0"/>
          <w:bCs w:val="0"/>
        </w:rPr>
        <w:t>概况</w:t>
      </w:r>
      <w:bookmarkEnd w:id="14"/>
      <w:bookmarkEnd w:id="15"/>
      <w:bookmarkEnd w:id="16"/>
    </w:p>
    <w:p w14:paraId="1529DAF2">
      <w:pPr>
        <w:pStyle w:val="3"/>
        <w:numPr>
          <w:ilvl w:val="0"/>
          <w:numId w:val="1"/>
        </w:numPr>
        <w:rPr>
          <w:rStyle w:val="31"/>
          <w:rFonts w:ascii="黑体" w:hAnsi="黑体" w:eastAsia="黑体"/>
          <w:b w:val="0"/>
          <w:bCs w:val="0"/>
        </w:rPr>
      </w:pPr>
      <w:bookmarkStart w:id="17" w:name="_Toc614"/>
      <w:bookmarkStart w:id="18" w:name="_Toc15396600"/>
      <w:bookmarkStart w:id="19" w:name="_Toc15377197"/>
      <w:r>
        <w:rPr>
          <w:rStyle w:val="31"/>
          <w:rFonts w:hint="eastAsia" w:ascii="黑体" w:hAnsi="黑体" w:eastAsia="黑体"/>
          <w:b w:val="0"/>
          <w:bCs w:val="0"/>
        </w:rPr>
        <w:t>主要职责</w:t>
      </w:r>
      <w:bookmarkEnd w:id="17"/>
    </w:p>
    <w:p w14:paraId="2D77CC42">
      <w:pPr>
        <w:pStyle w:val="16"/>
        <w:keepNext w:val="0"/>
        <w:keepLines w:val="0"/>
        <w:pageBreakBefore w:val="0"/>
        <w:widowControl/>
        <w:suppressLineNumbers w:val="0"/>
        <w:kinsoku/>
        <w:wordWrap/>
        <w:overflowPunct/>
        <w:topLinePunct w:val="0"/>
        <w:autoSpaceDE/>
        <w:autoSpaceDN/>
        <w:bidi w:val="0"/>
        <w:snapToGrid w:val="0"/>
        <w:spacing w:before="0" w:beforeAutospacing="0" w:after="0" w:afterAutospacing="0" w:line="560" w:lineRule="exact"/>
        <w:ind w:right="0" w:firstLine="640" w:firstLineChars="200"/>
        <w:jc w:val="left"/>
        <w:textAlignment w:val="auto"/>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小金</w:t>
      </w:r>
      <w:r>
        <w:rPr>
          <w:rFonts w:hint="eastAsia" w:ascii="仿宋" w:hAnsi="仿宋" w:eastAsia="仿宋"/>
          <w:bCs/>
          <w:color w:val="000000"/>
          <w:sz w:val="32"/>
          <w:szCs w:val="32"/>
        </w:rPr>
        <w:t>县人民检察院是国家的法律监督机关，在阿坝州人民检察院领导下，依据宪法和法律独立行使检察权，对</w:t>
      </w:r>
      <w:r>
        <w:rPr>
          <w:rFonts w:hint="eastAsia" w:ascii="仿宋" w:hAnsi="仿宋" w:eastAsia="仿宋"/>
          <w:bCs/>
          <w:color w:val="000000"/>
          <w:sz w:val="32"/>
          <w:szCs w:val="32"/>
          <w:lang w:eastAsia="zh-CN"/>
        </w:rPr>
        <w:t>小金</w:t>
      </w:r>
      <w:r>
        <w:rPr>
          <w:rFonts w:hint="eastAsia" w:ascii="仿宋" w:hAnsi="仿宋" w:eastAsia="仿宋"/>
          <w:bCs/>
          <w:color w:val="000000"/>
          <w:sz w:val="32"/>
          <w:szCs w:val="32"/>
        </w:rPr>
        <w:t>县人民代表大会及其常务委员会负责并报告工作。其主要职责是：</w:t>
      </w:r>
    </w:p>
    <w:p w14:paraId="7923117B">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 xml:space="preserve"> 1</w:t>
      </w:r>
      <w:r>
        <w:rPr>
          <w:rFonts w:hint="eastAsia" w:ascii="仿宋" w:hAnsi="仿宋" w:eastAsia="仿宋"/>
          <w:bCs/>
          <w:color w:val="000000"/>
          <w:sz w:val="32"/>
          <w:szCs w:val="32"/>
        </w:rPr>
        <w:t>、执行国家法律法规，贯彻落实上级人民检察院、同级党委工作部署，制定检察工作目标，完成各项检察工作任务。</w:t>
      </w:r>
    </w:p>
    <w:p w14:paraId="74D8CB47">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 xml:space="preserve"> 2</w:t>
      </w:r>
      <w:r>
        <w:rPr>
          <w:rFonts w:hint="eastAsia" w:ascii="仿宋" w:hAnsi="仿宋" w:eastAsia="仿宋"/>
          <w:bCs/>
          <w:color w:val="000000"/>
          <w:sz w:val="32"/>
          <w:szCs w:val="32"/>
        </w:rPr>
        <w:t>、依法办理审查批准逮捕、决定逮捕案件，实施立案侦查监督、侦查活动监督。</w:t>
      </w:r>
    </w:p>
    <w:p w14:paraId="1C2B258E">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、依法办理审查起诉、提起公诉、抗诉案件，对人民法院刑事审判活动实行监督工作。</w:t>
      </w:r>
    </w:p>
    <w:p w14:paraId="60F011E4">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、对刑罚执行和监管活动实行监督，维护刑罚执行和监管活动的公平公正，维护监管秩序稳定。</w:t>
      </w:r>
    </w:p>
    <w:p w14:paraId="6D951886">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、受理公民的报案、举报、控告和刑事申诉，依法处理举报线索，办理刑事申诉、国家赔偿、司法救助案件。</w:t>
      </w:r>
    </w:p>
    <w:p w14:paraId="22E72E2C">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、对人民法院民事诉讼和行政诉讼实行法律监督。</w:t>
      </w:r>
    </w:p>
    <w:p w14:paraId="7DA528B3">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、开展涉及生态环境保护的检察工作。</w:t>
      </w:r>
    </w:p>
    <w:p w14:paraId="4E9A09BB">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、开展未成年人检察工作。</w:t>
      </w:r>
    </w:p>
    <w:p w14:paraId="71877742">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、负责检察队伍建设和思想政治工作，对检察人员进行教育培训，负责检察机关党的思想、组织、作风建设。</w:t>
      </w:r>
    </w:p>
    <w:p w14:paraId="1AD9791F">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10</w:t>
      </w:r>
      <w:r>
        <w:rPr>
          <w:rFonts w:hint="eastAsia" w:ascii="仿宋" w:hAnsi="仿宋" w:eastAsia="仿宋"/>
          <w:bCs/>
          <w:color w:val="000000"/>
          <w:sz w:val="32"/>
          <w:szCs w:val="32"/>
        </w:rPr>
        <w:t>、按照干部管理权限，协同地方党委、上级人民检察院管理本院检察人员，提请本级人民代表大会常务委员会决定任免副检察长、检察委员会委员、检察员。</w:t>
      </w:r>
    </w:p>
    <w:p w14:paraId="19946EB4">
      <w:pPr>
        <w:pStyle w:val="5"/>
        <w:keepNext w:val="0"/>
        <w:keepLines w:val="0"/>
        <w:pageBreakBefore w:val="0"/>
        <w:widowControl w:val="0"/>
        <w:kinsoku/>
        <w:wordWrap/>
        <w:overflowPunct/>
        <w:topLinePunct w:val="0"/>
        <w:autoSpaceDE/>
        <w:autoSpaceDN/>
        <w:bidi w:val="0"/>
        <w:adjustRightInd w:val="0"/>
        <w:snapToGrid w:val="0"/>
        <w:spacing w:beforeLines="0" w:beforeAutospacing="0" w:afterAutospacing="0" w:line="560"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11</w:t>
      </w:r>
      <w:r>
        <w:rPr>
          <w:rFonts w:hint="eastAsia" w:ascii="仿宋" w:hAnsi="仿宋" w:eastAsia="仿宋"/>
          <w:bCs/>
          <w:color w:val="000000"/>
          <w:sz w:val="32"/>
          <w:szCs w:val="32"/>
        </w:rPr>
        <w:t>、规划落实检察机关财务装备工作，开展检察机关信息化建设、检察技术工作。</w:t>
      </w:r>
    </w:p>
    <w:p w14:paraId="3372CD90">
      <w:pPr>
        <w:ind w:firstLine="640" w:firstLineChars="200"/>
      </w:pPr>
      <w:r>
        <w:rPr>
          <w:rFonts w:hint="eastAsia" w:ascii="仿宋" w:hAnsi="仿宋" w:eastAsia="仿宋"/>
          <w:bCs/>
          <w:color w:val="000000"/>
          <w:sz w:val="32"/>
          <w:szCs w:val="32"/>
          <w:lang w:val="en-US" w:eastAsia="zh-CN"/>
        </w:rPr>
        <w:t>12</w:t>
      </w:r>
      <w:r>
        <w:rPr>
          <w:rFonts w:hint="eastAsia" w:ascii="仿宋" w:hAnsi="仿宋" w:eastAsia="仿宋"/>
          <w:bCs/>
          <w:color w:val="000000"/>
          <w:sz w:val="32"/>
          <w:szCs w:val="32"/>
        </w:rPr>
        <w:t>、负责其他应当由县级人民检察院承办的事项。</w:t>
      </w:r>
    </w:p>
    <w:p w14:paraId="09B89DC6">
      <w:pPr>
        <w:pStyle w:val="3"/>
        <w:rPr>
          <w:rFonts w:ascii="黑体" w:hAnsi="黑体" w:eastAsia="黑体"/>
          <w:b w:val="0"/>
        </w:rPr>
      </w:pPr>
      <w:bookmarkStart w:id="20" w:name="_Toc17754"/>
      <w:r>
        <w:rPr>
          <w:rFonts w:hint="eastAsia" w:ascii="黑体" w:hAnsi="黑体" w:eastAsia="黑体"/>
          <w:b w:val="0"/>
        </w:rPr>
        <w:t>二、机构设置</w:t>
      </w:r>
      <w:bookmarkEnd w:id="20"/>
    </w:p>
    <w:bookmarkEnd w:id="18"/>
    <w:bookmarkEnd w:id="19"/>
    <w:p w14:paraId="4C5EAC8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我院独立核算机构1个，是独立编报预算的单位，院内设机构五个，分别第一检察部，第二检察部，第三检察部，政治处，办公室。</w:t>
      </w:r>
    </w:p>
    <w:p w14:paraId="6873A934">
      <w:pPr>
        <w:widowControl/>
        <w:jc w:val="left"/>
        <w:rPr>
          <w:rFonts w:ascii="仿宋" w:hAnsi="仿宋" w:eastAsia="仿宋"/>
          <w:kern w:val="0"/>
          <w:sz w:val="32"/>
          <w:szCs w:val="32"/>
        </w:rPr>
      </w:pPr>
      <w:r>
        <w:rPr>
          <w:rFonts w:ascii="仿宋" w:hAnsi="仿宋" w:eastAsia="仿宋"/>
          <w:sz w:val="32"/>
          <w:szCs w:val="32"/>
        </w:rPr>
        <w:br w:type="page"/>
      </w:r>
    </w:p>
    <w:p w14:paraId="0F78B307">
      <w:pPr>
        <w:pStyle w:val="2"/>
        <w:ind w:right="440"/>
        <w:jc w:val="center"/>
        <w:rPr>
          <w:rStyle w:val="30"/>
          <w:rFonts w:ascii="黑体" w:hAnsi="黑体" w:eastAsia="黑体"/>
          <w:b w:val="0"/>
          <w:bCs/>
        </w:rPr>
      </w:pPr>
      <w:bookmarkStart w:id="21" w:name="_Toc2360"/>
      <w:bookmarkStart w:id="22" w:name="_Toc15396602"/>
      <w:bookmarkStart w:id="23"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0"/>
          <w:rFonts w:hint="eastAsia" w:ascii="黑体" w:hAnsi="黑体" w:eastAsia="黑体"/>
          <w:b w:val="0"/>
          <w:bCs/>
        </w:rPr>
        <w:t>单位决算情况说明</w:t>
      </w:r>
      <w:bookmarkEnd w:id="21"/>
      <w:bookmarkEnd w:id="22"/>
      <w:bookmarkEnd w:id="23"/>
    </w:p>
    <w:p w14:paraId="0AA1654E"/>
    <w:p w14:paraId="38D98772">
      <w:pPr>
        <w:pStyle w:val="29"/>
        <w:numPr>
          <w:ilvl w:val="0"/>
          <w:numId w:val="2"/>
        </w:numPr>
        <w:spacing w:line="600" w:lineRule="exact"/>
        <w:ind w:firstLineChars="0"/>
        <w:outlineLvl w:val="1"/>
        <w:rPr>
          <w:rStyle w:val="31"/>
          <w:rFonts w:ascii="黑体" w:hAnsi="黑体" w:eastAsia="黑体"/>
          <w:b w:val="0"/>
        </w:rPr>
      </w:pPr>
      <w:bookmarkStart w:id="24" w:name="_Toc15396603"/>
      <w:bookmarkStart w:id="25" w:name="_Toc15377205"/>
      <w:bookmarkStart w:id="26" w:name="_Toc541"/>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bookmarkEnd w:id="26"/>
    </w:p>
    <w:p w14:paraId="10411E6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val="0"/>
          <w:bCs/>
          <w:sz w:val="32"/>
          <w:szCs w:val="32"/>
          <w:lang w:val="en-US" w:eastAsia="zh-CN"/>
        </w:rPr>
        <w:t>767.33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年度相比，收、支总计各减少</w:t>
      </w:r>
      <w:r>
        <w:rPr>
          <w:rFonts w:hint="eastAsia" w:ascii="仿宋" w:hAnsi="仿宋" w:eastAsia="仿宋"/>
          <w:sz w:val="32"/>
          <w:szCs w:val="32"/>
          <w:lang w:val="en-US" w:eastAsia="zh-CN"/>
        </w:rPr>
        <w:t>82.48</w:t>
      </w:r>
      <w:r>
        <w:rPr>
          <w:rFonts w:hint="eastAsia" w:ascii="仿宋" w:hAnsi="仿宋" w:eastAsia="仿宋"/>
          <w:sz w:val="32"/>
          <w:szCs w:val="32"/>
        </w:rPr>
        <w:t>万元，下降</w:t>
      </w:r>
      <w:r>
        <w:rPr>
          <w:rFonts w:hint="eastAsia" w:ascii="仿宋" w:hAnsi="仿宋" w:eastAsia="仿宋"/>
          <w:sz w:val="32"/>
          <w:szCs w:val="32"/>
          <w:lang w:val="en-US" w:eastAsia="zh-CN"/>
        </w:rPr>
        <w:t>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其他收入收支较去年下降</w:t>
      </w:r>
      <w:r>
        <w:rPr>
          <w:rFonts w:hint="eastAsia" w:ascii="仿宋" w:hAnsi="仿宋" w:eastAsia="仿宋"/>
          <w:sz w:val="32"/>
          <w:szCs w:val="32"/>
        </w:rPr>
        <w:t>。</w:t>
      </w:r>
    </w:p>
    <w:p w14:paraId="580EAB0D">
      <w:pPr>
        <w:pStyle w:val="9"/>
        <w:rPr>
          <w:rFonts w:hint="eastAsia" w:ascii="仿宋" w:hAnsi="仿宋" w:eastAsia="仿宋"/>
          <w:sz w:val="32"/>
          <w:szCs w:val="32"/>
        </w:rPr>
      </w:pPr>
      <w:r>
        <w:drawing>
          <wp:inline distT="0" distB="0" distL="114300" distR="114300">
            <wp:extent cx="4572000" cy="3032760"/>
            <wp:effectExtent l="4445" t="4445" r="10795" b="10795"/>
            <wp:docPr id="156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87F7B1">
      <w:pPr>
        <w:pStyle w:val="5"/>
        <w:spacing w:after="0" w:line="240" w:lineRule="auto"/>
        <w:jc w:val="cente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37CBF853">
      <w:pPr>
        <w:pStyle w:val="29"/>
        <w:numPr>
          <w:ilvl w:val="0"/>
          <w:numId w:val="2"/>
        </w:numPr>
        <w:spacing w:line="600" w:lineRule="exact"/>
        <w:ind w:firstLineChars="0"/>
        <w:outlineLvl w:val="1"/>
        <w:rPr>
          <w:rStyle w:val="31"/>
          <w:rFonts w:ascii="黑体" w:hAnsi="黑体" w:eastAsia="黑体"/>
          <w:b w:val="0"/>
        </w:rPr>
      </w:pPr>
      <w:bookmarkStart w:id="27" w:name="_Toc18913"/>
      <w:bookmarkStart w:id="28" w:name="_Toc15377206"/>
      <w:bookmarkStart w:id="29" w:name="_Toc15396604"/>
      <w:r>
        <w:rPr>
          <w:rFonts w:hint="eastAsia" w:ascii="黑体" w:hAnsi="黑体" w:eastAsia="黑体"/>
          <w:sz w:val="32"/>
          <w:szCs w:val="32"/>
        </w:rPr>
        <w:t>收</w:t>
      </w:r>
      <w:r>
        <w:rPr>
          <w:rStyle w:val="31"/>
          <w:rFonts w:hint="eastAsia" w:ascii="黑体" w:hAnsi="黑体" w:eastAsia="黑体"/>
          <w:b w:val="0"/>
        </w:rPr>
        <w:t>入决算情况说明</w:t>
      </w:r>
      <w:bookmarkEnd w:id="27"/>
      <w:bookmarkEnd w:id="28"/>
      <w:bookmarkEnd w:id="29"/>
    </w:p>
    <w:p w14:paraId="310F48AB">
      <w:pPr>
        <w:spacing w:line="600" w:lineRule="exact"/>
        <w:ind w:firstLine="640" w:firstLineChars="200"/>
        <w:outlineLvl w:val="9"/>
        <w:rPr>
          <w:rFonts w:hint="eastAsia" w:ascii="仿宋" w:hAnsi="仿宋" w:eastAsia="仿宋"/>
          <w:b w:val="0"/>
          <w:bCs w:val="0"/>
          <w:sz w:val="32"/>
          <w:szCs w:val="32"/>
          <w:lang w:eastAsia="zh-CN"/>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年度本年收入合计</w:t>
      </w:r>
      <w:r>
        <w:rPr>
          <w:rFonts w:hint="eastAsia" w:ascii="仿宋" w:hAnsi="仿宋" w:eastAsia="仿宋"/>
          <w:b w:val="0"/>
          <w:bCs w:val="0"/>
          <w:sz w:val="32"/>
          <w:szCs w:val="32"/>
          <w:lang w:val="en-US" w:eastAsia="zh-CN"/>
        </w:rPr>
        <w:t>767.33</w:t>
      </w:r>
      <w:r>
        <w:rPr>
          <w:rFonts w:hint="eastAsia" w:ascii="仿宋" w:hAnsi="仿宋" w:eastAsia="仿宋"/>
          <w:b w:val="0"/>
          <w:bCs w:val="0"/>
          <w:sz w:val="32"/>
          <w:szCs w:val="32"/>
        </w:rPr>
        <w:t>万元，其中：一般公共预算财政拨款收入</w:t>
      </w:r>
      <w:r>
        <w:rPr>
          <w:rFonts w:hint="eastAsia" w:ascii="仿宋" w:hAnsi="仿宋" w:eastAsia="仿宋"/>
          <w:b w:val="0"/>
          <w:bCs w:val="0"/>
          <w:sz w:val="32"/>
          <w:szCs w:val="32"/>
          <w:lang w:val="en-US" w:eastAsia="zh-CN"/>
        </w:rPr>
        <w:t>767.33</w:t>
      </w:r>
      <w:r>
        <w:rPr>
          <w:rFonts w:hint="eastAsia" w:ascii="仿宋" w:hAnsi="仿宋" w:eastAsia="仿宋"/>
          <w:b w:val="0"/>
          <w:bCs w:val="0"/>
          <w:sz w:val="32"/>
          <w:szCs w:val="32"/>
        </w:rPr>
        <w:t>万元，占</w:t>
      </w:r>
      <w:r>
        <w:rPr>
          <w:rFonts w:ascii="仿宋" w:hAnsi="仿宋" w:eastAsia="仿宋"/>
          <w:b w:val="0"/>
          <w:bCs w:val="0"/>
          <w:sz w:val="32"/>
          <w:szCs w:val="32"/>
        </w:rPr>
        <w:t>100%</w:t>
      </w:r>
      <w:r>
        <w:rPr>
          <w:rFonts w:hint="eastAsia" w:ascii="仿宋" w:hAnsi="仿宋" w:eastAsia="仿宋"/>
          <w:b w:val="0"/>
          <w:bCs w:val="0"/>
          <w:sz w:val="32"/>
          <w:szCs w:val="32"/>
          <w:lang w:eastAsia="zh-CN"/>
        </w:rPr>
        <w:t>。</w:t>
      </w:r>
    </w:p>
    <w:p w14:paraId="0120C2A2">
      <w:pPr>
        <w:pStyle w:val="14"/>
        <w:rPr>
          <w:rFonts w:hint="eastAsia"/>
          <w:lang w:eastAsia="zh-CN"/>
        </w:rPr>
      </w:pPr>
    </w:p>
    <w:p w14:paraId="0553EAC7">
      <w:pPr>
        <w:pStyle w:val="14"/>
      </w:pPr>
      <w:r>
        <w:drawing>
          <wp:inline distT="0" distB="0" distL="114300" distR="114300">
            <wp:extent cx="5115560" cy="3508375"/>
            <wp:effectExtent l="4445" t="4445" r="15875" b="7620"/>
            <wp:docPr id="155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B8EA44">
      <w:pPr>
        <w:spacing w:line="600" w:lineRule="exact"/>
        <w:ind w:firstLine="640" w:firstLineChars="200"/>
        <w:jc w:val="center"/>
        <w:rPr>
          <w:rFonts w:hint="eastAsia"/>
          <w:lang w:val="en-US" w:eastAsia="zh-CN"/>
        </w:rPr>
      </w:pPr>
      <w:r>
        <w:rPr>
          <w:rFonts w:hint="eastAsia" w:ascii="仿宋" w:hAnsi="仿宋" w:eastAsia="仿宋"/>
          <w:color w:val="auto"/>
          <w:sz w:val="32"/>
          <w:szCs w:val="32"/>
          <w:highlight w:val="none"/>
        </w:rPr>
        <w:t>（图2：收入决算结构图）</w:t>
      </w:r>
    </w:p>
    <w:p w14:paraId="10861040">
      <w:pPr>
        <w:pStyle w:val="29"/>
        <w:numPr>
          <w:ilvl w:val="0"/>
          <w:numId w:val="2"/>
        </w:numPr>
        <w:spacing w:line="600" w:lineRule="exact"/>
        <w:ind w:firstLineChars="0"/>
        <w:outlineLvl w:val="1"/>
        <w:rPr>
          <w:rStyle w:val="31"/>
          <w:rFonts w:ascii="黑体" w:hAnsi="黑体" w:eastAsia="黑体"/>
          <w:b w:val="0"/>
        </w:rPr>
      </w:pPr>
      <w:bookmarkStart w:id="30" w:name="_Toc15377207"/>
      <w:bookmarkStart w:id="31" w:name="_Toc7020"/>
      <w:bookmarkStart w:id="32" w:name="_Toc15396605"/>
      <w:r>
        <w:rPr>
          <w:rFonts w:hint="eastAsia" w:ascii="黑体" w:hAnsi="黑体" w:eastAsia="黑体"/>
          <w:sz w:val="32"/>
          <w:szCs w:val="32"/>
        </w:rPr>
        <w:t>支</w:t>
      </w:r>
      <w:r>
        <w:rPr>
          <w:rStyle w:val="31"/>
          <w:rFonts w:hint="eastAsia" w:ascii="黑体" w:hAnsi="黑体" w:eastAsia="黑体"/>
          <w:b w:val="0"/>
        </w:rPr>
        <w:t>出决算情况说明</w:t>
      </w:r>
      <w:bookmarkEnd w:id="30"/>
      <w:bookmarkEnd w:id="31"/>
      <w:bookmarkEnd w:id="32"/>
    </w:p>
    <w:p w14:paraId="7C45AA98">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767.33</w:t>
      </w:r>
      <w:r>
        <w:rPr>
          <w:rFonts w:hint="eastAsia" w:ascii="仿宋" w:hAnsi="仿宋" w:eastAsia="仿宋"/>
          <w:sz w:val="32"/>
          <w:szCs w:val="32"/>
        </w:rPr>
        <w:t>万元，其中：基本支出</w:t>
      </w:r>
      <w:r>
        <w:rPr>
          <w:rFonts w:hint="eastAsia" w:ascii="仿宋" w:hAnsi="仿宋" w:eastAsia="仿宋"/>
          <w:b/>
          <w:sz w:val="32"/>
          <w:szCs w:val="32"/>
          <w:lang w:val="en-US" w:eastAsia="zh-CN"/>
        </w:rPr>
        <w:t>575.83</w:t>
      </w:r>
      <w:r>
        <w:rPr>
          <w:rFonts w:hint="eastAsia" w:ascii="仿宋" w:hAnsi="仿宋" w:eastAsia="仿宋"/>
          <w:sz w:val="32"/>
          <w:szCs w:val="32"/>
        </w:rPr>
        <w:t>万元，占</w:t>
      </w:r>
      <w:r>
        <w:rPr>
          <w:rFonts w:ascii="仿宋" w:hAnsi="仿宋" w:eastAsia="仿宋"/>
          <w:b/>
          <w:sz w:val="32"/>
          <w:szCs w:val="32"/>
        </w:rPr>
        <w:t>71.25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191.50</w:t>
      </w:r>
      <w:r>
        <w:rPr>
          <w:rFonts w:hint="eastAsia" w:ascii="仿宋" w:hAnsi="仿宋" w:eastAsia="仿宋"/>
          <w:sz w:val="32"/>
          <w:szCs w:val="32"/>
        </w:rPr>
        <w:t>万元，占</w:t>
      </w:r>
      <w:r>
        <w:rPr>
          <w:rFonts w:ascii="仿宋" w:hAnsi="仿宋" w:eastAsia="仿宋"/>
          <w:b/>
          <w:sz w:val="32"/>
          <w:szCs w:val="32"/>
        </w:rPr>
        <w:t>28.74</w:t>
      </w:r>
      <w:r>
        <w:rPr>
          <w:rFonts w:ascii="仿宋" w:hAnsi="仿宋" w:eastAsia="仿宋"/>
          <w:sz w:val="32"/>
          <w:szCs w:val="32"/>
        </w:rPr>
        <w:t>%</w:t>
      </w:r>
      <w:r>
        <w:rPr>
          <w:rFonts w:hint="eastAsia" w:ascii="仿宋" w:hAnsi="仿宋" w:eastAsia="仿宋"/>
          <w:sz w:val="32"/>
          <w:szCs w:val="32"/>
        </w:rPr>
        <w:t>。</w:t>
      </w:r>
    </w:p>
    <w:p w14:paraId="544FF04E">
      <w:pPr>
        <w:spacing w:line="600" w:lineRule="exact"/>
        <w:ind w:firstLine="420" w:firstLineChars="200"/>
        <w:outlineLvl w:val="9"/>
        <w:rPr>
          <w:rFonts w:hint="eastAsia" w:ascii="黑体" w:hAnsi="黑体" w:eastAsia="黑体"/>
          <w:sz w:val="32"/>
          <w:szCs w:val="32"/>
        </w:rPr>
      </w:pPr>
      <w:bookmarkStart w:id="33" w:name="_Toc15377208"/>
      <w:bookmarkStart w:id="34" w:name="_Toc15396606"/>
      <w:r>
        <w:drawing>
          <wp:anchor distT="0" distB="0" distL="114300" distR="114300" simplePos="0" relativeHeight="251659264" behindDoc="0" locked="0" layoutInCell="1" allowOverlap="1">
            <wp:simplePos x="0" y="0"/>
            <wp:positionH relativeFrom="column">
              <wp:posOffset>567690</wp:posOffset>
            </wp:positionH>
            <wp:positionV relativeFrom="paragraph">
              <wp:posOffset>215265</wp:posOffset>
            </wp:positionV>
            <wp:extent cx="4210050" cy="2639695"/>
            <wp:effectExtent l="4445" t="5080" r="6985" b="6985"/>
            <wp:wrapNone/>
            <wp:docPr id="1552"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C0A267A">
      <w:pPr>
        <w:spacing w:line="600" w:lineRule="exact"/>
        <w:ind w:firstLine="640" w:firstLineChars="200"/>
        <w:outlineLvl w:val="9"/>
        <w:rPr>
          <w:rFonts w:hint="eastAsia" w:ascii="黑体" w:hAnsi="黑体" w:eastAsia="黑体"/>
          <w:sz w:val="32"/>
          <w:szCs w:val="32"/>
        </w:rPr>
      </w:pPr>
    </w:p>
    <w:p w14:paraId="537C18DE">
      <w:pPr>
        <w:spacing w:line="600" w:lineRule="exact"/>
        <w:ind w:firstLine="640" w:firstLineChars="200"/>
        <w:outlineLvl w:val="9"/>
        <w:rPr>
          <w:rFonts w:hint="eastAsia" w:ascii="黑体" w:hAnsi="黑体" w:eastAsia="黑体"/>
          <w:sz w:val="32"/>
          <w:szCs w:val="32"/>
        </w:rPr>
      </w:pPr>
    </w:p>
    <w:p w14:paraId="41A58C6A">
      <w:pPr>
        <w:spacing w:line="600" w:lineRule="exact"/>
        <w:ind w:firstLine="640" w:firstLineChars="200"/>
        <w:outlineLvl w:val="9"/>
        <w:rPr>
          <w:rFonts w:hint="eastAsia" w:ascii="黑体" w:hAnsi="黑体" w:eastAsia="黑体"/>
          <w:sz w:val="32"/>
          <w:szCs w:val="32"/>
        </w:rPr>
      </w:pPr>
    </w:p>
    <w:p w14:paraId="112387E2">
      <w:pPr>
        <w:spacing w:line="600" w:lineRule="exact"/>
        <w:ind w:firstLine="640" w:firstLineChars="200"/>
        <w:outlineLvl w:val="9"/>
        <w:rPr>
          <w:rFonts w:hint="eastAsia" w:ascii="黑体" w:hAnsi="黑体" w:eastAsia="黑体"/>
          <w:sz w:val="32"/>
          <w:szCs w:val="32"/>
        </w:rPr>
      </w:pPr>
    </w:p>
    <w:p w14:paraId="043B3AF2">
      <w:pPr>
        <w:spacing w:line="600" w:lineRule="exact"/>
        <w:ind w:firstLine="640" w:firstLineChars="200"/>
        <w:outlineLvl w:val="9"/>
        <w:rPr>
          <w:rFonts w:hint="eastAsia" w:ascii="黑体" w:hAnsi="黑体" w:eastAsia="黑体"/>
          <w:sz w:val="32"/>
          <w:szCs w:val="32"/>
        </w:rPr>
      </w:pPr>
    </w:p>
    <w:p w14:paraId="34F350F1">
      <w:pPr>
        <w:spacing w:line="600" w:lineRule="exact"/>
        <w:ind w:firstLine="640" w:firstLineChars="200"/>
        <w:outlineLvl w:val="9"/>
        <w:rPr>
          <w:rFonts w:hint="eastAsia" w:ascii="黑体" w:hAnsi="黑体" w:eastAsia="黑体"/>
          <w:sz w:val="32"/>
          <w:szCs w:val="32"/>
        </w:rPr>
      </w:pPr>
    </w:p>
    <w:p w14:paraId="2EE01811">
      <w:pPr>
        <w:pStyle w:val="14"/>
        <w:rPr>
          <w:rFonts w:hint="eastAsia" w:ascii="黑体" w:hAnsi="黑体" w:eastAsia="黑体"/>
          <w:sz w:val="32"/>
          <w:szCs w:val="32"/>
        </w:rPr>
      </w:pPr>
    </w:p>
    <w:p w14:paraId="106DDE58">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14:paraId="286366DF">
      <w:pPr>
        <w:pStyle w:val="7"/>
        <w:rPr>
          <w:rFonts w:hint="eastAsia"/>
        </w:rPr>
      </w:pPr>
    </w:p>
    <w:p w14:paraId="3B6C6D84">
      <w:pPr>
        <w:spacing w:line="600" w:lineRule="exact"/>
        <w:ind w:firstLine="640" w:firstLineChars="200"/>
        <w:outlineLvl w:val="1"/>
        <w:rPr>
          <w:rStyle w:val="31"/>
          <w:rFonts w:ascii="黑体" w:hAnsi="黑体" w:eastAsia="黑体"/>
          <w:b w:val="0"/>
        </w:rPr>
      </w:pPr>
      <w:bookmarkStart w:id="35" w:name="_Toc11185"/>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3"/>
      <w:bookmarkEnd w:id="34"/>
      <w:bookmarkEnd w:id="35"/>
    </w:p>
    <w:p w14:paraId="66E8FC3B">
      <w:pPr>
        <w:spacing w:line="600" w:lineRule="exact"/>
        <w:ind w:firstLine="640" w:firstLineChars="200"/>
        <w:rPr>
          <w:rFonts w:hint="eastAsia" w:ascii="仿宋" w:hAnsi="仿宋" w:eastAsia="仿宋"/>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767.33</w:t>
      </w:r>
      <w:r>
        <w:rPr>
          <w:rFonts w:hint="eastAsia" w:ascii="仿宋" w:hAnsi="仿宋" w:eastAsia="仿宋"/>
          <w:color w:val="auto"/>
          <w:sz w:val="32"/>
          <w:szCs w:val="32"/>
          <w:highlight w:val="none"/>
        </w:rPr>
        <w:t>万元。</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color w:val="auto"/>
          <w:sz w:val="32"/>
          <w:szCs w:val="32"/>
          <w:highlight w:val="none"/>
        </w:rPr>
        <w:t>财政拨款</w:t>
      </w:r>
      <w:r>
        <w:rPr>
          <w:rFonts w:hint="eastAsia" w:ascii="仿宋" w:hAnsi="仿宋" w:eastAsia="仿宋"/>
          <w:sz w:val="32"/>
          <w:szCs w:val="32"/>
        </w:rPr>
        <w:t>收、支总计各减少</w:t>
      </w:r>
      <w:r>
        <w:rPr>
          <w:rFonts w:hint="eastAsia" w:ascii="仿宋" w:hAnsi="仿宋" w:eastAsia="仿宋"/>
          <w:sz w:val="32"/>
          <w:szCs w:val="32"/>
          <w:lang w:val="en-US" w:eastAsia="zh-CN"/>
        </w:rPr>
        <w:t>82.48</w:t>
      </w:r>
      <w:r>
        <w:rPr>
          <w:rFonts w:hint="eastAsia" w:ascii="仿宋" w:hAnsi="仿宋" w:eastAsia="仿宋"/>
          <w:sz w:val="32"/>
          <w:szCs w:val="32"/>
        </w:rPr>
        <w:t>万元，下降</w:t>
      </w:r>
      <w:r>
        <w:rPr>
          <w:rFonts w:hint="eastAsia" w:ascii="仿宋" w:hAnsi="仿宋" w:eastAsia="仿宋"/>
          <w:sz w:val="32"/>
          <w:szCs w:val="32"/>
          <w:lang w:val="en-US" w:eastAsia="zh-CN"/>
        </w:rPr>
        <w:t>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其他收入收支较去年下降</w:t>
      </w:r>
      <w:r>
        <w:rPr>
          <w:rFonts w:hint="eastAsia" w:ascii="仿宋" w:hAnsi="仿宋" w:eastAsia="仿宋"/>
          <w:sz w:val="32"/>
          <w:szCs w:val="32"/>
        </w:rPr>
        <w:t>。</w:t>
      </w:r>
    </w:p>
    <w:p w14:paraId="22387C37">
      <w:pPr>
        <w:pStyle w:val="14"/>
        <w:rPr>
          <w:rFonts w:hint="eastAsia"/>
        </w:rPr>
      </w:pPr>
    </w:p>
    <w:p w14:paraId="69EFE9D6">
      <w:pPr>
        <w:pStyle w:val="14"/>
        <w:rPr>
          <w:rFonts w:hint="eastAsia" w:ascii="仿宋" w:hAnsi="仿宋" w:eastAsia="仿宋"/>
          <w:sz w:val="32"/>
          <w:szCs w:val="32"/>
        </w:rPr>
      </w:pPr>
      <w:r>
        <w:drawing>
          <wp:inline distT="0" distB="0" distL="114300" distR="114300">
            <wp:extent cx="5269865" cy="2050415"/>
            <wp:effectExtent l="4445" t="4445" r="13970" b="17780"/>
            <wp:docPr id="156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033517">
      <w:pPr>
        <w:spacing w:line="600" w:lineRule="exact"/>
        <w:ind w:firstLine="640" w:firstLineChars="200"/>
        <w:jc w:val="center"/>
        <w:rPr>
          <w:rFonts w:hint="eastAsia" w:ascii="黑体" w:hAnsi="黑体" w:eastAsia="黑体"/>
          <w:sz w:val="32"/>
          <w:szCs w:val="32"/>
        </w:rPr>
      </w:pPr>
      <w:bookmarkStart w:id="36" w:name="_Toc15377209"/>
      <w:bookmarkStart w:id="37" w:name="_Toc15396607"/>
      <w:r>
        <w:rPr>
          <w:rFonts w:hint="eastAsia" w:ascii="仿宋" w:hAnsi="仿宋" w:eastAsia="仿宋"/>
          <w:color w:val="auto"/>
          <w:sz w:val="32"/>
          <w:szCs w:val="32"/>
          <w:highlight w:val="none"/>
        </w:rPr>
        <w:t>（图4：财政拨款收、支决算总计变动情况）</w:t>
      </w:r>
    </w:p>
    <w:p w14:paraId="2DFB4014">
      <w:pPr>
        <w:spacing w:line="600" w:lineRule="exact"/>
        <w:ind w:firstLine="640" w:firstLineChars="200"/>
        <w:outlineLvl w:val="1"/>
        <w:rPr>
          <w:rStyle w:val="31"/>
          <w:rFonts w:ascii="黑体" w:hAnsi="黑体" w:eastAsia="黑体"/>
          <w:b w:val="0"/>
        </w:rPr>
      </w:pPr>
      <w:bookmarkStart w:id="38" w:name="_Toc1174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6"/>
      <w:bookmarkEnd w:id="37"/>
      <w:bookmarkEnd w:id="38"/>
    </w:p>
    <w:p w14:paraId="540E6225">
      <w:pPr>
        <w:spacing w:line="600" w:lineRule="exact"/>
        <w:ind w:firstLine="643" w:firstLineChars="200"/>
        <w:outlineLvl w:val="9"/>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14:paraId="6F174AB8">
      <w:pPr>
        <w:spacing w:line="600" w:lineRule="exact"/>
        <w:ind w:firstLine="640" w:firstLineChars="200"/>
        <w:rPr>
          <w:rFonts w:hint="eastAsia" w:ascii="仿宋" w:hAnsi="仿宋" w:eastAsia="仿宋"/>
          <w:sz w:val="32"/>
          <w:szCs w:val="32"/>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年度一般公共预算财政拨款支出</w:t>
      </w:r>
      <w:r>
        <w:rPr>
          <w:rFonts w:hint="eastAsia" w:ascii="仿宋" w:hAnsi="仿宋" w:eastAsia="仿宋"/>
          <w:b w:val="0"/>
          <w:bCs w:val="0"/>
          <w:sz w:val="32"/>
          <w:szCs w:val="32"/>
          <w:lang w:val="en-US" w:eastAsia="zh-CN"/>
        </w:rPr>
        <w:t>767.33</w:t>
      </w:r>
      <w:r>
        <w:rPr>
          <w:rFonts w:hint="eastAsia" w:ascii="仿宋" w:hAnsi="仿宋" w:eastAsia="仿宋"/>
          <w:b w:val="0"/>
          <w:bCs w:val="0"/>
          <w:sz w:val="32"/>
          <w:szCs w:val="32"/>
        </w:rPr>
        <w:t>万元，占本年支出合计的</w:t>
      </w:r>
      <w:r>
        <w:rPr>
          <w:rFonts w:ascii="仿宋" w:hAnsi="仿宋" w:eastAsia="仿宋"/>
          <w:b w:val="0"/>
          <w:bCs w:val="0"/>
          <w:sz w:val="32"/>
          <w:szCs w:val="32"/>
        </w:rPr>
        <w:t>100%</w:t>
      </w:r>
      <w:r>
        <w:rPr>
          <w:rFonts w:hint="eastAsia" w:ascii="仿宋" w:hAnsi="仿宋" w:eastAsia="仿宋"/>
          <w:b w:val="0"/>
          <w:bCs w:val="0"/>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年度相比，收、支总计各减少</w:t>
      </w:r>
      <w:r>
        <w:rPr>
          <w:rFonts w:hint="eastAsia" w:ascii="仿宋" w:hAnsi="仿宋" w:eastAsia="仿宋"/>
          <w:sz w:val="32"/>
          <w:szCs w:val="32"/>
          <w:lang w:val="en-US" w:eastAsia="zh-CN"/>
        </w:rPr>
        <w:t>82.48</w:t>
      </w:r>
      <w:r>
        <w:rPr>
          <w:rFonts w:hint="eastAsia" w:ascii="仿宋" w:hAnsi="仿宋" w:eastAsia="仿宋"/>
          <w:sz w:val="32"/>
          <w:szCs w:val="32"/>
        </w:rPr>
        <w:t>万元，下降</w:t>
      </w:r>
      <w:r>
        <w:rPr>
          <w:rFonts w:hint="eastAsia" w:ascii="仿宋" w:hAnsi="仿宋" w:eastAsia="仿宋"/>
          <w:sz w:val="32"/>
          <w:szCs w:val="32"/>
          <w:lang w:val="en-US" w:eastAsia="zh-CN"/>
        </w:rPr>
        <w:t>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其他收入支出较去年下降</w:t>
      </w:r>
      <w:r>
        <w:rPr>
          <w:rFonts w:hint="eastAsia" w:ascii="仿宋" w:hAnsi="仿宋" w:eastAsia="仿宋"/>
          <w:sz w:val="32"/>
          <w:szCs w:val="32"/>
        </w:rPr>
        <w:t>。</w:t>
      </w:r>
    </w:p>
    <w:p w14:paraId="39C2D127">
      <w:pPr>
        <w:pStyle w:val="14"/>
        <w:rPr>
          <w:rFonts w:hint="eastAsia"/>
        </w:rPr>
      </w:pPr>
      <w:r>
        <w:drawing>
          <wp:inline distT="0" distB="0" distL="114300" distR="114300">
            <wp:extent cx="5268595" cy="1971675"/>
            <wp:effectExtent l="4445" t="4445" r="15240" b="5080"/>
            <wp:docPr id="155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8D1615">
      <w:pPr>
        <w:pStyle w:val="5"/>
        <w:spacing w:line="240" w:lineRule="auto"/>
        <w:jc w:val="center"/>
        <w:rPr>
          <w:rFonts w:hint="eastAsia" w:ascii="仿宋" w:hAnsi="仿宋" w:eastAsia="仿宋"/>
          <w:sz w:val="32"/>
          <w:szCs w:val="32"/>
        </w:rPr>
      </w:pPr>
      <w:r>
        <w:rPr>
          <w:rFonts w:hint="eastAsia" w:ascii="仿宋" w:hAnsi="仿宋" w:eastAsia="仿宋"/>
          <w:color w:val="auto"/>
          <w:sz w:val="32"/>
          <w:szCs w:val="32"/>
          <w:highlight w:val="none"/>
        </w:rPr>
        <w:t>（图5：一般公共预算财政拨款支出决算变动情况）</w:t>
      </w:r>
    </w:p>
    <w:p w14:paraId="1A3E193F">
      <w:pPr>
        <w:spacing w:line="600" w:lineRule="exact"/>
        <w:ind w:firstLine="643" w:firstLineChars="200"/>
        <w:outlineLvl w:val="9"/>
        <w:rPr>
          <w:rFonts w:ascii="仿宋" w:hAnsi="仿宋" w:eastAsia="仿宋"/>
          <w:b/>
          <w:sz w:val="32"/>
          <w:szCs w:val="32"/>
        </w:rPr>
      </w:pPr>
      <w:bookmarkStart w:id="40" w:name="_Toc15377211"/>
      <w:r>
        <w:rPr>
          <w:rFonts w:hint="eastAsia" w:ascii="仿宋" w:hAnsi="仿宋" w:eastAsia="仿宋"/>
          <w:b/>
          <w:sz w:val="32"/>
          <w:szCs w:val="32"/>
        </w:rPr>
        <w:t>（二）一般公共预算财政拨款支出决算结构情况</w:t>
      </w:r>
      <w:bookmarkEnd w:id="40"/>
    </w:p>
    <w:p w14:paraId="0E2F2F30">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767.33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lang w:eastAsia="zh-CN"/>
        </w:rPr>
        <w:t>公共安全支出</w:t>
      </w:r>
      <w:r>
        <w:rPr>
          <w:rFonts w:hint="eastAsia" w:ascii="仿宋" w:hAnsi="仿宋" w:eastAsia="仿宋"/>
          <w:sz w:val="32"/>
          <w:szCs w:val="32"/>
          <w:lang w:val="en-US" w:eastAsia="zh-CN"/>
        </w:rPr>
        <w:t>597.75</w:t>
      </w:r>
      <w:r>
        <w:rPr>
          <w:rFonts w:hint="eastAsia" w:ascii="仿宋" w:hAnsi="仿宋" w:eastAsia="仿宋"/>
          <w:sz w:val="32"/>
          <w:szCs w:val="32"/>
        </w:rPr>
        <w:t>万元，占</w:t>
      </w:r>
      <w:r>
        <w:rPr>
          <w:rFonts w:hint="eastAsia" w:ascii="仿宋" w:hAnsi="仿宋" w:eastAsia="仿宋"/>
          <w:sz w:val="32"/>
          <w:szCs w:val="32"/>
          <w:lang w:val="en-US" w:eastAsia="zh-CN"/>
        </w:rPr>
        <w:t>77.9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80.53</w:t>
      </w:r>
      <w:r>
        <w:rPr>
          <w:rFonts w:hint="eastAsia" w:ascii="仿宋" w:hAnsi="仿宋" w:eastAsia="仿宋"/>
          <w:sz w:val="32"/>
          <w:szCs w:val="32"/>
        </w:rPr>
        <w:t>万元，占</w:t>
      </w:r>
      <w:r>
        <w:rPr>
          <w:rFonts w:hint="eastAsia" w:ascii="仿宋" w:hAnsi="仿宋" w:eastAsia="仿宋"/>
          <w:sz w:val="32"/>
          <w:szCs w:val="32"/>
          <w:lang w:val="en-US" w:eastAsia="zh-CN"/>
        </w:rPr>
        <w:t>10.5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36.44</w:t>
      </w:r>
      <w:r>
        <w:rPr>
          <w:rFonts w:hint="eastAsia" w:ascii="仿宋" w:hAnsi="仿宋" w:eastAsia="仿宋"/>
          <w:sz w:val="32"/>
          <w:szCs w:val="32"/>
        </w:rPr>
        <w:t>万元，占</w:t>
      </w:r>
      <w:r>
        <w:rPr>
          <w:rFonts w:hint="eastAsia" w:ascii="仿宋" w:hAnsi="仿宋" w:eastAsia="仿宋"/>
          <w:sz w:val="32"/>
          <w:szCs w:val="32"/>
          <w:lang w:val="en-US" w:eastAsia="zh-CN"/>
        </w:rPr>
        <w:t>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52.61</w:t>
      </w:r>
      <w:r>
        <w:rPr>
          <w:rFonts w:hint="eastAsia" w:ascii="仿宋" w:hAnsi="仿宋" w:eastAsia="仿宋"/>
          <w:sz w:val="32"/>
          <w:szCs w:val="32"/>
        </w:rPr>
        <w:t>万元，占</w:t>
      </w:r>
      <w:r>
        <w:rPr>
          <w:rFonts w:hint="eastAsia" w:ascii="仿宋" w:hAnsi="仿宋" w:eastAsia="仿宋"/>
          <w:sz w:val="32"/>
          <w:szCs w:val="32"/>
          <w:lang w:val="en-US" w:eastAsia="zh-CN"/>
        </w:rPr>
        <w:t>6.9</w:t>
      </w:r>
      <w:r>
        <w:rPr>
          <w:rFonts w:ascii="仿宋" w:hAnsi="仿宋" w:eastAsia="仿宋"/>
          <w:sz w:val="32"/>
          <w:szCs w:val="32"/>
        </w:rPr>
        <w:t>%</w:t>
      </w:r>
      <w:r>
        <w:rPr>
          <w:rFonts w:hint="eastAsia" w:ascii="仿宋" w:hAnsi="仿宋" w:eastAsia="仿宋"/>
          <w:sz w:val="32"/>
          <w:szCs w:val="32"/>
        </w:rPr>
        <w:t>。</w:t>
      </w:r>
    </w:p>
    <w:p w14:paraId="20919D2C">
      <w:pPr>
        <w:pStyle w:val="14"/>
        <w:rPr>
          <w:rFonts w:hint="eastAsia" w:ascii="仿宋" w:hAnsi="仿宋" w:eastAsia="仿宋"/>
          <w:sz w:val="32"/>
          <w:szCs w:val="32"/>
        </w:rPr>
      </w:pPr>
    </w:p>
    <w:p w14:paraId="7893AC95">
      <w:pPr>
        <w:pStyle w:val="7"/>
        <w:rPr>
          <w:rFonts w:hint="eastAsia" w:ascii="仿宋" w:hAnsi="仿宋" w:eastAsia="仿宋"/>
          <w:sz w:val="32"/>
          <w:szCs w:val="32"/>
        </w:rPr>
      </w:pPr>
      <w:r>
        <w:drawing>
          <wp:inline distT="0" distB="0" distL="114300" distR="114300">
            <wp:extent cx="4613910" cy="3401060"/>
            <wp:effectExtent l="4445" t="4445" r="14605" b="8255"/>
            <wp:docPr id="156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DD9AC5">
      <w:pPr>
        <w:spacing w:line="600" w:lineRule="exact"/>
        <w:ind w:firstLine="640" w:firstLineChars="200"/>
        <w:jc w:val="center"/>
        <w:rPr>
          <w:rFonts w:hint="eastAsia" w:ascii="仿宋" w:hAnsi="仿宋" w:eastAsia="仿宋"/>
          <w:sz w:val="32"/>
          <w:szCs w:val="32"/>
        </w:rPr>
      </w:pPr>
      <w:r>
        <w:rPr>
          <w:rFonts w:hint="eastAsia" w:ascii="仿宋" w:hAnsi="仿宋" w:eastAsia="仿宋"/>
          <w:color w:val="auto"/>
          <w:sz w:val="32"/>
          <w:szCs w:val="32"/>
          <w:highlight w:val="none"/>
        </w:rPr>
        <w:t>（图6：一般公共预算财政拨款支出决算结构）</w:t>
      </w:r>
    </w:p>
    <w:p w14:paraId="37ED2471">
      <w:pPr>
        <w:spacing w:line="600" w:lineRule="exact"/>
        <w:ind w:firstLine="643" w:firstLineChars="200"/>
        <w:outlineLvl w:val="9"/>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14:paraId="61FC51F3">
      <w:pPr>
        <w:spacing w:line="600" w:lineRule="exact"/>
        <w:ind w:firstLine="643" w:firstLineChars="200"/>
        <w:outlineLvl w:val="9"/>
        <w:rPr>
          <w:rFonts w:ascii="仿宋" w:hAnsi="仿宋" w:eastAsia="仿宋"/>
          <w:sz w:val="32"/>
          <w:szCs w:val="32"/>
        </w:rPr>
      </w:pPr>
      <w:bookmarkStart w:id="42" w:name="_Toc15377444"/>
      <w:bookmarkStart w:id="43" w:name="_Toc15377213"/>
      <w:bookmarkStart w:id="44"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767.33万元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2"/>
      <w:bookmarkEnd w:id="43"/>
      <w:bookmarkEnd w:id="44"/>
    </w:p>
    <w:p w14:paraId="2498750F">
      <w:pPr>
        <w:spacing w:line="600" w:lineRule="exact"/>
        <w:ind w:firstLine="643" w:firstLineChars="200"/>
        <w:rPr>
          <w:rFonts w:ascii="仿宋" w:hAnsi="仿宋" w:eastAsia="仿宋"/>
          <w:b/>
          <w:sz w:val="32"/>
          <w:szCs w:val="32"/>
        </w:rPr>
      </w:pPr>
      <w:bookmarkStart w:id="45" w:name="_Toc15377214"/>
      <w:bookmarkStart w:id="46" w:name="_Toc15396608"/>
      <w:r>
        <w:rPr>
          <w:rStyle w:val="19"/>
          <w:rFonts w:ascii="仿宋" w:hAnsi="仿宋" w:eastAsia="仿宋"/>
          <w:bCs/>
          <w:sz w:val="32"/>
          <w:szCs w:val="32"/>
        </w:rPr>
        <w:t>1.</w:t>
      </w:r>
      <w:r>
        <w:rPr>
          <w:rStyle w:val="19"/>
          <w:rFonts w:hint="eastAsia" w:ascii="仿宋" w:hAnsi="仿宋" w:eastAsia="仿宋"/>
          <w:bCs/>
          <w:sz w:val="32"/>
          <w:szCs w:val="32"/>
        </w:rPr>
        <w:t>公共安全支出（类）检察（款）行政运行（项）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406.25</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AD8772B">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rPr>
        <w:t>2</w:t>
      </w:r>
      <w:r>
        <w:rPr>
          <w:rStyle w:val="19"/>
          <w:rFonts w:ascii="仿宋" w:hAnsi="仿宋" w:eastAsia="仿宋"/>
          <w:bCs/>
          <w:sz w:val="32"/>
          <w:szCs w:val="32"/>
        </w:rPr>
        <w:t>.</w:t>
      </w:r>
      <w:r>
        <w:rPr>
          <w:rStyle w:val="19"/>
          <w:rFonts w:hint="eastAsia" w:ascii="仿宋" w:hAnsi="仿宋" w:eastAsia="仿宋"/>
          <w:bCs/>
          <w:sz w:val="32"/>
          <w:szCs w:val="32"/>
        </w:rPr>
        <w:t>公共安全支出（类）检察（款）一般行政管理事务（项）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163.49</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0B94610">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rPr>
        <w:t>3</w:t>
      </w:r>
      <w:r>
        <w:rPr>
          <w:rStyle w:val="19"/>
          <w:rFonts w:ascii="仿宋" w:hAnsi="仿宋" w:eastAsia="仿宋"/>
          <w:bCs/>
          <w:sz w:val="32"/>
          <w:szCs w:val="32"/>
        </w:rPr>
        <w:t>.</w:t>
      </w:r>
      <w:r>
        <w:rPr>
          <w:rStyle w:val="19"/>
          <w:rFonts w:hint="eastAsia" w:ascii="仿宋" w:hAnsi="仿宋" w:eastAsia="仿宋"/>
          <w:bCs/>
          <w:sz w:val="32"/>
          <w:szCs w:val="32"/>
        </w:rPr>
        <w:t>公共安全支出（类）检察（款）其他检察支出（项）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28.01</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672F87BD">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社会保障和就业支出（类）行政事业单位养老支出（款）机关事业单位基本养老保险缴费支出（项）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53.9</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672FD03">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社会保障和就业支出（类）行政事业单位养老支出（款）机关事业单位职业年金缴费支出（项）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26.63</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CFF4ED9">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卫生健康支出（类）行政事业单位医疗（款）行政单位医疗（项）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28.04</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6D51E3A">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7</w:t>
      </w:r>
      <w:r>
        <w:rPr>
          <w:rStyle w:val="19"/>
          <w:rFonts w:hint="eastAsia" w:ascii="仿宋" w:hAnsi="仿宋" w:eastAsia="仿宋"/>
          <w:bCs/>
          <w:sz w:val="32"/>
          <w:szCs w:val="32"/>
        </w:rPr>
        <w:t>.卫生健康支出（类）行政事业单位医疗（款）公务员医疗补助（项）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8.4</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4878694F">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Fonts w:hint="eastAsia" w:ascii="仿宋" w:hAnsi="仿宋" w:eastAsia="仿宋"/>
          <w:b/>
          <w:bCs/>
          <w:sz w:val="32"/>
          <w:szCs w:val="32"/>
        </w:rPr>
        <w:t>住房保障支出</w:t>
      </w:r>
      <w:r>
        <w:rPr>
          <w:rStyle w:val="19"/>
          <w:rFonts w:hint="eastAsia" w:ascii="仿宋" w:hAnsi="仿宋" w:eastAsia="仿宋"/>
          <w:bCs/>
          <w:sz w:val="32"/>
          <w:szCs w:val="32"/>
        </w:rPr>
        <w:t>（类）住房改革支出（款）住房公积金（项）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52.61</w:t>
      </w:r>
      <w:r>
        <w:rPr>
          <w:rStyle w:val="19"/>
          <w:rFonts w:hint="eastAsia" w:ascii="仿宋" w:hAnsi="仿宋" w:eastAsia="仿宋"/>
          <w:b w:val="0"/>
          <w:bCs/>
          <w:sz w:val="32"/>
          <w:szCs w:val="32"/>
        </w:rPr>
        <w:t>万元，完成预算100.00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77F516F">
      <w:pPr>
        <w:tabs>
          <w:tab w:val="right" w:pos="8306"/>
        </w:tabs>
        <w:spacing w:line="600" w:lineRule="exact"/>
        <w:ind w:firstLine="640"/>
        <w:outlineLvl w:val="1"/>
        <w:rPr>
          <w:rStyle w:val="31"/>
        </w:rPr>
      </w:pPr>
      <w:bookmarkStart w:id="47" w:name="_Toc235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5"/>
      <w:bookmarkEnd w:id="46"/>
      <w:bookmarkEnd w:id="47"/>
      <w:r>
        <w:rPr>
          <w:rStyle w:val="31"/>
          <w:rFonts w:ascii="黑体" w:hAnsi="黑体" w:eastAsia="黑体"/>
          <w:b w:val="0"/>
        </w:rPr>
        <w:tab/>
      </w:r>
    </w:p>
    <w:p w14:paraId="55310153">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575.83</w:t>
      </w:r>
      <w:r>
        <w:rPr>
          <w:rFonts w:hint="eastAsia" w:ascii="仿宋" w:hAnsi="仿宋" w:eastAsia="仿宋"/>
          <w:sz w:val="32"/>
          <w:szCs w:val="32"/>
        </w:rPr>
        <w:t>万元，其中：</w:t>
      </w:r>
    </w:p>
    <w:p w14:paraId="41BCD2C2">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504.45</w:t>
      </w:r>
      <w:r>
        <w:rPr>
          <w:rFonts w:hint="eastAsia" w:ascii="仿宋" w:hAnsi="仿宋" w:eastAsia="仿宋"/>
          <w:sz w:val="32"/>
          <w:szCs w:val="32"/>
        </w:rPr>
        <w:t>万元，主要包括：基本工资、津贴补贴、奖金、机关事业单位基本养老保险缴费、职业年金缴费、其他社会保障缴费、其他工资福利支出、生活补助等。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71.38</w:t>
      </w:r>
      <w:r>
        <w:rPr>
          <w:rFonts w:hint="eastAsia" w:ascii="仿宋" w:hAnsi="仿宋" w:eastAsia="仿宋"/>
          <w:sz w:val="32"/>
          <w:szCs w:val="32"/>
        </w:rPr>
        <w:t>万元，主要包括：办公费、水费、电费、邮电费、物业管理费、差旅费、维修（护）费、培训费、公务接待费、劳务费、委托业务费、公务用车运行维护费、其他交通费。</w:t>
      </w:r>
    </w:p>
    <w:p w14:paraId="4BD0CE59">
      <w:pPr>
        <w:spacing w:line="600" w:lineRule="exact"/>
        <w:ind w:firstLine="640"/>
        <w:outlineLvl w:val="1"/>
        <w:rPr>
          <w:rStyle w:val="31"/>
          <w:rFonts w:ascii="黑体" w:hAnsi="黑体" w:eastAsia="黑体"/>
          <w:b w:val="0"/>
        </w:rPr>
      </w:pPr>
      <w:bookmarkStart w:id="48" w:name="_Toc8382"/>
      <w:bookmarkStart w:id="49" w:name="_Toc15377215"/>
      <w:bookmarkStart w:id="50"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8"/>
      <w:bookmarkEnd w:id="49"/>
      <w:bookmarkEnd w:id="50"/>
    </w:p>
    <w:p w14:paraId="6D6230AF">
      <w:pPr>
        <w:spacing w:line="600" w:lineRule="exact"/>
        <w:ind w:firstLine="640"/>
        <w:outlineLvl w:val="9"/>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14:paraId="39C5A3A9">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b/>
          <w:sz w:val="32"/>
          <w:szCs w:val="32"/>
          <w:lang w:val="en-US" w:eastAsia="zh-CN"/>
        </w:rPr>
        <w:t>3.38</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增加2.07</w:t>
      </w:r>
      <w:r>
        <w:rPr>
          <w:rFonts w:hint="eastAsia" w:ascii="仿宋" w:hAnsi="仿宋" w:eastAsia="仿宋"/>
          <w:sz w:val="32"/>
          <w:szCs w:val="32"/>
        </w:rPr>
        <w:t>万元，</w:t>
      </w:r>
      <w:r>
        <w:rPr>
          <w:rFonts w:hint="eastAsia" w:ascii="仿宋" w:hAnsi="仿宋" w:eastAsia="仿宋"/>
          <w:sz w:val="32"/>
          <w:szCs w:val="32"/>
          <w:lang w:val="en-US" w:eastAsia="zh-CN"/>
        </w:rPr>
        <w:t>上升158.1</w:t>
      </w:r>
      <w:r>
        <w:rPr>
          <w:rFonts w:hint="eastAsia" w:ascii="仿宋" w:hAnsi="仿宋" w:eastAsia="仿宋"/>
          <w:sz w:val="32"/>
          <w:szCs w:val="32"/>
        </w:rPr>
        <w:t>%。</w:t>
      </w:r>
    </w:p>
    <w:p w14:paraId="3F03FDD5">
      <w:pPr>
        <w:spacing w:line="600" w:lineRule="exact"/>
        <w:ind w:firstLine="640"/>
        <w:outlineLvl w:val="9"/>
        <w:rPr>
          <w:rFonts w:ascii="仿宋" w:hAnsi="仿宋" w:eastAsia="仿宋"/>
          <w:b/>
          <w:sz w:val="32"/>
          <w:szCs w:val="32"/>
        </w:rPr>
      </w:pPr>
      <w:bookmarkStart w:id="52" w:name="_Toc15377217"/>
      <w:r>
        <w:rPr>
          <w:rFonts w:hint="eastAsia" w:ascii="仿宋" w:hAnsi="仿宋" w:eastAsia="仿宋"/>
          <w:b/>
          <w:sz w:val="32"/>
          <w:szCs w:val="32"/>
        </w:rPr>
        <w:t>（二）“三公”经费财政拨款支出决算具体情况说明</w:t>
      </w:r>
      <w:bookmarkEnd w:id="52"/>
    </w:p>
    <w:p w14:paraId="5A1BABB1">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b/>
          <w:sz w:val="32"/>
          <w:szCs w:val="32"/>
          <w:lang w:val="en-US" w:eastAsia="zh-CN"/>
        </w:rPr>
        <w:t>2.97</w:t>
      </w:r>
      <w:r>
        <w:rPr>
          <w:rFonts w:hint="eastAsia" w:ascii="仿宋" w:hAnsi="仿宋" w:eastAsia="仿宋"/>
          <w:sz w:val="32"/>
          <w:szCs w:val="32"/>
        </w:rPr>
        <w:t>万元，占</w:t>
      </w:r>
      <w:r>
        <w:rPr>
          <w:rFonts w:hint="eastAsia" w:ascii="仿宋" w:hAnsi="仿宋" w:eastAsia="仿宋"/>
          <w:b/>
          <w:sz w:val="32"/>
          <w:szCs w:val="32"/>
          <w:lang w:val="en-US" w:eastAsia="zh-CN"/>
        </w:rPr>
        <w:t>88</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lang w:val="en-US" w:eastAsia="zh-CN"/>
        </w:rPr>
        <w:t>0.41</w:t>
      </w:r>
      <w:r>
        <w:rPr>
          <w:rFonts w:hint="eastAsia" w:ascii="仿宋" w:hAnsi="仿宋" w:eastAsia="仿宋"/>
          <w:sz w:val="32"/>
          <w:szCs w:val="32"/>
        </w:rPr>
        <w:t>万元，占</w:t>
      </w:r>
      <w:r>
        <w:rPr>
          <w:rFonts w:hint="eastAsia" w:ascii="仿宋" w:hAnsi="仿宋" w:eastAsia="仿宋"/>
          <w:b/>
          <w:sz w:val="32"/>
          <w:szCs w:val="32"/>
          <w:lang w:val="en-US" w:eastAsia="zh-CN"/>
        </w:rPr>
        <w:t>12</w:t>
      </w:r>
      <w:r>
        <w:rPr>
          <w:rFonts w:ascii="仿宋" w:hAnsi="仿宋" w:eastAsia="仿宋"/>
          <w:sz w:val="32"/>
          <w:szCs w:val="32"/>
        </w:rPr>
        <w:t>%</w:t>
      </w:r>
      <w:r>
        <w:rPr>
          <w:rFonts w:hint="eastAsia" w:ascii="仿宋" w:hAnsi="仿宋" w:eastAsia="仿宋"/>
          <w:sz w:val="32"/>
          <w:szCs w:val="32"/>
        </w:rPr>
        <w:t>。具体情况如下：</w:t>
      </w:r>
    </w:p>
    <w:p w14:paraId="0D4230CD">
      <w:pPr>
        <w:pStyle w:val="36"/>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-12700</wp:posOffset>
            </wp:positionH>
            <wp:positionV relativeFrom="paragraph">
              <wp:posOffset>38735</wp:posOffset>
            </wp:positionV>
            <wp:extent cx="5245100" cy="2286000"/>
            <wp:effectExtent l="4445" t="4445" r="8255" b="10795"/>
            <wp:wrapNone/>
            <wp:docPr id="15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26726C2">
      <w:pPr>
        <w:pStyle w:val="36"/>
        <w:rPr>
          <w:rFonts w:hint="eastAsia" w:ascii="仿宋" w:hAnsi="仿宋" w:eastAsia="仿宋"/>
          <w:sz w:val="32"/>
          <w:szCs w:val="32"/>
        </w:rPr>
      </w:pPr>
    </w:p>
    <w:p w14:paraId="33C33F17">
      <w:pPr>
        <w:pStyle w:val="36"/>
        <w:rPr>
          <w:rFonts w:hint="eastAsia" w:ascii="仿宋" w:hAnsi="仿宋" w:eastAsia="仿宋"/>
          <w:sz w:val="32"/>
          <w:szCs w:val="32"/>
        </w:rPr>
      </w:pPr>
    </w:p>
    <w:p w14:paraId="12B45251">
      <w:pPr>
        <w:spacing w:line="600" w:lineRule="exact"/>
        <w:ind w:firstLine="640"/>
        <w:rPr>
          <w:rFonts w:hint="eastAsia" w:ascii="仿宋" w:hAnsi="仿宋" w:eastAsia="仿宋"/>
          <w:sz w:val="32"/>
          <w:szCs w:val="32"/>
        </w:rPr>
      </w:pPr>
    </w:p>
    <w:p w14:paraId="2AC4D35D">
      <w:pPr>
        <w:spacing w:line="600" w:lineRule="exact"/>
        <w:ind w:firstLine="640"/>
        <w:rPr>
          <w:rFonts w:hint="eastAsia" w:ascii="仿宋" w:hAnsi="仿宋" w:eastAsia="仿宋"/>
          <w:sz w:val="32"/>
          <w:szCs w:val="32"/>
        </w:rPr>
      </w:pPr>
    </w:p>
    <w:p w14:paraId="329D6899">
      <w:pPr>
        <w:spacing w:line="600" w:lineRule="exact"/>
        <w:ind w:firstLine="640"/>
        <w:rPr>
          <w:rFonts w:hint="eastAsia" w:ascii="仿宋" w:hAnsi="仿宋" w:eastAsia="仿宋"/>
          <w:sz w:val="32"/>
          <w:szCs w:val="32"/>
        </w:rPr>
      </w:pPr>
    </w:p>
    <w:p w14:paraId="634F5D73">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14:paraId="064F2D54">
      <w:pPr>
        <w:numPr>
          <w:ilvl w:val="0"/>
          <w:numId w:val="0"/>
        </w:numPr>
        <w:spacing w:line="600" w:lineRule="exact"/>
        <w:ind w:firstLine="643" w:firstLineChars="200"/>
        <w:rPr>
          <w:rFonts w:hint="eastAsia" w:ascii="仿宋_GB2312" w:eastAsia="仿宋_GB2312"/>
          <w:sz w:val="32"/>
          <w:szCs w:val="32"/>
          <w:lang w:eastAsia="zh-CN"/>
        </w:rPr>
      </w:pPr>
      <w:bookmarkStart w:id="53" w:name="_Toc15396610"/>
      <w:bookmarkStart w:id="54" w:name="_Toc15377218"/>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017DE86D">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b/>
          <w:sz w:val="32"/>
          <w:szCs w:val="32"/>
          <w:lang w:val="en-US" w:eastAsia="zh-CN"/>
        </w:rPr>
        <w:t>2.97</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Cs/>
          <w:sz w:val="32"/>
          <w:szCs w:val="32"/>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增加2.52</w:t>
      </w:r>
      <w:r>
        <w:rPr>
          <w:rFonts w:hint="eastAsia" w:ascii="仿宋_GB2312" w:eastAsia="仿宋_GB2312"/>
          <w:sz w:val="32"/>
          <w:szCs w:val="32"/>
        </w:rPr>
        <w:t>万元，</w:t>
      </w:r>
      <w:r>
        <w:rPr>
          <w:rFonts w:hint="eastAsia" w:ascii="仿宋_GB2312" w:eastAsia="仿宋_GB2312"/>
          <w:sz w:val="32"/>
          <w:szCs w:val="32"/>
          <w:lang w:val="en-US" w:eastAsia="zh-CN"/>
        </w:rPr>
        <w:t>上升158.1</w:t>
      </w:r>
      <w:r>
        <w:rPr>
          <w:rFonts w:ascii="仿宋_GB2312" w:eastAsia="仿宋_GB2312"/>
          <w:sz w:val="32"/>
          <w:szCs w:val="32"/>
        </w:rPr>
        <w:t>%</w:t>
      </w:r>
      <w:r>
        <w:rPr>
          <w:rFonts w:hint="eastAsia" w:ascii="仿宋_GB2312" w:eastAsia="仿宋_GB2312"/>
          <w:sz w:val="32"/>
          <w:szCs w:val="32"/>
        </w:rPr>
        <w:t>。主要原因是本年我院两辆车辆大修。</w:t>
      </w:r>
    </w:p>
    <w:p w14:paraId="76ACA470">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5F7898E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b/>
          <w:sz w:val="32"/>
          <w:szCs w:val="32"/>
          <w:lang w:val="en-US" w:eastAsia="zh-CN"/>
        </w:rPr>
        <w:t>2.97</w:t>
      </w:r>
      <w:r>
        <w:rPr>
          <w:rFonts w:hint="eastAsia" w:ascii="仿宋_GB2312" w:eastAsia="仿宋_GB2312"/>
          <w:sz w:val="32"/>
          <w:szCs w:val="32"/>
        </w:rPr>
        <w:t>万元。主要用于</w:t>
      </w:r>
      <w:r>
        <w:rPr>
          <w:rFonts w:hint="eastAsia" w:ascii="仿宋_GB2312" w:eastAsia="仿宋_GB2312"/>
          <w:sz w:val="32"/>
          <w:szCs w:val="32"/>
          <w:lang w:eastAsia="zh-CN"/>
        </w:rPr>
        <w:t>我院刑事检察、行政检察、民事检察、公益诉讼检察</w:t>
      </w:r>
      <w:r>
        <w:rPr>
          <w:rFonts w:hint="eastAsia" w:ascii="仿宋_GB2312" w:eastAsia="仿宋_GB2312"/>
          <w:sz w:val="32"/>
          <w:szCs w:val="32"/>
        </w:rPr>
        <w:t>等所需的</w:t>
      </w:r>
      <w:r>
        <w:rPr>
          <w:rFonts w:hint="eastAsia" w:ascii="仿宋_GB2312" w:eastAsia="仿宋_GB2312"/>
          <w:sz w:val="32"/>
          <w:szCs w:val="32"/>
          <w:lang w:eastAsia="zh-CN"/>
        </w:rPr>
        <w:t>执法执勤</w:t>
      </w:r>
      <w:r>
        <w:rPr>
          <w:rFonts w:hint="eastAsia" w:ascii="仿宋_GB2312" w:eastAsia="仿宋_GB2312"/>
          <w:sz w:val="32"/>
          <w:szCs w:val="32"/>
        </w:rPr>
        <w:t>用车燃料费、维修费、过路过桥费</w:t>
      </w:r>
      <w:r>
        <w:rPr>
          <w:rFonts w:hint="eastAsia" w:ascii="仿宋_GB2312" w:eastAsia="仿宋_GB2312"/>
          <w:sz w:val="32"/>
          <w:szCs w:val="32"/>
          <w:lang w:eastAsia="zh-CN"/>
        </w:rPr>
        <w:t>、</w:t>
      </w:r>
      <w:r>
        <w:rPr>
          <w:rFonts w:hint="eastAsia" w:ascii="仿宋_GB2312" w:eastAsia="仿宋_GB2312"/>
          <w:sz w:val="32"/>
          <w:szCs w:val="32"/>
          <w:lang w:val="en-US" w:eastAsia="zh-CN"/>
        </w:rPr>
        <w:t>维修费</w:t>
      </w:r>
      <w:r>
        <w:rPr>
          <w:rFonts w:hint="eastAsia" w:ascii="仿宋_GB2312" w:eastAsia="仿宋_GB2312"/>
          <w:sz w:val="32"/>
          <w:szCs w:val="32"/>
        </w:rPr>
        <w:t>等支出。</w:t>
      </w:r>
    </w:p>
    <w:p w14:paraId="4E9B2B04">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 w:hAnsi="仿宋" w:eastAsia="仿宋"/>
          <w:b/>
          <w:sz w:val="32"/>
          <w:szCs w:val="32"/>
          <w:lang w:val="en-US" w:eastAsia="zh-CN"/>
        </w:rPr>
        <w:t>41</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减少0.45</w:t>
      </w:r>
      <w:r>
        <w:rPr>
          <w:rFonts w:hint="eastAsia" w:ascii="仿宋_GB2312" w:eastAsia="仿宋_GB2312"/>
          <w:sz w:val="32"/>
          <w:szCs w:val="32"/>
        </w:rPr>
        <w:t>万元，</w:t>
      </w:r>
      <w:r>
        <w:rPr>
          <w:rFonts w:hint="eastAsia" w:ascii="仿宋_GB2312" w:eastAsia="仿宋_GB2312"/>
          <w:sz w:val="32"/>
          <w:szCs w:val="32"/>
          <w:lang w:val="en-US" w:eastAsia="zh-CN"/>
        </w:rPr>
        <w:t>下降52.3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接待人次较</w:t>
      </w:r>
      <w:r>
        <w:rPr>
          <w:rFonts w:hint="eastAsia" w:ascii="仿宋_GB2312" w:eastAsia="仿宋_GB2312"/>
          <w:sz w:val="32"/>
          <w:szCs w:val="32"/>
          <w:lang w:val="en-US" w:eastAsia="zh-CN"/>
        </w:rPr>
        <w:t>2023年有所减少</w:t>
      </w:r>
      <w:r>
        <w:rPr>
          <w:rFonts w:hint="eastAsia" w:ascii="仿宋_GB2312" w:eastAsia="仿宋_GB2312"/>
          <w:sz w:val="32"/>
          <w:szCs w:val="32"/>
        </w:rPr>
        <w:t>。其中：</w:t>
      </w:r>
    </w:p>
    <w:p w14:paraId="0A90BF2C">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0.41</w:t>
      </w:r>
      <w:r>
        <w:rPr>
          <w:rFonts w:hint="eastAsia" w:ascii="仿宋_GB2312" w:eastAsia="仿宋_GB2312"/>
          <w:sz w:val="32"/>
          <w:szCs w:val="32"/>
        </w:rPr>
        <w:t>万元，主要用于国内公务接待</w:t>
      </w:r>
      <w:r>
        <w:rPr>
          <w:rFonts w:hint="eastAsia" w:ascii="仿宋_GB2312" w:eastAsia="仿宋_GB2312"/>
          <w:sz w:val="32"/>
          <w:szCs w:val="32"/>
          <w:lang w:val="en-US" w:eastAsia="zh-CN"/>
        </w:rPr>
        <w:t>8</w:t>
      </w:r>
      <w:r>
        <w:rPr>
          <w:rFonts w:hint="eastAsia" w:ascii="仿宋_GB2312" w:eastAsia="仿宋_GB2312"/>
          <w:sz w:val="32"/>
          <w:szCs w:val="32"/>
        </w:rPr>
        <w:t>批次，</w:t>
      </w:r>
      <w:r>
        <w:rPr>
          <w:rFonts w:hint="eastAsia" w:ascii="仿宋_GB2312" w:eastAsia="仿宋_GB2312"/>
          <w:sz w:val="32"/>
          <w:szCs w:val="32"/>
          <w:lang w:val="en-US" w:eastAsia="zh-CN"/>
        </w:rPr>
        <w:t>31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0.41</w:t>
      </w:r>
      <w:r>
        <w:rPr>
          <w:rFonts w:hint="eastAsia" w:ascii="仿宋_GB2312" w:eastAsia="仿宋_GB2312"/>
          <w:sz w:val="32"/>
          <w:szCs w:val="32"/>
        </w:rPr>
        <w:t>万元。</w:t>
      </w:r>
    </w:p>
    <w:p w14:paraId="2DF61985">
      <w:pPr>
        <w:spacing w:line="600" w:lineRule="exact"/>
        <w:ind w:firstLine="643" w:firstLineChars="200"/>
        <w:rPr>
          <w:rFonts w:ascii="黑体" w:eastAsia="黑体"/>
          <w:sz w:val="32"/>
          <w:szCs w:val="32"/>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2565DE7F">
      <w:pPr>
        <w:spacing w:line="600" w:lineRule="exact"/>
        <w:ind w:firstLine="640"/>
        <w:outlineLvl w:val="1"/>
        <w:rPr>
          <w:rStyle w:val="31"/>
          <w:rFonts w:ascii="黑体" w:hAnsi="黑体" w:eastAsia="黑体"/>
        </w:rPr>
      </w:pPr>
      <w:bookmarkStart w:id="55" w:name="_Toc12340"/>
      <w:r>
        <w:rPr>
          <w:rFonts w:hint="eastAsia" w:ascii="黑体" w:eastAsia="黑体"/>
          <w:sz w:val="32"/>
          <w:szCs w:val="32"/>
        </w:rPr>
        <w:t>八、</w:t>
      </w:r>
      <w:r>
        <w:rPr>
          <w:rStyle w:val="31"/>
          <w:rFonts w:hint="eastAsia" w:ascii="黑体" w:hAnsi="黑体" w:eastAsia="黑体"/>
          <w:b w:val="0"/>
        </w:rPr>
        <w:t>政府性基金预算支出决算情况说明</w:t>
      </w:r>
      <w:bookmarkEnd w:id="53"/>
      <w:bookmarkEnd w:id="54"/>
      <w:bookmarkEnd w:id="55"/>
    </w:p>
    <w:p w14:paraId="08E1D7CF">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6664224E">
      <w:pPr>
        <w:numPr>
          <w:ilvl w:val="0"/>
          <w:numId w:val="3"/>
        </w:numPr>
        <w:spacing w:line="600" w:lineRule="exact"/>
        <w:ind w:firstLine="640"/>
        <w:outlineLvl w:val="1"/>
        <w:rPr>
          <w:rStyle w:val="31"/>
          <w:rFonts w:ascii="黑体" w:hAnsi="黑体" w:eastAsia="黑体"/>
          <w:b w:val="0"/>
        </w:rPr>
      </w:pPr>
      <w:bookmarkStart w:id="56" w:name="_Toc18482"/>
      <w:bookmarkStart w:id="57" w:name="_Toc15377219"/>
      <w:bookmarkStart w:id="58" w:name="_Toc15396611"/>
      <w:r>
        <w:rPr>
          <w:rStyle w:val="31"/>
          <w:rFonts w:hint="eastAsia" w:ascii="黑体" w:hAnsi="黑体" w:eastAsia="黑体"/>
          <w:b w:val="0"/>
        </w:rPr>
        <w:t>国有资本经营预算支出决算情况说明</w:t>
      </w:r>
      <w:bookmarkEnd w:id="56"/>
      <w:bookmarkEnd w:id="57"/>
      <w:bookmarkEnd w:id="58"/>
    </w:p>
    <w:p w14:paraId="0C1FAD40">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AB9E877">
      <w:pPr>
        <w:numPr>
          <w:ilvl w:val="0"/>
          <w:numId w:val="3"/>
        </w:numPr>
        <w:spacing w:line="600" w:lineRule="exact"/>
        <w:ind w:firstLine="640"/>
        <w:outlineLvl w:val="1"/>
        <w:rPr>
          <w:rStyle w:val="31"/>
          <w:rFonts w:ascii="黑体" w:hAnsi="黑体" w:eastAsia="黑体"/>
          <w:b w:val="0"/>
        </w:rPr>
      </w:pPr>
      <w:bookmarkStart w:id="59" w:name="_Toc15396612"/>
      <w:bookmarkStart w:id="60" w:name="_Toc4870"/>
      <w:bookmarkStart w:id="61" w:name="_Toc15377221"/>
      <w:r>
        <w:rPr>
          <w:rStyle w:val="31"/>
          <w:rFonts w:hint="eastAsia" w:ascii="黑体" w:hAnsi="黑体" w:eastAsia="黑体"/>
          <w:b w:val="0"/>
        </w:rPr>
        <w:t>其他重要事项的情况说明</w:t>
      </w:r>
      <w:bookmarkEnd w:id="59"/>
      <w:bookmarkEnd w:id="60"/>
      <w:bookmarkEnd w:id="61"/>
    </w:p>
    <w:p w14:paraId="08D8725E">
      <w:pPr>
        <w:spacing w:line="600" w:lineRule="exact"/>
        <w:ind w:firstLine="643" w:firstLineChars="200"/>
        <w:outlineLvl w:val="9"/>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14:paraId="6DCBA3E0">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阿坝州小金县人民检察院</w:t>
      </w:r>
      <w:r>
        <w:rPr>
          <w:rFonts w:hint="eastAsia" w:ascii="仿宋_GB2312" w:eastAsia="仿宋_GB2312"/>
          <w:sz w:val="32"/>
          <w:szCs w:val="32"/>
        </w:rPr>
        <w:t>机关运行经费支出</w:t>
      </w:r>
      <w:r>
        <w:rPr>
          <w:rFonts w:hint="eastAsia" w:ascii="仿宋" w:hAnsi="仿宋" w:eastAsia="仿宋"/>
          <w:b/>
          <w:sz w:val="32"/>
          <w:szCs w:val="32"/>
          <w:lang w:val="en-US" w:eastAsia="zh-CN"/>
        </w:rPr>
        <w:t>71.38</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减少3.69</w:t>
      </w:r>
      <w:r>
        <w:rPr>
          <w:rFonts w:hint="eastAsia" w:ascii="仿宋_GB2312" w:eastAsia="仿宋_GB2312"/>
          <w:sz w:val="32"/>
          <w:szCs w:val="32"/>
        </w:rPr>
        <w:t>万元，</w:t>
      </w:r>
      <w:r>
        <w:rPr>
          <w:rFonts w:hint="eastAsia" w:ascii="仿宋_GB2312" w:eastAsia="仿宋_GB2312"/>
          <w:sz w:val="32"/>
          <w:szCs w:val="32"/>
          <w:lang w:val="en-US" w:eastAsia="zh-CN"/>
        </w:rPr>
        <w:t>下降4.9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hAnsiTheme="minorHAnsi" w:cstheme="minorBidi"/>
          <w:color w:val="000000"/>
          <w:kern w:val="2"/>
          <w:sz w:val="32"/>
          <w:szCs w:val="32"/>
          <w:lang w:val="en-US" w:eastAsia="zh-CN" w:bidi="ar-SA"/>
        </w:rPr>
        <w:t>相应预算有所减少</w:t>
      </w:r>
      <w:r>
        <w:rPr>
          <w:rFonts w:hint="eastAsia" w:ascii="仿宋_GB2312" w:eastAsia="仿宋_GB2312"/>
          <w:sz w:val="32"/>
          <w:szCs w:val="32"/>
        </w:rPr>
        <w:t>。</w:t>
      </w:r>
    </w:p>
    <w:p w14:paraId="0AE05096">
      <w:pPr>
        <w:autoSpaceDE w:val="0"/>
        <w:autoSpaceDN w:val="0"/>
        <w:adjustRightInd w:val="0"/>
        <w:spacing w:line="600" w:lineRule="exact"/>
        <w:ind w:firstLine="643" w:firstLineChars="200"/>
        <w:jc w:val="left"/>
        <w:outlineLvl w:val="9"/>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14:paraId="05164274">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阿坝州小金县人民检察院</w:t>
      </w:r>
      <w:r>
        <w:rPr>
          <w:rFonts w:hint="eastAsia" w:ascii="仿宋_GB2312" w:eastAsia="仿宋_GB2312"/>
          <w:sz w:val="32"/>
          <w:szCs w:val="32"/>
        </w:rPr>
        <w:t>政府采购支出总额</w:t>
      </w:r>
      <w:r>
        <w:rPr>
          <w:rFonts w:hint="eastAsia" w:ascii="仿宋" w:hAnsi="仿宋" w:eastAsia="仿宋"/>
          <w:b/>
          <w:sz w:val="32"/>
          <w:szCs w:val="32"/>
          <w:lang w:val="en-US" w:eastAsia="zh-CN"/>
        </w:rPr>
        <w:t>0</w:t>
      </w:r>
      <w:r>
        <w:rPr>
          <w:rFonts w:hint="eastAsia" w:ascii="仿宋_GB2312" w:eastAsia="仿宋_GB2312"/>
          <w:sz w:val="32"/>
          <w:szCs w:val="32"/>
        </w:rPr>
        <w:t>万元，其中：政府采购货物支出</w:t>
      </w:r>
      <w:r>
        <w:rPr>
          <w:rFonts w:hint="eastAsia" w:ascii="仿宋" w:hAnsi="仿宋" w:eastAsia="仿宋"/>
          <w:b/>
          <w:sz w:val="32"/>
          <w:szCs w:val="32"/>
          <w:lang w:val="en-US" w:eastAsia="zh-CN"/>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hint="eastAsia" w:ascii="仿宋" w:hAnsi="仿宋" w:eastAsia="仿宋"/>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常规设备采购及我院荣誉室改造项目</w:t>
      </w:r>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lang w:eastAsia="zh-CN"/>
        </w:rPr>
        <w:t>。</w:t>
      </w:r>
    </w:p>
    <w:p w14:paraId="0E4434F8">
      <w:pPr>
        <w:autoSpaceDE w:val="0"/>
        <w:autoSpaceDN w:val="0"/>
        <w:adjustRightInd w:val="0"/>
        <w:spacing w:line="600" w:lineRule="exact"/>
        <w:ind w:firstLine="643" w:firstLineChars="200"/>
        <w:jc w:val="left"/>
        <w:outlineLvl w:val="9"/>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14:paraId="192D4A2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阿坝州小金县人民检察院</w:t>
      </w:r>
      <w:r>
        <w:rPr>
          <w:rFonts w:hint="eastAsia" w:ascii="仿宋_GB2312" w:eastAsia="仿宋_GB2312"/>
          <w:sz w:val="32"/>
          <w:szCs w:val="32"/>
        </w:rPr>
        <w:t>共有车辆</w:t>
      </w:r>
      <w:r>
        <w:rPr>
          <w:rFonts w:hint="eastAsia" w:ascii="仿宋_GB2312" w:eastAsia="仿宋_GB2312"/>
          <w:b/>
          <w:sz w:val="32"/>
          <w:szCs w:val="32"/>
        </w:rPr>
        <w:t>5</w:t>
      </w:r>
      <w:r>
        <w:rPr>
          <w:rFonts w:hint="eastAsia" w:ascii="仿宋_GB2312" w:eastAsia="仿宋_GB2312"/>
          <w:sz w:val="32"/>
          <w:szCs w:val="32"/>
        </w:rPr>
        <w:t>辆，其中：</w:t>
      </w:r>
      <w:r>
        <w:rPr>
          <w:rFonts w:hint="eastAsia" w:ascii="仿宋_GB2312" w:eastAsia="仿宋_GB2312"/>
          <w:sz w:val="32"/>
          <w:szCs w:val="32"/>
          <w:lang w:eastAsia="zh-CN"/>
        </w:rPr>
        <w:t>执法执勤用车</w:t>
      </w:r>
      <w:r>
        <w:rPr>
          <w:rFonts w:hint="eastAsia" w:ascii="仿宋_GB2312" w:eastAsia="仿宋_GB2312"/>
          <w:sz w:val="32"/>
          <w:szCs w:val="32"/>
          <w:lang w:val="en-US" w:eastAsia="zh-CN"/>
        </w:rPr>
        <w:t>4辆，特种专业技术用车1辆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2C8C04B">
      <w:pPr>
        <w:autoSpaceDE w:val="0"/>
        <w:autoSpaceDN w:val="0"/>
        <w:adjustRightInd w:val="0"/>
        <w:spacing w:line="600" w:lineRule="exact"/>
        <w:ind w:firstLine="643" w:firstLineChars="200"/>
        <w:jc w:val="left"/>
        <w:outlineLvl w:val="9"/>
        <w:rPr>
          <w:rFonts w:ascii="仿宋" w:hAnsi="仿宋" w:eastAsia="仿宋"/>
          <w:b/>
          <w:sz w:val="32"/>
          <w:szCs w:val="32"/>
        </w:rPr>
      </w:pPr>
      <w:r>
        <w:rPr>
          <w:rFonts w:hint="eastAsia" w:ascii="仿宋" w:hAnsi="仿宋" w:eastAsia="仿宋"/>
          <w:b/>
          <w:sz w:val="32"/>
          <w:szCs w:val="32"/>
        </w:rPr>
        <w:t>（四）预算绩效管理情况</w:t>
      </w:r>
    </w:p>
    <w:p w14:paraId="05C08E6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w:t>
      </w:r>
      <w:r>
        <w:rPr>
          <w:rFonts w:hint="eastAsia" w:ascii="仿宋_GB2312" w:eastAsia="仿宋_GB2312" w:cs="仿宋_GB2312"/>
          <w:sz w:val="32"/>
          <w:szCs w:val="32"/>
        </w:rPr>
        <w:t>组织对</w:t>
      </w:r>
      <w:r>
        <w:rPr>
          <w:rFonts w:hint="eastAsia" w:ascii="仿宋_GB2312" w:eastAsia="仿宋_GB2312" w:cs="仿宋_GB2312"/>
          <w:sz w:val="32"/>
          <w:szCs w:val="32"/>
          <w:lang w:eastAsia="zh-CN"/>
        </w:rPr>
        <w:t>中央政法转移支付</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eastAsia="zh-CN"/>
        </w:rPr>
        <w:t>本</w:t>
      </w:r>
      <w:r>
        <w:rPr>
          <w:rFonts w:hint="eastAsia" w:ascii="仿宋_GB2312" w:eastAsia="仿宋_GB2312" w:cs="仿宋_GB2312"/>
          <w:sz w:val="32"/>
          <w:szCs w:val="32"/>
        </w:rPr>
        <w:t>项目编制了绩效目标，预算执行过程中，选取</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个项目开展了绩效自评</w:t>
      </w:r>
      <w:r>
        <w:rPr>
          <w:rFonts w:hint="eastAsia" w:ascii="仿宋_GB2312" w:eastAsia="仿宋_GB2312"/>
          <w:sz w:val="32"/>
          <w:szCs w:val="32"/>
        </w:rPr>
        <w:t>，绩效自评表详见第四部分附件。</w:t>
      </w:r>
    </w:p>
    <w:p w14:paraId="49AAC4A9">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074BB47">
      <w:pPr>
        <w:numPr>
          <w:ilvl w:val="0"/>
          <w:numId w:val="4"/>
        </w:numPr>
        <w:spacing w:line="600" w:lineRule="exact"/>
        <w:ind w:firstLine="660" w:firstLineChars="150"/>
        <w:jc w:val="center"/>
        <w:outlineLvl w:val="0"/>
        <w:rPr>
          <w:rStyle w:val="30"/>
          <w:rFonts w:ascii="黑体" w:hAnsi="黑体" w:eastAsia="黑体"/>
          <w:b w:val="0"/>
        </w:rPr>
      </w:pPr>
      <w:bookmarkStart w:id="65" w:name="_Toc15396613"/>
      <w:bookmarkStart w:id="66" w:name="_Toc2128"/>
      <w:bookmarkStart w:id="67" w:name="_Toc15377225"/>
      <w:r>
        <w:rPr>
          <w:rFonts w:hint="eastAsia" w:ascii="黑体" w:hAnsi="黑体" w:eastAsia="黑体"/>
          <w:sz w:val="44"/>
          <w:szCs w:val="44"/>
        </w:rPr>
        <w:t>名</w:t>
      </w:r>
      <w:r>
        <w:rPr>
          <w:rStyle w:val="30"/>
          <w:rFonts w:hint="eastAsia" w:ascii="黑体" w:hAnsi="黑体" w:eastAsia="黑体"/>
          <w:b w:val="0"/>
        </w:rPr>
        <w:t>词解释</w:t>
      </w:r>
      <w:bookmarkEnd w:id="65"/>
      <w:bookmarkEnd w:id="66"/>
      <w:bookmarkEnd w:id="67"/>
    </w:p>
    <w:p w14:paraId="2E3F7AFB">
      <w:pPr>
        <w:spacing w:line="600" w:lineRule="exact"/>
        <w:jc w:val="left"/>
        <w:rPr>
          <w:rFonts w:ascii="宋体"/>
          <w:b/>
          <w:sz w:val="44"/>
          <w:szCs w:val="44"/>
        </w:rPr>
      </w:pPr>
    </w:p>
    <w:p w14:paraId="184BAEDB">
      <w:pPr>
        <w:pStyle w:val="28"/>
        <w:spacing w:line="560" w:lineRule="exact"/>
        <w:ind w:firstLine="640" w:firstLineChars="200"/>
        <w:outlineLvl w:val="1"/>
        <w:rPr>
          <w:rFonts w:ascii="仿宋_GB2312" w:eastAsia="仿宋_GB2312"/>
          <w:color w:val="auto"/>
          <w:sz w:val="32"/>
          <w:szCs w:val="32"/>
          <w:highlight w:val="none"/>
        </w:rPr>
      </w:pPr>
      <w:bookmarkStart w:id="68" w:name="_Toc15502"/>
      <w:bookmarkStart w:id="69" w:name="_Toc12483"/>
      <w:bookmarkStart w:id="70" w:name="_Toc5792"/>
      <w:bookmarkStart w:id="7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bookmarkEnd w:id="68"/>
      <w:bookmarkEnd w:id="69"/>
      <w:bookmarkEnd w:id="70"/>
    </w:p>
    <w:p w14:paraId="3B81DA3B">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1E22525B">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287A22E8">
      <w:pPr>
        <w:pStyle w:val="28"/>
        <w:spacing w:line="560" w:lineRule="exact"/>
        <w:ind w:firstLine="640" w:firstLineChars="200"/>
        <w:outlineLvl w:val="1"/>
        <w:rPr>
          <w:rFonts w:ascii="仿宋_GB2312" w:eastAsia="仿宋_GB2312"/>
          <w:color w:val="auto"/>
          <w:sz w:val="32"/>
          <w:szCs w:val="32"/>
          <w:highlight w:val="none"/>
        </w:rPr>
      </w:pPr>
      <w:bookmarkStart w:id="72" w:name="_Toc25392"/>
      <w:bookmarkStart w:id="73" w:name="_Toc32748"/>
      <w:bookmarkStart w:id="74" w:name="_Toc10951"/>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72"/>
      <w:bookmarkEnd w:id="73"/>
      <w:bookmarkEnd w:id="74"/>
      <w:r>
        <w:rPr>
          <w:rFonts w:ascii="仿宋_GB2312" w:eastAsia="仿宋_GB2312"/>
          <w:color w:val="auto"/>
          <w:sz w:val="32"/>
          <w:szCs w:val="32"/>
          <w:highlight w:val="none"/>
        </w:rPr>
        <w:t xml:space="preserve"> </w:t>
      </w:r>
    </w:p>
    <w:p w14:paraId="4C559565">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D6100EB">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9633A29">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B33C2E2">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0AEA0531">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反映机关事业单位实施养老保险制度由单位缴纳的基本养老保险费支出。</w:t>
      </w:r>
    </w:p>
    <w:p w14:paraId="076BD65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.社会保障和就业支出（类）行政事业单位养老支出（款）机关事业单位职业年金缴费支出（项）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指反映机关事业单位实施养老保险制度由单位实际缴纳的职业年金支出</w:t>
      </w:r>
      <w:r>
        <w:rPr>
          <w:rFonts w:hint="eastAsia" w:ascii="仿宋_GB2312" w:eastAsia="仿宋_GB2312"/>
          <w:color w:val="auto"/>
          <w:sz w:val="32"/>
          <w:szCs w:val="32"/>
          <w:highlight w:val="none"/>
        </w:rPr>
        <w:t>。</w:t>
      </w:r>
    </w:p>
    <w:p w14:paraId="7F0322B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.卫生健康支出（类）行政事业单位医疗（款）事业单位医疗（项）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反映财政部门安排的事业单位基本医疗保险缴费经费，未参加医疗保险的事业单位的公费医疗经费，按国家规定享受离休人员待遇的医疗经费。</w:t>
      </w:r>
    </w:p>
    <w:p w14:paraId="30B053BC">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.卫生健康支出（类）行政事业单位医疗（款）其他行政事业单位医疗支出（项）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反映除上述项目以外的其他用于行政事业单位医疗方面的支出。</w:t>
      </w:r>
    </w:p>
    <w:p w14:paraId="1583E5A8">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13.公共安全支出（类）检察（款）行政运行（项）反映行政单位（包括实行公务员管理的事业单位）的基本支出。</w:t>
      </w:r>
    </w:p>
    <w:p w14:paraId="44303E5B">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14.公共安全支出（类）检察（款）一般行政管理事务（项）反映行政单位（包括实行公务员管理的事业单位）未单独 设置项级科目的其他项目支出。</w:t>
      </w:r>
    </w:p>
    <w:p w14:paraId="7247BE0B">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住房保障支出（类）住房改革支出（款）住房公积金（项）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反映行政事业单位按人力资源和社会保障部、财政部规定的 基本工资和津贴补贴以及规定比例为职工缴纳的住房公积金。</w:t>
      </w:r>
    </w:p>
    <w:p w14:paraId="63B9C25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0E4A2C0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1B1A2D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57059D8">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4C8263">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1F646F">
      <w:pPr>
        <w:spacing w:line="600" w:lineRule="exact"/>
        <w:jc w:val="center"/>
        <w:outlineLvl w:val="0"/>
        <w:rPr>
          <w:rStyle w:val="30"/>
          <w:rFonts w:ascii="黑体" w:hAnsi="黑体" w:eastAsia="黑体"/>
          <w:b w:val="0"/>
        </w:rPr>
      </w:pPr>
      <w:r>
        <w:rPr>
          <w:rFonts w:ascii="宋体"/>
          <w:b/>
          <w:sz w:val="44"/>
          <w:szCs w:val="44"/>
        </w:rPr>
        <w:br w:type="page"/>
      </w:r>
      <w:bookmarkStart w:id="75" w:name="_Toc15396614"/>
      <w:bookmarkStart w:id="76" w:name="_Toc26151"/>
      <w:r>
        <w:rPr>
          <w:rFonts w:hint="eastAsia" w:ascii="黑体" w:hAnsi="黑体" w:eastAsia="黑体"/>
          <w:sz w:val="44"/>
          <w:szCs w:val="44"/>
        </w:rPr>
        <w:t>第</w:t>
      </w:r>
      <w:r>
        <w:rPr>
          <w:rStyle w:val="30"/>
          <w:rFonts w:hint="eastAsia" w:ascii="黑体" w:hAnsi="黑体" w:eastAsia="黑体"/>
          <w:b w:val="0"/>
        </w:rPr>
        <w:t>四部分 附件</w:t>
      </w:r>
      <w:bookmarkEnd w:id="75"/>
      <w:bookmarkEnd w:id="76"/>
    </w:p>
    <w:p w14:paraId="3C1BCF83">
      <w:pPr>
        <w:spacing w:line="572" w:lineRule="exact"/>
        <w:jc w:val="left"/>
        <w:outlineLvl w:val="9"/>
        <w:rPr>
          <w:rFonts w:ascii="仿宋_GB2312" w:hAnsi="仿宋_GB2312" w:eastAsia="仿宋_GB2312" w:cs="仿宋_GB2312"/>
          <w:sz w:val="32"/>
          <w:szCs w:val="32"/>
        </w:rPr>
      </w:pPr>
    </w:p>
    <w:p w14:paraId="0FD94E5E">
      <w:pPr>
        <w:spacing w:line="600" w:lineRule="exact"/>
        <w:jc w:val="center"/>
        <w:outlineLvl w:val="9"/>
        <w:rPr>
          <w:rFonts w:ascii="黑体" w:hAnsi="黑体" w:eastAsia="黑体"/>
          <w:color w:val="FF0000"/>
          <w:sz w:val="44"/>
          <w:szCs w:val="44"/>
        </w:rPr>
      </w:pPr>
      <w:bookmarkStart w:id="77"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31"/>
        <w:gridCol w:w="773"/>
        <w:gridCol w:w="1206"/>
        <w:gridCol w:w="756"/>
        <w:gridCol w:w="756"/>
        <w:gridCol w:w="756"/>
        <w:gridCol w:w="846"/>
        <w:gridCol w:w="486"/>
        <w:gridCol w:w="396"/>
        <w:gridCol w:w="1040"/>
      </w:tblGrid>
      <w:tr w14:paraId="3A0D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F0EEE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1D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FA6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9B28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4F8B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70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8D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小金县人民检察院部门</w:t>
            </w:r>
          </w:p>
        </w:tc>
        <w:tc>
          <w:tcPr>
            <w:tcW w:w="370" w:type="pct"/>
            <w:tcBorders>
              <w:top w:val="nil"/>
              <w:left w:val="nil"/>
              <w:bottom w:val="nil"/>
              <w:right w:val="nil"/>
            </w:tcBorders>
            <w:shd w:val="clear" w:color="auto" w:fill="auto"/>
            <w:vAlign w:val="center"/>
          </w:tcPr>
          <w:p w14:paraId="2464C03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7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w:t>
            </w:r>
          </w:p>
        </w:tc>
      </w:tr>
      <w:tr w14:paraId="4F7C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D34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F0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CD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D7A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B7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DA2C">
            <w:pP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FBEC">
            <w:pPr>
              <w:rPr>
                <w:rFonts w:hint="eastAsia" w:ascii="宋体" w:hAnsi="宋体" w:eastAsia="宋体" w:cs="宋体"/>
                <w:i w:val="0"/>
                <w:iCs w:val="0"/>
                <w:color w:val="000000"/>
                <w:sz w:val="18"/>
                <w:szCs w:val="18"/>
                <w:u w:val="none"/>
              </w:rPr>
            </w:pP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F7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D05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C0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DF95">
            <w:pP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5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2D714">
            <w:pPr>
              <w:rPr>
                <w:rFonts w:hint="eastAsia" w:ascii="宋体" w:hAnsi="宋体" w:eastAsia="宋体" w:cs="宋体"/>
                <w:i w:val="0"/>
                <w:iCs w:val="0"/>
                <w:color w:val="000000"/>
                <w:sz w:val="18"/>
                <w:szCs w:val="18"/>
                <w:u w:val="none"/>
              </w:rPr>
            </w:pPr>
          </w:p>
        </w:tc>
      </w:tr>
      <w:tr w14:paraId="2B5C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A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7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A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9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3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6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F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E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08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EF5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6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E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C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1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D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8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3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8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EB1C">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80B7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B8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5BF1">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4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9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8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E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C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268.17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8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1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234E">
            <w:pPr>
              <w:rPr>
                <w:rFonts w:hint="eastAsia" w:ascii="黑体" w:hAnsi="黑体" w:eastAsia="黑体" w:cs="黑体"/>
                <w:i/>
                <w:iCs/>
                <w:color w:val="000000"/>
                <w:sz w:val="18"/>
                <w:szCs w:val="18"/>
                <w:u w:val="none"/>
              </w:rPr>
            </w:pPr>
          </w:p>
        </w:tc>
      </w:tr>
      <w:tr w14:paraId="721E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8432">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1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1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2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DA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3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A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5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DB2D">
            <w:pPr>
              <w:rPr>
                <w:rFonts w:hint="eastAsia" w:ascii="黑体" w:hAnsi="黑体" w:eastAsia="黑体" w:cs="黑体"/>
                <w:i/>
                <w:iCs/>
                <w:color w:val="000000"/>
                <w:sz w:val="18"/>
                <w:szCs w:val="18"/>
                <w:u w:val="none"/>
              </w:rPr>
            </w:pPr>
          </w:p>
        </w:tc>
      </w:tr>
      <w:tr w14:paraId="5B17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6286">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F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E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8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88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E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E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5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6662">
            <w:pPr>
              <w:rPr>
                <w:rFonts w:hint="eastAsia" w:ascii="黑体" w:hAnsi="黑体" w:eastAsia="黑体" w:cs="黑体"/>
                <w:i/>
                <w:iCs/>
                <w:color w:val="000000"/>
                <w:sz w:val="18"/>
                <w:szCs w:val="18"/>
                <w:u w:val="none"/>
              </w:rPr>
            </w:pPr>
          </w:p>
        </w:tc>
      </w:tr>
      <w:tr w14:paraId="2733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C7BA">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7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52A6">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E76E">
            <w:pPr>
              <w:jc w:val="center"/>
              <w:rPr>
                <w:rFonts w:hint="eastAsia" w:ascii="微软雅黑" w:hAnsi="微软雅黑" w:eastAsia="微软雅黑" w:cs="微软雅黑"/>
                <w:i/>
                <w:iCs/>
                <w:color w:val="000000"/>
                <w:sz w:val="16"/>
                <w:szCs w:val="16"/>
                <w:u w:val="none"/>
              </w:rPr>
            </w:pP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68575">
            <w:pPr>
              <w:jc w:val="center"/>
              <w:rPr>
                <w:rFonts w:hint="eastAsia" w:ascii="微软雅黑" w:hAnsi="微软雅黑" w:eastAsia="微软雅黑" w:cs="微软雅黑"/>
                <w:i/>
                <w:iCs/>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2092">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C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D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6C62">
            <w:pPr>
              <w:rPr>
                <w:rFonts w:hint="eastAsia" w:ascii="黑体" w:hAnsi="黑体" w:eastAsia="黑体" w:cs="黑体"/>
                <w:i/>
                <w:iCs/>
                <w:color w:val="000000"/>
                <w:sz w:val="18"/>
                <w:szCs w:val="18"/>
                <w:u w:val="none"/>
              </w:rPr>
            </w:pPr>
          </w:p>
        </w:tc>
      </w:tr>
      <w:tr w14:paraId="7441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80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3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5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B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D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9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C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A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8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D0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6603">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F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6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1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6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A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6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DAF8">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4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E567">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2FA6">
            <w:pPr>
              <w:jc w:val="center"/>
              <w:rPr>
                <w:rFonts w:hint="eastAsia" w:ascii="微软雅黑" w:hAnsi="微软雅黑" w:eastAsia="微软雅黑" w:cs="微软雅黑"/>
                <w:i/>
                <w:iCs/>
                <w:color w:val="000000"/>
                <w:sz w:val="16"/>
                <w:szCs w:val="16"/>
                <w:u w:val="none"/>
              </w:rPr>
            </w:pPr>
          </w:p>
        </w:tc>
      </w:tr>
      <w:tr w14:paraId="248E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88E9">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C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9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4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D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D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C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D3F1">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3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9CA8">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0303">
            <w:pPr>
              <w:jc w:val="center"/>
              <w:rPr>
                <w:rFonts w:hint="eastAsia" w:ascii="微软雅黑" w:hAnsi="微软雅黑" w:eastAsia="微软雅黑" w:cs="微软雅黑"/>
                <w:i/>
                <w:iCs/>
                <w:color w:val="000000"/>
                <w:sz w:val="16"/>
                <w:szCs w:val="16"/>
                <w:u w:val="none"/>
              </w:rPr>
            </w:pPr>
          </w:p>
        </w:tc>
      </w:tr>
      <w:tr w14:paraId="5634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D33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2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DD19">
            <w:pP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64C3">
            <w:pPr>
              <w:rPr>
                <w:rFonts w:hint="eastAsia" w:ascii="宋体" w:hAnsi="宋体" w:eastAsia="宋体" w:cs="宋体"/>
                <w:i w:val="0"/>
                <w:iCs w:val="0"/>
                <w:color w:val="000000"/>
                <w:sz w:val="18"/>
                <w:szCs w:val="18"/>
                <w:u w:val="none"/>
              </w:rPr>
            </w:pPr>
          </w:p>
        </w:tc>
      </w:tr>
      <w:tr w14:paraId="23CA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A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636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3FA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D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022E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B33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4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F0FE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C95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E06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DF18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920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tcBorders>
              <w:top w:val="nil"/>
              <w:left w:val="nil"/>
              <w:bottom w:val="nil"/>
              <w:right w:val="nil"/>
            </w:tcBorders>
            <w:shd w:val="clear" w:color="auto" w:fill="auto"/>
            <w:vAlign w:val="center"/>
          </w:tcPr>
          <w:p w14:paraId="0396E4CE">
            <w:pPr>
              <w:rPr>
                <w:rFonts w:hint="eastAsia" w:ascii="宋体" w:hAnsi="宋体" w:eastAsia="宋体" w:cs="宋体"/>
                <w:i w:val="0"/>
                <w:iCs w:val="0"/>
                <w:color w:val="000000"/>
                <w:sz w:val="18"/>
                <w:szCs w:val="18"/>
                <w:u w:val="none"/>
              </w:rPr>
            </w:pPr>
          </w:p>
        </w:tc>
        <w:tc>
          <w:tcPr>
            <w:tcW w:w="688" w:type="pct"/>
            <w:tcBorders>
              <w:top w:val="nil"/>
              <w:left w:val="nil"/>
              <w:bottom w:val="nil"/>
              <w:right w:val="nil"/>
            </w:tcBorders>
            <w:shd w:val="clear" w:color="auto" w:fill="auto"/>
            <w:vAlign w:val="center"/>
          </w:tcPr>
          <w:p w14:paraId="45F0E42F">
            <w:pPr>
              <w:rPr>
                <w:rFonts w:hint="eastAsia" w:ascii="宋体" w:hAnsi="宋体" w:eastAsia="宋体" w:cs="宋体"/>
                <w:i w:val="0"/>
                <w:iCs w:val="0"/>
                <w:color w:val="000000"/>
                <w:sz w:val="18"/>
                <w:szCs w:val="18"/>
                <w:u w:val="none"/>
              </w:rPr>
            </w:pPr>
          </w:p>
        </w:tc>
        <w:tc>
          <w:tcPr>
            <w:tcW w:w="596" w:type="pct"/>
            <w:tcBorders>
              <w:top w:val="nil"/>
              <w:left w:val="nil"/>
              <w:bottom w:val="nil"/>
              <w:right w:val="nil"/>
            </w:tcBorders>
            <w:shd w:val="clear" w:color="auto" w:fill="auto"/>
            <w:vAlign w:val="center"/>
          </w:tcPr>
          <w:p w14:paraId="65DE03B0">
            <w:pPr>
              <w:rPr>
                <w:rFonts w:hint="eastAsia" w:ascii="宋体" w:hAnsi="宋体" w:eastAsia="宋体" w:cs="宋体"/>
                <w:i w:val="0"/>
                <w:iCs w:val="0"/>
                <w:color w:val="000000"/>
                <w:sz w:val="18"/>
                <w:szCs w:val="18"/>
                <w:u w:val="none"/>
              </w:rPr>
            </w:pPr>
          </w:p>
        </w:tc>
        <w:tc>
          <w:tcPr>
            <w:tcW w:w="764" w:type="pct"/>
            <w:tcBorders>
              <w:top w:val="nil"/>
              <w:left w:val="nil"/>
              <w:bottom w:val="nil"/>
              <w:right w:val="nil"/>
            </w:tcBorders>
            <w:shd w:val="clear" w:color="auto" w:fill="auto"/>
            <w:vAlign w:val="center"/>
          </w:tcPr>
          <w:p w14:paraId="45D85FA9">
            <w:pPr>
              <w:rPr>
                <w:rFonts w:hint="eastAsia" w:ascii="宋体" w:hAnsi="宋体" w:eastAsia="宋体" w:cs="宋体"/>
                <w:i w:val="0"/>
                <w:iCs w:val="0"/>
                <w:color w:val="000000"/>
                <w:sz w:val="18"/>
                <w:szCs w:val="18"/>
                <w:u w:val="none"/>
              </w:rPr>
            </w:pPr>
          </w:p>
        </w:tc>
        <w:tc>
          <w:tcPr>
            <w:tcW w:w="295" w:type="pct"/>
            <w:tcBorders>
              <w:top w:val="nil"/>
              <w:left w:val="nil"/>
              <w:bottom w:val="nil"/>
              <w:right w:val="nil"/>
            </w:tcBorders>
            <w:shd w:val="clear" w:color="auto" w:fill="auto"/>
            <w:vAlign w:val="center"/>
          </w:tcPr>
          <w:p w14:paraId="7455C7D6">
            <w:pPr>
              <w:rPr>
                <w:rFonts w:hint="eastAsia" w:ascii="宋体" w:hAnsi="宋体" w:eastAsia="宋体" w:cs="宋体"/>
                <w:i w:val="0"/>
                <w:iCs w:val="0"/>
                <w:color w:val="000000"/>
                <w:sz w:val="18"/>
                <w:szCs w:val="18"/>
                <w:u w:val="none"/>
              </w:rPr>
            </w:pPr>
          </w:p>
        </w:tc>
        <w:tc>
          <w:tcPr>
            <w:tcW w:w="564" w:type="pct"/>
            <w:tcBorders>
              <w:top w:val="nil"/>
              <w:left w:val="nil"/>
              <w:bottom w:val="nil"/>
              <w:right w:val="nil"/>
            </w:tcBorders>
            <w:shd w:val="clear" w:color="auto" w:fill="auto"/>
            <w:vAlign w:val="center"/>
          </w:tcPr>
          <w:p w14:paraId="1B210C0B">
            <w:pPr>
              <w:rPr>
                <w:rFonts w:hint="eastAsia" w:ascii="宋体" w:hAnsi="宋体" w:eastAsia="宋体" w:cs="宋体"/>
                <w:i w:val="0"/>
                <w:iCs w:val="0"/>
                <w:color w:val="000000"/>
                <w:sz w:val="18"/>
                <w:szCs w:val="18"/>
                <w:u w:val="none"/>
              </w:rPr>
            </w:pPr>
          </w:p>
        </w:tc>
        <w:tc>
          <w:tcPr>
            <w:tcW w:w="288" w:type="pct"/>
            <w:tcBorders>
              <w:top w:val="nil"/>
              <w:left w:val="nil"/>
              <w:bottom w:val="nil"/>
              <w:right w:val="nil"/>
            </w:tcBorders>
            <w:shd w:val="clear" w:color="auto" w:fill="auto"/>
            <w:vAlign w:val="center"/>
          </w:tcPr>
          <w:p w14:paraId="6988ECCC">
            <w:pPr>
              <w:rPr>
                <w:rFonts w:hint="eastAsia" w:ascii="宋体" w:hAnsi="宋体" w:eastAsia="宋体" w:cs="宋体"/>
                <w:i w:val="0"/>
                <w:iCs w:val="0"/>
                <w:color w:val="000000"/>
                <w:sz w:val="18"/>
                <w:szCs w:val="18"/>
                <w:u w:val="none"/>
              </w:rPr>
            </w:pPr>
          </w:p>
        </w:tc>
        <w:tc>
          <w:tcPr>
            <w:tcW w:w="370" w:type="pct"/>
            <w:tcBorders>
              <w:top w:val="nil"/>
              <w:left w:val="nil"/>
              <w:bottom w:val="nil"/>
              <w:right w:val="nil"/>
            </w:tcBorders>
            <w:shd w:val="clear" w:color="auto" w:fill="auto"/>
            <w:vAlign w:val="center"/>
          </w:tcPr>
          <w:p w14:paraId="71509B2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CB320EA">
            <w:pPr>
              <w:rPr>
                <w:rFonts w:hint="eastAsia" w:ascii="宋体" w:hAnsi="宋体" w:eastAsia="宋体" w:cs="宋体"/>
                <w:i w:val="0"/>
                <w:iCs w:val="0"/>
                <w:color w:val="000000"/>
                <w:sz w:val="18"/>
                <w:szCs w:val="18"/>
                <w:u w:val="none"/>
              </w:rPr>
            </w:pPr>
          </w:p>
        </w:tc>
        <w:tc>
          <w:tcPr>
            <w:tcW w:w="155" w:type="pct"/>
            <w:tcBorders>
              <w:top w:val="nil"/>
              <w:left w:val="nil"/>
              <w:bottom w:val="nil"/>
              <w:right w:val="nil"/>
            </w:tcBorders>
            <w:shd w:val="clear" w:color="auto" w:fill="auto"/>
            <w:vAlign w:val="center"/>
          </w:tcPr>
          <w:p w14:paraId="1D18B58C">
            <w:pPr>
              <w:rPr>
                <w:rFonts w:hint="eastAsia" w:ascii="宋体" w:hAnsi="宋体" w:eastAsia="宋体" w:cs="宋体"/>
                <w:i w:val="0"/>
                <w:iCs w:val="0"/>
                <w:color w:val="000000"/>
                <w:sz w:val="18"/>
                <w:szCs w:val="18"/>
                <w:u w:val="none"/>
              </w:rPr>
            </w:pPr>
          </w:p>
        </w:tc>
        <w:tc>
          <w:tcPr>
            <w:tcW w:w="859" w:type="pct"/>
            <w:tcBorders>
              <w:top w:val="nil"/>
              <w:left w:val="nil"/>
              <w:bottom w:val="nil"/>
              <w:right w:val="nil"/>
            </w:tcBorders>
            <w:shd w:val="clear" w:color="auto" w:fill="auto"/>
            <w:vAlign w:val="center"/>
          </w:tcPr>
          <w:p w14:paraId="5EA2951A">
            <w:pPr>
              <w:rPr>
                <w:rFonts w:hint="eastAsia" w:ascii="宋体" w:hAnsi="宋体" w:eastAsia="宋体" w:cs="宋体"/>
                <w:i w:val="0"/>
                <w:iCs w:val="0"/>
                <w:color w:val="000000"/>
                <w:sz w:val="18"/>
                <w:szCs w:val="18"/>
                <w:u w:val="none"/>
              </w:rPr>
            </w:pPr>
          </w:p>
        </w:tc>
      </w:tr>
      <w:tr w14:paraId="0C4B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F99FE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9D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26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DD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51000021R000000019953-单位缴费</w:t>
            </w:r>
          </w:p>
        </w:tc>
      </w:tr>
      <w:tr w14:paraId="2DA1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91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89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小金县人民检察院部门</w:t>
            </w:r>
          </w:p>
        </w:tc>
        <w:tc>
          <w:tcPr>
            <w:tcW w:w="370" w:type="pct"/>
            <w:tcBorders>
              <w:top w:val="nil"/>
              <w:left w:val="nil"/>
              <w:bottom w:val="nil"/>
              <w:right w:val="nil"/>
            </w:tcBorders>
            <w:shd w:val="clear" w:color="auto" w:fill="auto"/>
            <w:vAlign w:val="center"/>
          </w:tcPr>
          <w:p w14:paraId="6BEC3C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EB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w:t>
            </w:r>
          </w:p>
        </w:tc>
      </w:tr>
      <w:tr w14:paraId="47D6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1A4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4E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9C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AB1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41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686C">
            <w:pP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F413">
            <w:pPr>
              <w:rPr>
                <w:rFonts w:hint="eastAsia" w:ascii="宋体" w:hAnsi="宋体" w:eastAsia="宋体" w:cs="宋体"/>
                <w:i w:val="0"/>
                <w:iCs w:val="0"/>
                <w:color w:val="000000"/>
                <w:sz w:val="18"/>
                <w:szCs w:val="18"/>
                <w:u w:val="none"/>
              </w:rPr>
            </w:pP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7B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04E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A62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A9B3">
            <w:pP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D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DDD0E">
            <w:pPr>
              <w:rPr>
                <w:rFonts w:hint="eastAsia" w:ascii="宋体" w:hAnsi="宋体" w:eastAsia="宋体" w:cs="宋体"/>
                <w:i w:val="0"/>
                <w:iCs w:val="0"/>
                <w:color w:val="000000"/>
                <w:sz w:val="18"/>
                <w:szCs w:val="18"/>
                <w:u w:val="none"/>
              </w:rPr>
            </w:pPr>
          </w:p>
        </w:tc>
      </w:tr>
      <w:tr w14:paraId="4B74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A1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3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C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0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55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1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6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C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D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1726">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A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4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174.95</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184.17</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D7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184.17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0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B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9FCC">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83C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8F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D1C7">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9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1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198.69</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5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184.17</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BF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184.17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6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0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F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D4B57">
            <w:pPr>
              <w:rPr>
                <w:rFonts w:hint="eastAsia" w:ascii="黑体" w:hAnsi="黑体" w:eastAsia="黑体" w:cs="黑体"/>
                <w:i/>
                <w:iCs/>
                <w:color w:val="000000"/>
                <w:sz w:val="18"/>
                <w:szCs w:val="18"/>
                <w:u w:val="none"/>
              </w:rPr>
            </w:pPr>
          </w:p>
        </w:tc>
      </w:tr>
      <w:tr w14:paraId="6D55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33C3">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0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8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5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81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8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E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8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D79A">
            <w:pPr>
              <w:rPr>
                <w:rFonts w:hint="eastAsia" w:ascii="黑体" w:hAnsi="黑体" w:eastAsia="黑体" w:cs="黑体"/>
                <w:i/>
                <w:iCs/>
                <w:color w:val="000000"/>
                <w:sz w:val="18"/>
                <w:szCs w:val="18"/>
                <w:u w:val="none"/>
              </w:rPr>
            </w:pPr>
          </w:p>
        </w:tc>
      </w:tr>
      <w:tr w14:paraId="747C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AAC3">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7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0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E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09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9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D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52FA">
            <w:pPr>
              <w:rPr>
                <w:rFonts w:hint="eastAsia" w:ascii="黑体" w:hAnsi="黑体" w:eastAsia="黑体" w:cs="黑体"/>
                <w:i/>
                <w:iCs/>
                <w:color w:val="000000"/>
                <w:sz w:val="18"/>
                <w:szCs w:val="18"/>
                <w:u w:val="none"/>
              </w:rPr>
            </w:pPr>
          </w:p>
        </w:tc>
      </w:tr>
      <w:tr w14:paraId="0CDA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E57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2BED">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518A">
            <w:pPr>
              <w:jc w:val="center"/>
              <w:rPr>
                <w:rFonts w:hint="eastAsia" w:ascii="微软雅黑" w:hAnsi="微软雅黑" w:eastAsia="微软雅黑" w:cs="微软雅黑"/>
                <w:i/>
                <w:iCs/>
                <w:color w:val="000000"/>
                <w:sz w:val="16"/>
                <w:szCs w:val="16"/>
                <w:u w:val="none"/>
              </w:rPr>
            </w:pP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9B16A">
            <w:pPr>
              <w:jc w:val="center"/>
              <w:rPr>
                <w:rFonts w:hint="eastAsia" w:ascii="微软雅黑" w:hAnsi="微软雅黑" w:eastAsia="微软雅黑" w:cs="微软雅黑"/>
                <w:i/>
                <w:iCs/>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C6D0">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C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2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D26E">
            <w:pPr>
              <w:rPr>
                <w:rFonts w:hint="eastAsia" w:ascii="黑体" w:hAnsi="黑体" w:eastAsia="黑体" w:cs="黑体"/>
                <w:i/>
                <w:iCs/>
                <w:color w:val="000000"/>
                <w:sz w:val="18"/>
                <w:szCs w:val="18"/>
                <w:u w:val="none"/>
              </w:rPr>
            </w:pPr>
          </w:p>
        </w:tc>
      </w:tr>
      <w:tr w14:paraId="2ABB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C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1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A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5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F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F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7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5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F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E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2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45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7E52">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8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E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8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A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0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EB0B">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2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95EB">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9682">
            <w:pPr>
              <w:jc w:val="center"/>
              <w:rPr>
                <w:rFonts w:hint="eastAsia" w:ascii="微软雅黑" w:hAnsi="微软雅黑" w:eastAsia="微软雅黑" w:cs="微软雅黑"/>
                <w:i/>
                <w:iCs/>
                <w:color w:val="000000"/>
                <w:sz w:val="16"/>
                <w:szCs w:val="16"/>
                <w:u w:val="none"/>
              </w:rPr>
            </w:pPr>
          </w:p>
        </w:tc>
      </w:tr>
      <w:tr w14:paraId="6ADD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78D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4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3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3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D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7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E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805C">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5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84D4">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34E2">
            <w:pPr>
              <w:jc w:val="center"/>
              <w:rPr>
                <w:rFonts w:hint="eastAsia" w:ascii="微软雅黑" w:hAnsi="微软雅黑" w:eastAsia="微软雅黑" w:cs="微软雅黑"/>
                <w:i/>
                <w:iCs/>
                <w:color w:val="000000"/>
                <w:sz w:val="16"/>
                <w:szCs w:val="16"/>
                <w:u w:val="none"/>
              </w:rPr>
            </w:pPr>
          </w:p>
        </w:tc>
      </w:tr>
      <w:tr w14:paraId="27D9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AC2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E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507E">
            <w:pP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D4E3">
            <w:pPr>
              <w:rPr>
                <w:rFonts w:hint="eastAsia" w:ascii="宋体" w:hAnsi="宋体" w:eastAsia="宋体" w:cs="宋体"/>
                <w:i w:val="0"/>
                <w:iCs w:val="0"/>
                <w:color w:val="000000"/>
                <w:sz w:val="18"/>
                <w:szCs w:val="18"/>
                <w:u w:val="none"/>
              </w:rPr>
            </w:pPr>
          </w:p>
        </w:tc>
      </w:tr>
      <w:tr w14:paraId="10ED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4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2BC0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A17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E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A3BF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DE0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D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946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032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F76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D0C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176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tcBorders>
              <w:top w:val="nil"/>
              <w:left w:val="nil"/>
              <w:bottom w:val="nil"/>
              <w:right w:val="nil"/>
            </w:tcBorders>
            <w:shd w:val="clear" w:color="auto" w:fill="auto"/>
            <w:vAlign w:val="center"/>
          </w:tcPr>
          <w:p w14:paraId="41BCF70F">
            <w:pPr>
              <w:rPr>
                <w:rFonts w:hint="eastAsia" w:ascii="宋体" w:hAnsi="宋体" w:eastAsia="宋体" w:cs="宋体"/>
                <w:i w:val="0"/>
                <w:iCs w:val="0"/>
                <w:color w:val="000000"/>
                <w:sz w:val="18"/>
                <w:szCs w:val="18"/>
                <w:u w:val="none"/>
              </w:rPr>
            </w:pPr>
          </w:p>
        </w:tc>
        <w:tc>
          <w:tcPr>
            <w:tcW w:w="688" w:type="pct"/>
            <w:tcBorders>
              <w:top w:val="nil"/>
              <w:left w:val="nil"/>
              <w:bottom w:val="nil"/>
              <w:right w:val="nil"/>
            </w:tcBorders>
            <w:shd w:val="clear" w:color="auto" w:fill="auto"/>
            <w:vAlign w:val="center"/>
          </w:tcPr>
          <w:p w14:paraId="084DBCAD">
            <w:pPr>
              <w:rPr>
                <w:rFonts w:hint="eastAsia" w:ascii="宋体" w:hAnsi="宋体" w:eastAsia="宋体" w:cs="宋体"/>
                <w:i w:val="0"/>
                <w:iCs w:val="0"/>
                <w:color w:val="000000"/>
                <w:sz w:val="18"/>
                <w:szCs w:val="18"/>
                <w:u w:val="none"/>
              </w:rPr>
            </w:pPr>
          </w:p>
        </w:tc>
        <w:tc>
          <w:tcPr>
            <w:tcW w:w="596" w:type="pct"/>
            <w:tcBorders>
              <w:top w:val="nil"/>
              <w:left w:val="nil"/>
              <w:bottom w:val="nil"/>
              <w:right w:val="nil"/>
            </w:tcBorders>
            <w:shd w:val="clear" w:color="auto" w:fill="auto"/>
            <w:vAlign w:val="center"/>
          </w:tcPr>
          <w:p w14:paraId="532E1D6C">
            <w:pPr>
              <w:rPr>
                <w:rFonts w:hint="eastAsia" w:ascii="宋体" w:hAnsi="宋体" w:eastAsia="宋体" w:cs="宋体"/>
                <w:i w:val="0"/>
                <w:iCs w:val="0"/>
                <w:color w:val="000000"/>
                <w:sz w:val="18"/>
                <w:szCs w:val="18"/>
                <w:u w:val="none"/>
              </w:rPr>
            </w:pPr>
          </w:p>
        </w:tc>
        <w:tc>
          <w:tcPr>
            <w:tcW w:w="764" w:type="pct"/>
            <w:tcBorders>
              <w:top w:val="nil"/>
              <w:left w:val="nil"/>
              <w:bottom w:val="nil"/>
              <w:right w:val="nil"/>
            </w:tcBorders>
            <w:shd w:val="clear" w:color="auto" w:fill="auto"/>
            <w:vAlign w:val="center"/>
          </w:tcPr>
          <w:p w14:paraId="0DC0D565">
            <w:pPr>
              <w:rPr>
                <w:rFonts w:hint="eastAsia" w:ascii="宋体" w:hAnsi="宋体" w:eastAsia="宋体" w:cs="宋体"/>
                <w:i w:val="0"/>
                <w:iCs w:val="0"/>
                <w:color w:val="000000"/>
                <w:sz w:val="18"/>
                <w:szCs w:val="18"/>
                <w:u w:val="none"/>
              </w:rPr>
            </w:pPr>
          </w:p>
        </w:tc>
        <w:tc>
          <w:tcPr>
            <w:tcW w:w="295" w:type="pct"/>
            <w:tcBorders>
              <w:top w:val="nil"/>
              <w:left w:val="nil"/>
              <w:bottom w:val="nil"/>
              <w:right w:val="nil"/>
            </w:tcBorders>
            <w:shd w:val="clear" w:color="auto" w:fill="auto"/>
            <w:vAlign w:val="center"/>
          </w:tcPr>
          <w:p w14:paraId="7013D7CE">
            <w:pPr>
              <w:rPr>
                <w:rFonts w:hint="eastAsia" w:ascii="宋体" w:hAnsi="宋体" w:eastAsia="宋体" w:cs="宋体"/>
                <w:i w:val="0"/>
                <w:iCs w:val="0"/>
                <w:color w:val="000000"/>
                <w:sz w:val="18"/>
                <w:szCs w:val="18"/>
                <w:u w:val="none"/>
              </w:rPr>
            </w:pPr>
          </w:p>
        </w:tc>
        <w:tc>
          <w:tcPr>
            <w:tcW w:w="564" w:type="pct"/>
            <w:tcBorders>
              <w:top w:val="nil"/>
              <w:left w:val="nil"/>
              <w:bottom w:val="nil"/>
              <w:right w:val="nil"/>
            </w:tcBorders>
            <w:shd w:val="clear" w:color="auto" w:fill="auto"/>
            <w:vAlign w:val="center"/>
          </w:tcPr>
          <w:p w14:paraId="2F760BDD">
            <w:pPr>
              <w:rPr>
                <w:rFonts w:hint="eastAsia" w:ascii="宋体" w:hAnsi="宋体" w:eastAsia="宋体" w:cs="宋体"/>
                <w:i w:val="0"/>
                <w:iCs w:val="0"/>
                <w:color w:val="000000"/>
                <w:sz w:val="18"/>
                <w:szCs w:val="18"/>
                <w:u w:val="none"/>
              </w:rPr>
            </w:pPr>
          </w:p>
        </w:tc>
        <w:tc>
          <w:tcPr>
            <w:tcW w:w="288" w:type="pct"/>
            <w:tcBorders>
              <w:top w:val="nil"/>
              <w:left w:val="nil"/>
              <w:bottom w:val="nil"/>
              <w:right w:val="nil"/>
            </w:tcBorders>
            <w:shd w:val="clear" w:color="auto" w:fill="auto"/>
            <w:vAlign w:val="center"/>
          </w:tcPr>
          <w:p w14:paraId="2361BA0A">
            <w:pPr>
              <w:rPr>
                <w:rFonts w:hint="eastAsia" w:ascii="宋体" w:hAnsi="宋体" w:eastAsia="宋体" w:cs="宋体"/>
                <w:i w:val="0"/>
                <w:iCs w:val="0"/>
                <w:color w:val="000000"/>
                <w:sz w:val="18"/>
                <w:szCs w:val="18"/>
                <w:u w:val="none"/>
              </w:rPr>
            </w:pPr>
          </w:p>
        </w:tc>
        <w:tc>
          <w:tcPr>
            <w:tcW w:w="370" w:type="pct"/>
            <w:tcBorders>
              <w:top w:val="nil"/>
              <w:left w:val="nil"/>
              <w:bottom w:val="nil"/>
              <w:right w:val="nil"/>
            </w:tcBorders>
            <w:shd w:val="clear" w:color="auto" w:fill="auto"/>
            <w:vAlign w:val="center"/>
          </w:tcPr>
          <w:p w14:paraId="1655D63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760F989">
            <w:pPr>
              <w:rPr>
                <w:rFonts w:hint="eastAsia" w:ascii="宋体" w:hAnsi="宋体" w:eastAsia="宋体" w:cs="宋体"/>
                <w:i w:val="0"/>
                <w:iCs w:val="0"/>
                <w:color w:val="000000"/>
                <w:sz w:val="18"/>
                <w:szCs w:val="18"/>
                <w:u w:val="none"/>
              </w:rPr>
            </w:pPr>
          </w:p>
        </w:tc>
        <w:tc>
          <w:tcPr>
            <w:tcW w:w="155" w:type="pct"/>
            <w:tcBorders>
              <w:top w:val="nil"/>
              <w:left w:val="nil"/>
              <w:bottom w:val="nil"/>
              <w:right w:val="nil"/>
            </w:tcBorders>
            <w:shd w:val="clear" w:color="auto" w:fill="auto"/>
            <w:vAlign w:val="center"/>
          </w:tcPr>
          <w:p w14:paraId="50E21A97">
            <w:pPr>
              <w:rPr>
                <w:rFonts w:hint="eastAsia" w:ascii="宋体" w:hAnsi="宋体" w:eastAsia="宋体" w:cs="宋体"/>
                <w:i w:val="0"/>
                <w:iCs w:val="0"/>
                <w:color w:val="000000"/>
                <w:sz w:val="18"/>
                <w:szCs w:val="18"/>
                <w:u w:val="none"/>
              </w:rPr>
            </w:pPr>
          </w:p>
        </w:tc>
        <w:tc>
          <w:tcPr>
            <w:tcW w:w="859" w:type="pct"/>
            <w:tcBorders>
              <w:top w:val="nil"/>
              <w:left w:val="nil"/>
              <w:bottom w:val="nil"/>
              <w:right w:val="nil"/>
            </w:tcBorders>
            <w:shd w:val="clear" w:color="auto" w:fill="auto"/>
            <w:vAlign w:val="center"/>
          </w:tcPr>
          <w:p w14:paraId="77C29462">
            <w:pPr>
              <w:rPr>
                <w:rFonts w:hint="eastAsia" w:ascii="宋体" w:hAnsi="宋体" w:eastAsia="宋体" w:cs="宋体"/>
                <w:i w:val="0"/>
                <w:iCs w:val="0"/>
                <w:color w:val="000000"/>
                <w:sz w:val="18"/>
                <w:szCs w:val="18"/>
                <w:u w:val="none"/>
              </w:rPr>
            </w:pPr>
          </w:p>
        </w:tc>
      </w:tr>
      <w:tr w14:paraId="24AB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8FC9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F2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B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C181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51000021R000000019954-聘用人员经费</w:t>
            </w:r>
          </w:p>
        </w:tc>
      </w:tr>
      <w:tr w14:paraId="1FDD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22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CA2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小金县人民检察院部门</w:t>
            </w:r>
          </w:p>
        </w:tc>
        <w:tc>
          <w:tcPr>
            <w:tcW w:w="370" w:type="pct"/>
            <w:tcBorders>
              <w:top w:val="nil"/>
              <w:left w:val="nil"/>
              <w:bottom w:val="nil"/>
              <w:right w:val="nil"/>
            </w:tcBorders>
            <w:shd w:val="clear" w:color="auto" w:fill="auto"/>
            <w:vAlign w:val="center"/>
          </w:tcPr>
          <w:p w14:paraId="5E0175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D7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w:t>
            </w:r>
          </w:p>
        </w:tc>
      </w:tr>
      <w:tr w14:paraId="36E9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A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27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76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AE27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57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4889">
            <w:pP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9D39">
            <w:pPr>
              <w:rPr>
                <w:rFonts w:hint="eastAsia" w:ascii="宋体" w:hAnsi="宋体" w:eastAsia="宋体" w:cs="宋体"/>
                <w:i w:val="0"/>
                <w:iCs w:val="0"/>
                <w:color w:val="000000"/>
                <w:sz w:val="18"/>
                <w:szCs w:val="18"/>
                <w:u w:val="none"/>
              </w:rPr>
            </w:pP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D47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CE0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AE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11E4">
            <w:pP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3A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0B2497">
            <w:pPr>
              <w:rPr>
                <w:rFonts w:hint="eastAsia" w:ascii="宋体" w:hAnsi="宋体" w:eastAsia="宋体" w:cs="宋体"/>
                <w:i w:val="0"/>
                <w:iCs w:val="0"/>
                <w:color w:val="000000"/>
                <w:sz w:val="18"/>
                <w:szCs w:val="18"/>
                <w:u w:val="none"/>
              </w:rPr>
            </w:pPr>
          </w:p>
        </w:tc>
      </w:tr>
      <w:tr w14:paraId="0AFD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8E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5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A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C4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7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D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3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3C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4CC">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A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1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E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F7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3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3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9D34">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A007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F2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BEAA">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F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7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B0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5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3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47F1">
            <w:pPr>
              <w:rPr>
                <w:rFonts w:hint="eastAsia" w:ascii="黑体" w:hAnsi="黑体" w:eastAsia="黑体" w:cs="黑体"/>
                <w:i/>
                <w:iCs/>
                <w:color w:val="000000"/>
                <w:sz w:val="18"/>
                <w:szCs w:val="18"/>
                <w:u w:val="none"/>
              </w:rPr>
            </w:pPr>
          </w:p>
        </w:tc>
      </w:tr>
      <w:tr w14:paraId="3467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5800">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7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4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1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75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D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3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E5B4">
            <w:pPr>
              <w:rPr>
                <w:rFonts w:hint="eastAsia" w:ascii="黑体" w:hAnsi="黑体" w:eastAsia="黑体" w:cs="黑体"/>
                <w:i/>
                <w:iCs/>
                <w:color w:val="000000"/>
                <w:sz w:val="18"/>
                <w:szCs w:val="18"/>
                <w:u w:val="none"/>
              </w:rPr>
            </w:pPr>
          </w:p>
        </w:tc>
      </w:tr>
      <w:tr w14:paraId="5104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44AB">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7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5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6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4A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B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5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B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F278">
            <w:pPr>
              <w:rPr>
                <w:rFonts w:hint="eastAsia" w:ascii="黑体" w:hAnsi="黑体" w:eastAsia="黑体" w:cs="黑体"/>
                <w:i/>
                <w:iCs/>
                <w:color w:val="000000"/>
                <w:sz w:val="18"/>
                <w:szCs w:val="18"/>
                <w:u w:val="none"/>
              </w:rPr>
            </w:pPr>
          </w:p>
        </w:tc>
      </w:tr>
      <w:tr w14:paraId="16F0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F38E">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F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1D03">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69D3">
            <w:pPr>
              <w:jc w:val="center"/>
              <w:rPr>
                <w:rFonts w:hint="eastAsia" w:ascii="微软雅黑" w:hAnsi="微软雅黑" w:eastAsia="微软雅黑" w:cs="微软雅黑"/>
                <w:i/>
                <w:iCs/>
                <w:color w:val="000000"/>
                <w:sz w:val="16"/>
                <w:szCs w:val="16"/>
                <w:u w:val="none"/>
              </w:rPr>
            </w:pP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6ABB4">
            <w:pPr>
              <w:jc w:val="center"/>
              <w:rPr>
                <w:rFonts w:hint="eastAsia" w:ascii="微软雅黑" w:hAnsi="微软雅黑" w:eastAsia="微软雅黑" w:cs="微软雅黑"/>
                <w:i/>
                <w:iCs/>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A583">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4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2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6500">
            <w:pPr>
              <w:rPr>
                <w:rFonts w:hint="eastAsia" w:ascii="黑体" w:hAnsi="黑体" w:eastAsia="黑体" w:cs="黑体"/>
                <w:i/>
                <w:iCs/>
                <w:color w:val="000000"/>
                <w:sz w:val="18"/>
                <w:szCs w:val="18"/>
                <w:u w:val="none"/>
              </w:rPr>
            </w:pPr>
          </w:p>
        </w:tc>
      </w:tr>
      <w:tr w14:paraId="2FF2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9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5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4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7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B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E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8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2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1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D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A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42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C617">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4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A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2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A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2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F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96ED">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2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7531">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45FC">
            <w:pPr>
              <w:jc w:val="center"/>
              <w:rPr>
                <w:rFonts w:hint="eastAsia" w:ascii="微软雅黑" w:hAnsi="微软雅黑" w:eastAsia="微软雅黑" w:cs="微软雅黑"/>
                <w:i/>
                <w:iCs/>
                <w:color w:val="000000"/>
                <w:sz w:val="16"/>
                <w:szCs w:val="16"/>
                <w:u w:val="none"/>
              </w:rPr>
            </w:pPr>
          </w:p>
        </w:tc>
      </w:tr>
      <w:tr w14:paraId="6550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37CB">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C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5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5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F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6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C6B3">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B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C661">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9F2F">
            <w:pPr>
              <w:jc w:val="center"/>
              <w:rPr>
                <w:rFonts w:hint="eastAsia" w:ascii="微软雅黑" w:hAnsi="微软雅黑" w:eastAsia="微软雅黑" w:cs="微软雅黑"/>
                <w:i/>
                <w:iCs/>
                <w:color w:val="000000"/>
                <w:sz w:val="16"/>
                <w:szCs w:val="16"/>
                <w:u w:val="none"/>
              </w:rPr>
            </w:pPr>
          </w:p>
        </w:tc>
      </w:tr>
      <w:tr w14:paraId="0E7D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843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08FB">
            <w:pP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4CEA">
            <w:pPr>
              <w:rPr>
                <w:rFonts w:hint="eastAsia" w:ascii="宋体" w:hAnsi="宋体" w:eastAsia="宋体" w:cs="宋体"/>
                <w:i w:val="0"/>
                <w:iCs w:val="0"/>
                <w:color w:val="000000"/>
                <w:sz w:val="18"/>
                <w:szCs w:val="18"/>
                <w:u w:val="none"/>
              </w:rPr>
            </w:pPr>
          </w:p>
        </w:tc>
      </w:tr>
      <w:tr w14:paraId="0523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4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646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72A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3762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9CE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1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9B7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F5B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3FB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66E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591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tcBorders>
              <w:top w:val="nil"/>
              <w:left w:val="nil"/>
              <w:bottom w:val="nil"/>
              <w:right w:val="nil"/>
            </w:tcBorders>
            <w:shd w:val="clear" w:color="auto" w:fill="auto"/>
            <w:vAlign w:val="center"/>
          </w:tcPr>
          <w:p w14:paraId="49741991">
            <w:pPr>
              <w:rPr>
                <w:rFonts w:hint="eastAsia" w:ascii="宋体" w:hAnsi="宋体" w:eastAsia="宋体" w:cs="宋体"/>
                <w:i w:val="0"/>
                <w:iCs w:val="0"/>
                <w:color w:val="000000"/>
                <w:sz w:val="18"/>
                <w:szCs w:val="18"/>
                <w:u w:val="none"/>
              </w:rPr>
            </w:pPr>
          </w:p>
        </w:tc>
        <w:tc>
          <w:tcPr>
            <w:tcW w:w="688" w:type="pct"/>
            <w:tcBorders>
              <w:top w:val="nil"/>
              <w:left w:val="nil"/>
              <w:bottom w:val="nil"/>
              <w:right w:val="nil"/>
            </w:tcBorders>
            <w:shd w:val="clear" w:color="auto" w:fill="auto"/>
            <w:vAlign w:val="center"/>
          </w:tcPr>
          <w:p w14:paraId="49FEA27D">
            <w:pPr>
              <w:rPr>
                <w:rFonts w:hint="eastAsia" w:ascii="宋体" w:hAnsi="宋体" w:eastAsia="宋体" w:cs="宋体"/>
                <w:i w:val="0"/>
                <w:iCs w:val="0"/>
                <w:color w:val="000000"/>
                <w:sz w:val="18"/>
                <w:szCs w:val="18"/>
                <w:u w:val="none"/>
              </w:rPr>
            </w:pPr>
          </w:p>
        </w:tc>
        <w:tc>
          <w:tcPr>
            <w:tcW w:w="596" w:type="pct"/>
            <w:tcBorders>
              <w:top w:val="nil"/>
              <w:left w:val="nil"/>
              <w:bottom w:val="nil"/>
              <w:right w:val="nil"/>
            </w:tcBorders>
            <w:shd w:val="clear" w:color="auto" w:fill="auto"/>
            <w:vAlign w:val="center"/>
          </w:tcPr>
          <w:p w14:paraId="2655269D">
            <w:pPr>
              <w:rPr>
                <w:rFonts w:hint="eastAsia" w:ascii="宋体" w:hAnsi="宋体" w:eastAsia="宋体" w:cs="宋体"/>
                <w:i w:val="0"/>
                <w:iCs w:val="0"/>
                <w:color w:val="000000"/>
                <w:sz w:val="18"/>
                <w:szCs w:val="18"/>
                <w:u w:val="none"/>
              </w:rPr>
            </w:pPr>
          </w:p>
        </w:tc>
        <w:tc>
          <w:tcPr>
            <w:tcW w:w="764" w:type="pct"/>
            <w:tcBorders>
              <w:top w:val="nil"/>
              <w:left w:val="nil"/>
              <w:bottom w:val="nil"/>
              <w:right w:val="nil"/>
            </w:tcBorders>
            <w:shd w:val="clear" w:color="auto" w:fill="auto"/>
            <w:vAlign w:val="center"/>
          </w:tcPr>
          <w:p w14:paraId="4CB7BBDF">
            <w:pPr>
              <w:rPr>
                <w:rFonts w:hint="eastAsia" w:ascii="宋体" w:hAnsi="宋体" w:eastAsia="宋体" w:cs="宋体"/>
                <w:i w:val="0"/>
                <w:iCs w:val="0"/>
                <w:color w:val="000000"/>
                <w:sz w:val="18"/>
                <w:szCs w:val="18"/>
                <w:u w:val="none"/>
              </w:rPr>
            </w:pPr>
          </w:p>
        </w:tc>
        <w:tc>
          <w:tcPr>
            <w:tcW w:w="295" w:type="pct"/>
            <w:tcBorders>
              <w:top w:val="nil"/>
              <w:left w:val="nil"/>
              <w:bottom w:val="nil"/>
              <w:right w:val="nil"/>
            </w:tcBorders>
            <w:shd w:val="clear" w:color="auto" w:fill="auto"/>
            <w:vAlign w:val="center"/>
          </w:tcPr>
          <w:p w14:paraId="721D23CC">
            <w:pPr>
              <w:rPr>
                <w:rFonts w:hint="eastAsia" w:ascii="宋体" w:hAnsi="宋体" w:eastAsia="宋体" w:cs="宋体"/>
                <w:i w:val="0"/>
                <w:iCs w:val="0"/>
                <w:color w:val="000000"/>
                <w:sz w:val="18"/>
                <w:szCs w:val="18"/>
                <w:u w:val="none"/>
              </w:rPr>
            </w:pPr>
          </w:p>
        </w:tc>
        <w:tc>
          <w:tcPr>
            <w:tcW w:w="564" w:type="pct"/>
            <w:tcBorders>
              <w:top w:val="nil"/>
              <w:left w:val="nil"/>
              <w:bottom w:val="nil"/>
              <w:right w:val="nil"/>
            </w:tcBorders>
            <w:shd w:val="clear" w:color="auto" w:fill="auto"/>
            <w:vAlign w:val="center"/>
          </w:tcPr>
          <w:p w14:paraId="3ADC53F8">
            <w:pPr>
              <w:rPr>
                <w:rFonts w:hint="eastAsia" w:ascii="宋体" w:hAnsi="宋体" w:eastAsia="宋体" w:cs="宋体"/>
                <w:i w:val="0"/>
                <w:iCs w:val="0"/>
                <w:color w:val="000000"/>
                <w:sz w:val="18"/>
                <w:szCs w:val="18"/>
                <w:u w:val="none"/>
              </w:rPr>
            </w:pPr>
          </w:p>
        </w:tc>
        <w:tc>
          <w:tcPr>
            <w:tcW w:w="288" w:type="pct"/>
            <w:tcBorders>
              <w:top w:val="nil"/>
              <w:left w:val="nil"/>
              <w:bottom w:val="nil"/>
              <w:right w:val="nil"/>
            </w:tcBorders>
            <w:shd w:val="clear" w:color="auto" w:fill="auto"/>
            <w:vAlign w:val="center"/>
          </w:tcPr>
          <w:p w14:paraId="621A5D0B">
            <w:pPr>
              <w:rPr>
                <w:rFonts w:hint="eastAsia" w:ascii="宋体" w:hAnsi="宋体" w:eastAsia="宋体" w:cs="宋体"/>
                <w:i w:val="0"/>
                <w:iCs w:val="0"/>
                <w:color w:val="000000"/>
                <w:sz w:val="18"/>
                <w:szCs w:val="18"/>
                <w:u w:val="none"/>
              </w:rPr>
            </w:pPr>
          </w:p>
        </w:tc>
        <w:tc>
          <w:tcPr>
            <w:tcW w:w="370" w:type="pct"/>
            <w:tcBorders>
              <w:top w:val="nil"/>
              <w:left w:val="nil"/>
              <w:bottom w:val="nil"/>
              <w:right w:val="nil"/>
            </w:tcBorders>
            <w:shd w:val="clear" w:color="auto" w:fill="auto"/>
            <w:vAlign w:val="center"/>
          </w:tcPr>
          <w:p w14:paraId="2418008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4CED8BE">
            <w:pPr>
              <w:rPr>
                <w:rFonts w:hint="eastAsia" w:ascii="宋体" w:hAnsi="宋体" w:eastAsia="宋体" w:cs="宋体"/>
                <w:i w:val="0"/>
                <w:iCs w:val="0"/>
                <w:color w:val="000000"/>
                <w:sz w:val="18"/>
                <w:szCs w:val="18"/>
                <w:u w:val="none"/>
              </w:rPr>
            </w:pPr>
          </w:p>
        </w:tc>
        <w:tc>
          <w:tcPr>
            <w:tcW w:w="155" w:type="pct"/>
            <w:tcBorders>
              <w:top w:val="nil"/>
              <w:left w:val="nil"/>
              <w:bottom w:val="nil"/>
              <w:right w:val="nil"/>
            </w:tcBorders>
            <w:shd w:val="clear" w:color="auto" w:fill="auto"/>
            <w:vAlign w:val="center"/>
          </w:tcPr>
          <w:p w14:paraId="10DC9BCC">
            <w:pPr>
              <w:rPr>
                <w:rFonts w:hint="eastAsia" w:ascii="宋体" w:hAnsi="宋体" w:eastAsia="宋体" w:cs="宋体"/>
                <w:i w:val="0"/>
                <w:iCs w:val="0"/>
                <w:color w:val="000000"/>
                <w:sz w:val="18"/>
                <w:szCs w:val="18"/>
                <w:u w:val="none"/>
              </w:rPr>
            </w:pPr>
          </w:p>
        </w:tc>
        <w:tc>
          <w:tcPr>
            <w:tcW w:w="859" w:type="pct"/>
            <w:tcBorders>
              <w:top w:val="nil"/>
              <w:left w:val="nil"/>
              <w:bottom w:val="nil"/>
              <w:right w:val="nil"/>
            </w:tcBorders>
            <w:shd w:val="clear" w:color="auto" w:fill="auto"/>
            <w:vAlign w:val="center"/>
          </w:tcPr>
          <w:p w14:paraId="4C849B4B">
            <w:pPr>
              <w:rPr>
                <w:rFonts w:hint="eastAsia" w:ascii="宋体" w:hAnsi="宋体" w:eastAsia="宋体" w:cs="宋体"/>
                <w:i w:val="0"/>
                <w:iCs w:val="0"/>
                <w:color w:val="000000"/>
                <w:sz w:val="18"/>
                <w:szCs w:val="18"/>
                <w:u w:val="none"/>
              </w:rPr>
            </w:pPr>
          </w:p>
        </w:tc>
      </w:tr>
      <w:tr w14:paraId="3F1F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DF31E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18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AA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E5F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51000021R000000019958-其他支出</w:t>
            </w:r>
          </w:p>
        </w:tc>
      </w:tr>
      <w:tr w14:paraId="4D09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2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9C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小金县人民检察院部门</w:t>
            </w:r>
          </w:p>
        </w:tc>
        <w:tc>
          <w:tcPr>
            <w:tcW w:w="370" w:type="pct"/>
            <w:tcBorders>
              <w:top w:val="nil"/>
              <w:left w:val="nil"/>
              <w:bottom w:val="nil"/>
              <w:right w:val="nil"/>
            </w:tcBorders>
            <w:shd w:val="clear" w:color="auto" w:fill="auto"/>
            <w:vAlign w:val="center"/>
          </w:tcPr>
          <w:p w14:paraId="0E6A93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28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w:t>
            </w:r>
          </w:p>
        </w:tc>
      </w:tr>
      <w:tr w14:paraId="3581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CE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23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43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629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A5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605D">
            <w:pP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6A7D">
            <w:pPr>
              <w:rPr>
                <w:rFonts w:hint="eastAsia" w:ascii="宋体" w:hAnsi="宋体" w:eastAsia="宋体" w:cs="宋体"/>
                <w:i w:val="0"/>
                <w:iCs w:val="0"/>
                <w:color w:val="000000"/>
                <w:sz w:val="18"/>
                <w:szCs w:val="18"/>
                <w:u w:val="none"/>
              </w:rPr>
            </w:pP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D3D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F53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995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9A15">
            <w:pP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1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88CEF1">
            <w:pPr>
              <w:rPr>
                <w:rFonts w:hint="eastAsia" w:ascii="宋体" w:hAnsi="宋体" w:eastAsia="宋体" w:cs="宋体"/>
                <w:i w:val="0"/>
                <w:iCs w:val="0"/>
                <w:color w:val="000000"/>
                <w:sz w:val="18"/>
                <w:szCs w:val="18"/>
                <w:u w:val="none"/>
              </w:rPr>
            </w:pPr>
          </w:p>
        </w:tc>
      </w:tr>
      <w:tr w14:paraId="0467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BB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2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5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3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B0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2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D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A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F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95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85A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5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3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9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60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6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F8D1">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4D4D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C4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FFE6">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F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8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6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4D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3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3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4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5CC42">
            <w:pPr>
              <w:rPr>
                <w:rFonts w:hint="eastAsia" w:ascii="黑体" w:hAnsi="黑体" w:eastAsia="黑体" w:cs="黑体"/>
                <w:i/>
                <w:iCs/>
                <w:color w:val="000000"/>
                <w:sz w:val="18"/>
                <w:szCs w:val="18"/>
                <w:u w:val="none"/>
              </w:rPr>
            </w:pPr>
          </w:p>
        </w:tc>
      </w:tr>
      <w:tr w14:paraId="4540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2A7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3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F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5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DE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9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7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5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286C">
            <w:pPr>
              <w:rPr>
                <w:rFonts w:hint="eastAsia" w:ascii="黑体" w:hAnsi="黑体" w:eastAsia="黑体" w:cs="黑体"/>
                <w:i/>
                <w:iCs/>
                <w:color w:val="000000"/>
                <w:sz w:val="18"/>
                <w:szCs w:val="18"/>
                <w:u w:val="none"/>
              </w:rPr>
            </w:pPr>
          </w:p>
        </w:tc>
      </w:tr>
      <w:tr w14:paraId="7566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E62B">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3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2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6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C9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5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B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B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BB27">
            <w:pPr>
              <w:rPr>
                <w:rFonts w:hint="eastAsia" w:ascii="黑体" w:hAnsi="黑体" w:eastAsia="黑体" w:cs="黑体"/>
                <w:i/>
                <w:iCs/>
                <w:color w:val="000000"/>
                <w:sz w:val="18"/>
                <w:szCs w:val="18"/>
                <w:u w:val="none"/>
              </w:rPr>
            </w:pPr>
          </w:p>
        </w:tc>
      </w:tr>
      <w:tr w14:paraId="10C8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30AA">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E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3342">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BBE5">
            <w:pPr>
              <w:jc w:val="center"/>
              <w:rPr>
                <w:rFonts w:hint="eastAsia" w:ascii="微软雅黑" w:hAnsi="微软雅黑" w:eastAsia="微软雅黑" w:cs="微软雅黑"/>
                <w:i/>
                <w:iCs/>
                <w:color w:val="000000"/>
                <w:sz w:val="16"/>
                <w:szCs w:val="16"/>
                <w:u w:val="none"/>
              </w:rPr>
            </w:pP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14D62">
            <w:pPr>
              <w:jc w:val="center"/>
              <w:rPr>
                <w:rFonts w:hint="eastAsia" w:ascii="微软雅黑" w:hAnsi="微软雅黑" w:eastAsia="微软雅黑" w:cs="微软雅黑"/>
                <w:i/>
                <w:iCs/>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48F8">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7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5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7421">
            <w:pPr>
              <w:rPr>
                <w:rFonts w:hint="eastAsia" w:ascii="黑体" w:hAnsi="黑体" w:eastAsia="黑体" w:cs="黑体"/>
                <w:i/>
                <w:iCs/>
                <w:color w:val="000000"/>
                <w:sz w:val="18"/>
                <w:szCs w:val="18"/>
                <w:u w:val="none"/>
              </w:rPr>
            </w:pPr>
          </w:p>
        </w:tc>
      </w:tr>
      <w:tr w14:paraId="072B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C1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E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9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F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C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F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D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9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D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2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0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98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BB44">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9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A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4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5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5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8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734D">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8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3FB3">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6852">
            <w:pPr>
              <w:jc w:val="center"/>
              <w:rPr>
                <w:rFonts w:hint="eastAsia" w:ascii="微软雅黑" w:hAnsi="微软雅黑" w:eastAsia="微软雅黑" w:cs="微软雅黑"/>
                <w:i/>
                <w:iCs/>
                <w:color w:val="000000"/>
                <w:sz w:val="16"/>
                <w:szCs w:val="16"/>
                <w:u w:val="none"/>
              </w:rPr>
            </w:pPr>
          </w:p>
        </w:tc>
      </w:tr>
      <w:tr w14:paraId="7444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6780">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8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6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B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D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8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4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8BC2">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9383">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B7D2">
            <w:pPr>
              <w:jc w:val="center"/>
              <w:rPr>
                <w:rFonts w:hint="eastAsia" w:ascii="微软雅黑" w:hAnsi="微软雅黑" w:eastAsia="微软雅黑" w:cs="微软雅黑"/>
                <w:i/>
                <w:iCs/>
                <w:color w:val="000000"/>
                <w:sz w:val="16"/>
                <w:szCs w:val="16"/>
                <w:u w:val="none"/>
              </w:rPr>
            </w:pPr>
          </w:p>
        </w:tc>
      </w:tr>
      <w:tr w14:paraId="01F7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CA4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A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F7B6">
            <w:pP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2E37">
            <w:pPr>
              <w:rPr>
                <w:rFonts w:hint="eastAsia" w:ascii="宋体" w:hAnsi="宋体" w:eastAsia="宋体" w:cs="宋体"/>
                <w:i w:val="0"/>
                <w:iCs w:val="0"/>
                <w:color w:val="000000"/>
                <w:sz w:val="18"/>
                <w:szCs w:val="18"/>
                <w:u w:val="none"/>
              </w:rPr>
            </w:pPr>
          </w:p>
        </w:tc>
      </w:tr>
      <w:tr w14:paraId="6687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E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65B8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440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F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72C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DFC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2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EFB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C62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875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5B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23E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tcBorders>
              <w:top w:val="nil"/>
              <w:left w:val="nil"/>
              <w:bottom w:val="nil"/>
              <w:right w:val="nil"/>
            </w:tcBorders>
            <w:shd w:val="clear" w:color="auto" w:fill="auto"/>
            <w:vAlign w:val="center"/>
          </w:tcPr>
          <w:p w14:paraId="253F691B">
            <w:pPr>
              <w:rPr>
                <w:rFonts w:hint="eastAsia" w:ascii="宋体" w:hAnsi="宋体" w:eastAsia="宋体" w:cs="宋体"/>
                <w:i w:val="0"/>
                <w:iCs w:val="0"/>
                <w:color w:val="000000"/>
                <w:sz w:val="18"/>
                <w:szCs w:val="18"/>
                <w:u w:val="none"/>
              </w:rPr>
            </w:pPr>
          </w:p>
        </w:tc>
        <w:tc>
          <w:tcPr>
            <w:tcW w:w="688" w:type="pct"/>
            <w:tcBorders>
              <w:top w:val="nil"/>
              <w:left w:val="nil"/>
              <w:bottom w:val="nil"/>
              <w:right w:val="nil"/>
            </w:tcBorders>
            <w:shd w:val="clear" w:color="auto" w:fill="auto"/>
            <w:vAlign w:val="center"/>
          </w:tcPr>
          <w:p w14:paraId="4ACDBE5C">
            <w:pPr>
              <w:rPr>
                <w:rFonts w:hint="eastAsia" w:ascii="宋体" w:hAnsi="宋体" w:eastAsia="宋体" w:cs="宋体"/>
                <w:i w:val="0"/>
                <w:iCs w:val="0"/>
                <w:color w:val="000000"/>
                <w:sz w:val="18"/>
                <w:szCs w:val="18"/>
                <w:u w:val="none"/>
              </w:rPr>
            </w:pPr>
          </w:p>
        </w:tc>
        <w:tc>
          <w:tcPr>
            <w:tcW w:w="596" w:type="pct"/>
            <w:tcBorders>
              <w:top w:val="nil"/>
              <w:left w:val="nil"/>
              <w:bottom w:val="nil"/>
              <w:right w:val="nil"/>
            </w:tcBorders>
            <w:shd w:val="clear" w:color="auto" w:fill="auto"/>
            <w:vAlign w:val="center"/>
          </w:tcPr>
          <w:p w14:paraId="5B767EC6">
            <w:pPr>
              <w:rPr>
                <w:rFonts w:hint="eastAsia" w:ascii="宋体" w:hAnsi="宋体" w:eastAsia="宋体" w:cs="宋体"/>
                <w:i w:val="0"/>
                <w:iCs w:val="0"/>
                <w:color w:val="000000"/>
                <w:sz w:val="18"/>
                <w:szCs w:val="18"/>
                <w:u w:val="none"/>
              </w:rPr>
            </w:pPr>
          </w:p>
        </w:tc>
        <w:tc>
          <w:tcPr>
            <w:tcW w:w="764" w:type="pct"/>
            <w:tcBorders>
              <w:top w:val="nil"/>
              <w:left w:val="nil"/>
              <w:bottom w:val="nil"/>
              <w:right w:val="nil"/>
            </w:tcBorders>
            <w:shd w:val="clear" w:color="auto" w:fill="auto"/>
            <w:vAlign w:val="center"/>
          </w:tcPr>
          <w:p w14:paraId="42DA72A2">
            <w:pPr>
              <w:rPr>
                <w:rFonts w:hint="eastAsia" w:ascii="宋体" w:hAnsi="宋体" w:eastAsia="宋体" w:cs="宋体"/>
                <w:i w:val="0"/>
                <w:iCs w:val="0"/>
                <w:color w:val="000000"/>
                <w:sz w:val="18"/>
                <w:szCs w:val="18"/>
                <w:u w:val="none"/>
              </w:rPr>
            </w:pPr>
          </w:p>
        </w:tc>
        <w:tc>
          <w:tcPr>
            <w:tcW w:w="295" w:type="pct"/>
            <w:tcBorders>
              <w:top w:val="nil"/>
              <w:left w:val="nil"/>
              <w:bottom w:val="nil"/>
              <w:right w:val="nil"/>
            </w:tcBorders>
            <w:shd w:val="clear" w:color="auto" w:fill="auto"/>
            <w:vAlign w:val="center"/>
          </w:tcPr>
          <w:p w14:paraId="725FE507">
            <w:pPr>
              <w:rPr>
                <w:rFonts w:hint="eastAsia" w:ascii="宋体" w:hAnsi="宋体" w:eastAsia="宋体" w:cs="宋体"/>
                <w:i w:val="0"/>
                <w:iCs w:val="0"/>
                <w:color w:val="000000"/>
                <w:sz w:val="18"/>
                <w:szCs w:val="18"/>
                <w:u w:val="none"/>
              </w:rPr>
            </w:pPr>
          </w:p>
        </w:tc>
        <w:tc>
          <w:tcPr>
            <w:tcW w:w="564" w:type="pct"/>
            <w:tcBorders>
              <w:top w:val="nil"/>
              <w:left w:val="nil"/>
              <w:bottom w:val="nil"/>
              <w:right w:val="nil"/>
            </w:tcBorders>
            <w:shd w:val="clear" w:color="auto" w:fill="auto"/>
            <w:vAlign w:val="center"/>
          </w:tcPr>
          <w:p w14:paraId="49F422F9">
            <w:pPr>
              <w:rPr>
                <w:rFonts w:hint="eastAsia" w:ascii="宋体" w:hAnsi="宋体" w:eastAsia="宋体" w:cs="宋体"/>
                <w:i w:val="0"/>
                <w:iCs w:val="0"/>
                <w:color w:val="000000"/>
                <w:sz w:val="18"/>
                <w:szCs w:val="18"/>
                <w:u w:val="none"/>
              </w:rPr>
            </w:pPr>
          </w:p>
        </w:tc>
        <w:tc>
          <w:tcPr>
            <w:tcW w:w="288" w:type="pct"/>
            <w:tcBorders>
              <w:top w:val="nil"/>
              <w:left w:val="nil"/>
              <w:bottom w:val="nil"/>
              <w:right w:val="nil"/>
            </w:tcBorders>
            <w:shd w:val="clear" w:color="auto" w:fill="auto"/>
            <w:vAlign w:val="center"/>
          </w:tcPr>
          <w:p w14:paraId="7D623559">
            <w:pPr>
              <w:rPr>
                <w:rFonts w:hint="eastAsia" w:ascii="宋体" w:hAnsi="宋体" w:eastAsia="宋体" w:cs="宋体"/>
                <w:i w:val="0"/>
                <w:iCs w:val="0"/>
                <w:color w:val="000000"/>
                <w:sz w:val="18"/>
                <w:szCs w:val="18"/>
                <w:u w:val="none"/>
              </w:rPr>
            </w:pPr>
          </w:p>
        </w:tc>
        <w:tc>
          <w:tcPr>
            <w:tcW w:w="370" w:type="pct"/>
            <w:tcBorders>
              <w:top w:val="nil"/>
              <w:left w:val="nil"/>
              <w:bottom w:val="nil"/>
              <w:right w:val="nil"/>
            </w:tcBorders>
            <w:shd w:val="clear" w:color="auto" w:fill="auto"/>
            <w:vAlign w:val="center"/>
          </w:tcPr>
          <w:p w14:paraId="5D8FDB1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5B17622">
            <w:pPr>
              <w:rPr>
                <w:rFonts w:hint="eastAsia" w:ascii="宋体" w:hAnsi="宋体" w:eastAsia="宋体" w:cs="宋体"/>
                <w:i w:val="0"/>
                <w:iCs w:val="0"/>
                <w:color w:val="000000"/>
                <w:sz w:val="18"/>
                <w:szCs w:val="18"/>
                <w:u w:val="none"/>
              </w:rPr>
            </w:pPr>
          </w:p>
        </w:tc>
        <w:tc>
          <w:tcPr>
            <w:tcW w:w="155" w:type="pct"/>
            <w:tcBorders>
              <w:top w:val="nil"/>
              <w:left w:val="nil"/>
              <w:bottom w:val="nil"/>
              <w:right w:val="nil"/>
            </w:tcBorders>
            <w:shd w:val="clear" w:color="auto" w:fill="auto"/>
            <w:vAlign w:val="center"/>
          </w:tcPr>
          <w:p w14:paraId="5B12E923">
            <w:pPr>
              <w:rPr>
                <w:rFonts w:hint="eastAsia" w:ascii="宋体" w:hAnsi="宋体" w:eastAsia="宋体" w:cs="宋体"/>
                <w:i w:val="0"/>
                <w:iCs w:val="0"/>
                <w:color w:val="000000"/>
                <w:sz w:val="18"/>
                <w:szCs w:val="18"/>
                <w:u w:val="none"/>
              </w:rPr>
            </w:pPr>
          </w:p>
        </w:tc>
        <w:tc>
          <w:tcPr>
            <w:tcW w:w="859" w:type="pct"/>
            <w:tcBorders>
              <w:top w:val="nil"/>
              <w:left w:val="nil"/>
              <w:bottom w:val="nil"/>
              <w:right w:val="nil"/>
            </w:tcBorders>
            <w:shd w:val="clear" w:color="auto" w:fill="auto"/>
            <w:vAlign w:val="center"/>
          </w:tcPr>
          <w:p w14:paraId="05201018">
            <w:pPr>
              <w:rPr>
                <w:rFonts w:hint="eastAsia" w:ascii="宋体" w:hAnsi="宋体" w:eastAsia="宋体" w:cs="宋体"/>
                <w:i w:val="0"/>
                <w:iCs w:val="0"/>
                <w:color w:val="000000"/>
                <w:sz w:val="18"/>
                <w:szCs w:val="18"/>
                <w:u w:val="none"/>
              </w:rPr>
            </w:pPr>
          </w:p>
        </w:tc>
      </w:tr>
      <w:tr w14:paraId="0410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7C2B6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47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969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F03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51000021Y000000011490-日常公用经费</w:t>
            </w:r>
          </w:p>
        </w:tc>
      </w:tr>
      <w:tr w14:paraId="5539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F80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3BF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小金县人民检察院部门</w:t>
            </w:r>
          </w:p>
        </w:tc>
        <w:tc>
          <w:tcPr>
            <w:tcW w:w="370" w:type="pct"/>
            <w:tcBorders>
              <w:top w:val="nil"/>
              <w:left w:val="nil"/>
              <w:bottom w:val="nil"/>
              <w:right w:val="nil"/>
            </w:tcBorders>
            <w:shd w:val="clear" w:color="auto" w:fill="auto"/>
            <w:vAlign w:val="center"/>
          </w:tcPr>
          <w:p w14:paraId="1FABAD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D0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小金县人民检察院</w:t>
            </w:r>
          </w:p>
        </w:tc>
      </w:tr>
      <w:tr w14:paraId="5DB0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9EB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1CC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62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7AF4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47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6E5C">
            <w:pP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FB5A">
            <w:pPr>
              <w:rPr>
                <w:rFonts w:hint="eastAsia" w:ascii="宋体" w:hAnsi="宋体" w:eastAsia="宋体" w:cs="宋体"/>
                <w:i w:val="0"/>
                <w:iCs w:val="0"/>
                <w:color w:val="000000"/>
                <w:sz w:val="18"/>
                <w:szCs w:val="18"/>
                <w:u w:val="none"/>
              </w:rPr>
            </w:pP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0C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FE6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2BA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D082">
            <w:pP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24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243FD5">
            <w:pPr>
              <w:rPr>
                <w:rFonts w:hint="eastAsia" w:ascii="宋体" w:hAnsi="宋体" w:eastAsia="宋体" w:cs="宋体"/>
                <w:i w:val="0"/>
                <w:iCs w:val="0"/>
                <w:color w:val="000000"/>
                <w:sz w:val="18"/>
                <w:szCs w:val="18"/>
                <w:u w:val="none"/>
              </w:rPr>
            </w:pPr>
          </w:p>
        </w:tc>
      </w:tr>
      <w:tr w14:paraId="75A8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91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0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8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C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F4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2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1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E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B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B5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F9C0">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1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5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B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71.38</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8B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F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E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1D7F">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06E4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98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407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8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E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C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71.38</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F4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71.38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8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9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B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6EDE">
            <w:pPr>
              <w:rPr>
                <w:rFonts w:hint="eastAsia" w:ascii="黑体" w:hAnsi="黑体" w:eastAsia="黑体" w:cs="黑体"/>
                <w:i/>
                <w:iCs/>
                <w:color w:val="000000"/>
                <w:sz w:val="18"/>
                <w:szCs w:val="18"/>
                <w:u w:val="none"/>
              </w:rPr>
            </w:pPr>
          </w:p>
        </w:tc>
      </w:tr>
      <w:tr w14:paraId="195F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DFD3">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1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E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9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69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5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2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8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AFF8">
            <w:pPr>
              <w:rPr>
                <w:rFonts w:hint="eastAsia" w:ascii="黑体" w:hAnsi="黑体" w:eastAsia="黑体" w:cs="黑体"/>
                <w:i/>
                <w:iCs/>
                <w:color w:val="000000"/>
                <w:sz w:val="18"/>
                <w:szCs w:val="18"/>
                <w:u w:val="none"/>
              </w:rPr>
            </w:pPr>
          </w:p>
        </w:tc>
      </w:tr>
      <w:tr w14:paraId="4D2B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954F">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5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8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0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8B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0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C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E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AB17">
            <w:pPr>
              <w:rPr>
                <w:rFonts w:hint="eastAsia" w:ascii="黑体" w:hAnsi="黑体" w:eastAsia="黑体" w:cs="黑体"/>
                <w:i/>
                <w:iCs/>
                <w:color w:val="000000"/>
                <w:sz w:val="18"/>
                <w:szCs w:val="18"/>
                <w:u w:val="none"/>
              </w:rPr>
            </w:pPr>
          </w:p>
        </w:tc>
      </w:tr>
      <w:tr w14:paraId="740E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5F5B5">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9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66F8">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9C6A">
            <w:pPr>
              <w:jc w:val="center"/>
              <w:rPr>
                <w:rFonts w:hint="eastAsia" w:ascii="微软雅黑" w:hAnsi="微软雅黑" w:eastAsia="微软雅黑" w:cs="微软雅黑"/>
                <w:i/>
                <w:iCs/>
                <w:color w:val="000000"/>
                <w:sz w:val="16"/>
                <w:szCs w:val="16"/>
                <w:u w:val="none"/>
              </w:rPr>
            </w:pP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D7F09">
            <w:pPr>
              <w:jc w:val="center"/>
              <w:rPr>
                <w:rFonts w:hint="eastAsia" w:ascii="微软雅黑" w:hAnsi="微软雅黑" w:eastAsia="微软雅黑" w:cs="微软雅黑"/>
                <w:i/>
                <w:iCs/>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521A">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3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A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3B2D">
            <w:pPr>
              <w:rPr>
                <w:rFonts w:hint="eastAsia" w:ascii="黑体" w:hAnsi="黑体" w:eastAsia="黑体" w:cs="黑体"/>
                <w:i/>
                <w:iCs/>
                <w:color w:val="000000"/>
                <w:sz w:val="18"/>
                <w:szCs w:val="18"/>
                <w:u w:val="none"/>
              </w:rPr>
            </w:pPr>
          </w:p>
        </w:tc>
      </w:tr>
      <w:tr w14:paraId="62B3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8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A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A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4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E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6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0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3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C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5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4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544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C49A">
            <w:pPr>
              <w:jc w:val="center"/>
              <w:rPr>
                <w:rFonts w:hint="eastAsia" w:ascii="宋体" w:hAnsi="宋体" w:eastAsia="宋体" w:cs="宋体"/>
                <w:i w:val="0"/>
                <w:iCs w:val="0"/>
                <w:color w:val="000000"/>
                <w:sz w:val="18"/>
                <w:szCs w:val="18"/>
                <w:u w:val="none"/>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99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7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6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8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2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0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085A">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B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2F45">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A77E">
            <w:pPr>
              <w:jc w:val="center"/>
              <w:rPr>
                <w:rFonts w:hint="eastAsia" w:ascii="微软雅黑" w:hAnsi="微软雅黑" w:eastAsia="微软雅黑" w:cs="微软雅黑"/>
                <w:i/>
                <w:iCs/>
                <w:color w:val="000000"/>
                <w:sz w:val="16"/>
                <w:szCs w:val="16"/>
                <w:u w:val="none"/>
              </w:rPr>
            </w:pPr>
          </w:p>
        </w:tc>
      </w:tr>
      <w:tr w14:paraId="60C0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FFF3">
            <w:pPr>
              <w:jc w:val="cente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E3EC">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7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1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w:t>
            </w:r>
            <w:bookmarkStart w:id="105" w:name="_GoBack"/>
            <w:bookmarkEnd w:id="105"/>
            <w:r>
              <w:rPr>
                <w:rFonts w:ascii="宋体" w:hAnsi="宋体" w:eastAsia="宋体" w:cs="宋体"/>
                <w:i w:val="0"/>
                <w:iCs w:val="0"/>
                <w:color w:val="000000"/>
                <w:kern w:val="0"/>
                <w:sz w:val="18"/>
                <w:szCs w:val="18"/>
                <w:u w:val="none"/>
                <w:lang w:val="en-US" w:eastAsia="zh-CN" w:bidi="ar"/>
              </w:rPr>
              <w:t>法为：∣（执行数-预算数）/预算数∣）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4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2868">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B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6A38">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F6C4">
            <w:pPr>
              <w:jc w:val="center"/>
              <w:rPr>
                <w:rFonts w:hint="eastAsia" w:ascii="微软雅黑" w:hAnsi="微软雅黑" w:eastAsia="微软雅黑" w:cs="微软雅黑"/>
                <w:i/>
                <w:iCs/>
                <w:color w:val="000000"/>
                <w:sz w:val="16"/>
                <w:szCs w:val="16"/>
                <w:u w:val="none"/>
              </w:rPr>
            </w:pPr>
          </w:p>
        </w:tc>
      </w:tr>
      <w:tr w14:paraId="4441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2A3F">
            <w:pPr>
              <w:jc w:val="center"/>
              <w:rPr>
                <w:rFonts w:hint="eastAsia" w:ascii="宋体" w:hAnsi="宋体" w:eastAsia="宋体" w:cs="宋体"/>
                <w:i w:val="0"/>
                <w:iCs w:val="0"/>
                <w:color w:val="000000"/>
                <w:sz w:val="18"/>
                <w:szCs w:val="18"/>
                <w:u w:val="none"/>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89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4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7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4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F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F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B468">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C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4434">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D536">
            <w:pPr>
              <w:jc w:val="center"/>
              <w:rPr>
                <w:rFonts w:hint="eastAsia" w:ascii="微软雅黑" w:hAnsi="微软雅黑" w:eastAsia="微软雅黑" w:cs="微软雅黑"/>
                <w:i/>
                <w:iCs/>
                <w:color w:val="000000"/>
                <w:sz w:val="16"/>
                <w:szCs w:val="16"/>
                <w:u w:val="none"/>
              </w:rPr>
            </w:pPr>
          </w:p>
        </w:tc>
      </w:tr>
      <w:tr w14:paraId="0D5C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63BF3">
            <w:pPr>
              <w:jc w:val="center"/>
              <w:rPr>
                <w:rFonts w:hint="eastAsia" w:ascii="宋体" w:hAnsi="宋体" w:eastAsia="宋体" w:cs="宋体"/>
                <w:i w:val="0"/>
                <w:iCs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3AE1">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1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5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B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9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F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7E7D">
            <w:pPr>
              <w:jc w:val="center"/>
              <w:rPr>
                <w:rFonts w:hint="eastAsia" w:ascii="微软雅黑" w:hAnsi="微软雅黑" w:eastAsia="微软雅黑" w:cs="微软雅黑"/>
                <w:i/>
                <w:iCs/>
                <w:color w:val="000000"/>
                <w:sz w:val="16"/>
                <w:szCs w:val="16"/>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FACF">
            <w:pPr>
              <w:jc w:val="cente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C770">
            <w:pPr>
              <w:jc w:val="center"/>
              <w:rPr>
                <w:rFonts w:hint="eastAsia" w:ascii="微软雅黑" w:hAnsi="微软雅黑" w:eastAsia="微软雅黑" w:cs="微软雅黑"/>
                <w:i/>
                <w:iCs/>
                <w:color w:val="000000"/>
                <w:sz w:val="16"/>
                <w:szCs w:val="16"/>
                <w:u w:val="none"/>
              </w:rPr>
            </w:pPr>
          </w:p>
        </w:tc>
      </w:tr>
      <w:tr w14:paraId="6E82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190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0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78E4">
            <w:pPr>
              <w:rPr>
                <w:rFonts w:hint="eastAsia" w:ascii="宋体" w:hAnsi="宋体" w:eastAsia="宋体" w:cs="宋体"/>
                <w:i w:val="0"/>
                <w:iCs w:val="0"/>
                <w:color w:val="000000"/>
                <w:sz w:val="18"/>
                <w:szCs w:val="18"/>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E403">
            <w:pPr>
              <w:rPr>
                <w:rFonts w:hint="eastAsia" w:ascii="宋体" w:hAnsi="宋体" w:eastAsia="宋体" w:cs="宋体"/>
                <w:i w:val="0"/>
                <w:iCs w:val="0"/>
                <w:color w:val="000000"/>
                <w:sz w:val="18"/>
                <w:szCs w:val="18"/>
                <w:u w:val="none"/>
              </w:rPr>
            </w:pPr>
          </w:p>
        </w:tc>
      </w:tr>
      <w:tr w14:paraId="6B25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7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875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A3C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4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7FCD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A57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C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2EF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B1F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9B5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124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1DF45D9">
      <w:pPr>
        <w:pStyle w:val="7"/>
        <w:spacing w:line="560" w:lineRule="exact"/>
        <w:ind w:left="0" w:leftChars="0" w:firstLine="640"/>
        <w:rPr>
          <w:sz w:val="32"/>
        </w:rPr>
      </w:pPr>
    </w:p>
    <w:p w14:paraId="6D3E20DA">
      <w:pPr>
        <w:pStyle w:val="5"/>
        <w:spacing w:before="93"/>
        <w:rPr>
          <w:rFonts w:hAnsi="Calibri" w:cs="仿宋"/>
          <w:sz w:val="32"/>
          <w:szCs w:val="32"/>
        </w:rPr>
      </w:pPr>
    </w:p>
    <w:p w14:paraId="4306198E">
      <w:pPr>
        <w:pStyle w:val="5"/>
        <w:spacing w:before="93"/>
        <w:rPr>
          <w:rFonts w:hAnsi="Calibri" w:cs="仿宋"/>
          <w:sz w:val="32"/>
          <w:szCs w:val="32"/>
        </w:rPr>
      </w:pPr>
    </w:p>
    <w:p w14:paraId="4CE997FB">
      <w:pPr>
        <w:pStyle w:val="5"/>
        <w:spacing w:before="93"/>
        <w:rPr>
          <w:rFonts w:hAnsi="Calibri" w:cs="仿宋"/>
          <w:sz w:val="32"/>
          <w:szCs w:val="32"/>
        </w:rPr>
      </w:pPr>
    </w:p>
    <w:p w14:paraId="15E89D0B">
      <w:pPr>
        <w:pStyle w:val="5"/>
        <w:spacing w:before="93"/>
        <w:rPr>
          <w:rFonts w:hAnsi="Calibri" w:cs="仿宋"/>
          <w:sz w:val="32"/>
          <w:szCs w:val="32"/>
        </w:rPr>
      </w:pPr>
    </w:p>
    <w:p w14:paraId="397F071D">
      <w:pPr>
        <w:pStyle w:val="5"/>
        <w:spacing w:before="93"/>
        <w:rPr>
          <w:rFonts w:hAnsi="Calibri" w:cs="仿宋"/>
          <w:sz w:val="32"/>
          <w:szCs w:val="32"/>
        </w:rPr>
      </w:pPr>
    </w:p>
    <w:p w14:paraId="758F8962">
      <w:pPr>
        <w:pStyle w:val="5"/>
        <w:spacing w:before="93"/>
        <w:rPr>
          <w:rFonts w:hAnsi="Calibri" w:cs="仿宋"/>
          <w:sz w:val="32"/>
          <w:szCs w:val="32"/>
        </w:rPr>
      </w:pPr>
    </w:p>
    <w:p w14:paraId="518F7332">
      <w:pPr>
        <w:pStyle w:val="5"/>
        <w:spacing w:before="93"/>
        <w:rPr>
          <w:rFonts w:hAnsi="Calibri" w:cs="仿宋"/>
          <w:sz w:val="32"/>
          <w:szCs w:val="32"/>
        </w:rPr>
      </w:pPr>
    </w:p>
    <w:p w14:paraId="3E45F18F">
      <w:pPr>
        <w:pStyle w:val="5"/>
        <w:spacing w:before="93"/>
        <w:rPr>
          <w:rFonts w:hAnsi="Calibri" w:cs="仿宋"/>
          <w:sz w:val="32"/>
          <w:szCs w:val="32"/>
        </w:rPr>
      </w:pPr>
    </w:p>
    <w:p w14:paraId="4D524289">
      <w:pPr>
        <w:pStyle w:val="5"/>
        <w:spacing w:before="93"/>
        <w:rPr>
          <w:rFonts w:hAnsi="Calibri" w:cs="仿宋"/>
          <w:sz w:val="32"/>
          <w:szCs w:val="32"/>
        </w:rPr>
      </w:pPr>
    </w:p>
    <w:p w14:paraId="35ADAB2A">
      <w:pPr>
        <w:spacing w:line="600" w:lineRule="exact"/>
        <w:jc w:val="center"/>
        <w:outlineLvl w:val="0"/>
        <w:rPr>
          <w:rFonts w:ascii="仿宋" w:hAnsi="仿宋" w:eastAsia="仿宋"/>
        </w:rPr>
      </w:pPr>
      <w:bookmarkStart w:id="78" w:name="_Toc30169"/>
      <w:r>
        <w:rPr>
          <w:rFonts w:hint="eastAsia" w:ascii="黑体" w:hAnsi="黑体" w:eastAsia="黑体"/>
          <w:sz w:val="44"/>
          <w:szCs w:val="44"/>
        </w:rPr>
        <w:t>第</w:t>
      </w:r>
      <w:r>
        <w:rPr>
          <w:rStyle w:val="30"/>
          <w:rFonts w:hint="eastAsia" w:ascii="黑体" w:hAnsi="黑体" w:eastAsia="黑体"/>
          <w:b w:val="0"/>
        </w:rPr>
        <w:t>五部分 附表</w:t>
      </w:r>
      <w:bookmarkEnd w:id="71"/>
      <w:bookmarkEnd w:id="77"/>
      <w:bookmarkEnd w:id="78"/>
      <w:bookmarkStart w:id="79" w:name="_Toc15396619"/>
    </w:p>
    <w:p w14:paraId="626D9283">
      <w:pPr>
        <w:pStyle w:val="3"/>
        <w:rPr>
          <w:rFonts w:ascii="仿宋" w:hAnsi="仿宋" w:eastAsia="仿宋"/>
        </w:rPr>
      </w:pPr>
      <w:bookmarkStart w:id="80" w:name="_Toc17773"/>
      <w:r>
        <w:rPr>
          <w:rFonts w:hint="eastAsia" w:ascii="仿宋" w:hAnsi="仿宋" w:eastAsia="仿宋"/>
          <w:b w:val="0"/>
        </w:rPr>
        <w:t>一、收</w:t>
      </w:r>
      <w:r>
        <w:rPr>
          <w:rStyle w:val="31"/>
          <w:rFonts w:hint="eastAsia" w:ascii="仿宋" w:hAnsi="仿宋" w:eastAsia="仿宋"/>
          <w:b w:val="0"/>
          <w:bCs w:val="0"/>
        </w:rPr>
        <w:t>入支出决算总表</w:t>
      </w:r>
      <w:bookmarkEnd w:id="79"/>
      <w:bookmarkEnd w:id="80"/>
    </w:p>
    <w:p w14:paraId="7FEE44C4">
      <w:pPr>
        <w:pStyle w:val="3"/>
        <w:rPr>
          <w:rFonts w:ascii="仿宋" w:hAnsi="仿宋" w:eastAsia="仿宋"/>
        </w:rPr>
      </w:pPr>
      <w:bookmarkStart w:id="81" w:name="_Toc15396620"/>
      <w:bookmarkStart w:id="82" w:name="_Toc16739"/>
      <w:r>
        <w:rPr>
          <w:rFonts w:hint="eastAsia" w:ascii="仿宋" w:hAnsi="仿宋" w:eastAsia="仿宋"/>
          <w:b w:val="0"/>
        </w:rPr>
        <w:t>二、收</w:t>
      </w:r>
      <w:r>
        <w:rPr>
          <w:rStyle w:val="31"/>
          <w:rFonts w:hint="eastAsia" w:ascii="仿宋" w:hAnsi="仿宋" w:eastAsia="仿宋"/>
          <w:b w:val="0"/>
          <w:bCs w:val="0"/>
        </w:rPr>
        <w:t>入决算表</w:t>
      </w:r>
      <w:bookmarkEnd w:id="81"/>
      <w:bookmarkEnd w:id="82"/>
    </w:p>
    <w:p w14:paraId="7BA41F87">
      <w:pPr>
        <w:pStyle w:val="3"/>
        <w:rPr>
          <w:rFonts w:ascii="仿宋" w:hAnsi="仿宋" w:eastAsia="仿宋"/>
        </w:rPr>
      </w:pPr>
      <w:bookmarkStart w:id="83" w:name="_Toc6491"/>
      <w:bookmarkStart w:id="84"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83"/>
      <w:bookmarkEnd w:id="84"/>
    </w:p>
    <w:p w14:paraId="4A7F6CE7">
      <w:pPr>
        <w:pStyle w:val="3"/>
        <w:rPr>
          <w:rFonts w:ascii="仿宋" w:hAnsi="仿宋" w:eastAsia="仿宋"/>
          <w:b w:val="0"/>
        </w:rPr>
      </w:pPr>
      <w:bookmarkStart w:id="85" w:name="_Toc15396622"/>
      <w:bookmarkStart w:id="86" w:name="_Toc18967"/>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85"/>
      <w:bookmarkEnd w:id="86"/>
    </w:p>
    <w:p w14:paraId="0697F137">
      <w:pPr>
        <w:pStyle w:val="3"/>
        <w:rPr>
          <w:rStyle w:val="31"/>
          <w:rFonts w:ascii="仿宋" w:hAnsi="仿宋" w:eastAsia="仿宋"/>
          <w:b w:val="0"/>
          <w:bCs w:val="0"/>
        </w:rPr>
      </w:pPr>
      <w:bookmarkStart w:id="87" w:name="_Toc31080"/>
      <w:bookmarkStart w:id="88"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87"/>
      <w:bookmarkEnd w:id="88"/>
      <w:bookmarkStart w:id="89" w:name="_Toc15396624"/>
    </w:p>
    <w:p w14:paraId="7015CDF2">
      <w:pPr>
        <w:pStyle w:val="3"/>
        <w:rPr>
          <w:rFonts w:ascii="仿宋" w:hAnsi="仿宋" w:eastAsia="仿宋"/>
        </w:rPr>
      </w:pPr>
      <w:bookmarkStart w:id="90" w:name="_Toc9368"/>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89"/>
      <w:bookmarkEnd w:id="90"/>
    </w:p>
    <w:p w14:paraId="569483B0">
      <w:pPr>
        <w:pStyle w:val="3"/>
        <w:rPr>
          <w:rFonts w:ascii="仿宋" w:hAnsi="仿宋" w:eastAsia="仿宋"/>
        </w:rPr>
      </w:pPr>
      <w:bookmarkStart w:id="91" w:name="_Toc16010"/>
      <w:bookmarkStart w:id="92"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91"/>
      <w:bookmarkEnd w:id="92"/>
    </w:p>
    <w:p w14:paraId="13ADC0D9">
      <w:pPr>
        <w:pStyle w:val="3"/>
        <w:rPr>
          <w:rFonts w:ascii="仿宋" w:hAnsi="仿宋" w:eastAsia="仿宋"/>
        </w:rPr>
      </w:pPr>
      <w:bookmarkStart w:id="93" w:name="_Toc2403"/>
      <w:bookmarkStart w:id="9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93"/>
      <w:bookmarkEnd w:id="94"/>
    </w:p>
    <w:p w14:paraId="470F92E6">
      <w:pPr>
        <w:pStyle w:val="3"/>
        <w:rPr>
          <w:rFonts w:ascii="仿宋" w:hAnsi="仿宋" w:eastAsia="仿宋"/>
        </w:rPr>
      </w:pPr>
      <w:bookmarkStart w:id="95" w:name="_Toc23872"/>
      <w:bookmarkStart w:id="96"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95"/>
      <w:bookmarkEnd w:id="96"/>
    </w:p>
    <w:p w14:paraId="04015C49">
      <w:pPr>
        <w:pStyle w:val="3"/>
        <w:rPr>
          <w:rFonts w:ascii="仿宋" w:hAnsi="仿宋" w:eastAsia="仿宋"/>
        </w:rPr>
      </w:pPr>
      <w:bookmarkStart w:id="97" w:name="_Toc15396628"/>
      <w:bookmarkStart w:id="98" w:name="_Toc2332"/>
      <w:r>
        <w:rPr>
          <w:rStyle w:val="31"/>
          <w:rFonts w:hint="eastAsia" w:ascii="仿宋" w:hAnsi="仿宋" w:eastAsia="仿宋"/>
          <w:b w:val="0"/>
          <w:bCs w:val="0"/>
        </w:rPr>
        <w:t>十、</w:t>
      </w:r>
      <w:bookmarkEnd w:id="97"/>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98"/>
    </w:p>
    <w:p w14:paraId="167D1771">
      <w:pPr>
        <w:pStyle w:val="3"/>
        <w:rPr>
          <w:rFonts w:ascii="仿宋" w:hAnsi="仿宋" w:eastAsia="仿宋"/>
        </w:rPr>
      </w:pPr>
      <w:bookmarkStart w:id="99" w:name="_Toc15396629"/>
      <w:bookmarkStart w:id="100" w:name="_Toc286"/>
      <w:r>
        <w:rPr>
          <w:rStyle w:val="31"/>
          <w:rFonts w:hint="eastAsia" w:ascii="仿宋" w:hAnsi="仿宋" w:eastAsia="仿宋"/>
          <w:b w:val="0"/>
          <w:bCs w:val="0"/>
        </w:rPr>
        <w:t>十一、</w:t>
      </w:r>
      <w:bookmarkEnd w:id="99"/>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00"/>
    </w:p>
    <w:p w14:paraId="2EFF0C54">
      <w:pPr>
        <w:pStyle w:val="3"/>
        <w:rPr>
          <w:rFonts w:ascii="仿宋" w:hAnsi="仿宋" w:eastAsia="仿宋"/>
        </w:rPr>
      </w:pPr>
      <w:bookmarkStart w:id="101" w:name="_Toc15396630"/>
      <w:bookmarkStart w:id="102" w:name="_Toc4232"/>
      <w:r>
        <w:rPr>
          <w:rStyle w:val="31"/>
          <w:rFonts w:hint="eastAsia" w:ascii="仿宋" w:hAnsi="仿宋" w:eastAsia="仿宋"/>
          <w:b w:val="0"/>
          <w:bCs w:val="0"/>
        </w:rPr>
        <w:t>十二、</w:t>
      </w:r>
      <w:bookmarkEnd w:id="101"/>
      <w:r>
        <w:rPr>
          <w:rStyle w:val="31"/>
          <w:rFonts w:hint="eastAsia" w:ascii="仿宋" w:hAnsi="仿宋" w:eastAsia="仿宋"/>
          <w:b w:val="0"/>
          <w:bCs w:val="0"/>
        </w:rPr>
        <w:t>国有资本经营预算财政拨款支出决算表</w:t>
      </w:r>
      <w:bookmarkEnd w:id="102"/>
    </w:p>
    <w:p w14:paraId="63C56D03">
      <w:pPr>
        <w:pStyle w:val="3"/>
        <w:rPr>
          <w:rFonts w:eastAsia="仿宋"/>
        </w:rPr>
      </w:pPr>
      <w:bookmarkStart w:id="103" w:name="_Toc15396631"/>
      <w:bookmarkStart w:id="104" w:name="_Toc32102"/>
      <w:r>
        <w:rPr>
          <w:rStyle w:val="31"/>
          <w:rFonts w:hint="eastAsia" w:ascii="仿宋" w:hAnsi="仿宋" w:eastAsia="仿宋"/>
          <w:b w:val="0"/>
          <w:bCs w:val="0"/>
        </w:rPr>
        <w:t>十三、</w:t>
      </w:r>
      <w:bookmarkEnd w:id="103"/>
      <w:r>
        <w:rPr>
          <w:rStyle w:val="31"/>
          <w:rFonts w:hint="eastAsia" w:ascii="仿宋" w:hAnsi="仿宋" w:eastAsia="仿宋"/>
          <w:b w:val="0"/>
          <w:bCs w:val="0"/>
        </w:rPr>
        <w:t>财政拨款“三公”经费支出决算表</w:t>
      </w:r>
      <w:bookmarkEnd w:id="10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5AB48B">
        <w:pPr>
          <w:pStyle w:val="11"/>
          <w:jc w:val="center"/>
        </w:pPr>
        <w:r>
          <w:fldChar w:fldCharType="begin"/>
        </w:r>
        <w:r>
          <w:instrText xml:space="preserve">PAGE   \* MERGEFORMAT</w:instrText>
        </w:r>
        <w:r>
          <w:fldChar w:fldCharType="separate"/>
        </w:r>
        <w:r>
          <w:rPr>
            <w:lang w:val="zh-CN"/>
          </w:rPr>
          <w:t>15</w:t>
        </w:r>
        <w:r>
          <w:fldChar w:fldCharType="end"/>
        </w:r>
      </w:p>
    </w:sdtContent>
  </w:sdt>
  <w:p w14:paraId="2F18210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812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ODUwMThlMTQ0NWQxYzU3NzZmOWNiODEzMDBkN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74B1A"/>
    <w:rsid w:val="03DC2831"/>
    <w:rsid w:val="081B5E94"/>
    <w:rsid w:val="0A1E11F5"/>
    <w:rsid w:val="0A2032A3"/>
    <w:rsid w:val="0B8A37D8"/>
    <w:rsid w:val="0F5FFB2F"/>
    <w:rsid w:val="0FFFCF60"/>
    <w:rsid w:val="10C055FF"/>
    <w:rsid w:val="118107EC"/>
    <w:rsid w:val="11DD6519"/>
    <w:rsid w:val="16BB723D"/>
    <w:rsid w:val="18015F3F"/>
    <w:rsid w:val="1BE8440E"/>
    <w:rsid w:val="1C497D93"/>
    <w:rsid w:val="1D155CEE"/>
    <w:rsid w:val="1FDBBF84"/>
    <w:rsid w:val="20F57F95"/>
    <w:rsid w:val="240371BF"/>
    <w:rsid w:val="25711CC6"/>
    <w:rsid w:val="25C741E6"/>
    <w:rsid w:val="276F80C0"/>
    <w:rsid w:val="27842671"/>
    <w:rsid w:val="288B7BA8"/>
    <w:rsid w:val="29FD04D3"/>
    <w:rsid w:val="2ABE7A3E"/>
    <w:rsid w:val="2AFF09B6"/>
    <w:rsid w:val="2BD53E62"/>
    <w:rsid w:val="2CA234A8"/>
    <w:rsid w:val="2D947FB3"/>
    <w:rsid w:val="2EFA178C"/>
    <w:rsid w:val="2EFDF86C"/>
    <w:rsid w:val="2F9D17E1"/>
    <w:rsid w:val="30B46D73"/>
    <w:rsid w:val="319F7F4E"/>
    <w:rsid w:val="356A28F1"/>
    <w:rsid w:val="357C035A"/>
    <w:rsid w:val="368E000D"/>
    <w:rsid w:val="383D272C"/>
    <w:rsid w:val="38DF3F0D"/>
    <w:rsid w:val="39AE70AB"/>
    <w:rsid w:val="3A4DCE41"/>
    <w:rsid w:val="3B727B80"/>
    <w:rsid w:val="3BCB56FA"/>
    <w:rsid w:val="3C0C0783"/>
    <w:rsid w:val="3DF5311A"/>
    <w:rsid w:val="3EE7C2F4"/>
    <w:rsid w:val="3F371B56"/>
    <w:rsid w:val="3F792ED8"/>
    <w:rsid w:val="3F9F3A96"/>
    <w:rsid w:val="3FECA4B2"/>
    <w:rsid w:val="3FF58C48"/>
    <w:rsid w:val="42FF6694"/>
    <w:rsid w:val="4565086C"/>
    <w:rsid w:val="48BF60AB"/>
    <w:rsid w:val="493C27E9"/>
    <w:rsid w:val="496F39ED"/>
    <w:rsid w:val="49A061F9"/>
    <w:rsid w:val="49FF41D3"/>
    <w:rsid w:val="4BE068DB"/>
    <w:rsid w:val="4BF6002B"/>
    <w:rsid w:val="4BFFC6BE"/>
    <w:rsid w:val="4ECE2238"/>
    <w:rsid w:val="4F1506AF"/>
    <w:rsid w:val="51DB4B86"/>
    <w:rsid w:val="51F64DB0"/>
    <w:rsid w:val="55333C3E"/>
    <w:rsid w:val="576617FE"/>
    <w:rsid w:val="5B7C51A5"/>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3E3189"/>
    <w:rsid w:val="75DDCDA9"/>
    <w:rsid w:val="75FF44B1"/>
    <w:rsid w:val="772B494F"/>
    <w:rsid w:val="77670518"/>
    <w:rsid w:val="777FA627"/>
    <w:rsid w:val="77DF1B5F"/>
    <w:rsid w:val="77EF2D9D"/>
    <w:rsid w:val="78922C93"/>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next w:val="1"/>
    <w:qFormat/>
    <w:uiPriority w:val="0"/>
    <w:pPr>
      <w:spacing w:after="120" w:afterLines="0" w:afterAutospacing="0" w:line="480" w:lineRule="auto"/>
      <w:ind w:left="420" w:leftChars="200"/>
    </w:pPr>
    <w:rPr>
      <w:rFonts w:ascii="Times New Roman" w:hAnsi="Times New Roman" w:eastAsia="宋体" w:cs="Times New Roman"/>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next w:val="5"/>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2"/>
    <w:qFormat/>
    <w:uiPriority w:val="9"/>
    <w:rPr>
      <w:rFonts w:ascii="Times New Roman" w:hAnsi="Times New Roman"/>
      <w:b/>
      <w:bCs/>
      <w:kern w:val="44"/>
      <w:sz w:val="44"/>
      <w:szCs w:val="44"/>
    </w:rPr>
  </w:style>
  <w:style w:type="character" w:customStyle="1" w:styleId="31">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文档正文"/>
    <w:qFormat/>
    <w:uiPriority w:val="0"/>
    <w:pPr>
      <w:adjustRightInd w:val="0"/>
      <w:spacing w:line="480" w:lineRule="atLeast"/>
      <w:textAlignment w:val="baseline"/>
    </w:pPr>
    <w:rPr>
      <w:rFonts w:ascii="Arial" w:hAnsi="Arial" w:eastAsia="宋体" w:cs="Times New Roman"/>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F:\WeChat%20Files\WY09241023\FileStorage\File\2025-09\&#20915;&#31639;&#22270;&#34920;(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4515847140532"/>
          <c:y val="0.0277777777777778"/>
        </c:manualLayout>
      </c:layout>
      <c:overlay val="0"/>
      <c:spPr>
        <a:noFill/>
        <a:ln>
          <a:noFill/>
        </a:ln>
        <a:effectLst/>
      </c:spPr>
    </c:title>
    <c:autoTitleDeleted val="0"/>
    <c:plotArea>
      <c:layout/>
      <c:barChart>
        <c:barDir val="col"/>
        <c:grouping val="clustered"/>
        <c:varyColors val="0"/>
        <c:ser>
          <c:idx val="0"/>
          <c:order val="0"/>
          <c:tx>
            <c:strRef>
              <c:f>'[决算图表(1)(1).xls]Sheet1'!$E$5</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'[决算图表(1)(1).xls]Sheet1'!$F$4:$G$4</c:f>
              <c:strCache>
                <c:ptCount val="2"/>
                <c:pt idx="0">
                  <c:v>收入</c:v>
                </c:pt>
                <c:pt idx="1">
                  <c:v>支出</c:v>
                </c:pt>
              </c:strCache>
            </c:strRef>
          </c:cat>
          <c:val>
            <c:numRef>
              <c:f>'[决算图表(1)(1).xls]Sheet1'!$F$5:$G$5</c:f>
              <c:numCache>
                <c:formatCode>#,##0.00</c:formatCode>
                <c:ptCount val="2"/>
                <c:pt idx="0">
                  <c:v>849.81</c:v>
                </c:pt>
                <c:pt idx="1">
                  <c:v>849.81</c:v>
                </c:pt>
              </c:numCache>
            </c:numRef>
          </c:val>
        </c:ser>
        <c:ser>
          <c:idx val="1"/>
          <c:order val="1"/>
          <c:tx>
            <c:strRef>
              <c:f>'[决算图表(1)(1).xls]Sheet1'!$E$6</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'[决算图表(1)(1).xls]Sheet1'!$F$4:$G$4</c:f>
              <c:strCache>
                <c:ptCount val="2"/>
                <c:pt idx="0">
                  <c:v>收入</c:v>
                </c:pt>
                <c:pt idx="1">
                  <c:v>支出</c:v>
                </c:pt>
              </c:strCache>
            </c:strRef>
          </c:cat>
          <c:val>
            <c:numRef>
              <c:f>'[决算图表(1)(1).xls]Sheet1'!$F$6:$G$6</c:f>
              <c:numCache>
                <c:formatCode>General</c:formatCode>
                <c:ptCount val="2"/>
                <c:pt idx="0">
                  <c:v>767.33</c:v>
                </c:pt>
                <c:pt idx="1">
                  <c:v>767.33</c:v>
                </c:pt>
              </c:numCache>
            </c:numRef>
          </c:val>
        </c:ser>
        <c:dLbls>
          <c:showLegendKey val="0"/>
          <c:showVal val="0"/>
          <c:showCatName val="0"/>
          <c:showSerName val="0"/>
          <c:showPercent val="0"/>
          <c:showBubbleSize val="0"/>
        </c:dLbls>
        <c:gapWidth val="219"/>
        <c:overlap val="-27"/>
        <c:axId val="116983396"/>
        <c:axId val="792924385"/>
      </c:barChart>
      <c:catAx>
        <c:axId val="1169833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924385"/>
        <c:crosses val="autoZero"/>
        <c:auto val="1"/>
        <c:lblAlgn val="ctr"/>
        <c:lblOffset val="100"/>
        <c:noMultiLvlLbl val="0"/>
      </c:catAx>
      <c:valAx>
        <c:axId val="79292438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983396"/>
        <c:crosses val="autoZero"/>
        <c:crossBetween val="between"/>
      </c:valAx>
      <c:spPr>
        <a:noFill/>
        <a:ln>
          <a:noFill/>
        </a:ln>
        <a:effectLst/>
      </c:spPr>
    </c:plotArea>
    <c:legend>
      <c:legendPos val="r"/>
      <c:layout>
        <c:manualLayout>
          <c:xMode val="edge"/>
          <c:yMode val="edge"/>
          <c:x val="0.3875"/>
          <c:y val="0.9"/>
          <c:w val="0.222222222222222"/>
          <c:h val="0.07313400827355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e106c5-aade-4175-bda4-acdf174a40f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b="0"/>
              <a:t>图2：收入决算结构图</a:t>
            </a:r>
            <a:endParaRPr sz="18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54152867929527"/>
          <c:y val="0.0145942790426153"/>
        </c:manualLayout>
      </c:layout>
      <c:overlay val="0"/>
    </c:title>
    <c:autoTitleDeleted val="0"/>
    <c:plotArea>
      <c:layout>
        <c:manualLayout>
          <c:layoutTarget val="inner"/>
          <c:xMode val="edge"/>
          <c:yMode val="edge"/>
          <c:x val="0.334539659528826"/>
          <c:y val="0.197240792758479"/>
          <c:w val="0.387144193505279"/>
          <c:h val="0.64607493309545"/>
        </c:manualLayout>
      </c:layout>
      <c:pieChart>
        <c:varyColors val="1"/>
        <c:ser>
          <c:idx val="0"/>
          <c:order val="0"/>
          <c:explosion val="0"/>
          <c:dPt>
            <c:idx val="0"/>
            <c:bubble3D val="0"/>
            <c:explosion val="0"/>
          </c:dPt>
          <c:dLbls>
            <c:numFmt formatCode="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'[决算图表(1)(1).xls]Sheet1'!$C$65</c:f>
              <c:strCache>
                <c:ptCount val="1"/>
                <c:pt idx="0">
                  <c:v>一般公共预算财政拨款</c:v>
                </c:pt>
              </c:strCache>
            </c:strRef>
          </c:cat>
          <c:val>
            <c:numRef>
              <c:f>'[决算图表(1)(1).xls]Sheet1'!$D$65</c:f>
              <c:numCache>
                <c:formatCode>#,##0.00</c:formatCode>
                <c:ptCount val="1"/>
                <c:pt idx="0">
                  <c:v>767.33</c:v>
                </c:pt>
              </c:numCache>
            </c:numRef>
          </c:val>
        </c:ser>
        <c:dLbls>
          <c:showLegendKey val="0"/>
          <c:showVal val="0"/>
          <c:showCatName val="0"/>
          <c:showSerName val="0"/>
          <c:showPercent val="0"/>
          <c:showBubbleSize val="0"/>
          <c:showLeaderLines val="1"/>
        </c:dLbls>
        <c:firstSliceAng val="8"/>
      </c:pieChart>
    </c:plotArea>
    <c:legend>
      <c:legendPos val="b"/>
      <c:layout>
        <c:manualLayout>
          <c:xMode val="edge"/>
          <c:yMode val="edge"/>
          <c:x val="0.20275"/>
          <c:y val="0.909"/>
          <c:w val="0.59425"/>
          <c:h val="0.068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7432e04-6b38-4d6f-8ac5-5a23144306ff}"/>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图3：支出决算结构图</a:t>
            </a:r>
            <a:endParaRPr sz="1400" b="0" i="0" u="none" strike="noStrike" baseline="0">
              <a:solidFill>
                <a:srgbClr val="404040">
                  <a:alpha val="100000"/>
                </a:srgbClr>
              </a:solidFill>
              <a:latin typeface="微软雅黑" panose="020B0503020204020204" charset="-122"/>
              <a:ea typeface="微软雅黑" panose="020B0503020204020204" charset="-122"/>
              <a:cs typeface="微软雅黑" panose="020B0503020204020204" charset="-122"/>
            </a:endParaRPr>
          </a:p>
        </c:rich>
      </c:tx>
      <c:layout/>
      <c:overlay val="0"/>
      <c:spPr>
        <a:noFill/>
        <a:ln>
          <a:noFill/>
        </a:ln>
        <a:effectLst/>
      </c:spPr>
    </c:title>
    <c:autoTitleDeleted val="0"/>
    <c:plotArea>
      <c:layout>
        <c:manualLayout>
          <c:layoutTarget val="inner"/>
          <c:xMode val="edge"/>
          <c:yMode val="edge"/>
          <c:x val="0.298039215686275"/>
          <c:y val="0.27640391550747"/>
          <c:w val="0.41074168797954"/>
          <c:h val="0.620556414219474"/>
        </c:manualLayout>
      </c:layout>
      <c:pieChart>
        <c:varyColors val="1"/>
        <c:ser>
          <c:idx val="1"/>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dLbl>
              <c:idx val="0"/>
              <c:layout>
                <c:manualLayout>
                  <c:x val="0.153896520262462"/>
                  <c:y val="-0.185745895236321"/>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307082194357106"/>
                  <c:y val="-0.109558409229208"/>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'[决算图表(1)(1).xls]Sheet1'!$A$93:$A$94</c:f>
              <c:strCache>
                <c:ptCount val="2"/>
                <c:pt idx="0">
                  <c:v>基本支出</c:v>
                </c:pt>
                <c:pt idx="1">
                  <c:v>项目支出</c:v>
                </c:pt>
              </c:strCache>
            </c:strRef>
          </c:cat>
          <c:val>
            <c:numRef>
              <c:f>'[决算图表(1)(1).xls]Sheet1'!$B$93:$B$94</c:f>
              <c:numCache>
                <c:formatCode>General</c:formatCode>
                <c:ptCount val="2"/>
                <c:pt idx="0">
                  <c:v>575.83</c:v>
                </c:pt>
                <c:pt idx="1" c:formatCode="#,##0.00">
                  <c:v>191.5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9"/>
          <c:y val="0.859"/>
          <c:w val="0.295625942684766"/>
          <c:h val="0.084978760496567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2823b879-f8a7-4709-bb3d-209670b8a15b}"/>
      </c:ext>
    </c:extLst>
  </c:chart>
  <c:spPr>
    <a:solidFill>
      <a:schemeClr val="bg1"/>
    </a:solidFill>
    <a:ln w="9525"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4</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财政拨款收、支决算总计变动情况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'[决算图表(1)(1).xls]Sheet1'!$E$17</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'[决算图表(1)(1).xls]Sheet1'!$F$16:$G$16</c:f>
              <c:strCache>
                <c:ptCount val="2"/>
                <c:pt idx="0">
                  <c:v>收入</c:v>
                </c:pt>
                <c:pt idx="1">
                  <c:v>支出</c:v>
                </c:pt>
              </c:strCache>
            </c:strRef>
          </c:cat>
          <c:val>
            <c:numRef>
              <c:f>'[决算图表(1)(1).xls]Sheet1'!$F$17:$G$17</c:f>
              <c:numCache>
                <c:formatCode>#,##0.00</c:formatCode>
                <c:ptCount val="2"/>
                <c:pt idx="0">
                  <c:v>849.81</c:v>
                </c:pt>
                <c:pt idx="1">
                  <c:v>849.81</c:v>
                </c:pt>
              </c:numCache>
            </c:numRef>
          </c:val>
        </c:ser>
        <c:ser>
          <c:idx val="1"/>
          <c:order val="1"/>
          <c:tx>
            <c:strRef>
              <c:f>'[决算图表(1)(1).xls]Sheet1'!$E$18</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'[决算图表(1)(1).xls]Sheet1'!$F$16:$G$16</c:f>
              <c:strCache>
                <c:ptCount val="2"/>
                <c:pt idx="0">
                  <c:v>收入</c:v>
                </c:pt>
                <c:pt idx="1">
                  <c:v>支出</c:v>
                </c:pt>
              </c:strCache>
            </c:strRef>
          </c:cat>
          <c:val>
            <c:numRef>
              <c:f>'[决算图表(1)(1).xls]Sheet1'!$F$18:$G$18</c:f>
              <c:numCache>
                <c:formatCode>#,##0.00</c:formatCode>
                <c:ptCount val="2"/>
                <c:pt idx="0">
                  <c:v>767.33</c:v>
                </c:pt>
                <c:pt idx="1">
                  <c:v>767.33</c:v>
                </c:pt>
              </c:numCache>
            </c:numRef>
          </c:val>
        </c:ser>
        <c:dLbls>
          <c:showLegendKey val="0"/>
          <c:showVal val="0"/>
          <c:showCatName val="0"/>
          <c:showSerName val="0"/>
          <c:showPercent val="0"/>
          <c:showBubbleSize val="0"/>
        </c:dLbls>
        <c:gapWidth val="219"/>
        <c:overlap val="-27"/>
        <c:axId val="473534509"/>
        <c:axId val="511957755"/>
      </c:barChart>
      <c:catAx>
        <c:axId val="47353450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1957755"/>
        <c:crosses val="autoZero"/>
        <c:auto val="1"/>
        <c:lblAlgn val="ctr"/>
        <c:lblOffset val="100"/>
        <c:noMultiLvlLbl val="0"/>
      </c:catAx>
      <c:valAx>
        <c:axId val="5119577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34509"/>
        <c:crosses val="autoZero"/>
        <c:crossBetween val="between"/>
      </c:valAx>
      <c:spPr>
        <a:noFill/>
        <a:ln>
          <a:noFill/>
        </a:ln>
        <a:effectLst/>
      </c:spPr>
    </c:plotArea>
    <c:legend>
      <c:legendPos val="r"/>
      <c:layout>
        <c:manualLayout>
          <c:xMode val="edge"/>
          <c:yMode val="edge"/>
          <c:x val="0.3535"/>
          <c:y val="0.86125"/>
          <c:w val="0.22538177988415"/>
          <c:h val="0.0754716981132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323d9d-b294-4a43-a9e0-7442faaa1dd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5</a:t>
            </a:r>
            <a:r>
              <a:rPr altLang="en-US"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a:t>
            </a:r>
            <a:r>
              <a:rPr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一般公共预算财政拨款支出决算变动情况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142966948501153"/>
          <c:y val="0.0336994508237644"/>
        </c:manualLayout>
      </c:layout>
      <c:overlay val="0"/>
      <c:spPr>
        <a:noFill/>
        <a:ln>
          <a:noFill/>
        </a:ln>
        <a:effectLst/>
      </c:spPr>
    </c:title>
    <c:autoTitleDeleted val="0"/>
    <c:plotArea>
      <c:layout/>
      <c:barChart>
        <c:barDir val="col"/>
        <c:grouping val="clustered"/>
        <c:varyColors val="0"/>
        <c:ser>
          <c:idx val="0"/>
          <c:order val="0"/>
          <c:tx>
            <c:strRef>
              <c:f>'[决算图表(1)(1).xls]Sheet1'!$A$108</c:f>
              <c:strCache>
                <c:ptCount val="1"/>
                <c:pt idx="0">
                  <c:v>收入、支出</c:v>
                </c:pt>
              </c:strCache>
            </c:strRef>
          </c:tx>
          <c:spPr>
            <a:solidFill>
              <a:schemeClr val="accent1"/>
            </a:solidFill>
            <a:ln>
              <a:noFill/>
            </a:ln>
            <a:effectLst/>
          </c:spPr>
          <c:invertIfNegative val="0"/>
          <c:dPt>
            <c:idx val="0"/>
            <c:invertIfNegative val="0"/>
            <c:bubble3D val="0"/>
            <c:explosion val="0"/>
            <c:spPr>
              <a:solidFill>
                <a:srgbClr val="C00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'[决算图表(1)(1).xls]Sheet1'!$B$107:$C$107</c:f>
              <c:strCache>
                <c:ptCount val="2"/>
                <c:pt idx="0">
                  <c:v>2023年</c:v>
                </c:pt>
                <c:pt idx="1">
                  <c:v>2024年</c:v>
                </c:pt>
              </c:strCache>
            </c:strRef>
          </c:cat>
          <c:val>
            <c:numRef>
              <c:f>'[决算图表(1)(1).xls]Sheet1'!$B$108:$C$108</c:f>
              <c:numCache>
                <c:formatCode>#,##0.00</c:formatCode>
                <c:ptCount val="2"/>
                <c:pt idx="0">
                  <c:v>849.81</c:v>
                </c:pt>
                <c:pt idx="1">
                  <c:v>767.33</c:v>
                </c:pt>
              </c:numCache>
            </c:numRef>
          </c:val>
        </c:ser>
        <c:dLbls>
          <c:showLegendKey val="0"/>
          <c:showVal val="0"/>
          <c:showCatName val="0"/>
          <c:showSerName val="0"/>
          <c:showPercent val="0"/>
          <c:showBubbleSize val="0"/>
        </c:dLbls>
        <c:gapWidth val="219"/>
        <c:overlap val="-27"/>
        <c:axId val="317855609"/>
        <c:axId val="588606371"/>
      </c:barChart>
      <c:catAx>
        <c:axId val="31785560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88606371"/>
        <c:crosses val="autoZero"/>
        <c:auto val="1"/>
        <c:lblAlgn val="ctr"/>
        <c:lblOffset val="100"/>
        <c:noMultiLvlLbl val="0"/>
      </c:catAx>
      <c:valAx>
        <c:axId val="58860637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17855609"/>
        <c:crosses val="autoZero"/>
        <c:crossBetween val="between"/>
      </c:valAx>
      <c:spPr>
        <a:noFill/>
        <a:ln>
          <a:noFill/>
        </a:ln>
        <a:effectLst/>
      </c:spPr>
    </c:plotArea>
    <c:plotVisOnly val="1"/>
    <c:dispBlanksAs val="gap"/>
    <c:showDLblsOverMax val="0"/>
    <c:extLst>
      <c:ext uri="{0b15fc19-7d7d-44ad-8c2d-2c3a37ce22c3}">
        <chartProps xmlns="https://web.wps.cn/et/2018/main" chartId="{b73536dd-0fcf-4604-b062-44fe2feb767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6</a:t>
            </a:r>
            <a:r>
              <a:rPr altLang="en-US" sz="1400" b="0" i="0" u="none" strike="noStrike" baseline="0">
                <a:solidFill>
                  <a:srgbClr val="000000"/>
                </a:solidFill>
                <a:latin typeface="宋体" panose="02010600030101010101" charset="-122"/>
                <a:ea typeface="宋体" panose="02010600030101010101" charset="-122"/>
                <a:cs typeface="宋体" panose="02010600030101010101" charset="-122"/>
              </a:rPr>
              <a:t>：</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一般公共预算财政拨款支出决算结构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288805198641264"/>
          <c:y val="0.222922636103152"/>
          <c:w val="0.422389602717472"/>
          <c:h val="0.546322827125119"/>
        </c:manualLayout>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rgbClr val="C00000"/>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rgbClr val="FFFF00"/>
              </a:solidFill>
            </c:spPr>
          </c:dPt>
          <c:dPt>
            <c:idx val="5"/>
            <c:bubble3D val="0"/>
            <c:explosion val="0"/>
          </c:dPt>
          <c:dLbls>
            <c:dLbl>
              <c:idx val="0"/>
              <c:layout>
                <c:manualLayout>
                  <c:x val="0.108551543302459"/>
                  <c:y val="-0.0294212835674361"/>
                </c:manualLayout>
              </c:layout>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61305500213139"/>
                  <c:y val="-0.0242871483693121"/>
                </c:manualLayout>
              </c:layout>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856200228850118"/>
                  <c:y val="-0.0152893689858719"/>
                </c:manualLayout>
              </c:layout>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00739060871427257"/>
                  <c:y val="-0.0577215004149398"/>
                </c:manualLayout>
              </c:layout>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'[决算图表(1)(1).xls]Sheet1'!$A$115:$A$120</c:f>
              <c:strCache>
                <c:ptCount val="6"/>
                <c:pt idx="0">
                  <c:v>公共安全支出</c:v>
                </c:pt>
                <c:pt idx="1">
                  <c:v>社会保障和就业支出</c:v>
                </c:pt>
                <c:pt idx="4">
                  <c:v>卫生健康支出</c:v>
                </c:pt>
                <c:pt idx="5">
                  <c:v>住房保障支出</c:v>
                </c:pt>
              </c:strCache>
            </c:strRef>
          </c:cat>
          <c:val>
            <c:numRef>
              <c:f>'[决算图表(1)(1).xls]Sheet1'!$B$115:$B$120</c:f>
              <c:numCache>
                <c:formatCode>General</c:formatCode>
                <c:ptCount val="6"/>
                <c:pt idx="0">
                  <c:v>597.75</c:v>
                </c:pt>
                <c:pt idx="1">
                  <c:v>80.53</c:v>
                </c:pt>
                <c:pt idx="4">
                  <c:v>36.44</c:v>
                </c:pt>
                <c:pt idx="5">
                  <c:v>52.61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13025"/>
          <c:y val="0.812"/>
          <c:w val="0.738943436120501"/>
          <c:h val="0.1628817541111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3342a3-776b-40a8-862d-acb02b0eddc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a:solidFill>
                  <a:sysClr val="windowText" lastClr="000000"/>
                </a:solidFill>
              </a:rPr>
              <a:t>图7：“三公”经费财政拨款支出结构</a:t>
            </a:r>
            <a:endParaRPr sz="1400" b="0" i="0" u="none" strike="noStrike" baseline="0">
              <a:solidFill>
                <a:sysClr val="windowText" lastClr="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'[决算图表(1)(1).xls]Sheet1'!$A$128:$A$129</c:f>
              <c:strCache>
                <c:ptCount val="2"/>
                <c:pt idx="0">
                  <c:v>公务接待费</c:v>
                </c:pt>
                <c:pt idx="1">
                  <c:v>公务用车购置及运行维护费</c:v>
                </c:pt>
              </c:strCache>
            </c:strRef>
          </c:cat>
          <c:val>
            <c:numRef>
              <c:f>'[决算图表(1)(1).xls]Sheet1'!$B$128:$B$129</c:f>
              <c:numCache>
                <c:formatCode>General</c:formatCode>
                <c:ptCount val="2"/>
                <c:pt idx="0">
                  <c:v>0.41</c:v>
                </c:pt>
                <c:pt idx="1">
                  <c:v>2.97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51922270376066"/>
          <c:y val="0.440555555555556"/>
          <c:w val="0.399832238221725"/>
          <c:h val="0.2761111111111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2825edc3-055e-4e80-a867-06d89727353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4668</Words>
  <Characters>5134</Characters>
  <Lines>54</Lines>
  <Paragraphs>15</Paragraphs>
  <TotalTime>10</TotalTime>
  <ScaleCrop>false</ScaleCrop>
  <LinksUpToDate>false</LinksUpToDate>
  <CharactersWithSpaces>5252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Mr.旧时光</cp:lastModifiedBy>
  <cp:lastPrinted>2023-08-03T02:35:00Z</cp:lastPrinted>
  <dcterms:modified xsi:type="dcterms:W3CDTF">2025-09-18T02:34:19Z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E4F3513829874FAEA6F4522F8C75452C</vt:lpwstr>
  </property>
</Properties>
</file>