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jc w:val="center"/>
        <w:rPr>
          <w:rFonts w:hint="eastAsia" w:ascii="方正小标宋简体" w:hAnsi="宋体" w:eastAsia="方正小标宋简体" w:cs="Times New Roman"/>
          <w:color w:val="auto"/>
          <w:kern w:val="2"/>
          <w:sz w:val="44"/>
          <w:szCs w:val="44"/>
          <w:highlight w:val="none"/>
          <w:lang w:val="en-US" w:eastAsia="zh-CN" w:bidi="ar-SA"/>
        </w:rPr>
      </w:pPr>
      <w:bookmarkStart w:id="0" w:name="_Toc15377425"/>
      <w:bookmarkStart w:id="1" w:name="_Toc15396597"/>
      <w:bookmarkStart w:id="2" w:name="_Toc15377193"/>
      <w:bookmarkStart w:id="3" w:name="_Toc15396475"/>
      <w:bookmarkStart w:id="4" w:name="_Toc15378441"/>
      <w:bookmarkStart w:id="5" w:name="_Toc15306267"/>
    </w:p>
    <w:p>
      <w:pPr>
        <w:pStyle w:val="7"/>
        <w:jc w:val="center"/>
        <w:rPr>
          <w:rFonts w:hint="eastAsia" w:ascii="方正小标宋简体" w:hAnsi="宋体" w:eastAsia="方正小标宋简体" w:cs="Times New Roman"/>
          <w:color w:val="auto"/>
          <w:kern w:val="2"/>
          <w:sz w:val="44"/>
          <w:szCs w:val="44"/>
          <w:highlight w:val="none"/>
          <w:lang w:val="en-US" w:eastAsia="zh-CN" w:bidi="ar-SA"/>
        </w:rPr>
      </w:pPr>
    </w:p>
    <w:p>
      <w:pPr>
        <w:suppressAutoHyphens/>
        <w:bidi w:val="0"/>
        <w:jc w:val="center"/>
        <w:rPr>
          <w:rFonts w:hint="eastAsia" w:ascii="方正小标宋_GBK" w:hAnsi="方正小标宋_GBK" w:eastAsia="方正小标宋_GBK" w:cs="方正小标宋_GBK"/>
          <w:color w:val="000000"/>
          <w:sz w:val="72"/>
          <w:szCs w:val="72"/>
          <w:lang w:val="en-US" w:eastAsia="zh-CN"/>
        </w:rPr>
      </w:pPr>
      <w:r>
        <w:rPr>
          <w:rFonts w:hint="eastAsia" w:ascii="方正小标宋_GBK" w:hAnsi="方正小标宋_GBK" w:eastAsia="方正小标宋_GBK" w:cs="方正小标宋_GBK"/>
          <w:color w:val="000000"/>
          <w:sz w:val="72"/>
          <w:szCs w:val="72"/>
          <w:lang w:val="en-US" w:eastAsia="zh-CN"/>
        </w:rPr>
        <w:t>202</w:t>
      </w:r>
      <w:r>
        <w:rPr>
          <w:rFonts w:hint="default" w:ascii="方正小标宋_GBK" w:hAnsi="方正小标宋_GBK" w:eastAsia="方正小标宋_GBK" w:cs="方正小标宋_GBK"/>
          <w:color w:val="000000"/>
          <w:sz w:val="72"/>
          <w:szCs w:val="72"/>
          <w:lang w:val="en-US" w:eastAsia="zh-CN"/>
        </w:rPr>
        <w:t>5</w:t>
      </w:r>
      <w:r>
        <w:rPr>
          <w:rFonts w:hint="eastAsia" w:ascii="方正小标宋_GBK" w:hAnsi="方正小标宋_GBK" w:eastAsia="方正小标宋_GBK" w:cs="方正小标宋_GBK"/>
          <w:color w:val="000000"/>
          <w:sz w:val="72"/>
          <w:szCs w:val="72"/>
          <w:lang w:val="en-US" w:eastAsia="zh-CN"/>
        </w:rPr>
        <w:t>年度</w:t>
      </w:r>
    </w:p>
    <w:p>
      <w:pPr>
        <w:suppressAutoHyphens/>
        <w:bidi w:val="0"/>
        <w:jc w:val="center"/>
        <w:rPr>
          <w:rFonts w:hint="eastAsia" w:ascii="方正小标宋_GBK" w:hAnsi="方正小标宋_GBK" w:eastAsia="方正小标宋_GBK" w:cs="方正小标宋_GBK"/>
          <w:color w:val="000000"/>
          <w:sz w:val="72"/>
          <w:szCs w:val="72"/>
          <w:lang w:val="en-US" w:eastAsia="zh-CN"/>
        </w:rPr>
      </w:pPr>
      <w:r>
        <w:rPr>
          <w:rFonts w:hint="eastAsia" w:ascii="方正小标宋_GBK" w:hAnsi="方正小标宋_GBK" w:eastAsia="方正小标宋_GBK" w:cs="方正小标宋_GBK"/>
          <w:color w:val="000000"/>
          <w:sz w:val="72"/>
          <w:szCs w:val="72"/>
          <w:lang w:val="en-US" w:eastAsia="zh-CN"/>
        </w:rPr>
        <w:t>四川省小金县人民法院</w:t>
      </w:r>
    </w:p>
    <w:p>
      <w:pPr>
        <w:suppressAutoHyphens/>
        <w:bidi w:val="0"/>
        <w:jc w:val="center"/>
        <w:rPr>
          <w:rFonts w:hint="eastAsia" w:ascii="方正小标宋_GBK" w:hAnsi="方正小标宋_GBK" w:eastAsia="方正小标宋_GBK" w:cs="方正小标宋_GBK"/>
          <w:color w:val="000000"/>
          <w:sz w:val="72"/>
          <w:szCs w:val="72"/>
          <w:lang w:val="en-US" w:eastAsia="zh-CN"/>
        </w:rPr>
      </w:pPr>
      <w:r>
        <w:rPr>
          <w:rFonts w:hint="eastAsia" w:ascii="方正小标宋_GBK" w:hAnsi="方正小标宋_GBK" w:eastAsia="方正小标宋_GBK" w:cs="方正小标宋_GBK"/>
          <w:color w:val="000000"/>
          <w:sz w:val="72"/>
          <w:szCs w:val="72"/>
          <w:lang w:val="en-US" w:eastAsia="zh-CN"/>
        </w:rPr>
        <w:t>部门决算</w:t>
      </w:r>
    </w:p>
    <w:p>
      <w:pPr>
        <w:autoSpaceDE w:val="0"/>
        <w:autoSpaceDN w:val="0"/>
        <w:adjustRightInd w:val="0"/>
        <w:ind w:firstLine="960" w:firstLineChars="300"/>
        <w:jc w:val="left"/>
        <w:rPr>
          <w:rFonts w:hint="eastAsia" w:ascii="宋体" w:hAnsi="宋体" w:cs="仿宋_GB2312"/>
          <w:color w:val="000000"/>
          <w:sz w:val="32"/>
          <w:szCs w:val="32"/>
        </w:rPr>
      </w:pPr>
    </w:p>
    <w:p>
      <w:pPr>
        <w:autoSpaceDE w:val="0"/>
        <w:autoSpaceDN w:val="0"/>
        <w:adjustRightInd w:val="0"/>
        <w:ind w:firstLine="960" w:firstLineChars="300"/>
        <w:jc w:val="left"/>
        <w:rPr>
          <w:rFonts w:hint="eastAsia" w:ascii="宋体" w:hAnsi="宋体" w:cs="仿宋_GB2312"/>
          <w:color w:val="000000"/>
          <w:sz w:val="32"/>
          <w:szCs w:val="32"/>
        </w:rPr>
      </w:pPr>
    </w:p>
    <w:p>
      <w:pPr>
        <w:autoSpaceDE w:val="0"/>
        <w:autoSpaceDN w:val="0"/>
        <w:adjustRightInd w:val="0"/>
        <w:ind w:firstLine="960" w:firstLineChars="300"/>
        <w:jc w:val="left"/>
        <w:rPr>
          <w:rFonts w:hint="eastAsia" w:ascii="宋体" w:hAnsi="宋体" w:cs="仿宋_GB2312"/>
          <w:color w:val="000000"/>
          <w:sz w:val="32"/>
          <w:szCs w:val="32"/>
        </w:rPr>
      </w:pPr>
    </w:p>
    <w:p>
      <w:pPr>
        <w:autoSpaceDE w:val="0"/>
        <w:autoSpaceDN w:val="0"/>
        <w:adjustRightInd w:val="0"/>
        <w:ind w:firstLine="960" w:firstLineChars="300"/>
        <w:jc w:val="left"/>
        <w:rPr>
          <w:rFonts w:hint="eastAsia" w:ascii="宋体" w:hAnsi="宋体" w:cs="仿宋_GB2312"/>
          <w:color w:val="000000"/>
          <w:sz w:val="32"/>
          <w:szCs w:val="32"/>
        </w:rPr>
      </w:pPr>
    </w:p>
    <w:p>
      <w:pPr>
        <w:autoSpaceDE w:val="0"/>
        <w:autoSpaceDN w:val="0"/>
        <w:adjustRightInd w:val="0"/>
        <w:ind w:firstLine="960" w:firstLineChars="300"/>
        <w:jc w:val="left"/>
        <w:rPr>
          <w:rFonts w:hint="eastAsia" w:ascii="宋体" w:hAnsi="宋体" w:cs="仿宋_GB2312"/>
          <w:color w:val="000000"/>
          <w:sz w:val="32"/>
          <w:szCs w:val="32"/>
        </w:rPr>
      </w:pPr>
    </w:p>
    <w:p>
      <w:pPr>
        <w:autoSpaceDE w:val="0"/>
        <w:autoSpaceDN w:val="0"/>
        <w:adjustRightInd w:val="0"/>
        <w:ind w:firstLine="960" w:firstLineChars="300"/>
        <w:jc w:val="left"/>
        <w:rPr>
          <w:rFonts w:hint="eastAsia" w:ascii="宋体" w:hAnsi="宋体" w:cs="仿宋_GB2312"/>
          <w:color w:val="000000"/>
          <w:sz w:val="32"/>
          <w:szCs w:val="32"/>
        </w:rPr>
      </w:pPr>
    </w:p>
    <w:p>
      <w:pPr>
        <w:autoSpaceDE w:val="0"/>
        <w:autoSpaceDN w:val="0"/>
        <w:adjustRightInd w:val="0"/>
        <w:ind w:firstLine="960" w:firstLineChars="300"/>
        <w:jc w:val="left"/>
        <w:rPr>
          <w:rFonts w:hint="eastAsia" w:ascii="宋体" w:hAnsi="宋体" w:cs="仿宋_GB2312"/>
          <w:color w:val="000000"/>
          <w:sz w:val="32"/>
          <w:szCs w:val="32"/>
        </w:rPr>
      </w:pPr>
    </w:p>
    <w:p>
      <w:pPr>
        <w:autoSpaceDE w:val="0"/>
        <w:autoSpaceDN w:val="0"/>
        <w:adjustRightInd w:val="0"/>
        <w:ind w:firstLine="960" w:firstLineChars="300"/>
        <w:jc w:val="left"/>
        <w:rPr>
          <w:rFonts w:hint="eastAsia" w:ascii="宋体" w:hAnsi="宋体" w:cs="仿宋_GB2312"/>
          <w:color w:val="000000"/>
          <w:sz w:val="32"/>
          <w:szCs w:val="32"/>
        </w:rPr>
      </w:pPr>
    </w:p>
    <w:p>
      <w:pPr>
        <w:autoSpaceDE w:val="0"/>
        <w:autoSpaceDN w:val="0"/>
        <w:adjustRightInd w:val="0"/>
        <w:ind w:firstLine="960" w:firstLineChars="300"/>
        <w:jc w:val="left"/>
        <w:rPr>
          <w:rFonts w:hint="eastAsia" w:ascii="宋体" w:hAnsi="宋体" w:cs="仿宋_GB2312"/>
          <w:color w:val="000000"/>
          <w:sz w:val="32"/>
          <w:szCs w:val="32"/>
        </w:rPr>
      </w:pPr>
    </w:p>
    <w:p>
      <w:pPr>
        <w:autoSpaceDE w:val="0"/>
        <w:autoSpaceDN w:val="0"/>
        <w:adjustRightInd w:val="0"/>
        <w:ind w:firstLine="960" w:firstLineChars="300"/>
        <w:jc w:val="left"/>
        <w:rPr>
          <w:rFonts w:hint="eastAsia" w:ascii="宋体" w:hAnsi="宋体" w:cs="仿宋_GB2312"/>
          <w:color w:val="000000"/>
          <w:sz w:val="32"/>
          <w:szCs w:val="32"/>
        </w:rPr>
      </w:pPr>
    </w:p>
    <w:p>
      <w:pPr>
        <w:autoSpaceDE w:val="0"/>
        <w:autoSpaceDN w:val="0"/>
        <w:adjustRightInd w:val="0"/>
        <w:ind w:firstLine="960" w:firstLineChars="300"/>
        <w:jc w:val="left"/>
        <w:rPr>
          <w:rFonts w:ascii="宋体" w:hAnsi="宋体"/>
          <w:color w:val="000000"/>
          <w:sz w:val="32"/>
          <w:szCs w:val="32"/>
        </w:rPr>
      </w:pPr>
      <w:r>
        <w:rPr>
          <w:rFonts w:hint="eastAsia" w:ascii="宋体" w:hAnsi="宋体" w:cs="仿宋_GB2312"/>
          <w:color w:val="000000"/>
          <w:sz w:val="32"/>
          <w:szCs w:val="32"/>
        </w:rPr>
        <w:t>保密审查情况：已审查，内容审定</w:t>
      </w:r>
    </w:p>
    <w:p>
      <w:pPr>
        <w:autoSpaceDE w:val="0"/>
        <w:autoSpaceDN w:val="0"/>
        <w:adjustRightInd w:val="0"/>
        <w:ind w:left="420" w:leftChars="200"/>
        <w:jc w:val="center"/>
        <w:rPr>
          <w:rFonts w:hint="eastAsia" w:ascii="宋体" w:hAnsi="宋体" w:cs="仿宋_GB2312"/>
          <w:color w:val="000000"/>
          <w:sz w:val="32"/>
          <w:szCs w:val="32"/>
        </w:rPr>
      </w:pPr>
      <w:r>
        <w:rPr>
          <w:rFonts w:hint="eastAsia" w:ascii="宋体" w:hAnsi="宋体" w:cs="仿宋_GB2312"/>
          <w:color w:val="000000"/>
          <w:sz w:val="32"/>
          <w:szCs w:val="32"/>
          <w:lang w:val="en-US" w:eastAsia="zh-CN"/>
        </w:rPr>
        <w:t xml:space="preserve">  </w:t>
      </w:r>
      <w:r>
        <w:rPr>
          <w:rFonts w:hint="eastAsia" w:ascii="宋体" w:hAnsi="宋体" w:cs="仿宋_GB2312"/>
          <w:color w:val="000000"/>
          <w:sz w:val="32"/>
          <w:szCs w:val="32"/>
        </w:rPr>
        <w:t>部门主要负责人审签情况：已审签，同意对外公开</w:t>
      </w:r>
    </w:p>
    <w:p>
      <w:pPr>
        <w:pStyle w:val="7"/>
        <w:rPr>
          <w:rFonts w:hint="eastAsia" w:ascii="Times New Roman" w:hAnsi="Times New Roman" w:eastAsia="方正小标宋简体" w:cs="Times New Roman"/>
          <w:color w:val="auto"/>
          <w:kern w:val="2"/>
          <w:sz w:val="72"/>
          <w:szCs w:val="72"/>
          <w:highlight w:val="none"/>
          <w:lang w:val="en-US" w:eastAsia="zh-CN" w:bidi="ar-SA"/>
        </w:rPr>
      </w:pPr>
      <w:r>
        <w:rPr>
          <w:rFonts w:ascii="方正小标宋简体" w:hAnsi="宋体" w:eastAsia="方正小标宋简体"/>
          <w:color w:val="auto"/>
          <w:sz w:val="36"/>
          <w:szCs w:val="36"/>
          <w:highlight w:val="none"/>
        </w:rPr>
        <w:br w:type="page"/>
      </w:r>
    </w:p>
    <w:p>
      <w:pPr>
        <w:pStyle w:val="7"/>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bookmarkEnd w:id="5"/>
    <w:p>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pPr>
        <w:widowControl/>
        <w:jc w:val="center"/>
        <w:rPr>
          <w:rFonts w:ascii="Times New Roman" w:hAnsi="Times New Roman" w:eastAsia="黑体" w:cstheme="minorBidi"/>
          <w:color w:val="auto"/>
          <w:sz w:val="28"/>
          <w:szCs w:val="28"/>
          <w:highlight w:val="none"/>
        </w:rPr>
      </w:pPr>
    </w:p>
    <w:p>
      <w:pPr>
        <w:pStyle w:val="12"/>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w:t>
      </w:r>
      <w:r>
        <w:rPr>
          <w:rFonts w:hint="default" w:ascii="Times New Roman" w:hAnsi="Times New Roman" w:eastAsia="仿宋_GB2312" w:cs="仿宋_GB2312"/>
          <w:color w:val="auto"/>
          <w:sz w:val="32"/>
          <w:szCs w:val="32"/>
          <w:highlight w:val="none"/>
          <w:lang w:val="en-US" w:eastAsia="zh-CN"/>
        </w:rPr>
        <w:t>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default" w:ascii="Times New Roman" w:hAnsi="Times New Roman" w:eastAsia="仿宋_GB2312" w:cs="仿宋_GB2312"/>
          <w:color w:val="auto"/>
          <w:sz w:val="32"/>
          <w:szCs w:val="32"/>
          <w:highlight w:val="none"/>
          <w:lang w:val="en-US"/>
        </w:rPr>
        <w:t>3</w:t>
      </w:r>
      <w:r>
        <w:rPr>
          <w:rFonts w:hint="eastAsia" w:ascii="Times New Roman" w:hAnsi="Times New Roman" w:eastAsia="仿宋_GB2312" w:cs="仿宋_GB2312"/>
          <w:color w:val="auto"/>
          <w:sz w:val="32"/>
          <w:szCs w:val="32"/>
          <w:highlight w:val="none"/>
        </w:rPr>
        <w:t>日</w:t>
      </w:r>
    </w:p>
    <w:p>
      <w:pPr>
        <w:rPr>
          <w:rFonts w:ascii="Times New Roman" w:hAnsi="Times New Roman"/>
          <w:color w:val="auto"/>
          <w:highlight w:val="none"/>
        </w:rPr>
      </w:pPr>
    </w:p>
    <w:p>
      <w:pPr>
        <w:pStyle w:val="12"/>
        <w:adjustRightInd w:val="0"/>
        <w:snapToGrid w:val="0"/>
        <w:spacing w:before="0" w:line="440" w:lineRule="exact"/>
        <w:jc w:val="left"/>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第一部分 部门概况</w:t>
      </w:r>
      <w:r>
        <w:rPr>
          <w:rFonts w:hint="eastAsia" w:ascii="Times New Roman" w:hAnsi="Times New Roman" w:eastAsia="黑体" w:cs="黑体"/>
          <w:color w:val="auto"/>
          <w:sz w:val="32"/>
          <w:szCs w:val="32"/>
          <w:highlight w:val="none"/>
          <w:lang w:val="en-US" w:eastAsia="zh-CN"/>
        </w:rPr>
        <w:tab/>
      </w:r>
      <w:r>
        <w:rPr>
          <w:rFonts w:hint="eastAsia" w:ascii="Times New Roman" w:hAnsi="Times New Roman" w:eastAsia="黑体" w:cs="黑体"/>
          <w:color w:val="auto"/>
          <w:sz w:val="32"/>
          <w:szCs w:val="32"/>
          <w:highlight w:val="none"/>
          <w:lang w:val="en-US" w:eastAsia="zh-CN"/>
        </w:rPr>
        <w:t>4</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default" w:ascii="Times New Roman" w:hAnsi="Times New Roman" w:eastAsia="仿宋_GB2312" w:cs="仿宋_GB2312"/>
          <w:color w:val="auto"/>
          <w:sz w:val="32"/>
          <w:szCs w:val="32"/>
          <w:highlight w:val="none"/>
        </w:rPr>
        <w:t>一、</w:t>
      </w:r>
      <w:r>
        <w:rPr>
          <w:rFonts w:hint="default" w:ascii="Times New Roman" w:hAnsi="Times New Roman" w:eastAsia="仿宋_GB2312" w:cs="仿宋_GB2312"/>
          <w:color w:val="auto"/>
          <w:sz w:val="32"/>
          <w:szCs w:val="32"/>
          <w:highlight w:val="none"/>
          <w:lang w:eastAsia="zh-CN"/>
        </w:rPr>
        <w:t>部门职责</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lang w:val="en-US" w:eastAsia="zh-CN"/>
        </w:rPr>
        <w:t>4</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default" w:ascii="Times New Roman" w:hAnsi="Times New Roman" w:eastAsia="仿宋_GB2312" w:cs="仿宋_GB2312"/>
          <w:color w:val="auto"/>
          <w:sz w:val="32"/>
          <w:szCs w:val="32"/>
          <w:highlight w:val="none"/>
        </w:rPr>
        <w:t>二、机构设置</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lang w:val="en-US" w:eastAsia="zh-CN"/>
        </w:rPr>
        <w:t>4</w:t>
      </w:r>
    </w:p>
    <w:p>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w:t>
      </w:r>
      <w:r>
        <w:rPr>
          <w:rFonts w:hint="default" w:ascii="Times New Roman" w:hAnsi="Times New Roman" w:eastAsia="黑体" w:cs="黑体"/>
          <w:color w:val="auto"/>
          <w:sz w:val="32"/>
          <w:szCs w:val="32"/>
          <w:highlight w:val="none"/>
          <w:lang w:val="en-US" w:eastAsia="zh-CN"/>
        </w:rPr>
        <w:t>5</w:t>
      </w:r>
      <w:r>
        <w:rPr>
          <w:rFonts w:hint="eastAsia" w:ascii="Times New Roman" w:hAnsi="Times New Roman" w:eastAsia="黑体" w:cs="黑体"/>
          <w:color w:val="auto"/>
          <w:sz w:val="32"/>
          <w:szCs w:val="32"/>
          <w:highlight w:val="none"/>
          <w:lang w:val="en-US" w:eastAsia="zh-CN"/>
        </w:rPr>
        <w:t>年度</w:t>
      </w:r>
      <w:r>
        <w:rPr>
          <w:rFonts w:hint="eastAsia" w:ascii="Times New Roman" w:hAnsi="Times New Roman" w:eastAsia="黑体" w:cs="黑体"/>
          <w:color w:val="auto"/>
          <w:sz w:val="32"/>
          <w:szCs w:val="32"/>
          <w:highlight w:val="none"/>
        </w:rPr>
        <w:t>部门决算情况说明</w:t>
      </w:r>
      <w:r>
        <w:rPr>
          <w:color w:val="000000"/>
        </w:rPr>
        <w:tab/>
      </w:r>
      <w:r>
        <w:rPr>
          <w:rFonts w:hint="eastAsia" w:ascii="Times New Roman" w:hAnsi="Times New Roman" w:eastAsia="黑体" w:cs="黑体"/>
          <w:color w:val="auto"/>
          <w:sz w:val="32"/>
          <w:szCs w:val="32"/>
          <w:highlight w:val="none"/>
          <w:lang w:val="en-US" w:eastAsia="zh-CN"/>
        </w:rPr>
        <w:t>6</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default" w:ascii="Times New Roman" w:hAnsi="Times New Roman" w:eastAsia="仿宋_GB2312" w:cs="仿宋_GB2312"/>
          <w:color w:val="auto"/>
          <w:sz w:val="32"/>
          <w:szCs w:val="32"/>
          <w:highlight w:val="none"/>
          <w:lang w:eastAsia="zh-CN"/>
        </w:rPr>
        <w:t>一、收入支出决算总体情况说明</w:t>
      </w:r>
      <w:r>
        <w:rPr>
          <w:rFonts w:hint="default" w:ascii="Times New Roman" w:hAnsi="Times New Roman" w:eastAsia="仿宋_GB2312" w:cs="仿宋_GB2312"/>
          <w:color w:val="auto"/>
          <w:sz w:val="32"/>
          <w:szCs w:val="32"/>
          <w:highlight w:val="none"/>
          <w:lang w:eastAsia="zh-CN"/>
        </w:rPr>
        <w:tab/>
      </w:r>
      <w:r>
        <w:rPr>
          <w:rFonts w:hint="eastAsia" w:eastAsia="仿宋_GB2312" w:cs="仿宋_GB2312"/>
          <w:color w:val="auto"/>
          <w:sz w:val="32"/>
          <w:szCs w:val="32"/>
          <w:highlight w:val="none"/>
          <w:lang w:val="en-US" w:eastAsia="zh-CN"/>
        </w:rPr>
        <w:t>6</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default" w:ascii="Times New Roman" w:hAnsi="Times New Roman" w:eastAsia="仿宋_GB2312" w:cs="仿宋_GB2312"/>
          <w:color w:val="auto"/>
          <w:sz w:val="32"/>
          <w:szCs w:val="32"/>
          <w:highlight w:val="none"/>
          <w:lang w:eastAsia="zh-CN"/>
        </w:rPr>
        <w:t>二、收入决算情况说明</w:t>
      </w:r>
      <w:r>
        <w:rPr>
          <w:rFonts w:hint="default" w:ascii="Times New Roman" w:hAnsi="Times New Roman" w:eastAsia="仿宋_GB2312" w:cs="仿宋_GB2312"/>
          <w:color w:val="auto"/>
          <w:sz w:val="32"/>
          <w:szCs w:val="32"/>
          <w:highlight w:val="none"/>
          <w:lang w:eastAsia="zh-CN"/>
        </w:rPr>
        <w:tab/>
      </w:r>
      <w:r>
        <w:rPr>
          <w:rFonts w:hint="eastAsia" w:eastAsia="仿宋_GB2312" w:cs="仿宋_GB2312"/>
          <w:color w:val="auto"/>
          <w:sz w:val="32"/>
          <w:szCs w:val="32"/>
          <w:highlight w:val="none"/>
          <w:lang w:val="en-US" w:eastAsia="zh-CN"/>
        </w:rPr>
        <w:t>7</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default" w:ascii="Times New Roman" w:hAnsi="Times New Roman" w:eastAsia="仿宋_GB2312" w:cs="仿宋_GB2312"/>
          <w:color w:val="auto"/>
          <w:sz w:val="32"/>
          <w:szCs w:val="32"/>
          <w:highlight w:val="none"/>
          <w:lang w:eastAsia="zh-CN"/>
        </w:rPr>
        <w:t>三、支出决算情况说明</w:t>
      </w:r>
      <w:r>
        <w:rPr>
          <w:rFonts w:hint="default" w:ascii="Times New Roman" w:hAnsi="Times New Roman" w:eastAsia="仿宋_GB2312" w:cs="仿宋_GB2312"/>
          <w:color w:val="auto"/>
          <w:sz w:val="32"/>
          <w:szCs w:val="32"/>
          <w:highlight w:val="none"/>
          <w:lang w:eastAsia="zh-CN"/>
        </w:rPr>
        <w:tab/>
      </w:r>
      <w:r>
        <w:rPr>
          <w:rFonts w:hint="eastAsia" w:eastAsia="仿宋_GB2312" w:cs="仿宋_GB2312"/>
          <w:color w:val="auto"/>
          <w:sz w:val="32"/>
          <w:szCs w:val="32"/>
          <w:highlight w:val="none"/>
          <w:lang w:val="en-US" w:eastAsia="zh-CN"/>
        </w:rPr>
        <w:t>7</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default" w:ascii="Times New Roman" w:hAnsi="Times New Roman" w:eastAsia="仿宋_GB2312" w:cs="仿宋_GB2312"/>
          <w:color w:val="auto"/>
          <w:sz w:val="32"/>
          <w:szCs w:val="32"/>
          <w:highlight w:val="none"/>
          <w:lang w:eastAsia="zh-CN"/>
        </w:rPr>
        <w:t>四、财政拨款收入支出决算总体情况说明</w:t>
      </w:r>
      <w:r>
        <w:rPr>
          <w:rFonts w:hint="default" w:ascii="Times New Roman" w:hAnsi="Times New Roman" w:eastAsia="仿宋_GB2312" w:cs="仿宋_GB2312"/>
          <w:color w:val="auto"/>
          <w:sz w:val="32"/>
          <w:szCs w:val="32"/>
          <w:highlight w:val="none"/>
          <w:lang w:eastAsia="zh-CN"/>
        </w:rPr>
        <w:tab/>
      </w:r>
      <w:r>
        <w:rPr>
          <w:rFonts w:hint="eastAsia" w:eastAsia="仿宋_GB2312" w:cs="仿宋_GB2312"/>
          <w:color w:val="auto"/>
          <w:sz w:val="32"/>
          <w:szCs w:val="32"/>
          <w:highlight w:val="none"/>
          <w:lang w:val="en-US" w:eastAsia="zh-CN"/>
        </w:rPr>
        <w:t>8</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default" w:ascii="Times New Roman" w:hAnsi="Times New Roman" w:eastAsia="仿宋_GB2312" w:cs="仿宋_GB2312"/>
          <w:color w:val="auto"/>
          <w:sz w:val="32"/>
          <w:szCs w:val="32"/>
          <w:highlight w:val="none"/>
          <w:lang w:eastAsia="zh-CN"/>
        </w:rPr>
        <w:t>五、一般公共预算财政拨款支出决算情况说明</w:t>
      </w:r>
      <w:r>
        <w:rPr>
          <w:rFonts w:hint="default" w:ascii="Times New Roman" w:hAnsi="Times New Roman" w:eastAsia="仿宋_GB2312" w:cs="仿宋_GB2312"/>
          <w:color w:val="auto"/>
          <w:sz w:val="32"/>
          <w:szCs w:val="32"/>
          <w:highlight w:val="none"/>
          <w:lang w:eastAsia="zh-CN"/>
        </w:rPr>
        <w:tab/>
      </w:r>
      <w:r>
        <w:rPr>
          <w:rFonts w:hint="eastAsia" w:eastAsia="仿宋_GB2312" w:cs="仿宋_GB2312"/>
          <w:color w:val="auto"/>
          <w:sz w:val="32"/>
          <w:szCs w:val="32"/>
          <w:highlight w:val="none"/>
          <w:lang w:val="en-US" w:eastAsia="zh-CN"/>
        </w:rPr>
        <w:t>9</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default" w:ascii="Times New Roman" w:hAnsi="Times New Roman" w:eastAsia="仿宋_GB2312" w:cs="仿宋_GB2312"/>
          <w:color w:val="auto"/>
          <w:sz w:val="32"/>
          <w:szCs w:val="32"/>
          <w:highlight w:val="none"/>
          <w:lang w:eastAsia="zh-CN"/>
        </w:rPr>
        <w:t>六、一般公共预算财政拨款基本支出决算情况说明</w:t>
      </w:r>
      <w:r>
        <w:rPr>
          <w:rFonts w:hint="default" w:ascii="Times New Roman" w:hAnsi="Times New Roman" w:eastAsia="仿宋_GB2312" w:cs="仿宋_GB2312"/>
          <w:color w:val="auto"/>
          <w:sz w:val="32"/>
          <w:szCs w:val="32"/>
          <w:highlight w:val="none"/>
          <w:lang w:eastAsia="zh-CN"/>
        </w:rPr>
        <w:tab/>
      </w:r>
      <w:r>
        <w:rPr>
          <w:rFonts w:hint="eastAsia" w:eastAsia="仿宋_GB2312" w:cs="仿宋_GB2312"/>
          <w:color w:val="auto"/>
          <w:sz w:val="32"/>
          <w:szCs w:val="32"/>
          <w:highlight w:val="none"/>
          <w:lang w:val="en-US" w:eastAsia="zh-CN"/>
        </w:rPr>
        <w:t>11</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default" w:ascii="Times New Roman" w:hAnsi="Times New Roman" w:eastAsia="仿宋_GB2312" w:cs="仿宋_GB2312"/>
          <w:color w:val="auto"/>
          <w:sz w:val="32"/>
          <w:szCs w:val="32"/>
          <w:highlight w:val="none"/>
          <w:lang w:eastAsia="zh-CN"/>
        </w:rPr>
        <w:t>七、财政拨款“三公”经费支出决算情况说明</w:t>
      </w:r>
      <w:r>
        <w:rPr>
          <w:rFonts w:hint="default" w:ascii="Times New Roman" w:hAnsi="Times New Roman" w:eastAsia="仿宋_GB2312" w:cs="仿宋_GB2312"/>
          <w:color w:val="auto"/>
          <w:sz w:val="32"/>
          <w:szCs w:val="32"/>
          <w:highlight w:val="none"/>
          <w:lang w:eastAsia="zh-CN"/>
        </w:rPr>
        <w:tab/>
      </w:r>
      <w:r>
        <w:rPr>
          <w:rFonts w:hint="eastAsia" w:eastAsia="仿宋_GB2312" w:cs="仿宋_GB2312"/>
          <w:color w:val="auto"/>
          <w:sz w:val="32"/>
          <w:szCs w:val="32"/>
          <w:highlight w:val="none"/>
          <w:lang w:val="en-US" w:eastAsia="zh-CN"/>
        </w:rPr>
        <w:t>11</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default" w:ascii="Times New Roman" w:hAnsi="Times New Roman" w:eastAsia="仿宋_GB2312" w:cs="仿宋_GB2312"/>
          <w:color w:val="auto"/>
          <w:sz w:val="32"/>
          <w:szCs w:val="32"/>
          <w:highlight w:val="none"/>
          <w:lang w:eastAsia="zh-CN"/>
        </w:rPr>
        <w:t>八、政府性基金预算支出决算情况说明</w:t>
      </w:r>
      <w:r>
        <w:rPr>
          <w:rFonts w:hint="default" w:ascii="Times New Roman" w:hAnsi="Times New Roman" w:eastAsia="仿宋_GB2312" w:cs="仿宋_GB2312"/>
          <w:color w:val="auto"/>
          <w:sz w:val="32"/>
          <w:szCs w:val="32"/>
          <w:highlight w:val="none"/>
          <w:lang w:eastAsia="zh-CN"/>
        </w:rPr>
        <w:tab/>
      </w:r>
      <w:r>
        <w:rPr>
          <w:rFonts w:hint="eastAsia" w:eastAsia="仿宋_GB2312" w:cs="仿宋_GB2312"/>
          <w:color w:val="auto"/>
          <w:sz w:val="32"/>
          <w:szCs w:val="32"/>
          <w:highlight w:val="none"/>
          <w:lang w:val="en-US" w:eastAsia="zh-CN"/>
        </w:rPr>
        <w:t>13</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default" w:ascii="Times New Roman" w:hAnsi="Times New Roman" w:eastAsia="仿宋_GB2312" w:cs="仿宋_GB2312"/>
          <w:color w:val="auto"/>
          <w:sz w:val="32"/>
          <w:szCs w:val="32"/>
          <w:highlight w:val="none"/>
          <w:lang w:eastAsia="zh-CN"/>
        </w:rPr>
        <w:t>九、国有资本经营预算支出决算情况说明</w:t>
      </w:r>
      <w:r>
        <w:rPr>
          <w:rFonts w:hint="default" w:ascii="Times New Roman" w:hAnsi="Times New Roman" w:eastAsia="仿宋_GB2312" w:cs="仿宋_GB2312"/>
          <w:color w:val="auto"/>
          <w:sz w:val="32"/>
          <w:szCs w:val="32"/>
          <w:highlight w:val="none"/>
          <w:lang w:eastAsia="zh-CN"/>
        </w:rPr>
        <w:tab/>
      </w:r>
      <w:r>
        <w:rPr>
          <w:rFonts w:hint="eastAsia" w:eastAsia="仿宋_GB2312" w:cs="仿宋_GB2312"/>
          <w:color w:val="auto"/>
          <w:sz w:val="32"/>
          <w:szCs w:val="32"/>
          <w:highlight w:val="none"/>
          <w:lang w:val="en-US" w:eastAsia="zh-CN"/>
        </w:rPr>
        <w:t>13</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default" w:ascii="Times New Roman" w:hAnsi="Times New Roman" w:eastAsia="仿宋_GB2312" w:cs="仿宋_GB2312"/>
          <w:color w:val="auto"/>
          <w:sz w:val="32"/>
          <w:szCs w:val="32"/>
          <w:highlight w:val="none"/>
          <w:lang w:eastAsia="zh-CN"/>
        </w:rPr>
        <w:t>十、其他重要事项的情况说明</w:t>
      </w:r>
      <w:r>
        <w:rPr>
          <w:rFonts w:hint="default" w:ascii="Times New Roman" w:hAnsi="Times New Roman" w:eastAsia="仿宋_GB2312" w:cs="仿宋_GB2312"/>
          <w:color w:val="auto"/>
          <w:sz w:val="32"/>
          <w:szCs w:val="32"/>
          <w:highlight w:val="none"/>
          <w:lang w:eastAsia="zh-CN"/>
        </w:rPr>
        <w:tab/>
      </w:r>
      <w:r>
        <w:rPr>
          <w:rFonts w:hint="eastAsia" w:eastAsia="仿宋_GB2312" w:cs="仿宋_GB2312"/>
          <w:color w:val="auto"/>
          <w:sz w:val="32"/>
          <w:szCs w:val="32"/>
          <w:highlight w:val="none"/>
          <w:lang w:val="en-US" w:eastAsia="zh-CN"/>
        </w:rPr>
        <w:t>13</w:t>
      </w:r>
    </w:p>
    <w:p>
      <w:pPr>
        <w:pStyle w:val="12"/>
        <w:adjustRightInd w:val="0"/>
        <w:snapToGrid w:val="0"/>
        <w:spacing w:before="0" w:line="440" w:lineRule="exact"/>
        <w:jc w:val="left"/>
        <w:rPr>
          <w:rFonts w:hint="default" w:ascii="Times New Roman" w:hAnsi="Times New Roman" w:eastAsia="方正仿宋_GBK" w:cs="Times New Roman"/>
          <w:color w:val="auto"/>
          <w:sz w:val="32"/>
          <w:szCs w:val="32"/>
          <w:highlight w:val="none"/>
          <w:lang w:val="en-US" w:eastAsia="zh-CN"/>
        </w:rPr>
      </w:pPr>
      <w:r>
        <w:rPr>
          <w:rFonts w:hint="eastAsia" w:ascii="Times New Roman" w:hAnsi="Times New Roman" w:eastAsia="黑体" w:cs="黑体"/>
          <w:color w:val="auto"/>
          <w:sz w:val="32"/>
          <w:szCs w:val="32"/>
          <w:highlight w:val="none"/>
        </w:rPr>
        <w:t>第三部分 名词解释</w:t>
      </w:r>
      <w:r>
        <w:rPr>
          <w:rFonts w:hint="default" w:ascii="Times New Roman" w:hAnsi="Times New Roman" w:eastAsia="方正仿宋_GBK" w:cs="Times New Roman"/>
          <w:color w:val="auto"/>
          <w:sz w:val="32"/>
          <w:szCs w:val="32"/>
          <w:highlight w:val="none"/>
        </w:rPr>
        <w:tab/>
      </w:r>
      <w:r>
        <w:rPr>
          <w:rFonts w:hint="eastAsia" w:ascii="Times New Roman" w:hAnsi="Times New Roman" w:eastAsia="方正仿宋_GBK" w:cs="Times New Roman"/>
          <w:color w:val="auto"/>
          <w:sz w:val="32"/>
          <w:szCs w:val="32"/>
          <w:highlight w:val="none"/>
          <w:lang w:val="en-US" w:eastAsia="zh-CN"/>
        </w:rPr>
        <w:t>16</w:t>
      </w:r>
    </w:p>
    <w:p>
      <w:pPr>
        <w:pStyle w:val="12"/>
        <w:adjustRightInd w:val="0"/>
        <w:snapToGrid w:val="0"/>
        <w:spacing w:before="0" w:line="440" w:lineRule="exact"/>
        <w:jc w:val="left"/>
        <w:rPr>
          <w:rFonts w:hint="default" w:ascii="Times New Roman" w:hAnsi="Times New Roman" w:eastAsia="方正仿宋_GBK" w:cs="Times New Roman"/>
          <w:color w:val="auto"/>
          <w:sz w:val="32"/>
          <w:szCs w:val="32"/>
          <w:highlight w:val="none"/>
          <w:lang w:val="en-US" w:eastAsia="zh-CN"/>
        </w:rPr>
      </w:pPr>
      <w:r>
        <w:rPr>
          <w:rFonts w:hint="eastAsia" w:ascii="Times New Roman" w:hAnsi="Times New Roman" w:eastAsia="黑体" w:cs="黑体"/>
          <w:color w:val="auto"/>
          <w:sz w:val="32"/>
          <w:szCs w:val="32"/>
          <w:highlight w:val="none"/>
        </w:rPr>
        <w:t>第四部分 附件</w:t>
      </w:r>
      <w:r>
        <w:rPr>
          <w:rFonts w:hint="default" w:ascii="Times New Roman" w:hAnsi="Times New Roman" w:eastAsia="方正仿宋_GBK" w:cs="Times New Roman"/>
          <w:color w:val="auto"/>
          <w:sz w:val="32"/>
          <w:szCs w:val="32"/>
          <w:highlight w:val="none"/>
        </w:rPr>
        <w:tab/>
      </w:r>
      <w:r>
        <w:rPr>
          <w:rFonts w:hint="eastAsia" w:ascii="Times New Roman" w:hAnsi="Times New Roman" w:eastAsia="方正仿宋_GBK" w:cs="Times New Roman"/>
          <w:color w:val="auto"/>
          <w:sz w:val="32"/>
          <w:szCs w:val="32"/>
          <w:highlight w:val="none"/>
          <w:lang w:val="en-US" w:eastAsia="zh-CN"/>
        </w:rPr>
        <w:t>20</w:t>
      </w:r>
    </w:p>
    <w:p>
      <w:pPr>
        <w:pStyle w:val="12"/>
        <w:adjustRightInd w:val="0"/>
        <w:snapToGrid w:val="0"/>
        <w:spacing w:before="0" w:line="440" w:lineRule="exact"/>
        <w:jc w:val="left"/>
        <w:rPr>
          <w:rFonts w:hint="default" w:ascii="Times New Roman" w:hAnsi="Times New Roman" w:eastAsia="方正仿宋_GBK" w:cs="Times New Roman"/>
          <w:color w:val="auto"/>
          <w:sz w:val="32"/>
          <w:szCs w:val="32"/>
          <w:highlight w:val="none"/>
          <w:lang w:val="en-US" w:eastAsia="zh-CN"/>
        </w:rPr>
      </w:pPr>
      <w:r>
        <w:rPr>
          <w:rFonts w:hint="eastAsia" w:ascii="Times New Roman" w:hAnsi="Times New Roman" w:eastAsia="黑体" w:cs="黑体"/>
          <w:color w:val="auto"/>
          <w:sz w:val="32"/>
          <w:szCs w:val="32"/>
          <w:highlight w:val="none"/>
        </w:rPr>
        <w:t>第五部分 附表</w:t>
      </w:r>
      <w:r>
        <w:rPr>
          <w:rFonts w:hint="default" w:ascii="Times New Roman" w:hAnsi="Times New Roman" w:eastAsia="方正仿宋_GBK" w:cs="Times New Roman"/>
          <w:color w:val="auto"/>
          <w:sz w:val="32"/>
          <w:szCs w:val="32"/>
          <w:highlight w:val="none"/>
        </w:rPr>
        <w:tab/>
      </w:r>
      <w:r>
        <w:rPr>
          <w:rFonts w:hint="eastAsia" w:ascii="Times New Roman" w:hAnsi="Times New Roman" w:eastAsia="方正仿宋_GBK" w:cs="Times New Roman"/>
          <w:color w:val="auto"/>
          <w:sz w:val="32"/>
          <w:szCs w:val="32"/>
          <w:highlight w:val="none"/>
          <w:lang w:val="en-US" w:eastAsia="zh-CN"/>
        </w:rPr>
        <w:t>28</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bookmarkStart w:id="6" w:name="_Toc15396599"/>
      <w:bookmarkStart w:id="7" w:name="_Toc15377196"/>
      <w:r>
        <w:rPr>
          <w:rFonts w:hint="default" w:ascii="Times New Roman" w:hAnsi="Times New Roman" w:eastAsia="仿宋_GB2312" w:cs="仿宋_GB2312"/>
          <w:color w:val="auto"/>
          <w:sz w:val="32"/>
          <w:szCs w:val="32"/>
          <w:highlight w:val="none"/>
          <w:lang w:eastAsia="zh-CN"/>
        </w:rPr>
        <w:t>一、收入支出决算总表</w:t>
      </w:r>
      <w:r>
        <w:rPr>
          <w:rFonts w:hint="default"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val="en-US" w:eastAsia="zh-CN"/>
        </w:rPr>
        <w:t>2</w:t>
      </w:r>
      <w:r>
        <w:rPr>
          <w:rFonts w:hint="eastAsia" w:eastAsia="仿宋_GB2312" w:cs="仿宋_GB2312"/>
          <w:color w:val="auto"/>
          <w:sz w:val="32"/>
          <w:szCs w:val="32"/>
          <w:highlight w:val="none"/>
          <w:lang w:val="en-US" w:eastAsia="zh-CN"/>
        </w:rPr>
        <w:t>8</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default" w:ascii="Times New Roman" w:hAnsi="Times New Roman" w:eastAsia="仿宋_GB2312" w:cs="仿宋_GB2312"/>
          <w:color w:val="auto"/>
          <w:sz w:val="32"/>
          <w:szCs w:val="32"/>
          <w:highlight w:val="none"/>
          <w:lang w:eastAsia="zh-CN"/>
        </w:rPr>
        <w:t>二、收入决算表</w:t>
      </w:r>
      <w:r>
        <w:rPr>
          <w:rFonts w:hint="default"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val="en-US" w:eastAsia="zh-CN"/>
        </w:rPr>
        <w:t>2</w:t>
      </w:r>
      <w:r>
        <w:rPr>
          <w:rFonts w:hint="eastAsia" w:eastAsia="仿宋_GB2312" w:cs="仿宋_GB2312"/>
          <w:color w:val="auto"/>
          <w:sz w:val="32"/>
          <w:szCs w:val="32"/>
          <w:highlight w:val="none"/>
          <w:lang w:val="en-US" w:eastAsia="zh-CN"/>
        </w:rPr>
        <w:t>8</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default" w:ascii="Times New Roman" w:hAnsi="Times New Roman" w:eastAsia="仿宋_GB2312" w:cs="仿宋_GB2312"/>
          <w:color w:val="auto"/>
          <w:sz w:val="32"/>
          <w:szCs w:val="32"/>
          <w:highlight w:val="none"/>
          <w:lang w:eastAsia="zh-CN"/>
        </w:rPr>
        <w:t>三、支出决算表</w:t>
      </w:r>
      <w:r>
        <w:rPr>
          <w:rFonts w:hint="default"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val="en-US" w:eastAsia="zh-CN"/>
        </w:rPr>
        <w:t>2</w:t>
      </w:r>
      <w:r>
        <w:rPr>
          <w:rFonts w:hint="eastAsia" w:eastAsia="仿宋_GB2312" w:cs="仿宋_GB2312"/>
          <w:color w:val="auto"/>
          <w:sz w:val="32"/>
          <w:szCs w:val="32"/>
          <w:highlight w:val="none"/>
          <w:lang w:val="en-US" w:eastAsia="zh-CN"/>
        </w:rPr>
        <w:t>8</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default" w:ascii="Times New Roman" w:hAnsi="Times New Roman" w:eastAsia="仿宋_GB2312" w:cs="仿宋_GB2312"/>
          <w:color w:val="auto"/>
          <w:sz w:val="32"/>
          <w:szCs w:val="32"/>
          <w:highlight w:val="none"/>
          <w:lang w:eastAsia="zh-CN"/>
        </w:rPr>
        <w:t>四、财政拨款收入支出决算总表</w:t>
      </w:r>
      <w:r>
        <w:rPr>
          <w:rFonts w:hint="default"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val="en-US" w:eastAsia="zh-CN"/>
        </w:rPr>
        <w:t>2</w:t>
      </w:r>
      <w:r>
        <w:rPr>
          <w:rFonts w:hint="eastAsia" w:eastAsia="仿宋_GB2312" w:cs="仿宋_GB2312"/>
          <w:color w:val="auto"/>
          <w:sz w:val="32"/>
          <w:szCs w:val="32"/>
          <w:highlight w:val="none"/>
          <w:lang w:val="en-US" w:eastAsia="zh-CN"/>
        </w:rPr>
        <w:t>8</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default" w:ascii="Times New Roman" w:hAnsi="Times New Roman" w:eastAsia="仿宋_GB2312" w:cs="仿宋_GB2312"/>
          <w:color w:val="auto"/>
          <w:sz w:val="32"/>
          <w:szCs w:val="32"/>
          <w:highlight w:val="none"/>
          <w:lang w:eastAsia="zh-CN"/>
        </w:rPr>
        <w:t>五、财政拨款支出决算明细表</w:t>
      </w:r>
      <w:r>
        <w:rPr>
          <w:rFonts w:hint="default"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val="en-US" w:eastAsia="zh-CN"/>
        </w:rPr>
        <w:t>2</w:t>
      </w:r>
      <w:r>
        <w:rPr>
          <w:rFonts w:hint="eastAsia" w:eastAsia="仿宋_GB2312" w:cs="仿宋_GB2312"/>
          <w:color w:val="auto"/>
          <w:sz w:val="32"/>
          <w:szCs w:val="32"/>
          <w:highlight w:val="none"/>
          <w:lang w:val="en-US" w:eastAsia="zh-CN"/>
        </w:rPr>
        <w:t>8</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default" w:ascii="Times New Roman" w:hAnsi="Times New Roman" w:eastAsia="仿宋_GB2312" w:cs="仿宋_GB2312"/>
          <w:color w:val="auto"/>
          <w:sz w:val="32"/>
          <w:szCs w:val="32"/>
          <w:highlight w:val="none"/>
          <w:lang w:eastAsia="zh-CN"/>
        </w:rPr>
        <w:t>六、一般公共预算财政拨款支出决算表</w:t>
      </w:r>
      <w:r>
        <w:rPr>
          <w:rFonts w:hint="default"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val="en-US" w:eastAsia="zh-CN"/>
        </w:rPr>
        <w:t>2</w:t>
      </w:r>
      <w:r>
        <w:rPr>
          <w:rFonts w:hint="eastAsia" w:eastAsia="仿宋_GB2312" w:cs="仿宋_GB2312"/>
          <w:color w:val="auto"/>
          <w:sz w:val="32"/>
          <w:szCs w:val="32"/>
          <w:highlight w:val="none"/>
          <w:lang w:val="en-US" w:eastAsia="zh-CN"/>
        </w:rPr>
        <w:t>8</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default" w:ascii="Times New Roman" w:hAnsi="Times New Roman" w:eastAsia="仿宋_GB2312" w:cs="仿宋_GB2312"/>
          <w:color w:val="auto"/>
          <w:sz w:val="32"/>
          <w:szCs w:val="32"/>
          <w:highlight w:val="none"/>
          <w:lang w:eastAsia="zh-CN"/>
        </w:rPr>
        <w:t>七、一般公共预算财政拨款支出决算明细表</w:t>
      </w:r>
      <w:r>
        <w:rPr>
          <w:rFonts w:hint="default"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val="en-US" w:eastAsia="zh-CN"/>
        </w:rPr>
        <w:t>2</w:t>
      </w:r>
      <w:r>
        <w:rPr>
          <w:rFonts w:hint="eastAsia" w:eastAsia="仿宋_GB2312" w:cs="仿宋_GB2312"/>
          <w:color w:val="auto"/>
          <w:sz w:val="32"/>
          <w:szCs w:val="32"/>
          <w:highlight w:val="none"/>
          <w:lang w:val="en-US" w:eastAsia="zh-CN"/>
        </w:rPr>
        <w:t>8</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default" w:ascii="Times New Roman" w:hAnsi="Times New Roman" w:eastAsia="仿宋_GB2312" w:cs="仿宋_GB2312"/>
          <w:color w:val="auto"/>
          <w:sz w:val="32"/>
          <w:szCs w:val="32"/>
          <w:highlight w:val="none"/>
          <w:lang w:eastAsia="zh-CN"/>
        </w:rPr>
        <w:t>八、一般公共预算财政拨款基本支出决算明细表</w:t>
      </w:r>
      <w:r>
        <w:rPr>
          <w:rFonts w:hint="default"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val="en-US" w:eastAsia="zh-CN"/>
        </w:rPr>
        <w:t>2</w:t>
      </w:r>
      <w:r>
        <w:rPr>
          <w:rFonts w:hint="eastAsia" w:eastAsia="仿宋_GB2312" w:cs="仿宋_GB2312"/>
          <w:color w:val="auto"/>
          <w:sz w:val="32"/>
          <w:szCs w:val="32"/>
          <w:highlight w:val="none"/>
          <w:lang w:val="en-US" w:eastAsia="zh-CN"/>
        </w:rPr>
        <w:t>8</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default" w:ascii="Times New Roman" w:hAnsi="Times New Roman" w:eastAsia="仿宋_GB2312" w:cs="仿宋_GB2312"/>
          <w:color w:val="auto"/>
          <w:sz w:val="32"/>
          <w:szCs w:val="32"/>
          <w:highlight w:val="none"/>
          <w:lang w:eastAsia="zh-CN"/>
        </w:rPr>
        <w:t>九、一般公共预算财政拨款项目支出决算表</w:t>
      </w:r>
      <w:r>
        <w:rPr>
          <w:rFonts w:hint="default"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val="en-US" w:eastAsia="zh-CN"/>
        </w:rPr>
        <w:t>2</w:t>
      </w:r>
      <w:r>
        <w:rPr>
          <w:rFonts w:hint="eastAsia" w:eastAsia="仿宋_GB2312" w:cs="仿宋_GB2312"/>
          <w:color w:val="auto"/>
          <w:sz w:val="32"/>
          <w:szCs w:val="32"/>
          <w:highlight w:val="none"/>
          <w:lang w:val="en-US" w:eastAsia="zh-CN"/>
        </w:rPr>
        <w:t>8</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default" w:ascii="Times New Roman" w:hAnsi="Times New Roman" w:eastAsia="仿宋_GB2312" w:cs="仿宋_GB2312"/>
          <w:color w:val="auto"/>
          <w:sz w:val="32"/>
          <w:szCs w:val="32"/>
          <w:highlight w:val="none"/>
          <w:lang w:eastAsia="zh-CN"/>
        </w:rPr>
        <w:t>十、政府性基金预算财政拨款收入支出决算表</w:t>
      </w:r>
      <w:r>
        <w:rPr>
          <w:rFonts w:hint="default"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val="en-US" w:eastAsia="zh-CN"/>
        </w:rPr>
        <w:t>2</w:t>
      </w:r>
      <w:r>
        <w:rPr>
          <w:rFonts w:hint="eastAsia" w:eastAsia="仿宋_GB2312" w:cs="仿宋_GB2312"/>
          <w:color w:val="auto"/>
          <w:sz w:val="32"/>
          <w:szCs w:val="32"/>
          <w:highlight w:val="none"/>
          <w:lang w:val="en-US" w:eastAsia="zh-CN"/>
        </w:rPr>
        <w:t>8</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default" w:ascii="Times New Roman" w:hAnsi="Times New Roman" w:eastAsia="仿宋_GB2312" w:cs="仿宋_GB2312"/>
          <w:color w:val="auto"/>
          <w:sz w:val="32"/>
          <w:szCs w:val="32"/>
          <w:highlight w:val="none"/>
          <w:lang w:eastAsia="zh-CN"/>
        </w:rPr>
        <w:t>十一、国有资本经营预算财政拨款收入支出决算表</w:t>
      </w:r>
      <w:r>
        <w:rPr>
          <w:rFonts w:hint="default"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val="en-US" w:eastAsia="zh-CN"/>
        </w:rPr>
        <w:t>2</w:t>
      </w:r>
      <w:r>
        <w:rPr>
          <w:rFonts w:hint="eastAsia" w:eastAsia="仿宋_GB2312" w:cs="仿宋_GB2312"/>
          <w:color w:val="auto"/>
          <w:sz w:val="32"/>
          <w:szCs w:val="32"/>
          <w:highlight w:val="none"/>
          <w:lang w:val="en-US" w:eastAsia="zh-CN"/>
        </w:rPr>
        <w:t>8</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default" w:ascii="Times New Roman" w:hAnsi="Times New Roman" w:eastAsia="仿宋_GB2312" w:cs="仿宋_GB2312"/>
          <w:color w:val="auto"/>
          <w:sz w:val="32"/>
          <w:szCs w:val="32"/>
          <w:highlight w:val="none"/>
          <w:lang w:eastAsia="zh-CN"/>
        </w:rPr>
        <w:t>十二、</w:t>
      </w:r>
      <w:r>
        <w:rPr>
          <w:rFonts w:hint="default" w:ascii="Times New Roman" w:hAnsi="Times New Roman" w:eastAsia="仿宋_GB2312" w:cs="仿宋_GB2312"/>
          <w:color w:val="auto"/>
          <w:sz w:val="32"/>
          <w:szCs w:val="32"/>
          <w:highlight w:val="none"/>
          <w:lang w:val="en-US" w:eastAsia="zh-CN"/>
        </w:rPr>
        <w:t>国有资本经营预算财政拨款支出决算表</w:t>
      </w:r>
      <w:r>
        <w:rPr>
          <w:rFonts w:hint="default"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val="en-US" w:eastAsia="zh-CN"/>
        </w:rPr>
        <w:t>2</w:t>
      </w:r>
      <w:r>
        <w:rPr>
          <w:rFonts w:hint="eastAsia" w:eastAsia="仿宋_GB2312" w:cs="仿宋_GB2312"/>
          <w:color w:val="auto"/>
          <w:sz w:val="32"/>
          <w:szCs w:val="32"/>
          <w:highlight w:val="none"/>
          <w:lang w:val="en-US" w:eastAsia="zh-CN"/>
        </w:rPr>
        <w:t>8</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default" w:ascii="Times New Roman" w:hAnsi="Times New Roman" w:eastAsia="仿宋_GB2312" w:cs="仿宋_GB2312"/>
          <w:color w:val="auto"/>
          <w:sz w:val="32"/>
          <w:szCs w:val="32"/>
          <w:highlight w:val="none"/>
          <w:lang w:eastAsia="zh-CN"/>
        </w:rPr>
        <w:t>十三、财政拨款“三公”经费支出决算表</w:t>
      </w:r>
      <w:r>
        <w:rPr>
          <w:rFonts w:hint="default"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val="en-US" w:eastAsia="zh-CN"/>
        </w:rPr>
        <w:t>2</w:t>
      </w:r>
      <w:r>
        <w:rPr>
          <w:rFonts w:hint="eastAsia" w:eastAsia="仿宋_GB2312" w:cs="仿宋_GB2312"/>
          <w:color w:val="auto"/>
          <w:sz w:val="32"/>
          <w:szCs w:val="32"/>
          <w:highlight w:val="none"/>
          <w:lang w:val="en-US" w:eastAsia="zh-CN"/>
        </w:rPr>
        <w:t>8</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br w:type="page"/>
      </w:r>
    </w:p>
    <w:p>
      <w:pPr>
        <w:pStyle w:val="4"/>
        <w:jc w:val="center"/>
        <w:rPr>
          <w:rStyle w:val="28"/>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6"/>
      <w:bookmarkEnd w:id="7"/>
    </w:p>
    <w:p>
      <w:pPr>
        <w:pStyle w:val="5"/>
        <w:rPr>
          <w:rStyle w:val="29"/>
          <w:rFonts w:hint="eastAsia" w:ascii="Times New Roman" w:hAnsi="Times New Roman" w:eastAsia="黑体"/>
          <w:b w:val="0"/>
          <w:bCs w:val="0"/>
          <w:color w:val="auto"/>
          <w:highlight w:val="none"/>
          <w:lang w:eastAsia="zh-CN"/>
        </w:rPr>
      </w:pPr>
      <w:bookmarkStart w:id="8" w:name="_Toc15396600"/>
      <w:bookmarkStart w:id="9" w:name="_Toc15377197"/>
      <w:r>
        <w:rPr>
          <w:rFonts w:hint="eastAsia" w:ascii="Times New Roman" w:hAnsi="Times New Roman" w:eastAsia="黑体"/>
          <w:b w:val="0"/>
          <w:color w:val="auto"/>
          <w:highlight w:val="none"/>
        </w:rPr>
        <w:t>一、</w:t>
      </w:r>
      <w:bookmarkEnd w:id="8"/>
      <w:bookmarkEnd w:id="9"/>
      <w:r>
        <w:rPr>
          <w:rFonts w:hint="eastAsia" w:ascii="Times New Roman" w:hAnsi="Times New Roman" w:eastAsia="黑体"/>
          <w:b w:val="0"/>
          <w:color w:val="auto"/>
          <w:highlight w:val="none"/>
          <w:lang w:eastAsia="zh-CN"/>
        </w:rPr>
        <w:t>部门职责</w:t>
      </w:r>
    </w:p>
    <w:p>
      <w:pPr>
        <w:pStyle w:val="7"/>
        <w:pageBreakBefore w:val="0"/>
        <w:kinsoku/>
        <w:wordWrap/>
        <w:overflowPunct/>
        <w:topLinePunct w:val="0"/>
        <w:bidi w:val="0"/>
        <w:adjustRightInd w:val="0"/>
        <w:snapToGrid w:val="0"/>
        <w:spacing w:before="93" w:line="576" w:lineRule="exact"/>
        <w:textAlignment w:val="auto"/>
        <w:outlineLvl w:val="2"/>
        <w:rPr>
          <w:rFonts w:hint="default" w:ascii="Times New Roman" w:hAnsi="Times New Roman" w:eastAsia="方正仿宋_GBK" w:cs="Times New Roman"/>
          <w:bCs/>
          <w:color w:val="000000"/>
          <w:sz w:val="32"/>
          <w:szCs w:val="32"/>
        </w:rPr>
      </w:pPr>
      <w:bookmarkStart w:id="10" w:name="_Toc79163853"/>
      <w:bookmarkStart w:id="11" w:name="_Toc79163603"/>
      <w:bookmarkStart w:id="12" w:name="_Toc15377198"/>
      <w:bookmarkStart w:id="13" w:name="_Toc15378445"/>
      <w:bookmarkStart w:id="14" w:name="_Toc15396601"/>
      <w:bookmarkStart w:id="15" w:name="_Toc15377200"/>
      <w:r>
        <w:rPr>
          <w:rFonts w:hint="default" w:ascii="Times New Roman" w:hAnsi="Times New Roman" w:eastAsia="方正仿宋_GBK" w:cs="Times New Roman"/>
          <w:bCs/>
          <w:color w:val="000000"/>
          <w:sz w:val="32"/>
          <w:szCs w:val="32"/>
        </w:rPr>
        <w:t>（一）主要职能。</w:t>
      </w:r>
      <w:bookmarkEnd w:id="10"/>
      <w:bookmarkEnd w:id="11"/>
    </w:p>
    <w:bookmarkEnd w:id="12"/>
    <w:bookmarkEnd w:id="13"/>
    <w:p>
      <w:pPr>
        <w:keepNext w:val="0"/>
        <w:keepLines w:val="0"/>
        <w:pageBreakBefore w:val="0"/>
        <w:kinsoku/>
        <w:wordWrap/>
        <w:overflowPunct/>
        <w:topLinePunct w:val="0"/>
        <w:autoSpaceDN/>
        <w:bidi w:val="0"/>
        <w:spacing w:line="576" w:lineRule="exact"/>
        <w:ind w:firstLine="640" w:firstLineChars="200"/>
        <w:textAlignment w:val="auto"/>
        <w:rPr>
          <w:rFonts w:hint="default" w:ascii="Times New Roman" w:hAnsi="Times New Roman" w:eastAsia="方正仿宋_GBK" w:cs="Times New Roman"/>
          <w:color w:val="000000"/>
          <w:sz w:val="32"/>
          <w:szCs w:val="32"/>
        </w:rPr>
      </w:pPr>
      <w:bookmarkStart w:id="16" w:name="_Toc15377199"/>
      <w:bookmarkStart w:id="17" w:name="_Toc15378446"/>
      <w:bookmarkStart w:id="18" w:name="_Toc79163854"/>
      <w:bookmarkStart w:id="19" w:name="_Toc79163604"/>
      <w:r>
        <w:rPr>
          <w:rFonts w:hint="default" w:ascii="Times New Roman" w:hAnsi="Times New Roman" w:eastAsia="方正仿宋_GBK" w:cs="Times New Roman"/>
          <w:color w:val="000000"/>
          <w:sz w:val="32"/>
          <w:szCs w:val="32"/>
        </w:rPr>
        <w:t>小金县人民法院是国家审判机关，依照法律规定独立行使审判权，对小金县人民代表大会及其常务委员会负责并报告工作。主要工作是:依法审理各类案件，全力维护小金的和谐稳定。</w:t>
      </w:r>
    </w:p>
    <w:p>
      <w:pPr>
        <w:pStyle w:val="7"/>
        <w:pageBreakBefore w:val="0"/>
        <w:kinsoku/>
        <w:wordWrap/>
        <w:overflowPunct/>
        <w:topLinePunct w:val="0"/>
        <w:bidi w:val="0"/>
        <w:adjustRightInd w:val="0"/>
        <w:snapToGrid w:val="0"/>
        <w:spacing w:before="93" w:line="576" w:lineRule="exact"/>
        <w:ind w:firstLine="672" w:firstLineChars="210"/>
        <w:textAlignment w:val="auto"/>
        <w:outlineLvl w:val="2"/>
        <w:rPr>
          <w:rFonts w:hint="default" w:ascii="Times New Roman" w:hAnsi="Times New Roman" w:eastAsia="方正仿宋_GBK" w:cs="Times New Roman"/>
          <w:bCs/>
          <w:color w:val="000000"/>
          <w:sz w:val="32"/>
          <w:szCs w:val="32"/>
        </w:rPr>
      </w:pPr>
      <w:r>
        <w:rPr>
          <w:rFonts w:hint="default" w:ascii="Times New Roman" w:hAnsi="Times New Roman" w:eastAsia="方正仿宋_GBK" w:cs="Times New Roman"/>
          <w:bCs/>
          <w:color w:val="000000"/>
          <w:sz w:val="32"/>
          <w:szCs w:val="32"/>
        </w:rPr>
        <w:t>（二）202</w:t>
      </w:r>
      <w:r>
        <w:rPr>
          <w:rFonts w:hint="default" w:ascii="Times New Roman" w:eastAsia="方正仿宋_GBK" w:cs="Times New Roman"/>
          <w:bCs/>
          <w:color w:val="000000"/>
          <w:sz w:val="32"/>
          <w:szCs w:val="32"/>
          <w:lang w:val="en-US" w:eastAsia="zh-CN"/>
        </w:rPr>
        <w:t>5</w:t>
      </w:r>
      <w:r>
        <w:rPr>
          <w:rFonts w:hint="default" w:ascii="Times New Roman" w:hAnsi="Times New Roman" w:eastAsia="方正仿宋_GBK" w:cs="Times New Roman"/>
          <w:bCs/>
          <w:color w:val="000000"/>
          <w:sz w:val="32"/>
          <w:szCs w:val="32"/>
        </w:rPr>
        <w:t>年重点工作完成情况。</w:t>
      </w:r>
      <w:bookmarkEnd w:id="16"/>
      <w:bookmarkEnd w:id="17"/>
      <w:bookmarkEnd w:id="18"/>
      <w:bookmarkEnd w:id="19"/>
    </w:p>
    <w:p>
      <w:pPr>
        <w:pageBreakBefore w:val="0"/>
        <w:kinsoku/>
        <w:wordWrap/>
        <w:overflowPunct/>
        <w:topLinePunct w:val="0"/>
        <w:bidi w:val="0"/>
        <w:spacing w:line="576"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202</w:t>
      </w:r>
      <w:r>
        <w:rPr>
          <w:rFonts w:hint="default" w:eastAsia="方正仿宋_GBK" w:cs="Times New Roman"/>
          <w:color w:val="000000"/>
          <w:sz w:val="32"/>
          <w:szCs w:val="32"/>
          <w:lang w:val="en-US" w:eastAsia="zh-CN"/>
        </w:rPr>
        <w:t>5</w:t>
      </w:r>
      <w:r>
        <w:rPr>
          <w:rFonts w:hint="default" w:ascii="Times New Roman" w:hAnsi="Times New Roman" w:eastAsia="方正仿宋_GBK" w:cs="Times New Roman"/>
          <w:color w:val="000000"/>
          <w:sz w:val="32"/>
          <w:szCs w:val="32"/>
        </w:rPr>
        <w:t>年，小金法院坚持以习近平新时代中国特色社会主义思想为指导，深入学习习近平法治思想，贯彻落实党的十在县委领导、人大监督和政府、政协及社会各界支持下，结合“规范创新管理年”工作主题，以“六个实质化”纵深推进“六个治理”，忠实履行宪法法律赋予的职责，各项工作稳中有进。</w:t>
      </w:r>
    </w:p>
    <w:p>
      <w:pPr>
        <w:pStyle w:val="5"/>
        <w:rPr>
          <w:rStyle w:val="29"/>
          <w:rFonts w:ascii="Times New Roman" w:hAnsi="Times New Roman"/>
          <w:b w:val="0"/>
          <w:bCs w:val="0"/>
          <w:color w:val="auto"/>
          <w:highlight w:val="none"/>
        </w:rPr>
      </w:pPr>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14"/>
      <w:bookmarkEnd w:id="15"/>
    </w:p>
    <w:p>
      <w:pPr>
        <w:keepNext w:val="0"/>
        <w:keepLines w:val="0"/>
        <w:pageBreakBefore w:val="0"/>
        <w:kinsoku/>
        <w:wordWrap/>
        <w:overflowPunct/>
        <w:topLinePunct w:val="0"/>
        <w:autoSpaceDN/>
        <w:bidi w:val="0"/>
        <w:adjustRightInd w:val="0"/>
        <w:snapToGrid w:val="0"/>
        <w:spacing w:line="576" w:lineRule="exact"/>
        <w:ind w:firstLine="640" w:firstLineChars="200"/>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rPr>
        <w:t>小金县人民法院属独立法人机构，</w:t>
      </w:r>
      <w:r>
        <w:rPr>
          <w:rFonts w:hint="default" w:ascii="Times New Roman" w:hAnsi="Times New Roman" w:eastAsia="方正仿宋_GBK" w:cs="Times New Roman"/>
          <w:color w:val="000000"/>
          <w:sz w:val="32"/>
          <w:szCs w:val="32"/>
          <w:lang w:val="en-US" w:eastAsia="zh-CN"/>
        </w:rPr>
        <w:t>一级预算单位，</w:t>
      </w:r>
      <w:r>
        <w:rPr>
          <w:rFonts w:hint="default" w:ascii="Times New Roman" w:hAnsi="Times New Roman" w:eastAsia="方正仿宋_GBK" w:cs="Times New Roman"/>
          <w:color w:val="000000"/>
          <w:sz w:val="32"/>
          <w:szCs w:val="32"/>
          <w:shd w:val="clear" w:color="auto" w:fill="FFFFFF"/>
        </w:rPr>
        <w:t>内设机构9个：综合办公室、政治处（督查室）、立案庭（诉讼服务中心）、刑事审判庭（环境资源审判庭）、民事审判庭（未成年人案件审判庭）、行政审判庭、执行局、审判管理办公室（研究室）、司法警察大队；下设基层人民法庭4个：美兴人民法庭、达维人民法庭、抚边人民法庭、汗牛人民法庭。年末实有</w:t>
      </w:r>
      <w:r>
        <w:rPr>
          <w:rFonts w:hint="default" w:ascii="Times New Roman" w:hAnsi="Times New Roman" w:eastAsia="方正仿宋_GBK" w:cs="Times New Roman"/>
          <w:color w:val="000000"/>
          <w:sz w:val="32"/>
          <w:szCs w:val="32"/>
          <w:shd w:val="clear" w:color="auto" w:fill="FFFFFF"/>
          <w:lang w:eastAsia="zh-CN"/>
        </w:rPr>
        <w:t>在编干警</w:t>
      </w:r>
      <w:r>
        <w:rPr>
          <w:rFonts w:hint="default" w:ascii="Times New Roman" w:hAnsi="Times New Roman" w:eastAsia="方正仿宋_GBK" w:cs="Times New Roman"/>
          <w:color w:val="000000"/>
          <w:sz w:val="32"/>
          <w:szCs w:val="32"/>
          <w:shd w:val="clear" w:color="auto" w:fill="FFFFFF"/>
        </w:rPr>
        <w:t>人数</w:t>
      </w:r>
      <w:r>
        <w:rPr>
          <w:rFonts w:hint="default" w:eastAsia="方正仿宋_GBK" w:cs="Times New Roman"/>
          <w:color w:val="000000"/>
          <w:sz w:val="32"/>
          <w:szCs w:val="32"/>
          <w:shd w:val="clear" w:color="auto" w:fill="FFFFFF"/>
          <w:lang w:val="en-US" w:eastAsia="zh-CN"/>
        </w:rPr>
        <w:t>51</w:t>
      </w:r>
      <w:r>
        <w:rPr>
          <w:rFonts w:hint="default" w:ascii="Times New Roman" w:hAnsi="Times New Roman" w:eastAsia="方正仿宋_GBK" w:cs="Times New Roman"/>
          <w:color w:val="000000"/>
          <w:sz w:val="32"/>
          <w:szCs w:val="32"/>
          <w:shd w:val="clear" w:color="auto" w:fill="FFFFFF"/>
        </w:rPr>
        <w:t>人、非在编</w:t>
      </w:r>
      <w:r>
        <w:rPr>
          <w:rFonts w:hint="default" w:ascii="Times New Roman" w:hAnsi="Times New Roman" w:eastAsia="方正仿宋_GBK" w:cs="Times New Roman"/>
          <w:color w:val="000000"/>
          <w:sz w:val="32"/>
          <w:szCs w:val="32"/>
          <w:shd w:val="clear" w:color="auto" w:fill="FFFFFF"/>
          <w:lang w:eastAsia="zh-CN"/>
        </w:rPr>
        <w:t>干警</w:t>
      </w:r>
      <w:r>
        <w:rPr>
          <w:rFonts w:hint="default" w:ascii="Times New Roman" w:hAnsi="Times New Roman" w:eastAsia="方正仿宋_GBK" w:cs="Times New Roman"/>
          <w:color w:val="000000"/>
          <w:sz w:val="32"/>
          <w:szCs w:val="32"/>
          <w:shd w:val="clear" w:color="auto" w:fill="FFFFFF"/>
        </w:rPr>
        <w:t>人数</w:t>
      </w:r>
      <w:r>
        <w:rPr>
          <w:rFonts w:hint="default" w:eastAsia="方正仿宋_GBK" w:cs="Times New Roman"/>
          <w:color w:val="000000"/>
          <w:sz w:val="32"/>
          <w:szCs w:val="32"/>
          <w:shd w:val="clear" w:color="auto" w:fill="FFFFFF"/>
          <w:lang w:val="en-US" w:eastAsia="zh-CN"/>
        </w:rPr>
        <w:t>30</w:t>
      </w:r>
      <w:r>
        <w:rPr>
          <w:rFonts w:hint="default" w:ascii="Times New Roman" w:hAnsi="Times New Roman" w:eastAsia="方正仿宋_GBK" w:cs="Times New Roman"/>
          <w:color w:val="000000"/>
          <w:sz w:val="32"/>
          <w:szCs w:val="32"/>
          <w:shd w:val="clear" w:color="auto" w:fill="FFFFFF"/>
        </w:rPr>
        <w:t>人。</w:t>
      </w:r>
    </w:p>
    <w:p>
      <w:pPr>
        <w:pStyle w:val="4"/>
        <w:jc w:val="center"/>
        <w:rPr>
          <w:rFonts w:hint="eastAsia" w:ascii="Times New Roman" w:hAnsi="Times New Roman" w:eastAsia="方正小标宋简体" w:cs="方正小标宋简体"/>
          <w:b w:val="0"/>
          <w:color w:val="auto"/>
          <w:highlight w:val="none"/>
        </w:rPr>
      </w:pPr>
      <w:bookmarkStart w:id="20" w:name="_Toc15377204"/>
      <w:bookmarkStart w:id="21"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ascii="Times New Roman" w:hAnsi="Times New Roman" w:eastAsia="方正小标宋简体" w:cs="方正小标宋简体"/>
          <w:b w:val="0"/>
          <w:color w:val="auto"/>
          <w:highlight w:val="none"/>
          <w:lang w:val="en-US" w:eastAsia="zh-CN"/>
        </w:rPr>
        <w:t>202</w:t>
      </w:r>
      <w:r>
        <w:rPr>
          <w:rFonts w:hint="default" w:eastAsia="方正小标宋简体" w:cs="方正小标宋简体"/>
          <w:b w:val="0"/>
          <w:color w:val="auto"/>
          <w:highlight w:val="none"/>
          <w:lang w:val="en-US" w:eastAsia="zh-CN"/>
        </w:rPr>
        <w:t>5</w:t>
      </w:r>
      <w:r>
        <w:rPr>
          <w:rFonts w:hint="eastAsia" w:ascii="Times New Roman" w:hAnsi="Times New Roman" w:eastAsia="方正小标宋简体" w:cs="方正小标宋简体"/>
          <w:b w:val="0"/>
          <w:color w:val="auto"/>
          <w:highlight w:val="none"/>
          <w:lang w:val="en-US" w:eastAsia="zh-CN"/>
        </w:rPr>
        <w:t>年度</w:t>
      </w:r>
      <w:r>
        <w:rPr>
          <w:rFonts w:hint="eastAsia" w:ascii="Times New Roman" w:hAnsi="Times New Roman" w:eastAsia="方正小标宋简体" w:cs="方正小标宋简体"/>
          <w:b w:val="0"/>
          <w:color w:val="auto"/>
          <w:highlight w:val="none"/>
        </w:rPr>
        <w:t>部门决算情况说明</w:t>
      </w:r>
      <w:bookmarkEnd w:id="20"/>
      <w:bookmarkEnd w:id="21"/>
    </w:p>
    <w:p>
      <w:pPr>
        <w:rPr>
          <w:rFonts w:ascii="Times New Roman" w:hAnsi="Times New Roman"/>
          <w:color w:val="auto"/>
          <w:highlight w:val="none"/>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22" w:name="_Toc15377205"/>
      <w:bookmarkStart w:id="23"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22"/>
      <w:bookmarkEnd w:id="23"/>
    </w:p>
    <w:p>
      <w:pPr>
        <w:pageBreakBefore w:val="0"/>
        <w:kinsoku/>
        <w:wordWrap/>
        <w:overflowPunct/>
        <w:topLinePunct w:val="0"/>
        <w:bidi w:val="0"/>
        <w:spacing w:line="576" w:lineRule="exact"/>
        <w:ind w:firstLine="640" w:firstLineChars="200"/>
        <w:textAlignment w:val="auto"/>
        <w:outlineLvl w:val="1"/>
        <w:rPr>
          <w:rFonts w:hint="eastAsia" w:ascii="Times New Roman" w:hAnsi="Times New Roman" w:eastAsia="方正仿宋_GBK" w:cs="Times New Roman"/>
          <w:color w:val="auto"/>
          <w:sz w:val="32"/>
          <w:szCs w:val="32"/>
          <w:highlight w:val="none"/>
          <w:lang w:eastAsia="zh-CN"/>
        </w:rPr>
      </w:pPr>
      <w:r>
        <w:rPr>
          <w:rFonts w:hint="default" w:eastAsia="方正仿宋_GBK" w:cs="Times New Roman"/>
          <w:color w:val="auto"/>
          <w:sz w:val="32"/>
          <w:szCs w:val="32"/>
          <w:highlight w:val="none"/>
          <w:lang w:val="en-US" w:eastAsia="zh-CN"/>
        </w:rPr>
        <w:t>2025</w:t>
      </w:r>
      <w:r>
        <w:rPr>
          <w:rFonts w:hint="eastAsia" w:ascii="Times New Roman" w:hAnsi="Times New Roman" w:eastAsia="方正仿宋_GBK" w:cs="Times New Roman"/>
          <w:color w:val="auto"/>
          <w:sz w:val="32"/>
          <w:szCs w:val="32"/>
          <w:highlight w:val="none"/>
          <w:lang w:eastAsia="zh-CN"/>
        </w:rPr>
        <w:t>年小金县人民法院财政资金收入总额</w:t>
      </w:r>
      <w:r>
        <w:rPr>
          <w:rFonts w:hint="eastAsia" w:eastAsia="方正仿宋_GBK" w:cs="Times New Roman"/>
          <w:color w:val="auto"/>
          <w:sz w:val="32"/>
          <w:szCs w:val="32"/>
          <w:highlight w:val="none"/>
          <w:lang w:val="en-US" w:eastAsia="zh-CN"/>
        </w:rPr>
        <w:t>2361.21</w:t>
      </w:r>
      <w:r>
        <w:rPr>
          <w:rFonts w:hint="eastAsia" w:ascii="Times New Roman" w:hAnsi="Times New Roman" w:eastAsia="方正仿宋_GBK" w:cs="Times New Roman"/>
          <w:color w:val="auto"/>
          <w:sz w:val="32"/>
          <w:szCs w:val="32"/>
          <w:highlight w:val="none"/>
          <w:lang w:eastAsia="zh-CN"/>
        </w:rPr>
        <w:t>万元，年初结转</w:t>
      </w:r>
      <w:r>
        <w:rPr>
          <w:rFonts w:hint="default" w:eastAsia="方正仿宋_GBK" w:cs="Times New Roman"/>
          <w:color w:val="auto"/>
          <w:sz w:val="32"/>
          <w:szCs w:val="32"/>
          <w:highlight w:val="none"/>
          <w:lang w:val="en-US" w:eastAsia="zh-CN"/>
        </w:rPr>
        <w:t>48.63</w:t>
      </w:r>
      <w:r>
        <w:rPr>
          <w:rFonts w:hint="eastAsia" w:ascii="Times New Roman" w:hAnsi="Times New Roman" w:eastAsia="方正仿宋_GBK" w:cs="Times New Roman"/>
          <w:color w:val="auto"/>
          <w:sz w:val="32"/>
          <w:szCs w:val="32"/>
          <w:highlight w:val="none"/>
          <w:lang w:val="en-US" w:eastAsia="zh-CN"/>
        </w:rPr>
        <w:t>万元，</w:t>
      </w:r>
      <w:r>
        <w:rPr>
          <w:rFonts w:hint="eastAsia" w:ascii="Times New Roman" w:hAnsi="Times New Roman" w:eastAsia="方正仿宋_GBK" w:cs="Times New Roman"/>
          <w:color w:val="auto"/>
          <w:sz w:val="32"/>
          <w:szCs w:val="32"/>
          <w:highlight w:val="none"/>
          <w:lang w:eastAsia="zh-CN"/>
        </w:rPr>
        <w:t>支出总计</w:t>
      </w:r>
      <w:r>
        <w:rPr>
          <w:rFonts w:hint="eastAsia" w:eastAsia="方正仿宋_GBK" w:cs="Times New Roman"/>
          <w:color w:val="auto"/>
          <w:sz w:val="32"/>
          <w:szCs w:val="32"/>
          <w:highlight w:val="none"/>
          <w:lang w:val="en-US" w:eastAsia="zh-CN"/>
        </w:rPr>
        <w:t>2358.93</w:t>
      </w:r>
      <w:r>
        <w:rPr>
          <w:rFonts w:hint="eastAsia" w:ascii="Times New Roman" w:hAnsi="Times New Roman" w:eastAsia="方正仿宋_GBK" w:cs="Times New Roman"/>
          <w:color w:val="auto"/>
          <w:sz w:val="32"/>
          <w:szCs w:val="32"/>
          <w:highlight w:val="none"/>
          <w:lang w:eastAsia="zh-CN"/>
        </w:rPr>
        <w:t>万元，年末结转</w:t>
      </w:r>
      <w:r>
        <w:rPr>
          <w:rFonts w:hint="default" w:eastAsia="方正仿宋_GBK" w:cs="Times New Roman"/>
          <w:color w:val="auto"/>
          <w:sz w:val="32"/>
          <w:szCs w:val="32"/>
          <w:highlight w:val="none"/>
          <w:lang w:val="en-US" w:eastAsia="zh-CN"/>
        </w:rPr>
        <w:t>50.92</w:t>
      </w:r>
      <w:r>
        <w:rPr>
          <w:rFonts w:hint="eastAsia" w:ascii="Times New Roman" w:hAnsi="Times New Roman" w:eastAsia="方正仿宋_GBK" w:cs="Times New Roman"/>
          <w:color w:val="auto"/>
          <w:sz w:val="32"/>
          <w:szCs w:val="32"/>
          <w:highlight w:val="none"/>
          <w:lang w:val="en-US" w:eastAsia="zh-CN"/>
        </w:rPr>
        <w:t>万元</w:t>
      </w:r>
      <w:r>
        <w:rPr>
          <w:rFonts w:hint="eastAsia" w:ascii="Times New Roman" w:hAnsi="Times New Roman" w:eastAsia="方正仿宋_GBK" w:cs="Times New Roman"/>
          <w:color w:val="auto"/>
          <w:sz w:val="32"/>
          <w:szCs w:val="32"/>
          <w:highlight w:val="none"/>
          <w:lang w:eastAsia="zh-CN"/>
        </w:rPr>
        <w:t>。与</w:t>
      </w:r>
      <w:r>
        <w:rPr>
          <w:rFonts w:hint="default" w:eastAsia="方正仿宋_GBK" w:cs="Times New Roman"/>
          <w:color w:val="auto"/>
          <w:sz w:val="32"/>
          <w:szCs w:val="32"/>
          <w:highlight w:val="none"/>
          <w:lang w:val="en-US" w:eastAsia="zh-CN"/>
        </w:rPr>
        <w:t>2024</w:t>
      </w:r>
      <w:r>
        <w:rPr>
          <w:rFonts w:hint="eastAsia" w:ascii="Times New Roman" w:hAnsi="Times New Roman" w:eastAsia="方正仿宋_GBK" w:cs="Times New Roman"/>
          <w:color w:val="auto"/>
          <w:sz w:val="32"/>
          <w:szCs w:val="32"/>
          <w:highlight w:val="none"/>
          <w:lang w:eastAsia="zh-CN"/>
        </w:rPr>
        <w:t>年相比，收入总计</w:t>
      </w:r>
      <w:r>
        <w:rPr>
          <w:rFonts w:hint="eastAsia" w:eastAsia="方正仿宋_GBK" w:cs="Times New Roman"/>
          <w:color w:val="auto"/>
          <w:sz w:val="32"/>
          <w:szCs w:val="32"/>
          <w:highlight w:val="none"/>
          <w:lang w:eastAsia="zh-CN"/>
        </w:rPr>
        <w:t>减少</w:t>
      </w:r>
      <w:r>
        <w:rPr>
          <w:rFonts w:hint="eastAsia" w:eastAsia="方正仿宋_GBK" w:cs="Times New Roman"/>
          <w:color w:val="auto"/>
          <w:sz w:val="32"/>
          <w:szCs w:val="32"/>
          <w:highlight w:val="none"/>
          <w:lang w:val="en-US" w:eastAsia="zh-CN"/>
        </w:rPr>
        <w:t>23.51</w:t>
      </w:r>
      <w:r>
        <w:rPr>
          <w:rFonts w:hint="eastAsia" w:ascii="Times New Roman" w:hAnsi="Times New Roman" w:eastAsia="方正仿宋_GBK" w:cs="Times New Roman"/>
          <w:color w:val="auto"/>
          <w:sz w:val="32"/>
          <w:szCs w:val="32"/>
          <w:highlight w:val="none"/>
          <w:lang w:eastAsia="zh-CN"/>
        </w:rPr>
        <w:t>万元、支出总计</w:t>
      </w:r>
      <w:r>
        <w:rPr>
          <w:rFonts w:hint="eastAsia" w:eastAsia="方正仿宋_GBK" w:cs="Times New Roman"/>
          <w:color w:val="auto"/>
          <w:sz w:val="32"/>
          <w:szCs w:val="32"/>
          <w:highlight w:val="none"/>
          <w:lang w:eastAsia="zh-CN"/>
        </w:rPr>
        <w:t>减少</w:t>
      </w:r>
      <w:r>
        <w:rPr>
          <w:rFonts w:hint="eastAsia" w:eastAsia="方正仿宋_GBK" w:cs="Times New Roman"/>
          <w:color w:val="auto"/>
          <w:sz w:val="32"/>
          <w:szCs w:val="32"/>
          <w:highlight w:val="none"/>
          <w:lang w:val="en-US" w:eastAsia="zh-CN"/>
        </w:rPr>
        <w:t>86.6</w:t>
      </w:r>
      <w:r>
        <w:rPr>
          <w:rFonts w:hint="eastAsia" w:ascii="Times New Roman" w:hAnsi="Times New Roman" w:eastAsia="方正仿宋_GBK" w:cs="Times New Roman"/>
          <w:color w:val="auto"/>
          <w:sz w:val="32"/>
          <w:szCs w:val="32"/>
          <w:highlight w:val="none"/>
          <w:lang w:eastAsia="zh-CN"/>
        </w:rPr>
        <w:t>万元，</w:t>
      </w:r>
      <w:r>
        <w:rPr>
          <w:rFonts w:hint="eastAsia" w:eastAsia="方正仿宋_GBK" w:cs="Times New Roman"/>
          <w:color w:val="auto"/>
          <w:sz w:val="32"/>
          <w:szCs w:val="32"/>
          <w:highlight w:val="none"/>
          <w:lang w:eastAsia="zh-CN"/>
        </w:rPr>
        <w:t>减少</w:t>
      </w:r>
      <w:r>
        <w:rPr>
          <w:rFonts w:hint="eastAsia" w:ascii="Times New Roman" w:hAnsi="Times New Roman" w:eastAsia="方正仿宋_GBK" w:cs="Times New Roman"/>
          <w:color w:val="auto"/>
          <w:sz w:val="32"/>
          <w:szCs w:val="32"/>
          <w:highlight w:val="none"/>
          <w:lang w:eastAsia="zh-CN"/>
        </w:rPr>
        <w:t>率分别是</w:t>
      </w:r>
      <w:r>
        <w:rPr>
          <w:rFonts w:hint="eastAsia" w:eastAsia="方正仿宋_GBK" w:cs="Times New Roman"/>
          <w:color w:val="auto"/>
          <w:sz w:val="32"/>
          <w:szCs w:val="32"/>
          <w:highlight w:val="none"/>
          <w:lang w:val="en-US" w:eastAsia="zh-CN"/>
        </w:rPr>
        <w:t>0.99</w:t>
      </w:r>
      <w:r>
        <w:rPr>
          <w:rFonts w:hint="eastAsia" w:ascii="Times New Roman" w:hAnsi="Times New Roman" w:eastAsia="方正仿宋_GBK" w:cs="Times New Roman"/>
          <w:color w:val="auto"/>
          <w:sz w:val="32"/>
          <w:szCs w:val="32"/>
          <w:highlight w:val="none"/>
          <w:lang w:eastAsia="zh-CN"/>
        </w:rPr>
        <w:t>%、</w:t>
      </w:r>
      <w:r>
        <w:rPr>
          <w:rFonts w:hint="eastAsia" w:eastAsia="方正仿宋_GBK" w:cs="Times New Roman"/>
          <w:color w:val="auto"/>
          <w:sz w:val="32"/>
          <w:szCs w:val="32"/>
          <w:highlight w:val="none"/>
          <w:lang w:val="en-US" w:eastAsia="zh-CN"/>
        </w:rPr>
        <w:t>3.54</w:t>
      </w:r>
      <w:r>
        <w:rPr>
          <w:rFonts w:hint="eastAsia" w:ascii="Times New Roman" w:hAnsi="Times New Roman" w:eastAsia="方正仿宋_GBK" w:cs="Times New Roman"/>
          <w:color w:val="auto"/>
          <w:sz w:val="32"/>
          <w:szCs w:val="32"/>
          <w:highlight w:val="none"/>
          <w:lang w:eastAsia="zh-CN"/>
        </w:rPr>
        <w:t>%。主要变动原因是</w:t>
      </w:r>
      <w:r>
        <w:rPr>
          <w:rFonts w:hint="default" w:eastAsia="方正仿宋_GBK" w:cs="Times New Roman"/>
          <w:color w:val="auto"/>
          <w:sz w:val="32"/>
          <w:szCs w:val="32"/>
          <w:highlight w:val="none"/>
          <w:lang w:val="en-US" w:eastAsia="zh-CN"/>
        </w:rPr>
        <w:t>2025</w:t>
      </w:r>
      <w:r>
        <w:rPr>
          <w:rFonts w:hint="eastAsia" w:ascii="Times New Roman" w:hAnsi="Times New Roman" w:eastAsia="方正仿宋_GBK" w:cs="Times New Roman"/>
          <w:color w:val="auto"/>
          <w:sz w:val="32"/>
          <w:szCs w:val="32"/>
          <w:highlight w:val="none"/>
          <w:lang w:eastAsia="zh-CN"/>
        </w:rPr>
        <w:t>年</w:t>
      </w:r>
      <w:r>
        <w:rPr>
          <w:rFonts w:hint="eastAsia" w:eastAsia="方正仿宋_GBK" w:cs="Times New Roman"/>
          <w:color w:val="auto"/>
          <w:sz w:val="32"/>
          <w:szCs w:val="32"/>
          <w:highlight w:val="none"/>
          <w:lang w:eastAsia="zh-CN"/>
        </w:rPr>
        <w:t>减少</w:t>
      </w:r>
      <w:r>
        <w:rPr>
          <w:rFonts w:hint="eastAsia" w:ascii="Times New Roman" w:hAnsi="Times New Roman" w:eastAsia="方正仿宋_GBK" w:cs="Times New Roman"/>
          <w:color w:val="auto"/>
          <w:sz w:val="32"/>
          <w:szCs w:val="32"/>
          <w:highlight w:val="none"/>
          <w:lang w:eastAsia="zh-CN"/>
        </w:rPr>
        <w:t>了年初和年末结转。</w:t>
      </w:r>
    </w:p>
    <w:p>
      <w:pPr>
        <w:pStyle w:val="2"/>
        <w:rPr>
          <w:rFonts w:hint="eastAsia"/>
          <w:lang w:eastAsia="zh-CN"/>
        </w:rPr>
      </w:pPr>
      <w:r>
        <w:drawing>
          <wp:inline distT="0" distB="0" distL="114300" distR="114300">
            <wp:extent cx="4572000" cy="2343150"/>
            <wp:effectExtent l="5080" t="4445" r="13970" b="14605"/>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keepNext w:val="0"/>
        <w:keepLines w:val="0"/>
        <w:pageBreakBefore w:val="0"/>
        <w:widowControl w:val="0"/>
        <w:kinsoku/>
        <w:wordWrap/>
        <w:overflowPunct/>
        <w:topLinePunct w:val="0"/>
        <w:autoSpaceDE/>
        <w:autoSpaceDN/>
        <w:bidi w:val="0"/>
        <w:adjustRightInd/>
        <w:snapToGrid/>
        <w:ind w:firstLine="480" w:firstLineChars="200"/>
        <w:jc w:val="center"/>
        <w:textAlignment w:val="auto"/>
        <w:rPr>
          <w:rFonts w:hint="eastAsia" w:ascii="Times New Roman" w:hAnsi="Times New Roman" w:eastAsia="仿宋_GB2312" w:cs="仿宋_GB2312"/>
          <w:color w:val="auto"/>
          <w:kern w:val="2"/>
          <w:sz w:val="24"/>
          <w:szCs w:val="24"/>
          <w:highlight w:val="none"/>
          <w:lang w:val="en-US" w:eastAsia="zh-CN" w:bidi="ar-SA"/>
        </w:rPr>
      </w:pPr>
      <w:r>
        <w:rPr>
          <w:rFonts w:hint="eastAsia" w:ascii="Times New Roman" w:hAnsi="Times New Roman" w:eastAsia="仿宋_GB2312" w:cs="仿宋_GB2312"/>
          <w:color w:val="auto"/>
          <w:kern w:val="2"/>
          <w:sz w:val="24"/>
          <w:szCs w:val="24"/>
          <w:highlight w:val="none"/>
          <w:lang w:val="en-US" w:eastAsia="zh-CN" w:bidi="ar-SA"/>
        </w:rPr>
        <w:t>（图1：收入、支出决算总计变动情况图）</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4" w:name="_Toc15396604"/>
      <w:bookmarkStart w:id="25" w:name="_Toc15377206"/>
      <w:r>
        <w:rPr>
          <w:rFonts w:hint="eastAsia" w:ascii="Times New Roman" w:hAnsi="Times New Roman" w:eastAsia="黑体"/>
          <w:color w:val="auto"/>
          <w:sz w:val="32"/>
          <w:szCs w:val="32"/>
          <w:highlight w:val="none"/>
          <w:lang w:eastAsia="zh-CN"/>
        </w:rPr>
        <w:t>二、收入决算情况说明</w:t>
      </w:r>
      <w:bookmarkEnd w:id="24"/>
      <w:bookmarkEnd w:id="25"/>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Times New Roman" w:hAnsi="Times New Roman" w:eastAsia="方正仿宋_GBK" w:cs="Times New Roman"/>
          <w:color w:val="auto"/>
          <w:kern w:val="2"/>
          <w:sz w:val="32"/>
          <w:szCs w:val="32"/>
          <w:highlight w:val="none"/>
          <w:lang w:val="en-US" w:eastAsia="zh-CN" w:bidi="ar-SA"/>
        </w:rPr>
      </w:pPr>
      <w:r>
        <w:rPr>
          <w:rFonts w:hint="default" w:eastAsia="方正仿宋_GBK" w:cs="Times New Roman"/>
          <w:color w:val="auto"/>
          <w:kern w:val="2"/>
          <w:sz w:val="32"/>
          <w:szCs w:val="32"/>
          <w:highlight w:val="none"/>
          <w:lang w:val="en-US" w:eastAsia="zh-CN" w:bidi="ar-SA"/>
        </w:rPr>
        <w:t>2025</w:t>
      </w:r>
      <w:r>
        <w:rPr>
          <w:rFonts w:hint="eastAsia" w:ascii="Times New Roman" w:hAnsi="Times New Roman" w:eastAsia="方正仿宋_GBK" w:cs="Times New Roman"/>
          <w:color w:val="auto"/>
          <w:kern w:val="2"/>
          <w:sz w:val="32"/>
          <w:szCs w:val="32"/>
          <w:highlight w:val="none"/>
          <w:lang w:val="en-US" w:eastAsia="zh-CN" w:bidi="ar-SA"/>
        </w:rPr>
        <w:t>年度本年收入合计</w:t>
      </w:r>
      <w:r>
        <w:rPr>
          <w:rFonts w:hint="eastAsia" w:eastAsia="方正仿宋_GBK" w:cs="Times New Roman"/>
          <w:color w:val="auto"/>
          <w:kern w:val="2"/>
          <w:sz w:val="32"/>
          <w:szCs w:val="32"/>
          <w:highlight w:val="none"/>
          <w:lang w:val="en-US" w:eastAsia="zh-CN" w:bidi="ar-SA"/>
        </w:rPr>
        <w:t>2361.21</w:t>
      </w:r>
      <w:r>
        <w:rPr>
          <w:rFonts w:hint="eastAsia" w:ascii="Times New Roman" w:hAnsi="Times New Roman" w:eastAsia="方正仿宋_GBK" w:cs="Times New Roman"/>
          <w:color w:val="auto"/>
          <w:kern w:val="2"/>
          <w:sz w:val="32"/>
          <w:szCs w:val="32"/>
          <w:highlight w:val="none"/>
          <w:lang w:val="en-US" w:eastAsia="zh-CN" w:bidi="ar-SA"/>
        </w:rPr>
        <w:t>万元，其中：一般公共预算财政拨款收入</w:t>
      </w:r>
      <w:r>
        <w:rPr>
          <w:rFonts w:hint="eastAsia" w:eastAsia="方正仿宋_GBK" w:cs="Times New Roman"/>
          <w:color w:val="auto"/>
          <w:kern w:val="2"/>
          <w:sz w:val="32"/>
          <w:szCs w:val="32"/>
          <w:highlight w:val="none"/>
          <w:lang w:val="en-US" w:eastAsia="zh-CN" w:bidi="ar-SA"/>
        </w:rPr>
        <w:t>1893.5</w:t>
      </w:r>
      <w:r>
        <w:rPr>
          <w:rFonts w:hint="eastAsia" w:ascii="Times New Roman" w:hAnsi="Times New Roman" w:eastAsia="方正仿宋_GBK" w:cs="Times New Roman"/>
          <w:color w:val="auto"/>
          <w:kern w:val="2"/>
          <w:sz w:val="32"/>
          <w:szCs w:val="32"/>
          <w:highlight w:val="none"/>
          <w:lang w:val="en-US" w:eastAsia="zh-CN" w:bidi="ar-SA"/>
        </w:rPr>
        <w:t>万元，占</w:t>
      </w:r>
      <w:r>
        <w:rPr>
          <w:rFonts w:hint="eastAsia" w:eastAsia="方正仿宋_GBK" w:cs="Times New Roman"/>
          <w:color w:val="auto"/>
          <w:kern w:val="2"/>
          <w:sz w:val="32"/>
          <w:szCs w:val="32"/>
          <w:highlight w:val="none"/>
          <w:lang w:val="en-US" w:eastAsia="zh-CN" w:bidi="ar-SA"/>
        </w:rPr>
        <w:t>80.19</w:t>
      </w:r>
      <w:r>
        <w:rPr>
          <w:rFonts w:hint="eastAsia" w:ascii="Times New Roman" w:hAnsi="Times New Roman" w:eastAsia="方正仿宋_GBK" w:cs="Times New Roman"/>
          <w:color w:val="auto"/>
          <w:kern w:val="2"/>
          <w:sz w:val="32"/>
          <w:szCs w:val="32"/>
          <w:highlight w:val="none"/>
          <w:lang w:val="en-US" w:eastAsia="zh-CN" w:bidi="ar-SA"/>
        </w:rPr>
        <w:t>%；政府性基金预算财政拨款收入0万元，占0%；国有资本经营预算财政拨款收入0万元，占0%；上级补助收入0万元，占0%；事业收入0万元，占0%；经营收入0万元，占0%；附属单位上缴收入0万元，占0%；其他收入</w:t>
      </w:r>
      <w:r>
        <w:rPr>
          <w:rFonts w:hint="eastAsia" w:eastAsia="方正仿宋_GBK" w:cs="Times New Roman"/>
          <w:color w:val="auto"/>
          <w:kern w:val="2"/>
          <w:sz w:val="32"/>
          <w:szCs w:val="32"/>
          <w:highlight w:val="none"/>
          <w:lang w:val="en-US" w:eastAsia="zh-CN" w:bidi="ar-SA"/>
        </w:rPr>
        <w:t>467.72</w:t>
      </w:r>
      <w:r>
        <w:rPr>
          <w:rFonts w:hint="eastAsia" w:ascii="Times New Roman" w:hAnsi="Times New Roman" w:eastAsia="方正仿宋_GBK" w:cs="Times New Roman"/>
          <w:color w:val="auto"/>
          <w:kern w:val="2"/>
          <w:sz w:val="32"/>
          <w:szCs w:val="32"/>
          <w:highlight w:val="none"/>
          <w:lang w:val="en-US" w:eastAsia="zh-CN" w:bidi="ar-SA"/>
        </w:rPr>
        <w:t>万元，占19.</w:t>
      </w:r>
      <w:r>
        <w:rPr>
          <w:rFonts w:hint="eastAsia" w:eastAsia="方正仿宋_GBK" w:cs="Times New Roman"/>
          <w:color w:val="auto"/>
          <w:kern w:val="2"/>
          <w:sz w:val="32"/>
          <w:szCs w:val="32"/>
          <w:highlight w:val="none"/>
          <w:lang w:val="en-US" w:eastAsia="zh-CN" w:bidi="ar-SA"/>
        </w:rPr>
        <w:t>81</w:t>
      </w:r>
      <w:r>
        <w:rPr>
          <w:rFonts w:hint="eastAsia" w:ascii="Times New Roman" w:hAnsi="Times New Roman" w:eastAsia="方正仿宋_GBK" w:cs="Times New Roman"/>
          <w:color w:val="auto"/>
          <w:kern w:val="2"/>
          <w:sz w:val="32"/>
          <w:szCs w:val="32"/>
          <w:highlight w:val="none"/>
          <w:lang w:val="en-US" w:eastAsia="zh-CN" w:bidi="ar-SA"/>
        </w:rPr>
        <w:t>%。</w:t>
      </w:r>
    </w:p>
    <w:p>
      <w:pPr>
        <w:ind w:firstLine="525" w:firstLineChars="250"/>
        <w:rPr>
          <w:rFonts w:hint="eastAsia" w:ascii="Times New Roman" w:hAnsi="Times New Roman" w:eastAsia="仿宋_GB2312" w:cs="仿宋_GB2312"/>
          <w:color w:val="auto"/>
          <w:sz w:val="32"/>
          <w:szCs w:val="32"/>
          <w:highlight w:val="none"/>
          <w:lang w:eastAsia="zh-CN"/>
        </w:rPr>
      </w:pPr>
      <w:r>
        <w:drawing>
          <wp:anchor distT="0" distB="0" distL="114300" distR="114300" simplePos="0" relativeHeight="251660288" behindDoc="1" locked="0" layoutInCell="1" allowOverlap="1">
            <wp:simplePos x="0" y="0"/>
            <wp:positionH relativeFrom="column">
              <wp:posOffset>575945</wp:posOffset>
            </wp:positionH>
            <wp:positionV relativeFrom="paragraph">
              <wp:posOffset>10160</wp:posOffset>
            </wp:positionV>
            <wp:extent cx="4038600" cy="1876425"/>
            <wp:effectExtent l="4445" t="4445" r="14605" b="43180"/>
            <wp:wrapTight wrapText="bothSides">
              <wp:wrapPolygon>
                <wp:start x="-24" y="-51"/>
                <wp:lineTo x="-24" y="21439"/>
                <wp:lineTo x="21576" y="21439"/>
                <wp:lineTo x="21576" y="-51"/>
                <wp:lineTo x="-24" y="-51"/>
              </wp:wrapPolygon>
            </wp:wrapTight>
            <wp:docPr id="1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2640" w:firstLineChars="1100"/>
        <w:jc w:val="both"/>
        <w:textAlignment w:val="auto"/>
        <w:outlineLvl w:val="1"/>
        <w:rPr>
          <w:rFonts w:hint="eastAsia" w:ascii="Times New Roman" w:hAnsi="Times New Roman" w:eastAsia="仿宋_GB2312" w:cs="仿宋_GB2312"/>
          <w:color w:val="auto"/>
          <w:kern w:val="2"/>
          <w:sz w:val="24"/>
          <w:szCs w:val="24"/>
          <w:highlight w:val="none"/>
          <w:lang w:val="en-US" w:eastAsia="zh-CN" w:bidi="ar-SA"/>
        </w:rPr>
      </w:pPr>
      <w:bookmarkStart w:id="26" w:name="_Toc15396605"/>
      <w:bookmarkStart w:id="27" w:name="_Toc15377207"/>
      <w:r>
        <w:rPr>
          <w:rFonts w:hint="eastAsia" w:ascii="Times New Roman" w:hAnsi="Times New Roman" w:eastAsia="仿宋_GB2312" w:cs="仿宋_GB2312"/>
          <w:color w:val="auto"/>
          <w:kern w:val="2"/>
          <w:sz w:val="24"/>
          <w:szCs w:val="24"/>
          <w:highlight w:val="none"/>
          <w:lang w:val="en-US" w:eastAsia="zh-CN" w:bidi="ar-SA"/>
        </w:rPr>
        <w:t>（图2：收入决算结构图）</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26"/>
      <w:bookmarkEnd w:id="27"/>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Times New Roman" w:hAnsi="Times New Roman" w:eastAsia="方正仿宋_GBK" w:cs="Times New Roman"/>
          <w:color w:val="auto"/>
          <w:kern w:val="2"/>
          <w:sz w:val="32"/>
          <w:szCs w:val="32"/>
          <w:highlight w:val="none"/>
          <w:lang w:val="en-US" w:eastAsia="zh-CN" w:bidi="ar-SA"/>
        </w:rPr>
      </w:pPr>
      <w:r>
        <w:rPr>
          <w:rFonts w:hint="default" w:eastAsia="方正仿宋_GBK" w:cs="Times New Roman"/>
          <w:color w:val="auto"/>
          <w:kern w:val="2"/>
          <w:sz w:val="32"/>
          <w:szCs w:val="32"/>
          <w:highlight w:val="none"/>
          <w:lang w:val="en-US" w:eastAsia="zh-CN" w:bidi="ar-SA"/>
        </w:rPr>
        <w:t>2025</w:t>
      </w:r>
      <w:r>
        <w:rPr>
          <w:rFonts w:hint="eastAsia" w:ascii="Times New Roman" w:hAnsi="Times New Roman" w:eastAsia="方正仿宋_GBK" w:cs="Times New Roman"/>
          <w:color w:val="auto"/>
          <w:kern w:val="2"/>
          <w:sz w:val="32"/>
          <w:szCs w:val="32"/>
          <w:highlight w:val="none"/>
          <w:lang w:val="en-US" w:eastAsia="zh-CN" w:bidi="ar-SA"/>
        </w:rPr>
        <w:t>年度本年支出合计</w:t>
      </w:r>
      <w:r>
        <w:rPr>
          <w:rFonts w:hint="eastAsia" w:eastAsia="方正仿宋_GBK" w:cs="Times New Roman"/>
          <w:color w:val="auto"/>
          <w:kern w:val="2"/>
          <w:sz w:val="32"/>
          <w:szCs w:val="32"/>
          <w:highlight w:val="none"/>
          <w:lang w:val="en-US" w:eastAsia="zh-CN" w:bidi="ar-SA"/>
        </w:rPr>
        <w:t>2358.93</w:t>
      </w:r>
      <w:r>
        <w:rPr>
          <w:rFonts w:hint="eastAsia" w:ascii="Times New Roman" w:hAnsi="Times New Roman" w:eastAsia="方正仿宋_GBK" w:cs="Times New Roman"/>
          <w:color w:val="auto"/>
          <w:kern w:val="2"/>
          <w:sz w:val="32"/>
          <w:szCs w:val="32"/>
          <w:highlight w:val="none"/>
          <w:lang w:val="en-US" w:eastAsia="zh-CN" w:bidi="ar-SA"/>
        </w:rPr>
        <w:t>万元，其中：基本支出</w:t>
      </w:r>
      <w:r>
        <w:rPr>
          <w:rFonts w:hint="eastAsia" w:eastAsia="方正仿宋_GBK" w:cs="Times New Roman"/>
          <w:color w:val="auto"/>
          <w:kern w:val="2"/>
          <w:sz w:val="32"/>
          <w:szCs w:val="32"/>
          <w:highlight w:val="none"/>
          <w:lang w:val="en-US" w:eastAsia="zh-CN" w:bidi="ar-SA"/>
        </w:rPr>
        <w:t>1744.13</w:t>
      </w:r>
      <w:r>
        <w:rPr>
          <w:rFonts w:hint="eastAsia" w:ascii="Times New Roman" w:hAnsi="Times New Roman" w:eastAsia="方正仿宋_GBK" w:cs="Times New Roman"/>
          <w:color w:val="auto"/>
          <w:kern w:val="2"/>
          <w:sz w:val="32"/>
          <w:szCs w:val="32"/>
          <w:highlight w:val="none"/>
          <w:lang w:val="en-US" w:eastAsia="zh-CN" w:bidi="ar-SA"/>
        </w:rPr>
        <w:t>万元，占</w:t>
      </w:r>
      <w:r>
        <w:rPr>
          <w:rFonts w:hint="eastAsia" w:eastAsia="方正仿宋_GBK" w:cs="Times New Roman"/>
          <w:color w:val="auto"/>
          <w:kern w:val="2"/>
          <w:sz w:val="32"/>
          <w:szCs w:val="32"/>
          <w:highlight w:val="none"/>
          <w:lang w:val="en-US" w:eastAsia="zh-CN" w:bidi="ar-SA"/>
        </w:rPr>
        <w:t>73.94</w:t>
      </w:r>
      <w:r>
        <w:rPr>
          <w:rFonts w:hint="eastAsia" w:ascii="Times New Roman" w:hAnsi="Times New Roman" w:eastAsia="方正仿宋_GBK" w:cs="Times New Roman"/>
          <w:color w:val="auto"/>
          <w:kern w:val="2"/>
          <w:sz w:val="32"/>
          <w:szCs w:val="32"/>
          <w:highlight w:val="none"/>
          <w:lang w:val="en-US" w:eastAsia="zh-CN" w:bidi="ar-SA"/>
        </w:rPr>
        <w:t>%；项目支出</w:t>
      </w:r>
      <w:r>
        <w:rPr>
          <w:rFonts w:hint="eastAsia" w:eastAsia="方正仿宋_GBK" w:cs="Times New Roman"/>
          <w:color w:val="auto"/>
          <w:kern w:val="2"/>
          <w:sz w:val="32"/>
          <w:szCs w:val="32"/>
          <w:highlight w:val="none"/>
          <w:lang w:val="en-US" w:eastAsia="zh-CN" w:bidi="ar-SA"/>
        </w:rPr>
        <w:t>614.8</w:t>
      </w:r>
      <w:r>
        <w:rPr>
          <w:rFonts w:hint="eastAsia" w:ascii="Times New Roman" w:hAnsi="Times New Roman" w:eastAsia="方正仿宋_GBK" w:cs="Times New Roman"/>
          <w:color w:val="auto"/>
          <w:kern w:val="2"/>
          <w:sz w:val="32"/>
          <w:szCs w:val="32"/>
          <w:highlight w:val="none"/>
          <w:lang w:val="en-US" w:eastAsia="zh-CN" w:bidi="ar-SA"/>
        </w:rPr>
        <w:t>万元，占</w:t>
      </w:r>
      <w:r>
        <w:rPr>
          <w:rFonts w:hint="eastAsia" w:eastAsia="方正仿宋_GBK" w:cs="Times New Roman"/>
          <w:color w:val="auto"/>
          <w:kern w:val="2"/>
          <w:sz w:val="32"/>
          <w:szCs w:val="32"/>
          <w:highlight w:val="none"/>
          <w:lang w:val="en-US" w:eastAsia="zh-CN" w:bidi="ar-SA"/>
        </w:rPr>
        <w:t>26.06</w:t>
      </w:r>
      <w:r>
        <w:rPr>
          <w:rFonts w:hint="eastAsia" w:ascii="Times New Roman" w:hAnsi="Times New Roman" w:eastAsia="方正仿宋_GBK" w:cs="Times New Roman"/>
          <w:color w:val="auto"/>
          <w:kern w:val="2"/>
          <w:sz w:val="32"/>
          <w:szCs w:val="32"/>
          <w:highlight w:val="none"/>
          <w:lang w:val="en-US" w:eastAsia="zh-CN" w:bidi="ar-SA"/>
        </w:rPr>
        <w:t>%；上缴上级支出0万元，占0%；经营支出0万元，占0%；对附属单位补助支出0万元，占0%。</w:t>
      </w:r>
    </w:p>
    <w:p>
      <w:pPr>
        <w:ind w:firstLine="525" w:firstLineChars="250"/>
        <w:rPr>
          <w:rFonts w:hint="eastAsia" w:ascii="Times New Roman" w:hAnsi="Times New Roman" w:eastAsia="仿宋_GB2312" w:cs="仿宋_GB2312"/>
          <w:color w:val="auto"/>
          <w:sz w:val="32"/>
          <w:szCs w:val="32"/>
          <w:highlight w:val="none"/>
          <w:lang w:eastAsia="zh-CN"/>
        </w:rPr>
      </w:pPr>
      <w:r>
        <w:drawing>
          <wp:anchor distT="0" distB="0" distL="114300" distR="114300" simplePos="0" relativeHeight="251659264" behindDoc="1" locked="0" layoutInCell="1" allowOverlap="1">
            <wp:simplePos x="0" y="0"/>
            <wp:positionH relativeFrom="column">
              <wp:posOffset>480695</wp:posOffset>
            </wp:positionH>
            <wp:positionV relativeFrom="paragraph">
              <wp:posOffset>112395</wp:posOffset>
            </wp:positionV>
            <wp:extent cx="4114800" cy="2114550"/>
            <wp:effectExtent l="4445" t="4445" r="14605" b="71755"/>
            <wp:wrapTight wrapText="bothSides">
              <wp:wrapPolygon>
                <wp:start x="-23" y="-45"/>
                <wp:lineTo x="-23" y="21555"/>
                <wp:lineTo x="21577" y="21555"/>
                <wp:lineTo x="21577" y="-45"/>
                <wp:lineTo x="-23" y="-45"/>
              </wp:wrapPolygon>
            </wp:wrapTight>
            <wp:docPr id="15"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pPr>
        <w:spacing w:line="600" w:lineRule="exact"/>
        <w:ind w:firstLine="2640" w:firstLineChars="1100"/>
        <w:rPr>
          <w:rFonts w:hint="eastAsia" w:ascii="Times New Roman" w:hAnsi="Times New Roman" w:eastAsia="仿宋_GB2312" w:cs="仿宋_GB2312"/>
          <w:color w:val="auto"/>
          <w:kern w:val="2"/>
          <w:sz w:val="24"/>
          <w:szCs w:val="24"/>
          <w:highlight w:val="none"/>
          <w:lang w:val="en-US" w:eastAsia="zh-CN" w:bidi="ar-SA"/>
        </w:rPr>
      </w:pPr>
      <w:r>
        <w:rPr>
          <w:rFonts w:hint="eastAsia" w:ascii="Times New Roman" w:hAnsi="Times New Roman" w:eastAsia="仿宋_GB2312" w:cs="仿宋_GB2312"/>
          <w:color w:val="auto"/>
          <w:kern w:val="2"/>
          <w:sz w:val="24"/>
          <w:szCs w:val="24"/>
          <w:highlight w:val="none"/>
          <w:lang w:val="en-US" w:eastAsia="zh-CN" w:bidi="ar-SA"/>
        </w:rPr>
        <w:t>（图3：支出决算结构图）</w:t>
      </w:r>
    </w:p>
    <w:p>
      <w:pPr>
        <w:spacing w:line="600" w:lineRule="exact"/>
        <w:ind w:firstLine="640" w:firstLineChars="200"/>
        <w:outlineLvl w:val="1"/>
        <w:rPr>
          <w:rFonts w:hint="eastAsia" w:ascii="Times New Roman" w:hAnsi="Times New Roman" w:eastAsia="黑体"/>
          <w:color w:val="auto"/>
          <w:sz w:val="32"/>
          <w:szCs w:val="32"/>
          <w:highlight w:val="none"/>
        </w:rPr>
      </w:pPr>
      <w:bookmarkStart w:id="28" w:name="_Toc15396606"/>
      <w:bookmarkStart w:id="29" w:name="_Toc15377208"/>
    </w:p>
    <w:p>
      <w:pPr>
        <w:spacing w:line="600" w:lineRule="exact"/>
        <w:ind w:firstLine="640" w:firstLineChars="200"/>
        <w:outlineLvl w:val="1"/>
        <w:rPr>
          <w:rStyle w:val="29"/>
          <w:rFonts w:ascii="Times New Roman" w:hAnsi="Times New Roman" w:eastAsia="黑体"/>
          <w:b w:val="0"/>
          <w:color w:val="auto"/>
          <w:highlight w:val="none"/>
        </w:rPr>
      </w:pPr>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28"/>
      <w:bookmarkEnd w:id="29"/>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default"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年度财政拨款收入、支出总计均</w:t>
      </w:r>
      <w:r>
        <w:rPr>
          <w:rFonts w:hint="eastAsia" w:eastAsia="仿宋_GB2312" w:cs="仿宋_GB2312"/>
          <w:color w:val="auto"/>
          <w:kern w:val="2"/>
          <w:sz w:val="32"/>
          <w:szCs w:val="32"/>
          <w:highlight w:val="none"/>
          <w:lang w:val="en-US" w:eastAsia="zh-CN" w:bidi="ar-SA"/>
        </w:rPr>
        <w:t>为1893.5万元。</w:t>
      </w:r>
      <w:r>
        <w:rPr>
          <w:rFonts w:hint="eastAsia" w:ascii="Times New Roman" w:hAnsi="Times New Roman" w:eastAsia="仿宋_GB2312" w:cs="仿宋_GB2312"/>
          <w:color w:val="auto"/>
          <w:kern w:val="2"/>
          <w:sz w:val="32"/>
          <w:szCs w:val="32"/>
          <w:highlight w:val="none"/>
          <w:lang w:val="en-US" w:eastAsia="zh-CN" w:bidi="ar-SA"/>
        </w:rPr>
        <w:t>与</w:t>
      </w:r>
      <w:r>
        <w:rPr>
          <w:rFonts w:hint="default"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年度相比，财政拨款收入总计、支出总计各减少</w:t>
      </w:r>
      <w:r>
        <w:rPr>
          <w:rFonts w:hint="eastAsia" w:eastAsia="仿宋_GB2312" w:cs="仿宋_GB2312"/>
          <w:color w:val="auto"/>
          <w:kern w:val="2"/>
          <w:sz w:val="32"/>
          <w:szCs w:val="32"/>
          <w:highlight w:val="none"/>
          <w:lang w:val="en-US" w:eastAsia="zh-CN" w:bidi="ar-SA"/>
        </w:rPr>
        <w:t>30.11</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1.57</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人员经费减少，项目支出减少。</w:t>
      </w:r>
    </w:p>
    <w:p>
      <w:pPr>
        <w:pStyle w:val="2"/>
        <w:rPr>
          <w:rFonts w:hint="eastAsia" w:ascii="Times New Roman" w:hAnsi="Times New Roman" w:eastAsia="仿宋_GB2312" w:cs="仿宋_GB2312"/>
          <w:color w:val="auto"/>
          <w:kern w:val="2"/>
          <w:sz w:val="32"/>
          <w:szCs w:val="32"/>
          <w:highlight w:val="none"/>
          <w:lang w:val="en-US" w:eastAsia="zh-CN" w:bidi="ar-SA"/>
        </w:rPr>
      </w:pPr>
      <w:r>
        <w:drawing>
          <wp:inline distT="0" distB="0" distL="114300" distR="114300">
            <wp:extent cx="4572000" cy="2743200"/>
            <wp:effectExtent l="4445" t="4445" r="14605" b="14605"/>
            <wp:docPr id="18"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spacing w:line="600" w:lineRule="exact"/>
        <w:ind w:firstLine="2400" w:firstLineChars="1000"/>
        <w:rPr>
          <w:rFonts w:hint="eastAsia" w:ascii="Times New Roman" w:hAnsi="Times New Roman" w:eastAsia="仿宋_GB2312" w:cs="仿宋_GB2312"/>
          <w:color w:val="auto"/>
          <w:kern w:val="2"/>
          <w:sz w:val="24"/>
          <w:szCs w:val="24"/>
          <w:highlight w:val="none"/>
          <w:lang w:val="en-US" w:eastAsia="zh-CN" w:bidi="ar-SA"/>
        </w:rPr>
      </w:pPr>
      <w:r>
        <w:rPr>
          <w:rFonts w:hint="eastAsia" w:ascii="Times New Roman" w:hAnsi="Times New Roman" w:eastAsia="仿宋_GB2312" w:cs="仿宋_GB2312"/>
          <w:color w:val="auto"/>
          <w:kern w:val="2"/>
          <w:sz w:val="24"/>
          <w:szCs w:val="24"/>
          <w:highlight w:val="none"/>
          <w:lang w:val="en-US" w:eastAsia="zh-CN" w:bidi="ar-SA"/>
        </w:rPr>
        <w:t>（图4：财政拨款收、支决算总计变动情况）</w:t>
      </w:r>
    </w:p>
    <w:p>
      <w:pPr>
        <w:spacing w:line="600" w:lineRule="exact"/>
        <w:ind w:firstLine="640" w:firstLineChars="200"/>
        <w:outlineLvl w:val="1"/>
        <w:rPr>
          <w:rFonts w:hint="eastAsia" w:ascii="Times New Roman" w:hAnsi="Times New Roman" w:eastAsia="黑体"/>
          <w:color w:val="auto"/>
          <w:sz w:val="32"/>
          <w:szCs w:val="32"/>
          <w:highlight w:val="none"/>
        </w:rPr>
      </w:pPr>
      <w:bookmarkStart w:id="30" w:name="_Toc15377209"/>
      <w:bookmarkStart w:id="31" w:name="_Toc15396607"/>
    </w:p>
    <w:p>
      <w:pPr>
        <w:spacing w:line="600" w:lineRule="exact"/>
        <w:ind w:firstLine="640" w:firstLineChars="200"/>
        <w:outlineLvl w:val="1"/>
        <w:rPr>
          <w:rStyle w:val="29"/>
          <w:rFonts w:ascii="Times New Roman" w:hAnsi="Times New Roman" w:eastAsia="黑体"/>
          <w:b w:val="0"/>
          <w:color w:val="auto"/>
          <w:highlight w:val="none"/>
        </w:rPr>
      </w:pPr>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30"/>
      <w:bookmarkEnd w:id="31"/>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2"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2"/>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default"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w:t>
      </w:r>
      <w:r>
        <w:rPr>
          <w:rFonts w:hint="eastAsia" w:eastAsia="仿宋_GB2312" w:cs="仿宋_GB2312"/>
          <w:color w:val="auto"/>
          <w:kern w:val="2"/>
          <w:sz w:val="32"/>
          <w:szCs w:val="32"/>
          <w:highlight w:val="none"/>
          <w:lang w:val="en-US" w:eastAsia="zh-CN" w:bidi="ar-SA"/>
        </w:rPr>
        <w:t>1893.5</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80.27</w:t>
      </w:r>
      <w:r>
        <w:rPr>
          <w:rFonts w:hint="eastAsia" w:ascii="Times New Roman" w:hAnsi="Times New Roman" w:eastAsia="仿宋_GB2312" w:cs="仿宋_GB2312"/>
          <w:color w:val="auto"/>
          <w:kern w:val="2"/>
          <w:sz w:val="32"/>
          <w:szCs w:val="32"/>
          <w:highlight w:val="none"/>
          <w:lang w:val="en-US" w:eastAsia="zh-CN" w:bidi="ar-SA"/>
        </w:rPr>
        <w:t>%。与</w:t>
      </w:r>
      <w:r>
        <w:rPr>
          <w:rFonts w:hint="default"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年度相比，一般公共预算财政拨款支出减少</w:t>
      </w:r>
      <w:r>
        <w:rPr>
          <w:rFonts w:hint="eastAsia" w:eastAsia="仿宋_GB2312" w:cs="仿宋_GB2312"/>
          <w:color w:val="auto"/>
          <w:kern w:val="2"/>
          <w:sz w:val="32"/>
          <w:szCs w:val="32"/>
          <w:highlight w:val="none"/>
          <w:lang w:val="en-US" w:eastAsia="zh-CN" w:bidi="ar-SA"/>
        </w:rPr>
        <w:t>30.11</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1.57</w:t>
      </w:r>
      <w:r>
        <w:rPr>
          <w:rFonts w:hint="eastAsia" w:ascii="Times New Roman" w:hAnsi="Times New Roman" w:eastAsia="仿宋_GB2312" w:cs="仿宋_GB2312"/>
          <w:color w:val="auto"/>
          <w:kern w:val="2"/>
          <w:sz w:val="32"/>
          <w:szCs w:val="32"/>
          <w:highlight w:val="none"/>
          <w:lang w:val="en-US" w:eastAsia="zh-CN" w:bidi="ar-SA"/>
        </w:rPr>
        <w:t>%。主要变动原因是人员经费减少，项目支出减少。</w:t>
      </w:r>
    </w:p>
    <w:p>
      <w:pPr>
        <w:pStyle w:val="2"/>
        <w:jc w:val="center"/>
        <w:rPr>
          <w:rFonts w:hint="eastAsia" w:ascii="Times New Roman" w:hAnsi="Times New Roman" w:eastAsia="仿宋_GB2312" w:cs="仿宋_GB2312"/>
          <w:color w:val="auto"/>
          <w:kern w:val="2"/>
          <w:sz w:val="24"/>
          <w:szCs w:val="24"/>
          <w:highlight w:val="none"/>
          <w:lang w:val="en-US" w:eastAsia="zh-CN" w:bidi="ar-SA"/>
        </w:rPr>
      </w:pPr>
      <w:r>
        <w:drawing>
          <wp:anchor distT="0" distB="0" distL="114300" distR="114300" simplePos="0" relativeHeight="251661312" behindDoc="1" locked="0" layoutInCell="1" allowOverlap="1">
            <wp:simplePos x="0" y="0"/>
            <wp:positionH relativeFrom="column">
              <wp:posOffset>422275</wp:posOffset>
            </wp:positionH>
            <wp:positionV relativeFrom="paragraph">
              <wp:posOffset>74930</wp:posOffset>
            </wp:positionV>
            <wp:extent cx="4572000" cy="1876425"/>
            <wp:effectExtent l="4445" t="4445" r="14605" b="5080"/>
            <wp:wrapTight wrapText="bothSides">
              <wp:wrapPolygon>
                <wp:start x="-21" y="-51"/>
                <wp:lineTo x="-21" y="21439"/>
                <wp:lineTo x="21579" y="21439"/>
                <wp:lineTo x="21579" y="-51"/>
                <wp:lineTo x="-21" y="-51"/>
              </wp:wrapPolygon>
            </wp:wrapTight>
            <wp:docPr id="8"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ascii="Times New Roman" w:hAnsi="Times New Roman" w:eastAsia="仿宋_GB2312" w:cs="仿宋_GB2312"/>
          <w:color w:val="auto"/>
          <w:kern w:val="2"/>
          <w:sz w:val="24"/>
          <w:szCs w:val="24"/>
          <w:highlight w:val="none"/>
          <w:lang w:val="en-US" w:eastAsia="zh-CN" w:bidi="ar-SA"/>
        </w:rPr>
        <w:t>（图5：一般公共预算财政拨款支出决算变动情况）</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3"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33"/>
    </w:p>
    <w:p>
      <w:pPr>
        <w:spacing w:line="600" w:lineRule="exact"/>
        <w:ind w:firstLine="640"/>
        <w:rPr>
          <w:rFonts w:hint="eastAsia" w:eastAsia="仿宋_GB2312" w:cs="仿宋_GB2312"/>
          <w:color w:val="auto"/>
          <w:kern w:val="2"/>
          <w:sz w:val="32"/>
          <w:szCs w:val="32"/>
          <w:highlight w:val="none"/>
          <w:lang w:val="en-US" w:eastAsia="zh-CN" w:bidi="ar-SA"/>
        </w:rPr>
      </w:pPr>
      <w:r>
        <w:rPr>
          <w:rFonts w:hint="default"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w:t>
      </w:r>
      <w:r>
        <w:rPr>
          <w:rFonts w:hint="eastAsia" w:eastAsia="仿宋_GB2312" w:cs="仿宋_GB2312"/>
          <w:color w:val="auto"/>
          <w:kern w:val="2"/>
          <w:sz w:val="32"/>
          <w:szCs w:val="32"/>
          <w:highlight w:val="none"/>
          <w:lang w:val="en-US" w:eastAsia="zh-CN" w:bidi="ar-SA"/>
        </w:rPr>
        <w:t>1893.5</w:t>
      </w:r>
      <w:r>
        <w:rPr>
          <w:rFonts w:hint="eastAsia" w:ascii="Times New Roman" w:hAnsi="Times New Roman" w:eastAsia="仿宋_GB2312" w:cs="仿宋_GB2312"/>
          <w:color w:val="auto"/>
          <w:kern w:val="2"/>
          <w:sz w:val="32"/>
          <w:szCs w:val="32"/>
          <w:highlight w:val="none"/>
          <w:lang w:val="en-US" w:eastAsia="zh-CN" w:bidi="ar-SA"/>
        </w:rPr>
        <w:t>万元，主要用于以下方面：一般公共服务支出</w:t>
      </w:r>
      <w:r>
        <w:rPr>
          <w:rFonts w:hint="eastAsia" w:eastAsia="仿宋_GB2312" w:cs="仿宋_GB2312"/>
          <w:color w:val="auto"/>
          <w:kern w:val="2"/>
          <w:sz w:val="32"/>
          <w:szCs w:val="32"/>
          <w:highlight w:val="none"/>
          <w:lang w:val="en-US" w:eastAsia="zh-CN" w:bidi="ar-SA"/>
        </w:rPr>
        <w:t>1499.5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79.19</w:t>
      </w:r>
      <w:r>
        <w:rPr>
          <w:rFonts w:hint="eastAsia" w:ascii="Times New Roman" w:hAnsi="Times New Roman" w:eastAsia="仿宋_GB2312" w:cs="仿宋_GB2312"/>
          <w:color w:val="auto"/>
          <w:kern w:val="2"/>
          <w:sz w:val="32"/>
          <w:szCs w:val="32"/>
          <w:highlight w:val="none"/>
          <w:lang w:val="en-US" w:eastAsia="zh-CN" w:bidi="ar-SA"/>
        </w:rPr>
        <w:t>%；教育支出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%；科学技术支出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181.56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9.59</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78.31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4.14</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134.13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7.08</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pStyle w:val="2"/>
        <w:rPr>
          <w:rFonts w:hint="eastAsia" w:eastAsia="仿宋_GB2312" w:cs="仿宋_GB2312"/>
          <w:color w:val="auto"/>
          <w:kern w:val="2"/>
          <w:sz w:val="32"/>
          <w:szCs w:val="32"/>
          <w:highlight w:val="none"/>
          <w:lang w:val="en-US" w:eastAsia="zh-CN" w:bidi="ar-SA"/>
        </w:rPr>
      </w:pPr>
      <w:r>
        <w:drawing>
          <wp:anchor distT="0" distB="0" distL="114300" distR="114300" simplePos="0" relativeHeight="251662336" behindDoc="1" locked="0" layoutInCell="1" allowOverlap="1">
            <wp:simplePos x="0" y="0"/>
            <wp:positionH relativeFrom="column">
              <wp:posOffset>394970</wp:posOffset>
            </wp:positionH>
            <wp:positionV relativeFrom="paragraph">
              <wp:posOffset>105410</wp:posOffset>
            </wp:positionV>
            <wp:extent cx="4572000" cy="2743200"/>
            <wp:effectExtent l="4445" t="4445" r="14605" b="14605"/>
            <wp:wrapTight wrapText="bothSides">
              <wp:wrapPolygon>
                <wp:start x="-21" y="-35"/>
                <wp:lineTo x="-21" y="21565"/>
                <wp:lineTo x="21579" y="21565"/>
                <wp:lineTo x="21579" y="-35"/>
                <wp:lineTo x="-21" y="-35"/>
              </wp:wrapPolygon>
            </wp:wrapTight>
            <wp:docPr id="9"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pPr>
        <w:spacing w:line="600" w:lineRule="exact"/>
        <w:ind w:firstLine="1929" w:firstLineChars="804"/>
        <w:rPr>
          <w:rFonts w:hint="eastAsia" w:ascii="Times New Roman" w:hAnsi="Times New Roman" w:eastAsia="仿宋_GB2312" w:cs="仿宋_GB2312"/>
          <w:color w:val="auto"/>
          <w:kern w:val="2"/>
          <w:sz w:val="24"/>
          <w:szCs w:val="24"/>
          <w:highlight w:val="none"/>
          <w:lang w:val="en-US" w:eastAsia="zh-CN" w:bidi="ar-SA"/>
        </w:rPr>
      </w:pPr>
      <w:r>
        <w:rPr>
          <w:rFonts w:hint="eastAsia" w:ascii="Times New Roman" w:hAnsi="Times New Roman" w:eastAsia="仿宋_GB2312" w:cs="仿宋_GB2312"/>
          <w:color w:val="auto"/>
          <w:kern w:val="2"/>
          <w:sz w:val="24"/>
          <w:szCs w:val="24"/>
          <w:highlight w:val="none"/>
          <w:lang w:val="en-US" w:eastAsia="zh-CN" w:bidi="ar-SA"/>
        </w:rPr>
        <w:t>（图6：一般公共预算财政拨款支出决算结构）</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4"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4"/>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5" w:name="_Toc15377444"/>
      <w:bookmarkStart w:id="36" w:name="_Toc15377213"/>
      <w:bookmarkStart w:id="37" w:name="_Toc15378460"/>
      <w:r>
        <w:rPr>
          <w:rFonts w:hint="default"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年度一般公共预算财政拨款支出决算数为</w:t>
      </w:r>
      <w:r>
        <w:rPr>
          <w:rFonts w:hint="eastAsia" w:ascii="仿宋_GB2312" w:hAnsi="仿宋_GB2312" w:eastAsia="仿宋_GB2312" w:cs="仿宋_GB2312"/>
          <w:sz w:val="32"/>
          <w:szCs w:val="32"/>
          <w:lang w:val="en-US" w:eastAsia="zh-CN"/>
        </w:rPr>
        <w:t>1893.5</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5"/>
      <w:bookmarkEnd w:id="36"/>
      <w:bookmarkEnd w:id="37"/>
    </w:p>
    <w:p>
      <w:pPr>
        <w:pageBreakBefore w:val="0"/>
        <w:kinsoku/>
        <w:wordWrap/>
        <w:overflowPunct/>
        <w:topLinePunct w:val="0"/>
        <w:bidi w:val="0"/>
        <w:spacing w:line="576" w:lineRule="exact"/>
        <w:ind w:firstLine="629" w:firstLineChars="196"/>
        <w:textAlignment w:val="auto"/>
        <w:rPr>
          <w:rFonts w:hint="eastAsia" w:ascii="Times New Roman" w:hAnsi="Times New Roman" w:eastAsia="方正仿宋_GBK" w:cs="Times New Roman"/>
          <w:color w:val="auto"/>
          <w:sz w:val="32"/>
          <w:szCs w:val="32"/>
          <w:highlight w:val="none"/>
          <w:lang w:eastAsia="zh-CN"/>
        </w:rPr>
      </w:pPr>
      <w:r>
        <w:rPr>
          <w:rStyle w:val="17"/>
          <w:rFonts w:hint="eastAsia" w:ascii="Times New Roman" w:hAnsi="Times New Roman" w:eastAsia="方正仿宋_GBK" w:cs="Times New Roman"/>
          <w:color w:val="auto"/>
          <w:sz w:val="32"/>
          <w:szCs w:val="32"/>
          <w:lang w:val="en-US" w:eastAsia="zh-CN"/>
        </w:rPr>
        <w:t>1.公共安全支出204:</w:t>
      </w:r>
      <w:r>
        <w:rPr>
          <w:rStyle w:val="17"/>
          <w:rFonts w:hint="eastAsia" w:ascii="仿宋_GB2312" w:eastAsia="仿宋_GB2312"/>
          <w:b w:val="0"/>
          <w:color w:val="auto"/>
          <w:sz w:val="32"/>
          <w:szCs w:val="32"/>
        </w:rPr>
        <w:t xml:space="preserve"> </w:t>
      </w:r>
      <w:r>
        <w:rPr>
          <w:rFonts w:hint="eastAsia" w:ascii="Times New Roman" w:hAnsi="Times New Roman" w:eastAsia="方正仿宋_GBK" w:cs="Times New Roman"/>
          <w:color w:val="auto"/>
          <w:sz w:val="32"/>
          <w:szCs w:val="32"/>
          <w:highlight w:val="none"/>
          <w:lang w:eastAsia="zh-CN"/>
        </w:rPr>
        <w:t>支出决算为</w:t>
      </w:r>
      <w:r>
        <w:rPr>
          <w:rFonts w:hint="eastAsia" w:eastAsia="方正仿宋_GBK" w:cs="Times New Roman"/>
          <w:color w:val="auto"/>
          <w:sz w:val="32"/>
          <w:szCs w:val="32"/>
          <w:highlight w:val="none"/>
          <w:lang w:val="en-US" w:eastAsia="zh-CN"/>
        </w:rPr>
        <w:t>1499.5</w:t>
      </w:r>
      <w:r>
        <w:rPr>
          <w:rFonts w:hint="eastAsia" w:ascii="Times New Roman" w:hAnsi="Times New Roman" w:eastAsia="方正仿宋_GBK" w:cs="Times New Roman"/>
          <w:color w:val="auto"/>
          <w:sz w:val="32"/>
          <w:szCs w:val="32"/>
          <w:highlight w:val="none"/>
          <w:lang w:eastAsia="zh-CN"/>
        </w:rPr>
        <w:t>万元，完成预算</w:t>
      </w:r>
      <w:r>
        <w:rPr>
          <w:rFonts w:hint="eastAsia" w:ascii="Times New Roman" w:hAnsi="Times New Roman" w:eastAsia="方正仿宋_GBK" w:cs="Times New Roman"/>
          <w:color w:val="auto"/>
          <w:sz w:val="32"/>
          <w:szCs w:val="32"/>
          <w:highlight w:val="none"/>
          <w:lang w:val="en-US" w:eastAsia="zh-CN"/>
        </w:rPr>
        <w:t>100</w:t>
      </w:r>
      <w:r>
        <w:rPr>
          <w:rFonts w:hint="eastAsia" w:ascii="Times New Roman" w:hAnsi="Times New Roman" w:eastAsia="方正仿宋_GBK" w:cs="Times New Roman"/>
          <w:color w:val="auto"/>
          <w:sz w:val="32"/>
          <w:szCs w:val="32"/>
          <w:highlight w:val="none"/>
          <w:lang w:eastAsia="zh-CN"/>
        </w:rPr>
        <w:t>%。</w:t>
      </w:r>
    </w:p>
    <w:p>
      <w:pPr>
        <w:pageBreakBefore w:val="0"/>
        <w:kinsoku/>
        <w:wordWrap/>
        <w:overflowPunct/>
        <w:topLinePunct w:val="0"/>
        <w:bidi w:val="0"/>
        <w:spacing w:line="576" w:lineRule="exact"/>
        <w:ind w:firstLine="642" w:firstLineChars="200"/>
        <w:textAlignment w:val="auto"/>
        <w:rPr>
          <w:rFonts w:hint="eastAsia" w:ascii="Times New Roman" w:hAnsi="Times New Roman" w:eastAsia="方正仿宋_GBK" w:cs="Times New Roman"/>
          <w:color w:val="auto"/>
          <w:sz w:val="32"/>
          <w:szCs w:val="32"/>
          <w:highlight w:val="none"/>
          <w:lang w:eastAsia="zh-CN"/>
        </w:rPr>
      </w:pPr>
      <w:r>
        <w:rPr>
          <w:rStyle w:val="17"/>
          <w:rFonts w:hint="eastAsia" w:ascii="Times New Roman" w:hAnsi="Times New Roman" w:eastAsia="方正仿宋_GBK" w:cs="Times New Roman"/>
          <w:color w:val="auto"/>
          <w:sz w:val="32"/>
          <w:szCs w:val="32"/>
          <w:lang w:val="en-US" w:eastAsia="zh-CN"/>
        </w:rPr>
        <w:t>2.社会保障和就业208:</w:t>
      </w:r>
      <w:r>
        <w:rPr>
          <w:rStyle w:val="17"/>
          <w:rFonts w:hint="eastAsia" w:ascii="仿宋_GB2312" w:eastAsia="仿宋_GB2312"/>
          <w:b w:val="0"/>
          <w:color w:val="auto"/>
          <w:sz w:val="32"/>
          <w:szCs w:val="32"/>
        </w:rPr>
        <w:t xml:space="preserve"> </w:t>
      </w:r>
      <w:r>
        <w:rPr>
          <w:rFonts w:hint="eastAsia" w:ascii="Times New Roman" w:hAnsi="Times New Roman" w:eastAsia="方正仿宋_GBK" w:cs="Times New Roman"/>
          <w:color w:val="auto"/>
          <w:sz w:val="32"/>
          <w:szCs w:val="32"/>
          <w:highlight w:val="none"/>
          <w:lang w:eastAsia="zh-CN"/>
        </w:rPr>
        <w:t>支出决算为</w:t>
      </w:r>
      <w:r>
        <w:rPr>
          <w:rFonts w:hint="eastAsia" w:eastAsia="方正仿宋_GBK" w:cs="Times New Roman"/>
          <w:color w:val="auto"/>
          <w:sz w:val="32"/>
          <w:szCs w:val="32"/>
          <w:highlight w:val="none"/>
          <w:lang w:val="en-US" w:eastAsia="zh-CN"/>
        </w:rPr>
        <w:t>181.56</w:t>
      </w:r>
      <w:r>
        <w:rPr>
          <w:rFonts w:hint="eastAsia" w:ascii="Times New Roman" w:hAnsi="Times New Roman" w:eastAsia="方正仿宋_GBK" w:cs="Times New Roman"/>
          <w:color w:val="auto"/>
          <w:sz w:val="32"/>
          <w:szCs w:val="32"/>
          <w:highlight w:val="none"/>
          <w:lang w:eastAsia="zh-CN"/>
        </w:rPr>
        <w:t>万元，完成预算100%。</w:t>
      </w:r>
    </w:p>
    <w:p>
      <w:pPr>
        <w:pageBreakBefore w:val="0"/>
        <w:kinsoku/>
        <w:wordWrap/>
        <w:overflowPunct/>
        <w:topLinePunct w:val="0"/>
        <w:bidi w:val="0"/>
        <w:spacing w:line="576" w:lineRule="exact"/>
        <w:ind w:firstLine="642" w:firstLineChars="200"/>
        <w:textAlignment w:val="auto"/>
        <w:rPr>
          <w:rFonts w:hint="eastAsia" w:ascii="Times New Roman" w:hAnsi="Times New Roman" w:eastAsia="方正仿宋_GBK" w:cs="Times New Roman"/>
          <w:color w:val="auto"/>
          <w:sz w:val="32"/>
          <w:szCs w:val="32"/>
          <w:highlight w:val="none"/>
          <w:lang w:eastAsia="zh-CN"/>
        </w:rPr>
      </w:pPr>
      <w:r>
        <w:rPr>
          <w:rStyle w:val="17"/>
          <w:rFonts w:hint="eastAsia" w:ascii="Times New Roman" w:hAnsi="Times New Roman" w:eastAsia="方正仿宋_GBK" w:cs="Times New Roman"/>
          <w:color w:val="auto"/>
          <w:sz w:val="32"/>
          <w:szCs w:val="32"/>
          <w:lang w:val="en-US" w:eastAsia="zh-CN"/>
        </w:rPr>
        <w:t>3.卫生健康支出210:</w:t>
      </w:r>
      <w:r>
        <w:rPr>
          <w:rFonts w:hint="eastAsia" w:ascii="Times New Roman" w:hAnsi="Times New Roman" w:eastAsia="方正仿宋_GBK" w:cs="Times New Roman"/>
          <w:color w:val="auto"/>
          <w:sz w:val="32"/>
          <w:szCs w:val="32"/>
          <w:highlight w:val="none"/>
          <w:lang w:eastAsia="zh-CN"/>
        </w:rPr>
        <w:t>支出决算为</w:t>
      </w:r>
      <w:r>
        <w:rPr>
          <w:rFonts w:hint="eastAsia" w:eastAsia="方正仿宋_GBK" w:cs="Times New Roman"/>
          <w:color w:val="auto"/>
          <w:sz w:val="32"/>
          <w:szCs w:val="32"/>
          <w:highlight w:val="none"/>
          <w:lang w:val="en-US" w:eastAsia="zh-CN"/>
        </w:rPr>
        <w:t>78.31</w:t>
      </w:r>
      <w:r>
        <w:rPr>
          <w:rFonts w:hint="eastAsia" w:ascii="Times New Roman" w:hAnsi="Times New Roman" w:eastAsia="方正仿宋_GBK" w:cs="Times New Roman"/>
          <w:color w:val="auto"/>
          <w:sz w:val="32"/>
          <w:szCs w:val="32"/>
          <w:highlight w:val="none"/>
          <w:lang w:eastAsia="zh-CN"/>
        </w:rPr>
        <w:t>万元，完成预算100%。</w:t>
      </w:r>
    </w:p>
    <w:p>
      <w:pPr>
        <w:pageBreakBefore w:val="0"/>
        <w:kinsoku/>
        <w:wordWrap/>
        <w:overflowPunct/>
        <w:topLinePunct w:val="0"/>
        <w:bidi w:val="0"/>
        <w:spacing w:line="576" w:lineRule="exact"/>
        <w:ind w:firstLine="642" w:firstLineChars="200"/>
        <w:textAlignment w:val="auto"/>
        <w:rPr>
          <w:rFonts w:hint="eastAsia" w:ascii="Times New Roman" w:hAnsi="Times New Roman" w:eastAsia="方正仿宋_GBK" w:cs="Times New Roman"/>
          <w:color w:val="auto"/>
          <w:sz w:val="32"/>
          <w:szCs w:val="32"/>
          <w:highlight w:val="none"/>
          <w:lang w:eastAsia="zh-CN"/>
        </w:rPr>
      </w:pPr>
      <w:r>
        <w:rPr>
          <w:rStyle w:val="17"/>
          <w:rFonts w:hint="default" w:ascii="Times New Roman" w:hAnsi="Times New Roman" w:eastAsia="方正仿宋_GBK" w:cs="Times New Roman"/>
          <w:color w:val="auto"/>
          <w:sz w:val="32"/>
          <w:szCs w:val="32"/>
          <w:lang w:val="en-US" w:eastAsia="zh-CN"/>
        </w:rPr>
        <w:t>4</w:t>
      </w:r>
      <w:r>
        <w:rPr>
          <w:rStyle w:val="17"/>
          <w:rFonts w:hint="default" w:ascii="Times New Roman" w:hAnsi="Times New Roman" w:eastAsia="方正仿宋_GBK" w:cs="Times New Roman"/>
          <w:color w:val="auto"/>
          <w:sz w:val="32"/>
          <w:szCs w:val="32"/>
        </w:rPr>
        <w:t>.住房保障支出221:</w:t>
      </w:r>
      <w:r>
        <w:rPr>
          <w:rFonts w:hint="eastAsia" w:ascii="Times New Roman" w:hAnsi="Times New Roman" w:eastAsia="方正仿宋_GBK" w:cs="Times New Roman"/>
          <w:color w:val="auto"/>
          <w:sz w:val="32"/>
          <w:szCs w:val="32"/>
          <w:highlight w:val="none"/>
          <w:lang w:eastAsia="zh-CN"/>
        </w:rPr>
        <w:t>支出决算为</w:t>
      </w:r>
      <w:r>
        <w:rPr>
          <w:rFonts w:hint="eastAsia" w:eastAsia="方正仿宋_GBK" w:cs="Times New Roman"/>
          <w:color w:val="auto"/>
          <w:sz w:val="32"/>
          <w:szCs w:val="32"/>
          <w:highlight w:val="none"/>
          <w:lang w:val="en-US" w:eastAsia="zh-CN"/>
        </w:rPr>
        <w:t>134.13</w:t>
      </w:r>
      <w:r>
        <w:rPr>
          <w:rFonts w:hint="eastAsia" w:ascii="Times New Roman" w:hAnsi="Times New Roman" w:eastAsia="方正仿宋_GBK" w:cs="Times New Roman"/>
          <w:color w:val="auto"/>
          <w:sz w:val="32"/>
          <w:szCs w:val="32"/>
          <w:highlight w:val="none"/>
          <w:lang w:eastAsia="zh-CN"/>
        </w:rPr>
        <w:t>万元，完成预算100%。</w:t>
      </w:r>
    </w:p>
    <w:p>
      <w:pPr>
        <w:tabs>
          <w:tab w:val="right" w:pos="8306"/>
        </w:tabs>
        <w:spacing w:line="600" w:lineRule="exact"/>
        <w:ind w:firstLine="640"/>
        <w:outlineLvl w:val="1"/>
        <w:rPr>
          <w:rFonts w:hint="eastAsia" w:ascii="Times New Roman" w:hAnsi="Times New Roman" w:eastAsia="黑体"/>
          <w:color w:val="auto"/>
          <w:sz w:val="32"/>
          <w:szCs w:val="32"/>
          <w:highlight w:val="none"/>
        </w:rPr>
      </w:pPr>
      <w:bookmarkStart w:id="38" w:name="_Toc15377214"/>
      <w:bookmarkStart w:id="39" w:name="_Toc15396608"/>
    </w:p>
    <w:p>
      <w:pPr>
        <w:tabs>
          <w:tab w:val="right" w:pos="8306"/>
        </w:tabs>
        <w:spacing w:line="600" w:lineRule="exact"/>
        <w:ind w:firstLine="640" w:firstLineChars="200"/>
        <w:outlineLvl w:val="1"/>
        <w:rPr>
          <w:rStyle w:val="29"/>
          <w:rFonts w:ascii="Times New Roman" w:hAnsi="Times New Roman"/>
          <w:color w:val="auto"/>
          <w:highlight w:val="none"/>
        </w:rPr>
      </w:pPr>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38"/>
      <w:bookmarkEnd w:id="39"/>
      <w:r>
        <w:rPr>
          <w:rStyle w:val="29"/>
          <w:rFonts w:ascii="Times New Roman" w:hAnsi="Times New Roman" w:eastAsia="黑体"/>
          <w:b w:val="0"/>
          <w:color w:val="auto"/>
          <w:highlight w:val="none"/>
        </w:rPr>
        <w:tab/>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default"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年度一般公共预算财政拨款基本支出</w:t>
      </w:r>
      <w:r>
        <w:rPr>
          <w:rFonts w:hint="eastAsia" w:ascii="仿宋_GB2312" w:hAnsi="仿宋_GB2312" w:eastAsia="仿宋_GB2312" w:cs="仿宋_GB2312"/>
          <w:sz w:val="32"/>
          <w:szCs w:val="32"/>
          <w:lang w:val="en-US" w:eastAsia="zh-CN"/>
        </w:rPr>
        <w:t>1333.47</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元，其中：</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eastAsia="仿宋_GB2312" w:cs="仿宋_GB2312"/>
          <w:color w:val="auto"/>
          <w:kern w:val="2"/>
          <w:sz w:val="32"/>
          <w:szCs w:val="32"/>
          <w:highlight w:val="none"/>
          <w:lang w:val="en-US" w:eastAsia="zh-CN" w:bidi="ar-SA"/>
        </w:rPr>
        <w:t>1211.43</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eastAsia="仿宋_GB2312" w:cs="仿宋_GB2312"/>
          <w:color w:val="auto"/>
          <w:kern w:val="2"/>
          <w:sz w:val="32"/>
          <w:szCs w:val="32"/>
          <w:highlight w:val="none"/>
          <w:lang w:val="en-US" w:eastAsia="zh-CN" w:bidi="ar-SA"/>
        </w:rPr>
        <w:t>122.04</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（注：仅罗列本部门实际支出涉及的经济分类科目）</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lang w:val="en-US" w:eastAsia="zh-CN"/>
        </w:rPr>
      </w:pPr>
    </w:p>
    <w:p>
      <w:pPr>
        <w:spacing w:line="600" w:lineRule="exact"/>
        <w:ind w:firstLine="640"/>
        <w:outlineLvl w:val="1"/>
        <w:rPr>
          <w:rStyle w:val="29"/>
          <w:rFonts w:ascii="Times New Roman" w:hAnsi="Times New Roman" w:eastAsia="黑体"/>
          <w:b w:val="0"/>
          <w:color w:val="auto"/>
          <w:highlight w:val="none"/>
        </w:rPr>
      </w:pPr>
      <w:bookmarkStart w:id="40" w:name="_Toc15396609"/>
      <w:bookmarkStart w:id="41" w:name="_Toc15377215"/>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40"/>
      <w:bookmarkEnd w:id="41"/>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2"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42"/>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default"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年度“三公”经费财政拨款支出决算为</w:t>
      </w:r>
      <w:r>
        <w:rPr>
          <w:rFonts w:hint="eastAsia" w:eastAsia="仿宋_GB2312" w:cs="仿宋_GB2312"/>
          <w:color w:val="auto"/>
          <w:kern w:val="2"/>
          <w:sz w:val="32"/>
          <w:szCs w:val="32"/>
          <w:highlight w:val="none"/>
          <w:lang w:val="en-US" w:eastAsia="zh-CN" w:bidi="ar-SA"/>
        </w:rPr>
        <w:t>11.07</w:t>
      </w:r>
      <w:r>
        <w:rPr>
          <w:rFonts w:hint="eastAsia" w:ascii="Times New Roman" w:hAnsi="Times New Roman" w:eastAsia="仿宋_GB2312" w:cs="仿宋_GB2312"/>
          <w:color w:val="auto"/>
          <w:kern w:val="2"/>
          <w:sz w:val="32"/>
          <w:szCs w:val="32"/>
          <w:highlight w:val="none"/>
          <w:lang w:val="en-US" w:eastAsia="zh-CN" w:bidi="ar-SA"/>
        </w:rPr>
        <w:t>万</w:t>
      </w:r>
      <w:r>
        <w:rPr>
          <w:rFonts w:hint="eastAsia" w:ascii="仿宋_GB2312" w:hAnsi="仿宋_GB2312" w:eastAsia="仿宋_GB2312" w:cs="仿宋_GB2312"/>
          <w:color w:val="auto"/>
          <w:kern w:val="2"/>
          <w:sz w:val="32"/>
          <w:szCs w:val="32"/>
          <w:highlight w:val="none"/>
          <w:lang w:val="en-US" w:eastAsia="zh-CN" w:bidi="ar-SA"/>
        </w:rPr>
        <w:t>元，完成预算</w:t>
      </w:r>
      <w:r>
        <w:rPr>
          <w:rFonts w:hint="eastAsia" w:ascii="仿宋_GB2312" w:hAnsi="仿宋_GB2312" w:eastAsia="仿宋_GB2312" w:cs="仿宋_GB2312"/>
          <w:sz w:val="32"/>
          <w:szCs w:val="32"/>
        </w:rPr>
        <w:t>100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较上年度</w:t>
      </w:r>
      <w:r>
        <w:rPr>
          <w:rFonts w:hint="eastAsia" w:eastAsia="仿宋_GB2312" w:cs="仿宋_GB2312"/>
          <w:color w:val="auto"/>
          <w:kern w:val="2"/>
          <w:sz w:val="32"/>
          <w:szCs w:val="32"/>
          <w:highlight w:val="none"/>
          <w:lang w:val="en-US" w:eastAsia="zh-CN" w:bidi="ar-SA"/>
        </w:rPr>
        <w:t>减少88.85</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减少88.92</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3" w:name="_Toc15377217"/>
      <w:r>
        <w:rPr>
          <w:rFonts w:hint="eastAsia" w:ascii="Times New Roman" w:hAnsi="Times New Roman" w:eastAsia="楷体_GB2312" w:cs="楷体_GB2312"/>
          <w:b/>
          <w:color w:val="auto"/>
          <w:sz w:val="32"/>
          <w:szCs w:val="32"/>
          <w:highlight w:val="none"/>
        </w:rPr>
        <w:t>（二）“三公”经费财政拨款支出决算具体情况说明</w:t>
      </w:r>
      <w:bookmarkEnd w:id="43"/>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default"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年度“三公”经费财政拨款支出决算中，因公出国（境）费支出决算0万元，占0%；公务用车购置及运行维护费支出决算</w:t>
      </w:r>
      <w:r>
        <w:rPr>
          <w:rFonts w:hint="eastAsia" w:eastAsia="仿宋_GB2312" w:cs="仿宋_GB2312"/>
          <w:color w:val="auto"/>
          <w:kern w:val="2"/>
          <w:sz w:val="32"/>
          <w:szCs w:val="32"/>
          <w:highlight w:val="none"/>
          <w:lang w:val="en-US" w:eastAsia="zh-CN" w:bidi="ar-SA"/>
        </w:rPr>
        <w:t>10.33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93.32</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0.74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6.68</w:t>
      </w:r>
      <w:r>
        <w:rPr>
          <w:rFonts w:hint="eastAsia" w:ascii="Times New Roman" w:hAnsi="Times New Roman" w:eastAsia="仿宋_GB2312" w:cs="仿宋_GB2312"/>
          <w:color w:val="auto"/>
          <w:kern w:val="2"/>
          <w:sz w:val="32"/>
          <w:szCs w:val="32"/>
          <w:highlight w:val="none"/>
          <w:lang w:val="en-US" w:eastAsia="zh-CN" w:bidi="ar-SA"/>
        </w:rPr>
        <w:t>%。具体情况如下：</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（图7：“三公”经费财政拨款支出结构）（饼状图）</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全年安排因公出国（境）团组0次，出国（境）0人。因公出国（境）支出决算比</w:t>
      </w:r>
      <w:r>
        <w:rPr>
          <w:rFonts w:hint="default"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年增加/减少0万元，增长/下降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10.33万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default"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减少87.63</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减少89.45</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2025年未采购公务用车。</w:t>
      </w:r>
      <w:r>
        <w:rPr>
          <w:rFonts w:hint="eastAsia" w:ascii="Times New Roman" w:hAnsi="Times New Roman" w:eastAsia="仿宋_GB2312" w:cs="仿宋_GB2312"/>
          <w:color w:val="auto"/>
          <w:kern w:val="2"/>
          <w:sz w:val="32"/>
          <w:szCs w:val="32"/>
          <w:highlight w:val="none"/>
          <w:lang w:val="en-US" w:eastAsia="zh-CN" w:bidi="ar-SA"/>
        </w:rPr>
        <w:t>其中：公务用车购置支</w:t>
      </w:r>
      <w:r>
        <w:rPr>
          <w:rFonts w:hint="eastAsia" w:eastAsia="仿宋_GB2312" w:cs="仿宋_GB2312"/>
          <w:color w:val="auto"/>
          <w:kern w:val="2"/>
          <w:sz w:val="32"/>
          <w:szCs w:val="32"/>
          <w:highlight w:val="none"/>
          <w:lang w:val="en-US" w:eastAsia="zh-CN" w:bidi="ar-SA"/>
        </w:rPr>
        <w:t>出0万元。全年按规定更新购置公务用车0辆，其中：轿车0辆、金额0万元，越野车0辆、金额0万元，载客汽车0辆、金额0万元。截至</w:t>
      </w:r>
      <w:r>
        <w:rPr>
          <w:rFonts w:hint="default"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6年12月31日，单位共有公务用车12辆，其中：轿车0辆、越野车12辆、载客汽车0辆。</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w:t>
      </w:r>
      <w:r>
        <w:rPr>
          <w:rFonts w:hint="eastAsia" w:eastAsia="仿宋_GB2312" w:cs="仿宋_GB2312"/>
          <w:color w:val="auto"/>
          <w:kern w:val="2"/>
          <w:sz w:val="32"/>
          <w:szCs w:val="32"/>
          <w:highlight w:val="none"/>
          <w:lang w:val="en-US" w:eastAsia="zh-CN" w:bidi="ar-SA"/>
        </w:rPr>
        <w:t>支出10.33万元</w:t>
      </w:r>
      <w:r>
        <w:rPr>
          <w:rFonts w:hint="eastAsia" w:ascii="Times New Roman" w:hAnsi="Times New Roman" w:eastAsia="仿宋_GB2312" w:cs="仿宋_GB2312"/>
          <w:color w:val="auto"/>
          <w:kern w:val="2"/>
          <w:sz w:val="32"/>
          <w:szCs w:val="32"/>
          <w:highlight w:val="none"/>
          <w:lang w:val="en-US" w:eastAsia="zh-CN" w:bidi="ar-SA"/>
        </w:rPr>
        <w:t>。主要用于</w:t>
      </w:r>
      <w:r>
        <w:rPr>
          <w:rFonts w:hint="eastAsia" w:eastAsia="仿宋_GB2312" w:cs="仿宋_GB2312"/>
          <w:color w:val="auto"/>
          <w:kern w:val="2"/>
          <w:sz w:val="32"/>
          <w:szCs w:val="32"/>
          <w:highlight w:val="none"/>
          <w:lang w:val="en-US" w:eastAsia="zh-CN" w:bidi="ar-SA"/>
        </w:rPr>
        <w:t>办公办案</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0.74万</w:t>
      </w:r>
      <w:r>
        <w:rPr>
          <w:rFonts w:hint="eastAsia" w:ascii="Times New Roman" w:hAnsi="Times New Roman" w:eastAsia="仿宋_GB2312" w:cs="仿宋_GB2312"/>
          <w:b/>
          <w:bCs/>
          <w:color w:val="auto"/>
          <w:kern w:val="2"/>
          <w:sz w:val="32"/>
          <w:szCs w:val="32"/>
          <w:highlight w:val="none"/>
          <w:lang w:val="en-US" w:eastAsia="zh-CN" w:bidi="ar-SA"/>
        </w:rPr>
        <w:t>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default"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减少1.22</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减少62.24%</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接待人次减少</w:t>
      </w:r>
      <w:r>
        <w:rPr>
          <w:rFonts w:hint="eastAsia" w:ascii="Times New Roman" w:hAnsi="Times New Roman" w:eastAsia="仿宋_GB2312" w:cs="仿宋_GB2312"/>
          <w:color w:val="auto"/>
          <w:kern w:val="2"/>
          <w:sz w:val="32"/>
          <w:szCs w:val="32"/>
          <w:highlight w:val="none"/>
          <w:lang w:val="en-US" w:eastAsia="zh-CN" w:bidi="ar-SA"/>
        </w:rPr>
        <w:t>。其中：</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eastAsia="仿宋_GB2312" w:cs="仿宋_GB2312"/>
          <w:color w:val="auto"/>
          <w:kern w:val="2"/>
          <w:sz w:val="32"/>
          <w:szCs w:val="32"/>
          <w:highlight w:val="none"/>
          <w:lang w:val="en-US" w:eastAsia="zh-CN" w:bidi="ar-SA"/>
        </w:rPr>
        <w:t>0.74</w:t>
      </w:r>
      <w:r>
        <w:rPr>
          <w:rFonts w:hint="eastAsia" w:ascii="Times New Roman" w:hAnsi="Times New Roman" w:eastAsia="仿宋_GB2312" w:cs="仿宋_GB2312"/>
          <w:color w:val="auto"/>
          <w:kern w:val="2"/>
          <w:sz w:val="32"/>
          <w:szCs w:val="32"/>
          <w:highlight w:val="none"/>
          <w:lang w:val="en-US" w:eastAsia="zh-CN" w:bidi="ar-SA"/>
        </w:rPr>
        <w:t>万元，主要用于执行公务、开展业务活动开支的交通费、住宿费、用餐费等。国内公务接待</w:t>
      </w:r>
      <w:r>
        <w:rPr>
          <w:rFonts w:hint="eastAsia" w:ascii="Times New Roman" w:hAnsi="Times New Roman" w:eastAsia="仿宋_GB2312" w:cs="仿宋_GB2312"/>
          <w:color w:val="auto"/>
          <w:kern w:val="2"/>
          <w:sz w:val="32"/>
          <w:szCs w:val="32"/>
          <w:highlight w:val="yellow"/>
          <w:lang w:val="en-US" w:eastAsia="zh-CN" w:bidi="ar-SA"/>
        </w:rPr>
        <w:t>22批次，245人次（不包括</w:t>
      </w:r>
      <w:r>
        <w:rPr>
          <w:rFonts w:hint="eastAsia" w:ascii="Times New Roman" w:hAnsi="Times New Roman" w:eastAsia="仿宋_GB2312" w:cs="仿宋_GB2312"/>
          <w:color w:val="auto"/>
          <w:kern w:val="2"/>
          <w:sz w:val="32"/>
          <w:szCs w:val="32"/>
          <w:highlight w:val="none"/>
          <w:lang w:val="en-US" w:eastAsia="zh-CN" w:bidi="ar-SA"/>
        </w:rPr>
        <w:t>陪同人员），共计支出</w:t>
      </w:r>
      <w:r>
        <w:rPr>
          <w:rFonts w:hint="eastAsia" w:eastAsia="仿宋_GB2312" w:cs="仿宋_GB2312"/>
          <w:color w:val="auto"/>
          <w:kern w:val="2"/>
          <w:sz w:val="32"/>
          <w:szCs w:val="32"/>
          <w:highlight w:val="none"/>
          <w:lang w:val="en-US" w:eastAsia="zh-CN" w:bidi="ar-SA"/>
        </w:rPr>
        <w:t>0.74</w:t>
      </w:r>
      <w:r>
        <w:rPr>
          <w:rFonts w:hint="eastAsia" w:ascii="Times New Roman" w:hAnsi="Times New Roman" w:eastAsia="仿宋_GB2312" w:cs="仿宋_GB2312"/>
          <w:color w:val="auto"/>
          <w:kern w:val="2"/>
          <w:sz w:val="32"/>
          <w:szCs w:val="32"/>
          <w:highlight w:val="none"/>
          <w:lang w:val="en-US" w:eastAsia="zh-CN" w:bidi="ar-SA"/>
        </w:rPr>
        <w:t>万元，具体内容包括：接待餐费。</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外事接待支出0万元，主要用于……（具体项目）。外事接待0批次，0人次（不包括陪同人员），共计支出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44" w:name="_Toc15377218"/>
      <w:bookmarkStart w:id="45" w:name="_Toc15396610"/>
    </w:p>
    <w:p>
      <w:pPr>
        <w:spacing w:line="600" w:lineRule="exact"/>
        <w:ind w:firstLine="640"/>
        <w:outlineLvl w:val="1"/>
        <w:rPr>
          <w:rStyle w:val="29"/>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44"/>
      <w:bookmarkEnd w:id="45"/>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default" w:ascii="仿宋_GB2312" w:hAnsi="仿宋_GB2312" w:eastAsia="仿宋_GB2312" w:cs="仿宋_GB2312"/>
          <w:color w:val="auto"/>
          <w:kern w:val="2"/>
          <w:sz w:val="32"/>
          <w:szCs w:val="32"/>
          <w:highlight w:val="none"/>
          <w:lang w:val="en-US" w:eastAsia="zh-CN" w:bidi="ar-SA"/>
        </w:rPr>
        <w:t>2025</w:t>
      </w:r>
      <w:r>
        <w:rPr>
          <w:rFonts w:hint="eastAsia" w:ascii="仿宋_GB2312" w:hAnsi="仿宋_GB2312" w:eastAsia="仿宋_GB2312" w:cs="仿宋_GB2312"/>
          <w:color w:val="auto"/>
          <w:kern w:val="2"/>
          <w:sz w:val="32"/>
          <w:szCs w:val="32"/>
          <w:highlight w:val="none"/>
          <w:lang w:val="en-US" w:eastAsia="zh-CN" w:bidi="ar-SA"/>
        </w:rPr>
        <w:t>年度政府性基金预算财政拨款支出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w:t>
      </w:r>
      <w:r>
        <w:rPr>
          <w:rFonts w:hint="default"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46" w:name="_Toc15377219"/>
      <w:bookmarkStart w:id="47" w:name="_Toc15396611"/>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46"/>
      <w:bookmarkEnd w:id="47"/>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default"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年度国有资本经营预算财政拨款支出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w:t>
      </w:r>
      <w:r>
        <w:rPr>
          <w:rFonts w:hint="default"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48" w:name="_Toc15377221"/>
      <w:bookmarkStart w:id="49" w:name="_Toc15396612"/>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48"/>
      <w:bookmarkEnd w:id="49"/>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50" w:name="_Toc15377222"/>
      <w:r>
        <w:rPr>
          <w:rFonts w:hint="eastAsia" w:ascii="Times New Roman" w:hAnsi="Times New Roman" w:eastAsia="楷体_GB2312" w:cs="楷体_GB2312"/>
          <w:b/>
          <w:color w:val="auto"/>
          <w:sz w:val="32"/>
          <w:szCs w:val="32"/>
          <w:highlight w:val="none"/>
        </w:rPr>
        <w:t>（一）机关运行经费支出情况</w:t>
      </w:r>
      <w:bookmarkEnd w:id="50"/>
    </w:p>
    <w:p>
      <w:pPr>
        <w:pageBreakBefore w:val="0"/>
        <w:kinsoku/>
        <w:wordWrap/>
        <w:overflowPunct/>
        <w:topLinePunct w:val="0"/>
        <w:bidi w:val="0"/>
        <w:spacing w:line="576" w:lineRule="exact"/>
        <w:ind w:firstLine="640" w:firstLineChars="200"/>
        <w:textAlignment w:val="auto"/>
        <w:rPr>
          <w:rFonts w:hint="eastAsia" w:ascii="Times New Roman" w:hAnsi="Times New Roman" w:eastAsia="方正仿宋_GBK" w:cs="Times New Roman"/>
          <w:color w:val="auto"/>
          <w:sz w:val="32"/>
          <w:szCs w:val="32"/>
          <w:highlight w:val="none"/>
          <w:lang w:eastAsia="zh-CN"/>
        </w:rPr>
      </w:pPr>
      <w:r>
        <w:rPr>
          <w:rFonts w:hint="default"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年度，四川省阿坝州小金县人民法院机关运行经费支出</w:t>
      </w:r>
      <w:r>
        <w:rPr>
          <w:rFonts w:hint="eastAsia" w:eastAsia="仿宋_GB2312" w:cs="仿宋_GB2312"/>
          <w:color w:val="auto"/>
          <w:kern w:val="2"/>
          <w:sz w:val="32"/>
          <w:szCs w:val="32"/>
          <w:highlight w:val="none"/>
          <w:lang w:val="en-US" w:eastAsia="zh-CN" w:bidi="ar-SA"/>
        </w:rPr>
        <w:t>122.04</w:t>
      </w:r>
      <w:r>
        <w:rPr>
          <w:rFonts w:hint="eastAsia" w:ascii="Times New Roman" w:hAnsi="Times New Roman" w:eastAsia="仿宋_GB2312" w:cs="仿宋_GB2312"/>
          <w:color w:val="auto"/>
          <w:kern w:val="2"/>
          <w:sz w:val="32"/>
          <w:szCs w:val="32"/>
          <w:highlight w:val="none"/>
          <w:lang w:val="en-US" w:eastAsia="zh-CN" w:bidi="ar-SA"/>
        </w:rPr>
        <w:t>万元，比</w:t>
      </w:r>
      <w:r>
        <w:rPr>
          <w:rFonts w:hint="default"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3.86</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3.27</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Times New Roman" w:hAnsi="Times New Roman" w:eastAsia="方正仿宋_GBK" w:cs="Times New Roman"/>
          <w:color w:val="auto"/>
          <w:sz w:val="32"/>
          <w:szCs w:val="32"/>
          <w:highlight w:val="none"/>
          <w:lang w:eastAsia="zh-CN"/>
        </w:rPr>
        <w:t>存在人员调动。</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51" w:name="_Toc15377223"/>
      <w:r>
        <w:rPr>
          <w:rFonts w:hint="eastAsia" w:ascii="Times New Roman" w:hAnsi="Times New Roman" w:eastAsia="楷体_GB2312" w:cs="楷体_GB2312"/>
          <w:b/>
          <w:color w:val="auto"/>
          <w:sz w:val="32"/>
          <w:szCs w:val="32"/>
          <w:highlight w:val="none"/>
        </w:rPr>
        <w:t>（二）政府采购支出情况</w:t>
      </w:r>
      <w:bookmarkEnd w:id="51"/>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default" w:eastAsia="仿宋_GB2312" w:cs="仿宋_GB2312"/>
          <w:color w:val="auto"/>
          <w:kern w:val="2"/>
          <w:sz w:val="32"/>
          <w:szCs w:val="32"/>
          <w:highlight w:val="none"/>
          <w:lang w:val="en-US" w:eastAsia="zh-CN" w:bidi="ar-SA"/>
        </w:rPr>
        <w:t>2025</w:t>
      </w:r>
      <w:r>
        <w:rPr>
          <w:rFonts w:hint="eastAsia" w:ascii="仿宋_GB2312" w:hAnsi="仿宋_GB2312" w:eastAsia="仿宋_GB2312" w:cs="仿宋_GB2312"/>
          <w:color w:val="auto"/>
          <w:kern w:val="2"/>
          <w:sz w:val="32"/>
          <w:szCs w:val="32"/>
          <w:highlight w:val="none"/>
          <w:lang w:val="en-US" w:eastAsia="zh-CN" w:bidi="ar-SA"/>
        </w:rPr>
        <w:t>年度，</w:t>
      </w:r>
      <w:r>
        <w:rPr>
          <w:rFonts w:hint="eastAsia" w:ascii="仿宋_GB2312" w:hAnsi="仿宋_GB2312" w:eastAsia="仿宋_GB2312" w:cs="仿宋_GB2312"/>
          <w:sz w:val="32"/>
          <w:szCs w:val="32"/>
        </w:rPr>
        <w:t>四</w:t>
      </w:r>
      <w:r>
        <w:rPr>
          <w:rFonts w:hint="eastAsia" w:ascii="Times New Roman" w:hAnsi="Times New Roman" w:eastAsia="仿宋_GB2312" w:cs="仿宋_GB2312"/>
          <w:color w:val="auto"/>
          <w:kern w:val="2"/>
          <w:sz w:val="32"/>
          <w:szCs w:val="32"/>
          <w:highlight w:val="none"/>
          <w:lang w:val="en-US" w:eastAsia="zh-CN" w:bidi="ar-SA"/>
        </w:rPr>
        <w:t>川省阿坝州小金县人民法院政府采购支出总额</w:t>
      </w:r>
      <w:r>
        <w:rPr>
          <w:rFonts w:hint="eastAsia" w:eastAsia="仿宋_GB2312" w:cs="仿宋_GB2312"/>
          <w:color w:val="auto"/>
          <w:kern w:val="2"/>
          <w:sz w:val="32"/>
          <w:szCs w:val="32"/>
          <w:highlight w:val="none"/>
          <w:lang w:val="en-US" w:eastAsia="zh-CN" w:bidi="ar-SA"/>
        </w:rPr>
        <w:t>200.93</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eastAsia="仿宋_GB2312" w:cs="仿宋_GB2312"/>
          <w:color w:val="auto"/>
          <w:kern w:val="2"/>
          <w:sz w:val="32"/>
          <w:szCs w:val="32"/>
          <w:highlight w:val="none"/>
          <w:lang w:val="en-US" w:eastAsia="zh-CN" w:bidi="ar-SA"/>
        </w:rPr>
        <w:t>200.93</w:t>
      </w:r>
      <w:r>
        <w:rPr>
          <w:rFonts w:hint="eastAsia" w:ascii="Times New Roman" w:hAnsi="Times New Roman" w:eastAsia="仿宋_GB2312" w:cs="仿宋_GB2312"/>
          <w:color w:val="auto"/>
          <w:kern w:val="2"/>
          <w:sz w:val="32"/>
          <w:szCs w:val="32"/>
          <w:highlight w:val="none"/>
          <w:lang w:val="en-US" w:eastAsia="zh-CN" w:bidi="ar-SA"/>
        </w:rPr>
        <w:t>万元、政府采购工程支出0万元、政府采购服务支出0万元。主要用于……（具体工作）。授予中小企业合同金额0万元，占政府采购支出总额的0%，其中：授予小微企业合同金额0万元，占政府采购支出总额的0%。</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52" w:name="_Toc15377224"/>
      <w:r>
        <w:rPr>
          <w:rFonts w:hint="eastAsia" w:ascii="Times New Roman" w:hAnsi="Times New Roman" w:eastAsia="楷体_GB2312" w:cs="楷体_GB2312"/>
          <w:b/>
          <w:color w:val="auto"/>
          <w:sz w:val="32"/>
          <w:szCs w:val="32"/>
          <w:highlight w:val="none"/>
        </w:rPr>
        <w:t>（三）国有资产占有使用情况</w:t>
      </w:r>
      <w:bookmarkEnd w:id="52"/>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w:t>
      </w:r>
      <w:r>
        <w:rPr>
          <w:rFonts w:hint="default"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年12月31日，四川省阿坝州小金县人民法院共有车辆12辆，其中：主要负责人用车0辆、机要通信用车0辆、应急保障用车0辆、其他用车</w:t>
      </w:r>
      <w:r>
        <w:rPr>
          <w:rFonts w:hint="eastAsia" w:eastAsia="仿宋_GB2312" w:cs="仿宋_GB2312"/>
          <w:color w:val="auto"/>
          <w:kern w:val="2"/>
          <w:sz w:val="32"/>
          <w:szCs w:val="32"/>
          <w:highlight w:val="none"/>
          <w:lang w:val="en-US" w:eastAsia="zh-CN" w:bidi="ar-SA"/>
        </w:rPr>
        <w:t>12</w:t>
      </w:r>
      <w:r>
        <w:rPr>
          <w:rFonts w:hint="eastAsia" w:ascii="Times New Roman" w:hAnsi="Times New Roman" w:eastAsia="仿宋_GB2312" w:cs="仿宋_GB2312"/>
          <w:color w:val="auto"/>
          <w:kern w:val="2"/>
          <w:sz w:val="32"/>
          <w:szCs w:val="32"/>
          <w:highlight w:val="none"/>
          <w:lang w:val="en-US" w:eastAsia="zh-CN" w:bidi="ar-SA"/>
        </w:rPr>
        <w:t>辆，其他用车主要是用于</w:t>
      </w:r>
      <w:r>
        <w:rPr>
          <w:rFonts w:hint="eastAsia" w:eastAsia="仿宋_GB2312" w:cs="仿宋_GB2312"/>
          <w:color w:val="auto"/>
          <w:kern w:val="2"/>
          <w:sz w:val="32"/>
          <w:szCs w:val="32"/>
          <w:highlight w:val="none"/>
          <w:lang w:val="en-US" w:eastAsia="zh-CN" w:bidi="ar-SA"/>
        </w:rPr>
        <w:t>办公办案</w:t>
      </w:r>
      <w:r>
        <w:rPr>
          <w:rFonts w:hint="eastAsia" w:ascii="Times New Roman" w:hAnsi="Times New Roman" w:eastAsia="仿宋_GB2312" w:cs="仿宋_GB2312"/>
          <w:color w:val="auto"/>
          <w:kern w:val="2"/>
          <w:sz w:val="32"/>
          <w:szCs w:val="32"/>
          <w:highlight w:val="none"/>
          <w:lang w:val="en-US" w:eastAsia="zh-CN" w:bidi="ar-SA"/>
        </w:rPr>
        <w:t>。单价100万元（含）以上设备（不含车辆）0台（套）。</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pPr>
        <w:pageBreakBefore w:val="0"/>
        <w:kinsoku/>
        <w:wordWrap/>
        <w:overflowPunct/>
        <w:topLinePunct w:val="0"/>
        <w:bidi w:val="0"/>
        <w:spacing w:line="576" w:lineRule="exact"/>
        <w:ind w:firstLine="640" w:firstLineChars="200"/>
        <w:textAlignment w:val="auto"/>
        <w:rPr>
          <w:rFonts w:hint="default" w:ascii="Times New Roman" w:hAnsi="Times New Roman" w:eastAsia="方正仿宋_GBK" w:cs="Times New Roman"/>
          <w:color w:val="auto"/>
          <w:sz w:val="32"/>
          <w:szCs w:val="32"/>
          <w:highlight w:val="none"/>
          <w:lang w:eastAsia="zh-CN"/>
        </w:rPr>
      </w:pPr>
      <w:r>
        <w:rPr>
          <w:rFonts w:hint="default" w:ascii="Times New Roman" w:hAnsi="Times New Roman" w:eastAsia="方正仿宋_GBK" w:cs="Times New Roman"/>
          <w:color w:val="auto"/>
          <w:sz w:val="32"/>
          <w:szCs w:val="32"/>
          <w:highlight w:val="none"/>
        </w:rPr>
        <w:t>根据预算绩效管理要求，本部门在</w:t>
      </w:r>
      <w:r>
        <w:rPr>
          <w:rFonts w:hint="default" w:eastAsia="方正仿宋_GBK" w:cs="Times New Roman"/>
          <w:color w:val="auto"/>
          <w:sz w:val="32"/>
          <w:szCs w:val="32"/>
          <w:highlight w:val="none"/>
          <w:lang w:val="en-US" w:eastAsia="zh-CN"/>
        </w:rPr>
        <w:t>2025</w:t>
      </w:r>
      <w:r>
        <w:rPr>
          <w:rFonts w:hint="default" w:ascii="Times New Roman" w:hAnsi="Times New Roman" w:eastAsia="方正仿宋_GBK" w:cs="Times New Roman"/>
          <w:color w:val="auto"/>
          <w:sz w:val="32"/>
          <w:szCs w:val="32"/>
          <w:highlight w:val="none"/>
          <w:lang w:val="en-US" w:eastAsia="zh-CN"/>
        </w:rPr>
        <w:t>年度</w:t>
      </w:r>
      <w:r>
        <w:rPr>
          <w:rFonts w:hint="default" w:ascii="Times New Roman" w:hAnsi="Times New Roman" w:eastAsia="方正仿宋_GBK" w:cs="Times New Roman"/>
          <w:color w:val="auto"/>
          <w:sz w:val="32"/>
          <w:szCs w:val="32"/>
          <w:highlight w:val="none"/>
        </w:rPr>
        <w:t>预算编制阶段，组织对</w:t>
      </w:r>
      <w:r>
        <w:rPr>
          <w:rFonts w:hint="default" w:eastAsia="方正仿宋_GBK" w:cs="Times New Roman"/>
          <w:color w:val="auto"/>
          <w:sz w:val="32"/>
          <w:szCs w:val="32"/>
          <w:highlight w:val="none"/>
          <w:lang w:val="en-US" w:eastAsia="zh-CN"/>
        </w:rPr>
        <w:t>2025</w:t>
      </w:r>
      <w:r>
        <w:rPr>
          <w:rFonts w:hint="eastAsia" w:ascii="Times New Roman" w:hAnsi="Times New Roman" w:eastAsia="方正仿宋_GBK" w:cs="Times New Roman"/>
          <w:color w:val="auto"/>
          <w:sz w:val="32"/>
          <w:szCs w:val="32"/>
          <w:highlight w:val="none"/>
          <w:lang w:val="en-US" w:eastAsia="zh-CN"/>
        </w:rPr>
        <w:t>年</w:t>
      </w:r>
      <w:bookmarkStart w:id="72" w:name="_GoBack"/>
      <w:bookmarkEnd w:id="72"/>
      <w:r>
        <w:rPr>
          <w:rFonts w:hint="eastAsia" w:ascii="Times New Roman" w:hAnsi="Times New Roman" w:eastAsia="方正仿宋_GBK" w:cs="Times New Roman"/>
          <w:color w:val="auto"/>
          <w:sz w:val="32"/>
          <w:szCs w:val="32"/>
          <w:highlight w:val="none"/>
          <w:lang w:val="en-US" w:eastAsia="zh-CN"/>
        </w:rPr>
        <w:t>办案业务经费</w:t>
      </w:r>
      <w:r>
        <w:rPr>
          <w:rFonts w:hint="eastAsia" w:eastAsia="方正仿宋_GBK" w:cs="Times New Roman"/>
          <w:color w:val="auto"/>
          <w:sz w:val="32"/>
          <w:szCs w:val="32"/>
          <w:highlight w:val="none"/>
          <w:lang w:val="en-US" w:eastAsia="zh-CN"/>
        </w:rPr>
        <w:t>1</w:t>
      </w:r>
      <w:r>
        <w:rPr>
          <w:rFonts w:hint="default" w:ascii="Times New Roman" w:hAnsi="Times New Roman" w:eastAsia="方正仿宋_GBK" w:cs="Times New Roman"/>
          <w:color w:val="auto"/>
          <w:sz w:val="32"/>
          <w:szCs w:val="32"/>
          <w:highlight w:val="none"/>
          <w:lang w:val="en-US" w:eastAsia="zh-CN"/>
        </w:rPr>
        <w:t>个项目</w:t>
      </w:r>
      <w:r>
        <w:rPr>
          <w:rFonts w:hint="default" w:ascii="Times New Roman" w:hAnsi="Times New Roman" w:eastAsia="方正仿宋_GBK" w:cs="Times New Roman"/>
          <w:color w:val="auto"/>
          <w:sz w:val="32"/>
          <w:szCs w:val="32"/>
          <w:highlight w:val="none"/>
        </w:rPr>
        <w:t>开展了预算事前绩效评估，对</w:t>
      </w:r>
      <w:r>
        <w:rPr>
          <w:rFonts w:hint="eastAsia" w:eastAsia="方正仿宋_GBK" w:cs="Times New Roman"/>
          <w:color w:val="auto"/>
          <w:sz w:val="32"/>
          <w:szCs w:val="32"/>
          <w:highlight w:val="none"/>
          <w:lang w:val="en-US" w:eastAsia="zh-CN"/>
        </w:rPr>
        <w:t>1</w:t>
      </w:r>
      <w:r>
        <w:rPr>
          <w:rFonts w:hint="default" w:ascii="Times New Roman" w:hAnsi="Times New Roman" w:eastAsia="方正仿宋_GBK" w:cs="Times New Roman"/>
          <w:color w:val="auto"/>
          <w:sz w:val="32"/>
          <w:szCs w:val="32"/>
          <w:highlight w:val="none"/>
        </w:rPr>
        <w:t>个项目编制了绩效目标，预算执行过程中，选取</w:t>
      </w:r>
      <w:r>
        <w:rPr>
          <w:rFonts w:hint="eastAsia" w:eastAsia="方正仿宋_GBK" w:cs="Times New Roman"/>
          <w:color w:val="auto"/>
          <w:sz w:val="32"/>
          <w:szCs w:val="32"/>
          <w:highlight w:val="none"/>
          <w:lang w:val="en-US" w:eastAsia="zh-CN"/>
        </w:rPr>
        <w:t>1</w:t>
      </w:r>
      <w:r>
        <w:rPr>
          <w:rFonts w:hint="default" w:ascii="Times New Roman" w:hAnsi="Times New Roman" w:eastAsia="方正仿宋_GBK" w:cs="Times New Roman"/>
          <w:color w:val="auto"/>
          <w:sz w:val="32"/>
          <w:szCs w:val="32"/>
          <w:highlight w:val="none"/>
        </w:rPr>
        <w:t>个项目开展绩效监控</w:t>
      </w:r>
      <w:r>
        <w:rPr>
          <w:rFonts w:hint="default" w:ascii="Times New Roman" w:hAnsi="Times New Roman" w:eastAsia="方正仿宋_GBK" w:cs="Times New Roman"/>
          <w:color w:val="auto"/>
          <w:sz w:val="32"/>
          <w:szCs w:val="32"/>
          <w:highlight w:val="none"/>
          <w:lang w:eastAsia="zh-CN"/>
        </w:rPr>
        <w:t>。</w:t>
      </w:r>
    </w:p>
    <w:p>
      <w:pPr>
        <w:pageBreakBefore w:val="0"/>
        <w:kinsoku/>
        <w:wordWrap/>
        <w:overflowPunct/>
        <w:topLinePunct w:val="0"/>
        <w:bidi w:val="0"/>
        <w:spacing w:line="576"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eastAsia="zh-CN"/>
        </w:rPr>
        <w:t>组织</w:t>
      </w:r>
      <w:r>
        <w:rPr>
          <w:rFonts w:hint="default" w:ascii="Times New Roman" w:hAnsi="Times New Roman" w:eastAsia="方正仿宋_GBK" w:cs="Times New Roman"/>
          <w:color w:val="auto"/>
          <w:sz w:val="32"/>
          <w:szCs w:val="32"/>
          <w:highlight w:val="none"/>
        </w:rPr>
        <w:t>对</w:t>
      </w:r>
      <w:r>
        <w:rPr>
          <w:rFonts w:hint="default" w:eastAsia="方正仿宋_GBK" w:cs="Times New Roman"/>
          <w:color w:val="auto"/>
          <w:sz w:val="32"/>
          <w:szCs w:val="32"/>
          <w:highlight w:val="none"/>
          <w:lang w:val="en-US" w:eastAsia="zh-CN"/>
        </w:rPr>
        <w:t>2025</w:t>
      </w:r>
      <w:r>
        <w:rPr>
          <w:rFonts w:hint="default" w:ascii="Times New Roman" w:hAnsi="Times New Roman" w:eastAsia="方正仿宋_GBK" w:cs="Times New Roman"/>
          <w:color w:val="auto"/>
          <w:sz w:val="32"/>
          <w:szCs w:val="32"/>
          <w:highlight w:val="none"/>
          <w:lang w:val="en-US" w:eastAsia="zh-CN"/>
        </w:rPr>
        <w:t>年度一般公共预算、</w:t>
      </w:r>
      <w:r>
        <w:rPr>
          <w:rFonts w:hint="default" w:ascii="Times New Roman" w:hAnsi="Times New Roman" w:eastAsia="方正仿宋_GBK" w:cs="Times New Roman"/>
          <w:color w:val="auto"/>
          <w:sz w:val="32"/>
          <w:szCs w:val="32"/>
          <w:highlight w:val="none"/>
          <w:lang w:eastAsia="zh-CN"/>
        </w:rPr>
        <w:t>政府性基金预算、国有资本经营预算、社会保险基金预算以及资本资产、债券资金等</w:t>
      </w:r>
      <w:r>
        <w:rPr>
          <w:rFonts w:hint="default" w:ascii="Times New Roman" w:hAnsi="Times New Roman" w:eastAsia="方正仿宋_GBK" w:cs="Times New Roman"/>
          <w:color w:val="auto"/>
          <w:sz w:val="32"/>
          <w:szCs w:val="32"/>
          <w:highlight w:val="none"/>
          <w:lang w:val="en-US" w:eastAsia="zh-CN"/>
        </w:rPr>
        <w:t>全面开展绩效自评，形成</w:t>
      </w:r>
      <w:r>
        <w:rPr>
          <w:rFonts w:hint="eastAsia" w:ascii="Times New Roman" w:hAnsi="Times New Roman" w:eastAsia="方正仿宋_GBK" w:cs="Times New Roman"/>
          <w:color w:val="auto"/>
          <w:sz w:val="32"/>
          <w:szCs w:val="32"/>
          <w:highlight w:val="none"/>
          <w:lang w:val="en-US" w:eastAsia="zh-CN"/>
        </w:rPr>
        <w:t>小金县人民法院</w:t>
      </w:r>
      <w:r>
        <w:rPr>
          <w:rFonts w:hint="default" w:eastAsia="方正仿宋_GBK" w:cs="Times New Roman"/>
          <w:color w:val="auto"/>
          <w:sz w:val="32"/>
          <w:szCs w:val="32"/>
          <w:highlight w:val="none"/>
          <w:lang w:val="en-US" w:eastAsia="zh-CN"/>
        </w:rPr>
        <w:t>2025</w:t>
      </w:r>
      <w:r>
        <w:rPr>
          <w:rFonts w:hint="eastAsia" w:ascii="Times New Roman" w:hAnsi="Times New Roman" w:eastAsia="方正仿宋_GBK" w:cs="Times New Roman"/>
          <w:color w:val="auto"/>
          <w:sz w:val="32"/>
          <w:szCs w:val="32"/>
          <w:highlight w:val="none"/>
          <w:lang w:val="en-US" w:eastAsia="zh-CN"/>
        </w:rPr>
        <w:t>年</w:t>
      </w:r>
      <w:r>
        <w:rPr>
          <w:rFonts w:hint="default" w:ascii="Times New Roman" w:hAnsi="Times New Roman" w:eastAsia="方正仿宋_GBK" w:cs="Times New Roman"/>
          <w:color w:val="auto"/>
          <w:sz w:val="32"/>
          <w:szCs w:val="32"/>
          <w:highlight w:val="none"/>
          <w:lang w:eastAsia="zh-CN"/>
        </w:rPr>
        <w:t>部门整体（含部门预算项目）</w:t>
      </w:r>
      <w:r>
        <w:rPr>
          <w:rFonts w:hint="default" w:ascii="Times New Roman" w:hAnsi="Times New Roman" w:eastAsia="方正仿宋_GBK" w:cs="Times New Roman"/>
          <w:color w:val="auto"/>
          <w:sz w:val="32"/>
          <w:szCs w:val="32"/>
          <w:highlight w:val="none"/>
          <w:lang w:val="en-US" w:eastAsia="zh-CN"/>
        </w:rPr>
        <w:t>绩效自评报告。绩效自评报告详见附件。</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pageBreakBefore w:val="0"/>
        <w:numPr>
          <w:ilvl w:val="0"/>
          <w:numId w:val="0"/>
        </w:numPr>
        <w:kinsoku/>
        <w:wordWrap/>
        <w:overflowPunct/>
        <w:topLinePunct w:val="0"/>
        <w:bidi w:val="0"/>
        <w:spacing w:line="576" w:lineRule="exact"/>
        <w:jc w:val="center"/>
        <w:textAlignment w:val="auto"/>
        <w:outlineLvl w:val="0"/>
        <w:rPr>
          <w:rFonts w:hint="eastAsia" w:ascii="方正黑体_GBK" w:hAnsi="方正黑体_GBK" w:eastAsia="方正黑体_GBK" w:cs="方正黑体_GBK"/>
          <w:color w:val="auto"/>
          <w:sz w:val="44"/>
          <w:szCs w:val="44"/>
          <w:highlight w:val="none"/>
          <w:lang w:eastAsia="zh-CN"/>
        </w:rPr>
      </w:pPr>
      <w:bookmarkStart w:id="53" w:name="_Toc15396613"/>
      <w:bookmarkStart w:id="54" w:name="_Toc15377225"/>
      <w:bookmarkStart w:id="55" w:name="_Toc15377226"/>
    </w:p>
    <w:p>
      <w:pPr>
        <w:pageBreakBefore w:val="0"/>
        <w:numPr>
          <w:ilvl w:val="0"/>
          <w:numId w:val="0"/>
        </w:numPr>
        <w:kinsoku/>
        <w:wordWrap/>
        <w:overflowPunct/>
        <w:topLinePunct w:val="0"/>
        <w:bidi w:val="0"/>
        <w:spacing w:line="576" w:lineRule="exact"/>
        <w:jc w:val="center"/>
        <w:textAlignment w:val="auto"/>
        <w:outlineLvl w:val="0"/>
        <w:rPr>
          <w:rFonts w:hint="eastAsia" w:ascii="方正黑体_GBK" w:hAnsi="方正黑体_GBK" w:eastAsia="方正黑体_GBK" w:cs="方正黑体_GBK"/>
          <w:color w:val="auto"/>
          <w:sz w:val="44"/>
          <w:szCs w:val="44"/>
          <w:highlight w:val="none"/>
          <w:lang w:eastAsia="zh-CN"/>
        </w:rPr>
      </w:pPr>
    </w:p>
    <w:p>
      <w:pPr>
        <w:pageBreakBefore w:val="0"/>
        <w:numPr>
          <w:ilvl w:val="0"/>
          <w:numId w:val="0"/>
        </w:numPr>
        <w:kinsoku/>
        <w:wordWrap/>
        <w:overflowPunct/>
        <w:topLinePunct w:val="0"/>
        <w:bidi w:val="0"/>
        <w:spacing w:line="576" w:lineRule="exact"/>
        <w:jc w:val="center"/>
        <w:textAlignment w:val="auto"/>
        <w:outlineLvl w:val="0"/>
        <w:rPr>
          <w:rFonts w:hint="eastAsia" w:ascii="方正黑体_GBK" w:hAnsi="方正黑体_GBK" w:eastAsia="方正黑体_GBK" w:cs="方正黑体_GBK"/>
          <w:color w:val="auto"/>
          <w:sz w:val="44"/>
          <w:szCs w:val="44"/>
          <w:highlight w:val="none"/>
          <w:lang w:eastAsia="zh-CN"/>
        </w:rPr>
      </w:pPr>
    </w:p>
    <w:p>
      <w:pPr>
        <w:pageBreakBefore w:val="0"/>
        <w:numPr>
          <w:ilvl w:val="0"/>
          <w:numId w:val="0"/>
        </w:numPr>
        <w:kinsoku/>
        <w:wordWrap/>
        <w:overflowPunct/>
        <w:topLinePunct w:val="0"/>
        <w:bidi w:val="0"/>
        <w:spacing w:line="576" w:lineRule="exact"/>
        <w:jc w:val="center"/>
        <w:textAlignment w:val="auto"/>
        <w:outlineLvl w:val="0"/>
        <w:rPr>
          <w:rFonts w:hint="eastAsia" w:ascii="方正黑体_GBK" w:hAnsi="方正黑体_GBK" w:eastAsia="方正黑体_GBK" w:cs="方正黑体_GBK"/>
          <w:color w:val="auto"/>
          <w:sz w:val="44"/>
          <w:szCs w:val="44"/>
          <w:highlight w:val="none"/>
          <w:lang w:eastAsia="zh-CN"/>
        </w:rPr>
      </w:pPr>
    </w:p>
    <w:p>
      <w:pPr>
        <w:pageBreakBefore w:val="0"/>
        <w:numPr>
          <w:ilvl w:val="0"/>
          <w:numId w:val="0"/>
        </w:numPr>
        <w:kinsoku/>
        <w:wordWrap/>
        <w:overflowPunct/>
        <w:topLinePunct w:val="0"/>
        <w:bidi w:val="0"/>
        <w:spacing w:line="576" w:lineRule="exact"/>
        <w:jc w:val="center"/>
        <w:textAlignment w:val="auto"/>
        <w:outlineLvl w:val="0"/>
        <w:rPr>
          <w:rFonts w:hint="eastAsia" w:ascii="方正黑体_GBK" w:hAnsi="方正黑体_GBK" w:eastAsia="方正黑体_GBK" w:cs="方正黑体_GBK"/>
          <w:color w:val="auto"/>
          <w:sz w:val="44"/>
          <w:szCs w:val="44"/>
          <w:highlight w:val="none"/>
          <w:lang w:eastAsia="zh-CN"/>
        </w:rPr>
      </w:pPr>
    </w:p>
    <w:p>
      <w:pPr>
        <w:pageBreakBefore w:val="0"/>
        <w:numPr>
          <w:ilvl w:val="0"/>
          <w:numId w:val="0"/>
        </w:numPr>
        <w:kinsoku/>
        <w:wordWrap/>
        <w:overflowPunct/>
        <w:topLinePunct w:val="0"/>
        <w:bidi w:val="0"/>
        <w:spacing w:line="576" w:lineRule="exact"/>
        <w:jc w:val="center"/>
        <w:textAlignment w:val="auto"/>
        <w:outlineLvl w:val="0"/>
        <w:rPr>
          <w:rFonts w:hint="eastAsia" w:ascii="方正黑体_GBK" w:hAnsi="方正黑体_GBK" w:eastAsia="方正黑体_GBK" w:cs="方正黑体_GBK"/>
          <w:color w:val="auto"/>
          <w:sz w:val="44"/>
          <w:szCs w:val="44"/>
          <w:highlight w:val="none"/>
          <w:lang w:eastAsia="zh-CN"/>
        </w:rPr>
      </w:pPr>
    </w:p>
    <w:p>
      <w:pPr>
        <w:pageBreakBefore w:val="0"/>
        <w:numPr>
          <w:ilvl w:val="0"/>
          <w:numId w:val="0"/>
        </w:numPr>
        <w:kinsoku/>
        <w:wordWrap/>
        <w:overflowPunct/>
        <w:topLinePunct w:val="0"/>
        <w:bidi w:val="0"/>
        <w:spacing w:line="576" w:lineRule="exact"/>
        <w:jc w:val="center"/>
        <w:textAlignment w:val="auto"/>
        <w:outlineLvl w:val="0"/>
        <w:rPr>
          <w:rFonts w:hint="eastAsia" w:ascii="方正黑体_GBK" w:hAnsi="方正黑体_GBK" w:eastAsia="方正黑体_GBK" w:cs="方正黑体_GBK"/>
          <w:color w:val="auto"/>
          <w:sz w:val="44"/>
          <w:szCs w:val="44"/>
          <w:highlight w:val="none"/>
          <w:lang w:eastAsia="zh-CN"/>
        </w:rPr>
      </w:pPr>
    </w:p>
    <w:p>
      <w:pPr>
        <w:pageBreakBefore w:val="0"/>
        <w:numPr>
          <w:ilvl w:val="0"/>
          <w:numId w:val="0"/>
        </w:numPr>
        <w:kinsoku/>
        <w:wordWrap/>
        <w:overflowPunct/>
        <w:topLinePunct w:val="0"/>
        <w:bidi w:val="0"/>
        <w:spacing w:line="576" w:lineRule="exact"/>
        <w:jc w:val="center"/>
        <w:textAlignment w:val="auto"/>
        <w:outlineLvl w:val="0"/>
        <w:rPr>
          <w:rFonts w:hint="eastAsia" w:ascii="方正黑体_GBK" w:hAnsi="方正黑体_GBK" w:eastAsia="方正黑体_GBK" w:cs="方正黑体_GBK"/>
          <w:color w:val="auto"/>
          <w:sz w:val="44"/>
          <w:szCs w:val="44"/>
          <w:highlight w:val="none"/>
          <w:lang w:eastAsia="zh-CN"/>
        </w:rPr>
      </w:pPr>
    </w:p>
    <w:p>
      <w:pPr>
        <w:pageBreakBefore w:val="0"/>
        <w:numPr>
          <w:ilvl w:val="0"/>
          <w:numId w:val="0"/>
        </w:numPr>
        <w:kinsoku/>
        <w:wordWrap/>
        <w:overflowPunct/>
        <w:topLinePunct w:val="0"/>
        <w:bidi w:val="0"/>
        <w:spacing w:line="576" w:lineRule="exact"/>
        <w:jc w:val="center"/>
        <w:textAlignment w:val="auto"/>
        <w:outlineLvl w:val="0"/>
        <w:rPr>
          <w:rFonts w:hint="eastAsia" w:ascii="方正黑体_GBK" w:hAnsi="方正黑体_GBK" w:eastAsia="方正黑体_GBK" w:cs="方正黑体_GBK"/>
          <w:color w:val="auto"/>
          <w:sz w:val="44"/>
          <w:szCs w:val="44"/>
          <w:highlight w:val="none"/>
          <w:lang w:eastAsia="zh-CN"/>
        </w:rPr>
      </w:pPr>
    </w:p>
    <w:p>
      <w:pPr>
        <w:pageBreakBefore w:val="0"/>
        <w:numPr>
          <w:ilvl w:val="0"/>
          <w:numId w:val="0"/>
        </w:numPr>
        <w:kinsoku/>
        <w:wordWrap/>
        <w:overflowPunct/>
        <w:topLinePunct w:val="0"/>
        <w:bidi w:val="0"/>
        <w:spacing w:line="576" w:lineRule="exact"/>
        <w:jc w:val="center"/>
        <w:textAlignment w:val="auto"/>
        <w:outlineLvl w:val="0"/>
        <w:rPr>
          <w:rFonts w:hint="eastAsia" w:ascii="方正黑体_GBK" w:hAnsi="方正黑体_GBK" w:eastAsia="方正黑体_GBK" w:cs="方正黑体_GBK"/>
          <w:color w:val="auto"/>
          <w:sz w:val="44"/>
          <w:szCs w:val="44"/>
          <w:highlight w:val="none"/>
          <w:lang w:eastAsia="zh-CN"/>
        </w:rPr>
      </w:pPr>
    </w:p>
    <w:p>
      <w:pPr>
        <w:pageBreakBefore w:val="0"/>
        <w:numPr>
          <w:ilvl w:val="0"/>
          <w:numId w:val="0"/>
        </w:numPr>
        <w:kinsoku/>
        <w:wordWrap/>
        <w:overflowPunct/>
        <w:topLinePunct w:val="0"/>
        <w:bidi w:val="0"/>
        <w:spacing w:line="576" w:lineRule="exact"/>
        <w:jc w:val="center"/>
        <w:textAlignment w:val="auto"/>
        <w:outlineLvl w:val="0"/>
        <w:rPr>
          <w:rFonts w:hint="eastAsia" w:ascii="方正黑体_GBK" w:hAnsi="方正黑体_GBK" w:eastAsia="方正黑体_GBK" w:cs="方正黑体_GBK"/>
          <w:color w:val="auto"/>
          <w:sz w:val="44"/>
          <w:szCs w:val="44"/>
          <w:highlight w:val="none"/>
          <w:lang w:eastAsia="zh-CN"/>
        </w:rPr>
      </w:pPr>
    </w:p>
    <w:p>
      <w:pPr>
        <w:pageBreakBefore w:val="0"/>
        <w:numPr>
          <w:ilvl w:val="0"/>
          <w:numId w:val="0"/>
        </w:numPr>
        <w:kinsoku/>
        <w:wordWrap/>
        <w:overflowPunct/>
        <w:topLinePunct w:val="0"/>
        <w:bidi w:val="0"/>
        <w:spacing w:line="576" w:lineRule="exact"/>
        <w:jc w:val="center"/>
        <w:textAlignment w:val="auto"/>
        <w:outlineLvl w:val="0"/>
        <w:rPr>
          <w:rFonts w:hint="eastAsia" w:ascii="方正黑体_GBK" w:hAnsi="方正黑体_GBK" w:eastAsia="方正黑体_GBK" w:cs="方正黑体_GBK"/>
          <w:color w:val="auto"/>
          <w:sz w:val="44"/>
          <w:szCs w:val="44"/>
          <w:highlight w:val="none"/>
          <w:lang w:eastAsia="zh-CN"/>
        </w:rPr>
      </w:pPr>
    </w:p>
    <w:p>
      <w:pPr>
        <w:pageBreakBefore w:val="0"/>
        <w:numPr>
          <w:ilvl w:val="0"/>
          <w:numId w:val="0"/>
        </w:numPr>
        <w:kinsoku/>
        <w:wordWrap/>
        <w:overflowPunct/>
        <w:topLinePunct w:val="0"/>
        <w:bidi w:val="0"/>
        <w:spacing w:line="576" w:lineRule="exact"/>
        <w:jc w:val="center"/>
        <w:textAlignment w:val="auto"/>
        <w:outlineLvl w:val="0"/>
        <w:rPr>
          <w:rFonts w:hint="eastAsia" w:ascii="方正黑体_GBK" w:hAnsi="方正黑体_GBK" w:eastAsia="方正黑体_GBK" w:cs="方正黑体_GBK"/>
          <w:color w:val="auto"/>
          <w:sz w:val="44"/>
          <w:szCs w:val="44"/>
          <w:highlight w:val="none"/>
          <w:lang w:eastAsia="zh-CN"/>
        </w:rPr>
      </w:pPr>
    </w:p>
    <w:p>
      <w:pPr>
        <w:pageBreakBefore w:val="0"/>
        <w:numPr>
          <w:ilvl w:val="0"/>
          <w:numId w:val="0"/>
        </w:numPr>
        <w:kinsoku/>
        <w:wordWrap/>
        <w:overflowPunct/>
        <w:topLinePunct w:val="0"/>
        <w:bidi w:val="0"/>
        <w:spacing w:line="576" w:lineRule="exact"/>
        <w:jc w:val="center"/>
        <w:textAlignment w:val="auto"/>
        <w:outlineLvl w:val="0"/>
        <w:rPr>
          <w:rFonts w:hint="eastAsia" w:ascii="方正黑体_GBK" w:hAnsi="方正黑体_GBK" w:eastAsia="方正黑体_GBK" w:cs="方正黑体_GBK"/>
          <w:color w:val="auto"/>
          <w:sz w:val="44"/>
          <w:szCs w:val="44"/>
          <w:highlight w:val="none"/>
          <w:lang w:eastAsia="zh-CN"/>
        </w:rPr>
      </w:pPr>
    </w:p>
    <w:p>
      <w:pPr>
        <w:pageBreakBefore w:val="0"/>
        <w:numPr>
          <w:ilvl w:val="0"/>
          <w:numId w:val="0"/>
        </w:numPr>
        <w:kinsoku/>
        <w:wordWrap/>
        <w:overflowPunct/>
        <w:topLinePunct w:val="0"/>
        <w:bidi w:val="0"/>
        <w:spacing w:line="576" w:lineRule="exact"/>
        <w:jc w:val="center"/>
        <w:textAlignment w:val="auto"/>
        <w:outlineLvl w:val="0"/>
        <w:rPr>
          <w:rFonts w:hint="eastAsia" w:ascii="方正黑体_GBK" w:hAnsi="方正黑体_GBK" w:eastAsia="方正黑体_GBK" w:cs="方正黑体_GBK"/>
          <w:color w:val="auto"/>
          <w:sz w:val="44"/>
          <w:szCs w:val="44"/>
          <w:highlight w:val="none"/>
          <w:lang w:eastAsia="zh-CN"/>
        </w:rPr>
      </w:pPr>
    </w:p>
    <w:p>
      <w:pPr>
        <w:pageBreakBefore w:val="0"/>
        <w:numPr>
          <w:ilvl w:val="0"/>
          <w:numId w:val="0"/>
        </w:numPr>
        <w:kinsoku/>
        <w:wordWrap/>
        <w:overflowPunct/>
        <w:topLinePunct w:val="0"/>
        <w:bidi w:val="0"/>
        <w:spacing w:line="576" w:lineRule="exact"/>
        <w:jc w:val="center"/>
        <w:textAlignment w:val="auto"/>
        <w:outlineLvl w:val="0"/>
        <w:rPr>
          <w:rFonts w:hint="eastAsia" w:ascii="方正黑体_GBK" w:hAnsi="方正黑体_GBK" w:eastAsia="方正黑体_GBK" w:cs="方正黑体_GBK"/>
          <w:color w:val="auto"/>
          <w:sz w:val="44"/>
          <w:szCs w:val="44"/>
          <w:highlight w:val="none"/>
          <w:lang w:eastAsia="zh-CN"/>
        </w:rPr>
      </w:pPr>
    </w:p>
    <w:p>
      <w:pPr>
        <w:pageBreakBefore w:val="0"/>
        <w:numPr>
          <w:ilvl w:val="0"/>
          <w:numId w:val="0"/>
        </w:numPr>
        <w:kinsoku/>
        <w:wordWrap/>
        <w:overflowPunct/>
        <w:topLinePunct w:val="0"/>
        <w:bidi w:val="0"/>
        <w:spacing w:line="576" w:lineRule="exact"/>
        <w:jc w:val="center"/>
        <w:textAlignment w:val="auto"/>
        <w:outlineLvl w:val="0"/>
        <w:rPr>
          <w:rFonts w:hint="eastAsia" w:ascii="方正黑体_GBK" w:hAnsi="方正黑体_GBK" w:eastAsia="方正黑体_GBK" w:cs="方正黑体_GBK"/>
          <w:color w:val="auto"/>
          <w:sz w:val="44"/>
          <w:szCs w:val="44"/>
          <w:highlight w:val="none"/>
          <w:lang w:eastAsia="zh-CN"/>
        </w:rPr>
      </w:pPr>
    </w:p>
    <w:p>
      <w:pPr>
        <w:pageBreakBefore w:val="0"/>
        <w:numPr>
          <w:ilvl w:val="0"/>
          <w:numId w:val="0"/>
        </w:numPr>
        <w:kinsoku/>
        <w:wordWrap/>
        <w:overflowPunct/>
        <w:topLinePunct w:val="0"/>
        <w:bidi w:val="0"/>
        <w:spacing w:line="576" w:lineRule="exact"/>
        <w:jc w:val="center"/>
        <w:textAlignment w:val="auto"/>
        <w:outlineLvl w:val="0"/>
        <w:rPr>
          <w:rFonts w:hint="eastAsia" w:ascii="方正黑体_GBK" w:hAnsi="方正黑体_GBK" w:eastAsia="方正黑体_GBK" w:cs="方正黑体_GBK"/>
          <w:color w:val="auto"/>
          <w:sz w:val="44"/>
          <w:szCs w:val="44"/>
          <w:highlight w:val="none"/>
          <w:lang w:eastAsia="zh-CN"/>
        </w:rPr>
      </w:pPr>
    </w:p>
    <w:p>
      <w:pPr>
        <w:pageBreakBefore w:val="0"/>
        <w:numPr>
          <w:ilvl w:val="0"/>
          <w:numId w:val="0"/>
        </w:numPr>
        <w:kinsoku/>
        <w:wordWrap/>
        <w:overflowPunct/>
        <w:topLinePunct w:val="0"/>
        <w:bidi w:val="0"/>
        <w:spacing w:line="576" w:lineRule="exact"/>
        <w:jc w:val="center"/>
        <w:textAlignment w:val="auto"/>
        <w:outlineLvl w:val="0"/>
        <w:rPr>
          <w:rFonts w:hint="eastAsia" w:ascii="方正黑体_GBK" w:hAnsi="方正黑体_GBK" w:eastAsia="方正黑体_GBK" w:cs="方正黑体_GBK"/>
          <w:color w:val="auto"/>
          <w:sz w:val="44"/>
          <w:szCs w:val="44"/>
          <w:highlight w:val="none"/>
          <w:lang w:eastAsia="zh-CN"/>
        </w:rPr>
      </w:pPr>
    </w:p>
    <w:p>
      <w:pPr>
        <w:pageBreakBefore w:val="0"/>
        <w:numPr>
          <w:ilvl w:val="0"/>
          <w:numId w:val="0"/>
        </w:numPr>
        <w:kinsoku/>
        <w:wordWrap/>
        <w:overflowPunct/>
        <w:topLinePunct w:val="0"/>
        <w:bidi w:val="0"/>
        <w:spacing w:line="576" w:lineRule="exact"/>
        <w:jc w:val="center"/>
        <w:textAlignment w:val="auto"/>
        <w:outlineLvl w:val="0"/>
        <w:rPr>
          <w:rStyle w:val="28"/>
          <w:rFonts w:hint="eastAsia" w:ascii="方正黑体_GBK" w:hAnsi="方正黑体_GBK" w:eastAsia="方正黑体_GBK" w:cs="方正黑体_GBK"/>
          <w:b w:val="0"/>
          <w:color w:val="auto"/>
          <w:highlight w:val="none"/>
        </w:rPr>
      </w:pPr>
      <w:r>
        <w:rPr>
          <w:rFonts w:hint="eastAsia" w:ascii="方正黑体_GBK" w:hAnsi="方正黑体_GBK" w:eastAsia="方正黑体_GBK" w:cs="方正黑体_GBK"/>
          <w:color w:val="auto"/>
          <w:sz w:val="44"/>
          <w:szCs w:val="44"/>
          <w:highlight w:val="none"/>
          <w:lang w:eastAsia="zh-CN"/>
        </w:rPr>
        <w:t>第三部分</w:t>
      </w:r>
      <w:r>
        <w:rPr>
          <w:rFonts w:hint="eastAsia" w:ascii="方正黑体_GBK" w:hAnsi="方正黑体_GBK" w:eastAsia="方正黑体_GBK" w:cs="方正黑体_GBK"/>
          <w:color w:val="auto"/>
          <w:sz w:val="44"/>
          <w:szCs w:val="44"/>
          <w:highlight w:val="none"/>
          <w:lang w:val="en-US" w:eastAsia="zh-CN"/>
        </w:rPr>
        <w:t xml:space="preserve"> </w:t>
      </w:r>
      <w:r>
        <w:rPr>
          <w:rFonts w:hint="eastAsia" w:ascii="方正黑体_GBK" w:hAnsi="方正黑体_GBK" w:eastAsia="方正黑体_GBK" w:cs="方正黑体_GBK"/>
          <w:color w:val="auto"/>
          <w:sz w:val="44"/>
          <w:szCs w:val="44"/>
          <w:highlight w:val="none"/>
        </w:rPr>
        <w:t>名</w:t>
      </w:r>
      <w:r>
        <w:rPr>
          <w:rStyle w:val="28"/>
          <w:rFonts w:hint="eastAsia" w:ascii="方正黑体_GBK" w:hAnsi="方正黑体_GBK" w:eastAsia="方正黑体_GBK" w:cs="方正黑体_GBK"/>
          <w:b w:val="0"/>
          <w:color w:val="auto"/>
          <w:highlight w:val="none"/>
        </w:rPr>
        <w:t>词解释</w:t>
      </w:r>
      <w:bookmarkEnd w:id="53"/>
      <w:bookmarkEnd w:id="54"/>
    </w:p>
    <w:p>
      <w:pPr>
        <w:pageBreakBefore w:val="0"/>
        <w:kinsoku/>
        <w:wordWrap/>
        <w:overflowPunct/>
        <w:topLinePunct w:val="0"/>
        <w:bidi w:val="0"/>
        <w:spacing w:line="576" w:lineRule="exact"/>
        <w:jc w:val="left"/>
        <w:textAlignment w:val="auto"/>
        <w:rPr>
          <w:rFonts w:ascii="宋体"/>
          <w:b/>
          <w:color w:val="auto"/>
          <w:sz w:val="44"/>
          <w:szCs w:val="44"/>
          <w:highlight w:val="none"/>
        </w:rPr>
      </w:pPr>
    </w:p>
    <w:p>
      <w:pPr>
        <w:pStyle w:val="26"/>
        <w:pageBreakBefore w:val="0"/>
        <w:kinsoku/>
        <w:wordWrap/>
        <w:overflowPunct/>
        <w:topLinePunct w:val="0"/>
        <w:bidi w:val="0"/>
        <w:spacing w:line="576"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val="en-US" w:eastAsia="zh-CN"/>
        </w:rPr>
        <w:t>1.</w:t>
      </w:r>
      <w:r>
        <w:rPr>
          <w:rFonts w:hint="default" w:ascii="Times New Roman" w:hAnsi="Times New Roman" w:eastAsia="方正仿宋_GBK" w:cs="Times New Roman"/>
          <w:color w:val="auto"/>
          <w:sz w:val="32"/>
          <w:szCs w:val="32"/>
        </w:rPr>
        <w:t>财政拨款收入：本科目核算行政单位从同级财政部门取得的财政预算资金。</w:t>
      </w:r>
    </w:p>
    <w:p>
      <w:pPr>
        <w:pStyle w:val="26"/>
        <w:pageBreakBefore w:val="0"/>
        <w:kinsoku/>
        <w:wordWrap/>
        <w:overflowPunct/>
        <w:topLinePunct w:val="0"/>
        <w:bidi w:val="0"/>
        <w:spacing w:line="576"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2.事业收入：本科目核算事业单位开展专业业务活动及其辅助活动取得的收入。</w:t>
      </w:r>
    </w:p>
    <w:p>
      <w:pPr>
        <w:pStyle w:val="26"/>
        <w:pageBreakBefore w:val="0"/>
        <w:kinsoku/>
        <w:wordWrap/>
        <w:overflowPunct/>
        <w:topLinePunct w:val="0"/>
        <w:bidi w:val="0"/>
        <w:spacing w:line="576"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3.经营收入：本科目核算事业单位在专业业务活动及其辅助活动之外开展非独立核算经营活动取得的收入。</w:t>
      </w:r>
    </w:p>
    <w:p>
      <w:pPr>
        <w:pStyle w:val="26"/>
        <w:pageBreakBefore w:val="0"/>
        <w:kinsoku/>
        <w:wordWrap/>
        <w:overflowPunct/>
        <w:topLinePunct w:val="0"/>
        <w:bidi w:val="0"/>
        <w:spacing w:line="576"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 xml:space="preserve">4.其他收入：事业单位本科目核算事业单位除财政补助收入、事业收入、上级补助收入、附属单位上缴收入、经营收入以外的各项收入；行政单位本科核算行政单位取得的除财政拨款收入以外的其他各项收入。 </w:t>
      </w:r>
    </w:p>
    <w:p>
      <w:pPr>
        <w:pStyle w:val="26"/>
        <w:pageBreakBefore w:val="0"/>
        <w:kinsoku/>
        <w:wordWrap/>
        <w:overflowPunct/>
        <w:topLinePunct w:val="0"/>
        <w:bidi w:val="0"/>
        <w:spacing w:line="576"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 xml:space="preserve">5.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 </w:t>
      </w:r>
    </w:p>
    <w:p>
      <w:pPr>
        <w:pStyle w:val="26"/>
        <w:pageBreakBefore w:val="0"/>
        <w:kinsoku/>
        <w:wordWrap/>
        <w:overflowPunct/>
        <w:topLinePunct w:val="0"/>
        <w:bidi w:val="0"/>
        <w:spacing w:line="576"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 xml:space="preserve">6.年初结转和结余：指以前年度尚未完成、结转到本年按有关规定继续使用的资金。 </w:t>
      </w:r>
    </w:p>
    <w:p>
      <w:pPr>
        <w:pStyle w:val="26"/>
        <w:pageBreakBefore w:val="0"/>
        <w:kinsoku/>
        <w:wordWrap/>
        <w:overflowPunct/>
        <w:topLinePunct w:val="0"/>
        <w:bidi w:val="0"/>
        <w:spacing w:line="576"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7.结余分配：指事业单位按照事业单位会计制度的规定从非财政补助结余中分配的事业基金和职工福利基金等。</w:t>
      </w:r>
    </w:p>
    <w:p>
      <w:pPr>
        <w:pStyle w:val="26"/>
        <w:pageBreakBefore w:val="0"/>
        <w:kinsoku/>
        <w:wordWrap/>
        <w:overflowPunct/>
        <w:topLinePunct w:val="0"/>
        <w:bidi w:val="0"/>
        <w:spacing w:line="576"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8</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rPr>
        <w:t>年末结转和结余：指单位按有关规定结转到下年或以后年度继续使用的资金。</w:t>
      </w:r>
    </w:p>
    <w:p>
      <w:pPr>
        <w:pageBreakBefore w:val="0"/>
        <w:kinsoku/>
        <w:wordWrap/>
        <w:overflowPunct/>
        <w:topLinePunct w:val="0"/>
        <w:bidi w:val="0"/>
        <w:spacing w:line="576"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val="en-US" w:eastAsia="zh-CN"/>
        </w:rPr>
        <w:t>9</w:t>
      </w:r>
      <w:r>
        <w:rPr>
          <w:rFonts w:hint="default" w:ascii="Times New Roman" w:hAnsi="Times New Roman" w:eastAsia="方正仿宋_GBK" w:cs="Times New Roman"/>
          <w:color w:val="auto"/>
          <w:sz w:val="32"/>
          <w:szCs w:val="32"/>
        </w:rPr>
        <w:t>.公共安全支出</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lang w:val="en-US" w:eastAsia="zh-CN"/>
        </w:rPr>
        <w:t>类）204</w:t>
      </w:r>
      <w:r>
        <w:rPr>
          <w:rFonts w:hint="default" w:ascii="Times New Roman" w:hAnsi="Times New Roman" w:eastAsia="方正仿宋_GBK" w:cs="Times New Roman"/>
          <w:color w:val="auto"/>
          <w:sz w:val="32"/>
          <w:szCs w:val="32"/>
        </w:rPr>
        <w:t>：反映政府维护社会公共安全方面的支出。</w:t>
      </w:r>
    </w:p>
    <w:p>
      <w:pPr>
        <w:pageBreakBefore w:val="0"/>
        <w:kinsoku/>
        <w:wordWrap/>
        <w:overflowPunct/>
        <w:topLinePunct w:val="0"/>
        <w:bidi w:val="0"/>
        <w:spacing w:line="576" w:lineRule="exact"/>
        <w:ind w:firstLine="640" w:firstLineChars="200"/>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10.法院（类）204（款）05：反映法院（包括各专门法院）的支出。</w:t>
      </w:r>
    </w:p>
    <w:p>
      <w:pPr>
        <w:pageBreakBefore w:val="0"/>
        <w:kinsoku/>
        <w:wordWrap/>
        <w:overflowPunct/>
        <w:topLinePunct w:val="0"/>
        <w:bidi w:val="0"/>
        <w:spacing w:line="576" w:lineRule="exact"/>
        <w:ind w:firstLine="640" w:firstLineChars="200"/>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11.行政运行（类）204（款）05（项）01：反映行政单位（包括实行公务员管理的事业单位）的基本支出。</w:t>
      </w:r>
    </w:p>
    <w:p>
      <w:pPr>
        <w:pageBreakBefore w:val="0"/>
        <w:kinsoku/>
        <w:wordWrap/>
        <w:overflowPunct/>
        <w:topLinePunct w:val="0"/>
        <w:bidi w:val="0"/>
        <w:spacing w:line="576" w:lineRule="exact"/>
        <w:ind w:firstLine="640" w:firstLineChars="200"/>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12.一般行政管理事务（类）204（款）05（项）02：反映行政单位（包括实行公务员管理的事业单位）未单独设置项级科目的其他项目支出。</w:t>
      </w:r>
    </w:p>
    <w:p>
      <w:pPr>
        <w:pageBreakBefore w:val="0"/>
        <w:kinsoku/>
        <w:wordWrap/>
        <w:overflowPunct/>
        <w:topLinePunct w:val="0"/>
        <w:bidi w:val="0"/>
        <w:spacing w:line="576" w:lineRule="exact"/>
        <w:ind w:firstLine="640" w:firstLineChars="200"/>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13.其他法院支出（类）204（款）05（项）99：反映上述项目以外其他用于法院方面的支出。</w:t>
      </w:r>
    </w:p>
    <w:p>
      <w:pPr>
        <w:pageBreakBefore w:val="0"/>
        <w:kinsoku/>
        <w:wordWrap/>
        <w:overflowPunct/>
        <w:topLinePunct w:val="0"/>
        <w:bidi w:val="0"/>
        <w:spacing w:line="576"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1</w:t>
      </w:r>
      <w:r>
        <w:rPr>
          <w:rFonts w:hint="default" w:ascii="Times New Roman" w:hAnsi="Times New Roman" w:eastAsia="方正仿宋_GBK" w:cs="Times New Roman"/>
          <w:color w:val="auto"/>
          <w:sz w:val="32"/>
          <w:szCs w:val="32"/>
          <w:lang w:val="en-US" w:eastAsia="zh-CN"/>
        </w:rPr>
        <w:t>4.</w:t>
      </w:r>
      <w:r>
        <w:rPr>
          <w:rFonts w:hint="default" w:ascii="Times New Roman" w:hAnsi="Times New Roman" w:eastAsia="方正仿宋_GBK" w:cs="Times New Roman"/>
          <w:color w:val="auto"/>
          <w:sz w:val="32"/>
          <w:szCs w:val="32"/>
        </w:rPr>
        <w:t>社会保障和就业支出</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lang w:val="en-US" w:eastAsia="zh-CN"/>
        </w:rPr>
        <w:t>类</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lang w:val="en-US" w:eastAsia="zh-CN"/>
        </w:rPr>
        <w:t>208</w:t>
      </w:r>
      <w:r>
        <w:rPr>
          <w:rFonts w:hint="default" w:ascii="Times New Roman" w:hAnsi="Times New Roman" w:eastAsia="方正仿宋_GBK" w:cs="Times New Roman"/>
          <w:color w:val="auto"/>
          <w:sz w:val="32"/>
          <w:szCs w:val="32"/>
        </w:rPr>
        <w:t>：反映政府在社会保障与就业方面的支出。</w:t>
      </w:r>
    </w:p>
    <w:p>
      <w:pPr>
        <w:pageBreakBefore w:val="0"/>
        <w:kinsoku/>
        <w:wordWrap/>
        <w:overflowPunct/>
        <w:topLinePunct w:val="0"/>
        <w:bidi w:val="0"/>
        <w:spacing w:line="576" w:lineRule="exact"/>
        <w:ind w:firstLine="640" w:firstLineChars="200"/>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15.行政事业单位养老支出（类）208（款）05：反映用于行政事业单位养老方面的支出。</w:t>
      </w:r>
    </w:p>
    <w:p>
      <w:pPr>
        <w:pageBreakBefore w:val="0"/>
        <w:kinsoku/>
        <w:wordWrap/>
        <w:overflowPunct/>
        <w:topLinePunct w:val="0"/>
        <w:bidi w:val="0"/>
        <w:spacing w:line="576" w:lineRule="exact"/>
        <w:ind w:firstLine="640" w:firstLineChars="200"/>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16.机关事业单位基本养老保险缴费支出（类）208（款）05（项）05：反映机关事业单位实施养老保险制度由单位缴纳的基本养老保险费支出。</w:t>
      </w:r>
    </w:p>
    <w:p>
      <w:pPr>
        <w:pageBreakBefore w:val="0"/>
        <w:kinsoku/>
        <w:wordWrap/>
        <w:overflowPunct/>
        <w:topLinePunct w:val="0"/>
        <w:bidi w:val="0"/>
        <w:spacing w:line="576" w:lineRule="exact"/>
        <w:ind w:firstLine="640" w:firstLineChars="200"/>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17.机关事业单位职业年金缴费支出（类）208（款）05（项）06：反映机关事业单位实施养老保险制度由单位实际缴纳的职业年金支出。</w:t>
      </w:r>
    </w:p>
    <w:p>
      <w:pPr>
        <w:pageBreakBefore w:val="0"/>
        <w:kinsoku/>
        <w:wordWrap/>
        <w:overflowPunct/>
        <w:topLinePunct w:val="0"/>
        <w:bidi w:val="0"/>
        <w:spacing w:line="576" w:lineRule="exact"/>
        <w:ind w:firstLine="640" w:firstLineChars="200"/>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rPr>
        <w:t>1</w:t>
      </w:r>
      <w:r>
        <w:rPr>
          <w:rFonts w:hint="default" w:ascii="Times New Roman" w:hAnsi="Times New Roman" w:eastAsia="方正仿宋_GBK" w:cs="Times New Roman"/>
          <w:color w:val="auto"/>
          <w:sz w:val="32"/>
          <w:szCs w:val="32"/>
          <w:lang w:val="en-US" w:eastAsia="zh-CN"/>
        </w:rPr>
        <w:t>8</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lang w:val="en-US" w:eastAsia="zh-CN"/>
        </w:rPr>
        <w:t>卫生健康支出（类）210：反映政府卫生健康方面的支出。</w:t>
      </w:r>
    </w:p>
    <w:p>
      <w:pPr>
        <w:pageBreakBefore w:val="0"/>
        <w:kinsoku/>
        <w:wordWrap/>
        <w:overflowPunct/>
        <w:topLinePunct w:val="0"/>
        <w:bidi w:val="0"/>
        <w:spacing w:line="576" w:lineRule="exact"/>
        <w:ind w:firstLine="640" w:firstLineChars="200"/>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19.行政事业单位医疗（类）210（款）11：反映行政事业单位医疗方面的支出。</w:t>
      </w:r>
    </w:p>
    <w:p>
      <w:pPr>
        <w:pageBreakBefore w:val="0"/>
        <w:kinsoku/>
        <w:wordWrap/>
        <w:overflowPunct/>
        <w:topLinePunct w:val="0"/>
        <w:bidi w:val="0"/>
        <w:spacing w:line="576" w:lineRule="exact"/>
        <w:ind w:firstLine="640" w:firstLineChars="200"/>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20.行政单位医疗（类）210（款）11（项）01：反映财政部门安排的行政单位（包括实行公务员管理的事业单位，下同）基本医疗保险缴费经费，未参加医疗保险的行政单位的公费医疗经费，按照国家规定享受离休人员、红军老战士待遇人员的医疗经费。</w:t>
      </w:r>
    </w:p>
    <w:p>
      <w:pPr>
        <w:pageBreakBefore w:val="0"/>
        <w:kinsoku/>
        <w:wordWrap/>
        <w:overflowPunct/>
        <w:topLinePunct w:val="0"/>
        <w:bidi w:val="0"/>
        <w:spacing w:line="576" w:lineRule="exact"/>
        <w:ind w:firstLine="640" w:firstLineChars="200"/>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21.公务员医疗补助（类）210（款）11（项）03：反映财政部门安排的公务员医疗补助经费。</w:t>
      </w:r>
    </w:p>
    <w:p>
      <w:pPr>
        <w:pageBreakBefore w:val="0"/>
        <w:kinsoku/>
        <w:wordWrap/>
        <w:overflowPunct/>
        <w:topLinePunct w:val="0"/>
        <w:bidi w:val="0"/>
        <w:spacing w:line="576" w:lineRule="exact"/>
        <w:ind w:firstLine="640" w:firstLineChars="200"/>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22.住房保障支出（类）221：集中反映政府用于住房方面的支出。</w:t>
      </w:r>
    </w:p>
    <w:p>
      <w:pPr>
        <w:pageBreakBefore w:val="0"/>
        <w:kinsoku/>
        <w:wordWrap/>
        <w:overflowPunct/>
        <w:topLinePunct w:val="0"/>
        <w:bidi w:val="0"/>
        <w:spacing w:line="576" w:lineRule="exact"/>
        <w:ind w:firstLine="640" w:firstLineChars="200"/>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23.住房改革支出（类）221（款）02：反映行政事业单位用财政拨款资金和其他资金等安排的住房改革支出。</w:t>
      </w:r>
    </w:p>
    <w:p>
      <w:pPr>
        <w:pageBreakBefore w:val="0"/>
        <w:kinsoku/>
        <w:wordWrap/>
        <w:overflowPunct/>
        <w:topLinePunct w:val="0"/>
        <w:bidi w:val="0"/>
        <w:spacing w:line="576" w:lineRule="exact"/>
        <w:ind w:firstLine="640" w:firstLineChars="200"/>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24.住房公积金（类）221（款）02（项）01：反映行政事业单位按人力资源和社会保障部、财政部规定的基本工资和津贴补贴以及规定比例为职工缴纳的住房公积金。</w:t>
      </w:r>
    </w:p>
    <w:p>
      <w:pPr>
        <w:pageBreakBefore w:val="0"/>
        <w:kinsoku/>
        <w:wordWrap/>
        <w:overflowPunct/>
        <w:topLinePunct w:val="0"/>
        <w:bidi w:val="0"/>
        <w:spacing w:line="576"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val="en-US" w:eastAsia="zh-CN"/>
        </w:rPr>
        <w:t>25</w:t>
      </w:r>
      <w:r>
        <w:rPr>
          <w:rFonts w:hint="default" w:ascii="Times New Roman" w:hAnsi="Times New Roman" w:eastAsia="方正仿宋_GBK" w:cs="Times New Roman"/>
          <w:color w:val="auto"/>
          <w:sz w:val="32"/>
          <w:szCs w:val="32"/>
        </w:rPr>
        <w:t>.基本支出：指为保障机构正常运转、完成日常工作任务而发生的人员支出和公用支出。</w:t>
      </w:r>
    </w:p>
    <w:p>
      <w:pPr>
        <w:pageBreakBefore w:val="0"/>
        <w:kinsoku/>
        <w:wordWrap/>
        <w:overflowPunct/>
        <w:topLinePunct w:val="0"/>
        <w:bidi w:val="0"/>
        <w:spacing w:line="576"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2</w:t>
      </w:r>
      <w:r>
        <w:rPr>
          <w:rFonts w:hint="default" w:ascii="Times New Roman" w:hAnsi="Times New Roman" w:eastAsia="方正仿宋_GBK" w:cs="Times New Roman"/>
          <w:color w:val="auto"/>
          <w:sz w:val="32"/>
          <w:szCs w:val="32"/>
          <w:lang w:val="en-US" w:eastAsia="zh-CN"/>
        </w:rPr>
        <w:t>6</w:t>
      </w:r>
      <w:r>
        <w:rPr>
          <w:rFonts w:hint="default" w:ascii="Times New Roman" w:hAnsi="Times New Roman" w:eastAsia="方正仿宋_GBK" w:cs="Times New Roman"/>
          <w:color w:val="auto"/>
          <w:sz w:val="32"/>
          <w:szCs w:val="32"/>
        </w:rPr>
        <w:t xml:space="preserve">.项目支出：指在基本支出之外为完成特定行政任务和事业发展目标所发生的支出。 </w:t>
      </w:r>
    </w:p>
    <w:p>
      <w:pPr>
        <w:pageBreakBefore w:val="0"/>
        <w:kinsoku/>
        <w:wordWrap/>
        <w:overflowPunct/>
        <w:topLinePunct w:val="0"/>
        <w:bidi w:val="0"/>
        <w:spacing w:line="576"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2</w:t>
      </w:r>
      <w:r>
        <w:rPr>
          <w:rFonts w:hint="default" w:ascii="Times New Roman" w:hAnsi="Times New Roman" w:eastAsia="方正仿宋_GBK" w:cs="Times New Roman"/>
          <w:color w:val="auto"/>
          <w:sz w:val="32"/>
          <w:szCs w:val="32"/>
          <w:lang w:val="en-US" w:eastAsia="zh-CN"/>
        </w:rPr>
        <w:t>7</w:t>
      </w:r>
      <w:r>
        <w:rPr>
          <w:rFonts w:hint="default" w:ascii="Times New Roman" w:hAnsi="Times New Roman" w:eastAsia="方正仿宋_GBK" w:cs="Times New Roman"/>
          <w:color w:val="auto"/>
          <w:sz w:val="32"/>
          <w:szCs w:val="32"/>
        </w:rPr>
        <w:t>.经营支出：指事业单位在专业业务活动及其辅助活动之外开展非独立核算经营活动发生的支出。</w:t>
      </w:r>
    </w:p>
    <w:p>
      <w:pPr>
        <w:pStyle w:val="26"/>
        <w:pageBreakBefore w:val="0"/>
        <w:kinsoku/>
        <w:wordWrap/>
        <w:overflowPunct/>
        <w:topLinePunct w:val="0"/>
        <w:bidi w:val="0"/>
        <w:spacing w:line="576"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val="en-US" w:eastAsia="zh-CN"/>
        </w:rPr>
        <w:t>28</w:t>
      </w:r>
      <w:r>
        <w:rPr>
          <w:rFonts w:hint="default" w:ascii="Times New Roman" w:hAnsi="Times New Roman" w:eastAsia="方正仿宋_GBK" w:cs="Times New Roman"/>
          <w:color w:val="auto"/>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26"/>
        <w:pageBreakBefore w:val="0"/>
        <w:kinsoku/>
        <w:wordWrap/>
        <w:overflowPunct/>
        <w:topLinePunct w:val="0"/>
        <w:bidi w:val="0"/>
        <w:spacing w:line="576"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val="en-US" w:eastAsia="zh-CN"/>
        </w:rPr>
        <w:t>29</w:t>
      </w:r>
      <w:r>
        <w:rPr>
          <w:rFonts w:hint="default" w:ascii="Times New Roman" w:hAnsi="Times New Roman" w:eastAsia="方正仿宋_GBK" w:cs="Times New Roman"/>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jc w:val="center"/>
        <w:rPr>
          <w:rStyle w:val="28"/>
          <w:rFonts w:hint="eastAsia" w:ascii="Times New Roman" w:hAnsi="Times New Roman" w:eastAsia="黑体"/>
          <w:b w:val="0"/>
          <w:color w:val="auto"/>
          <w:highlight w:val="none"/>
          <w:lang w:eastAsia="zh-CN"/>
        </w:rPr>
      </w:pPr>
      <w:r>
        <w:rPr>
          <w:rFonts w:hint="eastAsia" w:ascii="Times New Roman" w:hAnsi="Times New Roman" w:eastAsia="仿宋_GB2312" w:cs="仿宋_GB2312"/>
          <w:color w:val="auto"/>
          <w:kern w:val="2"/>
          <w:sz w:val="32"/>
          <w:szCs w:val="32"/>
          <w:highlight w:val="none"/>
          <w:lang w:val="en-US" w:eastAsia="zh-CN" w:bidi="ar-SA"/>
        </w:rPr>
        <w:br w:type="page"/>
      </w:r>
      <w:bookmarkStart w:id="56"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56"/>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报告范本</w:t>
      </w:r>
    </w:p>
    <w:p>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部门（单位）基本情况</w:t>
      </w:r>
    </w:p>
    <w:p>
      <w:pPr>
        <w:keepNext w:val="0"/>
        <w:keepLines w:val="0"/>
        <w:pageBreakBefore w:val="0"/>
        <w:widowControl w:val="0"/>
        <w:kinsoku/>
        <w:wordWrap/>
        <w:overflowPunct/>
        <w:topLinePunct w:val="0"/>
        <w:autoSpaceDE/>
        <w:autoSpaceDN/>
        <w:bidi w:val="0"/>
        <w:adjustRightInd/>
        <w:snapToGrid/>
        <w:spacing w:line="576" w:lineRule="exact"/>
        <w:ind w:firstLine="642" w:firstLineChars="200"/>
        <w:jc w:val="left"/>
        <w:textAlignment w:val="auto"/>
        <w:outlineLvl w:val="9"/>
        <w:rPr>
          <w:rFonts w:hint="default" w:ascii="Times New Roman" w:hAnsi="Times New Roman" w:eastAsia="方正仿宋_GBK" w:cs="Times New Roman"/>
          <w:sz w:val="32"/>
          <w:szCs w:val="32"/>
          <w:lang w:val="en-US" w:eastAsia="zh-CN"/>
        </w:rPr>
      </w:pPr>
      <w:r>
        <w:rPr>
          <w:rFonts w:hint="eastAsia" w:ascii="Times New Roman" w:hAnsi="Times New Roman" w:eastAsia="楷体_GB2312" w:cs="楷体_GB2312"/>
          <w:b/>
          <w:color w:val="auto"/>
          <w:sz w:val="32"/>
          <w:szCs w:val="32"/>
          <w:highlight w:val="none"/>
          <w:lang w:val="zh-CN"/>
        </w:rPr>
        <w:t>（一）</w:t>
      </w:r>
      <w:r>
        <w:rPr>
          <w:rFonts w:hint="default" w:ascii="Times New Roman" w:hAnsi="Times New Roman" w:eastAsia="楷体_GB2312" w:cs="楷体_GB2312"/>
          <w:b/>
          <w:color w:val="auto"/>
          <w:sz w:val="32"/>
          <w:szCs w:val="32"/>
          <w:highlight w:val="none"/>
          <w:lang w:val="zh-CN"/>
        </w:rPr>
        <w:t>机构组成。</w:t>
      </w:r>
      <w:r>
        <w:rPr>
          <w:rFonts w:hint="default" w:ascii="Times New Roman" w:hAnsi="Times New Roman" w:eastAsia="方正仿宋_GBK" w:cs="Times New Roman"/>
          <w:sz w:val="32"/>
          <w:szCs w:val="32"/>
          <w:lang w:val="en-US" w:eastAsia="zh-CN"/>
        </w:rPr>
        <w:t>小金县人民法院属独立法人机构，内设机构9个：综合办公室、政治处（督查室）、立案庭（诉讼服务中心）、刑事审判庭（环境资源审判庭）、民事审判庭（未成年人案件审判庭）、行政审判庭、执行局、审判管理办公室（研究室）、司法警察大队；下设基层人民法庭4个：美兴人民法庭、达维人民法庭、抚边人民法庭、汗牛人民法庭。</w:t>
      </w:r>
    </w:p>
    <w:p>
      <w:pPr>
        <w:keepNext w:val="0"/>
        <w:keepLines w:val="0"/>
        <w:pageBreakBefore w:val="0"/>
        <w:widowControl w:val="0"/>
        <w:kinsoku/>
        <w:wordWrap/>
        <w:overflowPunct/>
        <w:topLinePunct w:val="0"/>
        <w:autoSpaceDE/>
        <w:autoSpaceDN/>
        <w:bidi w:val="0"/>
        <w:adjustRightInd/>
        <w:snapToGrid/>
        <w:spacing w:line="576" w:lineRule="exact"/>
        <w:ind w:firstLine="642" w:firstLineChars="200"/>
        <w:jc w:val="left"/>
        <w:textAlignment w:val="auto"/>
        <w:outlineLvl w:val="9"/>
        <w:rPr>
          <w:rFonts w:hint="default" w:ascii="Times New Roman" w:hAnsi="Times New Roman" w:eastAsia="方正仿宋_GBK" w:cs="Times New Roman"/>
          <w:sz w:val="32"/>
          <w:szCs w:val="32"/>
          <w:lang w:val="zh-CN" w:eastAsia="zh-CN"/>
        </w:rPr>
      </w:pPr>
      <w:r>
        <w:rPr>
          <w:rFonts w:hint="default" w:ascii="Times New Roman" w:hAnsi="Times New Roman" w:eastAsia="楷体_GB2312" w:cs="楷体_GB2312"/>
          <w:b/>
          <w:color w:val="auto"/>
          <w:sz w:val="32"/>
          <w:szCs w:val="32"/>
          <w:highlight w:val="none"/>
          <w:lang w:val="zh-CN"/>
        </w:rPr>
        <w:t>（二）机构职能</w:t>
      </w:r>
      <w:r>
        <w:rPr>
          <w:rFonts w:hint="eastAsia" w:ascii="Times New Roman" w:hAnsi="Times New Roman" w:eastAsia="楷体_GB2312" w:cs="楷体_GB2312"/>
          <w:b/>
          <w:color w:val="auto"/>
          <w:sz w:val="32"/>
          <w:szCs w:val="32"/>
          <w:highlight w:val="none"/>
          <w:lang w:val="zh-CN"/>
        </w:rPr>
        <w:t>。</w:t>
      </w:r>
      <w:r>
        <w:rPr>
          <w:rFonts w:hint="eastAsia" w:ascii="Times New Roman" w:hAnsi="Times New Roman" w:eastAsia="方正仿宋_GBK" w:cs="Times New Roman"/>
          <w:sz w:val="32"/>
          <w:szCs w:val="32"/>
          <w:lang w:val="zh-CN" w:eastAsia="zh-CN"/>
        </w:rPr>
        <w:t>小金县人民法院是国家审判机关，依照法律规定独立行使审判权，对小金县人民代表大会及其常务委员会负责并报告工作。主要工作是:依法审理各类案件，全力维护小金的和谐稳定。</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default" w:ascii="Times New Roman" w:hAnsi="Times New Roman" w:eastAsia="方正仿宋_GBK" w:cs="Times New Roman"/>
          <w:sz w:val="32"/>
          <w:szCs w:val="32"/>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）人员概况</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default" w:ascii="Times New Roman" w:hAnsi="Times New Roman" w:eastAsia="仿宋_GB2312" w:cs="Times New Roman"/>
          <w:sz w:val="32"/>
          <w:szCs w:val="32"/>
          <w:lang w:val="en-US" w:eastAsia="zh-CN"/>
        </w:rPr>
        <w:t>截至</w:t>
      </w:r>
      <w:r>
        <w:rPr>
          <w:rFonts w:hint="default" w:eastAsia="仿宋_GB2312" w:cs="Times New Roman"/>
          <w:sz w:val="32"/>
          <w:szCs w:val="32"/>
          <w:lang w:val="en-US" w:eastAsia="zh-CN"/>
        </w:rPr>
        <w:t>2025</w:t>
      </w:r>
      <w:r>
        <w:rPr>
          <w:rFonts w:hint="default" w:ascii="Times New Roman" w:hAnsi="Times New Roman" w:eastAsia="仿宋_GB2312" w:cs="Times New Roman"/>
          <w:sz w:val="32"/>
          <w:szCs w:val="32"/>
          <w:lang w:val="en-US" w:eastAsia="zh-CN"/>
        </w:rPr>
        <w:t>年末，</w:t>
      </w:r>
      <w:r>
        <w:rPr>
          <w:rFonts w:hint="eastAsia" w:ascii="Times New Roman" w:hAnsi="Times New Roman" w:eastAsia="方正仿宋_GBK" w:cs="Times New Roman"/>
          <w:sz w:val="32"/>
          <w:szCs w:val="32"/>
          <w:lang w:val="zh-CN" w:eastAsia="zh-CN"/>
        </w:rPr>
        <w:t>小金县人民法院在编在职人员</w:t>
      </w:r>
      <w:r>
        <w:rPr>
          <w:rFonts w:hint="eastAsia" w:eastAsia="方正仿宋_GBK" w:cs="Times New Roman"/>
          <w:sz w:val="32"/>
          <w:szCs w:val="32"/>
          <w:lang w:val="en-US" w:eastAsia="zh-CN"/>
        </w:rPr>
        <w:t>51</w:t>
      </w:r>
      <w:r>
        <w:rPr>
          <w:rFonts w:hint="eastAsia" w:ascii="Times New Roman" w:hAnsi="Times New Roman" w:eastAsia="方正仿宋_GBK" w:cs="Times New Roman"/>
          <w:sz w:val="32"/>
          <w:szCs w:val="32"/>
          <w:lang w:val="zh-CN" w:eastAsia="zh-CN"/>
        </w:rPr>
        <w:t>人。其中政法专项编制</w:t>
      </w:r>
      <w:r>
        <w:rPr>
          <w:rFonts w:hint="eastAsia" w:ascii="Times New Roman" w:hAnsi="Times New Roman" w:eastAsia="方正仿宋_GBK" w:cs="Times New Roman"/>
          <w:sz w:val="32"/>
          <w:szCs w:val="32"/>
          <w:lang w:val="en-US" w:eastAsia="zh-CN"/>
        </w:rPr>
        <w:t>4</w:t>
      </w:r>
      <w:r>
        <w:rPr>
          <w:rFonts w:hint="eastAsia" w:eastAsia="方正仿宋_GBK" w:cs="Times New Roman"/>
          <w:sz w:val="32"/>
          <w:szCs w:val="32"/>
          <w:lang w:val="en-US" w:eastAsia="zh-CN"/>
        </w:rPr>
        <w:t>9</w:t>
      </w:r>
      <w:r>
        <w:rPr>
          <w:rFonts w:hint="eastAsia" w:ascii="Times New Roman" w:hAnsi="Times New Roman" w:eastAsia="方正仿宋_GBK" w:cs="Times New Roman"/>
          <w:sz w:val="32"/>
          <w:szCs w:val="32"/>
          <w:lang w:val="zh-CN" w:eastAsia="zh-CN"/>
        </w:rPr>
        <w:t>人，机关工勤</w:t>
      </w:r>
      <w:r>
        <w:rPr>
          <w:rFonts w:hint="eastAsia" w:ascii="Times New Roman" w:hAnsi="Times New Roman" w:eastAsia="方正仿宋_GBK" w:cs="Times New Roman"/>
          <w:sz w:val="32"/>
          <w:szCs w:val="32"/>
          <w:lang w:val="en-US" w:eastAsia="zh-CN"/>
        </w:rPr>
        <w:t>2</w:t>
      </w:r>
      <w:r>
        <w:rPr>
          <w:rFonts w:hint="eastAsia" w:ascii="Times New Roman" w:hAnsi="Times New Roman" w:eastAsia="方正仿宋_GBK" w:cs="Times New Roman"/>
          <w:sz w:val="32"/>
          <w:szCs w:val="32"/>
          <w:lang w:val="zh-CN" w:eastAsia="zh-CN"/>
        </w:rPr>
        <w:t>人。</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eastAsia="方正仿宋_GBK" w:cs="Times New Roman"/>
          <w:sz w:val="32"/>
          <w:szCs w:val="32"/>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方正仿宋_GBK" w:cs="Times New Roman"/>
          <w:sz w:val="32"/>
          <w:szCs w:val="32"/>
          <w:lang w:val="en-US" w:eastAsia="zh-CN"/>
        </w:rPr>
        <w:t>小金县人民法院</w:t>
      </w:r>
      <w:r>
        <w:rPr>
          <w:rFonts w:hint="default" w:eastAsia="方正仿宋_GBK" w:cs="Times New Roman"/>
          <w:sz w:val="32"/>
          <w:szCs w:val="32"/>
          <w:lang w:val="en-US" w:eastAsia="zh-CN"/>
        </w:rPr>
        <w:t>2025</w:t>
      </w:r>
      <w:r>
        <w:rPr>
          <w:rFonts w:hint="eastAsia" w:ascii="Times New Roman" w:hAnsi="Times New Roman" w:eastAsia="方正仿宋_GBK" w:cs="Times New Roman"/>
          <w:sz w:val="32"/>
          <w:szCs w:val="32"/>
          <w:lang w:val="zh-CN" w:eastAsia="zh-CN"/>
        </w:rPr>
        <w:t>年年初预算数收入为</w:t>
      </w:r>
      <w:r>
        <w:rPr>
          <w:rFonts w:hint="eastAsia" w:eastAsia="方正仿宋_GBK" w:cs="Times New Roman"/>
          <w:sz w:val="32"/>
          <w:szCs w:val="32"/>
          <w:lang w:val="en-US" w:eastAsia="zh-CN"/>
        </w:rPr>
        <w:t>1241.75</w:t>
      </w:r>
      <w:r>
        <w:rPr>
          <w:rFonts w:hint="eastAsia" w:ascii="Times New Roman" w:hAnsi="Times New Roman" w:eastAsia="方正仿宋_GBK" w:cs="Times New Roman"/>
          <w:sz w:val="32"/>
          <w:szCs w:val="32"/>
          <w:lang w:val="zh-CN" w:eastAsia="zh-CN"/>
        </w:rPr>
        <w:t>万元，决算报表预算收入为</w:t>
      </w:r>
      <w:r>
        <w:rPr>
          <w:rFonts w:hint="eastAsia" w:eastAsia="方正仿宋_GBK" w:cs="Times New Roman"/>
          <w:sz w:val="32"/>
          <w:szCs w:val="32"/>
          <w:lang w:val="en-US" w:eastAsia="zh-CN"/>
        </w:rPr>
        <w:t>2361.22</w:t>
      </w:r>
      <w:r>
        <w:rPr>
          <w:rFonts w:hint="eastAsia" w:ascii="Times New Roman" w:hAnsi="Times New Roman" w:eastAsia="方正仿宋_GBK" w:cs="Times New Roman"/>
          <w:sz w:val="32"/>
          <w:szCs w:val="32"/>
          <w:lang w:val="en-US" w:eastAsia="zh-CN"/>
        </w:rPr>
        <w:t>万元，年初结转</w:t>
      </w:r>
      <w:r>
        <w:rPr>
          <w:rFonts w:hint="eastAsia" w:eastAsia="方正仿宋_GBK" w:cs="Times New Roman"/>
          <w:sz w:val="32"/>
          <w:szCs w:val="32"/>
          <w:lang w:val="en-US" w:eastAsia="zh-CN"/>
        </w:rPr>
        <w:t>48.63</w:t>
      </w:r>
      <w:r>
        <w:rPr>
          <w:rFonts w:hint="eastAsia" w:ascii="Times New Roman" w:hAnsi="Times New Roman" w:eastAsia="方正仿宋_GBK" w:cs="Times New Roman"/>
          <w:sz w:val="32"/>
          <w:szCs w:val="32"/>
          <w:lang w:val="en-US" w:eastAsia="zh-CN"/>
        </w:rPr>
        <w:t>万元。</w:t>
      </w:r>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eastAsia="方正仿宋_GBK" w:cs="Times New Roman"/>
          <w:sz w:val="32"/>
          <w:szCs w:val="32"/>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二</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支出情况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方正仿宋_GBK" w:cs="Times New Roman"/>
          <w:sz w:val="32"/>
          <w:szCs w:val="32"/>
          <w:lang w:val="en-US" w:eastAsia="zh-CN"/>
        </w:rPr>
        <w:t>小小金县人民法院</w:t>
      </w:r>
      <w:r>
        <w:rPr>
          <w:rFonts w:hint="default" w:eastAsia="方正仿宋_GBK" w:cs="Times New Roman"/>
          <w:sz w:val="32"/>
          <w:szCs w:val="32"/>
          <w:lang w:val="en-US" w:eastAsia="zh-CN"/>
        </w:rPr>
        <w:t>2025</w:t>
      </w:r>
      <w:r>
        <w:rPr>
          <w:rFonts w:hint="eastAsia" w:ascii="Times New Roman" w:hAnsi="Times New Roman" w:eastAsia="方正仿宋_GBK" w:cs="Times New Roman"/>
          <w:sz w:val="32"/>
          <w:szCs w:val="32"/>
          <w:lang w:val="en-US" w:eastAsia="zh-CN"/>
        </w:rPr>
        <w:t>年年初预算支出</w:t>
      </w:r>
      <w:r>
        <w:rPr>
          <w:rFonts w:hint="eastAsia" w:eastAsia="方正仿宋_GBK" w:cs="Times New Roman"/>
          <w:sz w:val="32"/>
          <w:szCs w:val="32"/>
          <w:lang w:val="en-US" w:eastAsia="zh-CN"/>
        </w:rPr>
        <w:t>1241.75</w:t>
      </w:r>
      <w:r>
        <w:rPr>
          <w:rFonts w:hint="eastAsia" w:ascii="Times New Roman" w:hAnsi="Times New Roman" w:eastAsia="方正仿宋_GBK" w:cs="Times New Roman"/>
          <w:sz w:val="32"/>
          <w:szCs w:val="32"/>
          <w:lang w:val="en-US" w:eastAsia="zh-CN"/>
        </w:rPr>
        <w:t>万元、决算报表支出为</w:t>
      </w:r>
      <w:r>
        <w:rPr>
          <w:rFonts w:hint="eastAsia" w:eastAsia="方正仿宋_GBK" w:cs="Times New Roman"/>
          <w:sz w:val="32"/>
          <w:szCs w:val="32"/>
          <w:lang w:val="en-US" w:eastAsia="zh-CN"/>
        </w:rPr>
        <w:t>2358.93</w:t>
      </w:r>
      <w:r>
        <w:rPr>
          <w:rFonts w:hint="eastAsia" w:ascii="Times New Roman" w:hAnsi="Times New Roman" w:eastAsia="方正仿宋_GBK" w:cs="Times New Roman"/>
          <w:sz w:val="32"/>
          <w:szCs w:val="32"/>
          <w:lang w:val="en-US" w:eastAsia="zh-CN"/>
        </w:rPr>
        <w:t>万元,年末结转</w:t>
      </w:r>
      <w:r>
        <w:rPr>
          <w:rFonts w:hint="eastAsia" w:eastAsia="方正仿宋_GBK" w:cs="Times New Roman"/>
          <w:sz w:val="32"/>
          <w:szCs w:val="32"/>
          <w:lang w:val="en-US" w:eastAsia="zh-CN"/>
        </w:rPr>
        <w:t>50.92</w:t>
      </w:r>
      <w:r>
        <w:rPr>
          <w:rFonts w:hint="eastAsia" w:ascii="Times New Roman" w:hAnsi="Times New Roman" w:eastAsia="方正仿宋_GBK" w:cs="Times New Roman"/>
          <w:sz w:val="32"/>
          <w:szCs w:val="32"/>
          <w:lang w:val="en-US" w:eastAsia="zh-CN"/>
        </w:rPr>
        <w:t>万元。</w:t>
      </w:r>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eastAsia="仿宋_GB2312" w:cs="Times New Roman"/>
          <w:b w:val="0"/>
          <w:bCs w:val="0"/>
          <w:color w:val="000000"/>
          <w:kern w:val="0"/>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）结余分配和结转结余情况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方正仿宋_GBK" w:cs="Times New Roman"/>
          <w:sz w:val="32"/>
          <w:szCs w:val="32"/>
          <w:lang w:val="en-US" w:eastAsia="zh-CN"/>
        </w:rPr>
        <w:t>小金县人民法院</w:t>
      </w:r>
      <w:r>
        <w:rPr>
          <w:rFonts w:hint="default" w:eastAsia="仿宋_GB2312" w:cs="Times New Roman"/>
          <w:sz w:val="32"/>
          <w:szCs w:val="32"/>
          <w:lang w:val="en-US" w:eastAsia="zh-CN"/>
        </w:rPr>
        <w:t>2025</w:t>
      </w:r>
      <w:r>
        <w:rPr>
          <w:rFonts w:hint="eastAsia" w:ascii="Times New Roman" w:hAnsi="Times New Roman" w:eastAsia="仿宋_GB2312" w:cs="Times New Roman"/>
          <w:sz w:val="32"/>
          <w:szCs w:val="32"/>
          <w:lang w:val="en-US" w:eastAsia="zh-CN"/>
        </w:rPr>
        <w:t>年决算报表</w:t>
      </w:r>
      <w:r>
        <w:rPr>
          <w:rFonts w:hint="default" w:ascii="Times New Roman" w:hAnsi="Times New Roman" w:eastAsia="仿宋_GB2312" w:cs="Times New Roman"/>
          <w:sz w:val="32"/>
          <w:szCs w:val="32"/>
          <w:lang w:val="en-US" w:eastAsia="zh-CN"/>
        </w:rPr>
        <w:t>结转</w:t>
      </w:r>
      <w:r>
        <w:rPr>
          <w:rFonts w:hint="eastAsia" w:eastAsia="仿宋_GB2312" w:cs="Times New Roman"/>
          <w:sz w:val="32"/>
          <w:szCs w:val="32"/>
          <w:lang w:val="en-US" w:eastAsia="zh-CN"/>
        </w:rPr>
        <w:t>50.92万元</w:t>
      </w:r>
      <w:r>
        <w:rPr>
          <w:rFonts w:hint="default" w:ascii="Times New Roman" w:hAnsi="Times New Roman" w:eastAsia="仿宋_GB2312" w:cs="Times New Roman"/>
          <w:sz w:val="32"/>
          <w:szCs w:val="32"/>
          <w:lang w:val="en-US"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三、部门预算绩效分析</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方正仿宋_GBK" w:cs="Times New Roman"/>
          <w:sz w:val="32"/>
          <w:szCs w:val="32"/>
          <w:lang w:val="zh-CN" w:eastAsia="zh-CN"/>
        </w:rPr>
      </w:pPr>
      <w:r>
        <w:rPr>
          <w:rFonts w:hint="eastAsia" w:ascii="Times New Roman" w:hAnsi="Times New Roman" w:eastAsia="方正仿宋_GBK" w:cs="Times New Roman"/>
          <w:sz w:val="32"/>
          <w:szCs w:val="32"/>
          <w:lang w:val="en-US" w:eastAsia="zh-CN"/>
        </w:rPr>
        <w:t>1.</w:t>
      </w:r>
      <w:r>
        <w:rPr>
          <w:rFonts w:hint="eastAsia" w:ascii="Times New Roman" w:hAnsi="Times New Roman" w:eastAsia="方正仿宋_GBK" w:cs="Times New Roman"/>
          <w:sz w:val="32"/>
          <w:szCs w:val="32"/>
          <w:lang w:val="zh-CN" w:eastAsia="zh-CN"/>
        </w:rPr>
        <w:t>履职效能。从履职及履职效能情况来看，总体效果比较好。</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方正仿宋_GBK" w:cs="Times New Roman"/>
          <w:sz w:val="32"/>
          <w:szCs w:val="32"/>
          <w:lang w:val="zh-CN" w:eastAsia="zh-CN"/>
        </w:rPr>
      </w:pPr>
      <w:r>
        <w:rPr>
          <w:rFonts w:hint="eastAsia"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lang w:val="zh-CN" w:eastAsia="zh-CN"/>
        </w:rPr>
        <w:t>预算管理</w:t>
      </w:r>
      <w:r>
        <w:rPr>
          <w:rFonts w:hint="eastAsia" w:ascii="Times New Roman" w:hAnsi="Times New Roman" w:eastAsia="方正仿宋_GBK" w:cs="Times New Roman"/>
          <w:sz w:val="32"/>
          <w:szCs w:val="32"/>
          <w:lang w:val="zh-CN" w:eastAsia="zh-CN"/>
        </w:rPr>
        <w:t>。</w:t>
      </w:r>
      <w:r>
        <w:rPr>
          <w:rFonts w:hint="eastAsia" w:ascii="Times New Roman" w:hAnsi="Times New Roman" w:eastAsia="方正仿宋_GBK" w:cs="Times New Roman"/>
          <w:sz w:val="32"/>
          <w:szCs w:val="32"/>
          <w:lang w:val="en-US" w:eastAsia="zh-CN"/>
        </w:rPr>
        <w:t>小金县人民法院预算编制按照《预算法》有关规定，预算由预算收入和预算支出组成，政府的全部收入和支出都应当纳入预算。我单位部门预算安排支出主要用于保障该部门机构正常运转、 完成日常工作任务，年终无结余，根据例行节约要求，严控一般性支出。</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方正仿宋_GBK" w:cs="Times New Roman"/>
          <w:sz w:val="32"/>
          <w:szCs w:val="32"/>
          <w:lang w:val="zh-CN" w:eastAsia="zh-CN"/>
        </w:rPr>
      </w:pPr>
      <w:r>
        <w:rPr>
          <w:rFonts w:hint="eastAsia" w:ascii="Times New Roman" w:hAnsi="Times New Roman" w:eastAsia="方正仿宋_GBK" w:cs="Times New Roman"/>
          <w:sz w:val="32"/>
          <w:szCs w:val="32"/>
          <w:lang w:val="en-US" w:eastAsia="zh-CN"/>
        </w:rPr>
        <w:t>3.</w:t>
      </w:r>
      <w:r>
        <w:rPr>
          <w:rFonts w:hint="default" w:ascii="Times New Roman" w:hAnsi="Times New Roman" w:eastAsia="方正仿宋_GBK" w:cs="Times New Roman"/>
          <w:sz w:val="32"/>
          <w:szCs w:val="32"/>
          <w:lang w:val="zh-CN" w:eastAsia="zh-CN"/>
        </w:rPr>
        <w:t>财务管理</w:t>
      </w:r>
      <w:r>
        <w:rPr>
          <w:rFonts w:hint="eastAsia" w:ascii="Times New Roman" w:hAnsi="Times New Roman" w:eastAsia="方正仿宋_GBK" w:cs="Times New Roman"/>
          <w:sz w:val="32"/>
          <w:szCs w:val="32"/>
          <w:lang w:val="zh-CN" w:eastAsia="zh-CN"/>
        </w:rPr>
        <w:t>。办公室下设置财务部门，配备会计、出纳各1名，做到岗位分离，建立《小金县人民法院财务管理制度》，专人负责财务印章，确保会计信息的合法性、真实性、完整性，做到账证、账账、账表和账实相符。单位内部监督部门每年不定期对会计工作规范进行监督检查，我院资金使用符合相关财务管理制度。</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4.</w:t>
      </w:r>
      <w:r>
        <w:rPr>
          <w:rFonts w:hint="default" w:ascii="Times New Roman" w:hAnsi="Times New Roman" w:eastAsia="方正仿宋_GBK" w:cs="Times New Roman"/>
          <w:sz w:val="32"/>
          <w:szCs w:val="32"/>
          <w:lang w:val="zh-CN" w:eastAsia="zh-CN"/>
        </w:rPr>
        <w:t>资产管理</w:t>
      </w:r>
      <w:r>
        <w:rPr>
          <w:rFonts w:hint="eastAsia" w:ascii="Times New Roman" w:hAnsi="Times New Roman" w:eastAsia="方正仿宋_GBK" w:cs="Times New Roman"/>
          <w:sz w:val="32"/>
          <w:szCs w:val="32"/>
          <w:lang w:val="zh-CN" w:eastAsia="zh-CN"/>
        </w:rPr>
        <w:t>。根据我院《固定资产管理制度》，由财务室对各庭室与基层法庭在用的固定资产建立登记台账，明确责任，定期对各庭室资产清查盘点，我院资产利用率达到</w:t>
      </w:r>
      <w:r>
        <w:rPr>
          <w:rFonts w:hint="eastAsia" w:ascii="Times New Roman" w:hAnsi="Times New Roman" w:eastAsia="方正仿宋_GBK" w:cs="Times New Roman"/>
          <w:sz w:val="32"/>
          <w:szCs w:val="32"/>
          <w:lang w:val="en-US" w:eastAsia="zh-CN"/>
        </w:rPr>
        <w:t>100%。</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方正仿宋_GBK" w:cs="Times New Roman"/>
          <w:sz w:val="32"/>
          <w:szCs w:val="32"/>
          <w:lang w:val="zh-CN" w:eastAsia="zh-CN"/>
        </w:rPr>
      </w:pPr>
      <w:r>
        <w:rPr>
          <w:rFonts w:hint="eastAsia"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lang w:val="zh-CN" w:eastAsia="zh-CN"/>
        </w:rPr>
        <w:t>采购管理</w:t>
      </w:r>
      <w:r>
        <w:rPr>
          <w:rFonts w:hint="eastAsia" w:ascii="Times New Roman" w:hAnsi="Times New Roman" w:eastAsia="方正仿宋_GBK" w:cs="Times New Roman"/>
          <w:sz w:val="32"/>
          <w:szCs w:val="32"/>
          <w:lang w:val="zh-CN" w:eastAsia="zh-CN"/>
        </w:rPr>
        <w:t>。根据《中华人民共和国政府采购法》等规章制度的有关规定，明确我院政府采购内部运行规程，促进政府采购工作规范运作，提高政府采购工作效率，制定采购管理制度。明确政府采购程序主要包括编制政府采购预算、汇编政府采购计划、确定并执行采购方式、委托代理机构、订立及履行采购合同、验收，资金拨付、结算等。</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2" w:firstLineChars="200"/>
        <w:contextualSpacing/>
        <w:jc w:val="both"/>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highlight w:val="none"/>
          <w:lang w:val="en-US" w:eastAsia="zh-CN"/>
        </w:rPr>
        <w:t>常年项目绩效分析。</w:t>
      </w:r>
      <w:r>
        <w:rPr>
          <w:rFonts w:hint="default" w:ascii="Times New Roman" w:hAnsi="Times New Roman" w:eastAsia="方正仿宋_GBK" w:cs="Times New Roman"/>
          <w:sz w:val="32"/>
          <w:szCs w:val="32"/>
          <w:highlight w:val="none"/>
          <w:lang w:val="zh-CN" w:eastAsia="zh-CN"/>
        </w:rPr>
        <w:t>该类项目总数</w:t>
      </w:r>
      <w:r>
        <w:rPr>
          <w:rFonts w:hint="eastAsia" w:eastAsia="方正仿宋_GBK" w:cs="Times New Roman"/>
          <w:sz w:val="32"/>
          <w:szCs w:val="32"/>
          <w:highlight w:val="none"/>
          <w:lang w:val="en-US" w:eastAsia="zh-CN"/>
        </w:rPr>
        <w:t>1</w:t>
      </w:r>
      <w:r>
        <w:rPr>
          <w:rFonts w:hint="default" w:ascii="Times New Roman" w:hAnsi="Times New Roman" w:eastAsia="方正仿宋_GBK" w:cs="Times New Roman"/>
          <w:sz w:val="32"/>
          <w:szCs w:val="32"/>
          <w:highlight w:val="none"/>
          <w:lang w:val="zh-CN" w:eastAsia="zh-CN"/>
        </w:rPr>
        <w:t>个，涉及预算总金额</w:t>
      </w:r>
      <w:r>
        <w:rPr>
          <w:rFonts w:hint="eastAsia" w:ascii="Times New Roman" w:hAnsi="Times New Roman" w:eastAsia="方正仿宋_GBK" w:cs="Times New Roman"/>
          <w:sz w:val="32"/>
          <w:szCs w:val="32"/>
          <w:highlight w:val="none"/>
          <w:lang w:val="en-US" w:eastAsia="zh-CN"/>
        </w:rPr>
        <w:t>597.73</w:t>
      </w:r>
      <w:r>
        <w:rPr>
          <w:rFonts w:hint="default" w:ascii="Times New Roman" w:hAnsi="Times New Roman" w:eastAsia="方正仿宋_GBK" w:cs="Times New Roman"/>
          <w:sz w:val="32"/>
          <w:szCs w:val="32"/>
          <w:highlight w:val="none"/>
          <w:lang w:val="zh-CN" w:eastAsia="zh-CN"/>
        </w:rPr>
        <w:t>万元，1</w:t>
      </w:r>
      <w:r>
        <w:rPr>
          <w:rFonts w:hint="eastAsia" w:ascii="Times New Roman" w:hAnsi="Times New Roman" w:eastAsia="方正仿宋_GBK" w:cs="Times New Roman"/>
          <w:sz w:val="32"/>
          <w:szCs w:val="32"/>
          <w:highlight w:val="none"/>
          <w:lang w:val="zh-CN" w:eastAsia="zh-CN"/>
        </w:rPr>
        <w:t>—</w:t>
      </w:r>
      <w:r>
        <w:rPr>
          <w:rFonts w:hint="default" w:ascii="Times New Roman" w:hAnsi="Times New Roman" w:eastAsia="方正仿宋_GBK" w:cs="Times New Roman"/>
          <w:sz w:val="32"/>
          <w:szCs w:val="32"/>
          <w:highlight w:val="none"/>
          <w:lang w:val="zh-CN" w:eastAsia="zh-CN"/>
        </w:rPr>
        <w:t>1</w:t>
      </w:r>
      <w:r>
        <w:rPr>
          <w:rFonts w:hint="default" w:ascii="Times New Roman" w:hAnsi="Times New Roman" w:eastAsia="方正仿宋_GBK" w:cs="Times New Roman"/>
          <w:sz w:val="32"/>
          <w:szCs w:val="32"/>
          <w:highlight w:val="none"/>
          <w:lang w:val="en-US" w:eastAsia="zh-CN"/>
        </w:rPr>
        <w:t>2</w:t>
      </w:r>
      <w:r>
        <w:rPr>
          <w:rFonts w:hint="default" w:ascii="Times New Roman" w:hAnsi="Times New Roman" w:eastAsia="方正仿宋_GBK" w:cs="Times New Roman"/>
          <w:sz w:val="32"/>
          <w:szCs w:val="32"/>
          <w:highlight w:val="none"/>
          <w:lang w:val="zh-CN" w:eastAsia="zh-CN"/>
        </w:rPr>
        <w:t>月预算</w:t>
      </w:r>
      <w:r>
        <w:rPr>
          <w:rFonts w:hint="default" w:ascii="Times New Roman" w:hAnsi="Times New Roman" w:eastAsia="方正仿宋_GBK" w:cs="Times New Roman"/>
          <w:sz w:val="32"/>
          <w:szCs w:val="32"/>
          <w:lang w:val="zh-CN" w:eastAsia="zh-CN"/>
        </w:rPr>
        <w:t>执行总体进度为</w:t>
      </w:r>
      <w:r>
        <w:rPr>
          <w:rFonts w:hint="eastAsia" w:eastAsia="方正仿宋_GBK" w:cs="Times New Roman"/>
          <w:sz w:val="32"/>
          <w:szCs w:val="32"/>
          <w:lang w:val="en-US" w:eastAsia="zh-CN"/>
        </w:rPr>
        <w:t>89.08</w:t>
      </w:r>
      <w:r>
        <w:rPr>
          <w:rFonts w:hint="default" w:ascii="Times New Roman" w:hAnsi="Times New Roman" w:eastAsia="方正仿宋_GBK" w:cs="Times New Roman"/>
          <w:sz w:val="32"/>
          <w:szCs w:val="32"/>
          <w:lang w:val="zh-CN"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val="en-US" w:eastAsia="zh-CN"/>
        </w:rPr>
        <w:t>阶段</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一次性</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项目绩效分析。</w:t>
      </w:r>
      <w:r>
        <w:rPr>
          <w:rFonts w:hint="default" w:ascii="Times New Roman" w:hAnsi="Times New Roman" w:eastAsia="方正仿宋_GBK" w:cs="Times New Roman"/>
          <w:sz w:val="32"/>
          <w:szCs w:val="32"/>
          <w:lang w:val="zh-CN" w:eastAsia="zh-CN"/>
        </w:rPr>
        <w:t>该类项目总数</w:t>
      </w:r>
      <w:r>
        <w:rPr>
          <w:rFonts w:hint="eastAsia"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lang w:val="zh-CN" w:eastAsia="zh-CN"/>
        </w:rPr>
        <w:t>个，涉及预算总金额</w:t>
      </w:r>
      <w:r>
        <w:rPr>
          <w:rFonts w:hint="eastAsia"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lang w:val="zh-CN" w:eastAsia="zh-CN"/>
        </w:rPr>
        <w:t>万元，1</w:t>
      </w:r>
      <w:r>
        <w:rPr>
          <w:rFonts w:hint="eastAsia" w:ascii="Times New Roman" w:hAnsi="Times New Roman" w:eastAsia="方正仿宋_GBK" w:cs="Times New Roman"/>
          <w:sz w:val="32"/>
          <w:szCs w:val="32"/>
          <w:lang w:val="zh-CN" w:eastAsia="zh-CN"/>
        </w:rPr>
        <w:t>—</w:t>
      </w:r>
      <w:r>
        <w:rPr>
          <w:rFonts w:hint="default" w:ascii="Times New Roman" w:hAnsi="Times New Roman" w:eastAsia="方正仿宋_GBK" w:cs="Times New Roman"/>
          <w:sz w:val="32"/>
          <w:szCs w:val="32"/>
          <w:lang w:val="zh-CN" w:eastAsia="zh-CN"/>
        </w:rPr>
        <w:t>1</w:t>
      </w:r>
      <w:r>
        <w:rPr>
          <w:rFonts w:hint="default"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lang w:val="zh-CN" w:eastAsia="zh-CN"/>
        </w:rPr>
        <w:t>月预算执行总体进度为</w:t>
      </w:r>
      <w:r>
        <w:rPr>
          <w:rFonts w:hint="eastAsia"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lang w:val="zh-CN" w:eastAsia="zh-CN"/>
        </w:rPr>
        <w:t>%，其中：预算结余率大于</w:t>
      </w:r>
      <w:r>
        <w:rPr>
          <w:rFonts w:hint="default" w:ascii="Times New Roman" w:hAnsi="Times New Roman" w:eastAsia="方正仿宋_GBK" w:cs="Times New Roman"/>
          <w:sz w:val="32"/>
          <w:szCs w:val="32"/>
          <w:lang w:val="en-US" w:eastAsia="zh-CN"/>
        </w:rPr>
        <w:t>10%</w:t>
      </w:r>
      <w:r>
        <w:rPr>
          <w:rFonts w:hint="default" w:ascii="Times New Roman" w:hAnsi="Times New Roman" w:eastAsia="方正仿宋_GBK" w:cs="Times New Roman"/>
          <w:sz w:val="32"/>
          <w:szCs w:val="32"/>
          <w:lang w:val="zh-CN" w:eastAsia="zh-CN"/>
        </w:rPr>
        <w:t>的项目共计</w:t>
      </w:r>
      <w:r>
        <w:rPr>
          <w:rFonts w:hint="eastAsia"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lang w:val="zh-CN" w:eastAsia="zh-CN"/>
        </w:rPr>
        <w:t>个。</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方正仿宋_GBK" w:cs="Times New Roman"/>
          <w:sz w:val="32"/>
          <w:szCs w:val="32"/>
          <w:lang w:val="zh-CN" w:eastAsia="zh-CN"/>
        </w:rPr>
      </w:pPr>
      <w:r>
        <w:rPr>
          <w:rFonts w:hint="eastAsia" w:ascii="Times New Roman" w:hAnsi="Times New Roman" w:eastAsia="方正仿宋_GBK" w:cs="Times New Roman"/>
          <w:sz w:val="32"/>
          <w:szCs w:val="32"/>
          <w:lang w:val="en-US" w:eastAsia="zh-CN"/>
        </w:rPr>
        <w:t>1.</w:t>
      </w:r>
      <w:r>
        <w:rPr>
          <w:rFonts w:hint="eastAsia" w:ascii="Times New Roman" w:hAnsi="Times New Roman" w:eastAsia="方正仿宋_GBK" w:cs="Times New Roman"/>
          <w:sz w:val="32"/>
          <w:szCs w:val="32"/>
          <w:lang w:val="zh-CN" w:eastAsia="zh-CN"/>
        </w:rPr>
        <w:t>项目决策。我院项目在规定的时间内完成了项目入库，其中决策程序合法合规，项目绩效目标与计划期内的任务量、预算安排的资金量相匹配，绩效目标设置科学合理、规范完整、量化细化</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2.项目执行</w:t>
      </w:r>
      <w:r>
        <w:rPr>
          <w:rFonts w:hint="eastAsia" w:ascii="Times New Roman" w:hAnsi="Times New Roman" w:eastAsia="方正仿宋_GBK" w:cs="Times New Roman"/>
          <w:sz w:val="32"/>
          <w:szCs w:val="32"/>
          <w:lang w:val="zh-CN" w:eastAsia="zh-CN"/>
        </w:rPr>
        <w:t>。部门预算项目实际列支内容与绩效目标设置方向相符</w:t>
      </w:r>
      <w:r>
        <w:rPr>
          <w:rFonts w:hint="eastAsia" w:ascii="Times New Roman" w:hAnsi="Times New Roman" w:eastAsia="方正仿宋_GBK" w:cs="Times New Roman"/>
          <w:sz w:val="32"/>
          <w:szCs w:val="32"/>
          <w:lang w:val="en-US" w:eastAsia="zh-CN"/>
        </w:rPr>
        <w:t>,项目预算执行情况良好。</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3.</w:t>
      </w:r>
      <w:r>
        <w:rPr>
          <w:rFonts w:hint="eastAsia" w:ascii="Times New Roman" w:hAnsi="Times New Roman" w:eastAsia="方正仿宋_GBK" w:cs="Times New Roman"/>
          <w:sz w:val="32"/>
          <w:szCs w:val="32"/>
          <w:highlight w:val="none"/>
          <w:lang w:val="zh-CN" w:eastAsia="zh-CN"/>
        </w:rPr>
        <w:t>目标实现。项目绩效目标数量指标完成情况良好，项目绩效目标数量指标实现程度与预期目标的无偏离，项目绩效目标效益指标实施达到预期效果，案件服判息诉率</w:t>
      </w:r>
      <w:r>
        <w:rPr>
          <w:rFonts w:hint="eastAsia" w:ascii="Times New Roman" w:hAnsi="Times New Roman" w:eastAsia="方正仿宋_GBK" w:cs="仿宋_GB2312"/>
          <w:sz w:val="32"/>
          <w:szCs w:val="32"/>
          <w:lang w:val="en-US" w:eastAsia="zh-CN"/>
        </w:rPr>
        <w:t>95.48</w:t>
      </w:r>
      <w:r>
        <w:rPr>
          <w:rFonts w:hint="eastAsia" w:ascii="Times New Roman" w:hAnsi="Times New Roman" w:eastAsia="方正仿宋_GBK" w:cs="Times New Roman"/>
          <w:sz w:val="32"/>
          <w:szCs w:val="32"/>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eastAsia="方正仿宋_GBK" w:cs="Times New Roman"/>
          <w:sz w:val="32"/>
          <w:szCs w:val="32"/>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eastAsia="楷体_GB2312" w:cs="Times New Roman"/>
          <w:b/>
          <w:bCs/>
          <w:color w:val="000000"/>
          <w:kern w:val="0"/>
          <w:sz w:val="32"/>
          <w:szCs w:val="32"/>
          <w:highlight w:val="none"/>
          <w:shd w:val="clear" w:color="auto" w:fill="FFFFFF"/>
          <w:lang w:val="en-US" w:eastAsia="zh-CN"/>
        </w:rPr>
        <w:t>三</w:t>
      </w:r>
      <w:r>
        <w:rPr>
          <w:rFonts w:hint="default" w:ascii="Times New Roman" w:hAnsi="Times New Roman" w:eastAsia="楷体_GB2312" w:cs="Times New Roman"/>
          <w:b/>
          <w:bCs/>
          <w:color w:val="000000"/>
          <w:kern w:val="0"/>
          <w:sz w:val="32"/>
          <w:szCs w:val="32"/>
          <w:highlight w:val="none"/>
          <w:shd w:val="clear" w:color="auto" w:fill="FFFFFF"/>
          <w:lang w:val="zh-CN" w:eastAsia="zh-CN"/>
        </w:rPr>
        <w:t>）绩效结果应用情况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方正仿宋_GBK" w:cs="Times New Roman"/>
          <w:sz w:val="32"/>
          <w:szCs w:val="32"/>
          <w:lang w:val="en-US" w:eastAsia="zh-CN"/>
        </w:rPr>
        <w:t xml:space="preserve">从预算、执行、资金支付等流程层层把关，严格按照部门预算进行部门整体支出，涉及“三重一大”事项必须经过会。所有项目资金严格按照项目申报的实施方案组织实施，并责成项目实施科室加强日常监督，依据相应的资金管理办法切实做到项目资金专项专用，无截留、无挪用等现象。预算及决算按照财政局要求在州政府门户网站上进行公开。 </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方正黑体_GBK" w:hAnsi="方正黑体_GBK" w:eastAsia="方正黑体_GBK" w:cs="方正黑体_GBK"/>
          <w:color w:val="000000"/>
          <w:kern w:val="0"/>
          <w:sz w:val="32"/>
          <w:szCs w:val="32"/>
          <w:highlight w:val="none"/>
          <w:shd w:val="clear" w:color="auto" w:fill="FFFFFF"/>
          <w:lang w:val="zh-CN"/>
        </w:rPr>
      </w:pPr>
      <w:r>
        <w:rPr>
          <w:rFonts w:hint="default" w:ascii="方正黑体_GBK" w:hAnsi="方正黑体_GBK" w:eastAsia="方正黑体_GBK" w:cs="方正黑体_GBK"/>
          <w:color w:val="000000"/>
          <w:kern w:val="0"/>
          <w:sz w:val="32"/>
          <w:szCs w:val="32"/>
          <w:highlight w:val="none"/>
          <w:shd w:val="clear" w:color="auto" w:fill="FFFFFF"/>
          <w:lang w:val="zh-CN" w:eastAsia="zh-CN"/>
        </w:rPr>
        <w:t>四、</w:t>
      </w:r>
      <w:r>
        <w:rPr>
          <w:rFonts w:hint="default" w:ascii="方正黑体_GBK" w:hAnsi="方正黑体_GBK" w:eastAsia="方正黑体_GBK" w:cs="方正黑体_GBK"/>
          <w:color w:val="000000"/>
          <w:kern w:val="0"/>
          <w:sz w:val="32"/>
          <w:szCs w:val="32"/>
          <w:highlight w:val="none"/>
          <w:shd w:val="clear" w:color="auto" w:fill="FFFFFF"/>
          <w:lang w:val="zh-CN"/>
        </w:rPr>
        <w:t>评价结论及建议</w:t>
      </w:r>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eastAsia="方正仿宋_GBK" w:cs="Times New Roman"/>
          <w:sz w:val="32"/>
          <w:szCs w:val="32"/>
          <w:highlight w:val="none"/>
          <w:lang w:val="en-US" w:eastAsia="zh-CN"/>
        </w:rPr>
      </w:pPr>
      <w:r>
        <w:rPr>
          <w:rFonts w:hint="default" w:ascii="方正楷体_GBK" w:hAnsi="方正楷体_GBK" w:eastAsia="方正楷体_GBK" w:cs="方正楷体_GBK"/>
          <w:b/>
          <w:bCs/>
          <w:color w:val="000000"/>
          <w:kern w:val="0"/>
          <w:sz w:val="32"/>
          <w:szCs w:val="32"/>
          <w:highlight w:val="none"/>
          <w:shd w:val="clear" w:color="auto" w:fill="FFFFFF"/>
          <w:lang w:val="zh-CN"/>
        </w:rPr>
        <w:t>（一）评价结论</w:t>
      </w:r>
      <w:r>
        <w:rPr>
          <w:rFonts w:hint="default" w:ascii="方正楷体_GBK" w:hAnsi="方正楷体_GBK" w:eastAsia="方正楷体_GBK" w:cs="方正楷体_GBK"/>
          <w:b/>
          <w:bCs/>
          <w:color w:val="000000"/>
          <w:kern w:val="0"/>
          <w:sz w:val="32"/>
          <w:szCs w:val="32"/>
          <w:highlight w:val="none"/>
          <w:shd w:val="clear" w:color="auto" w:fill="FFFFFF"/>
          <w:lang w:val="zh-CN" w:eastAsia="zh-CN"/>
        </w:rPr>
        <w:t>。</w:t>
      </w:r>
      <w:r>
        <w:rPr>
          <w:rFonts w:hint="eastAsia" w:ascii="Times New Roman" w:hAnsi="Times New Roman" w:eastAsia="方正仿宋_GBK" w:cs="Times New Roman"/>
          <w:sz w:val="32"/>
          <w:szCs w:val="32"/>
          <w:highlight w:val="none"/>
          <w:lang w:val="en-US" w:eastAsia="zh-CN"/>
        </w:rPr>
        <w:t>法院各项资金使用情况良好，自评得分均在95分以上，有效的保障了刑事、民事、行政案件审理、案件执行及日常办公办案业务的正常开展及业务装备配备，使年度内服判息诉率高达</w:t>
      </w:r>
      <w:r>
        <w:rPr>
          <w:rFonts w:hint="eastAsia" w:ascii="Times New Roman" w:hAnsi="Times New Roman" w:eastAsia="方正仿宋_GBK" w:cs="仿宋_GB2312"/>
          <w:sz w:val="32"/>
          <w:szCs w:val="32"/>
          <w:highlight w:val="none"/>
          <w:lang w:val="en-US" w:eastAsia="zh-CN"/>
        </w:rPr>
        <w:t>95.48</w:t>
      </w:r>
      <w:r>
        <w:rPr>
          <w:rFonts w:hint="eastAsia" w:ascii="Times New Roman" w:hAnsi="Times New Roman" w:eastAsia="方正仿宋_GBK" w:cs="Times New Roman"/>
          <w:sz w:val="32"/>
          <w:szCs w:val="32"/>
          <w:highlight w:val="none"/>
          <w:lang w:val="en-US" w:eastAsia="zh-CN"/>
        </w:rPr>
        <w:t>%。</w:t>
      </w:r>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eastAsia" w:ascii="Times New Roman" w:hAnsi="Times New Roman" w:eastAsia="方正仿宋_GBK" w:cs="Times New Roman"/>
          <w:sz w:val="32"/>
          <w:szCs w:val="32"/>
          <w:lang w:val="en-US" w:eastAsia="zh-CN"/>
        </w:rPr>
      </w:pPr>
      <w:r>
        <w:rPr>
          <w:rFonts w:hint="default" w:ascii="方正楷体_GBK" w:hAnsi="方正楷体_GBK" w:eastAsia="方正楷体_GBK" w:cs="方正楷体_GBK"/>
          <w:b/>
          <w:bCs/>
          <w:color w:val="000000"/>
          <w:kern w:val="0"/>
          <w:sz w:val="32"/>
          <w:szCs w:val="32"/>
          <w:highlight w:val="none"/>
          <w:shd w:val="clear" w:color="auto" w:fill="FFFFFF"/>
          <w:lang w:val="zh-CN"/>
        </w:rPr>
        <w:t>（二）存在问题。</w:t>
      </w:r>
      <w:r>
        <w:rPr>
          <w:rFonts w:hint="eastAsia" w:ascii="Times New Roman" w:hAnsi="Times New Roman" w:eastAsia="方正仿宋_GBK" w:cs="Times New Roman"/>
          <w:sz w:val="32"/>
          <w:szCs w:val="32"/>
          <w:lang w:val="en-US" w:eastAsia="zh-CN"/>
        </w:rPr>
        <w:t>无</w:t>
      </w:r>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eastAsia" w:ascii="Times New Roman" w:hAnsi="Times New Roman" w:eastAsia="方正仿宋_GBK" w:cs="Times New Roman"/>
          <w:sz w:val="32"/>
          <w:szCs w:val="32"/>
          <w:lang w:val="en-US" w:eastAsia="zh-CN"/>
        </w:rPr>
      </w:pPr>
      <w:r>
        <w:rPr>
          <w:rFonts w:hint="default" w:ascii="方正楷体_GBK" w:hAnsi="方正楷体_GBK" w:eastAsia="方正楷体_GBK" w:cs="方正楷体_GBK"/>
          <w:b/>
          <w:bCs/>
          <w:color w:val="000000"/>
          <w:kern w:val="0"/>
          <w:sz w:val="32"/>
          <w:szCs w:val="32"/>
          <w:highlight w:val="none"/>
          <w:shd w:val="clear" w:color="auto" w:fill="FFFFFF"/>
          <w:lang w:val="zh-CN" w:eastAsia="zh-CN"/>
        </w:rPr>
        <w:t>（三）改进建议。</w:t>
      </w:r>
      <w:bookmarkStart w:id="57" w:name="_Hlk110546638"/>
      <w:r>
        <w:rPr>
          <w:rFonts w:hint="eastAsia" w:ascii="Times New Roman" w:hAnsi="Times New Roman" w:eastAsia="方正仿宋_GBK" w:cs="Times New Roman"/>
          <w:sz w:val="32"/>
          <w:szCs w:val="32"/>
          <w:lang w:val="en-US" w:eastAsia="zh-CN"/>
        </w:rPr>
        <w:t>一是我院将加强对预算绩效评价工作的重视，由专人负责；二是财政应加强部门预算整体绩效评价报告编写工作的培训。</w:t>
      </w:r>
    </w:p>
    <w:bookmarkEnd w:id="57"/>
    <w:p>
      <w:pPr>
        <w:pStyle w:val="2"/>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w:t>
      </w:r>
      <w:r>
        <w:rPr>
          <w:rFonts w:hint="default" w:ascii="Times New Roman" w:eastAsia="仿宋_GB2312" w:cs="Times New Roman"/>
          <w:kern w:val="2"/>
          <w:sz w:val="32"/>
          <w:szCs w:val="32"/>
          <w:u w:val="none"/>
          <w:lang w:val="en-US" w:eastAsia="zh-CN" w:bidi="ar"/>
        </w:rPr>
        <w:t>2025</w:t>
      </w:r>
      <w:r>
        <w:rPr>
          <w:rFonts w:hint="eastAsia" w:ascii="Times New Roman" w:hAnsi="Times New Roman" w:eastAsia="仿宋_GB2312" w:cs="Times New Roman"/>
          <w:kern w:val="2"/>
          <w:sz w:val="32"/>
          <w:szCs w:val="32"/>
          <w:u w:val="none"/>
          <w:lang w:val="en-US" w:eastAsia="zh-CN" w:bidi="ar"/>
        </w:rPr>
        <w:t>年度）</w:t>
      </w:r>
    </w:p>
    <w:p>
      <w:pPr>
        <w:pStyle w:val="2"/>
        <w:keepNext w:val="0"/>
        <w:keepLines w:val="0"/>
        <w:pageBreakBefore w:val="0"/>
        <w:numPr>
          <w:ilvl w:val="0"/>
          <w:numId w:val="0"/>
        </w:numPr>
        <w:kinsoku/>
        <w:wordWrap/>
        <w:overflowPunct/>
        <w:topLinePunct w:val="0"/>
        <w:autoSpaceDE/>
        <w:autoSpaceDN/>
        <w:bidi w:val="0"/>
        <w:spacing w:line="240" w:lineRule="auto"/>
        <w:textAlignment w:val="auto"/>
        <w:rPr>
          <w:rFonts w:hint="eastAsia" w:ascii="Times New Roman" w:hAnsi="Times New Roman" w:cs="Times New Roman"/>
          <w:sz w:val="32"/>
          <w:szCs w:val="32"/>
          <w:highlight w:val="yellow"/>
          <w:lang w:val="zh-CN" w:eastAsia="zh-CN"/>
        </w:rPr>
      </w:pPr>
      <w:r>
        <w:rPr>
          <w:rFonts w:hint="eastAsia" w:ascii="Times New Roman" w:hAnsi="Times New Roman" w:cs="Times New Roman"/>
          <w:sz w:val="32"/>
          <w:szCs w:val="32"/>
          <w:highlight w:val="yellow"/>
          <w:lang w:val="zh-CN" w:eastAsia="zh-CN"/>
        </w:rPr>
        <w:drawing>
          <wp:inline distT="0" distB="0" distL="114300" distR="114300">
            <wp:extent cx="5272405" cy="7525385"/>
            <wp:effectExtent l="0" t="0" r="4445" b="18415"/>
            <wp:docPr id="6" name="图片 6" descr="绩效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绩效0001"/>
                    <pic:cNvPicPr>
                      <a:picLocks noChangeAspect="1"/>
                    </pic:cNvPicPr>
                  </pic:nvPicPr>
                  <pic:blipFill>
                    <a:blip r:embed="rId14"/>
                    <a:stretch>
                      <a:fillRect/>
                    </a:stretch>
                  </pic:blipFill>
                  <pic:spPr>
                    <a:xfrm>
                      <a:off x="0" y="0"/>
                      <a:ext cx="5272405" cy="7525385"/>
                    </a:xfrm>
                    <a:prstGeom prst="rect">
                      <a:avLst/>
                    </a:prstGeom>
                  </pic:spPr>
                </pic:pic>
              </a:graphicData>
            </a:graphic>
          </wp:inline>
        </w:drawing>
      </w:r>
    </w:p>
    <w:p>
      <w:pPr>
        <w:pStyle w:val="7"/>
        <w:rPr>
          <w:rFonts w:hint="eastAsia" w:ascii="Times New Roman" w:hAnsi="Times New Roman" w:cs="宋体"/>
          <w:color w:val="FF0000"/>
          <w:kern w:val="0"/>
          <w:sz w:val="32"/>
          <w:szCs w:val="32"/>
          <w:highlight w:val="yellow"/>
          <w:shd w:val="clear" w:color="auto" w:fill="FFFFFF"/>
          <w:lang w:val="zh-CN"/>
        </w:rPr>
      </w:pPr>
    </w:p>
    <w:p>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pPr>
        <w:widowControl/>
        <w:jc w:val="center"/>
        <w:rPr>
          <w:rFonts w:hint="eastAsia" w:ascii="Times New Roman" w:hAnsi="Times New Roman" w:eastAsia="仿宋"/>
          <w:b w:val="0"/>
          <w:color w:val="auto"/>
          <w:highlight w:val="none"/>
        </w:rPr>
      </w:pPr>
      <w:bookmarkStart w:id="58" w:name="_Toc15396618"/>
      <w:r>
        <w:rPr>
          <w:rFonts w:hint="eastAsia" w:ascii="Times New Roman" w:hAnsi="Times New Roman" w:eastAsia="黑体"/>
          <w:color w:val="auto"/>
          <w:sz w:val="44"/>
          <w:szCs w:val="44"/>
          <w:highlight w:val="none"/>
        </w:rPr>
        <w:t>第</w:t>
      </w:r>
      <w:r>
        <w:rPr>
          <w:rStyle w:val="28"/>
          <w:rFonts w:hint="eastAsia" w:ascii="Times New Roman" w:hAnsi="Times New Roman" w:eastAsia="黑体"/>
          <w:b w:val="0"/>
          <w:color w:val="auto"/>
          <w:highlight w:val="none"/>
        </w:rPr>
        <w:t>五部分 附表</w:t>
      </w:r>
      <w:bookmarkEnd w:id="55"/>
      <w:bookmarkEnd w:id="58"/>
      <w:bookmarkStart w:id="59" w:name="_Toc15396619"/>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9"/>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0"/>
      <w:r>
        <w:rPr>
          <w:rFonts w:hint="eastAsia" w:ascii="Times New Roman" w:hAnsi="Times New Roman" w:eastAsia="仿宋_GB2312" w:cs="仿宋_GB2312"/>
          <w:color w:val="auto"/>
          <w:sz w:val="32"/>
          <w:szCs w:val="32"/>
          <w:highlight w:val="none"/>
        </w:rPr>
        <w:t>二、收入决算表</w:t>
      </w:r>
      <w:bookmarkEnd w:id="60"/>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1"/>
      <w:r>
        <w:rPr>
          <w:rFonts w:hint="eastAsia" w:ascii="Times New Roman" w:hAnsi="Times New Roman" w:eastAsia="仿宋_GB2312" w:cs="仿宋_GB2312"/>
          <w:color w:val="auto"/>
          <w:sz w:val="32"/>
          <w:szCs w:val="32"/>
          <w:highlight w:val="none"/>
        </w:rPr>
        <w:t>三、支出决算表</w:t>
      </w:r>
      <w:bookmarkEnd w:id="61"/>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2"/>
      <w:r>
        <w:rPr>
          <w:rFonts w:hint="eastAsia" w:ascii="Times New Roman" w:hAnsi="Times New Roman" w:eastAsia="仿宋_GB2312" w:cs="仿宋_GB2312"/>
          <w:color w:val="auto"/>
          <w:sz w:val="32"/>
          <w:szCs w:val="32"/>
          <w:highlight w:val="none"/>
        </w:rPr>
        <w:t>四、财政拨款收入支出决算总表</w:t>
      </w:r>
      <w:bookmarkEnd w:id="62"/>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23"/>
      <w:r>
        <w:rPr>
          <w:rFonts w:hint="eastAsia" w:ascii="Times New Roman" w:hAnsi="Times New Roman" w:eastAsia="仿宋_GB2312" w:cs="仿宋_GB2312"/>
          <w:color w:val="auto"/>
          <w:sz w:val="32"/>
          <w:szCs w:val="32"/>
          <w:highlight w:val="none"/>
        </w:rPr>
        <w:t>五、财政拨款支出决算明细表</w:t>
      </w:r>
      <w:bookmarkEnd w:id="63"/>
      <w:bookmarkStart w:id="64" w:name="_Toc15396624"/>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64"/>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5" w:name="_Toc15396625"/>
      <w:r>
        <w:rPr>
          <w:rFonts w:hint="eastAsia" w:ascii="Times New Roman" w:hAnsi="Times New Roman" w:eastAsia="仿宋_GB2312" w:cs="仿宋_GB2312"/>
          <w:color w:val="auto"/>
          <w:sz w:val="32"/>
          <w:szCs w:val="32"/>
          <w:highlight w:val="none"/>
        </w:rPr>
        <w:t>七、一般公共预算财政拨款支出决算明细表</w:t>
      </w:r>
      <w:bookmarkEnd w:id="65"/>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6" w:name="_Toc15396626"/>
      <w:r>
        <w:rPr>
          <w:rFonts w:hint="eastAsia" w:ascii="Times New Roman" w:hAnsi="Times New Roman" w:eastAsia="仿宋_GB2312" w:cs="仿宋_GB2312"/>
          <w:color w:val="auto"/>
          <w:sz w:val="32"/>
          <w:szCs w:val="32"/>
          <w:highlight w:val="none"/>
        </w:rPr>
        <w:t>八、一般公共预算财政拨款基本支出决算表</w:t>
      </w:r>
      <w:bookmarkEnd w:id="66"/>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7" w:name="_Toc15396627"/>
      <w:r>
        <w:rPr>
          <w:rFonts w:hint="eastAsia" w:ascii="Times New Roman" w:hAnsi="Times New Roman" w:eastAsia="仿宋_GB2312" w:cs="仿宋_GB2312"/>
          <w:color w:val="auto"/>
          <w:sz w:val="32"/>
          <w:szCs w:val="32"/>
          <w:highlight w:val="none"/>
        </w:rPr>
        <w:t>九、一般公共预算财政拨款项目支出决算表</w:t>
      </w:r>
      <w:bookmarkEnd w:id="67"/>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8" w:name="_Toc15396628"/>
      <w:r>
        <w:rPr>
          <w:rFonts w:hint="eastAsia" w:ascii="Times New Roman" w:hAnsi="Times New Roman" w:eastAsia="仿宋_GB2312" w:cs="仿宋_GB2312"/>
          <w:color w:val="auto"/>
          <w:sz w:val="32"/>
          <w:szCs w:val="32"/>
          <w:highlight w:val="none"/>
        </w:rPr>
        <w:t>十、</w:t>
      </w:r>
      <w:bookmarkEnd w:id="68"/>
      <w:r>
        <w:rPr>
          <w:rFonts w:hint="eastAsia" w:ascii="Times New Roman" w:hAnsi="Times New Roman" w:eastAsia="仿宋_GB2312" w:cs="仿宋_GB2312"/>
          <w:color w:val="auto"/>
          <w:sz w:val="32"/>
          <w:szCs w:val="32"/>
          <w:highlight w:val="none"/>
        </w:rPr>
        <w:t>政府性基金预算财政拨款收入支出决算表</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9" w:name="_Toc15396629"/>
      <w:r>
        <w:rPr>
          <w:rFonts w:hint="eastAsia" w:ascii="Times New Roman" w:hAnsi="Times New Roman" w:eastAsia="仿宋_GB2312" w:cs="仿宋_GB2312"/>
          <w:color w:val="auto"/>
          <w:sz w:val="32"/>
          <w:szCs w:val="32"/>
          <w:highlight w:val="none"/>
        </w:rPr>
        <w:t>十一、</w:t>
      </w:r>
      <w:bookmarkEnd w:id="69"/>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0" w:name="_Toc15396630"/>
      <w:r>
        <w:rPr>
          <w:rFonts w:hint="eastAsia" w:ascii="Times New Roman" w:hAnsi="Times New Roman" w:eastAsia="仿宋_GB2312" w:cs="仿宋_GB2312"/>
          <w:color w:val="auto"/>
          <w:sz w:val="32"/>
          <w:szCs w:val="32"/>
          <w:highlight w:val="none"/>
        </w:rPr>
        <w:t>十二、</w:t>
      </w:r>
      <w:bookmarkEnd w:id="70"/>
      <w:r>
        <w:rPr>
          <w:rFonts w:hint="eastAsia" w:ascii="Times New Roman" w:hAnsi="Times New Roman" w:eastAsia="仿宋_GB2312" w:cs="仿宋_GB2312"/>
          <w:color w:val="auto"/>
          <w:sz w:val="32"/>
          <w:szCs w:val="32"/>
          <w:highlight w:val="none"/>
          <w:lang w:eastAsia="zh-CN"/>
        </w:rPr>
        <w:t>国有资本经营预算财政拨款支出决算表</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71" w:name="_Toc15396631"/>
      <w:r>
        <w:rPr>
          <w:rFonts w:hint="eastAsia" w:ascii="Times New Roman" w:hAnsi="Times New Roman" w:eastAsia="仿宋_GB2312" w:cs="仿宋_GB2312"/>
          <w:color w:val="auto"/>
          <w:sz w:val="32"/>
          <w:szCs w:val="32"/>
          <w:highlight w:val="none"/>
        </w:rPr>
        <w:t>十三、</w:t>
      </w:r>
      <w:bookmarkEnd w:id="71"/>
      <w:r>
        <w:rPr>
          <w:rFonts w:hint="eastAsia" w:ascii="Times New Roman" w:hAnsi="Times New Roman" w:eastAsia="仿宋_GB2312" w:cs="仿宋_GB2312"/>
          <w:color w:val="auto"/>
          <w:sz w:val="32"/>
          <w:szCs w:val="32"/>
          <w:highlight w:val="none"/>
          <w:lang w:eastAsia="zh-CN"/>
        </w:rPr>
        <w:t>财政拨款“三公”经费支出决算表</w:t>
      </w:r>
    </w:p>
    <w:p>
      <w:pPr>
        <w:rPr>
          <w:rFonts w:hint="eastAsia" w:ascii="Times New Roman" w:hAnsi="Times New Roman"/>
          <w:lang w:eastAsia="zh-CN"/>
        </w:rPr>
      </w:pPr>
    </w:p>
    <w:sectPr>
      <w:headerReference r:id="rId4" w:type="first"/>
      <w:footerReference r:id="rId6" w:type="first"/>
      <w:headerReference r:id="rId3" w:type="default"/>
      <w:footerReference r:id="rId5" w:type="default"/>
      <w:pgSz w:w="11906" w:h="16838"/>
      <w:pgMar w:top="1440" w:right="1800" w:bottom="1440" w:left="1800" w:header="851" w:footer="992" w:gutter="0"/>
      <w:pgNumType w:fmt="decimal"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书宋_GBK">
    <w:panose1 w:val="02000000000000000000"/>
    <w:charset w:val="86"/>
    <w:family w:val="auto"/>
    <w:pitch w:val="default"/>
    <w:sig w:usb0="00000001" w:usb1="08000000" w:usb2="00000000" w:usb3="00000000" w:csb0="00040000" w:csb1="00000000"/>
  </w:font>
  <w:font w:name="Cambria">
    <w:panose1 w:val="02040803050406030204"/>
    <w:charset w:val="00"/>
    <w:family w:val="roman"/>
    <w:pitch w:val="default"/>
    <w:sig w:usb0="E00006FF" w:usb1="4000045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
    <w:altName w:val="华文中宋"/>
    <w:panose1 w:val="00000000000000000000"/>
    <w:charset w:val="00"/>
    <w:family w:val="roman"/>
    <w:pitch w:val="default"/>
    <w:sig w:usb0="00000000" w:usb1="00000000" w:usb2="00000000" w:usb3="00000000" w:csb0="00000000" w:csb1="00000000"/>
  </w:font>
  <w:font w:name="华文中宋">
    <w:panose1 w:val="02010600040101010101"/>
    <w:charset w:val="86"/>
    <w:family w:val="auto"/>
    <w:pitch w:val="default"/>
    <w:sig w:usb0="00000287" w:usb1="080F0000" w:usb2="00000000" w:usb3="00000000" w:csb0="0004009F" w:csb1="DFD70000"/>
  </w:font>
  <w:font w:name="方正小标宋简体">
    <w:panose1 w:val="02000000000000000000"/>
    <w:charset w:val="86"/>
    <w:family w:val="script"/>
    <w:pitch w:val="default"/>
    <w:sig w:usb0="A00002BF" w:usb1="184F6CFA" w:usb2="00000012" w:usb3="00000000" w:csb0="00040001" w:csb1="00000000"/>
  </w:font>
  <w:font w:name="方正小标宋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both"/>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6wA4ejECAABjBAAADgAAAAAAAAABACAAAAA1&#10;AQAAZHJzL2Uyb0RvYy54bWxQSwUGAAAAAAYABgBZAQAA2AU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2</w:t>
                    </w:r>
                    <w:r>
                      <w:fldChar w:fldCharType="end"/>
                    </w:r>
                  </w:p>
                </w:txbxContent>
              </v:textbox>
            </v:shape>
          </w:pict>
        </mc:Fallback>
      </mc:AlternateContent>
    </w:r>
  </w:p>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s/vGRMQIAAGM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bP7xkTECAABjBAAADgAAAAAAAAABACAAAAA1&#10;AQAAZHJzL2Uyb0RvYy54bWxQSwUGAAAAAAYABgBZAQAA2AU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2FEBE30"/>
    <w:rsid w:val="04916F1E"/>
    <w:rsid w:val="061E35DE"/>
    <w:rsid w:val="066E0107"/>
    <w:rsid w:val="07996F6E"/>
    <w:rsid w:val="07DFD8BA"/>
    <w:rsid w:val="09867E8F"/>
    <w:rsid w:val="0A2032A3"/>
    <w:rsid w:val="0CA8290A"/>
    <w:rsid w:val="0D35B1ED"/>
    <w:rsid w:val="0E254B6B"/>
    <w:rsid w:val="0F98263C"/>
    <w:rsid w:val="101860EC"/>
    <w:rsid w:val="101F47CC"/>
    <w:rsid w:val="10C055FF"/>
    <w:rsid w:val="11694EBD"/>
    <w:rsid w:val="11772AA4"/>
    <w:rsid w:val="118107EC"/>
    <w:rsid w:val="12E24EE2"/>
    <w:rsid w:val="13D50BC4"/>
    <w:rsid w:val="14B17F78"/>
    <w:rsid w:val="165E0673"/>
    <w:rsid w:val="16B831D5"/>
    <w:rsid w:val="16BB723D"/>
    <w:rsid w:val="17E50567"/>
    <w:rsid w:val="186504BB"/>
    <w:rsid w:val="19A445FC"/>
    <w:rsid w:val="1BE8440E"/>
    <w:rsid w:val="1D155CEE"/>
    <w:rsid w:val="1D1638FE"/>
    <w:rsid w:val="1E312DEB"/>
    <w:rsid w:val="1E740ACF"/>
    <w:rsid w:val="1FF35744"/>
    <w:rsid w:val="1FF6BC77"/>
    <w:rsid w:val="2186353C"/>
    <w:rsid w:val="23860B96"/>
    <w:rsid w:val="240371BF"/>
    <w:rsid w:val="244F3473"/>
    <w:rsid w:val="24C97D99"/>
    <w:rsid w:val="25A718F0"/>
    <w:rsid w:val="25BB59F6"/>
    <w:rsid w:val="260F557C"/>
    <w:rsid w:val="26970054"/>
    <w:rsid w:val="281408E2"/>
    <w:rsid w:val="29FD04D3"/>
    <w:rsid w:val="2BFF7BC6"/>
    <w:rsid w:val="2C8A61B5"/>
    <w:rsid w:val="2DF04E50"/>
    <w:rsid w:val="2E586DFA"/>
    <w:rsid w:val="2F040D46"/>
    <w:rsid w:val="2F6B035B"/>
    <w:rsid w:val="2FAE5751"/>
    <w:rsid w:val="2FB1A395"/>
    <w:rsid w:val="2FD9A7D8"/>
    <w:rsid w:val="2FDBF714"/>
    <w:rsid w:val="30AB6865"/>
    <w:rsid w:val="319F7F4E"/>
    <w:rsid w:val="32BD1EF1"/>
    <w:rsid w:val="3304709D"/>
    <w:rsid w:val="33A773CB"/>
    <w:rsid w:val="349D6851"/>
    <w:rsid w:val="36AA5135"/>
    <w:rsid w:val="36BE0DA7"/>
    <w:rsid w:val="37574609"/>
    <w:rsid w:val="376B6AA6"/>
    <w:rsid w:val="376D39B2"/>
    <w:rsid w:val="37E16F03"/>
    <w:rsid w:val="37F53A3B"/>
    <w:rsid w:val="389B6C89"/>
    <w:rsid w:val="38D469F0"/>
    <w:rsid w:val="39627CCD"/>
    <w:rsid w:val="397BAF1F"/>
    <w:rsid w:val="3AB79AF3"/>
    <w:rsid w:val="3AE834C0"/>
    <w:rsid w:val="3B7EF35A"/>
    <w:rsid w:val="3B9FDB6C"/>
    <w:rsid w:val="3BF5BC2F"/>
    <w:rsid w:val="3CEBA265"/>
    <w:rsid w:val="3D98207C"/>
    <w:rsid w:val="3DEE7CF3"/>
    <w:rsid w:val="3DF1FC43"/>
    <w:rsid w:val="3E740A63"/>
    <w:rsid w:val="3E78745D"/>
    <w:rsid w:val="3EE17838"/>
    <w:rsid w:val="3F55381A"/>
    <w:rsid w:val="3F7F7599"/>
    <w:rsid w:val="3FF4CAE0"/>
    <w:rsid w:val="3FF7B227"/>
    <w:rsid w:val="44E268DA"/>
    <w:rsid w:val="450D13D7"/>
    <w:rsid w:val="45506656"/>
    <w:rsid w:val="486A6C7A"/>
    <w:rsid w:val="4A627F82"/>
    <w:rsid w:val="4B0E749A"/>
    <w:rsid w:val="4B2477C4"/>
    <w:rsid w:val="4B4F25DA"/>
    <w:rsid w:val="4BE068DB"/>
    <w:rsid w:val="4D577224"/>
    <w:rsid w:val="4DBF1CEB"/>
    <w:rsid w:val="4DF0007C"/>
    <w:rsid w:val="4EAB630A"/>
    <w:rsid w:val="4ECE2238"/>
    <w:rsid w:val="4F833267"/>
    <w:rsid w:val="4FE9BD67"/>
    <w:rsid w:val="4FFB052F"/>
    <w:rsid w:val="537E6D0A"/>
    <w:rsid w:val="53F74C96"/>
    <w:rsid w:val="55170BA8"/>
    <w:rsid w:val="553218C9"/>
    <w:rsid w:val="567E1AA5"/>
    <w:rsid w:val="56E47B74"/>
    <w:rsid w:val="57175D52"/>
    <w:rsid w:val="57BD3DD4"/>
    <w:rsid w:val="5AF92295"/>
    <w:rsid w:val="5B250254"/>
    <w:rsid w:val="5BDD79E6"/>
    <w:rsid w:val="5BF561CA"/>
    <w:rsid w:val="5BFF5DFC"/>
    <w:rsid w:val="5CD71FC4"/>
    <w:rsid w:val="5D1F11B5"/>
    <w:rsid w:val="5D695134"/>
    <w:rsid w:val="5DAE1B18"/>
    <w:rsid w:val="5DE7D9E5"/>
    <w:rsid w:val="5ECEC941"/>
    <w:rsid w:val="5FAB5326"/>
    <w:rsid w:val="5FBF9FF3"/>
    <w:rsid w:val="5FCD4E2C"/>
    <w:rsid w:val="5FE7B4FE"/>
    <w:rsid w:val="5FEF394A"/>
    <w:rsid w:val="5FF67715"/>
    <w:rsid w:val="5FFBFAFE"/>
    <w:rsid w:val="60DA6B54"/>
    <w:rsid w:val="62BF3928"/>
    <w:rsid w:val="63B3701E"/>
    <w:rsid w:val="63E37825"/>
    <w:rsid w:val="647F5392"/>
    <w:rsid w:val="65AF4A1A"/>
    <w:rsid w:val="65E66580"/>
    <w:rsid w:val="664B1D71"/>
    <w:rsid w:val="664B4E8E"/>
    <w:rsid w:val="67277B67"/>
    <w:rsid w:val="67AA3209"/>
    <w:rsid w:val="698D0931"/>
    <w:rsid w:val="69EF168C"/>
    <w:rsid w:val="6A7FE5F3"/>
    <w:rsid w:val="6B053271"/>
    <w:rsid w:val="6BDD78B3"/>
    <w:rsid w:val="6C4A05C8"/>
    <w:rsid w:val="6C8742B8"/>
    <w:rsid w:val="6D1F224C"/>
    <w:rsid w:val="6DBF5E93"/>
    <w:rsid w:val="6DFF077E"/>
    <w:rsid w:val="6E714EF0"/>
    <w:rsid w:val="6E7E3605"/>
    <w:rsid w:val="6E7FDCC7"/>
    <w:rsid w:val="6ED6A62E"/>
    <w:rsid w:val="6EE00B15"/>
    <w:rsid w:val="6F6FB3EB"/>
    <w:rsid w:val="6F8731EA"/>
    <w:rsid w:val="6FCE6052"/>
    <w:rsid w:val="6FD57C00"/>
    <w:rsid w:val="6FEFFFD8"/>
    <w:rsid w:val="6FF5CC65"/>
    <w:rsid w:val="6FFB47EC"/>
    <w:rsid w:val="6FFEEC6C"/>
    <w:rsid w:val="6FFF034A"/>
    <w:rsid w:val="70484440"/>
    <w:rsid w:val="712A28F1"/>
    <w:rsid w:val="715C0E4B"/>
    <w:rsid w:val="71992E7C"/>
    <w:rsid w:val="72233669"/>
    <w:rsid w:val="722F0BF6"/>
    <w:rsid w:val="72734D90"/>
    <w:rsid w:val="73160E6D"/>
    <w:rsid w:val="7332FE48"/>
    <w:rsid w:val="737FE521"/>
    <w:rsid w:val="73AB61DA"/>
    <w:rsid w:val="73AD73D5"/>
    <w:rsid w:val="73B6EB34"/>
    <w:rsid w:val="73F38449"/>
    <w:rsid w:val="73FA497D"/>
    <w:rsid w:val="744731E5"/>
    <w:rsid w:val="74BBD01D"/>
    <w:rsid w:val="74ED5379"/>
    <w:rsid w:val="75DEEEC2"/>
    <w:rsid w:val="75E32345"/>
    <w:rsid w:val="76E3355F"/>
    <w:rsid w:val="76FF5125"/>
    <w:rsid w:val="776F6FFA"/>
    <w:rsid w:val="778769C8"/>
    <w:rsid w:val="77A75DCA"/>
    <w:rsid w:val="77DC22F5"/>
    <w:rsid w:val="783E271A"/>
    <w:rsid w:val="78616DE9"/>
    <w:rsid w:val="78E875D7"/>
    <w:rsid w:val="79086DAD"/>
    <w:rsid w:val="79D7FD79"/>
    <w:rsid w:val="79EE5BA4"/>
    <w:rsid w:val="79FF0482"/>
    <w:rsid w:val="7A894339"/>
    <w:rsid w:val="7AD284E8"/>
    <w:rsid w:val="7AFDEA78"/>
    <w:rsid w:val="7AFF7572"/>
    <w:rsid w:val="7B6C7DFB"/>
    <w:rsid w:val="7B937107"/>
    <w:rsid w:val="7BBDEB88"/>
    <w:rsid w:val="7BBFBED0"/>
    <w:rsid w:val="7BC3E394"/>
    <w:rsid w:val="7C1F3737"/>
    <w:rsid w:val="7CBFC87B"/>
    <w:rsid w:val="7CFE0F48"/>
    <w:rsid w:val="7D272ABC"/>
    <w:rsid w:val="7D7EC23E"/>
    <w:rsid w:val="7E8ADEBF"/>
    <w:rsid w:val="7EEF11D3"/>
    <w:rsid w:val="7EFE4840"/>
    <w:rsid w:val="7F0971A6"/>
    <w:rsid w:val="7F1D62E7"/>
    <w:rsid w:val="7F3F679B"/>
    <w:rsid w:val="7F4FC4EF"/>
    <w:rsid w:val="7F5E4D54"/>
    <w:rsid w:val="7F6E0135"/>
    <w:rsid w:val="7F79F205"/>
    <w:rsid w:val="7FA30C79"/>
    <w:rsid w:val="7FA79C44"/>
    <w:rsid w:val="7FAF8ABF"/>
    <w:rsid w:val="7FB7269E"/>
    <w:rsid w:val="7FC96657"/>
    <w:rsid w:val="7FDA9588"/>
    <w:rsid w:val="7FDF220F"/>
    <w:rsid w:val="7FEDC5F7"/>
    <w:rsid w:val="7FEDD9DE"/>
    <w:rsid w:val="7FF5890D"/>
    <w:rsid w:val="7FF93490"/>
    <w:rsid w:val="8EFCEC76"/>
    <w:rsid w:val="99FF2014"/>
    <w:rsid w:val="9FB77965"/>
    <w:rsid w:val="A6DD0D7F"/>
    <w:rsid w:val="A76FCED9"/>
    <w:rsid w:val="A7FEB993"/>
    <w:rsid w:val="ACFF4FBB"/>
    <w:rsid w:val="ADC6F725"/>
    <w:rsid w:val="AF75B3F6"/>
    <w:rsid w:val="B7CF06AB"/>
    <w:rsid w:val="B7CFA926"/>
    <w:rsid w:val="B7F8786B"/>
    <w:rsid w:val="BABB6AA1"/>
    <w:rsid w:val="BAFFCC0D"/>
    <w:rsid w:val="BB2F4199"/>
    <w:rsid w:val="BCFFB442"/>
    <w:rsid w:val="BD079C78"/>
    <w:rsid w:val="BD733540"/>
    <w:rsid w:val="BF3735D5"/>
    <w:rsid w:val="BF7F09AC"/>
    <w:rsid w:val="BFD475C3"/>
    <w:rsid w:val="BFDE5EA6"/>
    <w:rsid w:val="BFFFBEB9"/>
    <w:rsid w:val="CBFA07C4"/>
    <w:rsid w:val="CF6FC6F3"/>
    <w:rsid w:val="CFD3D3D7"/>
    <w:rsid w:val="CFDF1009"/>
    <w:rsid w:val="D3B760BA"/>
    <w:rsid w:val="D7D7B16A"/>
    <w:rsid w:val="D8D6DB89"/>
    <w:rsid w:val="DB6F4CAB"/>
    <w:rsid w:val="DB777682"/>
    <w:rsid w:val="DC40D822"/>
    <w:rsid w:val="DD1FB521"/>
    <w:rsid w:val="DEFBFEAE"/>
    <w:rsid w:val="DF1F3B80"/>
    <w:rsid w:val="DF6F9789"/>
    <w:rsid w:val="DFE9BE81"/>
    <w:rsid w:val="DFFFA9E8"/>
    <w:rsid w:val="E5F4E9DC"/>
    <w:rsid w:val="E70FE695"/>
    <w:rsid w:val="E9DDDD5C"/>
    <w:rsid w:val="EB2E368B"/>
    <w:rsid w:val="ECFA58C4"/>
    <w:rsid w:val="ECFED1BC"/>
    <w:rsid w:val="ED1D69BB"/>
    <w:rsid w:val="ED7FD312"/>
    <w:rsid w:val="EDB5C68C"/>
    <w:rsid w:val="EECBD692"/>
    <w:rsid w:val="EF2E1AC6"/>
    <w:rsid w:val="EF53993F"/>
    <w:rsid w:val="EF6FD633"/>
    <w:rsid w:val="EFBFB2F4"/>
    <w:rsid w:val="EFBFFA21"/>
    <w:rsid w:val="EFFFDC5C"/>
    <w:rsid w:val="F2BEBCB8"/>
    <w:rsid w:val="F36FB518"/>
    <w:rsid w:val="F3DE1A04"/>
    <w:rsid w:val="F3F722E5"/>
    <w:rsid w:val="F4FBCD07"/>
    <w:rsid w:val="F5FE1F96"/>
    <w:rsid w:val="F7CB9DE4"/>
    <w:rsid w:val="FA5F1E70"/>
    <w:rsid w:val="FA5FDB97"/>
    <w:rsid w:val="FB7F486A"/>
    <w:rsid w:val="FBDEC5EB"/>
    <w:rsid w:val="FBFF5B2E"/>
    <w:rsid w:val="FC6F609B"/>
    <w:rsid w:val="FD7FFE2B"/>
    <w:rsid w:val="FDEAAF52"/>
    <w:rsid w:val="FDEE196B"/>
    <w:rsid w:val="FDFE6575"/>
    <w:rsid w:val="FEDFDDC2"/>
    <w:rsid w:val="FEED32F6"/>
    <w:rsid w:val="FEF781DD"/>
    <w:rsid w:val="FF3F7E3F"/>
    <w:rsid w:val="FFBA12D7"/>
    <w:rsid w:val="FFCBD314"/>
    <w:rsid w:val="FFD73D88"/>
    <w:rsid w:val="FFDFF91C"/>
    <w:rsid w:val="FFDFFAEE"/>
    <w:rsid w:val="FFEDC37B"/>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6">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99"/>
    <w:pPr>
      <w:ind w:firstLine="420" w:firstLineChars="200"/>
    </w:pPr>
  </w:style>
  <w:style w:type="paragraph" w:styleId="3">
    <w:name w:val="Body Text Indent"/>
    <w:basedOn w:val="1"/>
    <w:qFormat/>
    <w:uiPriority w:val="0"/>
    <w:pPr>
      <w:spacing w:after="120"/>
      <w:ind w:leftChars="200"/>
    </w:pPr>
    <w:rPr>
      <w:rFonts w:ascii="仿宋_GB2312"/>
      <w:szCs w:val="32"/>
    </w:rPr>
  </w:style>
  <w:style w:type="paragraph" w:styleId="7">
    <w:name w:val="Body Text"/>
    <w:basedOn w:val="1"/>
    <w:link w:val="25"/>
    <w:qFormat/>
    <w:uiPriority w:val="99"/>
    <w:pPr>
      <w:spacing w:beforeLines="30"/>
    </w:pPr>
    <w:rPr>
      <w:rFonts w:ascii="仿宋_GB2312" w:eastAsia="仿宋_GB2312"/>
      <w:kern w:val="0"/>
      <w:sz w:val="30"/>
    </w:r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2"/>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7"/>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4"/>
    <w:qFormat/>
    <w:uiPriority w:val="9"/>
    <w:rPr>
      <w:rFonts w:ascii="Times New Roman" w:hAnsi="Times New Roman"/>
      <w:b/>
      <w:bCs/>
      <w:kern w:val="44"/>
      <w:sz w:val="44"/>
      <w:szCs w:val="44"/>
    </w:rPr>
  </w:style>
  <w:style w:type="character" w:customStyle="1" w:styleId="29">
    <w:name w:val="标题 2 Char"/>
    <w:basedOn w:val="16"/>
    <w:link w:val="5"/>
    <w:qFormat/>
    <w:uiPriority w:val="9"/>
    <w:rPr>
      <w:rFonts w:asciiTheme="majorHAnsi" w:hAnsiTheme="majorHAnsi" w:eastAsiaTheme="majorEastAsia" w:cstheme="majorBidi"/>
      <w:b/>
      <w:bCs/>
      <w:kern w:val="2"/>
      <w:sz w:val="32"/>
      <w:szCs w:val="32"/>
    </w:rPr>
  </w:style>
  <w:style w:type="paragraph" w:customStyle="1" w:styleId="30">
    <w:name w:val="TOC 标题1"/>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6"/>
    <w:qFormat/>
    <w:uiPriority w:val="9"/>
    <w:rPr>
      <w:rFonts w:ascii="Times New Roman" w:hAnsi="Times New Roman"/>
      <w:b/>
      <w:bCs/>
      <w:kern w:val="2"/>
      <w:sz w:val="32"/>
      <w:szCs w:val="32"/>
    </w:rPr>
  </w:style>
  <w:style w:type="paragraph" w:customStyle="1" w:styleId="33">
    <w:name w:val="TOC Heading"/>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1.jpeg"/><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24037;&#20316;&#31807;1"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24037;&#20316;&#31807;1"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24037;&#20316;&#31807;1"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24037;&#20316;&#31807;1"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24037;&#20316;&#31807;1"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24037;&#20316;&#31807;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收入支出决算总体情况</a:t>
            </a:r>
          </a:p>
        </c:rich>
      </c:tx>
      <c:layout/>
      <c:overlay val="0"/>
      <c:spPr>
        <a:noFill/>
        <a:ln>
          <a:noFill/>
        </a:ln>
        <a:effectLst/>
      </c:spPr>
    </c:title>
    <c:autoTitleDeleted val="0"/>
    <c:plotArea>
      <c:layout/>
      <c:barChart>
        <c:barDir val="col"/>
        <c:grouping val="clustered"/>
        <c:varyColors val="0"/>
        <c:ser>
          <c:idx val="0"/>
          <c:order val="0"/>
          <c:tx>
            <c:strRef>
              <c:f>[工作簿1]Sheet1!$F$12</c:f>
              <c:strCache>
                <c:ptCount val="1"/>
                <c:pt idx="0">
                  <c:v>2025</c:v>
                </c:pt>
              </c:strCache>
            </c:strRef>
          </c:tx>
          <c:spPr>
            <a:solidFill>
              <a:schemeClr val="accent1"/>
            </a:solidFill>
            <a:ln>
              <a:noFill/>
            </a:ln>
            <a:effectLst/>
          </c:spPr>
          <c:invertIfNegative val="0"/>
          <c:dLbls>
            <c:delete val="1"/>
          </c:dLbls>
          <c:cat>
            <c:strRef>
              <c:f>[工作簿1]Sheet1!$G$11:$H$11</c:f>
              <c:strCache>
                <c:ptCount val="2"/>
                <c:pt idx="0">
                  <c:v>收入（万元）</c:v>
                </c:pt>
                <c:pt idx="1">
                  <c:v>支出（万元）</c:v>
                </c:pt>
              </c:strCache>
            </c:strRef>
          </c:cat>
          <c:val>
            <c:numRef>
              <c:f>[工作簿1]Sheet1!$G$12:$H$12</c:f>
              <c:numCache>
                <c:formatCode>General</c:formatCode>
                <c:ptCount val="2"/>
                <c:pt idx="0">
                  <c:v>2361.22</c:v>
                </c:pt>
                <c:pt idx="1">
                  <c:v>2358.93</c:v>
                </c:pt>
              </c:numCache>
            </c:numRef>
          </c:val>
        </c:ser>
        <c:ser>
          <c:idx val="1"/>
          <c:order val="1"/>
          <c:tx>
            <c:strRef>
              <c:f>[工作簿1]Sheet1!$F$13</c:f>
              <c:strCache>
                <c:ptCount val="1"/>
                <c:pt idx="0">
                  <c:v>2024</c:v>
                </c:pt>
              </c:strCache>
            </c:strRef>
          </c:tx>
          <c:spPr>
            <a:solidFill>
              <a:schemeClr val="accent2"/>
            </a:solidFill>
            <a:ln>
              <a:noFill/>
            </a:ln>
            <a:effectLst/>
          </c:spPr>
          <c:invertIfNegative val="0"/>
          <c:dLbls>
            <c:delete val="1"/>
          </c:dLbls>
          <c:cat>
            <c:strRef>
              <c:f>[工作簿1]Sheet1!$G$11:$H$11</c:f>
              <c:strCache>
                <c:ptCount val="2"/>
                <c:pt idx="0">
                  <c:v>收入（万元）</c:v>
                </c:pt>
                <c:pt idx="1">
                  <c:v>支出（万元）</c:v>
                </c:pt>
              </c:strCache>
            </c:strRef>
          </c:cat>
          <c:val>
            <c:numRef>
              <c:f>[工作簿1]Sheet1!$G$13:$H$13</c:f>
              <c:numCache>
                <c:formatCode>General</c:formatCode>
                <c:ptCount val="2"/>
                <c:pt idx="0">
                  <c:v>2384.73</c:v>
                </c:pt>
                <c:pt idx="1">
                  <c:v>2445.53</c:v>
                </c:pt>
              </c:numCache>
            </c:numRef>
          </c:val>
        </c:ser>
        <c:dLbls>
          <c:showLegendKey val="0"/>
          <c:showVal val="0"/>
          <c:showCatName val="0"/>
          <c:showSerName val="0"/>
          <c:showPercent val="0"/>
          <c:showBubbleSize val="0"/>
        </c:dLbls>
        <c:gapWidth val="219"/>
        <c:overlap val="-27"/>
        <c:axId val="849580773"/>
        <c:axId val="121197676"/>
      </c:barChart>
      <c:catAx>
        <c:axId val="84958077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1197676"/>
        <c:crosses val="autoZero"/>
        <c:auto val="1"/>
        <c:lblAlgn val="ctr"/>
        <c:lblOffset val="100"/>
        <c:noMultiLvlLbl val="0"/>
      </c:catAx>
      <c:valAx>
        <c:axId val="1211976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4958077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收入决算情况</a:t>
            </a:r>
          </a:p>
        </c:rich>
      </c:tx>
      <c:layout/>
      <c:overlay val="0"/>
      <c:spPr>
        <a:noFill/>
        <a:ln>
          <a:noFill/>
        </a:ln>
        <a:effectLst/>
      </c:sp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spPr/>
          <c:explosion val="0"/>
          <c:dPt>
            <c:idx val="0"/>
            <c:bubble3D val="0"/>
            <c:spPr>
              <a:solidFill>
                <a:schemeClr val="accent1"/>
              </a:solidFill>
              <a:ln w="25400">
                <a:solidFill>
                  <a:schemeClr val="lt1"/>
                </a:solidFill>
              </a:ln>
              <a:effectLst/>
            </c:spPr>
          </c:dPt>
          <c:dPt>
            <c:idx val="1"/>
            <c:bubble3D val="0"/>
            <c:spPr>
              <a:solidFill>
                <a:schemeClr val="accent2"/>
              </a:solidFill>
              <a:ln w="2540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[工作簿1]Sheet1!$F$12:$F$13</c:f>
              <c:strCache>
                <c:ptCount val="2"/>
                <c:pt idx="0">
                  <c:v>一般公共预算财政拨款收入</c:v>
                </c:pt>
                <c:pt idx="1">
                  <c:v>其他收入</c:v>
                </c:pt>
              </c:strCache>
            </c:strRef>
          </c:cat>
          <c:val>
            <c:numRef>
              <c:f>[工作簿1]Sheet1!$G$12:$G$13</c:f>
              <c:numCache>
                <c:formatCode>General</c:formatCode>
                <c:ptCount val="2"/>
                <c:pt idx="0">
                  <c:v>1893.5</c:v>
                </c:pt>
                <c:pt idx="1">
                  <c:v>467.72</c:v>
                </c:pt>
              </c:numCache>
            </c:numRef>
          </c:val>
        </c:ser>
        <c:dLbls>
          <c:showLegendKey val="0"/>
          <c:showVal val="1"/>
          <c:showCatName val="0"/>
          <c:showSerName val="0"/>
          <c:showPercent val="0"/>
          <c:showBubbleSize val="0"/>
        </c:dLbls>
      </c:pie3D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支出决算情况</a:t>
            </a:r>
          </a:p>
        </c:rich>
      </c:tx>
      <c:layout/>
      <c:overlay val="0"/>
      <c:spPr>
        <a:noFill/>
        <a:ln>
          <a:noFill/>
        </a:ln>
        <a:effectLst/>
      </c:sp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spPr/>
          <c:explosion val="0"/>
          <c:dPt>
            <c:idx val="0"/>
            <c:bubble3D val="0"/>
            <c:spPr>
              <a:solidFill>
                <a:schemeClr val="accent1"/>
              </a:solidFill>
              <a:ln w="25400">
                <a:solidFill>
                  <a:schemeClr val="lt1"/>
                </a:solidFill>
              </a:ln>
              <a:effectLst/>
            </c:spPr>
          </c:dPt>
          <c:dPt>
            <c:idx val="1"/>
            <c:bubble3D val="0"/>
            <c:spPr>
              <a:solidFill>
                <a:schemeClr val="accent2"/>
              </a:solidFill>
              <a:ln w="2540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[工作簿1]Sheet1!$F$12:$F$13</c:f>
              <c:strCache>
                <c:ptCount val="2"/>
                <c:pt idx="0">
                  <c:v>基本支出</c:v>
                </c:pt>
                <c:pt idx="1">
                  <c:v>项目支出</c:v>
                </c:pt>
              </c:strCache>
            </c:strRef>
          </c:cat>
          <c:val>
            <c:numRef>
              <c:f>[工作簿1]Sheet1!$G$12:$G$13</c:f>
              <c:numCache>
                <c:formatCode>General</c:formatCode>
                <c:ptCount val="2"/>
                <c:pt idx="0">
                  <c:v>1744.13</c:v>
                </c:pt>
                <c:pt idx="1">
                  <c:v>614.85</c:v>
                </c:pt>
              </c:numCache>
            </c:numRef>
          </c:val>
        </c:ser>
        <c:dLbls>
          <c:showLegendKey val="0"/>
          <c:showVal val="1"/>
          <c:showCatName val="0"/>
          <c:showSerName val="0"/>
          <c:showPercent val="0"/>
          <c:showBubbleSize val="0"/>
        </c:dLbls>
      </c:pie3D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财政拨款收入支出决算总体情况</a:t>
            </a:r>
          </a:p>
        </c:rich>
      </c:tx>
      <c:layout/>
      <c:overlay val="0"/>
      <c:spPr>
        <a:noFill/>
        <a:ln>
          <a:noFill/>
        </a:ln>
        <a:effectLst/>
      </c:spPr>
    </c:title>
    <c:autoTitleDeleted val="0"/>
    <c:plotArea>
      <c:layout/>
      <c:barChart>
        <c:barDir val="col"/>
        <c:grouping val="clustered"/>
        <c:varyColors val="0"/>
        <c:ser>
          <c:idx val="0"/>
          <c:order val="0"/>
          <c:tx>
            <c:strRef>
              <c:f>[工作簿1]Sheet1!$F$12</c:f>
              <c:strCache>
                <c:ptCount val="1"/>
                <c:pt idx="0">
                  <c:v>2025</c:v>
                </c:pt>
              </c:strCache>
            </c:strRef>
          </c:tx>
          <c:spPr>
            <a:solidFill>
              <a:schemeClr val="accent1"/>
            </a:solidFill>
            <a:ln>
              <a:noFill/>
            </a:ln>
            <a:effectLst/>
          </c:spPr>
          <c:invertIfNegative val="0"/>
          <c:dLbls>
            <c:delete val="1"/>
          </c:dLbls>
          <c:cat>
            <c:strRef>
              <c:f>[工作簿1]Sheet1!$G$11:$H$11</c:f>
              <c:strCache>
                <c:ptCount val="2"/>
                <c:pt idx="0">
                  <c:v>收入（万元）</c:v>
                </c:pt>
                <c:pt idx="1">
                  <c:v>支出（万元）</c:v>
                </c:pt>
              </c:strCache>
            </c:strRef>
          </c:cat>
          <c:val>
            <c:numRef>
              <c:f>[工作簿1]Sheet1!$G$12:$H$12</c:f>
              <c:numCache>
                <c:formatCode>General</c:formatCode>
                <c:ptCount val="2"/>
                <c:pt idx="0">
                  <c:v>1893.5</c:v>
                </c:pt>
                <c:pt idx="1">
                  <c:v>1893.5</c:v>
                </c:pt>
              </c:numCache>
            </c:numRef>
          </c:val>
        </c:ser>
        <c:ser>
          <c:idx val="1"/>
          <c:order val="1"/>
          <c:tx>
            <c:strRef>
              <c:f>[工作簿1]Sheet1!$F$13</c:f>
              <c:strCache>
                <c:ptCount val="1"/>
                <c:pt idx="0">
                  <c:v>2024</c:v>
                </c:pt>
              </c:strCache>
            </c:strRef>
          </c:tx>
          <c:spPr>
            <a:solidFill>
              <a:schemeClr val="accent2"/>
            </a:solidFill>
            <a:ln>
              <a:noFill/>
            </a:ln>
            <a:effectLst/>
          </c:spPr>
          <c:invertIfNegative val="0"/>
          <c:dLbls>
            <c:delete val="1"/>
          </c:dLbls>
          <c:cat>
            <c:strRef>
              <c:f>[工作簿1]Sheet1!$G$11:$H$11</c:f>
              <c:strCache>
                <c:ptCount val="2"/>
                <c:pt idx="0">
                  <c:v>收入（万元）</c:v>
                </c:pt>
                <c:pt idx="1">
                  <c:v>支出（万元）</c:v>
                </c:pt>
              </c:strCache>
            </c:strRef>
          </c:cat>
          <c:val>
            <c:numRef>
              <c:f>[工作簿1]Sheet1!$G$13:$H$13</c:f>
              <c:numCache>
                <c:formatCode>General</c:formatCode>
                <c:ptCount val="2"/>
                <c:pt idx="0">
                  <c:v>1923.61</c:v>
                </c:pt>
                <c:pt idx="1">
                  <c:v>1923.61</c:v>
                </c:pt>
              </c:numCache>
            </c:numRef>
          </c:val>
        </c:ser>
        <c:dLbls>
          <c:showLegendKey val="0"/>
          <c:showVal val="0"/>
          <c:showCatName val="0"/>
          <c:showSerName val="0"/>
          <c:showPercent val="0"/>
          <c:showBubbleSize val="0"/>
        </c:dLbls>
        <c:gapWidth val="219"/>
        <c:overlap val="-27"/>
        <c:axId val="849580773"/>
        <c:axId val="121197676"/>
      </c:barChart>
      <c:catAx>
        <c:axId val="84958077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1197676"/>
        <c:crosses val="autoZero"/>
        <c:auto val="1"/>
        <c:lblAlgn val="ctr"/>
        <c:lblOffset val="100"/>
        <c:noMultiLvlLbl val="0"/>
      </c:catAx>
      <c:valAx>
        <c:axId val="1211976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4958077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一般公共预算财政拨款支出决算总体情况</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delete val="1"/>
          </c:dLbls>
          <c:cat>
            <c:strRef>
              <c:f>[工作簿1]Sheet1!$F$28:$F$29</c:f>
              <c:strCache>
                <c:ptCount val="2"/>
                <c:pt idx="0">
                  <c:v>2024年</c:v>
                </c:pt>
                <c:pt idx="1">
                  <c:v>2025年</c:v>
                </c:pt>
              </c:strCache>
            </c:strRef>
          </c:cat>
          <c:val>
            <c:numRef>
              <c:f>[工作簿1]Sheet1!$G$28:$G$29</c:f>
              <c:numCache>
                <c:formatCode>General</c:formatCode>
                <c:ptCount val="2"/>
                <c:pt idx="0">
                  <c:v>1923.61</c:v>
                </c:pt>
                <c:pt idx="1">
                  <c:v>1893.5</c:v>
                </c:pt>
              </c:numCache>
            </c:numRef>
          </c:val>
        </c:ser>
        <c:dLbls>
          <c:showLegendKey val="0"/>
          <c:showVal val="0"/>
          <c:showCatName val="0"/>
          <c:showSerName val="0"/>
          <c:showPercent val="0"/>
          <c:showBubbleSize val="0"/>
        </c:dLbls>
        <c:gapWidth val="219"/>
        <c:overlap val="-27"/>
        <c:axId val="230288174"/>
        <c:axId val="953699652"/>
      </c:barChart>
      <c:catAx>
        <c:axId val="23028817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53699652"/>
        <c:crosses val="autoZero"/>
        <c:auto val="1"/>
        <c:lblAlgn val="ctr"/>
        <c:lblOffset val="100"/>
        <c:noMultiLvlLbl val="0"/>
      </c:catAx>
      <c:valAx>
        <c:axId val="9536996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028817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一般公共预算财政拨款支出决算结构情况</a:t>
            </a:r>
          </a:p>
        </c:rich>
      </c:tx>
      <c:layout/>
      <c:overlay val="0"/>
      <c:spPr>
        <a:noFill/>
        <a:ln>
          <a:noFill/>
        </a:ln>
        <a:effectLst/>
      </c:sp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spPr>
            <a:scene3d>
              <a:camera prst="orthographicFront"/>
              <a:lightRig rig="threePt" dir="t"/>
            </a:scene3d>
            <a:sp3d contourW="25400"/>
          </c:spPr>
          <c:explosion val="0"/>
          <c:dPt>
            <c:idx val="0"/>
            <c:bubble3D val="0"/>
            <c:spPr>
              <a:solidFill>
                <a:schemeClr val="accent1"/>
              </a:solidFill>
              <a:ln w="25400">
                <a:solidFill>
                  <a:schemeClr val="lt1"/>
                </a:solidFill>
              </a:ln>
              <a:effectLst/>
              <a:scene3d>
                <a:camera prst="orthographicFront"/>
                <a:lightRig rig="threePt" dir="t"/>
              </a:scene3d>
              <a:sp3d contourW="25400"/>
            </c:spPr>
          </c:dPt>
          <c:dPt>
            <c:idx val="1"/>
            <c:bubble3D val="0"/>
            <c:spPr>
              <a:solidFill>
                <a:schemeClr val="accent2"/>
              </a:solidFill>
              <a:ln w="25400">
                <a:solidFill>
                  <a:schemeClr val="lt1"/>
                </a:solidFill>
              </a:ln>
              <a:effectLst/>
              <a:scene3d>
                <a:camera prst="orthographicFront"/>
                <a:lightRig rig="threePt" dir="t"/>
              </a:scene3d>
              <a:sp3d contourW="25400"/>
            </c:spPr>
          </c:dPt>
          <c:dPt>
            <c:idx val="2"/>
            <c:bubble3D val="0"/>
            <c:spPr>
              <a:solidFill>
                <a:schemeClr val="accent3"/>
              </a:solidFill>
              <a:ln w="25400">
                <a:solidFill>
                  <a:schemeClr val="lt1"/>
                </a:solidFill>
              </a:ln>
              <a:effectLst/>
              <a:scene3d>
                <a:camera prst="orthographicFront"/>
                <a:lightRig rig="threePt" dir="t"/>
              </a:scene3d>
              <a:sp3d contourW="25400"/>
            </c:spPr>
          </c:dPt>
          <c:dPt>
            <c:idx val="3"/>
            <c:bubble3D val="0"/>
            <c:spPr>
              <a:solidFill>
                <a:schemeClr val="accent4"/>
              </a:solidFill>
              <a:ln w="25400">
                <a:solidFill>
                  <a:schemeClr val="lt1"/>
                </a:solidFill>
              </a:ln>
              <a:effectLst/>
              <a:scene3d>
                <a:camera prst="orthographicFront"/>
                <a:lightRig rig="threePt" dir="t"/>
              </a:scene3d>
              <a:sp3d contourW="25400"/>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[工作簿1]Sheet1!$F$41:$F$44</c:f>
              <c:strCache>
                <c:ptCount val="4"/>
                <c:pt idx="0">
                  <c:v>一般公共服务</c:v>
                </c:pt>
                <c:pt idx="1">
                  <c:v>社会保障和就业</c:v>
                </c:pt>
                <c:pt idx="2">
                  <c:v>卫生健康</c:v>
                </c:pt>
                <c:pt idx="3">
                  <c:v>住房保障</c:v>
                </c:pt>
              </c:strCache>
            </c:strRef>
          </c:cat>
          <c:val>
            <c:numRef>
              <c:f>[工作簿1]Sheet1!$G$41:$G$44</c:f>
              <c:numCache>
                <c:formatCode>General</c:formatCode>
                <c:ptCount val="4"/>
                <c:pt idx="0">
                  <c:v>1499.5</c:v>
                </c:pt>
                <c:pt idx="1">
                  <c:v>181.56</c:v>
                </c:pt>
                <c:pt idx="2">
                  <c:v>78.31</c:v>
                </c:pt>
                <c:pt idx="3">
                  <c:v>134.13</c:v>
                </c:pt>
              </c:numCache>
            </c:numRef>
          </c:val>
        </c:ser>
        <c:dLbls>
          <c:showLegendKey val="0"/>
          <c:showVal val="1"/>
          <c:showCatName val="0"/>
          <c:showSerName val="0"/>
          <c:showPercent val="0"/>
          <c:showBubbleSize val="0"/>
        </c:dLbls>
      </c:pie3D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23</Pages>
  <Words>1299</Words>
  <Characters>7410</Characters>
  <Lines>61</Lines>
  <Paragraphs>17</Paragraphs>
  <TotalTime>6</TotalTime>
  <ScaleCrop>false</ScaleCrop>
  <LinksUpToDate>false</LinksUpToDate>
  <CharactersWithSpaces>8692</CharactersWithSpaces>
  <Application>WPS Office_11.8.2.12024_F1E327BC-269C-435d-A152-05C5408002CA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2020-08-11T10:49:00Z</dcterms:created>
  <dc:creator>曹颖</dc:creator>
  <cp:lastModifiedBy>刘霞</cp:lastModifiedBy>
  <cp:lastPrinted>2025-08-08T18:34:00Z</cp:lastPrinted>
  <dcterms:modified xsi:type="dcterms:W3CDTF">2026-09-07T17:09:13Z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2052-11.8.2.12024</vt:lpwstr>
  </property>
  <property fmtid="{D5CDD505-2E9C-101B-9397-08002B2CF9AE}" pid="3" name="ICV">
    <vt:lpwstr>04787F2533EB45DC91BCDE4AB213247F</vt:lpwstr>
  </property>
</Properties>
</file>