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72"/>
          <w:szCs w:val="72"/>
        </w:rPr>
      </w:pPr>
      <w:bookmarkStart w:id="0" w:name="_Toc15377193"/>
      <w:bookmarkStart w:id="1" w:name="_Toc15396475"/>
      <w:bookmarkStart w:id="2" w:name="_Toc15378441"/>
      <w:bookmarkStart w:id="3" w:name="_Toc15396597"/>
      <w:bookmarkStart w:id="4" w:name="_Toc15377425"/>
      <w:bookmarkStart w:id="5" w:name="_Toc15306267"/>
    </w:p>
    <w:p>
      <w:pPr>
        <w:spacing w:line="600" w:lineRule="exact"/>
        <w:jc w:val="center"/>
        <w:rPr>
          <w:rFonts w:ascii="方正小标宋简体" w:eastAsia="方正小标宋简体"/>
          <w:sz w:val="72"/>
          <w:szCs w:val="72"/>
        </w:rPr>
      </w:pPr>
    </w:p>
    <w:p>
      <w:pPr>
        <w:spacing w:line="600" w:lineRule="exact"/>
        <w:jc w:val="center"/>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bookmarkStart w:id="6" w:name="_Toc26102"/>
      <w:bookmarkStart w:id="7" w:name="_Toc15265"/>
      <w:bookmarkStart w:id="8" w:name="_Toc16126"/>
      <w:bookmarkStart w:id="9" w:name="_Toc18355"/>
      <w:bookmarkStart w:id="10" w:name="_Toc20745"/>
      <w:r>
        <w:rPr>
          <w:rFonts w:hint="eastAsia" w:ascii="方正小标宋简体" w:eastAsia="方正小标宋简体" w:cs="方正小标宋简体"/>
          <w:sz w:val="72"/>
          <w:szCs w:val="72"/>
        </w:rPr>
        <w:t>2022年度</w:t>
      </w:r>
      <w:bookmarkEnd w:id="0"/>
      <w:bookmarkEnd w:id="1"/>
      <w:bookmarkEnd w:id="2"/>
      <w:bookmarkEnd w:id="3"/>
      <w:bookmarkEnd w:id="4"/>
      <w:bookmarkEnd w:id="6"/>
      <w:bookmarkEnd w:id="7"/>
      <w:bookmarkEnd w:id="8"/>
      <w:bookmarkEnd w:id="9"/>
      <w:bookmarkEnd w:id="10"/>
    </w:p>
    <w:p>
      <w:pPr>
        <w:adjustRightInd w:val="0"/>
        <w:snapToGrid w:val="0"/>
        <w:spacing w:line="360" w:lineRule="auto"/>
        <w:jc w:val="center"/>
        <w:outlineLvl w:val="0"/>
        <w:rPr>
          <w:rFonts w:ascii="方正小标宋简体" w:eastAsia="方正小标宋简体" w:cs="方正小标宋简体"/>
          <w:sz w:val="72"/>
          <w:szCs w:val="72"/>
        </w:rPr>
      </w:pPr>
      <w:bookmarkStart w:id="11" w:name="_Toc13351"/>
      <w:bookmarkStart w:id="12" w:name="_Toc15396598"/>
      <w:bookmarkStart w:id="13" w:name="_Toc15377194"/>
      <w:bookmarkStart w:id="14" w:name="_Toc15618"/>
      <w:bookmarkStart w:id="15" w:name="_Toc15396476"/>
      <w:bookmarkStart w:id="16" w:name="_Toc20132"/>
      <w:bookmarkStart w:id="17" w:name="_Toc15378442"/>
      <w:bookmarkStart w:id="18" w:name="_Toc24195"/>
      <w:bookmarkStart w:id="19" w:name="_Toc22593"/>
      <w:bookmarkStart w:id="20" w:name="_Toc15377426"/>
      <w:r>
        <w:rPr>
          <w:rFonts w:ascii="方正小标宋简体" w:eastAsia="方正小标宋简体" w:cs="方正小标宋简体"/>
          <w:sz w:val="72"/>
          <w:szCs w:val="72"/>
        </w:rPr>
        <w:t>阿坝州</w:t>
      </w:r>
      <w:bookmarkEnd w:id="5"/>
      <w:bookmarkStart w:id="21" w:name="_Toc15306268"/>
      <w:r>
        <w:rPr>
          <w:rFonts w:hint="eastAsia" w:ascii="方正小标宋简体" w:eastAsia="方正小标宋简体" w:cs="方正小标宋简体"/>
          <w:sz w:val="72"/>
          <w:szCs w:val="72"/>
        </w:rPr>
        <w:t>若尔盖县人民法院部门决算</w:t>
      </w:r>
      <w:bookmarkEnd w:id="11"/>
      <w:bookmarkEnd w:id="12"/>
      <w:bookmarkEnd w:id="13"/>
      <w:bookmarkEnd w:id="14"/>
      <w:bookmarkEnd w:id="15"/>
      <w:bookmarkEnd w:id="16"/>
      <w:bookmarkEnd w:id="17"/>
      <w:bookmarkEnd w:id="18"/>
      <w:bookmarkEnd w:id="19"/>
      <w:bookmarkEnd w:id="20"/>
      <w:bookmarkEnd w:id="21"/>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ind w:firstLine="640" w:firstLineChars="200"/>
        <w:jc w:val="left"/>
        <w:rPr>
          <w:rFonts w:cs="仿宋_GB2312"/>
          <w:sz w:val="32"/>
          <w:szCs w:val="32"/>
        </w:rPr>
      </w:pPr>
      <w:bookmarkStart w:id="22" w:name="_Hlk113547609"/>
      <w:r>
        <w:rPr>
          <w:rFonts w:hint="eastAsia" w:cs="仿宋_GB2312"/>
          <w:sz w:val="32"/>
          <w:szCs w:val="32"/>
        </w:rPr>
        <w:t>保密审查情况：已审查，内容审定</w:t>
      </w:r>
    </w:p>
    <w:bookmarkEnd w:id="22"/>
    <w:p>
      <w:pPr>
        <w:widowControl/>
        <w:jc w:val="center"/>
        <w:rPr>
          <w:rFonts w:ascii="方正小标宋简体" w:eastAsia="方正小标宋简体"/>
          <w:sz w:val="36"/>
          <w:szCs w:val="36"/>
        </w:rPr>
      </w:pPr>
      <w:r>
        <w:rPr>
          <w:rFonts w:hint="eastAsia" w:cs="仿宋_GB2312"/>
          <w:sz w:val="32"/>
          <w:szCs w:val="32"/>
        </w:rPr>
        <w:t>部门主要负责人审签情况：已审签，同意对外公开</w:t>
      </w:r>
      <w:r>
        <w:rPr>
          <w:rFonts w:ascii="方正小标宋简体" w:eastAsia="方正小标宋简体"/>
          <w:sz w:val="36"/>
          <w:szCs w:val="36"/>
        </w:rPr>
        <w:br w:type="page"/>
      </w:r>
    </w:p>
    <w:sdt>
      <w:sdtPr>
        <w:rPr>
          <w:rFonts w:ascii="宋体" w:hAnsi="宋体" w:eastAsia="宋体" w:cs="Times New Roman"/>
          <w:kern w:val="2"/>
          <w:sz w:val="21"/>
          <w:szCs w:val="24"/>
          <w:lang w:val="en-US" w:eastAsia="zh-CN" w:bidi="ar-SA"/>
        </w:rPr>
        <w:id w:val="14746957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23" w:name="_Toc15377196"/>
          <w:bookmarkStart w:id="24" w:name="_Toc15396599"/>
          <w:r>
            <w:rPr>
              <w:rFonts w:hint="eastAsia" w:ascii="方正小标宋简体" w:hAnsi="方正小标宋简体" w:eastAsia="方正小标宋简体" w:cs="方正小标宋简体"/>
              <w:sz w:val="44"/>
              <w:szCs w:val="44"/>
            </w:rPr>
            <w:t>目录</w:t>
          </w:r>
        </w:p>
        <w:p>
          <w:pPr>
            <w:pStyle w:val="15"/>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公开时间：2023年9月17日</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_Toc11225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第一部分 </w:t>
          </w:r>
          <w:r>
            <w:rPr>
              <w:rFonts w:hint="eastAsia" w:ascii="仿宋_GB2312" w:hAnsi="仿宋_GB2312" w:eastAsia="仿宋_GB2312" w:cs="仿宋_GB2312"/>
              <w:bCs w:val="0"/>
              <w:sz w:val="28"/>
              <w:szCs w:val="28"/>
            </w:rPr>
            <w:t>部门概况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_Toc11225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 xml:space="preserve">一、 </w:t>
          </w:r>
          <w:r>
            <w:rPr>
              <w:rFonts w:hint="eastAsia" w:ascii="仿宋_GB2312" w:hAnsi="仿宋_GB2312" w:eastAsia="仿宋_GB2312" w:cs="仿宋_GB2312"/>
              <w:sz w:val="28"/>
              <w:szCs w:val="28"/>
            </w:rPr>
            <w:t>基</w:t>
          </w:r>
          <w:r>
            <w:rPr>
              <w:rFonts w:hint="eastAsia" w:ascii="仿宋_GB2312" w:hAnsi="仿宋_GB2312" w:eastAsia="仿宋_GB2312" w:cs="仿宋_GB2312"/>
              <w:bCs/>
              <w:sz w:val="28"/>
              <w:szCs w:val="28"/>
            </w:rPr>
            <w:t>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_Toc31991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_Toc31991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_Toc21212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rPr>
            <w:t>（一）主要职能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_Toc21212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_Toc11943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（二）2022年重点工作完成情况。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_Toc5958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二、机</w:t>
          </w:r>
          <w:r>
            <w:rPr>
              <w:rFonts w:hint="eastAsia" w:ascii="仿宋_GB2312" w:hAnsi="仿宋_GB2312" w:eastAsia="仿宋_GB2312" w:cs="仿宋_GB2312"/>
              <w:bCs w:val="0"/>
              <w:sz w:val="28"/>
              <w:szCs w:val="28"/>
            </w:rPr>
            <w:t>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_Toc5958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_Toc27670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第二部分 2022年度</w:t>
          </w:r>
          <w:r>
            <w:rPr>
              <w:rFonts w:hint="eastAsia" w:ascii="仿宋_GB2312" w:hAnsi="仿宋_GB2312" w:eastAsia="仿宋_GB2312" w:cs="仿宋_GB2312"/>
              <w:bCs/>
              <w:sz w:val="28"/>
              <w:szCs w:val="28"/>
            </w:rPr>
            <w:t>部门决算情况说明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_Toc31117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 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_Toc31117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_Toc17823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 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_Toc25989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 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_Toc14293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_Toc18898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_Toc18898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_Toc16820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（一）一般公共预算财政拨款支出决算总体情况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_Toc12561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（二）一般公共预算财政拨款支出决算结构情况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_Toc12561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_Toc26849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（三）一般公共预算财政拨款支出决算具体情况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_Toc26849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_Toc1312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_Toc16086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七、财政拨款“三公”经费支出决算情况说明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_Toc16086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_Toc15818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（一）“三公”经费财政拨款支出决算总体情况说明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_Toc12439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（二）“三公”经费财政拨款支出决算具体情况说明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_Toc8959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_Toc8959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_Toc10474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九、 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_Toc25734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 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_Toc6359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（一）机关运行经费支出情况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_Toc6359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_Toc12484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（二）政府采购支出情况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_Toc7200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（三）国有资产占有使用情况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_Toc7200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_Toc14117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（四）预算绩效管理情况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_Toc14117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_Toc16793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第三部分 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_Toc16793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_Toc22645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第四部分 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_Toc15316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_Toc30208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若尔盖县人民法院2022年部门整体支出绩效报告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第五部分 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_Toc27203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一、收</w:t>
          </w:r>
          <w:r>
            <w:rPr>
              <w:rFonts w:hint="eastAsia" w:ascii="仿宋_GB2312" w:hAnsi="仿宋_GB2312" w:eastAsia="仿宋_GB2312" w:cs="仿宋_GB2312"/>
              <w:bCs w:val="0"/>
              <w:sz w:val="28"/>
              <w:szCs w:val="28"/>
            </w:rPr>
            <w:t>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_Toc27203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_Toc6944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二、收</w:t>
          </w:r>
          <w:r>
            <w:rPr>
              <w:rFonts w:hint="eastAsia" w:ascii="仿宋_GB2312" w:hAnsi="仿宋_GB2312" w:eastAsia="仿宋_GB2312" w:cs="仿宋_GB2312"/>
              <w:bCs w:val="0"/>
              <w:sz w:val="28"/>
              <w:szCs w:val="28"/>
            </w:rPr>
            <w:t>入决算表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_Toc12418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三、</w:t>
          </w:r>
          <w:r>
            <w:rPr>
              <w:rFonts w:hint="eastAsia" w:ascii="仿宋_GB2312" w:hAnsi="仿宋_GB2312" w:eastAsia="仿宋_GB2312" w:cs="仿宋_GB2312"/>
              <w:sz w:val="28"/>
              <w:szCs w:val="28"/>
            </w:rPr>
            <w:t>支</w:t>
          </w:r>
          <w:r>
            <w:rPr>
              <w:rFonts w:hint="eastAsia" w:ascii="仿宋_GB2312" w:hAnsi="仿宋_GB2312" w:eastAsia="仿宋_GB2312" w:cs="仿宋_GB2312"/>
              <w:bCs w:val="0"/>
              <w:sz w:val="28"/>
              <w:szCs w:val="28"/>
            </w:rPr>
            <w:t>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_Toc24670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四、</w:t>
          </w:r>
          <w:r>
            <w:rPr>
              <w:rFonts w:hint="eastAsia" w:ascii="仿宋_GB2312" w:hAnsi="仿宋_GB2312" w:eastAsia="仿宋_GB2312" w:cs="仿宋_GB2312"/>
              <w:sz w:val="28"/>
              <w:szCs w:val="28"/>
            </w:rPr>
            <w:t>财</w:t>
          </w:r>
          <w:r>
            <w:rPr>
              <w:rFonts w:hint="eastAsia" w:ascii="仿宋_GB2312" w:hAnsi="仿宋_GB2312" w:eastAsia="仿宋_GB2312" w:cs="仿宋_GB2312"/>
              <w:bCs w:val="0"/>
              <w:sz w:val="28"/>
              <w:szCs w:val="28"/>
            </w:rPr>
            <w:t>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_Toc24670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五、</w:t>
          </w:r>
          <w:r>
            <w:rPr>
              <w:rFonts w:hint="eastAsia" w:ascii="仿宋_GB2312" w:hAnsi="仿宋_GB2312" w:eastAsia="仿宋_GB2312" w:cs="仿宋_GB2312"/>
              <w:sz w:val="28"/>
              <w:szCs w:val="28"/>
            </w:rPr>
            <w:t>财</w:t>
          </w:r>
          <w:r>
            <w:rPr>
              <w:rFonts w:hint="eastAsia" w:ascii="仿宋_GB2312" w:hAnsi="仿宋_GB2312" w:eastAsia="仿宋_GB2312" w:cs="仿宋_GB2312"/>
              <w:bCs w:val="0"/>
              <w:sz w:val="28"/>
              <w:szCs w:val="28"/>
            </w:rPr>
            <w:t>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_Toc2285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_Toc3655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六、</w:t>
          </w:r>
          <w:r>
            <w:rPr>
              <w:rFonts w:hint="eastAsia" w:ascii="仿宋_GB2312" w:hAnsi="仿宋_GB2312" w:eastAsia="仿宋_GB2312" w:cs="仿宋_GB2312"/>
              <w:sz w:val="28"/>
              <w:szCs w:val="28"/>
            </w:rPr>
            <w:t>一</w:t>
          </w:r>
          <w:r>
            <w:rPr>
              <w:rFonts w:hint="eastAsia" w:ascii="仿宋_GB2312" w:hAnsi="仿宋_GB2312" w:eastAsia="仿宋_GB2312" w:cs="仿宋_GB2312"/>
              <w:bCs w:val="0"/>
              <w:sz w:val="28"/>
              <w:szCs w:val="28"/>
            </w:rPr>
            <w:t>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七、</w:t>
          </w:r>
          <w:r>
            <w:rPr>
              <w:rFonts w:hint="eastAsia" w:ascii="仿宋_GB2312" w:hAnsi="仿宋_GB2312" w:eastAsia="仿宋_GB2312" w:cs="仿宋_GB2312"/>
              <w:sz w:val="28"/>
              <w:szCs w:val="28"/>
            </w:rPr>
            <w:t>一</w:t>
          </w:r>
          <w:r>
            <w:rPr>
              <w:rFonts w:hint="eastAsia" w:ascii="仿宋_GB2312" w:hAnsi="仿宋_GB2312" w:eastAsia="仿宋_GB2312" w:cs="仿宋_GB2312"/>
              <w:bCs w:val="0"/>
              <w:sz w:val="28"/>
              <w:szCs w:val="28"/>
            </w:rPr>
            <w:t>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_Toc4680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八、</w:t>
          </w:r>
          <w:r>
            <w:rPr>
              <w:rFonts w:hint="eastAsia" w:ascii="仿宋_GB2312" w:hAnsi="仿宋_GB2312" w:eastAsia="仿宋_GB2312" w:cs="仿宋_GB2312"/>
              <w:sz w:val="28"/>
              <w:szCs w:val="28"/>
            </w:rPr>
            <w:t>一</w:t>
          </w:r>
          <w:r>
            <w:rPr>
              <w:rFonts w:hint="eastAsia" w:ascii="仿宋_GB2312" w:hAnsi="仿宋_GB2312" w:eastAsia="仿宋_GB2312" w:cs="仿宋_GB2312"/>
              <w:bCs w:val="0"/>
              <w:sz w:val="28"/>
              <w:szCs w:val="28"/>
            </w:rPr>
            <w:t>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_Toc4680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_Toc23498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九、</w:t>
          </w:r>
          <w:r>
            <w:rPr>
              <w:rFonts w:hint="eastAsia" w:ascii="仿宋_GB2312" w:hAnsi="仿宋_GB2312" w:eastAsia="仿宋_GB2312" w:cs="仿宋_GB2312"/>
              <w:sz w:val="28"/>
              <w:szCs w:val="28"/>
            </w:rPr>
            <w:t>一</w:t>
          </w:r>
          <w:r>
            <w:rPr>
              <w:rFonts w:hint="eastAsia" w:ascii="仿宋_GB2312" w:hAnsi="仿宋_GB2312" w:eastAsia="仿宋_GB2312" w:cs="仿宋_GB2312"/>
              <w:bCs w:val="0"/>
              <w:sz w:val="28"/>
              <w:szCs w:val="28"/>
            </w:rPr>
            <w:t>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_Toc23498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_Toc6688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十、</w:t>
          </w:r>
          <w:r>
            <w:rPr>
              <w:rFonts w:hint="eastAsia" w:ascii="仿宋_GB2312" w:hAnsi="仿宋_GB2312" w:eastAsia="仿宋_GB2312" w:cs="仿宋_GB2312"/>
              <w:sz w:val="28"/>
              <w:szCs w:val="28"/>
            </w:rPr>
            <w:t>政</w:t>
          </w:r>
          <w:r>
            <w:rPr>
              <w:rFonts w:hint="eastAsia" w:ascii="仿宋_GB2312" w:hAnsi="仿宋_GB2312" w:eastAsia="仿宋_GB2312" w:cs="仿宋_GB2312"/>
              <w:bCs w:val="0"/>
              <w:sz w:val="28"/>
              <w:szCs w:val="28"/>
            </w:rPr>
            <w:t>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_Toc6688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_Toc24378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十一、</w:t>
          </w:r>
          <w:r>
            <w:rPr>
              <w:rFonts w:hint="eastAsia" w:ascii="仿宋_GB2312" w:hAnsi="仿宋_GB2312" w:eastAsia="仿宋_GB2312" w:cs="仿宋_GB2312"/>
              <w:sz w:val="28"/>
              <w:szCs w:val="28"/>
            </w:rPr>
            <w:t>国</w:t>
          </w:r>
          <w:r>
            <w:rPr>
              <w:rFonts w:hint="eastAsia" w:ascii="仿宋_GB2312" w:hAnsi="仿宋_GB2312" w:eastAsia="仿宋_GB2312" w:cs="仿宋_GB2312"/>
              <w:bCs w:val="0"/>
              <w:sz w:val="28"/>
              <w:szCs w:val="28"/>
            </w:rPr>
            <w:t>有资本经营预算财政拨款收入支出决算表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_Toc24378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_Toc23947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十二、国有资本经营预算财政拨款支出决算表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_Toc23947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_Toc20458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十三、财政拨款“三公”经费支出决算表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_Toc20458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r>
            <w:rPr>
              <w:rFonts w:hint="eastAsia" w:ascii="仿宋_GB2312" w:hAnsi="仿宋_GB2312" w:eastAsia="仿宋_GB2312" w:cs="仿宋_GB2312"/>
              <w:sz w:val="28"/>
              <w:szCs w:val="28"/>
            </w:rPr>
            <w:fldChar w:fldCharType="end"/>
          </w:r>
        </w:p>
      </w:sdtContent>
    </w:sdt>
    <w:p>
      <w:pPr>
        <w:pStyle w:val="18"/>
        <w:adjustRightInd w:val="0"/>
        <w:snapToGrid w:val="0"/>
        <w:spacing w:line="440" w:lineRule="exact"/>
        <w:ind w:left="420"/>
        <w:jc w:val="left"/>
        <w:rPr>
          <w:rFonts w:ascii="仿宋" w:eastAsia="仿宋"/>
          <w:bCs/>
          <w:kern w:val="44"/>
          <w:sz w:val="24"/>
        </w:rPr>
      </w:pPr>
      <w:r>
        <w:rPr>
          <w:rFonts w:ascii="仿宋" w:eastAsia="仿宋"/>
          <w:b/>
          <w:sz w:val="24"/>
        </w:rPr>
        <w:br w:type="page"/>
      </w:r>
    </w:p>
    <w:p>
      <w:pPr>
        <w:pStyle w:val="3"/>
        <w:jc w:val="center"/>
        <w:rPr>
          <w:rStyle w:val="26"/>
          <w:rFonts w:ascii="黑体" w:eastAsia="黑体"/>
          <w:b/>
          <w:bCs w:val="0"/>
        </w:rPr>
      </w:pPr>
      <w:bookmarkStart w:id="25" w:name="_Toc11225"/>
      <w:r>
        <w:rPr>
          <w:rFonts w:hint="eastAsia" w:ascii="黑体" w:eastAsia="黑体"/>
          <w:b w:val="0"/>
        </w:rPr>
        <w:t xml:space="preserve">第一部分 </w:t>
      </w:r>
      <w:r>
        <w:rPr>
          <w:rStyle w:val="26"/>
          <w:rFonts w:hint="eastAsia" w:ascii="黑体" w:eastAsia="黑体"/>
          <w:b w:val="0"/>
          <w:bCs w:val="0"/>
        </w:rPr>
        <w:t>部门概况</w:t>
      </w:r>
      <w:bookmarkEnd w:id="23"/>
      <w:bookmarkEnd w:id="24"/>
      <w:bookmarkEnd w:id="25"/>
    </w:p>
    <w:p>
      <w:pPr>
        <w:pStyle w:val="4"/>
        <w:numPr>
          <w:ilvl w:val="0"/>
          <w:numId w:val="1"/>
        </w:numPr>
        <w:rPr>
          <w:rStyle w:val="27"/>
          <w:rFonts w:hint="eastAsia" w:ascii="黑体" w:hAnsi="黑体" w:eastAsia="黑体"/>
          <w:b/>
          <w:bCs/>
          <w:color w:val="000000" w:themeColor="text1"/>
        </w:rPr>
      </w:pPr>
      <w:bookmarkStart w:id="26" w:name="_Toc31991"/>
      <w:r>
        <w:rPr>
          <w:rFonts w:hint="eastAsia" w:ascii="黑体" w:hAnsi="黑体" w:eastAsia="黑体"/>
          <w:b w:val="0"/>
          <w:color w:val="000000" w:themeColor="text1"/>
        </w:rPr>
        <w:t>基</w:t>
      </w:r>
      <w:r>
        <w:rPr>
          <w:rStyle w:val="27"/>
          <w:rFonts w:hint="eastAsia" w:ascii="黑体" w:hAnsi="黑体" w:eastAsia="黑体"/>
          <w:b/>
          <w:bCs/>
          <w:color w:val="000000" w:themeColor="text1"/>
        </w:rPr>
        <w:t>本职能及主要工作</w:t>
      </w:r>
      <w:bookmarkEnd w:id="26"/>
    </w:p>
    <w:p>
      <w:pPr>
        <w:pStyle w:val="5"/>
        <w:bidi w:val="0"/>
      </w:pPr>
      <w:bookmarkStart w:id="27" w:name="_Toc21212"/>
      <w:bookmarkStart w:id="28" w:name="_Toc79163853"/>
      <w:bookmarkStart w:id="29" w:name="_Toc79163603"/>
      <w:bookmarkStart w:id="30" w:name="_Toc15378445"/>
      <w:bookmarkStart w:id="31" w:name="_Toc15377198"/>
      <w:r>
        <w:rPr>
          <w:rStyle w:val="27"/>
          <w:rFonts w:hint="eastAsia"/>
          <w:b/>
          <w:bCs/>
        </w:rPr>
        <w:t>（一）主要职能</w:t>
      </w:r>
      <w:bookmarkEnd w:id="27"/>
      <w:r>
        <w:rPr>
          <w:rFonts w:hint="eastAsia"/>
        </w:rPr>
        <w:t>。</w:t>
      </w:r>
      <w:bookmarkEnd w:id="28"/>
      <w:bookmarkEnd w:id="29"/>
    </w:p>
    <w:bookmarkEnd w:id="30"/>
    <w:bookmarkEnd w:id="31"/>
    <w:p>
      <w:pPr>
        <w:ind w:firstLine="640" w:firstLineChars="200"/>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Cs/>
          <w:sz w:val="32"/>
          <w:szCs w:val="32"/>
        </w:rPr>
        <w:t>人民法院是国家的审判机关，在县委的领导和上级人民法院的指导下依法独立行使审判权，对县人民代表大会及其常务委员会负责并报告工作。其主要职责是：</w:t>
      </w:r>
      <w:r>
        <w:rPr>
          <w:rFonts w:hint="eastAsia" w:ascii="仿宋_GB2312" w:hAnsi="仿宋_GB2312" w:eastAsia="仿宋_GB2312" w:cs="仿宋_GB2312"/>
          <w:color w:val="000000" w:themeColor="text1"/>
          <w:sz w:val="32"/>
          <w:szCs w:val="32"/>
        </w:rPr>
        <w:t>依法审理各类案件，全力维护小金的和谐稳定。</w:t>
      </w:r>
    </w:p>
    <w:p>
      <w:pPr>
        <w:pStyle w:val="4"/>
        <w:bidi w:val="0"/>
        <w:rPr>
          <w:rFonts w:hint="eastAsia"/>
        </w:rPr>
      </w:pPr>
      <w:bookmarkStart w:id="32" w:name="_Toc11943"/>
      <w:r>
        <w:rPr>
          <w:rFonts w:hint="eastAsia"/>
        </w:rPr>
        <w:t>（二）</w:t>
      </w:r>
      <w:r>
        <w:t>202</w:t>
      </w:r>
      <w:r>
        <w:rPr>
          <w:rFonts w:hint="eastAsia"/>
        </w:rPr>
        <w:t>2年重点工作完成情况。</w:t>
      </w:r>
      <w:bookmarkEnd w:id="32"/>
    </w:p>
    <w:p>
      <w:pPr>
        <w:pStyle w:val="2"/>
        <w:adjustRightInd w:val="0"/>
        <w:snapToGrid w:val="0"/>
        <w:spacing w:before="93" w:line="576" w:lineRule="exact"/>
        <w:ind w:firstLine="640" w:firstLineChars="200"/>
        <w:outlineLvl w:val="2"/>
        <w:rPr>
          <w:rFonts w:ascii="仿宋" w:hAnsi="仿宋" w:eastAsia="仿宋"/>
          <w:bCs/>
          <w:color w:val="000000" w:themeColor="text1"/>
          <w:sz w:val="32"/>
          <w:szCs w:val="32"/>
        </w:rPr>
      </w:pPr>
      <w:r>
        <w:rPr>
          <w:rFonts w:hint="eastAsia" w:hAnsi="仿宋_GB2312" w:cs="仿宋_GB2312"/>
          <w:color w:val="000000" w:themeColor="text1"/>
          <w:sz w:val="32"/>
          <w:szCs w:val="32"/>
        </w:rPr>
        <w:t>2022年，若尔盖法院坚持以习近平新时代中国特色社会主义思想为指导，深入学习习近平法治思想，贯彻落实党的十在县委领导、人大监督和政府、政协及社会各界支持下，结合“规范创新管理年”工作主题，以“六个实质化”纵深推进“六个治理”，忠实履行宪法法律赋予的职责，各项工作稳中有进。</w:t>
      </w:r>
    </w:p>
    <w:p>
      <w:pPr>
        <w:pStyle w:val="4"/>
        <w:rPr>
          <w:rStyle w:val="27"/>
          <w:b w:val="0"/>
          <w:bCs w:val="0"/>
        </w:rPr>
      </w:pPr>
      <w:bookmarkStart w:id="33" w:name="_Toc15396601"/>
      <w:bookmarkStart w:id="34" w:name="_Toc15377200"/>
      <w:bookmarkStart w:id="35" w:name="_Toc5958"/>
      <w:r>
        <w:rPr>
          <w:rFonts w:hint="eastAsia" w:ascii="黑体" w:eastAsia="黑体"/>
          <w:b w:val="0"/>
        </w:rPr>
        <w:t>二、机</w:t>
      </w:r>
      <w:r>
        <w:rPr>
          <w:rStyle w:val="27"/>
          <w:rFonts w:hint="eastAsia" w:ascii="黑体" w:eastAsia="黑体"/>
          <w:b w:val="0"/>
          <w:bCs w:val="0"/>
        </w:rPr>
        <w:t>构设置</w:t>
      </w:r>
      <w:bookmarkEnd w:id="33"/>
      <w:bookmarkEnd w:id="34"/>
      <w:bookmarkEnd w:id="35"/>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若尔盖县人民法院属一级预算单位，实行综合预算制度，即全部收入和支出都纳入预算管理，无下属二级预算单位。</w:t>
      </w:r>
    </w:p>
    <w:p>
      <w:pPr>
        <w:widowControl/>
        <w:jc w:val="left"/>
        <w:rPr>
          <w:rFonts w:ascii="仿宋_GB2312" w:eastAsia="仿宋_GB2312"/>
          <w:kern w:val="0"/>
          <w:sz w:val="30"/>
        </w:rPr>
      </w:pPr>
      <w:r>
        <w:br w:type="page"/>
      </w:r>
    </w:p>
    <w:p>
      <w:pPr>
        <w:pStyle w:val="3"/>
        <w:ind w:right="440"/>
        <w:jc w:val="center"/>
        <w:rPr>
          <w:rStyle w:val="26"/>
          <w:rFonts w:ascii="黑体" w:eastAsia="黑体"/>
          <w:b w:val="0"/>
          <w:bCs/>
        </w:rPr>
      </w:pPr>
      <w:bookmarkStart w:id="36" w:name="_Toc15396602"/>
      <w:bookmarkStart w:id="37" w:name="_Toc27670"/>
      <w:bookmarkStart w:id="38" w:name="_Toc15377204"/>
      <w:r>
        <w:rPr>
          <w:rFonts w:hint="eastAsia" w:ascii="黑体" w:eastAsia="黑体"/>
          <w:b w:val="0"/>
        </w:rPr>
        <w:t>第二部分 2022年度</w:t>
      </w:r>
      <w:r>
        <w:rPr>
          <w:rStyle w:val="26"/>
          <w:rFonts w:hint="eastAsia" w:ascii="黑体" w:eastAsia="黑体"/>
          <w:b w:val="0"/>
          <w:bCs/>
        </w:rPr>
        <w:t>部门决算情况说明</w:t>
      </w:r>
      <w:bookmarkEnd w:id="36"/>
      <w:bookmarkEnd w:id="37"/>
      <w:bookmarkEnd w:id="38"/>
    </w:p>
    <w:p>
      <w:pPr>
        <w:pStyle w:val="33"/>
        <w:numPr>
          <w:ilvl w:val="0"/>
          <w:numId w:val="2"/>
        </w:numPr>
        <w:spacing w:line="600" w:lineRule="exact"/>
        <w:ind w:firstLineChars="0"/>
        <w:outlineLvl w:val="1"/>
        <w:rPr>
          <w:rStyle w:val="27"/>
          <w:rFonts w:ascii="黑体" w:eastAsia="黑体"/>
          <w:b w:val="0"/>
        </w:rPr>
      </w:pPr>
      <w:bookmarkStart w:id="39" w:name="_Toc15396603"/>
      <w:bookmarkStart w:id="40" w:name="_Toc31117"/>
      <w:bookmarkStart w:id="41" w:name="_Toc15377205"/>
      <w:r>
        <w:rPr>
          <w:rFonts w:hint="eastAsia" w:ascii="黑体" w:eastAsia="黑体"/>
          <w:sz w:val="32"/>
          <w:szCs w:val="32"/>
        </w:rPr>
        <w:t>收</w:t>
      </w:r>
      <w:r>
        <w:rPr>
          <w:rStyle w:val="27"/>
          <w:rFonts w:hint="eastAsia" w:ascii="黑体" w:eastAsia="黑体"/>
          <w:b w:val="0"/>
        </w:rPr>
        <w:t>入支出决算总体情况说明</w:t>
      </w:r>
      <w:bookmarkEnd w:id="39"/>
      <w:bookmarkEnd w:id="40"/>
      <w:bookmarkEnd w:id="41"/>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2022年若尔盖县人民法院本年收入合计1509.92万元；2021年若尔盖县人民法院本年收入合计1685.76万元；2022年收入与2021年相比减少175.84万元，减少10.43%。主要变动原因是项目收入减少。</w:t>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2022年若尔盖县人民法院本年支出合计1509.92万元；2021年若尔盖县人民法院本年支出合计1800.14万元；2022年支出与2021年相比减少290.22万元，减少16.13%。主要变动原因是2022年项目支出减少。</w:t>
      </w:r>
    </w:p>
    <w:p>
      <w:pPr>
        <w:pStyle w:val="2"/>
        <w:spacing w:before="93"/>
        <w:jc w:val="center"/>
      </w:pPr>
      <w:r>
        <w:drawing>
          <wp:inline distT="0" distB="0" distL="0" distR="0">
            <wp:extent cx="4572000" cy="27432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（图1：收、支决算总计变动情况图）（柱状图）</w:t>
      </w:r>
    </w:p>
    <w:p>
      <w:pPr>
        <w:pStyle w:val="33"/>
        <w:numPr>
          <w:ilvl w:val="0"/>
          <w:numId w:val="2"/>
        </w:numPr>
        <w:spacing w:line="600" w:lineRule="exact"/>
        <w:ind w:firstLineChars="0"/>
        <w:outlineLvl w:val="1"/>
        <w:rPr>
          <w:rStyle w:val="27"/>
          <w:rFonts w:ascii="黑体" w:eastAsia="黑体"/>
          <w:b w:val="0"/>
        </w:rPr>
      </w:pPr>
      <w:bookmarkStart w:id="42" w:name="_Toc15396604"/>
      <w:bookmarkStart w:id="43" w:name="_Toc15377206"/>
      <w:bookmarkStart w:id="44" w:name="_Toc17823"/>
      <w:r>
        <w:rPr>
          <w:rFonts w:hint="eastAsia" w:ascii="黑体" w:eastAsia="黑体"/>
          <w:sz w:val="32"/>
          <w:szCs w:val="32"/>
        </w:rPr>
        <w:t>收</w:t>
      </w:r>
      <w:r>
        <w:rPr>
          <w:rStyle w:val="27"/>
          <w:rFonts w:hint="eastAsia" w:ascii="黑体" w:eastAsia="黑体"/>
          <w:b w:val="0"/>
        </w:rPr>
        <w:t>入决算情况说明</w:t>
      </w:r>
      <w:bookmarkEnd w:id="42"/>
      <w:bookmarkEnd w:id="43"/>
      <w:bookmarkEnd w:id="44"/>
    </w:p>
    <w:p>
      <w:pPr>
        <w:spacing w:line="600" w:lineRule="exact"/>
        <w:ind w:firstLine="640" w:firstLineChars="200"/>
        <w:outlineLvl w:val="1"/>
        <w:rPr>
          <w:rFonts w:ascii="仿宋" w:eastAsia="仿宋"/>
          <w:sz w:val="32"/>
          <w:szCs w:val="32"/>
        </w:rPr>
      </w:pPr>
      <w:bookmarkStart w:id="45" w:name="_Toc31604"/>
      <w:bookmarkStart w:id="46" w:name="_Toc20749"/>
      <w:bookmarkStart w:id="47" w:name="_Toc14468"/>
      <w:r>
        <w:rPr>
          <w:rFonts w:hint="eastAsia" w:ascii="仿宋_GB2312" w:hAnsi="仿宋_GB2312" w:eastAsia="仿宋_GB2312" w:cs="仿宋_GB2312"/>
          <w:bCs/>
          <w:sz w:val="32"/>
          <w:szCs w:val="32"/>
        </w:rPr>
        <w:t>2022年本年收入合计1509.92万元，其中：一般公共预算财政拨款收入1099.77万元，占72.84%；其他收入410.15万元，占27.16%。</w:t>
      </w:r>
      <w:bookmarkEnd w:id="45"/>
      <w:bookmarkEnd w:id="46"/>
      <w:bookmarkEnd w:id="47"/>
    </w:p>
    <w:p>
      <w:pPr>
        <w:jc w:val="center"/>
        <w:rPr>
          <w:rFonts w:ascii="仿宋" w:eastAsia="仿宋"/>
          <w:sz w:val="32"/>
          <w:szCs w:val="32"/>
        </w:rPr>
      </w:pPr>
      <w:r>
        <w:rPr>
          <w:rFonts w:ascii="仿宋" w:eastAsia="仿宋"/>
          <w:sz w:val="32"/>
          <w:szCs w:val="32"/>
        </w:rPr>
        <w:drawing>
          <wp:inline distT="0" distB="0" distL="0" distR="0">
            <wp:extent cx="4457700" cy="264795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_GB2312" w:eastAsia="仿宋_GB2312"/>
          <w:sz w:val="32"/>
          <w:szCs w:val="32"/>
        </w:rPr>
      </w:pPr>
      <w:r>
        <w:rPr>
          <w:rFonts w:hint="eastAsia" w:ascii="仿宋" w:eastAsia="仿宋"/>
          <w:sz w:val="32"/>
          <w:szCs w:val="32"/>
        </w:rPr>
        <w:t>（图2：收入决算结构图）（饼状图）</w:t>
      </w:r>
    </w:p>
    <w:p>
      <w:pPr>
        <w:pStyle w:val="33"/>
        <w:numPr>
          <w:ilvl w:val="0"/>
          <w:numId w:val="2"/>
        </w:numPr>
        <w:spacing w:line="600" w:lineRule="exact"/>
        <w:ind w:firstLineChars="0"/>
        <w:outlineLvl w:val="1"/>
        <w:rPr>
          <w:rStyle w:val="27"/>
          <w:rFonts w:ascii="黑体" w:eastAsia="黑体"/>
          <w:b w:val="0"/>
        </w:rPr>
      </w:pPr>
      <w:bookmarkStart w:id="48" w:name="_Toc15377207"/>
      <w:bookmarkStart w:id="49" w:name="_Toc15396605"/>
      <w:bookmarkStart w:id="50" w:name="_Toc25989"/>
      <w:r>
        <w:rPr>
          <w:rFonts w:hint="eastAsia" w:ascii="黑体" w:eastAsia="黑体"/>
          <w:sz w:val="32"/>
          <w:szCs w:val="32"/>
        </w:rPr>
        <w:t>支</w:t>
      </w:r>
      <w:r>
        <w:rPr>
          <w:rStyle w:val="27"/>
          <w:rFonts w:hint="eastAsia" w:ascii="黑体" w:eastAsia="黑体"/>
          <w:b w:val="0"/>
        </w:rPr>
        <w:t>出决算情况说明</w:t>
      </w:r>
      <w:bookmarkEnd w:id="48"/>
      <w:bookmarkEnd w:id="49"/>
      <w:bookmarkEnd w:id="50"/>
    </w:p>
    <w:p>
      <w:pPr>
        <w:spacing w:line="600" w:lineRule="exact"/>
        <w:ind w:firstLine="640" w:firstLineChars="200"/>
        <w:outlineLvl w:val="1"/>
        <w:rPr>
          <w:rFonts w:ascii="仿宋" w:eastAsia="仿宋"/>
          <w:sz w:val="32"/>
          <w:szCs w:val="32"/>
        </w:rPr>
      </w:pPr>
      <w:bookmarkStart w:id="51" w:name="_Toc1444"/>
      <w:bookmarkStart w:id="52" w:name="_Toc14228"/>
      <w:bookmarkStart w:id="53" w:name="_Toc20205"/>
      <w:r>
        <w:rPr>
          <w:rFonts w:hint="eastAsia" w:ascii="仿宋_GB2312" w:hAnsi="仿宋_GB2312" w:eastAsia="仿宋_GB2312" w:cs="仿宋_GB2312"/>
          <w:bCs/>
          <w:sz w:val="32"/>
          <w:szCs w:val="32"/>
        </w:rPr>
        <w:t>2022年本年支出合计1509.92万元，其中：基本支出1310.37万元，占86.79%；项目支出199.55万元，占13.21%。</w:t>
      </w:r>
      <w:bookmarkEnd w:id="51"/>
      <w:bookmarkEnd w:id="52"/>
      <w:bookmarkEnd w:id="53"/>
    </w:p>
    <w:p>
      <w:pPr>
        <w:jc w:val="center"/>
        <w:rPr>
          <w:rFonts w:ascii="仿宋" w:eastAsia="仿宋"/>
          <w:sz w:val="32"/>
          <w:szCs w:val="32"/>
          <w:shd w:val="pct10" w:color="auto" w:fill="FFFFFF"/>
        </w:rPr>
      </w:pPr>
      <w:r>
        <w:rPr>
          <w:rFonts w:ascii="仿宋" w:eastAsia="仿宋"/>
          <w:sz w:val="32"/>
          <w:szCs w:val="32"/>
          <w:shd w:val="pct10" w:color="auto" w:fill="FFFFFF"/>
        </w:rPr>
        <w:drawing>
          <wp:inline distT="0" distB="0" distL="0" distR="0">
            <wp:extent cx="4572000" cy="2743200"/>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ascii="仿宋_GB2312" w:eastAsia="仿宋_GB2312"/>
          <w:sz w:val="32"/>
          <w:szCs w:val="32"/>
        </w:rPr>
      </w:pPr>
      <w:r>
        <w:rPr>
          <w:rFonts w:hint="eastAsia" w:ascii="仿宋" w:eastAsia="仿宋"/>
          <w:sz w:val="32"/>
          <w:szCs w:val="32"/>
        </w:rPr>
        <w:t>（图3：支出决算结构图）（饼状图）</w:t>
      </w:r>
    </w:p>
    <w:p>
      <w:pPr>
        <w:spacing w:line="600" w:lineRule="exact"/>
        <w:ind w:firstLine="640" w:firstLineChars="200"/>
        <w:outlineLvl w:val="1"/>
        <w:rPr>
          <w:rStyle w:val="27"/>
          <w:rFonts w:ascii="黑体" w:eastAsia="黑体"/>
          <w:b w:val="0"/>
        </w:rPr>
      </w:pPr>
      <w:bookmarkStart w:id="54" w:name="_Toc15396606"/>
      <w:bookmarkStart w:id="55" w:name="_Toc15377208"/>
      <w:bookmarkStart w:id="56" w:name="_Toc14293"/>
      <w:r>
        <w:rPr>
          <w:rFonts w:hint="eastAsia" w:ascii="黑体" w:eastAsia="黑体"/>
          <w:sz w:val="32"/>
          <w:szCs w:val="32"/>
        </w:rPr>
        <w:t>四、财</w:t>
      </w:r>
      <w:r>
        <w:rPr>
          <w:rStyle w:val="27"/>
          <w:rFonts w:hint="eastAsia" w:ascii="黑体" w:eastAsia="黑体"/>
          <w:b w:val="0"/>
        </w:rPr>
        <w:t>政拨款收入支出决算总体情况说明</w:t>
      </w:r>
      <w:bookmarkEnd w:id="54"/>
      <w:bookmarkEnd w:id="55"/>
      <w:bookmarkEnd w:id="56"/>
    </w:p>
    <w:p>
      <w:pPr>
        <w:spacing w:line="600" w:lineRule="exact"/>
        <w:ind w:firstLine="640" w:firstLineChars="200"/>
        <w:outlineLvl w:val="1"/>
        <w:rPr>
          <w:rFonts w:ascii="仿宋_GB2312" w:hAnsi="仿宋_GB2312" w:eastAsia="仿宋_GB2312" w:cs="仿宋_GB2312"/>
          <w:bCs/>
          <w:sz w:val="32"/>
          <w:szCs w:val="32"/>
        </w:rPr>
      </w:pPr>
      <w:bookmarkStart w:id="57" w:name="_Toc24293"/>
      <w:bookmarkStart w:id="58" w:name="_Toc6942"/>
      <w:bookmarkStart w:id="59" w:name="_Toc7732"/>
      <w:r>
        <w:rPr>
          <w:rFonts w:hint="eastAsia" w:ascii="仿宋_GB2312" w:hAnsi="仿宋_GB2312" w:eastAsia="仿宋_GB2312" w:cs="仿宋_GB2312"/>
          <w:bCs/>
          <w:sz w:val="32"/>
          <w:szCs w:val="32"/>
        </w:rPr>
        <w:t>2022年若尔盖县人民法院本年收入合计1099.77万元；2021年若尔盖县人民法院本年收入合计1685.76万元；2022年收入与2021年相比减少585.99万元，减少34.77%。主要变动原因是1、项目收入减少2、部分经费收入由县财政局保障。</w:t>
      </w:r>
      <w:bookmarkEnd w:id="57"/>
      <w:bookmarkEnd w:id="58"/>
      <w:bookmarkEnd w:id="59"/>
    </w:p>
    <w:p>
      <w:pPr>
        <w:spacing w:line="600" w:lineRule="exact"/>
        <w:ind w:firstLine="640" w:firstLineChars="200"/>
        <w:outlineLvl w:val="1"/>
        <w:rPr>
          <w:rFonts w:ascii="仿宋_GB2312" w:hAnsi="仿宋_GB2312" w:eastAsia="仿宋_GB2312" w:cs="仿宋_GB2312"/>
          <w:bCs/>
          <w:sz w:val="32"/>
          <w:szCs w:val="32"/>
        </w:rPr>
      </w:pPr>
      <w:bookmarkStart w:id="60" w:name="_Toc19066"/>
      <w:bookmarkStart w:id="61" w:name="_Toc5734"/>
      <w:bookmarkStart w:id="62" w:name="_Toc21030"/>
      <w:r>
        <w:rPr>
          <w:rFonts w:hint="eastAsia" w:ascii="仿宋_GB2312" w:hAnsi="仿宋_GB2312" w:eastAsia="仿宋_GB2312" w:cs="仿宋_GB2312"/>
          <w:bCs/>
          <w:sz w:val="32"/>
          <w:szCs w:val="32"/>
        </w:rPr>
        <w:t>2022年若尔盖县人民法院本年支出合计1099.77万元；2021年若尔盖县人民法院本年支出合计1800.14万元；2022年支出与2021年相比减少700.37万元，减少38.91%。主要变动原因是1、项目支出减少2、部分经费支出由县财政局保障。</w:t>
      </w:r>
      <w:bookmarkEnd w:id="60"/>
      <w:bookmarkEnd w:id="61"/>
      <w:bookmarkEnd w:id="62"/>
    </w:p>
    <w:p>
      <w:pPr>
        <w:jc w:val="center"/>
        <w:rPr>
          <w:rFonts w:ascii="仿宋" w:eastAsia="仿宋"/>
          <w:b/>
          <w:sz w:val="32"/>
          <w:szCs w:val="32"/>
        </w:rPr>
      </w:pPr>
      <w:r>
        <w:rPr>
          <w:rFonts w:ascii="仿宋" w:eastAsia="仿宋"/>
          <w:b/>
          <w:sz w:val="32"/>
          <w:szCs w:val="32"/>
        </w:rPr>
        <w:drawing>
          <wp:inline distT="0" distB="0" distL="0" distR="0">
            <wp:extent cx="4572000" cy="27432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仿宋" w:eastAsia="仿宋"/>
          <w:sz w:val="32"/>
          <w:szCs w:val="32"/>
        </w:rPr>
      </w:pPr>
      <w:r>
        <w:rPr>
          <w:rFonts w:hint="eastAsia" w:ascii="仿宋" w:eastAsia="仿宋"/>
          <w:sz w:val="32"/>
          <w:szCs w:val="32"/>
        </w:rPr>
        <w:t>（图4：财政拨款收、支决算总计变动情况）（柱状图）</w:t>
      </w:r>
    </w:p>
    <w:p>
      <w:pPr>
        <w:spacing w:line="600" w:lineRule="exact"/>
        <w:ind w:firstLine="640" w:firstLineChars="200"/>
        <w:outlineLvl w:val="1"/>
        <w:rPr>
          <w:rStyle w:val="27"/>
          <w:rFonts w:ascii="黑体" w:eastAsia="黑体"/>
          <w:b w:val="0"/>
        </w:rPr>
      </w:pPr>
      <w:bookmarkStart w:id="63" w:name="_Toc15377209"/>
      <w:bookmarkStart w:id="64" w:name="_Toc15396607"/>
      <w:bookmarkStart w:id="65" w:name="_Toc18898"/>
      <w:r>
        <w:rPr>
          <w:rFonts w:hint="eastAsia" w:ascii="黑体" w:eastAsia="黑体"/>
          <w:sz w:val="32"/>
          <w:szCs w:val="32"/>
        </w:rPr>
        <w:t>五、</w:t>
      </w:r>
      <w:r>
        <w:rPr>
          <w:rFonts w:hint="eastAsia" w:ascii="黑体" w:eastAsia="黑体"/>
          <w:b/>
          <w:sz w:val="32"/>
          <w:szCs w:val="32"/>
        </w:rPr>
        <w:t>一</w:t>
      </w:r>
      <w:r>
        <w:rPr>
          <w:rStyle w:val="27"/>
          <w:rFonts w:hint="eastAsia" w:ascii="黑体" w:eastAsia="黑体"/>
          <w:b w:val="0"/>
        </w:rPr>
        <w:t>般公共预算财政拨款支出决算情况说明</w:t>
      </w:r>
      <w:bookmarkEnd w:id="63"/>
      <w:bookmarkEnd w:id="64"/>
      <w:bookmarkEnd w:id="65"/>
    </w:p>
    <w:p>
      <w:pPr>
        <w:pStyle w:val="4"/>
        <w:bidi w:val="0"/>
        <w:rPr>
          <w:rFonts w:ascii="仿宋" w:eastAsia="仿宋"/>
          <w:b/>
          <w:szCs w:val="32"/>
        </w:rPr>
      </w:pPr>
      <w:bookmarkStart w:id="66" w:name="_Toc15377210"/>
      <w:bookmarkStart w:id="67" w:name="_Toc16820"/>
      <w:r>
        <w:rPr>
          <w:rFonts w:hint="eastAsia"/>
        </w:rPr>
        <w:t>（一）一般公共预算财政拨款支出决算总体情况</w:t>
      </w:r>
      <w:bookmarkEnd w:id="66"/>
      <w:bookmarkEnd w:id="67"/>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2022年一般公共预算财政拨款支出1099.77万元，占本年支出合计的100.00%。与2021年相比，一般公共预算财政拨款支出减少700.37万元，减少38.91%。主要变动原因是1、项目支出减少2、部分经费支出由县财政局保障。</w:t>
      </w:r>
    </w:p>
    <w:p>
      <w:pPr>
        <w:jc w:val="center"/>
        <w:rPr>
          <w:rFonts w:ascii="仿宋" w:eastAsia="仿宋"/>
          <w:sz w:val="32"/>
          <w:szCs w:val="32"/>
        </w:rPr>
      </w:pPr>
      <w:r>
        <w:rPr>
          <w:rFonts w:ascii="仿宋" w:eastAsia="仿宋"/>
          <w:sz w:val="32"/>
          <w:szCs w:val="32"/>
        </w:rPr>
        <w:drawing>
          <wp:inline distT="0" distB="0" distL="0" distR="0">
            <wp:extent cx="4572000" cy="274320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eastAsia="仿宋"/>
          <w:sz w:val="32"/>
          <w:szCs w:val="32"/>
        </w:rPr>
      </w:pPr>
      <w:r>
        <w:rPr>
          <w:rFonts w:hint="eastAsia" w:ascii="仿宋" w:eastAsia="仿宋"/>
          <w:sz w:val="32"/>
          <w:szCs w:val="32"/>
        </w:rPr>
        <w:t>（图5：一般公共预算财政拨款支出决算变动情况）（柱状图）</w:t>
      </w:r>
    </w:p>
    <w:p>
      <w:pPr>
        <w:pStyle w:val="4"/>
        <w:bidi w:val="0"/>
      </w:pPr>
      <w:bookmarkStart w:id="68" w:name="_Toc15377211"/>
      <w:bookmarkStart w:id="69" w:name="_Toc12561"/>
      <w:r>
        <w:rPr>
          <w:rFonts w:hint="eastAsia"/>
        </w:rPr>
        <w:t>（二）一般公共预算财政拨款支出决算结构情况</w:t>
      </w:r>
      <w:bookmarkEnd w:id="68"/>
      <w:bookmarkEnd w:id="69"/>
    </w:p>
    <w:p>
      <w:pPr>
        <w:spacing w:line="600" w:lineRule="exact"/>
        <w:ind w:firstLine="640" w:firstLineChars="200"/>
        <w:outlineLvl w:val="1"/>
        <w:rPr>
          <w:rFonts w:ascii="仿宋_GB2312" w:hAnsi="仿宋_GB2312" w:eastAsia="仿宋_GB2312" w:cs="仿宋_GB2312"/>
          <w:bCs/>
          <w:sz w:val="32"/>
          <w:szCs w:val="32"/>
        </w:rPr>
      </w:pPr>
      <w:bookmarkStart w:id="70" w:name="_Toc14041"/>
      <w:bookmarkStart w:id="71" w:name="_Toc30114"/>
      <w:r>
        <w:rPr>
          <w:rFonts w:hint="eastAsia" w:ascii="仿宋_GB2312" w:hAnsi="仿宋_GB2312" w:eastAsia="仿宋_GB2312" w:cs="仿宋_GB2312"/>
          <w:bCs/>
          <w:sz w:val="32"/>
          <w:szCs w:val="32"/>
        </w:rPr>
        <w:t>2022年一般公共预算财政拨款支出1099.77万元，主要用于以下方面: 公共安全支出837.73万元，占76.18%；社会保障和就业支出118.97万元，占10.82%；卫生健康支出57.97万元，占5.27%；住房保障支出85.11万元，占7.73%。</w:t>
      </w:r>
      <w:bookmarkEnd w:id="70"/>
      <w:bookmarkEnd w:id="71"/>
    </w:p>
    <w:p>
      <w:pPr>
        <w:jc w:val="center"/>
        <w:rPr>
          <w:rFonts w:ascii="仿宋" w:eastAsia="仿宋"/>
          <w:sz w:val="32"/>
          <w:szCs w:val="32"/>
        </w:rPr>
      </w:pPr>
      <w:r>
        <w:rPr>
          <w:rFonts w:ascii="仿宋" w:eastAsia="仿宋"/>
          <w:sz w:val="32"/>
          <w:szCs w:val="32"/>
        </w:rPr>
        <w:drawing>
          <wp:inline distT="0" distB="0" distL="0" distR="0">
            <wp:extent cx="4572000" cy="27432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eastAsia="仿宋"/>
          <w:sz w:val="32"/>
          <w:szCs w:val="32"/>
        </w:rPr>
      </w:pPr>
      <w:r>
        <w:rPr>
          <w:rFonts w:hint="eastAsia" w:ascii="仿宋" w:eastAsia="仿宋"/>
          <w:sz w:val="32"/>
          <w:szCs w:val="32"/>
        </w:rPr>
        <w:t>（图6：一般公共预算财政拨款支出决算结构）（饼状图）</w:t>
      </w:r>
    </w:p>
    <w:p>
      <w:pPr>
        <w:pStyle w:val="4"/>
        <w:bidi w:val="0"/>
      </w:pPr>
      <w:bookmarkStart w:id="72" w:name="_Toc15377212"/>
      <w:bookmarkStart w:id="73" w:name="_Toc26849"/>
      <w:r>
        <w:rPr>
          <w:rFonts w:hint="eastAsia"/>
        </w:rPr>
        <w:t>（三）一般公共预算财政拨款支出决算具体情况</w:t>
      </w:r>
      <w:bookmarkEnd w:id="72"/>
      <w:bookmarkEnd w:id="73"/>
    </w:p>
    <w:p>
      <w:pPr>
        <w:spacing w:line="600" w:lineRule="exact"/>
        <w:ind w:firstLine="640" w:firstLineChars="200"/>
        <w:outlineLvl w:val="1"/>
        <w:rPr>
          <w:rFonts w:ascii="仿宋_GB2312" w:hAnsi="仿宋_GB2312" w:eastAsia="仿宋_GB2312" w:cs="仿宋_GB2312"/>
          <w:bCs/>
          <w:sz w:val="32"/>
          <w:szCs w:val="32"/>
        </w:rPr>
      </w:pPr>
      <w:bookmarkStart w:id="74" w:name="_Toc15378460"/>
      <w:bookmarkStart w:id="75" w:name="_Toc1273"/>
      <w:bookmarkStart w:id="76" w:name="_Toc15377444"/>
      <w:bookmarkStart w:id="77" w:name="_Toc15377213"/>
      <w:bookmarkStart w:id="78" w:name="_Toc8571"/>
      <w:r>
        <w:rPr>
          <w:rFonts w:hint="eastAsia" w:ascii="仿宋_GB2312" w:hAnsi="仿宋_GB2312" w:eastAsia="仿宋_GB2312" w:cs="仿宋_GB2312"/>
          <w:bCs/>
          <w:sz w:val="32"/>
          <w:szCs w:val="32"/>
        </w:rPr>
        <w:t>2022年一般公共预算支出决算数为1099.77，完成预算100%。其中：</w:t>
      </w:r>
      <w:bookmarkEnd w:id="74"/>
      <w:bookmarkEnd w:id="75"/>
      <w:bookmarkEnd w:id="76"/>
      <w:bookmarkEnd w:id="77"/>
      <w:bookmarkEnd w:id="78"/>
    </w:p>
    <w:p>
      <w:pPr>
        <w:spacing w:line="600" w:lineRule="exact"/>
        <w:ind w:firstLine="640" w:firstLineChars="200"/>
        <w:outlineLvl w:val="1"/>
        <w:rPr>
          <w:rFonts w:ascii="仿宋_GB2312" w:hAnsi="仿宋_GB2312" w:eastAsia="仿宋_GB2312" w:cs="仿宋_GB2312"/>
          <w:bCs/>
          <w:sz w:val="32"/>
          <w:szCs w:val="32"/>
        </w:rPr>
      </w:pPr>
      <w:bookmarkStart w:id="79" w:name="_Toc26373"/>
      <w:bookmarkStart w:id="80" w:name="_Toc285"/>
      <w:r>
        <w:rPr>
          <w:rFonts w:hint="eastAsia" w:ascii="仿宋_GB2312" w:hAnsi="仿宋_GB2312" w:eastAsia="仿宋_GB2312" w:cs="仿宋_GB2312"/>
          <w:bCs/>
          <w:sz w:val="32"/>
          <w:szCs w:val="32"/>
        </w:rPr>
        <w:t>1. 公共安全支出（类）法院（款）行政运行（项）: 支出决算为638.18万元，完成预算100%。</w:t>
      </w:r>
      <w:bookmarkEnd w:id="79"/>
      <w:bookmarkEnd w:id="80"/>
    </w:p>
    <w:p>
      <w:pPr>
        <w:spacing w:line="600" w:lineRule="exact"/>
        <w:ind w:firstLine="640" w:firstLineChars="200"/>
        <w:outlineLvl w:val="1"/>
        <w:rPr>
          <w:rFonts w:ascii="仿宋_GB2312" w:hAnsi="仿宋_GB2312" w:eastAsia="仿宋_GB2312" w:cs="仿宋_GB2312"/>
          <w:bCs/>
          <w:sz w:val="32"/>
          <w:szCs w:val="32"/>
        </w:rPr>
      </w:pPr>
      <w:bookmarkStart w:id="81" w:name="_Toc14348"/>
      <w:bookmarkStart w:id="82" w:name="_Toc17559"/>
      <w:r>
        <w:rPr>
          <w:rFonts w:hint="eastAsia" w:ascii="仿宋_GB2312" w:hAnsi="仿宋_GB2312" w:eastAsia="仿宋_GB2312" w:cs="仿宋_GB2312"/>
          <w:bCs/>
          <w:sz w:val="32"/>
          <w:szCs w:val="32"/>
        </w:rPr>
        <w:t>2.公共安全支出（类）法院（款） 一般行政管理事务（项）: 支出决算为199.55万元，完成预算100%。</w:t>
      </w:r>
      <w:bookmarkEnd w:id="81"/>
      <w:bookmarkEnd w:id="82"/>
    </w:p>
    <w:p>
      <w:pPr>
        <w:spacing w:line="600" w:lineRule="exact"/>
        <w:ind w:firstLine="640" w:firstLineChars="200"/>
        <w:outlineLvl w:val="1"/>
        <w:rPr>
          <w:rFonts w:ascii="仿宋_GB2312" w:hAnsi="仿宋_GB2312" w:eastAsia="仿宋_GB2312" w:cs="仿宋_GB2312"/>
          <w:bCs/>
          <w:sz w:val="32"/>
          <w:szCs w:val="32"/>
        </w:rPr>
      </w:pPr>
      <w:bookmarkStart w:id="83" w:name="_Toc2599"/>
      <w:bookmarkStart w:id="84" w:name="_Toc5882"/>
      <w:r>
        <w:rPr>
          <w:rFonts w:hint="eastAsia" w:ascii="仿宋_GB2312" w:hAnsi="仿宋_GB2312" w:eastAsia="仿宋_GB2312" w:cs="仿宋_GB2312"/>
          <w:bCs/>
          <w:sz w:val="32"/>
          <w:szCs w:val="32"/>
        </w:rPr>
        <w:t>3.社会保障和就业支出（类）行政事业单位养老支出（款）机关事业单位基本养老保险缴费支出: 支出决算为79.31万元，完成预算100%。</w:t>
      </w:r>
      <w:bookmarkEnd w:id="83"/>
      <w:bookmarkEnd w:id="84"/>
    </w:p>
    <w:p>
      <w:pPr>
        <w:spacing w:line="600" w:lineRule="exact"/>
        <w:ind w:firstLine="640" w:firstLineChars="200"/>
        <w:outlineLvl w:val="1"/>
        <w:rPr>
          <w:rFonts w:ascii="仿宋_GB2312" w:hAnsi="仿宋_GB2312" w:eastAsia="仿宋_GB2312" w:cs="仿宋_GB2312"/>
          <w:bCs/>
          <w:sz w:val="32"/>
          <w:szCs w:val="32"/>
        </w:rPr>
      </w:pPr>
      <w:bookmarkStart w:id="85" w:name="_Toc1079"/>
      <w:bookmarkStart w:id="86" w:name="_Toc15763"/>
      <w:r>
        <w:rPr>
          <w:rFonts w:hint="eastAsia" w:ascii="仿宋_GB2312" w:hAnsi="仿宋_GB2312" w:eastAsia="仿宋_GB2312" w:cs="仿宋_GB2312"/>
          <w:bCs/>
          <w:sz w:val="32"/>
          <w:szCs w:val="32"/>
        </w:rPr>
        <w:t>4. 社会保障和就业支出（类）行政事业单位养老支出（款）机关事业单位职业年金缴费支出: 支出决算为39.66万元，完成预算100%。</w:t>
      </w:r>
      <w:bookmarkEnd w:id="85"/>
      <w:bookmarkEnd w:id="86"/>
    </w:p>
    <w:p>
      <w:pPr>
        <w:spacing w:line="600" w:lineRule="exact"/>
        <w:ind w:firstLine="640" w:firstLineChars="200"/>
        <w:outlineLvl w:val="1"/>
        <w:rPr>
          <w:rFonts w:ascii="仿宋_GB2312" w:hAnsi="仿宋_GB2312" w:eastAsia="仿宋_GB2312" w:cs="仿宋_GB2312"/>
          <w:bCs/>
          <w:sz w:val="32"/>
          <w:szCs w:val="32"/>
        </w:rPr>
      </w:pPr>
      <w:bookmarkStart w:id="87" w:name="_Toc17679"/>
      <w:bookmarkStart w:id="88" w:name="_Toc21489"/>
      <w:r>
        <w:rPr>
          <w:rFonts w:hint="eastAsia" w:ascii="仿宋_GB2312" w:hAnsi="仿宋_GB2312" w:eastAsia="仿宋_GB2312" w:cs="仿宋_GB2312"/>
          <w:bCs/>
          <w:sz w:val="32"/>
          <w:szCs w:val="32"/>
        </w:rPr>
        <w:t>5. 卫生健康支出（类）行政事业单位医疗（款）行政单位医疗（项）:支出决算为48.15万元，完成预算100%。</w:t>
      </w:r>
      <w:bookmarkEnd w:id="87"/>
      <w:bookmarkEnd w:id="88"/>
    </w:p>
    <w:p>
      <w:pPr>
        <w:spacing w:line="600" w:lineRule="exact"/>
        <w:ind w:firstLine="640" w:firstLineChars="200"/>
        <w:outlineLvl w:val="1"/>
        <w:rPr>
          <w:rFonts w:ascii="仿宋_GB2312" w:hAnsi="仿宋_GB2312" w:eastAsia="仿宋_GB2312" w:cs="仿宋_GB2312"/>
          <w:bCs/>
          <w:sz w:val="32"/>
          <w:szCs w:val="32"/>
        </w:rPr>
      </w:pPr>
      <w:bookmarkStart w:id="89" w:name="_Toc13533"/>
      <w:bookmarkStart w:id="90" w:name="_Toc2058"/>
      <w:r>
        <w:rPr>
          <w:rFonts w:hint="eastAsia" w:ascii="仿宋_GB2312" w:hAnsi="仿宋_GB2312" w:eastAsia="仿宋_GB2312" w:cs="仿宋_GB2312"/>
          <w:bCs/>
          <w:sz w:val="32"/>
          <w:szCs w:val="32"/>
        </w:rPr>
        <w:t>6. 卫生健康支出（类）行政事业单位医疗（款）公务员医疗补助（项）:支出决算为9.82万元，完成预算100%。</w:t>
      </w:r>
      <w:bookmarkEnd w:id="89"/>
      <w:bookmarkEnd w:id="90"/>
    </w:p>
    <w:p>
      <w:pPr>
        <w:spacing w:line="600" w:lineRule="exact"/>
        <w:ind w:firstLine="640" w:firstLineChars="200"/>
        <w:outlineLvl w:val="1"/>
        <w:rPr>
          <w:rFonts w:ascii="仿宋_GB2312" w:hAnsi="仿宋_GB2312" w:eastAsia="仿宋_GB2312" w:cs="仿宋_GB2312"/>
          <w:bCs/>
          <w:sz w:val="32"/>
          <w:szCs w:val="32"/>
        </w:rPr>
      </w:pPr>
      <w:bookmarkStart w:id="91" w:name="_Toc20515"/>
      <w:bookmarkStart w:id="92" w:name="_Toc1301"/>
      <w:r>
        <w:rPr>
          <w:rFonts w:hint="eastAsia" w:ascii="仿宋_GB2312" w:hAnsi="仿宋_GB2312" w:eastAsia="仿宋_GB2312" w:cs="仿宋_GB2312"/>
          <w:bCs/>
          <w:sz w:val="32"/>
          <w:szCs w:val="32"/>
        </w:rPr>
        <w:t>7. 住房保障支出（类）住房改革支出（款） 住房公积金（项）:支出决算为85.11万元，完成预算100%。</w:t>
      </w:r>
      <w:bookmarkEnd w:id="91"/>
      <w:bookmarkEnd w:id="92"/>
    </w:p>
    <w:p>
      <w:pPr>
        <w:tabs>
          <w:tab w:val="right" w:pos="8306"/>
        </w:tabs>
        <w:spacing w:line="600" w:lineRule="exact"/>
        <w:ind w:firstLine="640"/>
        <w:outlineLvl w:val="1"/>
        <w:rPr>
          <w:rStyle w:val="27"/>
        </w:rPr>
      </w:pPr>
      <w:bookmarkStart w:id="93" w:name="_Toc15396608"/>
      <w:bookmarkStart w:id="94" w:name="_Toc15377214"/>
      <w:bookmarkStart w:id="95" w:name="_Toc1312"/>
      <w:r>
        <w:rPr>
          <w:rFonts w:hint="eastAsia" w:ascii="黑体" w:eastAsia="黑体"/>
          <w:sz w:val="32"/>
          <w:szCs w:val="32"/>
        </w:rPr>
        <w:t>六</w:t>
      </w:r>
      <w:r>
        <w:rPr>
          <w:rFonts w:hint="eastAsia" w:ascii="黑体" w:eastAsia="黑体"/>
          <w:b/>
          <w:sz w:val="32"/>
          <w:szCs w:val="32"/>
        </w:rPr>
        <w:t>、一</w:t>
      </w:r>
      <w:r>
        <w:rPr>
          <w:rStyle w:val="27"/>
          <w:rFonts w:hint="eastAsia" w:ascii="黑体" w:eastAsia="黑体"/>
          <w:b w:val="0"/>
        </w:rPr>
        <w:t>般公共预算财政拨款基本支出决算情况说明</w:t>
      </w:r>
      <w:bookmarkEnd w:id="93"/>
      <w:bookmarkEnd w:id="94"/>
      <w:bookmarkEnd w:id="95"/>
      <w:r>
        <w:rPr>
          <w:rStyle w:val="27"/>
          <w:rFonts w:ascii="黑体" w:eastAsia="黑体"/>
          <w:b w:val="0"/>
        </w:rPr>
        <w:tab/>
      </w:r>
    </w:p>
    <w:p>
      <w:pPr>
        <w:spacing w:line="600" w:lineRule="exact"/>
        <w:ind w:firstLine="640" w:firstLineChars="200"/>
        <w:outlineLvl w:val="1"/>
        <w:rPr>
          <w:rFonts w:ascii="仿宋_GB2312" w:hAnsi="仿宋_GB2312" w:eastAsia="仿宋_GB2312" w:cs="仿宋_GB2312"/>
          <w:bCs/>
          <w:sz w:val="32"/>
          <w:szCs w:val="32"/>
        </w:rPr>
      </w:pPr>
      <w:bookmarkStart w:id="96" w:name="_Toc5615"/>
      <w:bookmarkStart w:id="97" w:name="_Toc7349"/>
      <w:r>
        <w:rPr>
          <w:rFonts w:hint="eastAsia" w:ascii="仿宋_GB2312" w:hAnsi="仿宋_GB2312" w:eastAsia="仿宋_GB2312" w:cs="仿宋_GB2312"/>
          <w:bCs/>
          <w:sz w:val="32"/>
          <w:szCs w:val="32"/>
        </w:rPr>
        <w:t>2022年一般公共预算财政拨款基本支出900.22万元，其中：</w:t>
      </w:r>
      <w:bookmarkEnd w:id="96"/>
      <w:bookmarkEnd w:id="97"/>
    </w:p>
    <w:p>
      <w:pPr>
        <w:spacing w:line="600" w:lineRule="exact"/>
        <w:ind w:firstLine="640" w:firstLineChars="200"/>
        <w:outlineLvl w:val="1"/>
        <w:rPr>
          <w:rFonts w:ascii="仿宋_GB2312" w:hAnsi="仿宋_GB2312" w:eastAsia="仿宋_GB2312" w:cs="仿宋_GB2312"/>
          <w:bCs/>
          <w:sz w:val="32"/>
          <w:szCs w:val="32"/>
        </w:rPr>
      </w:pPr>
      <w:bookmarkStart w:id="98" w:name="_Toc26787"/>
      <w:bookmarkStart w:id="99" w:name="_Toc3427"/>
      <w:r>
        <w:rPr>
          <w:rFonts w:hint="eastAsia" w:ascii="仿宋_GB2312" w:hAnsi="仿宋_GB2312" w:eastAsia="仿宋_GB2312" w:cs="仿宋_GB2312"/>
          <w:bCs/>
          <w:sz w:val="32"/>
          <w:szCs w:val="32"/>
        </w:rPr>
        <w:t>人员经费792.58万元，主要包括：基本工资177.85万元、津贴补贴282.09万元、奖金14.66万元、机关事业单位基本养老保险缴费79.31万元、职业年金缴费39.66万元、职工基本医疗保险缴费48.15万元、公务员医疗补助缴费9.82万元、其他社会保障缴费1.64万元、其他工资福利支出54.29万元、奖励金0.02万元、住房公积金85.11万元。</w:t>
      </w:r>
      <w:bookmarkEnd w:id="98"/>
      <w:bookmarkEnd w:id="99"/>
    </w:p>
    <w:p>
      <w:pPr>
        <w:spacing w:line="600" w:lineRule="exact"/>
        <w:ind w:firstLine="640" w:firstLineChars="200"/>
        <w:outlineLvl w:val="1"/>
        <w:rPr>
          <w:rFonts w:ascii="仿宋_GB2312" w:hAnsi="仿宋_GB2312" w:eastAsia="仿宋_GB2312" w:cs="仿宋_GB2312"/>
          <w:bCs/>
          <w:sz w:val="32"/>
          <w:szCs w:val="32"/>
        </w:rPr>
      </w:pPr>
      <w:bookmarkStart w:id="100" w:name="_Toc21329"/>
      <w:bookmarkStart w:id="101" w:name="_Toc27113"/>
      <w:r>
        <w:rPr>
          <w:rFonts w:hint="eastAsia" w:ascii="仿宋_GB2312" w:hAnsi="仿宋_GB2312" w:eastAsia="仿宋_GB2312" w:cs="仿宋_GB2312"/>
          <w:bCs/>
          <w:sz w:val="32"/>
          <w:szCs w:val="32"/>
        </w:rPr>
        <w:t>公用经费107.64万元，主要包括：办公费36.07万元、手续费0.15万元、水费1.1万元、电费1.42万元、差旅费4.51万元、维修（护）费39.75万元、租赁费1万元、培训费1.75万元、公务接待费1.01万元、劳务费1.87万元、工会经费9.22万元、福利费9.79万元等。</w:t>
      </w:r>
      <w:bookmarkEnd w:id="100"/>
      <w:bookmarkEnd w:id="101"/>
    </w:p>
    <w:p>
      <w:pPr>
        <w:spacing w:line="600" w:lineRule="exact"/>
        <w:ind w:firstLine="640"/>
        <w:outlineLvl w:val="1"/>
        <w:rPr>
          <w:rStyle w:val="27"/>
          <w:rFonts w:ascii="黑体" w:eastAsia="黑体"/>
          <w:b w:val="0"/>
        </w:rPr>
      </w:pPr>
      <w:bookmarkStart w:id="102" w:name="_Toc15396609"/>
      <w:bookmarkStart w:id="103" w:name="_Toc16086"/>
      <w:bookmarkStart w:id="104" w:name="_Toc15377215"/>
      <w:r>
        <w:rPr>
          <w:rFonts w:hint="eastAsia" w:ascii="黑体" w:eastAsia="黑体"/>
          <w:sz w:val="32"/>
          <w:szCs w:val="32"/>
        </w:rPr>
        <w:t>七、</w:t>
      </w:r>
      <w:r>
        <w:rPr>
          <w:rStyle w:val="27"/>
          <w:rFonts w:hint="eastAsia" w:ascii="黑体" w:eastAsia="黑体"/>
          <w:b w:val="0"/>
        </w:rPr>
        <w:t>财政拨款</w:t>
      </w:r>
      <w:r>
        <w:rPr>
          <w:rStyle w:val="27"/>
          <w:rFonts w:hint="eastAsia" w:ascii="黑体" w:eastAsia="黑体"/>
        </w:rPr>
        <w:t>“</w:t>
      </w:r>
      <w:r>
        <w:rPr>
          <w:rStyle w:val="27"/>
          <w:rFonts w:hint="eastAsia" w:ascii="黑体" w:eastAsia="黑体"/>
          <w:b w:val="0"/>
        </w:rPr>
        <w:t>三公”经费支出决算情况说明</w:t>
      </w:r>
      <w:bookmarkEnd w:id="102"/>
      <w:bookmarkEnd w:id="103"/>
      <w:bookmarkEnd w:id="104"/>
    </w:p>
    <w:p>
      <w:pPr>
        <w:pStyle w:val="4"/>
        <w:bidi w:val="0"/>
      </w:pPr>
      <w:bookmarkStart w:id="105" w:name="_Toc15818"/>
      <w:bookmarkStart w:id="106" w:name="_Toc15377216"/>
      <w:r>
        <w:rPr>
          <w:rFonts w:hint="eastAsia"/>
        </w:rPr>
        <w:t>（一）“三公”经费财政拨款支出决算总体情况说明</w:t>
      </w:r>
      <w:bookmarkEnd w:id="105"/>
      <w:bookmarkEnd w:id="106"/>
    </w:p>
    <w:p>
      <w:pPr>
        <w:spacing w:line="600" w:lineRule="exact"/>
        <w:ind w:firstLine="640" w:firstLineChars="200"/>
        <w:outlineLvl w:val="1"/>
        <w:rPr>
          <w:rFonts w:ascii="仿宋_GB2312" w:hAnsi="仿宋_GB2312" w:eastAsia="仿宋_GB2312" w:cs="仿宋_GB2312"/>
          <w:bCs/>
          <w:sz w:val="32"/>
          <w:szCs w:val="32"/>
        </w:rPr>
      </w:pPr>
      <w:bookmarkStart w:id="107" w:name="_Toc28169"/>
      <w:bookmarkStart w:id="108" w:name="_Toc20505"/>
      <w:r>
        <w:rPr>
          <w:rFonts w:hint="eastAsia" w:ascii="仿宋_GB2312" w:hAnsi="仿宋_GB2312" w:eastAsia="仿宋_GB2312" w:cs="仿宋_GB2312"/>
          <w:bCs/>
          <w:sz w:val="32"/>
          <w:szCs w:val="32"/>
        </w:rPr>
        <w:t>2022年“三公”经费财政拨款支出决算为2.16万元，完成预算100 %，较上年减少0.76万元，下降26.03%。决算数与预算数持平的主要原因是严格执行预算管理。</w:t>
      </w:r>
      <w:bookmarkEnd w:id="107"/>
      <w:bookmarkEnd w:id="108"/>
    </w:p>
    <w:p>
      <w:pPr>
        <w:pStyle w:val="4"/>
        <w:bidi w:val="0"/>
      </w:pPr>
      <w:bookmarkStart w:id="109" w:name="_Toc12439"/>
      <w:bookmarkStart w:id="110" w:name="_Toc15377217"/>
      <w:r>
        <w:rPr>
          <w:rFonts w:hint="eastAsia"/>
        </w:rPr>
        <w:t>（二）“三公”经费财政拨款支出决算具体情况说明</w:t>
      </w:r>
      <w:bookmarkEnd w:id="109"/>
      <w:bookmarkEnd w:id="110"/>
    </w:p>
    <w:p>
      <w:pPr>
        <w:spacing w:line="600" w:lineRule="exact"/>
        <w:ind w:firstLine="640" w:firstLineChars="200"/>
        <w:outlineLvl w:val="1"/>
        <w:rPr>
          <w:rFonts w:ascii="仿宋_GB2312" w:hAnsi="仿宋_GB2312" w:eastAsia="仿宋_GB2312" w:cs="仿宋_GB2312"/>
          <w:bCs/>
          <w:sz w:val="32"/>
          <w:szCs w:val="32"/>
        </w:rPr>
      </w:pPr>
      <w:bookmarkStart w:id="111" w:name="_Toc14861"/>
      <w:bookmarkStart w:id="112" w:name="_Toc20984"/>
      <w:r>
        <w:rPr>
          <w:rFonts w:hint="eastAsia" w:ascii="仿宋_GB2312" w:hAnsi="仿宋_GB2312" w:eastAsia="仿宋_GB2312" w:cs="仿宋_GB2312"/>
          <w:bCs/>
          <w:sz w:val="32"/>
          <w:szCs w:val="32"/>
        </w:rPr>
        <w:t>2022年“三公”经费财政拨款支出决算中，因公出国（境）费支出决算0万元，占0%；公务用车购置及运行维护费支出决算1.15万元，占53.24%；公务接待费支出决算1.01万元，占46.76%。具体情况如下：</w:t>
      </w:r>
      <w:bookmarkEnd w:id="111"/>
      <w:bookmarkEnd w:id="112"/>
    </w:p>
    <w:p>
      <w:pPr>
        <w:jc w:val="center"/>
        <w:rPr>
          <w:rFonts w:ascii="仿宋" w:eastAsia="仿宋"/>
          <w:sz w:val="32"/>
          <w:szCs w:val="32"/>
        </w:rPr>
      </w:pPr>
      <w:r>
        <w:rPr>
          <w:rFonts w:ascii="仿宋" w:eastAsia="仿宋"/>
          <w:sz w:val="32"/>
          <w:szCs w:val="32"/>
        </w:rPr>
        <w:drawing>
          <wp:inline distT="0" distB="0" distL="0" distR="0">
            <wp:extent cx="4572000" cy="2743200"/>
            <wp:effectExtent l="19050" t="0" r="1905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eastAsia="仿宋"/>
          <w:sz w:val="32"/>
          <w:szCs w:val="32"/>
        </w:rPr>
      </w:pPr>
      <w:r>
        <w:rPr>
          <w:rFonts w:hint="eastAsia" w:ascii="仿宋" w:eastAsia="仿宋"/>
          <w:sz w:val="32"/>
          <w:szCs w:val="32"/>
        </w:rPr>
        <w:t>（图7：“三公”经费财政拨款支出结构）（饼状图）</w:t>
      </w:r>
    </w:p>
    <w:p>
      <w:pPr>
        <w:spacing w:line="600" w:lineRule="exact"/>
        <w:ind w:firstLine="640" w:firstLineChars="200"/>
        <w:outlineLvl w:val="1"/>
        <w:rPr>
          <w:rFonts w:ascii="仿宋_GB2312" w:hAnsi="仿宋_GB2312" w:eastAsia="仿宋_GB2312" w:cs="仿宋_GB2312"/>
          <w:bCs/>
          <w:sz w:val="32"/>
          <w:szCs w:val="32"/>
        </w:rPr>
      </w:pPr>
      <w:bookmarkStart w:id="113" w:name="_Toc7989"/>
      <w:bookmarkStart w:id="114" w:name="_Toc2377"/>
      <w:r>
        <w:rPr>
          <w:rFonts w:hint="eastAsia" w:ascii="仿宋_GB2312" w:hAnsi="仿宋_GB2312" w:eastAsia="仿宋_GB2312" w:cs="仿宋_GB2312"/>
          <w:bCs/>
          <w:sz w:val="32"/>
          <w:szCs w:val="32"/>
        </w:rPr>
        <w:t>1.因公出国（境）经费支出0万元，完成预算100%。全年安排因公出国（境）团组0次，出国（境）0人。因公出国（境）支出决算比2021年增加0万元，增长0%。</w:t>
      </w:r>
      <w:bookmarkEnd w:id="113"/>
      <w:bookmarkEnd w:id="114"/>
    </w:p>
    <w:p>
      <w:pPr>
        <w:spacing w:line="600" w:lineRule="exact"/>
        <w:ind w:firstLine="640" w:firstLineChars="200"/>
        <w:outlineLvl w:val="1"/>
        <w:rPr>
          <w:rFonts w:ascii="仿宋_GB2312" w:hAnsi="仿宋_GB2312" w:eastAsia="仿宋_GB2312" w:cs="仿宋_GB2312"/>
          <w:bCs/>
          <w:sz w:val="32"/>
          <w:szCs w:val="32"/>
        </w:rPr>
      </w:pPr>
      <w:bookmarkStart w:id="115" w:name="_Toc19788"/>
      <w:bookmarkStart w:id="116" w:name="_Toc21355"/>
      <w:r>
        <w:rPr>
          <w:rFonts w:hint="eastAsia" w:ascii="仿宋_GB2312" w:hAnsi="仿宋_GB2312" w:eastAsia="仿宋_GB2312" w:cs="仿宋_GB2312"/>
          <w:bCs/>
          <w:sz w:val="32"/>
          <w:szCs w:val="32"/>
        </w:rPr>
        <w:t>开支内容包括：无。</w:t>
      </w:r>
      <w:bookmarkEnd w:id="115"/>
      <w:bookmarkEnd w:id="116"/>
    </w:p>
    <w:p>
      <w:pPr>
        <w:spacing w:line="600" w:lineRule="exact"/>
        <w:ind w:firstLine="640" w:firstLineChars="200"/>
        <w:outlineLvl w:val="1"/>
        <w:rPr>
          <w:rFonts w:ascii="仿宋_GB2312" w:hAnsi="仿宋_GB2312" w:eastAsia="仿宋_GB2312" w:cs="仿宋_GB2312"/>
          <w:bCs/>
          <w:sz w:val="32"/>
          <w:szCs w:val="32"/>
        </w:rPr>
      </w:pPr>
      <w:bookmarkStart w:id="117" w:name="_Toc16080"/>
      <w:bookmarkStart w:id="118" w:name="_Toc7546"/>
      <w:r>
        <w:rPr>
          <w:rFonts w:hint="eastAsia" w:ascii="仿宋_GB2312" w:hAnsi="仿宋_GB2312" w:eastAsia="仿宋_GB2312" w:cs="仿宋_GB2312"/>
          <w:bCs/>
          <w:sz w:val="32"/>
          <w:szCs w:val="32"/>
        </w:rPr>
        <w:t>2.公务用车购置及运行维护费支出1.15万元,完成预算100%。公务用车购置及运行维护费支出决算比2021年减少0.01万元，下降0.87%。主要原因是严格控制公务用车支出。</w:t>
      </w:r>
      <w:bookmarkEnd w:id="117"/>
      <w:bookmarkEnd w:id="118"/>
    </w:p>
    <w:p>
      <w:pPr>
        <w:spacing w:line="600" w:lineRule="exact"/>
        <w:ind w:firstLine="640" w:firstLineChars="200"/>
        <w:outlineLvl w:val="1"/>
        <w:rPr>
          <w:rFonts w:ascii="仿宋_GB2312" w:hAnsi="仿宋_GB2312" w:eastAsia="仿宋_GB2312" w:cs="仿宋_GB2312"/>
          <w:bCs/>
          <w:sz w:val="32"/>
          <w:szCs w:val="32"/>
        </w:rPr>
      </w:pPr>
      <w:bookmarkStart w:id="119" w:name="_Toc32604"/>
      <w:bookmarkStart w:id="120" w:name="_Toc5656"/>
      <w:r>
        <w:rPr>
          <w:rFonts w:hint="eastAsia" w:ascii="仿宋_GB2312" w:hAnsi="仿宋_GB2312" w:eastAsia="仿宋_GB2312" w:cs="仿宋_GB2312"/>
          <w:bCs/>
          <w:sz w:val="32"/>
          <w:szCs w:val="32"/>
        </w:rPr>
        <w:t>其中：公务用车购置支出0万元。全年按规定更新购置公务用车0辆，其中：轿车0辆、金额0万元，越野车0辆、金额0万元，载客汽车0辆、金额0万元。截至2022年12月底，单位共有执法执勤用车9辆，其中：执法执勤用车9辆。</w:t>
      </w:r>
      <w:bookmarkEnd w:id="119"/>
      <w:bookmarkEnd w:id="120"/>
    </w:p>
    <w:p>
      <w:pPr>
        <w:spacing w:line="600" w:lineRule="exact"/>
        <w:ind w:firstLine="640" w:firstLineChars="200"/>
        <w:outlineLvl w:val="1"/>
        <w:rPr>
          <w:rFonts w:ascii="仿宋_GB2312" w:hAnsi="仿宋_GB2312" w:eastAsia="仿宋_GB2312" w:cs="仿宋_GB2312"/>
          <w:bCs/>
          <w:sz w:val="32"/>
          <w:szCs w:val="32"/>
        </w:rPr>
      </w:pPr>
      <w:bookmarkStart w:id="121" w:name="_Toc30535"/>
      <w:bookmarkStart w:id="122" w:name="_Toc9499"/>
      <w:r>
        <w:rPr>
          <w:rFonts w:hint="eastAsia" w:ascii="仿宋_GB2312" w:hAnsi="仿宋_GB2312" w:eastAsia="仿宋_GB2312" w:cs="仿宋_GB2312"/>
          <w:bCs/>
          <w:sz w:val="32"/>
          <w:szCs w:val="32"/>
        </w:rPr>
        <w:t>公务用车运行维护费支出1.15万元。主要用于执法、办案、因公出差等所需的公务用车燃料费、维修费、过路过桥费、保险费。</w:t>
      </w:r>
      <w:bookmarkEnd w:id="121"/>
      <w:bookmarkEnd w:id="122"/>
    </w:p>
    <w:p>
      <w:pPr>
        <w:spacing w:line="600" w:lineRule="exact"/>
        <w:ind w:firstLine="640" w:firstLineChars="200"/>
        <w:outlineLvl w:val="1"/>
        <w:rPr>
          <w:rFonts w:ascii="仿宋_GB2312" w:hAnsi="仿宋_GB2312" w:eastAsia="仿宋_GB2312" w:cs="仿宋_GB2312"/>
          <w:bCs/>
          <w:sz w:val="32"/>
          <w:szCs w:val="32"/>
        </w:rPr>
      </w:pPr>
      <w:bookmarkStart w:id="123" w:name="_Toc18854"/>
      <w:bookmarkStart w:id="124" w:name="_Toc17489"/>
      <w:r>
        <w:rPr>
          <w:rFonts w:hint="eastAsia" w:ascii="仿宋_GB2312" w:hAnsi="仿宋_GB2312" w:eastAsia="仿宋_GB2312" w:cs="仿宋_GB2312"/>
          <w:bCs/>
          <w:sz w:val="32"/>
          <w:szCs w:val="32"/>
        </w:rPr>
        <w:t>3.公务接待费支出1.01万元，完成预算100%。公务接待费支出决算比2021年减少0.75万元，下降42.62%。主要原因是厉行节约。其中：</w:t>
      </w:r>
      <w:bookmarkEnd w:id="123"/>
      <w:bookmarkEnd w:id="124"/>
    </w:p>
    <w:p>
      <w:pPr>
        <w:spacing w:line="600" w:lineRule="exact"/>
        <w:ind w:firstLine="640" w:firstLineChars="200"/>
        <w:outlineLvl w:val="1"/>
        <w:rPr>
          <w:rFonts w:ascii="仿宋_GB2312" w:hAnsi="仿宋_GB2312" w:eastAsia="仿宋_GB2312" w:cs="仿宋_GB2312"/>
          <w:bCs/>
          <w:sz w:val="32"/>
          <w:szCs w:val="32"/>
        </w:rPr>
      </w:pPr>
      <w:bookmarkStart w:id="125" w:name="_Toc30425"/>
      <w:bookmarkStart w:id="126" w:name="_Toc22114"/>
      <w:r>
        <w:rPr>
          <w:rFonts w:hint="eastAsia" w:ascii="仿宋_GB2312" w:hAnsi="仿宋_GB2312" w:eastAsia="仿宋_GB2312" w:cs="仿宋_GB2312"/>
          <w:bCs/>
          <w:sz w:val="32"/>
          <w:szCs w:val="32"/>
        </w:rPr>
        <w:t>国内公务接待支出1.01万元，主要用于执行公务、开展业务活动开支的交通费、住宿费、用餐费等。国内公务接待6批次，125人次（不包括陪同人员），共计支出1.01万元。</w:t>
      </w:r>
      <w:bookmarkEnd w:id="125"/>
      <w:bookmarkEnd w:id="126"/>
    </w:p>
    <w:p>
      <w:pPr>
        <w:spacing w:line="600" w:lineRule="exact"/>
        <w:ind w:firstLine="640" w:firstLineChars="200"/>
        <w:outlineLvl w:val="1"/>
        <w:rPr>
          <w:rFonts w:ascii="仿宋_GB2312" w:hAnsi="仿宋_GB2312" w:eastAsia="仿宋_GB2312" w:cs="仿宋_GB2312"/>
          <w:bCs/>
          <w:sz w:val="32"/>
          <w:szCs w:val="32"/>
        </w:rPr>
      </w:pPr>
      <w:bookmarkStart w:id="127" w:name="_Toc18996"/>
      <w:bookmarkStart w:id="128" w:name="_Toc5075"/>
      <w:r>
        <w:rPr>
          <w:rFonts w:hint="eastAsia" w:ascii="仿宋_GB2312" w:hAnsi="仿宋_GB2312" w:eastAsia="仿宋_GB2312" w:cs="仿宋_GB2312"/>
          <w:bCs/>
          <w:sz w:val="32"/>
          <w:szCs w:val="32"/>
        </w:rPr>
        <w:t>外事接待支出0万元。外事接待0批次，0人次（不包括陪同人员），共计支出0万元。</w:t>
      </w:r>
      <w:bookmarkEnd w:id="127"/>
      <w:bookmarkEnd w:id="128"/>
    </w:p>
    <w:p>
      <w:pPr>
        <w:spacing w:line="600" w:lineRule="exact"/>
        <w:ind w:firstLine="640"/>
        <w:outlineLvl w:val="1"/>
        <w:rPr>
          <w:rStyle w:val="27"/>
          <w:rFonts w:ascii="黑体" w:eastAsia="黑体"/>
        </w:rPr>
      </w:pPr>
      <w:bookmarkStart w:id="129" w:name="_Toc15377218"/>
      <w:bookmarkStart w:id="130" w:name="_Toc15396610"/>
      <w:bookmarkStart w:id="131" w:name="_Toc8959"/>
      <w:r>
        <w:rPr>
          <w:rFonts w:hint="eastAsia" w:ascii="黑体" w:eastAsia="黑体"/>
          <w:sz w:val="32"/>
          <w:szCs w:val="32"/>
        </w:rPr>
        <w:t>八、</w:t>
      </w:r>
      <w:r>
        <w:rPr>
          <w:rStyle w:val="27"/>
          <w:rFonts w:hint="eastAsia" w:ascii="黑体" w:eastAsia="黑体"/>
          <w:b w:val="0"/>
        </w:rPr>
        <w:t>政府性基金预算支出决算情况说明</w:t>
      </w:r>
      <w:bookmarkEnd w:id="129"/>
      <w:bookmarkEnd w:id="130"/>
      <w:bookmarkEnd w:id="131"/>
    </w:p>
    <w:p>
      <w:pPr>
        <w:spacing w:line="600" w:lineRule="exact"/>
        <w:ind w:firstLine="640" w:firstLineChars="200"/>
        <w:outlineLvl w:val="1"/>
        <w:rPr>
          <w:rFonts w:ascii="仿宋_GB2312" w:hAnsi="仿宋_GB2312" w:eastAsia="仿宋_GB2312" w:cs="仿宋_GB2312"/>
          <w:bCs/>
          <w:sz w:val="32"/>
          <w:szCs w:val="32"/>
        </w:rPr>
      </w:pPr>
      <w:bookmarkStart w:id="132" w:name="_Toc25884"/>
      <w:bookmarkStart w:id="133" w:name="_Toc30642"/>
      <w:r>
        <w:rPr>
          <w:rFonts w:hint="eastAsia" w:ascii="仿宋_GB2312" w:hAnsi="仿宋_GB2312" w:eastAsia="仿宋_GB2312" w:cs="仿宋_GB2312"/>
          <w:bCs/>
          <w:sz w:val="32"/>
          <w:szCs w:val="32"/>
        </w:rPr>
        <w:t>2022年政府性基金预算财政拨款支出0万元。</w:t>
      </w:r>
      <w:bookmarkEnd w:id="132"/>
      <w:bookmarkEnd w:id="133"/>
    </w:p>
    <w:p>
      <w:pPr>
        <w:numPr>
          <w:ilvl w:val="0"/>
          <w:numId w:val="3"/>
        </w:numPr>
        <w:spacing w:line="600" w:lineRule="exact"/>
        <w:ind w:firstLine="640"/>
        <w:outlineLvl w:val="1"/>
        <w:rPr>
          <w:rStyle w:val="27"/>
          <w:rFonts w:ascii="黑体" w:eastAsia="黑体"/>
          <w:b w:val="0"/>
        </w:rPr>
      </w:pPr>
      <w:bookmarkStart w:id="134" w:name="_Toc15377219"/>
      <w:bookmarkStart w:id="135" w:name="_Toc10474"/>
      <w:bookmarkStart w:id="136" w:name="_Toc15396611"/>
      <w:r>
        <w:rPr>
          <w:rStyle w:val="27"/>
          <w:rFonts w:hint="eastAsia" w:ascii="黑体" w:eastAsia="黑体"/>
          <w:b w:val="0"/>
        </w:rPr>
        <w:t>国有资本经营预算支出决算情况说明</w:t>
      </w:r>
      <w:bookmarkEnd w:id="134"/>
      <w:bookmarkEnd w:id="135"/>
      <w:bookmarkEnd w:id="136"/>
    </w:p>
    <w:p>
      <w:pPr>
        <w:spacing w:line="600" w:lineRule="exact"/>
        <w:ind w:firstLine="640" w:firstLineChars="200"/>
        <w:outlineLvl w:val="1"/>
        <w:rPr>
          <w:rFonts w:ascii="仿宋_GB2312" w:hAnsi="仿宋_GB2312" w:eastAsia="仿宋_GB2312" w:cs="仿宋_GB2312"/>
          <w:bCs/>
          <w:sz w:val="32"/>
          <w:szCs w:val="32"/>
        </w:rPr>
      </w:pPr>
      <w:bookmarkStart w:id="137" w:name="_Toc17170"/>
      <w:bookmarkStart w:id="138" w:name="_Toc9596"/>
      <w:r>
        <w:rPr>
          <w:rFonts w:hint="eastAsia" w:ascii="仿宋_GB2312" w:hAnsi="仿宋_GB2312" w:eastAsia="仿宋_GB2312" w:cs="仿宋_GB2312"/>
          <w:bCs/>
          <w:sz w:val="32"/>
          <w:szCs w:val="32"/>
        </w:rPr>
        <w:t>2022年国有资本经营预算财政拨款支出0万元。</w:t>
      </w:r>
      <w:bookmarkEnd w:id="137"/>
      <w:bookmarkEnd w:id="138"/>
    </w:p>
    <w:p>
      <w:pPr>
        <w:numPr>
          <w:ilvl w:val="0"/>
          <w:numId w:val="3"/>
        </w:numPr>
        <w:spacing w:line="600" w:lineRule="exact"/>
        <w:ind w:firstLine="640"/>
        <w:outlineLvl w:val="1"/>
        <w:rPr>
          <w:rStyle w:val="27"/>
          <w:rFonts w:ascii="黑体" w:eastAsia="黑体"/>
          <w:b w:val="0"/>
        </w:rPr>
      </w:pPr>
      <w:bookmarkStart w:id="139" w:name="_Toc25734"/>
      <w:bookmarkStart w:id="140" w:name="_Toc15396612"/>
      <w:bookmarkStart w:id="141" w:name="_Toc15377221"/>
      <w:r>
        <w:rPr>
          <w:rStyle w:val="27"/>
          <w:rFonts w:hint="eastAsia" w:ascii="黑体" w:eastAsia="黑体"/>
          <w:b w:val="0"/>
        </w:rPr>
        <w:t>其他重要事项的情况说明</w:t>
      </w:r>
      <w:bookmarkEnd w:id="139"/>
      <w:bookmarkEnd w:id="140"/>
      <w:bookmarkEnd w:id="141"/>
    </w:p>
    <w:p>
      <w:pPr>
        <w:pStyle w:val="4"/>
        <w:bidi w:val="0"/>
      </w:pPr>
      <w:bookmarkStart w:id="142" w:name="_Toc15377222"/>
      <w:bookmarkStart w:id="143" w:name="_Toc6359"/>
      <w:r>
        <w:rPr>
          <w:rFonts w:hint="eastAsia"/>
        </w:rPr>
        <w:t>（一）机关运行经费支出情况</w:t>
      </w:r>
      <w:bookmarkEnd w:id="142"/>
      <w:bookmarkEnd w:id="143"/>
    </w:p>
    <w:p>
      <w:pPr>
        <w:spacing w:line="600" w:lineRule="exact"/>
        <w:ind w:firstLine="640" w:firstLineChars="200"/>
        <w:outlineLvl w:val="1"/>
        <w:rPr>
          <w:rFonts w:ascii="仿宋_GB2312" w:hAnsi="仿宋_GB2312" w:eastAsia="仿宋_GB2312" w:cs="仿宋_GB2312"/>
          <w:bCs/>
          <w:sz w:val="32"/>
          <w:szCs w:val="32"/>
        </w:rPr>
      </w:pPr>
      <w:bookmarkStart w:id="144" w:name="_Toc13674"/>
      <w:bookmarkStart w:id="145" w:name="_Toc14470"/>
      <w:r>
        <w:rPr>
          <w:rFonts w:hint="eastAsia" w:ascii="仿宋_GB2312" w:hAnsi="仿宋_GB2312" w:eastAsia="仿宋_GB2312" w:cs="仿宋_GB2312"/>
          <w:bCs/>
          <w:sz w:val="32"/>
          <w:szCs w:val="32"/>
        </w:rPr>
        <w:t>2022年，若尔盖县人民法院机关运行经费支出107.64万元，比2021年减少84.36万元，下降43.94%主要原因是2021年公用经费有结转资金。</w:t>
      </w:r>
      <w:bookmarkEnd w:id="144"/>
      <w:bookmarkEnd w:id="145"/>
    </w:p>
    <w:p>
      <w:pPr>
        <w:pStyle w:val="4"/>
        <w:bidi w:val="0"/>
      </w:pPr>
      <w:bookmarkStart w:id="146" w:name="_Toc12484"/>
      <w:bookmarkStart w:id="147" w:name="_Toc15377223"/>
      <w:r>
        <w:rPr>
          <w:rFonts w:hint="eastAsia"/>
        </w:rPr>
        <w:t>（二）政府采购支出情况</w:t>
      </w:r>
      <w:bookmarkEnd w:id="146"/>
      <w:bookmarkEnd w:id="147"/>
    </w:p>
    <w:p>
      <w:pPr>
        <w:spacing w:line="600" w:lineRule="exact"/>
        <w:ind w:firstLine="640" w:firstLineChars="200"/>
        <w:outlineLvl w:val="1"/>
        <w:rPr>
          <w:rFonts w:ascii="仿宋_GB2312" w:hAnsi="仿宋_GB2312" w:eastAsia="仿宋_GB2312" w:cs="仿宋_GB2312"/>
          <w:bCs/>
          <w:sz w:val="32"/>
          <w:szCs w:val="32"/>
        </w:rPr>
      </w:pPr>
      <w:bookmarkStart w:id="148" w:name="_Toc23193"/>
      <w:bookmarkStart w:id="149" w:name="_Toc15305"/>
      <w:r>
        <w:rPr>
          <w:rFonts w:hint="eastAsia" w:ascii="仿宋_GB2312" w:hAnsi="仿宋_GB2312" w:eastAsia="仿宋_GB2312" w:cs="仿宋_GB2312"/>
          <w:bCs/>
          <w:sz w:val="32"/>
          <w:szCs w:val="32"/>
        </w:rPr>
        <w:t>2022年，若尔盖县人民法院政府采购支出总额0万元，其中：政府采购货物支出0万元、政府采购工程支出0万元、政府采购服务支出0万元。授予中小企业合同金额0万元，占政府采购支出总额的0%，其中：授予小微企业合同金额0万元，占政府采购支出总额的0%。</w:t>
      </w:r>
      <w:bookmarkEnd w:id="148"/>
      <w:bookmarkEnd w:id="149"/>
    </w:p>
    <w:p>
      <w:pPr>
        <w:pStyle w:val="4"/>
        <w:bidi w:val="0"/>
      </w:pPr>
      <w:bookmarkStart w:id="150" w:name="_Toc15377224"/>
      <w:bookmarkStart w:id="151" w:name="_Toc7200"/>
      <w:r>
        <w:rPr>
          <w:rFonts w:hint="eastAsia"/>
        </w:rPr>
        <w:t>（三）国有资产占有使用情况</w:t>
      </w:r>
      <w:bookmarkEnd w:id="150"/>
      <w:bookmarkEnd w:id="151"/>
    </w:p>
    <w:p>
      <w:pPr>
        <w:spacing w:line="600" w:lineRule="exact"/>
        <w:ind w:firstLine="640" w:firstLineChars="200"/>
        <w:outlineLvl w:val="1"/>
        <w:rPr>
          <w:rFonts w:ascii="仿宋_GB2312" w:hAnsi="仿宋_GB2312" w:eastAsia="仿宋_GB2312" w:cs="仿宋_GB2312"/>
          <w:bCs/>
          <w:sz w:val="32"/>
          <w:szCs w:val="32"/>
        </w:rPr>
      </w:pPr>
      <w:bookmarkStart w:id="152" w:name="_Toc13111"/>
      <w:bookmarkStart w:id="153" w:name="_Toc30313"/>
      <w:r>
        <w:rPr>
          <w:rFonts w:hint="eastAsia" w:ascii="仿宋_GB2312" w:hAnsi="仿宋_GB2312" w:eastAsia="仿宋_GB2312" w:cs="仿宋_GB2312"/>
          <w:bCs/>
          <w:sz w:val="32"/>
          <w:szCs w:val="32"/>
        </w:rPr>
        <w:t>截至2022年12月31日，若尔盖县人民法院共有车辆9辆，其中：执法执勤用车7辆、特种专业技术用车2辆。单价100万元以上专用设备0台（套）。</w:t>
      </w:r>
      <w:bookmarkEnd w:id="152"/>
      <w:bookmarkEnd w:id="153"/>
    </w:p>
    <w:p>
      <w:pPr>
        <w:pStyle w:val="4"/>
        <w:bidi w:val="0"/>
      </w:pPr>
      <w:bookmarkStart w:id="154" w:name="_Toc14117"/>
      <w:r>
        <w:rPr>
          <w:rFonts w:hint="eastAsia"/>
        </w:rPr>
        <w:t>（四）预算绩效管理情况</w:t>
      </w:r>
      <w:bookmarkEnd w:id="154"/>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bCs/>
          <w:sz w:val="32"/>
          <w:szCs w:val="32"/>
        </w:rPr>
        <w:t>根据预算绩效管理要求，组织对2022年度一般公共预算、资本资产等全面开展绩效自评，形成《若尔盖县人民法院2022年部门整体支出绩效报告》、《若尔盖县人民法院转移支付2022年度绩效自评报告》等专项预算项目绩效自评报告，其中，《若尔盖县人民法院2022年部门整体支出绩效报告》得分为85分；《若尔盖县人民法院转移支付2022年度绩效自评报告》自评得分为95分。绩效自评报告详见附件。</w:t>
      </w:r>
      <w:r>
        <w:rPr>
          <w:rFonts w:hint="eastAsia" w:ascii="仿宋_GB2312" w:hAnsi="仿宋_GB2312" w:eastAsia="仿宋_GB2312" w:cs="仿宋_GB2312"/>
          <w:bCs/>
          <w:sz w:val="32"/>
          <w:szCs w:val="32"/>
        </w:rPr>
        <w:br w:type="page"/>
      </w:r>
    </w:p>
    <w:p>
      <w:pPr>
        <w:numPr>
          <w:ilvl w:val="0"/>
          <w:numId w:val="4"/>
        </w:numPr>
        <w:spacing w:line="600" w:lineRule="exact"/>
        <w:ind w:firstLine="660" w:firstLineChars="150"/>
        <w:jc w:val="center"/>
        <w:outlineLvl w:val="0"/>
        <w:rPr>
          <w:rStyle w:val="26"/>
          <w:rFonts w:ascii="黑体" w:eastAsia="黑体"/>
          <w:b w:val="0"/>
        </w:rPr>
      </w:pPr>
      <w:bookmarkStart w:id="155" w:name="_Toc16793"/>
      <w:bookmarkStart w:id="156" w:name="_Toc15377225"/>
      <w:bookmarkStart w:id="157" w:name="_Toc15396613"/>
      <w:r>
        <w:rPr>
          <w:rFonts w:hint="eastAsia" w:ascii="黑体" w:eastAsia="黑体"/>
          <w:sz w:val="44"/>
          <w:szCs w:val="44"/>
        </w:rPr>
        <w:t>名</w:t>
      </w:r>
      <w:r>
        <w:rPr>
          <w:rStyle w:val="26"/>
          <w:rFonts w:hint="eastAsia" w:ascii="黑体" w:eastAsia="黑体"/>
          <w:b w:val="0"/>
        </w:rPr>
        <w:t>词解释</w:t>
      </w:r>
      <w:bookmarkEnd w:id="155"/>
      <w:bookmarkEnd w:id="156"/>
      <w:bookmarkEnd w:id="157"/>
    </w:p>
    <w:p>
      <w:pPr>
        <w:spacing w:line="600" w:lineRule="exact"/>
        <w:jc w:val="left"/>
        <w:rPr>
          <w:rFonts w:ascii="宋体"/>
          <w:b/>
          <w:sz w:val="44"/>
          <w:szCs w:val="44"/>
        </w:rPr>
      </w:pPr>
    </w:p>
    <w:p>
      <w:pPr>
        <w:pStyle w:val="20"/>
        <w:widowControl/>
        <w:shd w:val="clear" w:color="auto" w:fill="FFFFFF"/>
        <w:spacing w:before="0" w:beforeAutospacing="0" w:after="0" w:afterAutospacing="0"/>
        <w:ind w:firstLine="640" w:firstLineChars="200"/>
        <w:outlineLvl w:val="1"/>
        <w:rPr>
          <w:rFonts w:ascii="仿宋_GB2312" w:hAnsi="仿宋_GB2312" w:eastAsia="仿宋_GB2312" w:cs="仿宋_GB2312"/>
          <w:bCs/>
          <w:kern w:val="2"/>
          <w:sz w:val="32"/>
          <w:szCs w:val="32"/>
        </w:rPr>
      </w:pPr>
      <w:bookmarkStart w:id="158" w:name="_Toc117"/>
      <w:bookmarkStart w:id="159" w:name="_Toc18933"/>
      <w:r>
        <w:rPr>
          <w:rFonts w:hint="eastAsia" w:ascii="仿宋_GB2312" w:hAnsi="仿宋_GB2312" w:eastAsia="仿宋_GB2312" w:cs="仿宋_GB2312"/>
          <w:bCs/>
          <w:kern w:val="2"/>
          <w:sz w:val="32"/>
          <w:szCs w:val="32"/>
        </w:rPr>
        <w:t>1.财政拨款收入：指单位从同级财政部门取得的财政预算资金。</w:t>
      </w:r>
      <w:bookmarkEnd w:id="158"/>
      <w:bookmarkEnd w:id="159"/>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2.事业收入：指事业单位开展专业业务活动及辅助活动取得的收入。</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3.经营收入：指事业单位在专业业务活动及其辅助活动之外开展非独立核算经营活动取得的收入。</w:t>
      </w:r>
    </w:p>
    <w:p>
      <w:pPr>
        <w:pStyle w:val="20"/>
        <w:widowControl/>
        <w:shd w:val="clear" w:color="auto" w:fill="FFFFFF"/>
        <w:spacing w:before="0" w:beforeAutospacing="0" w:after="0" w:afterAutospacing="0"/>
        <w:ind w:firstLine="640" w:firstLineChars="200"/>
        <w:outlineLvl w:val="1"/>
        <w:rPr>
          <w:rFonts w:ascii="仿宋_GB2312" w:hAnsi="仿宋_GB2312" w:eastAsia="仿宋_GB2312" w:cs="仿宋_GB2312"/>
          <w:bCs/>
          <w:kern w:val="2"/>
          <w:sz w:val="32"/>
          <w:szCs w:val="32"/>
        </w:rPr>
      </w:pPr>
      <w:bookmarkStart w:id="160" w:name="_Toc10473"/>
      <w:bookmarkStart w:id="161" w:name="_Toc20646"/>
      <w:r>
        <w:rPr>
          <w:rFonts w:hint="eastAsia" w:ascii="仿宋_GB2312" w:hAnsi="仿宋_GB2312" w:eastAsia="仿宋_GB2312" w:cs="仿宋_GB2312"/>
          <w:bCs/>
          <w:kern w:val="2"/>
          <w:sz w:val="32"/>
          <w:szCs w:val="32"/>
        </w:rPr>
        <w:t>4.其他收入：指单位取得的除上述收入以外的各项收入。</w:t>
      </w:r>
      <w:bookmarkEnd w:id="160"/>
      <w:bookmarkEnd w:id="161"/>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5.使用非财政拨款结余：指事业单位使用以前年度积累的非财政拨款结余弥补当年收支差额的金额。</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6.年初结转和结余：指以前年度尚未完成、结转到本年按有关规定继续使用的资金。</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7.结余分配：指事业单位按照会计制度规定缴纳的所得税、提取的专用结余以及转入非财政拨款结余的金额等。</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8、年末结转和结余：指单位按有关规定结转到下年或以后年度继续使用的资金。</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9.公共安全（类）法院（款）行政运行（项）2040501：指反应行政单位（包括实行公务员管理的事业单位）的基本支出。</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10.公共安全（类）法院（款）一般行政管理事务（项）2040502：指反映行政单位（包括实行公务员管理的事业单位）未单独设置项级科目的其他项目支出。</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11.公共安全（类）法院（款）“其他法院支出（项）2040599：指反映除上述项目以外其他用于法院方面的支出</w:t>
      </w:r>
    </w:p>
    <w:p>
      <w:pPr>
        <w:widowControl/>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12.社会保障和就业（类）行政事业单位离退休（款）机关事业单位基本养老保险缴费支出（项）2080505：指反映机关事业单位实施养老保险制度由单位缴纳的基本养老保险费支出。</w:t>
      </w:r>
    </w:p>
    <w:p>
      <w:pPr>
        <w:widowControl/>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13.社会保障和就业（类）行政事业单位离退休（款）机关事业单位职业年金缴费支出（项）2080506：指反映机关事业单位实施养老保险制度由单位实际缴纳的职业年金支出。</w:t>
      </w:r>
    </w:p>
    <w:p>
      <w:pPr>
        <w:widowControl/>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医疗卫生与计划生育（类）行政事业单位医疗（款）行政单位医疗（项）2101101：指反映财政部门集中安排的行政单位基本医疗保险缴费经费，未参加医疗保险的行政单位的公费医疗经费，按国家规定享受离休人员、红军老战士待遇人员的医疗经费。</w:t>
      </w:r>
    </w:p>
    <w:p>
      <w:pPr>
        <w:pStyle w:val="7"/>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15.医疗卫生与计划生育（类）行政事业单位医疗（款） 公务员医疗补助（项）2101103：反映财政部门安排的公务员医疗补助经费。</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16.住房保障（类）住房改革支出（款）住房公积金（项）2210201：指反映行政事业单位按人力资源和社会保障部、财政部规定基本工作和津贴补贴以及规定比例为职工缴纳的住房公积金。</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17.基本支出：指为保障机构正常运转、完成日常工作任务而发生的人员支出和公用支出。</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18.项目支出：指在基本支出之外为完成特定行政任务和事业发展目标所发生的支出。</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19.经营支出：指事业单位在专业业务活动及其辅助活动之外开展非独立核算经营活动发生的支出。</w:t>
      </w:r>
    </w:p>
    <w:p>
      <w:pPr>
        <w:pStyle w:val="20"/>
        <w:widowControl/>
        <w:shd w:val="clear" w:color="auto" w:fill="FFFFFF"/>
        <w:spacing w:before="0" w:beforeAutospacing="0" w:after="0" w:afterAutospacing="0"/>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eastAsia="黑体"/>
          <w:b w:val="0"/>
        </w:rPr>
      </w:pPr>
      <w:bookmarkStart w:id="162" w:name="_Toc15377226"/>
      <w:r>
        <w:rPr>
          <w:rFonts w:ascii="宋体"/>
          <w:b/>
          <w:sz w:val="44"/>
          <w:szCs w:val="44"/>
        </w:rPr>
        <w:br w:type="page"/>
      </w:r>
      <w:bookmarkStart w:id="163" w:name="_Toc22645"/>
      <w:bookmarkStart w:id="164" w:name="_Toc15396614"/>
      <w:r>
        <w:rPr>
          <w:rFonts w:hint="eastAsia" w:ascii="黑体" w:eastAsia="黑体"/>
          <w:sz w:val="44"/>
          <w:szCs w:val="44"/>
        </w:rPr>
        <w:t>第</w:t>
      </w:r>
      <w:r>
        <w:rPr>
          <w:rStyle w:val="26"/>
          <w:rFonts w:hint="eastAsia" w:ascii="黑体" w:eastAsia="黑体"/>
          <w:b w:val="0"/>
        </w:rPr>
        <w:t>四部分 附件</w:t>
      </w:r>
      <w:bookmarkEnd w:id="163"/>
      <w:bookmarkEnd w:id="164"/>
    </w:p>
    <w:p>
      <w:pPr>
        <w:spacing w:line="572" w:lineRule="exact"/>
        <w:jc w:val="left"/>
        <w:outlineLvl w:val="1"/>
        <w:rPr>
          <w:rFonts w:ascii="方正小标宋简体" w:eastAsia="方正小标宋简体" w:cs="方正小标宋简体"/>
          <w:sz w:val="44"/>
          <w:szCs w:val="44"/>
        </w:rPr>
      </w:pPr>
      <w:bookmarkStart w:id="165" w:name="_Toc30562"/>
      <w:bookmarkStart w:id="166" w:name="_Toc15316"/>
      <w:r>
        <w:rPr>
          <w:rFonts w:hint="eastAsia" w:ascii="黑体" w:eastAsia="黑体" w:cs="黑体"/>
          <w:sz w:val="32"/>
          <w:szCs w:val="32"/>
        </w:rPr>
        <w:t>附件</w:t>
      </w:r>
      <w:bookmarkEnd w:id="165"/>
      <w:bookmarkEnd w:id="166"/>
    </w:p>
    <w:p>
      <w:pPr>
        <w:pStyle w:val="4"/>
        <w:bidi w:val="0"/>
        <w:jc w:val="center"/>
        <w:rPr>
          <w:sz w:val="36"/>
          <w:szCs w:val="36"/>
        </w:rPr>
      </w:pPr>
      <w:bookmarkStart w:id="167" w:name="_Toc30208"/>
      <w:r>
        <w:rPr>
          <w:rFonts w:hint="eastAsia"/>
          <w:sz w:val="36"/>
          <w:szCs w:val="36"/>
        </w:rPr>
        <w:t>若尔盖县人民法院2022年部门整体支出绩效报告</w:t>
      </w:r>
      <w:bookmarkEnd w:id="167"/>
    </w:p>
    <w:p>
      <w:pPr>
        <w:pStyle w:val="7"/>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我院从预算管理、绩效结果应用、自评质量方面入手认真负责、客观公正地开展2022年部门整体支出绩效自评工作，自评综合得分85分，现将相关情况报告如下：</w:t>
      </w:r>
    </w:p>
    <w:p>
      <w:pPr>
        <w:ind w:firstLine="640" w:firstLineChars="200"/>
        <w:outlineLvl w:val="1"/>
        <w:rPr>
          <w:rFonts w:ascii="黑体" w:hAnsi="黑体" w:eastAsia="黑体" w:cs="黑体"/>
          <w:sz w:val="32"/>
          <w:szCs w:val="32"/>
        </w:rPr>
      </w:pPr>
      <w:bookmarkStart w:id="168" w:name="_Toc27952"/>
      <w:bookmarkStart w:id="169" w:name="_Toc23701"/>
      <w:r>
        <w:rPr>
          <w:rFonts w:hint="eastAsia" w:ascii="黑体" w:hAnsi="黑体" w:eastAsia="黑体" w:cs="黑体"/>
          <w:sz w:val="32"/>
          <w:szCs w:val="32"/>
        </w:rPr>
        <w:t>一、部门概况</w:t>
      </w:r>
      <w:bookmarkEnd w:id="168"/>
      <w:bookmarkEnd w:id="169"/>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（一）机构组成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若尔盖县人民法院设6个内设部门：综合办公室、政治部（监察室）、立案庭（诉讼服务中心）、执行局、综合审判庭、法警大队。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县人民法院派出机构5个：唐克人民法庭、纳木人民法庭、铁布人民法庭、巴西人民法庭、求吉人民法庭。</w:t>
      </w:r>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(二)机构职能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若尔盖县人民法院是国家的审判机关，在县委的领导和州中级人民法院的指导下依法独立行使审判权，对县人民代表大会及其常务委员会负责并报告工作。其主要职责是：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1、审理法律、法规规定由县人民法院管辖的第一审刑事、民事、行政案件。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2、依照审判监督程序，审理告诉、申诉的刑事、民事、行政案件。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3、审理由县人民检察院按照审判监督程序提出的抗诉案件。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4、依法决定国家赔偿。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5、依法行使司法执行权和司法决定权，执行本院已经发生法律效力的判决、裁决以及国家行政机关申请执行的案件和外地法院委托执行的案件。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6、调查研究审判工作中的法律、法规、规章、政策及疑难问题，针对案件审理中发现的问题提出司法建议。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7、对县人民法院的法官和其他工作人员进行思想政治教育，组织专业培训；协助县机构编制主管部门管理人民法院的机构编制工作。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8、负责县人民法院的党风廉政建设和纪检、监察工作。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9、管理县人民法院的有关经费和物资装备。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10、参与社会治安综合治理工作，在审判工作中宣传法制、教育公民自觉遵守宪法、法律、法规和社会公德。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11、承办县委、县人大交办的事项和其他应由基层人民法院负责的工作。</w:t>
      </w:r>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（三）人员概况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我院人员编制总计48人，其中政法专项编制46人，工勤编制2人。在职人数41人（中央政法专项编制40人，工勤1人）。</w:t>
      </w:r>
    </w:p>
    <w:p>
      <w:pPr>
        <w:ind w:firstLine="640" w:firstLineChars="200"/>
        <w:outlineLvl w:val="1"/>
        <w:rPr>
          <w:rFonts w:ascii="黑体" w:hAnsi="黑体" w:eastAsia="黑体" w:cs="黑体"/>
          <w:sz w:val="32"/>
          <w:szCs w:val="32"/>
        </w:rPr>
      </w:pPr>
      <w:bookmarkStart w:id="170" w:name="_Toc16932"/>
      <w:bookmarkStart w:id="171" w:name="_Toc25532"/>
      <w:r>
        <w:rPr>
          <w:rFonts w:hint="eastAsia" w:ascii="黑体" w:hAnsi="黑体" w:eastAsia="黑体" w:cs="黑体"/>
          <w:sz w:val="32"/>
          <w:szCs w:val="32"/>
        </w:rPr>
        <w:t>二、财政资金收支情况</w:t>
      </w:r>
      <w:bookmarkEnd w:id="170"/>
      <w:bookmarkEnd w:id="171"/>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（一）财政资金收入情况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若尔盖县人民法院财政资金收入总额为1509.92万元，其中：行政经费1048.33万元，一般行政管理事务199.55万元，机关事业单位基本养老保险缴费支出79.31万元，机关事业单位职业年金缴费支出39.66万元，行政单位医疗48.15万元，公务员医疗补助9.82万元，住房公积金85.11万元。</w:t>
      </w:r>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（二）财政资金支出情况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总支出1509.92万元，其中：行政经费1048.33万元，一般行政管理事务199.55万元，机关事业单位基本养老保险缴费支出79.31万元，机关事业单位职业年金缴费支出39.66万元，行政单位医疗48.15万元，公务员医疗补助9.82万元，住房公积金85.11万元。</w:t>
      </w:r>
    </w:p>
    <w:p>
      <w:pPr>
        <w:ind w:firstLine="640" w:firstLineChars="200"/>
        <w:outlineLvl w:val="1"/>
        <w:rPr>
          <w:rFonts w:ascii="黑体" w:hAnsi="黑体" w:eastAsia="黑体" w:cs="黑体"/>
          <w:sz w:val="32"/>
          <w:szCs w:val="32"/>
        </w:rPr>
      </w:pPr>
      <w:bookmarkStart w:id="172" w:name="_Toc14236"/>
      <w:bookmarkStart w:id="173" w:name="_Toc28422"/>
      <w:r>
        <w:rPr>
          <w:rFonts w:hint="eastAsia" w:ascii="黑体" w:hAnsi="黑体" w:eastAsia="黑体" w:cs="黑体"/>
          <w:sz w:val="32"/>
          <w:szCs w:val="32"/>
        </w:rPr>
        <w:t>三、部门整体预算绩效管理情况</w:t>
      </w:r>
      <w:bookmarkEnd w:id="172"/>
      <w:bookmarkEnd w:id="173"/>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（一）部门预算管理</w:t>
      </w:r>
    </w:p>
    <w:p>
      <w:pPr>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zh-CN"/>
        </w:rPr>
        <w:t>预算编制情况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预决算编制工作严格按照财政局要求，及时完成基础库、项目库的编制，并及时报送财政审核，预决算编制工作有专人负责、专人审核，做到了完整性、准确性、正确性的基本要求。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经评查，绩效目标编制要素完整，绩效指标细化量化，预算编制科学准确。</w:t>
      </w:r>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2、预算执行管理情况</w:t>
      </w:r>
    </w:p>
    <w:p>
      <w:pPr>
        <w:pStyle w:val="7"/>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截止2022年6月，我院资金执行金额为354.17万元，实际支出进度为32.2%。</w:t>
      </w:r>
    </w:p>
    <w:p>
      <w:pPr>
        <w:pStyle w:val="7"/>
        <w:ind w:firstLine="640" w:firstLineChars="200"/>
      </w:pPr>
      <w:r>
        <w:rPr>
          <w:rFonts w:hint="eastAsia" w:ascii="仿宋_GB2312" w:hAnsi="仿宋_GB2312" w:eastAsia="仿宋_GB2312" w:cs="仿宋_GB2312"/>
          <w:sz w:val="32"/>
          <w:szCs w:val="32"/>
        </w:rPr>
        <w:t>截止2022年12月，我院资金执行金额为1509.92万元，实际支出进度为100%。</w:t>
      </w:r>
    </w:p>
    <w:p>
      <w:pPr>
        <w:pStyle w:val="7"/>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3、完成结果情况</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预算完成情况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2022年预算为1509.92万元，实际执行预算1509.92万元，执行度100%</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违规记录</w:t>
      </w:r>
    </w:p>
    <w:p>
      <w:pPr>
        <w:ind w:firstLine="640" w:firstLineChars="200"/>
      </w:pPr>
      <w:r>
        <w:rPr>
          <w:rFonts w:hint="eastAsia" w:ascii="仿宋_GB2312" w:hAnsi="仿宋_GB2312" w:eastAsia="仿宋_GB2312" w:cs="仿宋_GB2312"/>
          <w:sz w:val="32"/>
          <w:szCs w:val="32"/>
        </w:rPr>
        <w:t>2022年若尔盖县法院无违规记录</w:t>
      </w:r>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（二）结果应用情况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1、自评公开情况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2022年在政府网站公开了当年预算、决算；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2、整改反馈情况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2022年全面落实绩效管理，通过绩效管理有效的提高了财经政策、改进了管理方式、实现了与预算挂钩。</w:t>
      </w:r>
    </w:p>
    <w:p>
      <w:pPr>
        <w:ind w:firstLine="640" w:firstLineChars="200"/>
        <w:outlineLvl w:val="1"/>
        <w:rPr>
          <w:rFonts w:ascii="黑体" w:hAnsi="黑体" w:eastAsia="黑体" w:cs="黑体"/>
          <w:sz w:val="32"/>
          <w:szCs w:val="32"/>
        </w:rPr>
      </w:pPr>
      <w:bookmarkStart w:id="174" w:name="_Toc13977"/>
      <w:bookmarkStart w:id="175" w:name="_Toc29677"/>
      <w:r>
        <w:rPr>
          <w:rFonts w:hint="eastAsia" w:ascii="黑体" w:hAnsi="黑体" w:eastAsia="黑体" w:cs="黑体"/>
          <w:sz w:val="32"/>
          <w:szCs w:val="32"/>
        </w:rPr>
        <w:t>四、评价结论及建议</w:t>
      </w:r>
      <w:bookmarkEnd w:id="174"/>
      <w:bookmarkEnd w:id="175"/>
    </w:p>
    <w:p>
      <w:pPr>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（一）评价结论</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我院高度重视绩效管理工作，安排专人负责，并指定一名分管财务的领导具体分管，对2022年的财务绩效管理工作总体评价结果为85分。</w:t>
      </w:r>
      <w:r>
        <w:rPr>
          <w:rFonts w:hint="eastAsia" w:ascii="仿宋_GB2312" w:hAnsi="仿宋_GB2312" w:eastAsia="仿宋_GB2312" w:cs="仿宋_GB2312"/>
          <w:sz w:val="32"/>
          <w:szCs w:val="32"/>
          <w:lang w:val="en-US" w:eastAsia="zh-CN"/>
        </w:rPr>
        <w:t>我院不存在超过100万的项目，故未编制项目绩效评价表。</w:t>
      </w:r>
      <w:bookmarkStart w:id="204" w:name="_GoBack"/>
      <w:bookmarkEnd w:id="204"/>
    </w:p>
    <w:p>
      <w:pPr>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（二）存在问题</w:t>
      </w:r>
    </w:p>
    <w:p>
      <w:pPr>
        <w:pStyle w:val="7"/>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政法转移支付办案业务经费的适用范围有限，部分日常事务只能用办公经费支付，导致业务经费使用效益不高，资金支付进度较慢。</w:t>
      </w:r>
    </w:p>
    <w:p>
      <w:pPr>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（三）改进建议</w:t>
      </w:r>
    </w:p>
    <w:p>
      <w:pPr>
        <w:pStyle w:val="21"/>
        <w:spacing w:line="560" w:lineRule="exact"/>
        <w:ind w:left="0" w:leftChars="0" w:firstLine="640"/>
        <w:rPr>
          <w:rStyle w:val="26"/>
          <w:rFonts w:ascii="黑体" w:eastAsia="黑体"/>
          <w:b w:val="0"/>
        </w:rPr>
      </w:pPr>
      <w:r>
        <w:rPr>
          <w:rFonts w:hint="eastAsia" w:eastAsia="仿宋_GB2312" w:cs="仿宋_GB2312"/>
          <w:sz w:val="32"/>
        </w:rPr>
        <w:t>一是制定合理的年度工作计划和年度经费支出预算，及时调整不合理的支出，确保全年经费支出均衡。二是将经费使用情况及时向分管领导报告，并强化与业务部门的沟通衔接，切实提高资金使用效益。</w:t>
      </w:r>
    </w:p>
    <w:p>
      <w:pPr>
        <w:widowControl/>
        <w:jc w:val="left"/>
        <w:rPr>
          <w:rStyle w:val="26"/>
          <w:rFonts w:ascii="黑体" w:eastAsia="黑体"/>
          <w:b w:val="0"/>
        </w:rPr>
      </w:pPr>
      <w:r>
        <w:rPr>
          <w:rStyle w:val="26"/>
          <w:rFonts w:ascii="黑体" w:eastAsia="黑体"/>
          <w:b w:val="0"/>
        </w:rPr>
        <w:br w:type="page"/>
      </w:r>
    </w:p>
    <w:p>
      <w:pPr>
        <w:spacing w:line="600" w:lineRule="exact"/>
        <w:jc w:val="center"/>
        <w:outlineLvl w:val="0"/>
        <w:rPr>
          <w:rFonts w:ascii="仿宋" w:eastAsia="仿宋"/>
        </w:rPr>
      </w:pPr>
      <w:bookmarkStart w:id="176" w:name="_Toc120"/>
      <w:bookmarkStart w:id="177" w:name="_Toc15396618"/>
      <w:r>
        <w:rPr>
          <w:rFonts w:hint="eastAsia" w:ascii="黑体" w:eastAsia="黑体"/>
          <w:sz w:val="44"/>
          <w:szCs w:val="44"/>
        </w:rPr>
        <w:t>第</w:t>
      </w:r>
      <w:r>
        <w:rPr>
          <w:rStyle w:val="26"/>
          <w:rFonts w:hint="eastAsia" w:ascii="黑体" w:eastAsia="黑体"/>
          <w:b w:val="0"/>
        </w:rPr>
        <w:t>五部分 附表</w:t>
      </w:r>
      <w:bookmarkEnd w:id="162"/>
      <w:bookmarkEnd w:id="176"/>
      <w:bookmarkEnd w:id="177"/>
      <w:bookmarkStart w:id="178" w:name="_Toc15396619"/>
    </w:p>
    <w:p>
      <w:pPr>
        <w:pStyle w:val="4"/>
        <w:rPr>
          <w:rFonts w:ascii="仿宋" w:eastAsia="仿宋"/>
        </w:rPr>
      </w:pPr>
      <w:bookmarkStart w:id="179" w:name="_Toc27203"/>
      <w:r>
        <w:rPr>
          <w:rFonts w:hint="eastAsia" w:ascii="仿宋" w:eastAsia="仿宋"/>
          <w:b w:val="0"/>
        </w:rPr>
        <w:t>一、收</w:t>
      </w:r>
      <w:r>
        <w:rPr>
          <w:rStyle w:val="27"/>
          <w:rFonts w:hint="eastAsia" w:ascii="仿宋" w:eastAsia="仿宋"/>
          <w:b w:val="0"/>
          <w:bCs w:val="0"/>
        </w:rPr>
        <w:t>入支出决算总表</w:t>
      </w:r>
      <w:bookmarkEnd w:id="178"/>
      <w:bookmarkEnd w:id="179"/>
    </w:p>
    <w:p>
      <w:pPr>
        <w:pStyle w:val="4"/>
        <w:rPr>
          <w:rFonts w:ascii="仿宋" w:eastAsia="仿宋"/>
        </w:rPr>
      </w:pPr>
      <w:bookmarkStart w:id="180" w:name="_Toc15396620"/>
      <w:bookmarkStart w:id="181" w:name="_Toc6944"/>
      <w:r>
        <w:rPr>
          <w:rFonts w:hint="eastAsia" w:ascii="仿宋" w:eastAsia="仿宋"/>
          <w:b w:val="0"/>
        </w:rPr>
        <w:t>二、收</w:t>
      </w:r>
      <w:r>
        <w:rPr>
          <w:rStyle w:val="27"/>
          <w:rFonts w:hint="eastAsia" w:ascii="仿宋" w:eastAsia="仿宋"/>
          <w:b w:val="0"/>
          <w:bCs w:val="0"/>
        </w:rPr>
        <w:t>入决算表</w:t>
      </w:r>
      <w:bookmarkEnd w:id="180"/>
      <w:bookmarkEnd w:id="181"/>
    </w:p>
    <w:p>
      <w:pPr>
        <w:pStyle w:val="4"/>
        <w:rPr>
          <w:rFonts w:ascii="仿宋" w:eastAsia="仿宋"/>
        </w:rPr>
      </w:pPr>
      <w:bookmarkStart w:id="182" w:name="_Toc15396621"/>
      <w:bookmarkStart w:id="183" w:name="_Toc12418"/>
      <w:r>
        <w:rPr>
          <w:rStyle w:val="27"/>
          <w:rFonts w:hint="eastAsia" w:ascii="仿宋" w:eastAsia="仿宋"/>
          <w:b w:val="0"/>
          <w:bCs w:val="0"/>
        </w:rPr>
        <w:t>三、</w:t>
      </w:r>
      <w:r>
        <w:rPr>
          <w:rFonts w:hint="eastAsia" w:ascii="仿宋" w:eastAsia="仿宋"/>
          <w:b w:val="0"/>
        </w:rPr>
        <w:t>支</w:t>
      </w:r>
      <w:r>
        <w:rPr>
          <w:rStyle w:val="27"/>
          <w:rFonts w:hint="eastAsia" w:ascii="仿宋" w:eastAsia="仿宋"/>
          <w:b w:val="0"/>
          <w:bCs w:val="0"/>
        </w:rPr>
        <w:t>出决算表</w:t>
      </w:r>
      <w:bookmarkEnd w:id="182"/>
      <w:bookmarkEnd w:id="183"/>
    </w:p>
    <w:p>
      <w:pPr>
        <w:pStyle w:val="4"/>
        <w:rPr>
          <w:rFonts w:ascii="仿宋" w:eastAsia="仿宋"/>
          <w:b w:val="0"/>
        </w:rPr>
      </w:pPr>
      <w:bookmarkStart w:id="184" w:name="_Toc24670"/>
      <w:bookmarkStart w:id="185" w:name="_Toc15396622"/>
      <w:r>
        <w:rPr>
          <w:rStyle w:val="27"/>
          <w:rFonts w:hint="eastAsia" w:ascii="仿宋" w:eastAsia="仿宋"/>
          <w:b w:val="0"/>
          <w:bCs w:val="0"/>
        </w:rPr>
        <w:t>四、</w:t>
      </w:r>
      <w:r>
        <w:rPr>
          <w:rFonts w:hint="eastAsia" w:ascii="仿宋" w:eastAsia="仿宋"/>
          <w:b w:val="0"/>
        </w:rPr>
        <w:t>财</w:t>
      </w:r>
      <w:r>
        <w:rPr>
          <w:rStyle w:val="27"/>
          <w:rFonts w:hint="eastAsia" w:ascii="仿宋" w:eastAsia="仿宋"/>
          <w:b w:val="0"/>
          <w:bCs w:val="0"/>
        </w:rPr>
        <w:t>政拨款收入支出决算总表</w:t>
      </w:r>
      <w:bookmarkEnd w:id="184"/>
      <w:bookmarkEnd w:id="185"/>
    </w:p>
    <w:p>
      <w:pPr>
        <w:pStyle w:val="4"/>
        <w:rPr>
          <w:rStyle w:val="27"/>
          <w:rFonts w:ascii="仿宋" w:eastAsia="仿宋"/>
          <w:b w:val="0"/>
          <w:bCs w:val="0"/>
        </w:rPr>
      </w:pPr>
      <w:bookmarkStart w:id="186" w:name="_Toc15396623"/>
      <w:bookmarkStart w:id="187" w:name="_Toc2285"/>
      <w:r>
        <w:rPr>
          <w:rStyle w:val="27"/>
          <w:rFonts w:hint="eastAsia" w:ascii="仿宋" w:eastAsia="仿宋"/>
          <w:b w:val="0"/>
          <w:bCs w:val="0"/>
        </w:rPr>
        <w:t>五、</w:t>
      </w:r>
      <w:r>
        <w:rPr>
          <w:rFonts w:hint="eastAsia" w:ascii="仿宋" w:eastAsia="仿宋"/>
          <w:b w:val="0"/>
        </w:rPr>
        <w:t>财</w:t>
      </w:r>
      <w:r>
        <w:rPr>
          <w:rStyle w:val="27"/>
          <w:rFonts w:hint="eastAsia" w:ascii="仿宋" w:eastAsia="仿宋"/>
          <w:b w:val="0"/>
          <w:bCs w:val="0"/>
        </w:rPr>
        <w:t>政拨款支出决算明细表</w:t>
      </w:r>
      <w:bookmarkEnd w:id="186"/>
      <w:bookmarkEnd w:id="187"/>
      <w:bookmarkStart w:id="188" w:name="_Toc15396624"/>
    </w:p>
    <w:p>
      <w:pPr>
        <w:pStyle w:val="4"/>
        <w:rPr>
          <w:rFonts w:ascii="仿宋" w:eastAsia="仿宋"/>
        </w:rPr>
      </w:pPr>
      <w:bookmarkStart w:id="189" w:name="_Toc3655"/>
      <w:r>
        <w:rPr>
          <w:rStyle w:val="27"/>
          <w:rFonts w:hint="eastAsia" w:ascii="仿宋" w:eastAsia="仿宋"/>
          <w:b w:val="0"/>
          <w:bCs w:val="0"/>
        </w:rPr>
        <w:t>六、</w:t>
      </w:r>
      <w:r>
        <w:rPr>
          <w:rFonts w:hint="eastAsia" w:ascii="仿宋" w:eastAsia="仿宋"/>
          <w:b w:val="0"/>
        </w:rPr>
        <w:t>一</w:t>
      </w:r>
      <w:r>
        <w:rPr>
          <w:rStyle w:val="27"/>
          <w:rFonts w:hint="eastAsia" w:ascii="仿宋" w:eastAsia="仿宋"/>
          <w:b w:val="0"/>
          <w:bCs w:val="0"/>
        </w:rPr>
        <w:t>般公共预算财政拨款支出决算表</w:t>
      </w:r>
      <w:bookmarkEnd w:id="188"/>
      <w:bookmarkEnd w:id="189"/>
    </w:p>
    <w:p>
      <w:pPr>
        <w:pStyle w:val="4"/>
        <w:rPr>
          <w:rFonts w:ascii="仿宋" w:eastAsia="仿宋"/>
        </w:rPr>
      </w:pPr>
      <w:bookmarkStart w:id="190" w:name="_Toc19157"/>
      <w:bookmarkStart w:id="191" w:name="_Toc15396625"/>
      <w:r>
        <w:rPr>
          <w:rStyle w:val="27"/>
          <w:rFonts w:hint="eastAsia" w:ascii="仿宋" w:eastAsia="仿宋"/>
          <w:b w:val="0"/>
          <w:bCs w:val="0"/>
        </w:rPr>
        <w:t>七、</w:t>
      </w:r>
      <w:r>
        <w:rPr>
          <w:rFonts w:hint="eastAsia" w:ascii="仿宋" w:eastAsia="仿宋"/>
          <w:b w:val="0"/>
        </w:rPr>
        <w:t>一</w:t>
      </w:r>
      <w:r>
        <w:rPr>
          <w:rStyle w:val="27"/>
          <w:rFonts w:hint="eastAsia" w:ascii="仿宋" w:eastAsia="仿宋"/>
          <w:b w:val="0"/>
          <w:bCs w:val="0"/>
        </w:rPr>
        <w:t>般公共预算财政拨款支出决算明细表</w:t>
      </w:r>
      <w:bookmarkEnd w:id="190"/>
      <w:bookmarkEnd w:id="191"/>
    </w:p>
    <w:p>
      <w:pPr>
        <w:pStyle w:val="4"/>
        <w:rPr>
          <w:rFonts w:ascii="仿宋" w:eastAsia="仿宋"/>
        </w:rPr>
      </w:pPr>
      <w:bookmarkStart w:id="192" w:name="_Toc15396626"/>
      <w:bookmarkStart w:id="193" w:name="_Toc4680"/>
      <w:r>
        <w:rPr>
          <w:rStyle w:val="27"/>
          <w:rFonts w:hint="eastAsia" w:ascii="仿宋" w:eastAsia="仿宋"/>
          <w:b w:val="0"/>
          <w:bCs w:val="0"/>
        </w:rPr>
        <w:t>八、</w:t>
      </w:r>
      <w:r>
        <w:rPr>
          <w:rFonts w:hint="eastAsia" w:ascii="仿宋" w:eastAsia="仿宋"/>
          <w:b w:val="0"/>
        </w:rPr>
        <w:t>一</w:t>
      </w:r>
      <w:r>
        <w:rPr>
          <w:rStyle w:val="27"/>
          <w:rFonts w:hint="eastAsia" w:ascii="仿宋" w:eastAsia="仿宋"/>
          <w:b w:val="0"/>
          <w:bCs w:val="0"/>
        </w:rPr>
        <w:t>般公共预算财政拨款基本支出决算表</w:t>
      </w:r>
      <w:bookmarkEnd w:id="192"/>
      <w:bookmarkEnd w:id="193"/>
    </w:p>
    <w:p>
      <w:pPr>
        <w:pStyle w:val="4"/>
        <w:rPr>
          <w:rFonts w:ascii="仿宋" w:eastAsia="仿宋"/>
        </w:rPr>
      </w:pPr>
      <w:bookmarkStart w:id="194" w:name="_Toc23498"/>
      <w:bookmarkStart w:id="195" w:name="_Toc15396627"/>
      <w:r>
        <w:rPr>
          <w:rStyle w:val="27"/>
          <w:rFonts w:hint="eastAsia" w:ascii="仿宋" w:eastAsia="仿宋"/>
          <w:b w:val="0"/>
          <w:bCs w:val="0"/>
        </w:rPr>
        <w:t>九、</w:t>
      </w:r>
      <w:r>
        <w:rPr>
          <w:rFonts w:hint="eastAsia" w:ascii="仿宋" w:eastAsia="仿宋"/>
          <w:b w:val="0"/>
        </w:rPr>
        <w:t>一</w:t>
      </w:r>
      <w:r>
        <w:rPr>
          <w:rStyle w:val="27"/>
          <w:rFonts w:hint="eastAsia" w:ascii="仿宋" w:eastAsia="仿宋"/>
          <w:b w:val="0"/>
          <w:bCs w:val="0"/>
        </w:rPr>
        <w:t>般公共预算财政拨款项目支出决算表</w:t>
      </w:r>
      <w:bookmarkEnd w:id="194"/>
      <w:bookmarkEnd w:id="195"/>
    </w:p>
    <w:p>
      <w:pPr>
        <w:pStyle w:val="4"/>
        <w:rPr>
          <w:rFonts w:ascii="仿宋" w:eastAsia="仿宋"/>
        </w:rPr>
      </w:pPr>
      <w:bookmarkStart w:id="196" w:name="_Toc15396628"/>
      <w:bookmarkStart w:id="197" w:name="_Toc6688"/>
      <w:r>
        <w:rPr>
          <w:rStyle w:val="27"/>
          <w:rFonts w:hint="eastAsia" w:ascii="仿宋" w:eastAsia="仿宋"/>
          <w:b w:val="0"/>
          <w:bCs w:val="0"/>
        </w:rPr>
        <w:t>十、</w:t>
      </w:r>
      <w:bookmarkEnd w:id="196"/>
      <w:r>
        <w:rPr>
          <w:rFonts w:hint="eastAsia" w:ascii="仿宋" w:eastAsia="仿宋"/>
          <w:b w:val="0"/>
        </w:rPr>
        <w:t>政</w:t>
      </w:r>
      <w:r>
        <w:rPr>
          <w:rStyle w:val="27"/>
          <w:rFonts w:hint="eastAsia" w:ascii="仿宋" w:eastAsia="仿宋"/>
          <w:b w:val="0"/>
          <w:bCs w:val="0"/>
        </w:rPr>
        <w:t>府性基金预算财政拨款收入支出决算表</w:t>
      </w:r>
      <w:bookmarkEnd w:id="197"/>
    </w:p>
    <w:p>
      <w:pPr>
        <w:pStyle w:val="4"/>
        <w:rPr>
          <w:rFonts w:ascii="仿宋" w:eastAsia="仿宋"/>
        </w:rPr>
      </w:pPr>
      <w:bookmarkStart w:id="198" w:name="_Toc15396629"/>
      <w:bookmarkStart w:id="199" w:name="_Toc24378"/>
      <w:r>
        <w:rPr>
          <w:rStyle w:val="27"/>
          <w:rFonts w:hint="eastAsia" w:ascii="仿宋" w:eastAsia="仿宋"/>
          <w:b w:val="0"/>
          <w:bCs w:val="0"/>
        </w:rPr>
        <w:t>十一、</w:t>
      </w:r>
      <w:bookmarkEnd w:id="198"/>
      <w:r>
        <w:rPr>
          <w:rFonts w:hint="eastAsia" w:ascii="仿宋" w:eastAsia="仿宋"/>
          <w:b w:val="0"/>
        </w:rPr>
        <w:t>国</w:t>
      </w:r>
      <w:r>
        <w:rPr>
          <w:rStyle w:val="27"/>
          <w:rFonts w:hint="eastAsia" w:ascii="仿宋" w:eastAsia="仿宋"/>
          <w:b w:val="0"/>
          <w:bCs w:val="0"/>
        </w:rPr>
        <w:t>有资本经营预算财政拨款收入支出决算表</w:t>
      </w:r>
      <w:bookmarkEnd w:id="199"/>
    </w:p>
    <w:p>
      <w:pPr>
        <w:pStyle w:val="4"/>
        <w:rPr>
          <w:rFonts w:ascii="仿宋" w:eastAsia="仿宋"/>
        </w:rPr>
      </w:pPr>
      <w:bookmarkStart w:id="200" w:name="_Toc15396630"/>
      <w:bookmarkStart w:id="201" w:name="_Toc23947"/>
      <w:r>
        <w:rPr>
          <w:rStyle w:val="27"/>
          <w:rFonts w:hint="eastAsia" w:ascii="仿宋" w:eastAsia="仿宋"/>
          <w:b w:val="0"/>
          <w:bCs w:val="0"/>
        </w:rPr>
        <w:t>十二、</w:t>
      </w:r>
      <w:bookmarkEnd w:id="200"/>
      <w:r>
        <w:rPr>
          <w:rStyle w:val="27"/>
          <w:rFonts w:hint="eastAsia" w:ascii="仿宋" w:eastAsia="仿宋"/>
          <w:b w:val="0"/>
          <w:bCs w:val="0"/>
        </w:rPr>
        <w:t>国有资本经营预算财政拨款支出决算表</w:t>
      </w:r>
      <w:bookmarkEnd w:id="201"/>
    </w:p>
    <w:p>
      <w:pPr>
        <w:pStyle w:val="4"/>
        <w:rPr>
          <w:rFonts w:eastAsia="仿宋"/>
        </w:rPr>
      </w:pPr>
      <w:bookmarkStart w:id="202" w:name="_Toc15396631"/>
      <w:bookmarkStart w:id="203" w:name="_Toc20458"/>
      <w:r>
        <w:rPr>
          <w:rStyle w:val="27"/>
          <w:rFonts w:hint="eastAsia" w:ascii="仿宋" w:eastAsia="仿宋"/>
          <w:b w:val="0"/>
          <w:bCs w:val="0"/>
        </w:rPr>
        <w:t>十三、</w:t>
      </w:r>
      <w:bookmarkEnd w:id="202"/>
      <w:r>
        <w:rPr>
          <w:rStyle w:val="27"/>
          <w:rFonts w:hint="eastAsia" w:ascii="仿宋" w:eastAsia="仿宋"/>
          <w:b w:val="0"/>
          <w:bCs w:val="0"/>
        </w:rPr>
        <w:t>财政拨款“三公”经费支出决算表</w:t>
      </w:r>
      <w:bookmarkEnd w:id="203"/>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1616354"/>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2">
    <w:nsid w:val="0E3821B7"/>
    <w:multiLevelType w:val="multilevel"/>
    <w:tmpl w:val="0E3821B7"/>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WQxMTVhMzA0ZmI5MzE0ZTQ4Njg5NWUwM2ZhMTJkY2QifQ=="/>
  </w:docVars>
  <w:rsids>
    <w:rsidRoot w:val="005346C9"/>
    <w:rsid w:val="000D548A"/>
    <w:rsid w:val="001A06BA"/>
    <w:rsid w:val="001E411E"/>
    <w:rsid w:val="00213867"/>
    <w:rsid w:val="00213CF6"/>
    <w:rsid w:val="002C1B69"/>
    <w:rsid w:val="002C4B34"/>
    <w:rsid w:val="00331FE3"/>
    <w:rsid w:val="00346C0B"/>
    <w:rsid w:val="003A2323"/>
    <w:rsid w:val="003E0F6E"/>
    <w:rsid w:val="004828F9"/>
    <w:rsid w:val="00490125"/>
    <w:rsid w:val="004E275D"/>
    <w:rsid w:val="005155A8"/>
    <w:rsid w:val="005346C9"/>
    <w:rsid w:val="006C388D"/>
    <w:rsid w:val="006F7D1C"/>
    <w:rsid w:val="00715D4A"/>
    <w:rsid w:val="00730942"/>
    <w:rsid w:val="00733857"/>
    <w:rsid w:val="007A6CD3"/>
    <w:rsid w:val="007C173F"/>
    <w:rsid w:val="007C6D18"/>
    <w:rsid w:val="007E49A7"/>
    <w:rsid w:val="008630C2"/>
    <w:rsid w:val="00863237"/>
    <w:rsid w:val="008E2D83"/>
    <w:rsid w:val="0094000D"/>
    <w:rsid w:val="009560D9"/>
    <w:rsid w:val="009D2921"/>
    <w:rsid w:val="009F6838"/>
    <w:rsid w:val="00A404AD"/>
    <w:rsid w:val="00B32E2F"/>
    <w:rsid w:val="00C212ED"/>
    <w:rsid w:val="00C555D9"/>
    <w:rsid w:val="00CC56B6"/>
    <w:rsid w:val="00CF0121"/>
    <w:rsid w:val="00D0115C"/>
    <w:rsid w:val="00D04572"/>
    <w:rsid w:val="00DB73A7"/>
    <w:rsid w:val="00DC6632"/>
    <w:rsid w:val="00DE4D5A"/>
    <w:rsid w:val="00DF26A4"/>
    <w:rsid w:val="00E10E7E"/>
    <w:rsid w:val="00E26280"/>
    <w:rsid w:val="00EF4721"/>
    <w:rsid w:val="00F20345"/>
    <w:rsid w:val="00FA49DB"/>
    <w:rsid w:val="00FF3270"/>
    <w:rsid w:val="2CA60685"/>
    <w:rsid w:val="2FC558E9"/>
    <w:rsid w:val="3F224C8D"/>
    <w:rsid w:val="5BCA1CC1"/>
    <w:rsid w:val="7204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uiPriority w:val="0"/>
    <w:pPr>
      <w:keepNext/>
      <w:keepLines/>
      <w:spacing w:before="340" w:after="330" w:line="578" w:lineRule="auto"/>
      <w:outlineLvl w:val="0"/>
    </w:pPr>
    <w:rPr>
      <w:b/>
      <w:bCs/>
      <w:kern w:val="44"/>
      <w:sz w:val="44"/>
      <w:szCs w:val="44"/>
    </w:rPr>
  </w:style>
  <w:style w:type="paragraph" w:styleId="4">
    <w:name w:val="heading 2"/>
    <w:basedOn w:val="1"/>
    <w:next w:val="1"/>
    <w:link w:val="27"/>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kern w:val="0"/>
      <w:sz w:val="30"/>
    </w:r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toa heading"/>
    <w:basedOn w:val="1"/>
    <w:next w:val="1"/>
    <w:qFormat/>
    <w:uiPriority w:val="99"/>
    <w:pPr>
      <w:spacing w:before="120"/>
    </w:pPr>
    <w:rPr>
      <w:rFonts w:ascii="Cambria" w:hAnsi="Cambria"/>
      <w:sz w:val="24"/>
    </w:rPr>
  </w:style>
  <w:style w:type="paragraph" w:styleId="8">
    <w:name w:val="Body Text Indent"/>
    <w:basedOn w:val="1"/>
    <w:qFormat/>
    <w:uiPriority w:val="0"/>
    <w:pPr>
      <w:spacing w:after="120"/>
      <w:ind w:left="200" w:leftChars="200"/>
    </w:pPr>
    <w:rPr>
      <w:rFonts w:ascii="仿宋_GB2312" w:hAnsi="仿宋_GB2312"/>
      <w:szCs w:val="32"/>
    </w:rPr>
  </w:style>
  <w:style w:type="paragraph" w:styleId="9">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0">
    <w:name w:val="toc 3"/>
    <w:basedOn w:val="1"/>
    <w:next w:val="1"/>
    <w:qFormat/>
    <w:uiPriority w:val="39"/>
    <w:pPr>
      <w:tabs>
        <w:tab w:val="right" w:leader="dot" w:pos="8296"/>
      </w:tabs>
      <w:ind w:left="400" w:leftChars="400"/>
    </w:pPr>
  </w:style>
  <w:style w:type="paragraph" w:styleId="1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39"/>
    <w:pPr>
      <w:tabs>
        <w:tab w:val="right" w:leader="dot" w:pos="8296"/>
      </w:tabs>
      <w:spacing w:before="93"/>
      <w:jc w:val="center"/>
    </w:pPr>
    <w:rPr>
      <w:rFonts w:ascii="仿宋" w:eastAsia="仿宋"/>
      <w:sz w:val="28"/>
      <w:szCs w:val="28"/>
    </w:rPr>
  </w:style>
  <w:style w:type="paragraph" w:styleId="16">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8">
    <w:name w:val="toc 2"/>
    <w:basedOn w:val="1"/>
    <w:next w:val="1"/>
    <w:qFormat/>
    <w:uiPriority w:val="39"/>
    <w:pPr>
      <w:tabs>
        <w:tab w:val="right" w:leader="dot" w:pos="8296"/>
      </w:tabs>
      <w:ind w:left="200" w:leftChars="200"/>
    </w:pPr>
  </w:style>
  <w:style w:type="paragraph" w:styleId="19">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2"/>
    <w:basedOn w:val="8"/>
    <w:qFormat/>
    <w:uiPriority w:val="0"/>
    <w:pPr>
      <w:ind w:firstLine="200" w:firstLineChars="200"/>
    </w:p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1 Char"/>
    <w:basedOn w:val="23"/>
    <w:link w:val="3"/>
    <w:qFormat/>
    <w:uiPriority w:val="0"/>
    <w:rPr>
      <w:rFonts w:ascii="Times New Roman" w:hAnsi="Times New Roman" w:eastAsia="宋体" w:cs="Times New Roman"/>
      <w:b/>
      <w:bCs/>
      <w:kern w:val="44"/>
      <w:sz w:val="44"/>
      <w:szCs w:val="44"/>
      <w:lang w:val="en-US" w:eastAsia="zh-CN" w:bidi="ar-SA"/>
    </w:rPr>
  </w:style>
  <w:style w:type="character" w:customStyle="1" w:styleId="27">
    <w:name w:val="标题 2 Char"/>
    <w:basedOn w:val="23"/>
    <w:link w:val="4"/>
    <w:qFormat/>
    <w:uiPriority w:val="9"/>
    <w:rPr>
      <w:rFonts w:ascii="Cambria" w:hAnsi="Cambria" w:eastAsia="宋体" w:cs="Times New Roman"/>
      <w:b/>
      <w:bCs/>
      <w:kern w:val="2"/>
      <w:sz w:val="32"/>
      <w:szCs w:val="32"/>
      <w:lang w:val="en-US" w:eastAsia="zh-CN" w:bidi="ar-SA"/>
    </w:rPr>
  </w:style>
  <w:style w:type="paragraph" w:customStyle="1" w:styleId="28">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9">
    <w:name w:val="Header Char"/>
    <w:basedOn w:val="23"/>
    <w:qFormat/>
    <w:uiPriority w:val="0"/>
    <w:rPr>
      <w:rFonts w:ascii="Times New Roman" w:hAnsi="Times New Roman"/>
      <w:sz w:val="18"/>
      <w:szCs w:val="18"/>
    </w:rPr>
  </w:style>
  <w:style w:type="character" w:customStyle="1" w:styleId="30">
    <w:name w:val="Footer Char"/>
    <w:basedOn w:val="23"/>
    <w:qFormat/>
    <w:uiPriority w:val="0"/>
    <w:rPr>
      <w:rFonts w:ascii="Times New Roman" w:hAnsi="Times New Roman"/>
      <w:sz w:val="18"/>
      <w:szCs w:val="18"/>
    </w:rPr>
  </w:style>
  <w:style w:type="character" w:customStyle="1" w:styleId="31">
    <w:name w:val="Body Text Char"/>
    <w:basedOn w:val="23"/>
    <w:qFormat/>
    <w:uiPriority w:val="0"/>
    <w:rPr>
      <w:rFonts w:ascii="Times New Roman" w:hAnsi="Times New Roman"/>
      <w:szCs w:val="24"/>
    </w:rPr>
  </w:style>
  <w:style w:type="paragraph" w:customStyle="1" w:styleId="3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33">
    <w:name w:val="List Paragraph"/>
    <w:basedOn w:val="1"/>
    <w:qFormat/>
    <w:uiPriority w:val="0"/>
    <w:pPr>
      <w:ind w:firstLine="200" w:firstLineChars="200"/>
    </w:pPr>
  </w:style>
  <w:style w:type="paragraph" w:customStyle="1" w:styleId="34">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35">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7"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Sheet1!$A$1:$D$1</c:f>
              <c:strCache>
                <c:ptCount val="4"/>
                <c:pt idx="0">
                  <c:v>2022年本年收入</c:v>
                </c:pt>
                <c:pt idx="1">
                  <c:v>2021年本年收入</c:v>
                </c:pt>
                <c:pt idx="2">
                  <c:v>2022年本年支出</c:v>
                </c:pt>
                <c:pt idx="3">
                  <c:v>2021年本年支出</c:v>
                </c:pt>
              </c:strCache>
            </c:strRef>
          </c:cat>
          <c:val>
            <c:numRef>
              <c:f>Sheet1!$A$2:$D$2</c:f>
              <c:numCache>
                <c:formatCode>General</c:formatCode>
                <c:ptCount val="4"/>
                <c:pt idx="0">
                  <c:v>1509.92</c:v>
                </c:pt>
                <c:pt idx="1">
                  <c:v>1685.76</c:v>
                </c:pt>
                <c:pt idx="2">
                  <c:v>1509.92</c:v>
                </c:pt>
                <c:pt idx="3">
                  <c:v>1800.14</c:v>
                </c:pt>
              </c:numCache>
            </c:numRef>
          </c:val>
        </c:ser>
        <c:dLbls>
          <c:showLegendKey val="0"/>
          <c:showVal val="0"/>
          <c:showCatName val="0"/>
          <c:showSerName val="0"/>
          <c:showPercent val="0"/>
          <c:showBubbleSize val="0"/>
        </c:dLbls>
        <c:gapWidth val="150"/>
        <c:axId val="148809984"/>
        <c:axId val="148811776"/>
      </c:barChart>
      <c:catAx>
        <c:axId val="1488099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8811776"/>
        <c:crosses val="autoZero"/>
        <c:auto val="1"/>
        <c:lblAlgn val="ctr"/>
        <c:lblOffset val="100"/>
        <c:noMultiLvlLbl val="0"/>
      </c:catAx>
      <c:valAx>
        <c:axId val="148811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880998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Sheet1!$A$1:$B$1</c:f>
              <c:strCache>
                <c:ptCount val="2"/>
                <c:pt idx="0">
                  <c:v>一般公共预算财政拨款收入</c:v>
                </c:pt>
                <c:pt idx="1">
                  <c:v>其他收入</c:v>
                </c:pt>
              </c:strCache>
            </c:strRef>
          </c:cat>
          <c:val>
            <c:numRef>
              <c:f>Sheet1!$A$2:$B$2</c:f>
              <c:numCache>
                <c:formatCode>General</c:formatCode>
                <c:ptCount val="2"/>
                <c:pt idx="0">
                  <c:v>1099.77</c:v>
                </c:pt>
                <c:pt idx="1">
                  <c:v>410.15</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Sheet1!$A$1:$B$1</c:f>
              <c:strCache>
                <c:ptCount val="2"/>
                <c:pt idx="0">
                  <c:v>基本支出</c:v>
                </c:pt>
                <c:pt idx="1">
                  <c:v>项目支出</c:v>
                </c:pt>
              </c:strCache>
            </c:strRef>
          </c:cat>
          <c:val>
            <c:numRef>
              <c:f>Sheet1!$A$2:$B$2</c:f>
              <c:numCache>
                <c:formatCode>General</c:formatCode>
                <c:ptCount val="2"/>
                <c:pt idx="0">
                  <c:v>1310.37</c:v>
                </c:pt>
                <c:pt idx="1">
                  <c:v>199.55</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Sheet1!$A$1:$D$1</c:f>
              <c:strCache>
                <c:ptCount val="4"/>
                <c:pt idx="0">
                  <c:v>2022年本年收入</c:v>
                </c:pt>
                <c:pt idx="1">
                  <c:v>2021年本年收入</c:v>
                </c:pt>
                <c:pt idx="2">
                  <c:v>2022年本年支出</c:v>
                </c:pt>
                <c:pt idx="3">
                  <c:v>2021年本年支出</c:v>
                </c:pt>
              </c:strCache>
            </c:strRef>
          </c:cat>
          <c:val>
            <c:numRef>
              <c:f>Sheet1!$A$2:$D$2</c:f>
              <c:numCache>
                <c:formatCode>General</c:formatCode>
                <c:ptCount val="4"/>
                <c:pt idx="0">
                  <c:v>1099.77</c:v>
                </c:pt>
                <c:pt idx="1">
                  <c:v>1685.76</c:v>
                </c:pt>
                <c:pt idx="2">
                  <c:v>1099.77</c:v>
                </c:pt>
                <c:pt idx="3">
                  <c:v>1800.14</c:v>
                </c:pt>
              </c:numCache>
            </c:numRef>
          </c:val>
        </c:ser>
        <c:dLbls>
          <c:showLegendKey val="0"/>
          <c:showVal val="0"/>
          <c:showCatName val="0"/>
          <c:showSerName val="0"/>
          <c:showPercent val="0"/>
          <c:showBubbleSize val="0"/>
        </c:dLbls>
        <c:gapWidth val="150"/>
        <c:axId val="106219776"/>
        <c:axId val="106225664"/>
      </c:barChart>
      <c:catAx>
        <c:axId val="1062197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225664"/>
        <c:crosses val="autoZero"/>
        <c:auto val="1"/>
        <c:lblAlgn val="ctr"/>
        <c:lblOffset val="100"/>
        <c:noMultiLvlLbl val="0"/>
      </c:catAx>
      <c:valAx>
        <c:axId val="106225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21977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Sheet1!$A$1:$B$1</c:f>
              <c:strCache>
                <c:ptCount val="2"/>
                <c:pt idx="0">
                  <c:v>2022年一般公共预算财政拨款支出</c:v>
                </c:pt>
                <c:pt idx="1">
                  <c:v>2021年一般公共预算财政拨款支出</c:v>
                </c:pt>
              </c:strCache>
            </c:strRef>
          </c:cat>
          <c:val>
            <c:numRef>
              <c:f>Sheet1!$A$2:$B$2</c:f>
              <c:numCache>
                <c:formatCode>General</c:formatCode>
                <c:ptCount val="2"/>
                <c:pt idx="0">
                  <c:v>1099.77</c:v>
                </c:pt>
                <c:pt idx="1" c:formatCode="#,##0.00">
                  <c:v>1800.14</c:v>
                </c:pt>
              </c:numCache>
            </c:numRef>
          </c:val>
        </c:ser>
        <c:dLbls>
          <c:showLegendKey val="0"/>
          <c:showVal val="0"/>
          <c:showCatName val="0"/>
          <c:showSerName val="0"/>
          <c:showPercent val="0"/>
          <c:showBubbleSize val="0"/>
        </c:dLbls>
        <c:gapWidth val="150"/>
        <c:axId val="63900288"/>
        <c:axId val="63902080"/>
      </c:barChart>
      <c:catAx>
        <c:axId val="639002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3902080"/>
        <c:crosses val="autoZero"/>
        <c:auto val="1"/>
        <c:lblAlgn val="ctr"/>
        <c:lblOffset val="100"/>
        <c:noMultiLvlLbl val="0"/>
      </c:catAx>
      <c:valAx>
        <c:axId val="63902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39002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Sheet1!$A$1:$D$1</c:f>
              <c:strCache>
                <c:ptCount val="4"/>
                <c:pt idx="0">
                  <c:v>公共安全支出</c:v>
                </c:pt>
                <c:pt idx="1">
                  <c:v>社会保障和就业支出</c:v>
                </c:pt>
                <c:pt idx="2">
                  <c:v>卫生健康支出</c:v>
                </c:pt>
                <c:pt idx="3">
                  <c:v>住房保障支出</c:v>
                </c:pt>
              </c:strCache>
            </c:strRef>
          </c:cat>
          <c:val>
            <c:numRef>
              <c:f>Sheet1!$A$2:$D$2</c:f>
              <c:numCache>
                <c:formatCode>General</c:formatCode>
                <c:ptCount val="4"/>
                <c:pt idx="0">
                  <c:v>837.73</c:v>
                </c:pt>
                <c:pt idx="1">
                  <c:v>118.97</c:v>
                </c:pt>
                <c:pt idx="2">
                  <c:v>57.97</c:v>
                </c:pt>
                <c:pt idx="3">
                  <c:v>85.11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Sheet1!$A$1:$C$1</c:f>
              <c:strCache>
                <c:ptCount val="3"/>
                <c:pt idx="0">
                  <c:v>因公出国（境）费支出</c:v>
                </c:pt>
                <c:pt idx="1">
                  <c:v>公务用车购置及运行维护费支出</c:v>
                </c:pt>
                <c:pt idx="2">
                  <c:v>公务接待费支出</c:v>
                </c:pt>
              </c:strCache>
            </c:strRef>
          </c:cat>
          <c:val>
            <c:numRef>
              <c:f>Sheet1!$A$2:$C$2</c:f>
              <c:numCache>
                <c:formatCode>General</c:formatCode>
                <c:ptCount val="3"/>
                <c:pt idx="0">
                  <c:v>0</c:v>
                </c:pt>
                <c:pt idx="1">
                  <c:v>1.15</c:v>
                </c:pt>
                <c:pt idx="2">
                  <c:v>1.01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A0093E-9970-436A-A5E0-11F6D104F5F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1083</Words>
  <Characters>6174</Characters>
  <Lines>51</Lines>
  <Paragraphs>14</Paragraphs>
  <TotalTime>9</TotalTime>
  <ScaleCrop>false</ScaleCrop>
  <LinksUpToDate>false</LinksUpToDate>
  <CharactersWithSpaces>7243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2023-09-17T09:29:00Z</cp:lastPrinted>
  <dcterms:modified xsi:type="dcterms:W3CDTF">2023-09-19T07:15:16Z</dcterms:modified>
  <dc:title>四川省***</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56F857D6E3344F9794D5844AB236F138_12</vt:lpwstr>
  </property>
</Properties>
</file>