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FE084">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78441"/>
      <w:bookmarkStart w:id="3" w:name="_Toc15396597"/>
      <w:bookmarkStart w:id="4" w:name="_Toc15396475"/>
      <w:bookmarkStart w:id="5" w:name="_Toc15377193"/>
    </w:p>
    <w:p w14:paraId="2520FDB3">
      <w:pPr>
        <w:pStyle w:val="6"/>
        <w:rPr>
          <w:rFonts w:hint="eastAsia" w:ascii="Times New Roman" w:hAnsi="Times New Roman" w:eastAsia="方正小标宋简体" w:cs="Times New Roman"/>
          <w:color w:val="auto"/>
          <w:kern w:val="2"/>
          <w:sz w:val="72"/>
          <w:szCs w:val="72"/>
          <w:highlight w:val="none"/>
          <w:lang w:val="en-US" w:eastAsia="zh-CN" w:bidi="ar-SA"/>
        </w:rPr>
      </w:pPr>
    </w:p>
    <w:p w14:paraId="6B397A4B">
      <w:pPr>
        <w:pStyle w:val="6"/>
        <w:rPr>
          <w:rFonts w:hint="eastAsia" w:ascii="Times New Roman" w:hAnsi="Times New Roman" w:eastAsia="方正小标宋简体" w:cs="Times New Roman"/>
          <w:color w:val="auto"/>
          <w:kern w:val="2"/>
          <w:sz w:val="72"/>
          <w:szCs w:val="72"/>
          <w:highlight w:val="none"/>
          <w:lang w:val="en-US" w:eastAsia="zh-CN" w:bidi="ar-SA"/>
        </w:rPr>
      </w:pPr>
    </w:p>
    <w:p w14:paraId="390E4549">
      <w:pPr>
        <w:pStyle w:val="6"/>
        <w:rPr>
          <w:rFonts w:hint="eastAsia" w:ascii="Times New Roman" w:hAnsi="Times New Roman" w:eastAsia="方正小标宋简体" w:cs="Times New Roman"/>
          <w:color w:val="auto"/>
          <w:kern w:val="2"/>
          <w:sz w:val="72"/>
          <w:szCs w:val="72"/>
          <w:highlight w:val="none"/>
          <w:lang w:val="en-US" w:eastAsia="zh-CN" w:bidi="ar-SA"/>
        </w:rPr>
      </w:pPr>
    </w:p>
    <w:p w14:paraId="5B738AE7">
      <w:pPr>
        <w:pStyle w:val="6"/>
        <w:spacing w:beforeLines="0"/>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14:paraId="5E8AE50C">
      <w:pPr>
        <w:pStyle w:val="6"/>
        <w:spacing w:beforeLines="0"/>
        <w:jc w:val="center"/>
        <w:rPr>
          <w:rFonts w:ascii="Times New Roman" w:eastAsia="方正小标宋简体"/>
          <w:kern w:val="2"/>
          <w:sz w:val="42"/>
          <w:szCs w:val="44"/>
        </w:rPr>
      </w:pPr>
      <w:r>
        <w:rPr>
          <w:rFonts w:hint="eastAsia" w:ascii="Times New Roman" w:eastAsia="方正小标宋简体"/>
          <w:kern w:val="2"/>
          <w:sz w:val="42"/>
          <w:szCs w:val="44"/>
        </w:rPr>
        <w:t>阿坝州若尔盖县人民法院决算公开</w:t>
      </w:r>
    </w:p>
    <w:p w14:paraId="5B88121A">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3B6744D4">
      <w:pPr>
        <w:spacing w:line="600" w:lineRule="exact"/>
        <w:jc w:val="center"/>
        <w:outlineLvl w:val="0"/>
        <w:rPr>
          <w:rFonts w:ascii="Times New Roman" w:hAnsi="Times New Roman" w:eastAsia="方正小标宋简体"/>
          <w:color w:val="auto"/>
          <w:sz w:val="72"/>
          <w:szCs w:val="72"/>
          <w:highlight w:val="none"/>
        </w:rPr>
      </w:pPr>
    </w:p>
    <w:p w14:paraId="6ADC6545">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3BA2E4C">
      <w:pPr>
        <w:rPr>
          <w:rFonts w:ascii="Times New Roman" w:hAnsi="Times New Roman"/>
        </w:rPr>
      </w:pPr>
    </w:p>
    <w:bookmarkEnd w:id="0"/>
    <w:bookmarkEnd w:id="1"/>
    <w:bookmarkEnd w:id="2"/>
    <w:bookmarkEnd w:id="3"/>
    <w:bookmarkEnd w:id="4"/>
    <w:bookmarkEnd w:id="5"/>
    <w:p w14:paraId="3DA5737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59B2900">
      <w:pPr>
        <w:widowControl/>
        <w:jc w:val="center"/>
        <w:rPr>
          <w:rFonts w:ascii="Times New Roman" w:hAnsi="Times New Roman" w:eastAsia="黑体" w:cstheme="minorBidi"/>
          <w:color w:val="auto"/>
          <w:sz w:val="28"/>
          <w:szCs w:val="28"/>
          <w:highlight w:val="none"/>
        </w:rPr>
      </w:pPr>
    </w:p>
    <w:p w14:paraId="4AD86908">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日</w:t>
      </w:r>
    </w:p>
    <w:p w14:paraId="060C0C31">
      <w:pPr>
        <w:rPr>
          <w:rFonts w:ascii="Times New Roman" w:hAnsi="Times New Roman"/>
          <w:color w:val="auto"/>
          <w:highlight w:val="none"/>
        </w:rPr>
      </w:pPr>
    </w:p>
    <w:p w14:paraId="2141B6A5">
      <w:pPr>
        <w:pStyle w:val="13"/>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TOC \o "1-2" \h \u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_Toc1537911137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第一部分</w:t>
      </w:r>
      <w:r>
        <w:rPr>
          <w:rFonts w:hint="eastAsia" w:asciiTheme="minorEastAsia" w:hAnsiTheme="minorEastAsia" w:eastAsiaTheme="minorEastAsia" w:cstheme="minorEastAsia"/>
          <w:sz w:val="32"/>
          <w:szCs w:val="32"/>
          <w:highlight w:val="none"/>
          <w:lang w:val="en-US" w:eastAsia="zh-CN"/>
        </w:rPr>
        <w:t xml:space="preserve"> </w:t>
      </w:r>
      <w:r>
        <w:rPr>
          <w:rFonts w:hint="eastAsia" w:asciiTheme="minorEastAsia" w:hAnsiTheme="minorEastAsia" w:eastAsiaTheme="minorEastAsia" w:cstheme="minorEastAsia"/>
          <w:sz w:val="32"/>
          <w:szCs w:val="32"/>
          <w:highlight w:val="none"/>
        </w:rPr>
        <w:t xml:space="preserve"> </w:t>
      </w:r>
      <w:r>
        <w:rPr>
          <w:rFonts w:hint="eastAsia" w:asciiTheme="minorEastAsia" w:hAnsiTheme="minorEastAsia" w:eastAsiaTheme="minorEastAsia" w:cstheme="minorEastAsia"/>
          <w:bCs w:val="0"/>
          <w:sz w:val="32"/>
          <w:szCs w:val="32"/>
          <w:highlight w:val="none"/>
        </w:rPr>
        <w:t>部门概况</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_Toc1537911137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4</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76AAFB29">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_Toc1954842133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一、</w:t>
      </w:r>
      <w:r>
        <w:rPr>
          <w:rFonts w:hint="eastAsia" w:asciiTheme="minorEastAsia" w:hAnsiTheme="minorEastAsia" w:eastAsiaTheme="minorEastAsia" w:cstheme="minorEastAsia"/>
          <w:sz w:val="32"/>
          <w:szCs w:val="32"/>
          <w:highlight w:val="none"/>
          <w:lang w:eastAsia="zh-CN"/>
        </w:rPr>
        <w:t>部门职责</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_Toc1954842133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4</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71F7B639">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_Toc1183679073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二、机</w:t>
      </w:r>
      <w:r>
        <w:rPr>
          <w:rFonts w:hint="eastAsia" w:asciiTheme="minorEastAsia" w:hAnsiTheme="minorEastAsia" w:eastAsiaTheme="minorEastAsia" w:cstheme="minorEastAsia"/>
          <w:bCs w:val="0"/>
          <w:sz w:val="32"/>
          <w:szCs w:val="32"/>
          <w:highlight w:val="none"/>
        </w:rPr>
        <w:t>构设置</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_Toc1183679073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4</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AB0C3D6">
      <w:pPr>
        <w:pStyle w:val="13"/>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_Toc2103279402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第二部分</w:t>
      </w:r>
      <w:r>
        <w:rPr>
          <w:rFonts w:hint="eastAsia" w:asciiTheme="minorEastAsia" w:hAnsiTheme="minorEastAsia" w:eastAsiaTheme="minorEastAsia" w:cstheme="minorEastAsia"/>
          <w:sz w:val="32"/>
          <w:szCs w:val="32"/>
          <w:highlight w:val="none"/>
          <w:lang w:val="en-US" w:eastAsia="zh-CN"/>
        </w:rPr>
        <w:t xml:space="preserve"> </w:t>
      </w:r>
      <w:r>
        <w:rPr>
          <w:rFonts w:hint="eastAsia" w:asciiTheme="minorEastAsia" w:hAnsiTheme="minorEastAsia" w:eastAsiaTheme="minorEastAsia" w:cstheme="minorEastAsia"/>
          <w:sz w:val="32"/>
          <w:szCs w:val="32"/>
          <w:highlight w:val="none"/>
        </w:rPr>
        <w:t xml:space="preserve"> </w:t>
      </w:r>
      <w:r>
        <w:rPr>
          <w:rFonts w:hint="eastAsia" w:asciiTheme="minorEastAsia" w:hAnsiTheme="minorEastAsia" w:eastAsiaTheme="minorEastAsia" w:cstheme="minorEastAsia"/>
          <w:sz w:val="32"/>
          <w:szCs w:val="32"/>
          <w:highlight w:val="none"/>
          <w:lang w:val="en-US" w:eastAsia="zh-CN"/>
        </w:rPr>
        <w:t>2025年度</w:t>
      </w:r>
      <w:r>
        <w:rPr>
          <w:rFonts w:hint="eastAsia" w:asciiTheme="minorEastAsia" w:hAnsiTheme="minorEastAsia" w:eastAsiaTheme="minorEastAsia" w:cstheme="minorEastAsia"/>
          <w:sz w:val="32"/>
          <w:szCs w:val="32"/>
          <w:highlight w:val="none"/>
        </w:rPr>
        <w:t>部门决算情况说明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_Toc2103279402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5</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158E8286">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_Toc1596698543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lang w:eastAsia="zh-CN"/>
        </w:rPr>
        <w:t>一、</w:t>
      </w:r>
      <w:r>
        <w:rPr>
          <w:rFonts w:hint="eastAsia" w:asciiTheme="minorEastAsia" w:hAnsiTheme="minorEastAsia" w:eastAsiaTheme="minorEastAsia" w:cstheme="minorEastAsia"/>
          <w:sz w:val="32"/>
          <w:szCs w:val="32"/>
          <w:highlight w:val="none"/>
        </w:rPr>
        <w:t>收入支出决算总体情况说明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_Toc1596698543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5</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2A23AC5E">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_Toc1531170646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lang w:eastAsia="zh-CN"/>
        </w:rPr>
        <w:t>二、收入决算情况说明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_Toc1531170646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5</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D7051E7">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_Toc945818589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lang w:eastAsia="zh-CN"/>
        </w:rPr>
        <w:t>三、</w:t>
      </w:r>
      <w:r>
        <w:rPr>
          <w:rFonts w:hint="eastAsia" w:asciiTheme="minorEastAsia" w:hAnsiTheme="minorEastAsia" w:eastAsiaTheme="minorEastAsia" w:cstheme="minorEastAsia"/>
          <w:sz w:val="32"/>
          <w:szCs w:val="32"/>
          <w:highlight w:val="none"/>
        </w:rPr>
        <w:t>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_Toc945818589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6</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51D7B3C">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_Toc553136041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四、财政拨款收入支出决算总体情况说明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_Toc553136041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6</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5DD29E7C">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_Toc443768960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五、一般公共预算财政拨款支出决算情况说明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_Toc443768960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7</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A1C66B6">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_Toc1379168594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六、一般公共预算财政拨款基本支出决算情况说明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_Toc1379168594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2D39AFEA">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_Toc1381270697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七、财政拨款“三公”经费支出决算情况说明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_Toc1381270697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10</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253EE369">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_Toc2035220833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rPr>
        <w:t>八、政府性基金预算支出决算情况说明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_Toc2035220833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12</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40D56538">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_Toc659579806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lang w:eastAsia="zh-CN"/>
        </w:rPr>
        <w:t>九、</w:t>
      </w:r>
      <w:r>
        <w:rPr>
          <w:rFonts w:hint="eastAsia" w:asciiTheme="minorEastAsia" w:hAnsiTheme="minorEastAsia" w:eastAsiaTheme="minorEastAsia" w:cstheme="minorEastAsia"/>
          <w:sz w:val="32"/>
          <w:szCs w:val="32"/>
          <w:highlight w:val="none"/>
        </w:rPr>
        <w:t>国有资本经营预算支出决算情况说明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_Toc659579806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12</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F280B41">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_Toc1051204082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highlight w:val="none"/>
          <w:lang w:eastAsia="zh-CN"/>
        </w:rPr>
        <w:t>十、</w:t>
      </w:r>
      <w:r>
        <w:rPr>
          <w:rFonts w:hint="eastAsia" w:asciiTheme="minorEastAsia" w:hAnsiTheme="minorEastAsia" w:eastAsiaTheme="minorEastAsia" w:cstheme="minorEastAsia"/>
          <w:sz w:val="32"/>
          <w:szCs w:val="32"/>
          <w:highlight w:val="none"/>
        </w:rPr>
        <w:t>其他重要事项的情况说明</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_Toc1051204082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12</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CDE3619">
      <w:pPr>
        <w:pStyle w:val="13"/>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_Toc1634550529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第</w:t>
      </w:r>
      <w:r>
        <w:rPr>
          <w:rFonts w:hint="eastAsia" w:asciiTheme="minorEastAsia" w:hAnsiTheme="minorEastAsia" w:eastAsiaTheme="minorEastAsia" w:cstheme="minorEastAsia"/>
          <w:sz w:val="32"/>
          <w:szCs w:val="32"/>
          <w:lang w:eastAsia="zh-CN"/>
        </w:rPr>
        <w:t>三</w:t>
      </w:r>
      <w:r>
        <w:rPr>
          <w:rFonts w:hint="eastAsia" w:asciiTheme="minorEastAsia" w:hAnsiTheme="minorEastAsia" w:eastAsiaTheme="minorEastAsia" w:cstheme="minorEastAsia"/>
          <w:sz w:val="32"/>
          <w:szCs w:val="32"/>
        </w:rPr>
        <w:t>部分</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名词解释</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_Toc1634550529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14</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230399B1">
      <w:pPr>
        <w:pStyle w:val="13"/>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_Toc694691949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第四部分</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 附件</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_Toc694691949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17</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5B8085DB">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_Toc1516406594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附件</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_Toc1516406594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17</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16ACD0C">
      <w:pPr>
        <w:pStyle w:val="13"/>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_Toc342339229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第五部分 附表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_Toc342339229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75218DDB">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_Toc174117719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一、收入支出决算总表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_Toc174117719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44708BC3">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_Toc134190458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二、收入决算表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_Toc134190458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0C47790">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_Toc1741633314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三、支出决算表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_Toc1741633314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4FCC77CB">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_Toc590146235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四、财政拨款收入支出决算总表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_Toc590146235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16C32DB">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_Toc23430068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五、财政拨款支出决算明细表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_Toc23430068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37B14AC">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_Toc679511354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六、一般公共预算财政拨款支出决算表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_Toc679511354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1FA5C643">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_Toc1162479387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七、一般公共预算财政拨款支出决算明细表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_Toc1162479387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18B8710A">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_Toc336621983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八、一般公共预算财政拨款基本支出决算表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_Toc336621983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7CE66F2C">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_Toc967142126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九、一般公共预算财政拨款项目支出决算表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_Toc967142126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778F873">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_Toc5870855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十、政府性基金预算财政拨款收入支出决算表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_Toc5870855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37F2B8D4">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_Toc1346372785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十一、国有资本经营预算</w:t>
      </w:r>
      <w:r>
        <w:rPr>
          <w:rFonts w:hint="eastAsia" w:asciiTheme="minorEastAsia" w:hAnsiTheme="minorEastAsia" w:eastAsiaTheme="minorEastAsia" w:cstheme="minorEastAsia"/>
          <w:sz w:val="32"/>
          <w:szCs w:val="32"/>
          <w:lang w:eastAsia="zh-CN"/>
        </w:rPr>
        <w:t>财政拨款收入</w:t>
      </w:r>
      <w:r>
        <w:rPr>
          <w:rFonts w:hint="eastAsia" w:asciiTheme="minorEastAsia" w:hAnsiTheme="minorEastAsia" w:eastAsiaTheme="minorEastAsia" w:cstheme="minorEastAsia"/>
          <w:sz w:val="32"/>
          <w:szCs w:val="32"/>
        </w:rPr>
        <w:t>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_Toc1346372785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63269870">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_Toc1065624309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十二、</w:t>
      </w:r>
      <w:r>
        <w:rPr>
          <w:rFonts w:hint="eastAsia" w:asciiTheme="minorEastAsia" w:hAnsiTheme="minorEastAsia" w:eastAsiaTheme="minorEastAsia" w:cstheme="minorEastAsia"/>
          <w:sz w:val="32"/>
          <w:szCs w:val="32"/>
          <w:lang w:eastAsia="zh-CN"/>
        </w:rPr>
        <w:t>国有资本经营预算财政拨款支出决算表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_Toc1065624309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52696696">
      <w:pPr>
        <w:pStyle w:val="15"/>
        <w:tabs>
          <w:tab w:val="right" w:leader="dot" w:pos="8306"/>
          <w:tab w:val="clear" w:pos="8296"/>
        </w:tabs>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sz w:val="32"/>
          <w:szCs w:val="32"/>
          <w:highlight w:val="none"/>
        </w:rPr>
        <w:instrText xml:space="preserve"> HYPERLINK \l _Toc1265478279 </w:instrText>
      </w:r>
      <w:r>
        <w:rPr>
          <w:rFonts w:hint="eastAsia" w:asciiTheme="minorEastAsia" w:hAnsiTheme="minorEastAsia" w:eastAsiaTheme="minorEastAsia" w:cstheme="minorEastAsia"/>
          <w:sz w:val="32"/>
          <w:szCs w:val="32"/>
          <w:highlight w:val="none"/>
        </w:rPr>
        <w:fldChar w:fldCharType="separate"/>
      </w:r>
      <w:r>
        <w:rPr>
          <w:rFonts w:hint="eastAsia" w:asciiTheme="minorEastAsia" w:hAnsiTheme="minorEastAsia" w:eastAsiaTheme="minorEastAsia" w:cstheme="minorEastAsia"/>
          <w:sz w:val="32"/>
          <w:szCs w:val="32"/>
        </w:rPr>
        <w:t>十三、</w:t>
      </w:r>
      <w:r>
        <w:rPr>
          <w:rFonts w:hint="eastAsia" w:asciiTheme="minorEastAsia" w:hAnsiTheme="minorEastAsia" w:eastAsiaTheme="minorEastAsia" w:cstheme="minorEastAsia"/>
          <w:sz w:val="32"/>
          <w:szCs w:val="32"/>
          <w:lang w:eastAsia="zh-CN"/>
        </w:rPr>
        <w:t>财政拨款“三公”经费支出决算表</w:t>
      </w:r>
      <w:r>
        <w:rPr>
          <w:rFonts w:hint="eastAsia" w:asciiTheme="minorEastAsia" w:hAnsiTheme="minorEastAsia" w:eastAsiaTheme="minorEastAsia" w:cstheme="minorEastAsia"/>
          <w:sz w:val="32"/>
          <w:szCs w:val="32"/>
        </w:rPr>
        <w:tab/>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PAGEREF _Toc1265478279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29</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color w:val="auto"/>
          <w:sz w:val="32"/>
          <w:szCs w:val="32"/>
          <w:highlight w:val="none"/>
        </w:rPr>
        <w:fldChar w:fldCharType="end"/>
      </w:r>
    </w:p>
    <w:p w14:paraId="461712A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outlineLvl w:val="2"/>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fldChar w:fldCharType="end"/>
      </w:r>
    </w:p>
    <w:p w14:paraId="18EECE5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21E8D115">
      <w:pPr>
        <w:pStyle w:val="3"/>
        <w:jc w:val="center"/>
        <w:rPr>
          <w:rStyle w:val="28"/>
          <w:rFonts w:hint="eastAsia" w:ascii="Times New Roman" w:hAnsi="Times New Roman" w:eastAsia="方正小标宋简体" w:cs="方正小标宋简体"/>
          <w:b/>
          <w:bCs w:val="0"/>
          <w:color w:val="auto"/>
          <w:highlight w:val="none"/>
        </w:rPr>
      </w:pPr>
      <w:bookmarkStart w:id="8" w:name="_Toc344545361"/>
      <w:bookmarkStart w:id="9" w:name="_Toc1537911137"/>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41B39FBC">
      <w:pPr>
        <w:widowControl/>
        <w:jc w:val="left"/>
        <w:rPr>
          <w:rFonts w:ascii="Times New Roman" w:hAnsi="Times New Roman" w:eastAsia="黑体"/>
          <w:color w:val="auto"/>
          <w:sz w:val="32"/>
          <w:szCs w:val="32"/>
          <w:highlight w:val="none"/>
        </w:rPr>
      </w:pPr>
    </w:p>
    <w:p w14:paraId="3D8FF234">
      <w:pPr>
        <w:pStyle w:val="4"/>
        <w:rPr>
          <w:rFonts w:hint="eastAsia" w:ascii="Times New Roman" w:hAnsi="Times New Roman" w:eastAsia="黑体"/>
          <w:b w:val="0"/>
          <w:color w:val="auto"/>
          <w:highlight w:val="none"/>
          <w:lang w:eastAsia="zh-CN"/>
        </w:rPr>
      </w:pPr>
      <w:bookmarkStart w:id="10" w:name="_Toc15377197"/>
      <w:bookmarkStart w:id="11" w:name="_Toc15396600"/>
      <w:bookmarkStart w:id="12" w:name="_Toc217195981"/>
      <w:bookmarkStart w:id="13" w:name="_Toc1954842133"/>
      <w:r>
        <w:rPr>
          <w:rFonts w:hint="eastAsia" w:ascii="Times New Roman" w:hAnsi="Times New Roman" w:eastAsia="黑体"/>
          <w:b w:val="0"/>
          <w:color w:val="auto"/>
          <w:highlight w:val="none"/>
        </w:rPr>
        <w:t>一、</w:t>
      </w:r>
      <w:bookmarkEnd w:id="10"/>
      <w:bookmarkEnd w:id="11"/>
      <w:r>
        <w:rPr>
          <w:rFonts w:hint="eastAsia" w:ascii="Times New Roman" w:hAnsi="Times New Roman" w:eastAsia="黑体"/>
          <w:b w:val="0"/>
          <w:color w:val="auto"/>
          <w:highlight w:val="none"/>
          <w:lang w:eastAsia="zh-CN"/>
        </w:rPr>
        <w:t>部门职责</w:t>
      </w:r>
      <w:bookmarkEnd w:id="12"/>
      <w:bookmarkEnd w:id="13"/>
    </w:p>
    <w:p w14:paraId="5D908B4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人民法院是国家的审判机关，在县委的领导和上级人民法院的指导下依法独立行使审判权，对县人民代表大会及其常务委员会负责并报告工作。其主要职责是：依法审理各类案件，全力维护若尔盖的和谐稳定。</w:t>
      </w:r>
    </w:p>
    <w:p w14:paraId="544E47B5">
      <w:pPr>
        <w:pStyle w:val="4"/>
        <w:rPr>
          <w:rStyle w:val="29"/>
          <w:rFonts w:ascii="Times New Roman" w:hAnsi="Times New Roman"/>
          <w:b w:val="0"/>
          <w:bCs w:val="0"/>
          <w:color w:val="auto"/>
          <w:highlight w:val="none"/>
        </w:rPr>
      </w:pPr>
      <w:bookmarkStart w:id="14" w:name="_Toc646611614"/>
      <w:bookmarkStart w:id="15" w:name="_Toc15377200"/>
      <w:bookmarkStart w:id="16" w:name="_Toc1183679073"/>
      <w:bookmarkStart w:id="17"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bookmarkEnd w:id="16"/>
      <w:bookmarkEnd w:id="17"/>
    </w:p>
    <w:p w14:paraId="6884BD50">
      <w:pPr>
        <w:ind w:firstLine="640" w:firstLineChars="200"/>
        <w:rPr>
          <w:rFonts w:ascii="Times New Roman" w:hAnsi="Times New Roman" w:eastAsia="仿宋"/>
          <w:color w:val="auto"/>
          <w:kern w:val="0"/>
          <w:sz w:val="32"/>
          <w:szCs w:val="32"/>
          <w:highlight w:val="none"/>
        </w:rPr>
      </w:pPr>
      <w:r>
        <w:rPr>
          <w:rFonts w:hint="eastAsia" w:ascii="仿宋_GB2312" w:hAnsi="仿宋_GB2312" w:eastAsia="仿宋_GB2312" w:cs="仿宋_GB2312"/>
          <w:sz w:val="32"/>
          <w:szCs w:val="32"/>
        </w:rPr>
        <w:t>若尔盖县人民法院属一级预算单位，实行综合预算制度，即全部收入和支出都纳入预算管理，无下属二级预算单位。</w:t>
      </w:r>
      <w:r>
        <w:rPr>
          <w:rFonts w:ascii="Times New Roman" w:hAnsi="Times New Roman" w:eastAsia="仿宋"/>
          <w:color w:val="auto"/>
          <w:sz w:val="32"/>
          <w:szCs w:val="32"/>
          <w:highlight w:val="none"/>
        </w:rPr>
        <w:br w:type="page"/>
      </w:r>
    </w:p>
    <w:p w14:paraId="0D770B10">
      <w:pPr>
        <w:pStyle w:val="3"/>
        <w:jc w:val="center"/>
        <w:rPr>
          <w:rFonts w:hint="eastAsia" w:ascii="Times New Roman" w:hAnsi="Times New Roman" w:eastAsia="方正小标宋简体" w:cs="方正小标宋简体"/>
          <w:b w:val="0"/>
          <w:color w:val="auto"/>
          <w:highlight w:val="none"/>
        </w:rPr>
      </w:pPr>
      <w:bookmarkStart w:id="18" w:name="_Toc15377204"/>
      <w:bookmarkStart w:id="19" w:name="_Toc2103279402"/>
      <w:bookmarkStart w:id="20" w:name="_Toc15396602"/>
      <w:bookmarkStart w:id="21" w:name="_Toc74551265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bookmarkEnd w:id="21"/>
    </w:p>
    <w:p w14:paraId="2A9B719D">
      <w:pPr>
        <w:rPr>
          <w:rFonts w:ascii="Times New Roman" w:hAnsi="Times New Roman"/>
          <w:color w:val="auto"/>
          <w:highlight w:val="none"/>
        </w:rPr>
      </w:pPr>
    </w:p>
    <w:p w14:paraId="5909C66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5"/>
      <w:bookmarkStart w:id="23" w:name="_Toc1596698543"/>
      <w:bookmarkStart w:id="24" w:name="_Toc962931582"/>
      <w:bookmarkStart w:id="2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2"/>
      <w:bookmarkEnd w:id="23"/>
      <w:bookmarkEnd w:id="24"/>
      <w:bookmarkEnd w:id="25"/>
    </w:p>
    <w:p w14:paraId="1BA90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收入总计2413.4万元、支出总计2408.12万元。与202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年相比，收入总计增加</w:t>
      </w:r>
      <w:r>
        <w:rPr>
          <w:rFonts w:hint="eastAsia" w:ascii="仿宋_GB2312" w:hAnsi="仿宋_GB2312" w:eastAsia="仿宋_GB2312" w:cs="仿宋_GB2312"/>
          <w:sz w:val="32"/>
          <w:szCs w:val="32"/>
          <w:lang w:val="en-US" w:eastAsia="zh-CN"/>
        </w:rPr>
        <w:t>242.84</w:t>
      </w:r>
      <w:r>
        <w:rPr>
          <w:rFonts w:hint="eastAsia" w:ascii="仿宋_GB2312" w:hAnsi="仿宋_GB2312" w:eastAsia="仿宋_GB2312" w:cs="仿宋_GB2312"/>
          <w:sz w:val="32"/>
          <w:szCs w:val="32"/>
        </w:rPr>
        <w:t>万元、支出总计增加</w:t>
      </w:r>
      <w:r>
        <w:rPr>
          <w:rFonts w:hint="eastAsia" w:ascii="仿宋_GB2312" w:hAnsi="仿宋_GB2312" w:eastAsia="仿宋_GB2312" w:cs="仿宋_GB2312"/>
          <w:sz w:val="32"/>
          <w:szCs w:val="32"/>
          <w:lang w:val="en-US" w:eastAsia="zh-CN"/>
        </w:rPr>
        <w:t>262.59</w:t>
      </w:r>
      <w:r>
        <w:rPr>
          <w:rFonts w:hint="eastAsia" w:ascii="仿宋_GB2312" w:hAnsi="仿宋_GB2312" w:eastAsia="仿宋_GB2312" w:cs="仿宋_GB2312"/>
          <w:sz w:val="32"/>
          <w:szCs w:val="32"/>
        </w:rPr>
        <w:t>万元，收入总计增长</w:t>
      </w:r>
      <w:r>
        <w:rPr>
          <w:rFonts w:hint="eastAsia" w:ascii="仿宋_GB2312" w:hAnsi="仿宋_GB2312" w:eastAsia="仿宋_GB2312" w:cs="仿宋_GB2312"/>
          <w:sz w:val="32"/>
          <w:szCs w:val="32"/>
          <w:lang w:val="en-US" w:eastAsia="zh-CN"/>
        </w:rPr>
        <w:t>11.2</w:t>
      </w:r>
      <w:r>
        <w:rPr>
          <w:rFonts w:hint="eastAsia" w:ascii="仿宋_GB2312" w:hAnsi="仿宋_GB2312" w:eastAsia="仿宋_GB2312" w:cs="仿宋_GB2312"/>
          <w:sz w:val="32"/>
          <w:szCs w:val="32"/>
        </w:rPr>
        <w:t>%、支出总计增长</w:t>
      </w:r>
      <w:r>
        <w:rPr>
          <w:rFonts w:hint="eastAsia" w:ascii="仿宋_GB2312" w:hAnsi="仿宋_GB2312" w:eastAsia="仿宋_GB2312" w:cs="仿宋_GB2312"/>
          <w:sz w:val="32"/>
          <w:szCs w:val="32"/>
          <w:lang w:val="en-US" w:eastAsia="zh-CN"/>
        </w:rPr>
        <w:t>12.2</w:t>
      </w:r>
      <w:r>
        <w:rPr>
          <w:rFonts w:hint="eastAsia" w:ascii="仿宋_GB2312" w:hAnsi="仿宋_GB2312" w:eastAsia="仿宋_GB2312" w:cs="仿宋_GB2312"/>
          <w:sz w:val="32"/>
          <w:szCs w:val="32"/>
        </w:rPr>
        <w:t>%。主要变动原因是县级财政保障资金和援建资金纳入其他收入。</w:t>
      </w:r>
    </w:p>
    <w:p w14:paraId="09DF318D">
      <w:pPr>
        <w:bidi w:val="0"/>
        <w:jc w:val="center"/>
        <w:rPr>
          <w:rFonts w:hint="eastAsia"/>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4ABD6D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（图1：收入、支出决算总计变动情况图）（柱状图）</w:t>
      </w:r>
    </w:p>
    <w:p w14:paraId="5DE380BE">
      <w:pPr>
        <w:pStyle w:val="4"/>
        <w:keepNext/>
        <w:keepLines/>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lang w:eastAsia="zh-CN"/>
        </w:rPr>
      </w:pPr>
      <w:bookmarkStart w:id="26" w:name="_Toc181840159"/>
      <w:bookmarkStart w:id="27" w:name="_Toc15377206"/>
      <w:bookmarkStart w:id="28" w:name="_Toc1531170646"/>
      <w:bookmarkStart w:id="29" w:name="_Toc15396604"/>
      <w:r>
        <w:rPr>
          <w:rFonts w:hint="eastAsia"/>
          <w:lang w:eastAsia="zh-CN"/>
        </w:rPr>
        <w:t>二、收入决算情况说明</w:t>
      </w:r>
      <w:bookmarkEnd w:id="26"/>
      <w:bookmarkEnd w:id="27"/>
      <w:bookmarkEnd w:id="28"/>
      <w:bookmarkEnd w:id="29"/>
    </w:p>
    <w:p w14:paraId="4C3F8046">
      <w:pPr>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bookmarkStart w:id="30" w:name="_Toc207895014"/>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年本年收入合计2413.4万元，其中：一般公共预算财政拨款收入1762.64万元，占</w:t>
      </w:r>
      <w:r>
        <w:rPr>
          <w:rFonts w:hint="eastAsia" w:ascii="仿宋_GB2312" w:hAnsi="仿宋_GB2312" w:eastAsia="仿宋_GB2312" w:cs="仿宋_GB2312"/>
          <w:sz w:val="32"/>
          <w:szCs w:val="32"/>
          <w:lang w:val="en-US" w:eastAsia="zh-CN"/>
        </w:rPr>
        <w:t>73</w:t>
      </w:r>
      <w:r>
        <w:rPr>
          <w:rFonts w:hint="eastAsia" w:ascii="仿宋_GB2312" w:hAnsi="仿宋_GB2312" w:eastAsia="仿宋_GB2312" w:cs="仿宋_GB2312"/>
          <w:sz w:val="32"/>
          <w:szCs w:val="32"/>
        </w:rPr>
        <w:t>%；其他收入650.76万元，占</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w:t>
      </w:r>
      <w:bookmarkEnd w:id="30"/>
    </w:p>
    <w:p w14:paraId="4BCCC30A">
      <w:pPr>
        <w:bidi w:val="0"/>
        <w:jc w:val="center"/>
        <w:rPr>
          <w:rFonts w:hint="eastAsia"/>
          <w:lang w:eastAsia="zh-CN"/>
        </w:rPr>
      </w:pPr>
      <w:bookmarkStart w:id="31" w:name="_Toc1494129406"/>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31"/>
    </w:p>
    <w:p w14:paraId="02C811DC">
      <w:pPr>
        <w:ind w:firstLine="640" w:firstLineChars="200"/>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（图2：收入决算结构图）（饼状图）</w:t>
      </w:r>
    </w:p>
    <w:p w14:paraId="7023E59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377207"/>
      <w:bookmarkStart w:id="33" w:name="_Toc945818589"/>
      <w:bookmarkStart w:id="34" w:name="_Toc15396605"/>
      <w:bookmarkStart w:id="35" w:name="_Toc1668573533"/>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bookmarkEnd w:id="34"/>
      <w:bookmarkEnd w:id="35"/>
    </w:p>
    <w:p w14:paraId="6A6A1558">
      <w:pPr>
        <w:ind w:firstLine="640" w:firstLineChars="200"/>
        <w:jc w:val="left"/>
        <w:rPr>
          <w:rFonts w:hint="eastAsia" w:ascii="仿宋_GB2312" w:hAnsi="仿宋_GB2312" w:eastAsia="仿宋_GB2312" w:cs="仿宋_GB2312"/>
          <w:sz w:val="32"/>
          <w:szCs w:val="32"/>
          <w:lang w:eastAsia="zh-CN"/>
        </w:rPr>
      </w:pPr>
      <w:bookmarkStart w:id="36" w:name="_Toc207895017"/>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年本年支出合计2408.12万元，其中：基本支出1740.28万元，占</w:t>
      </w:r>
      <w:r>
        <w:rPr>
          <w:rFonts w:hint="eastAsia" w:ascii="仿宋_GB2312" w:hAnsi="仿宋_GB2312" w:eastAsia="仿宋_GB2312" w:cs="仿宋_GB2312"/>
          <w:sz w:val="32"/>
          <w:szCs w:val="32"/>
          <w:lang w:val="en-US" w:eastAsia="zh-CN"/>
        </w:rPr>
        <w:t>72.3</w:t>
      </w:r>
      <w:r>
        <w:rPr>
          <w:rFonts w:hint="eastAsia" w:ascii="仿宋_GB2312" w:hAnsi="仿宋_GB2312" w:eastAsia="仿宋_GB2312" w:cs="仿宋_GB2312"/>
          <w:sz w:val="32"/>
          <w:szCs w:val="32"/>
          <w:lang w:eastAsia="zh-CN"/>
        </w:rPr>
        <w:t>%；项目支出667.84万元，占</w:t>
      </w:r>
      <w:r>
        <w:rPr>
          <w:rFonts w:hint="eastAsia" w:ascii="仿宋_GB2312" w:hAnsi="仿宋_GB2312" w:eastAsia="仿宋_GB2312" w:cs="仿宋_GB2312"/>
          <w:sz w:val="32"/>
          <w:szCs w:val="32"/>
          <w:lang w:val="en-US" w:eastAsia="zh-CN"/>
        </w:rPr>
        <w:t>27.7</w:t>
      </w:r>
      <w:r>
        <w:rPr>
          <w:rFonts w:hint="eastAsia" w:ascii="仿宋_GB2312" w:hAnsi="仿宋_GB2312" w:eastAsia="仿宋_GB2312" w:cs="仿宋_GB2312"/>
          <w:sz w:val="32"/>
          <w:szCs w:val="32"/>
          <w:lang w:eastAsia="zh-CN"/>
        </w:rPr>
        <w:t>%。</w:t>
      </w:r>
      <w:bookmarkEnd w:id="36"/>
    </w:p>
    <w:p w14:paraId="7F6B83B1">
      <w:pPr>
        <w:bidi w:val="0"/>
        <w:jc w:val="center"/>
        <w:rPr>
          <w:rFonts w:hint="eastAsia"/>
          <w:lang w:eastAsia="zh-CN"/>
        </w:rPr>
      </w:pPr>
      <w:bookmarkStart w:id="37" w:name="_Toc778709609"/>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37"/>
    </w:p>
    <w:p w14:paraId="1AAFE151">
      <w:pPr>
        <w:ind w:firstLine="640" w:firstLineChars="200"/>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（图3：支出决算结构图）（饼状图）</w:t>
      </w:r>
    </w:p>
    <w:p w14:paraId="183D9163">
      <w:pPr>
        <w:spacing w:line="600" w:lineRule="exact"/>
        <w:ind w:firstLine="640" w:firstLineChars="200"/>
        <w:outlineLvl w:val="1"/>
        <w:rPr>
          <w:rStyle w:val="29"/>
          <w:rFonts w:ascii="Times New Roman" w:hAnsi="Times New Roman" w:eastAsia="黑体"/>
          <w:b w:val="0"/>
          <w:color w:val="auto"/>
          <w:highlight w:val="none"/>
        </w:rPr>
      </w:pPr>
      <w:bookmarkStart w:id="38" w:name="_Toc1028031446"/>
      <w:bookmarkStart w:id="39" w:name="_Toc15396606"/>
      <w:bookmarkStart w:id="40" w:name="_Toc553136041"/>
      <w:bookmarkStart w:id="4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8"/>
      <w:bookmarkEnd w:id="39"/>
      <w:bookmarkEnd w:id="40"/>
      <w:bookmarkEnd w:id="41"/>
    </w:p>
    <w:p w14:paraId="3F6508DF">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年财政拨款收入、支出总计均为1762.64万元。与202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年相比，财政拨款收入总计、支出总计各增加</w:t>
      </w:r>
      <w:r>
        <w:rPr>
          <w:rFonts w:hint="eastAsia" w:ascii="仿宋_GB2312" w:hAnsi="仿宋_GB2312" w:eastAsia="仿宋_GB2312" w:cs="仿宋_GB2312"/>
          <w:sz w:val="32"/>
          <w:szCs w:val="32"/>
          <w:lang w:val="en-US" w:eastAsia="zh-CN"/>
        </w:rPr>
        <w:t>63.75</w:t>
      </w:r>
      <w:r>
        <w:rPr>
          <w:rFonts w:hint="eastAsia" w:ascii="仿宋_GB2312" w:hAnsi="仿宋_GB2312" w:eastAsia="仿宋_GB2312" w:cs="仿宋_GB2312"/>
          <w:sz w:val="32"/>
          <w:szCs w:val="32"/>
          <w:lang w:eastAsia="zh-CN"/>
        </w:rPr>
        <w:t>万元，增长</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lang w:eastAsia="zh-CN"/>
        </w:rPr>
        <w:t>%。 主要变动原因是财政保障资金增加。</w:t>
      </w:r>
    </w:p>
    <w:p w14:paraId="68180F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3758AC">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（图4：财政拨款收、支决算总计变动情况）（柱状图）</w:t>
      </w:r>
    </w:p>
    <w:p w14:paraId="38D670C7">
      <w:pPr>
        <w:spacing w:line="600" w:lineRule="exact"/>
        <w:ind w:firstLine="640" w:firstLineChars="200"/>
        <w:outlineLvl w:val="1"/>
        <w:rPr>
          <w:rStyle w:val="29"/>
          <w:rFonts w:ascii="Times New Roman" w:hAnsi="Times New Roman" w:eastAsia="黑体"/>
          <w:b w:val="0"/>
          <w:color w:val="auto"/>
          <w:highlight w:val="none"/>
        </w:rPr>
      </w:pPr>
      <w:bookmarkStart w:id="42" w:name="_Toc1677092705"/>
      <w:bookmarkStart w:id="43" w:name="_Toc15377209"/>
      <w:bookmarkStart w:id="44" w:name="_Toc15396607"/>
      <w:bookmarkStart w:id="45" w:name="_Toc443768960"/>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42"/>
      <w:bookmarkEnd w:id="43"/>
      <w:bookmarkEnd w:id="44"/>
      <w:bookmarkEnd w:id="45"/>
    </w:p>
    <w:p w14:paraId="5FAF93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6"/>
    </w:p>
    <w:p w14:paraId="45064765">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2024年一般公共预算财政拨款支出1762.64万元，占本年支出合计的</w:t>
      </w:r>
      <w:r>
        <w:rPr>
          <w:rFonts w:hint="eastAsia" w:ascii="仿宋_GB2312" w:hAnsi="仿宋_GB2312" w:eastAsia="仿宋_GB2312" w:cs="仿宋_GB2312"/>
          <w:sz w:val="32"/>
          <w:szCs w:val="32"/>
          <w:lang w:val="en-US" w:eastAsia="zh-CN"/>
        </w:rPr>
        <w:t>73</w:t>
      </w:r>
      <w:r>
        <w:rPr>
          <w:rFonts w:hint="eastAsia" w:ascii="仿宋_GB2312" w:hAnsi="仿宋_GB2312" w:eastAsia="仿宋_GB2312" w:cs="仿宋_GB2312"/>
          <w:sz w:val="32"/>
          <w:szCs w:val="32"/>
          <w:lang w:eastAsia="zh-CN"/>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年相比，一般公共预算财政拨款支出增加</w:t>
      </w:r>
      <w:r>
        <w:rPr>
          <w:rFonts w:hint="eastAsia" w:ascii="仿宋_GB2312" w:hAnsi="仿宋_GB2312" w:eastAsia="仿宋_GB2312" w:cs="仿宋_GB2312"/>
          <w:sz w:val="32"/>
          <w:szCs w:val="32"/>
          <w:lang w:val="en-US" w:eastAsia="zh-CN"/>
        </w:rPr>
        <w:t>63.75</w:t>
      </w:r>
      <w:r>
        <w:rPr>
          <w:rFonts w:hint="eastAsia" w:ascii="仿宋_GB2312" w:hAnsi="仿宋_GB2312" w:eastAsia="仿宋_GB2312" w:cs="仿宋_GB2312"/>
          <w:sz w:val="32"/>
          <w:szCs w:val="32"/>
          <w:lang w:eastAsia="zh-CN"/>
        </w:rPr>
        <w:t>万元，增长</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lang w:eastAsia="zh-CN"/>
        </w:rPr>
        <w:t>%。主要变动原因是财政保障资金增加。</w:t>
      </w:r>
    </w:p>
    <w:p w14:paraId="34A52CDC">
      <w:pPr>
        <w:jc w:val="center"/>
        <w:rPr>
          <w:rFonts w:eastAsia="仿宋_GB2312" w:cs="仿宋_GB2312"/>
          <w:sz w:val="32"/>
          <w:szCs w:val="32"/>
        </w:rPr>
      </w:pPr>
      <w:r>
        <w:drawing>
          <wp:inline distT="0" distB="0" distL="114300" distR="114300">
            <wp:extent cx="4343400" cy="2667000"/>
            <wp:effectExtent l="4445" t="4445" r="14605" b="14605"/>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1FB869">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（图5：一般公共预算财政拨款支出决算变动情况）（柱状图）</w:t>
      </w:r>
    </w:p>
    <w:p w14:paraId="680B460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7"/>
    </w:p>
    <w:p w14:paraId="29C34A8D">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年一般公共预算财政拨款支出1762.64万元，主要用于以下方面：公共安全支出1427.97万元，占</w:t>
      </w:r>
      <w:r>
        <w:rPr>
          <w:rFonts w:hint="eastAsia" w:ascii="仿宋_GB2312" w:hAnsi="仿宋_GB2312" w:eastAsia="仿宋_GB2312" w:cs="仿宋_GB2312"/>
          <w:sz w:val="32"/>
          <w:szCs w:val="32"/>
          <w:lang w:val="en-US" w:eastAsia="zh-CN"/>
        </w:rPr>
        <w:t>81</w:t>
      </w:r>
      <w:r>
        <w:rPr>
          <w:rFonts w:hint="eastAsia" w:ascii="仿宋_GB2312" w:hAnsi="仿宋_GB2312" w:eastAsia="仿宋_GB2312" w:cs="仿宋_GB2312"/>
          <w:sz w:val="32"/>
          <w:szCs w:val="32"/>
          <w:lang w:eastAsia="zh-CN"/>
        </w:rPr>
        <w:t>%；社会保障和就业支出162.72万元，占</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lang w:eastAsia="zh-CN"/>
        </w:rPr>
        <w:t>%；卫生健康支出68.53万元，占</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lang w:eastAsia="zh-CN"/>
        </w:rPr>
        <w:t>%；住房保障支出103.41万元，占</w:t>
      </w:r>
      <w:r>
        <w:rPr>
          <w:rFonts w:hint="eastAsia" w:ascii="仿宋_GB2312" w:hAnsi="仿宋_GB2312" w:eastAsia="仿宋_GB2312" w:cs="仿宋_GB2312"/>
          <w:sz w:val="32"/>
          <w:szCs w:val="32"/>
          <w:lang w:val="en-US" w:eastAsia="zh-CN"/>
        </w:rPr>
        <w:t>5.9</w:t>
      </w:r>
      <w:r>
        <w:rPr>
          <w:rFonts w:hint="eastAsia" w:ascii="仿宋_GB2312" w:hAnsi="仿宋_GB2312" w:eastAsia="仿宋_GB2312" w:cs="仿宋_GB2312"/>
          <w:sz w:val="32"/>
          <w:szCs w:val="32"/>
          <w:lang w:eastAsia="zh-CN"/>
        </w:rPr>
        <w:t>%。</w:t>
      </w:r>
    </w:p>
    <w:p w14:paraId="5CB980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460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51950A">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（图6：一般公共预算财政拨款支出决算结构）（饼状图）</w:t>
      </w:r>
    </w:p>
    <w:p w14:paraId="386B54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8"/>
    </w:p>
    <w:p w14:paraId="187C43DD">
      <w:pPr>
        <w:ind w:firstLine="640" w:firstLineChars="200"/>
        <w:jc w:val="left"/>
        <w:rPr>
          <w:rFonts w:hint="eastAsia" w:ascii="仿宋_GB2312" w:hAnsi="仿宋_GB2312" w:eastAsia="仿宋_GB2312" w:cs="仿宋_GB2312"/>
          <w:sz w:val="32"/>
          <w:szCs w:val="32"/>
          <w:lang w:eastAsia="zh-CN"/>
        </w:rPr>
      </w:pPr>
      <w:bookmarkStart w:id="49" w:name="_Toc15377444"/>
      <w:bookmarkStart w:id="50" w:name="_Toc15378460"/>
      <w:bookmarkStart w:id="51" w:name="_Toc15377213"/>
      <w:bookmarkStart w:id="52" w:name="_Toc15377214"/>
      <w:bookmarkStart w:id="53" w:name="_Toc15396608"/>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年一般公共预算财政拨款支出决算数为1762.64万元，完成预算100%。其中：</w:t>
      </w:r>
      <w:bookmarkEnd w:id="49"/>
      <w:bookmarkEnd w:id="50"/>
      <w:bookmarkEnd w:id="51"/>
    </w:p>
    <w:p w14:paraId="2858E5E4">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1.公共安全支出（类）法院（款）行政运行（项）：支出决算为804.86万元，完成预算100%。</w:t>
      </w:r>
    </w:p>
    <w:p w14:paraId="2F2EB8DC">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2.公共安全支出（类）法院（款）一般行政管理事务（项）: 支出决算为623.12万元，完成预算100%。</w:t>
      </w:r>
    </w:p>
    <w:p w14:paraId="4B91DB42">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3.社会保障和就业支出（类）行政事业单位养老支出（款）机关事业单位基本养老保险缴费支出（项）：支出决算为108.48万元，完成预算100%。</w:t>
      </w:r>
    </w:p>
    <w:p w14:paraId="13F44B46">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4.社会保障和就业支出（类）行政事业单位养老支出（款）机关事业单位职业年金缴费支出（项）：支出决算为54.24万元，完成预算100%。</w:t>
      </w:r>
    </w:p>
    <w:p w14:paraId="0756F02C">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5.卫生健康支出（类）行政事业单位医疗（款）行政单位医疗（项）：支出决算为58.14万元。</w:t>
      </w:r>
    </w:p>
    <w:p w14:paraId="0FC8A43C">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6.卫生健康支出（类）行政事业单位医疗（款）公务员医疗补助（项）：支出决算为10.39万元，完成预算100%。</w:t>
      </w:r>
    </w:p>
    <w:p w14:paraId="5BE2281B">
      <w:pPr>
        <w:ind w:firstLine="640" w:firstLineChars="200"/>
        <w:jc w:val="left"/>
        <w:rPr>
          <w:rFonts w:eastAsia="仿宋_GB2312" w:cs="仿宋_GB2312"/>
          <w:sz w:val="32"/>
          <w:szCs w:val="32"/>
        </w:rPr>
      </w:pPr>
      <w:bookmarkStart w:id="54" w:name="_Toc20515"/>
      <w:bookmarkStart w:id="55" w:name="_Toc1301"/>
      <w:r>
        <w:rPr>
          <w:rFonts w:hint="eastAsia" w:ascii="仿宋_GB2312" w:hAnsi="仿宋_GB2312" w:eastAsia="仿宋_GB2312" w:cs="仿宋_GB2312"/>
          <w:sz w:val="32"/>
          <w:szCs w:val="32"/>
          <w:lang w:eastAsia="zh-CN"/>
        </w:rPr>
        <w:t>7. 住房保障支出（类）住房改革支出（款） 住房公积金（项）:支出决算为103.41万元，完成预算100%。</w:t>
      </w:r>
      <w:bookmarkEnd w:id="54"/>
      <w:bookmarkEnd w:id="55"/>
    </w:p>
    <w:p w14:paraId="7573AEE9">
      <w:pPr>
        <w:tabs>
          <w:tab w:val="right" w:pos="8306"/>
        </w:tabs>
        <w:spacing w:line="600" w:lineRule="exact"/>
        <w:ind w:firstLine="640"/>
        <w:outlineLvl w:val="1"/>
        <w:rPr>
          <w:rStyle w:val="29"/>
          <w:rFonts w:ascii="Times New Roman" w:hAnsi="Times New Roman"/>
          <w:color w:val="auto"/>
          <w:highlight w:val="none"/>
        </w:rPr>
      </w:pPr>
      <w:bookmarkStart w:id="56" w:name="_Toc1379168594"/>
      <w:bookmarkStart w:id="57" w:name="_Toc385061436"/>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52"/>
      <w:bookmarkEnd w:id="53"/>
      <w:bookmarkEnd w:id="56"/>
      <w:bookmarkEnd w:id="57"/>
      <w:r>
        <w:rPr>
          <w:rStyle w:val="29"/>
          <w:rFonts w:ascii="Times New Roman" w:hAnsi="Times New Roman" w:eastAsia="黑体"/>
          <w:b w:val="0"/>
          <w:color w:val="auto"/>
          <w:highlight w:val="none"/>
        </w:rPr>
        <w:tab/>
      </w:r>
    </w:p>
    <w:p w14:paraId="16DF8729">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年一般公共预算财政拨款基本支出</w:t>
      </w:r>
      <w:r>
        <w:rPr>
          <w:rFonts w:hint="eastAsia" w:ascii="仿宋_GB2312" w:hAnsi="仿宋_GB2312" w:eastAsia="仿宋_GB2312" w:cs="仿宋_GB2312"/>
          <w:sz w:val="32"/>
          <w:szCs w:val="32"/>
          <w:lang w:val="en-US" w:eastAsia="zh-CN"/>
        </w:rPr>
        <w:t>1139.52</w:t>
      </w:r>
      <w:r>
        <w:rPr>
          <w:rFonts w:hint="eastAsia" w:ascii="仿宋_GB2312" w:hAnsi="仿宋_GB2312" w:eastAsia="仿宋_GB2312" w:cs="仿宋_GB2312"/>
          <w:sz w:val="32"/>
          <w:szCs w:val="32"/>
          <w:lang w:eastAsia="zh-CN"/>
        </w:rPr>
        <w:t>万元，其中：</w:t>
      </w:r>
    </w:p>
    <w:p w14:paraId="182E0983">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人员经费1053.44万元，主要包括：基本工资229.3万元、津贴补贴292.67万元、奖金11.32万元、伙食补助费43.26万元、机关事业单位基本养老保险缴费108.48万元、职业年金缴费54.24万元、职工基本医疗保险缴费58.14万元、公务员医疗补助缴费10.39万元、其他社会保障缴费1.35万元、住房公积金103.41万元、其他工资福利支出140.88万元、奖励金0.01万元。</w:t>
      </w:r>
    </w:p>
    <w:p w14:paraId="37FD5CEA">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用经费86.08万元，主要包括：办公费18.76万元、水费1.48万元、电费0.76万元、差旅费11.19万元、维修（护）费5.2万元、培训费1.71万元、公务接待费1.23万元、劳务费30.63万元、福利费9.75万元、公务用车运行维护费1.16万元、其他商品和服务支出3.68万元、办公设备购置0.52万元。</w:t>
      </w:r>
    </w:p>
    <w:p w14:paraId="0DD18977">
      <w:pPr>
        <w:spacing w:line="600" w:lineRule="exact"/>
        <w:ind w:firstLine="640"/>
        <w:outlineLvl w:val="1"/>
        <w:rPr>
          <w:rStyle w:val="29"/>
          <w:rFonts w:ascii="Times New Roman" w:hAnsi="Times New Roman" w:eastAsia="黑体"/>
          <w:b w:val="0"/>
          <w:color w:val="auto"/>
          <w:highlight w:val="none"/>
        </w:rPr>
      </w:pPr>
      <w:bookmarkStart w:id="58" w:name="_Toc855436441"/>
      <w:bookmarkStart w:id="59" w:name="_Toc15396609"/>
      <w:bookmarkStart w:id="60" w:name="_Toc15377215"/>
      <w:bookmarkStart w:id="61" w:name="_Toc1381270697"/>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8"/>
      <w:bookmarkEnd w:id="59"/>
      <w:bookmarkEnd w:id="60"/>
      <w:bookmarkEnd w:id="61"/>
    </w:p>
    <w:p w14:paraId="26E88B2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2"/>
    </w:p>
    <w:p w14:paraId="608AC0D1">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年“三公”经费财政拨款支出决算为25.17万元，完成预算100%，较上年减少</w:t>
      </w:r>
      <w:r>
        <w:rPr>
          <w:rFonts w:hint="eastAsia" w:ascii="仿宋_GB2312" w:hAnsi="仿宋_GB2312" w:eastAsia="仿宋_GB2312" w:cs="仿宋_GB2312"/>
          <w:sz w:val="32"/>
          <w:szCs w:val="32"/>
          <w:lang w:val="en-US" w:eastAsia="zh-CN"/>
        </w:rPr>
        <w:t>60.78</w:t>
      </w:r>
      <w:r>
        <w:rPr>
          <w:rFonts w:hint="eastAsia" w:ascii="仿宋_GB2312" w:hAnsi="仿宋_GB2312" w:eastAsia="仿宋_GB2312" w:cs="仿宋_GB2312"/>
          <w:sz w:val="32"/>
          <w:szCs w:val="32"/>
          <w:lang w:eastAsia="zh-CN"/>
        </w:rPr>
        <w:t>万元，减少</w:t>
      </w:r>
      <w:r>
        <w:rPr>
          <w:rFonts w:hint="eastAsia" w:ascii="仿宋_GB2312" w:hAnsi="仿宋_GB2312" w:eastAsia="仿宋_GB2312" w:cs="仿宋_GB2312"/>
          <w:sz w:val="32"/>
          <w:szCs w:val="32"/>
          <w:lang w:val="en-US" w:eastAsia="zh-CN"/>
        </w:rPr>
        <w:t>70.7</w:t>
      </w:r>
      <w:r>
        <w:rPr>
          <w:rFonts w:hint="eastAsia" w:ascii="仿宋_GB2312" w:hAnsi="仿宋_GB2312" w:eastAsia="仿宋_GB2312" w:cs="仿宋_GB2312"/>
          <w:sz w:val="32"/>
          <w:szCs w:val="32"/>
          <w:lang w:eastAsia="zh-CN"/>
        </w:rPr>
        <w:t>%。决算数与预算数持平的主要原因是严格执行预算管理。</w:t>
      </w:r>
    </w:p>
    <w:p w14:paraId="61C5C0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3"/>
    </w:p>
    <w:p w14:paraId="55C3BDFC">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2025年财政拨款“三公”经费支出决算中，</w:t>
      </w:r>
      <w:r>
        <w:rPr>
          <w:rFonts w:hint="eastAsia" w:ascii="仿宋_GB2312" w:hAnsi="仿宋_GB2312" w:eastAsia="仿宋_GB2312" w:cs="仿宋_GB2312"/>
          <w:sz w:val="32"/>
          <w:szCs w:val="32"/>
          <w:lang w:eastAsia="zh-CN"/>
        </w:rPr>
        <w:t>因公出国（境）费支出决算0万元，占0%；公务用车购置及运行维护费支出决算23.94万元，占</w:t>
      </w:r>
      <w:r>
        <w:rPr>
          <w:rFonts w:hint="eastAsia" w:ascii="仿宋_GB2312" w:hAnsi="仿宋_GB2312" w:eastAsia="仿宋_GB2312" w:cs="仿宋_GB2312"/>
          <w:sz w:val="32"/>
          <w:szCs w:val="32"/>
          <w:lang w:val="en-US" w:eastAsia="zh-CN"/>
        </w:rPr>
        <w:t>95.1</w:t>
      </w:r>
      <w:r>
        <w:rPr>
          <w:rFonts w:hint="eastAsia" w:ascii="仿宋_GB2312" w:hAnsi="仿宋_GB2312" w:eastAsia="仿宋_GB2312" w:cs="仿宋_GB2312"/>
          <w:sz w:val="32"/>
          <w:szCs w:val="32"/>
          <w:lang w:eastAsia="zh-CN"/>
        </w:rPr>
        <w:t>%；公务接待费支出决算1.23万元，占</w:t>
      </w:r>
      <w:r>
        <w:rPr>
          <w:rFonts w:hint="eastAsia" w:ascii="仿宋_GB2312" w:hAnsi="仿宋_GB2312" w:eastAsia="仿宋_GB2312" w:cs="仿宋_GB2312"/>
          <w:sz w:val="32"/>
          <w:szCs w:val="32"/>
          <w:lang w:val="en-US" w:eastAsia="zh-CN"/>
        </w:rPr>
        <w:t>4.9</w:t>
      </w:r>
      <w:r>
        <w:rPr>
          <w:rFonts w:hint="eastAsia" w:ascii="仿宋_GB2312" w:hAnsi="仿宋_GB2312" w:eastAsia="仿宋_GB2312" w:cs="仿宋_GB2312"/>
          <w:sz w:val="32"/>
          <w:szCs w:val="32"/>
          <w:lang w:eastAsia="zh-CN"/>
        </w:rPr>
        <w:t>%。具体情况如下：</w:t>
      </w:r>
    </w:p>
    <w:p w14:paraId="489ACA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191000" cy="2486025"/>
            <wp:effectExtent l="4445" t="4445" r="14605" b="508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5D71D4">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（图7：财政拨款“三公”经费支出结构）（饼状图）</w:t>
      </w:r>
    </w:p>
    <w:p w14:paraId="07435A31">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1.因公出国（境）经费支出0万元，完成预算100%。全年安排因公出国（境）团组0次，出国（境）0人。因公出国（境）支出决算比上年增加/减少0万元，增长/下降0%。</w:t>
      </w:r>
    </w:p>
    <w:p w14:paraId="3F12085E">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开支内容包括：无</w:t>
      </w:r>
    </w:p>
    <w:p w14:paraId="332FC2C3">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2.公务用车购置及运行维护费支出</w:t>
      </w:r>
      <w:r>
        <w:rPr>
          <w:rFonts w:hint="eastAsia" w:ascii="仿宋_GB2312" w:hAnsi="仿宋_GB2312" w:eastAsia="仿宋_GB2312" w:cs="仿宋_GB2312"/>
          <w:sz w:val="32"/>
          <w:szCs w:val="32"/>
          <w:lang w:eastAsia="zh-CN"/>
        </w:rPr>
        <w:t>23.94</w:t>
      </w:r>
      <w:r>
        <w:rPr>
          <w:rFonts w:hint="eastAsia" w:ascii="仿宋_GB2312" w:hAnsi="仿宋_GB2312" w:eastAsia="仿宋_GB2312" w:cs="仿宋_GB2312"/>
          <w:sz w:val="32"/>
          <w:szCs w:val="32"/>
          <w:lang w:val="en-US" w:eastAsia="zh-CN"/>
        </w:rPr>
        <w:t>万元，完成预算100%。公务用车购置及运行维护费支出决算比上年减少60.42万元，下降71.6%。主要原因是公务用车购置支出较上一年减少。</w:t>
      </w:r>
    </w:p>
    <w:p w14:paraId="49386C6C">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其中：公务用车购置支出22.78万元。全年按规定更新购置公务用车1辆，其中：</w:t>
      </w:r>
      <w:r>
        <w:rPr>
          <w:rFonts w:hint="eastAsia" w:ascii="仿宋_GB2312" w:hAnsi="仿宋_GB2312" w:eastAsia="仿宋_GB2312" w:cs="仿宋_GB2312"/>
          <w:sz w:val="32"/>
          <w:szCs w:val="32"/>
          <w:lang w:eastAsia="zh-CN"/>
        </w:rPr>
        <w:t>轿车0辆、金额0万元，越野车0辆、金额0万元，载客汽车0辆、金额0万元，执法执勤用车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辆，金额</w:t>
      </w:r>
      <w:r>
        <w:rPr>
          <w:rFonts w:hint="eastAsia" w:ascii="仿宋_GB2312" w:hAnsi="仿宋_GB2312" w:eastAsia="仿宋_GB2312" w:cs="仿宋_GB2312"/>
          <w:sz w:val="32"/>
          <w:szCs w:val="32"/>
          <w:lang w:val="en-US" w:eastAsia="zh-CN"/>
        </w:rPr>
        <w:t>22.78</w:t>
      </w:r>
      <w:r>
        <w:rPr>
          <w:rFonts w:hint="eastAsia" w:ascii="仿宋_GB2312" w:hAnsi="仿宋_GB2312" w:eastAsia="仿宋_GB2312" w:cs="仿宋_GB2312"/>
          <w:sz w:val="32"/>
          <w:szCs w:val="32"/>
          <w:lang w:eastAsia="zh-CN"/>
        </w:rPr>
        <w:t>万元，主要用于执法执勤</w:t>
      </w:r>
      <w:r>
        <w:rPr>
          <w:rFonts w:hint="eastAsia" w:ascii="仿宋_GB2312" w:hAnsi="仿宋_GB2312" w:eastAsia="仿宋_GB2312" w:cs="仿宋_GB2312"/>
          <w:sz w:val="32"/>
          <w:szCs w:val="32"/>
          <w:lang w:val="en-US" w:eastAsia="zh-CN"/>
        </w:rPr>
        <w:t>。截至2025年12月31日，单位共有公务用车11辆，其中：</w:t>
      </w:r>
      <w:r>
        <w:rPr>
          <w:rFonts w:hint="eastAsia" w:ascii="仿宋_GB2312" w:hAnsi="仿宋_GB2312" w:eastAsia="仿宋_GB2312" w:cs="仿宋_GB2312"/>
          <w:sz w:val="32"/>
          <w:szCs w:val="32"/>
          <w:lang w:eastAsia="zh-CN"/>
        </w:rPr>
        <w:t>执法执勤用车11辆。</w:t>
      </w:r>
    </w:p>
    <w:p w14:paraId="43DA28C4">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公务用车运行维护费支出1.16万元。</w:t>
      </w:r>
      <w:r>
        <w:rPr>
          <w:rFonts w:hint="eastAsia" w:ascii="仿宋_GB2312" w:hAnsi="仿宋_GB2312" w:eastAsia="仿宋_GB2312" w:cs="仿宋_GB2312"/>
          <w:sz w:val="32"/>
          <w:szCs w:val="32"/>
          <w:lang w:eastAsia="zh-CN"/>
        </w:rPr>
        <w:t>主要用于执法、办案、因公出差等所需的公务用车燃料费、维修费、过路过桥费、保险费。</w:t>
      </w:r>
    </w:p>
    <w:p w14:paraId="071C6C0E">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3.公务接待费支出1.23万元，完成预算100%。公务接待费支出决算比上年减少0.36万元，下降22.6%。主要原因是</w:t>
      </w:r>
      <w:r>
        <w:rPr>
          <w:rFonts w:hint="eastAsia" w:ascii="仿宋_GB2312" w:hAnsi="仿宋_GB2312" w:eastAsia="仿宋_GB2312" w:cs="仿宋_GB2312"/>
          <w:sz w:val="32"/>
          <w:szCs w:val="32"/>
          <w:lang w:eastAsia="zh-CN"/>
        </w:rPr>
        <w:t>接待任务较上年有所减少</w:t>
      </w:r>
      <w:r>
        <w:rPr>
          <w:rFonts w:hint="eastAsia" w:ascii="仿宋_GB2312" w:hAnsi="仿宋_GB2312" w:eastAsia="仿宋_GB2312" w:cs="仿宋_GB2312"/>
          <w:sz w:val="32"/>
          <w:szCs w:val="32"/>
          <w:lang w:val="en-US" w:eastAsia="zh-CN"/>
        </w:rPr>
        <w:t>。其中：</w:t>
      </w:r>
    </w:p>
    <w:p w14:paraId="4614C558">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国内公务接待支出1.23万元，主要用于</w:t>
      </w:r>
      <w:r>
        <w:rPr>
          <w:rFonts w:hint="eastAsia" w:ascii="仿宋_GB2312" w:hAnsi="仿宋_GB2312" w:eastAsia="仿宋_GB2312" w:cs="仿宋_GB2312"/>
          <w:sz w:val="32"/>
          <w:szCs w:val="32"/>
          <w:lang w:eastAsia="zh-CN"/>
        </w:rPr>
        <w:t>执行公务、用餐费等</w:t>
      </w:r>
      <w:r>
        <w:rPr>
          <w:rFonts w:hint="eastAsia" w:ascii="仿宋_GB2312" w:hAnsi="仿宋_GB2312" w:eastAsia="仿宋_GB2312" w:cs="仿宋_GB2312"/>
          <w:sz w:val="32"/>
          <w:szCs w:val="32"/>
          <w:lang w:val="en-US" w:eastAsia="zh-CN"/>
        </w:rPr>
        <w:t>。国内公务接待10批次，83人次（不包括陪同人员），共计支出1.23万元。</w:t>
      </w:r>
    </w:p>
    <w:p w14:paraId="23AC7224">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外事接待支出0万元。外事接待0批次，0人次（不包括陪同人员），共计支出0万元。</w:t>
      </w:r>
    </w:p>
    <w:p w14:paraId="5C0C38C6">
      <w:pPr>
        <w:spacing w:line="600" w:lineRule="exact"/>
        <w:ind w:firstLine="640"/>
        <w:outlineLvl w:val="1"/>
        <w:rPr>
          <w:rStyle w:val="29"/>
          <w:rFonts w:ascii="Times New Roman" w:hAnsi="Times New Roman" w:eastAsia="黑体"/>
          <w:color w:val="auto"/>
          <w:highlight w:val="none"/>
        </w:rPr>
      </w:pPr>
      <w:bookmarkStart w:id="64" w:name="_Toc15377218"/>
      <w:bookmarkStart w:id="65" w:name="_Toc1952695684"/>
      <w:bookmarkStart w:id="66" w:name="_Toc15396610"/>
      <w:bookmarkStart w:id="67" w:name="_Toc203522083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4"/>
      <w:bookmarkEnd w:id="65"/>
      <w:bookmarkEnd w:id="66"/>
      <w:bookmarkEnd w:id="67"/>
    </w:p>
    <w:p w14:paraId="6C173658">
      <w:pPr>
        <w:ind w:firstLine="640" w:firstLineChars="200"/>
        <w:jc w:val="left"/>
        <w:rPr>
          <w:rFonts w:hint="eastAsia" w:ascii="仿宋_GB2312" w:hAnsi="仿宋_GB2312" w:eastAsia="仿宋_GB2312" w:cs="仿宋_GB2312"/>
          <w:sz w:val="32"/>
          <w:szCs w:val="32"/>
          <w:lang w:val="en-US" w:eastAsia="zh-CN"/>
        </w:rPr>
      </w:pPr>
      <w:bookmarkStart w:id="68" w:name="_Toc15377219"/>
      <w:bookmarkStart w:id="69" w:name="_Toc15396611"/>
      <w:r>
        <w:rPr>
          <w:rFonts w:hint="eastAsia" w:ascii="仿宋_GB2312" w:hAnsi="仿宋_GB2312" w:eastAsia="仿宋_GB2312" w:cs="仿宋_GB2312"/>
          <w:sz w:val="32"/>
          <w:szCs w:val="32"/>
          <w:lang w:val="en-US" w:eastAsia="zh-CN"/>
        </w:rPr>
        <w:t>2025年政府性基金预算财政拨款支出0万元。</w:t>
      </w:r>
    </w:p>
    <w:p w14:paraId="0FB6DDC1">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70" w:name="_Toc356422037"/>
      <w:bookmarkStart w:id="71" w:name="_Toc659579806"/>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8"/>
      <w:bookmarkEnd w:id="69"/>
      <w:bookmarkEnd w:id="70"/>
      <w:bookmarkEnd w:id="71"/>
    </w:p>
    <w:p w14:paraId="066929FA">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2025年国有资本经营预算财政拨款支出0万元。</w:t>
      </w:r>
    </w:p>
    <w:p w14:paraId="5E9B4E5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72" w:name="_Toc688401532"/>
      <w:bookmarkStart w:id="73" w:name="_Toc1051204082"/>
      <w:bookmarkStart w:id="74" w:name="_Toc15377221"/>
      <w:bookmarkStart w:id="7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72"/>
      <w:bookmarkEnd w:id="73"/>
      <w:bookmarkEnd w:id="74"/>
      <w:bookmarkEnd w:id="75"/>
    </w:p>
    <w:p w14:paraId="722426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2"/>
      <w:r>
        <w:rPr>
          <w:rFonts w:hint="eastAsia" w:ascii="Times New Roman" w:hAnsi="Times New Roman" w:eastAsia="楷体_GB2312" w:cs="楷体_GB2312"/>
          <w:b/>
          <w:color w:val="auto"/>
          <w:sz w:val="32"/>
          <w:szCs w:val="32"/>
          <w:highlight w:val="none"/>
        </w:rPr>
        <w:t>（一）机关运行经费支出情况</w:t>
      </w:r>
      <w:bookmarkEnd w:id="76"/>
    </w:p>
    <w:p w14:paraId="54E0C038">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2025年，若尔盖县人民法院机关运行经费支出86.08万元，比上年减少59.39万元，下降40.8%主要原因是减少了项目支出。</w:t>
      </w:r>
    </w:p>
    <w:p w14:paraId="706CA4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23"/>
      <w:r>
        <w:rPr>
          <w:rFonts w:hint="eastAsia" w:ascii="Times New Roman" w:hAnsi="Times New Roman" w:eastAsia="楷体_GB2312" w:cs="楷体_GB2312"/>
          <w:b/>
          <w:color w:val="auto"/>
          <w:sz w:val="32"/>
          <w:szCs w:val="32"/>
          <w:highlight w:val="none"/>
        </w:rPr>
        <w:t>（二）政府采购支出情况</w:t>
      </w:r>
      <w:bookmarkEnd w:id="77"/>
    </w:p>
    <w:p w14:paraId="5F789F14">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若尔盖县人民法院政府采购支出总额241.82万元，其中：政府采购货物支出151.47万元、政府采购工程支出0万元、政府采购服务支出90.34万元。主要用于法院信息化建设和办案设备购置。授予中小企业合同金额237.01万元，占政府采购支出总额的98%，其中：授予小微企业合同金额0万元，占政府采购支出总额的0%。</w:t>
      </w:r>
    </w:p>
    <w:p w14:paraId="253BD4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8" w:name="_Toc15377224"/>
      <w:r>
        <w:rPr>
          <w:rFonts w:hint="eastAsia" w:ascii="Times New Roman" w:hAnsi="Times New Roman" w:eastAsia="楷体_GB2312" w:cs="楷体_GB2312"/>
          <w:b/>
          <w:color w:val="auto"/>
          <w:sz w:val="32"/>
          <w:szCs w:val="32"/>
          <w:highlight w:val="none"/>
        </w:rPr>
        <w:t>（三）国有资产占有使用情况</w:t>
      </w:r>
      <w:bookmarkEnd w:id="78"/>
    </w:p>
    <w:p w14:paraId="4F53B9CA">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截至2025年12月31日，若尔盖县人民法院共有车辆11辆，其中：若尔盖县人民法院共有车辆11辆，其中：执法执勤用车9辆、特种专业技术用车2辆。单价100万元以上专用设备0台（套）。</w:t>
      </w:r>
    </w:p>
    <w:p w14:paraId="511872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8DD5225">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根据预算绩效管理要求，若尔盖县人民法院在2025年，</w:t>
      </w:r>
      <w:bookmarkStart w:id="79" w:name="_Toc15377225"/>
      <w:bookmarkStart w:id="80" w:name="_Toc15396613"/>
      <w:r>
        <w:rPr>
          <w:rFonts w:hint="eastAsia" w:ascii="仿宋_GB2312" w:hAnsi="仿宋_GB2312" w:eastAsia="仿宋_GB2312" w:cs="仿宋_GB2312"/>
          <w:sz w:val="32"/>
          <w:szCs w:val="32"/>
          <w:lang w:val="en-US" w:eastAsia="zh-CN"/>
        </w:rPr>
        <w:t>组织对一般公共预算、资本资产等全面开展绩效自评，形成《若尔盖县人民法院2025年部门整体支出绩效报告》预算项目绩效自评报告，其中《若尔盖县人民法院2025年部门整体支出绩效报告》得分为89分，绩效自评报告详见附件。</w:t>
      </w:r>
    </w:p>
    <w:p w14:paraId="0A9BC6F8">
      <w:pP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14:paraId="7CD0927E">
      <w:pPr>
        <w:pStyle w:val="3"/>
        <w:bidi w:val="0"/>
        <w:jc w:val="center"/>
        <w:rPr>
          <w:rFonts w:hint="eastAsia"/>
        </w:rPr>
      </w:pPr>
      <w:bookmarkStart w:id="81" w:name="_Toc1476589621"/>
      <w:bookmarkStart w:id="82" w:name="_Toc1634550529"/>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79"/>
      <w:bookmarkEnd w:id="80"/>
      <w:bookmarkEnd w:id="81"/>
      <w:bookmarkEnd w:id="82"/>
    </w:p>
    <w:p w14:paraId="4B009BC2">
      <w:pPr>
        <w:spacing w:line="600" w:lineRule="exact"/>
        <w:jc w:val="left"/>
        <w:rPr>
          <w:rFonts w:ascii="Times New Roman" w:hAnsi="Times New Roman"/>
          <w:b/>
          <w:color w:val="auto"/>
          <w:sz w:val="44"/>
          <w:szCs w:val="44"/>
          <w:highlight w:val="none"/>
        </w:rPr>
      </w:pPr>
    </w:p>
    <w:p w14:paraId="47A6EBCB">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1.财政拨款收入：指单位从同级财政部门取得的财政预算资金。</w:t>
      </w:r>
    </w:p>
    <w:p w14:paraId="7FDEA87C">
      <w:pPr>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5A1998CF">
      <w:pPr>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6C106189">
      <w:pPr>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74D8A374">
      <w:pPr>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5F1DCD06">
      <w:pPr>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12EDD49B">
      <w:pPr>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7209656">
      <w:pPr>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BC9ADED">
      <w:pPr>
        <w:ind w:firstLine="640"/>
        <w:rPr>
          <w:rFonts w:eastAsia="仿宋" w:cs="仿宋_GB2312"/>
          <w:sz w:val="32"/>
          <w:szCs w:val="32"/>
        </w:rPr>
      </w:pPr>
      <w:r>
        <w:rPr>
          <w:rFonts w:hint="eastAsia" w:eastAsia="仿宋_GB2312" w:cs="仿宋_GB2312"/>
          <w:sz w:val="32"/>
          <w:szCs w:val="32"/>
        </w:rPr>
        <w:t>9.公共安全支出（类）法院（款）行政运行（项）2040501：指</w:t>
      </w:r>
      <w:r>
        <w:rPr>
          <w:rFonts w:hint="eastAsia" w:ascii="仿宋" w:hAnsi="仿宋" w:eastAsia="仿宋"/>
          <w:sz w:val="32"/>
          <w:szCs w:val="32"/>
        </w:rPr>
        <w:t>反应行政单位（包括实行公务员管理的事业单位）的基本支出。</w:t>
      </w:r>
    </w:p>
    <w:p w14:paraId="5A6604E4">
      <w:pPr>
        <w:ind w:firstLine="640"/>
        <w:rPr>
          <w:rFonts w:eastAsia="仿宋_GB2312" w:cs="仿宋_GB2312"/>
          <w:sz w:val="32"/>
          <w:szCs w:val="32"/>
        </w:rPr>
      </w:pPr>
      <w:r>
        <w:rPr>
          <w:rFonts w:hint="eastAsia" w:eastAsia="仿宋_GB2312" w:cs="仿宋_GB2312"/>
          <w:sz w:val="32"/>
          <w:szCs w:val="32"/>
        </w:rPr>
        <w:t>10.公共安全支出（类）法院（款）一般行政管理事务（项）2040502：指</w:t>
      </w:r>
      <w:r>
        <w:rPr>
          <w:rFonts w:hint="eastAsia" w:ascii="仿宋" w:hAnsi="仿宋" w:eastAsia="仿宋"/>
          <w:sz w:val="32"/>
          <w:szCs w:val="32"/>
        </w:rPr>
        <w:t>反映行政单位（包括实行公务员管理的事业单位）未单独设置项级科目的其他项目支出。</w:t>
      </w:r>
    </w:p>
    <w:p w14:paraId="2D98BB5F">
      <w:pPr>
        <w:ind w:firstLine="640"/>
        <w:rPr>
          <w:rFonts w:eastAsia="仿宋_GB2312" w:cs="仿宋_GB2312"/>
          <w:sz w:val="32"/>
          <w:szCs w:val="32"/>
        </w:rPr>
      </w:pPr>
      <w:r>
        <w:rPr>
          <w:rFonts w:hint="eastAsia" w:eastAsia="仿宋_GB2312" w:cs="仿宋_GB2312"/>
          <w:sz w:val="32"/>
          <w:szCs w:val="32"/>
        </w:rPr>
        <w:t>11.</w:t>
      </w:r>
      <w:r>
        <w:rPr>
          <w:rFonts w:hint="eastAsia" w:ascii="仿宋" w:hAnsi="仿宋" w:eastAsia="仿宋"/>
          <w:sz w:val="32"/>
          <w:szCs w:val="32"/>
        </w:rPr>
        <w:t>社会保障和就业支出</w:t>
      </w:r>
      <w:r>
        <w:rPr>
          <w:rFonts w:hint="eastAsia" w:eastAsia="仿宋_GB2312" w:cs="仿宋_GB2312"/>
          <w:sz w:val="32"/>
          <w:szCs w:val="32"/>
        </w:rPr>
        <w:t>（类）行政事业单位养老支出（款）机关事业单位基本养老保险缴费支出（项）0280505：指</w:t>
      </w:r>
      <w:r>
        <w:rPr>
          <w:rFonts w:hint="eastAsia" w:ascii="仿宋" w:hAnsi="仿宋" w:eastAsia="仿宋"/>
          <w:sz w:val="32"/>
          <w:szCs w:val="32"/>
        </w:rPr>
        <w:t>反映机关事业单位实施养老保险制度由单位缴纳的基本养老保险费支出。</w:t>
      </w:r>
    </w:p>
    <w:p w14:paraId="38361C71">
      <w:pPr>
        <w:ind w:firstLine="640"/>
        <w:rPr>
          <w:rFonts w:eastAsia="仿宋_GB2312" w:cs="仿宋_GB2312"/>
          <w:sz w:val="32"/>
          <w:szCs w:val="32"/>
        </w:rPr>
      </w:pPr>
      <w:r>
        <w:rPr>
          <w:rFonts w:hint="eastAsia" w:eastAsia="仿宋_GB2312" w:cs="仿宋_GB2312"/>
          <w:sz w:val="32"/>
          <w:szCs w:val="32"/>
        </w:rPr>
        <w:t>12.</w:t>
      </w:r>
      <w:r>
        <w:rPr>
          <w:rFonts w:hint="eastAsia" w:ascii="仿宋" w:hAnsi="仿宋" w:eastAsia="仿宋"/>
          <w:sz w:val="32"/>
          <w:szCs w:val="32"/>
        </w:rPr>
        <w:t>社会保障和就业支出</w:t>
      </w:r>
      <w:r>
        <w:rPr>
          <w:rFonts w:hint="eastAsia" w:eastAsia="仿宋_GB2312" w:cs="仿宋_GB2312"/>
          <w:sz w:val="32"/>
          <w:szCs w:val="32"/>
        </w:rPr>
        <w:t>（类）行政事业单位养老支出（款）机关事业单位职业年金缴费支出（项）2080506：指</w:t>
      </w:r>
      <w:r>
        <w:rPr>
          <w:rFonts w:hint="eastAsia" w:ascii="仿宋" w:hAnsi="仿宋" w:eastAsia="仿宋"/>
          <w:sz w:val="32"/>
          <w:szCs w:val="32"/>
        </w:rPr>
        <w:t>反映机关事业单位实施养老保险制度由单位实际缴纳的职业年金支出。</w:t>
      </w:r>
    </w:p>
    <w:p w14:paraId="651AEEA0">
      <w:pPr>
        <w:ind w:firstLine="640"/>
        <w:rPr>
          <w:rFonts w:eastAsia="仿宋_GB2312" w:cs="仿宋_GB2312"/>
          <w:sz w:val="32"/>
          <w:szCs w:val="32"/>
        </w:rPr>
      </w:pPr>
      <w:r>
        <w:rPr>
          <w:rFonts w:hint="eastAsia" w:eastAsia="仿宋_GB2312" w:cs="仿宋_GB2312"/>
          <w:sz w:val="32"/>
          <w:szCs w:val="32"/>
        </w:rPr>
        <w:t>13.卫生健康支出（类）行政事业单位医疗（款）行政单位医疗（项）2101101：指</w:t>
      </w:r>
      <w:r>
        <w:rPr>
          <w:rFonts w:hint="eastAsia" w:ascii="仿宋" w:hAnsi="仿宋" w:eastAsia="仿宋"/>
          <w:sz w:val="32"/>
          <w:szCs w:val="32"/>
        </w:rPr>
        <w:t>反映财政部门集中安排的行政单位基本医疗保险缴费经费，未参加医疗保险的行政单位的公费医疗经费，按国家规定享受离休人员、红军老战士待遇人员的医疗经费。</w:t>
      </w:r>
    </w:p>
    <w:p w14:paraId="2E20970D">
      <w:pPr>
        <w:ind w:firstLine="640"/>
        <w:rPr>
          <w:rFonts w:eastAsia="仿宋_GB2312" w:cs="仿宋_GB2312"/>
          <w:sz w:val="32"/>
          <w:szCs w:val="32"/>
        </w:rPr>
      </w:pPr>
      <w:r>
        <w:rPr>
          <w:rFonts w:hint="eastAsia" w:eastAsia="仿宋_GB2312" w:cs="仿宋_GB2312"/>
          <w:sz w:val="32"/>
          <w:szCs w:val="32"/>
        </w:rPr>
        <w:t>14.卫生健康支出（类）行政事业单位医疗（款）公务员医疗补助（项）2101103：指</w:t>
      </w:r>
      <w:r>
        <w:rPr>
          <w:rFonts w:hint="eastAsia" w:ascii="仿宋" w:hAnsi="仿宋" w:eastAsia="仿宋"/>
          <w:sz w:val="32"/>
          <w:szCs w:val="32"/>
        </w:rPr>
        <w:t>反映财政部门安排的公务员医疗补助经费。</w:t>
      </w:r>
    </w:p>
    <w:p w14:paraId="785538E6">
      <w:pPr>
        <w:ind w:firstLine="640"/>
        <w:rPr>
          <w:rFonts w:eastAsia="仿宋_GB2312" w:cs="仿宋_GB2312"/>
          <w:sz w:val="32"/>
          <w:szCs w:val="32"/>
        </w:rPr>
      </w:pPr>
      <w:r>
        <w:rPr>
          <w:rFonts w:hint="eastAsia" w:eastAsia="仿宋_GB2312" w:cs="仿宋_GB2312"/>
          <w:sz w:val="32"/>
          <w:szCs w:val="32"/>
        </w:rPr>
        <w:t>15.住房保障支出（类）住房改革支出（款）住房公积金（项）2210201：指</w:t>
      </w:r>
      <w:r>
        <w:rPr>
          <w:rFonts w:hint="eastAsia" w:ascii="仿宋" w:hAnsi="仿宋" w:eastAsia="仿宋"/>
          <w:sz w:val="32"/>
          <w:szCs w:val="32"/>
        </w:rPr>
        <w:t>反映行政事业单位按人力资源和社会保障部、财政部规定基本工作和津贴补贴以及规定比例为职工缴纳的住房公积金。</w:t>
      </w:r>
    </w:p>
    <w:p w14:paraId="4DEA2C6C">
      <w:pPr>
        <w:ind w:firstLine="640"/>
        <w:rPr>
          <w:rFonts w:eastAsia="仿宋_GB2312" w:cs="仿宋_GB2312"/>
          <w:sz w:val="32"/>
          <w:szCs w:val="32"/>
        </w:rPr>
      </w:pPr>
      <w:r>
        <w:rPr>
          <w:rFonts w:hint="eastAsia" w:eastAsia="仿宋_GB2312" w:cs="仿宋_GB2312"/>
          <w:sz w:val="32"/>
          <w:szCs w:val="32"/>
        </w:rPr>
        <w:t>16.基本支出：指为保障机构正常运转、完成日常工作任务而发生的人员支出和公用支出。</w:t>
      </w:r>
    </w:p>
    <w:p w14:paraId="1940F516">
      <w:pPr>
        <w:ind w:firstLine="640"/>
        <w:rPr>
          <w:rFonts w:eastAsia="仿宋_GB2312" w:cs="仿宋_GB2312"/>
          <w:sz w:val="32"/>
          <w:szCs w:val="32"/>
        </w:rPr>
      </w:pPr>
      <w:r>
        <w:rPr>
          <w:rFonts w:hint="eastAsia" w:eastAsia="仿宋_GB2312" w:cs="仿宋_GB2312"/>
          <w:sz w:val="32"/>
          <w:szCs w:val="32"/>
        </w:rPr>
        <w:t xml:space="preserve">17.项目支出：指在基本支出之外为完成特定行政任务和事业发展目标所发生的支出。 </w:t>
      </w:r>
    </w:p>
    <w:p w14:paraId="4A2AFFC3">
      <w:pPr>
        <w:ind w:firstLine="640"/>
        <w:rPr>
          <w:rFonts w:eastAsia="仿宋_GB2312" w:cs="仿宋_GB2312"/>
          <w:sz w:val="32"/>
          <w:szCs w:val="32"/>
        </w:rPr>
      </w:pPr>
      <w:r>
        <w:rPr>
          <w:rFonts w:hint="eastAsia" w:eastAsia="仿宋_GB2312" w:cs="仿宋_GB2312"/>
          <w:sz w:val="32"/>
          <w:szCs w:val="32"/>
        </w:rPr>
        <w:t>18.经营支出：指事业单位在专业业务活动及其辅助活动之外开展非独立核算经营活动发生的支出。</w:t>
      </w:r>
    </w:p>
    <w:p w14:paraId="0D236946">
      <w:pPr>
        <w:ind w:firstLine="640"/>
        <w:rPr>
          <w:rFonts w:eastAsia="仿宋_GB2312" w:cs="仿宋_GB2312"/>
          <w:sz w:val="32"/>
          <w:szCs w:val="32"/>
        </w:rPr>
      </w:pPr>
      <w:r>
        <w:rPr>
          <w:rFonts w:hint="eastAsia" w:eastAsia="仿宋_GB2312" w:cs="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786842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28D251">
      <w:pPr>
        <w:spacing w:line="600" w:lineRule="exact"/>
        <w:jc w:val="center"/>
        <w:rPr>
          <w:rStyle w:val="28"/>
          <w:rFonts w:hint="eastAsia"/>
          <w:lang w:eastAsia="zh-CN"/>
        </w:rPr>
      </w:pPr>
      <w:bookmarkStart w:id="8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84" w:name="_Toc15396614"/>
      <w:bookmarkStart w:id="85" w:name="_Toc1076940271"/>
      <w:bookmarkStart w:id="86" w:name="_Toc694691949"/>
      <w:r>
        <w:rPr>
          <w:rStyle w:val="28"/>
          <w:rFonts w:hint="eastAsia"/>
        </w:rPr>
        <w:t>第四部分</w:t>
      </w:r>
      <w:r>
        <w:rPr>
          <w:rStyle w:val="28"/>
          <w:rFonts w:hint="eastAsia"/>
          <w:lang w:val="en-US" w:eastAsia="zh-CN"/>
        </w:rPr>
        <w:t xml:space="preserve"> </w:t>
      </w:r>
      <w:r>
        <w:rPr>
          <w:rStyle w:val="28"/>
          <w:rFonts w:hint="eastAsia"/>
        </w:rPr>
        <w:t xml:space="preserve"> 附件</w:t>
      </w:r>
      <w:bookmarkEnd w:id="84"/>
    </w:p>
    <w:bookmarkEnd w:id="85"/>
    <w:bookmarkEnd w:id="86"/>
    <w:p w14:paraId="15A726A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E8BAFBF">
      <w:pPr>
        <w:pStyle w:val="4"/>
        <w:bidi w:val="0"/>
        <w:rPr>
          <w:rFonts w:hint="eastAsia"/>
          <w:lang w:val="en-US" w:eastAsia="zh-CN"/>
        </w:rPr>
      </w:pPr>
      <w:bookmarkStart w:id="87" w:name="_Toc1516406594"/>
      <w:bookmarkStart w:id="88" w:name="_Toc1846292772"/>
      <w:r>
        <w:rPr>
          <w:rFonts w:hint="eastAsia"/>
        </w:rPr>
        <w:t>附件</w:t>
      </w:r>
      <w:r>
        <w:rPr>
          <w:rFonts w:hint="eastAsia"/>
          <w:lang w:val="en-US" w:eastAsia="zh-CN"/>
        </w:rPr>
        <w:t>1</w:t>
      </w:r>
      <w:bookmarkEnd w:id="87"/>
      <w:bookmarkEnd w:id="88"/>
    </w:p>
    <w:p w14:paraId="394CECC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0676AE9">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若尔盖县人民法院</w:t>
      </w:r>
    </w:p>
    <w:p w14:paraId="797B4FFB">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202</w:t>
      </w:r>
      <w:r>
        <w:rPr>
          <w:rFonts w:hint="eastAsia" w:eastAsia="方正小标宋简体"/>
          <w:bCs/>
          <w:sz w:val="44"/>
          <w:szCs w:val="44"/>
          <w:shd w:val="clear" w:color="auto" w:fill="FFFFFF"/>
          <w:lang w:val="en-US" w:eastAsia="zh-CN"/>
        </w:rPr>
        <w:t>5</w:t>
      </w:r>
      <w:r>
        <w:rPr>
          <w:rFonts w:hint="eastAsia" w:eastAsia="方正小标宋简体"/>
          <w:bCs/>
          <w:sz w:val="44"/>
          <w:szCs w:val="44"/>
          <w:shd w:val="clear" w:color="auto" w:fill="FFFFFF"/>
        </w:rPr>
        <w:t>年</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2EA13A7F">
      <w:pPr>
        <w:keepNext w:val="0"/>
        <w:keepLines w:val="0"/>
        <w:pageBreakBefore w:val="0"/>
        <w:widowControl/>
        <w:kinsoku/>
        <w:wordWrap/>
        <w:overflowPunct/>
        <w:topLinePunct w:val="0"/>
        <w:autoSpaceDE/>
        <w:autoSpaceDN/>
        <w:bidi w:val="0"/>
        <w:adjustRightInd w:val="0"/>
        <w:snapToGrid w:val="0"/>
        <w:spacing w:line="240" w:lineRule="auto"/>
        <w:ind w:left="0" w:firstLine="420" w:firstLineChars="200"/>
        <w:contextualSpacing/>
        <w:jc w:val="left"/>
        <w:textAlignment w:val="auto"/>
        <w:rPr>
          <w:rFonts w:hint="eastAsia" w:ascii="仿宋" w:hAnsi="仿宋" w:eastAsia="仿宋" w:cs="FangSong_GB2312"/>
          <w:szCs w:val="32"/>
          <w:lang w:val="zh-CN"/>
        </w:rPr>
      </w:pPr>
    </w:p>
    <w:p w14:paraId="349D2A83">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一、部门（单位）基本情况</w:t>
      </w:r>
    </w:p>
    <w:p w14:paraId="29E80C05">
      <w:pPr>
        <w:keepNext w:val="0"/>
        <w:keepLines w:val="0"/>
        <w:pageBreakBefore w:val="0"/>
        <w:numPr>
          <w:ilvl w:val="0"/>
          <w:numId w:val="0"/>
        </w:numPr>
        <w:kinsoku/>
        <w:wordWrap/>
        <w:overflowPunct/>
        <w:topLinePunct w:val="0"/>
        <w:autoSpaceDE/>
        <w:autoSpaceDN/>
        <w:bidi w:val="0"/>
        <w:spacing w:line="600" w:lineRule="exact"/>
        <w:ind w:leftChars="200"/>
        <w:textAlignment w:val="auto"/>
        <w:rPr>
          <w:rFonts w:hint="eastAsia" w:eastAsia="KaiTi_GB2312"/>
          <w:b/>
          <w:bCs/>
          <w:color w:val="000000"/>
          <w:kern w:val="0"/>
          <w:sz w:val="32"/>
          <w:szCs w:val="32"/>
          <w:shd w:val="clear" w:color="auto" w:fill="FFFFFF"/>
          <w:lang w:val="zh-CN"/>
        </w:rPr>
      </w:pPr>
      <w:r>
        <w:rPr>
          <w:rFonts w:hint="eastAsia" w:eastAsia="KaiTi_GB2312"/>
          <w:b/>
          <w:bCs/>
          <w:color w:val="000000"/>
          <w:kern w:val="0"/>
          <w:sz w:val="32"/>
          <w:szCs w:val="32"/>
          <w:shd w:val="clear" w:color="auto" w:fill="FFFFFF"/>
          <w:lang w:val="zh-CN"/>
        </w:rPr>
        <w:t>（一）机构组成。</w:t>
      </w:r>
    </w:p>
    <w:p w14:paraId="724E1EE5">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若尔盖县人民法院设6个内设部门：综合办公室、政治部（监察室）、立案庭（诉讼服务中心）、执行局、综合审判庭、法警大队。</w:t>
      </w:r>
    </w:p>
    <w:p w14:paraId="7838CD3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县人民法院派出机构5个：唐克人民法庭、红星人民法庭、铁布人民法庭、巴西人民法庭、求吉人民法庭。</w:t>
      </w:r>
    </w:p>
    <w:p w14:paraId="191FC05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firstLine="643" w:firstLineChars="200"/>
        <w:textAlignment w:val="auto"/>
        <w:rPr>
          <w:rFonts w:eastAsia="KaiTi_GB2312"/>
          <w:b/>
          <w:bCs/>
          <w:color w:val="000000"/>
          <w:kern w:val="0"/>
          <w:sz w:val="32"/>
          <w:szCs w:val="32"/>
          <w:shd w:val="clear" w:color="auto" w:fill="FFFFFF"/>
          <w:lang w:val="zh-CN"/>
        </w:rPr>
      </w:pPr>
      <w:r>
        <w:rPr>
          <w:rFonts w:eastAsia="KaiTi_GB2312"/>
          <w:b/>
          <w:bCs/>
          <w:color w:val="000000"/>
          <w:kern w:val="0"/>
          <w:sz w:val="32"/>
          <w:szCs w:val="32"/>
          <w:shd w:val="clear" w:color="auto" w:fill="FFFFFF"/>
          <w:lang w:val="zh-CN"/>
        </w:rPr>
        <w:t>机构职能。</w:t>
      </w:r>
    </w:p>
    <w:p w14:paraId="685138A8">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若尔盖县人民法院是国家的审判机关，在县委的领导和州中级人民法院的指导下依法独立行使审判权，对县人民代表大会及其常务委员会负责并报告工作。其主要职责是：</w:t>
      </w:r>
    </w:p>
    <w:p w14:paraId="5BF2A039">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1、审理法律、法规规定由县人民法院管辖的第一审刑事、民事、行政案件。</w:t>
      </w:r>
    </w:p>
    <w:p w14:paraId="3057BDB3">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2、依照审判监督程序，审理告诉、申诉的刑事、民事、行政案件。</w:t>
      </w:r>
    </w:p>
    <w:p w14:paraId="7E15BE4A">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3、审理由县人民检察院按照审判监督程序提出的抗诉案件。</w:t>
      </w:r>
    </w:p>
    <w:p w14:paraId="451A442B">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4、依法决定国家赔偿。</w:t>
      </w:r>
    </w:p>
    <w:p w14:paraId="2A1B94C3">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5、依法行使司法执行权和司法决定权，执行本院已经发生法律效力的判决、裁决以及国家行政机关申请执行的案件和外地法院委托执行的案件。</w:t>
      </w:r>
    </w:p>
    <w:p w14:paraId="14B02478">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6、调查研究审判工作中的法律、法规、规章、政策及疑难问题，针对案件审理中发现的问题提出司法建议。</w:t>
      </w:r>
    </w:p>
    <w:p w14:paraId="729F844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7、对县人民法院的法官和其他工作人员进行思想政治教育，组织专业培训；协助县机构编制主管部门管理人民法院的机构编制工作。</w:t>
      </w:r>
    </w:p>
    <w:p w14:paraId="0C83F703">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8、负责县人民法院的党风廉政建设和纪检、监察工作。</w:t>
      </w:r>
    </w:p>
    <w:p w14:paraId="1252BDA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9、管理县人民法院的有关经费和物资装备。</w:t>
      </w:r>
    </w:p>
    <w:p w14:paraId="4882F08B">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10、参与社会治安综合治理工作，在审判工作中宣传法制、教育公民自觉遵守宪法、法律、法规和社会公德。</w:t>
      </w:r>
    </w:p>
    <w:p w14:paraId="20543C74">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11、承办县委、县人大交办的事项和其他应由基层人民法院负责的工作。</w:t>
      </w:r>
    </w:p>
    <w:p w14:paraId="66AB0BFB">
      <w:pPr>
        <w:keepNext w:val="0"/>
        <w:keepLines w:val="0"/>
        <w:pageBreakBefore w:val="0"/>
        <w:widowControl/>
        <w:kinsoku/>
        <w:wordWrap/>
        <w:overflowPunct/>
        <w:topLinePunct w:val="0"/>
        <w:autoSpaceDE/>
        <w:autoSpaceDN/>
        <w:bidi w:val="0"/>
        <w:adjustRightInd w:val="0"/>
        <w:snapToGrid w:val="0"/>
        <w:spacing w:line="600" w:lineRule="exact"/>
        <w:ind w:left="0" w:firstLine="643" w:firstLineChars="200"/>
        <w:contextualSpacing/>
        <w:jc w:val="left"/>
        <w:textAlignment w:val="auto"/>
        <w:rPr>
          <w:rFonts w:hint="eastAsia" w:eastAsia="KaiTi_GB2312"/>
          <w:b/>
          <w:bCs/>
          <w:color w:val="000000"/>
          <w:kern w:val="0"/>
          <w:sz w:val="32"/>
          <w:szCs w:val="32"/>
          <w:shd w:val="clear" w:color="auto" w:fill="FFFFFF"/>
          <w:lang w:val="zh-CN"/>
        </w:rPr>
      </w:pPr>
      <w:r>
        <w:rPr>
          <w:rFonts w:hint="eastAsia" w:eastAsia="KaiTi_GB2312"/>
          <w:b/>
          <w:bCs/>
          <w:color w:val="000000"/>
          <w:kern w:val="0"/>
          <w:sz w:val="32"/>
          <w:szCs w:val="32"/>
          <w:shd w:val="clear" w:color="auto" w:fill="FFFFFF"/>
          <w:lang w:val="zh-CN"/>
        </w:rPr>
        <w:t>（三）人员概况。</w:t>
      </w:r>
    </w:p>
    <w:p w14:paraId="54B04D15">
      <w:pPr>
        <w:keepNext w:val="0"/>
        <w:keepLines w:val="0"/>
        <w:pageBreakBefore w:val="0"/>
        <w:widowControl/>
        <w:kinsoku/>
        <w:wordWrap/>
        <w:overflowPunct/>
        <w:topLinePunct w:val="0"/>
        <w:autoSpaceDE/>
        <w:autoSpaceDN/>
        <w:bidi w:val="0"/>
        <w:adjustRightInd w:val="0"/>
        <w:snapToGrid w:val="0"/>
        <w:spacing w:line="240" w:lineRule="auto"/>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截至202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年末，我院人员编制总计48人，其中政法专项编制46人，工勤编制2人。在职人数</w:t>
      </w:r>
      <w:r>
        <w:rPr>
          <w:rFonts w:hint="eastAsia" w:ascii="仿宋" w:hAnsi="仿宋" w:eastAsia="仿宋" w:cs="FangSong_GB2312"/>
          <w:sz w:val="32"/>
          <w:szCs w:val="32"/>
          <w:lang w:val="en-US" w:eastAsia="zh-CN"/>
        </w:rPr>
        <w:t>41</w:t>
      </w:r>
      <w:r>
        <w:rPr>
          <w:rFonts w:hint="eastAsia" w:ascii="仿宋" w:hAnsi="仿宋" w:eastAsia="仿宋" w:cs="FangSong_GB2312"/>
          <w:sz w:val="32"/>
          <w:szCs w:val="32"/>
          <w:lang w:val="zh-CN"/>
        </w:rPr>
        <w:t>人（中央政法专项编制41人，工勤</w:t>
      </w:r>
      <w:r>
        <w:rPr>
          <w:rFonts w:hint="eastAsia" w:ascii="仿宋" w:hAnsi="仿宋" w:eastAsia="仿宋" w:cs="FangSong_GB2312"/>
          <w:sz w:val="32"/>
          <w:szCs w:val="32"/>
          <w:lang w:val="en-US" w:eastAsia="zh-CN"/>
        </w:rPr>
        <w:t>0</w:t>
      </w:r>
      <w:r>
        <w:rPr>
          <w:rFonts w:hint="eastAsia" w:ascii="仿宋" w:hAnsi="仿宋" w:eastAsia="仿宋" w:cs="FangSong_GB2312"/>
          <w:sz w:val="32"/>
          <w:szCs w:val="32"/>
          <w:lang w:val="zh-CN"/>
        </w:rPr>
        <w:t>人）。</w:t>
      </w:r>
    </w:p>
    <w:p w14:paraId="76B862E2">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14:paraId="68F17875">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eastAsia="KaiTi_GB2312"/>
          <w:b/>
          <w:bCs/>
          <w:color w:val="000000"/>
          <w:kern w:val="0"/>
          <w:sz w:val="32"/>
          <w:szCs w:val="32"/>
          <w:shd w:val="clear" w:color="auto" w:fill="FFFFFF"/>
          <w:lang w:val="zh-CN" w:eastAsia="zh-CN"/>
        </w:rPr>
      </w:pPr>
      <w:r>
        <w:rPr>
          <w:rFonts w:hint="eastAsia" w:eastAsia="KaiTi_GB2312"/>
          <w:b/>
          <w:bCs/>
          <w:color w:val="000000"/>
          <w:kern w:val="0"/>
          <w:sz w:val="32"/>
          <w:szCs w:val="32"/>
          <w:shd w:val="clear" w:color="auto" w:fill="FFFFFF"/>
          <w:lang w:val="zh-CN" w:eastAsia="zh-CN"/>
        </w:rPr>
        <w:t>（一）收入情况。</w:t>
      </w:r>
    </w:p>
    <w:p w14:paraId="5B685E96">
      <w:pPr>
        <w:keepNext w:val="0"/>
        <w:keepLines w:val="0"/>
        <w:pageBreakBefore w:val="0"/>
        <w:widowControl/>
        <w:kinsoku/>
        <w:wordWrap/>
        <w:overflowPunct/>
        <w:topLinePunct w:val="0"/>
        <w:autoSpaceDE/>
        <w:autoSpaceDN/>
        <w:bidi w:val="0"/>
        <w:adjustRightInd w:val="0"/>
        <w:snapToGrid w:val="0"/>
        <w:spacing w:line="240" w:lineRule="auto"/>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若尔盖县人民法院202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年财政资金年初预算收入总额为</w:t>
      </w:r>
      <w:r>
        <w:rPr>
          <w:rFonts w:hint="eastAsia" w:ascii="仿宋" w:hAnsi="仿宋" w:eastAsia="仿宋" w:cs="FangSong_GB2312"/>
          <w:sz w:val="32"/>
          <w:szCs w:val="32"/>
          <w:lang w:val="en-US" w:eastAsia="zh-CN"/>
        </w:rPr>
        <w:t>1,050.37</w:t>
      </w:r>
      <w:r>
        <w:rPr>
          <w:rFonts w:hint="eastAsia" w:ascii="仿宋" w:hAnsi="仿宋" w:eastAsia="仿宋" w:cs="FangSong_GB2312"/>
          <w:sz w:val="32"/>
          <w:szCs w:val="32"/>
          <w:lang w:val="zh-CN"/>
        </w:rPr>
        <w:t>万元、决算报表财政资金收入总额为</w:t>
      </w:r>
      <w:r>
        <w:rPr>
          <w:rFonts w:hint="eastAsia" w:ascii="仿宋" w:hAnsi="仿宋" w:eastAsia="仿宋" w:cs="FangSong_GB2312"/>
          <w:sz w:val="32"/>
          <w:szCs w:val="32"/>
          <w:lang w:val="en-US" w:eastAsia="zh-CN"/>
        </w:rPr>
        <w:t>1,762.64</w:t>
      </w:r>
      <w:r>
        <w:rPr>
          <w:rFonts w:hint="eastAsia" w:ascii="仿宋" w:hAnsi="仿宋" w:eastAsia="仿宋" w:cs="FangSong_GB2312"/>
          <w:sz w:val="32"/>
          <w:szCs w:val="32"/>
          <w:lang w:val="zh-CN"/>
        </w:rPr>
        <w:t>万元，其中：行政经费</w:t>
      </w:r>
      <w:r>
        <w:rPr>
          <w:rFonts w:hint="eastAsia" w:ascii="仿宋" w:hAnsi="仿宋" w:eastAsia="仿宋" w:cs="FangSong_GB2312"/>
          <w:sz w:val="32"/>
          <w:szCs w:val="32"/>
          <w:lang w:val="en-US" w:eastAsia="zh-CN"/>
        </w:rPr>
        <w:t>804.86</w:t>
      </w:r>
      <w:r>
        <w:rPr>
          <w:rFonts w:hint="eastAsia" w:ascii="仿宋" w:hAnsi="仿宋" w:eastAsia="仿宋" w:cs="FangSong_GB2312"/>
          <w:sz w:val="32"/>
          <w:szCs w:val="32"/>
          <w:lang w:val="zh-CN"/>
        </w:rPr>
        <w:t>万元，一般行政管理事务</w:t>
      </w:r>
      <w:r>
        <w:rPr>
          <w:rFonts w:hint="eastAsia" w:ascii="仿宋" w:hAnsi="仿宋" w:eastAsia="仿宋" w:cs="FangSong_GB2312"/>
          <w:sz w:val="32"/>
          <w:szCs w:val="32"/>
          <w:lang w:val="en-US" w:eastAsia="zh-CN"/>
        </w:rPr>
        <w:t>623.12</w:t>
      </w:r>
      <w:r>
        <w:rPr>
          <w:rFonts w:hint="eastAsia" w:ascii="仿宋" w:hAnsi="仿宋" w:eastAsia="仿宋" w:cs="FangSong_GB2312"/>
          <w:sz w:val="32"/>
          <w:szCs w:val="32"/>
          <w:lang w:val="zh-CN"/>
        </w:rPr>
        <w:t>万元，机关事业单位基本养老保险缴费支出</w:t>
      </w:r>
      <w:r>
        <w:rPr>
          <w:rFonts w:hint="eastAsia" w:ascii="仿宋" w:hAnsi="仿宋" w:eastAsia="仿宋" w:cs="FangSong_GB2312"/>
          <w:sz w:val="32"/>
          <w:szCs w:val="32"/>
          <w:lang w:val="en-US" w:eastAsia="zh-CN"/>
        </w:rPr>
        <w:t>108.48</w:t>
      </w:r>
      <w:r>
        <w:rPr>
          <w:rFonts w:hint="eastAsia" w:ascii="仿宋" w:hAnsi="仿宋" w:eastAsia="仿宋" w:cs="FangSong_GB2312"/>
          <w:sz w:val="32"/>
          <w:szCs w:val="32"/>
          <w:lang w:val="zh-CN"/>
        </w:rPr>
        <w:t>万元，机关事业单位职业年金缴费支出</w:t>
      </w:r>
      <w:r>
        <w:rPr>
          <w:rFonts w:hint="eastAsia" w:ascii="仿宋" w:hAnsi="仿宋" w:eastAsia="仿宋" w:cs="FangSong_GB2312"/>
          <w:sz w:val="32"/>
          <w:szCs w:val="32"/>
          <w:lang w:val="en-US" w:eastAsia="zh-CN"/>
        </w:rPr>
        <w:t>54.24</w:t>
      </w:r>
      <w:r>
        <w:rPr>
          <w:rFonts w:hint="eastAsia" w:ascii="仿宋" w:hAnsi="仿宋" w:eastAsia="仿宋" w:cs="FangSong_GB2312"/>
          <w:sz w:val="32"/>
          <w:szCs w:val="32"/>
          <w:lang w:val="zh-CN"/>
        </w:rPr>
        <w:t>万元，行政单位医疗</w:t>
      </w:r>
      <w:r>
        <w:rPr>
          <w:rFonts w:hint="eastAsia" w:ascii="仿宋" w:hAnsi="仿宋" w:eastAsia="仿宋" w:cs="FangSong_GB2312"/>
          <w:sz w:val="32"/>
          <w:szCs w:val="32"/>
          <w:lang w:val="en-US" w:eastAsia="zh-CN"/>
        </w:rPr>
        <w:t>58.14</w:t>
      </w:r>
      <w:r>
        <w:rPr>
          <w:rFonts w:hint="eastAsia" w:ascii="仿宋" w:hAnsi="仿宋" w:eastAsia="仿宋" w:cs="FangSong_GB2312"/>
          <w:sz w:val="32"/>
          <w:szCs w:val="32"/>
          <w:lang w:val="zh-CN"/>
        </w:rPr>
        <w:t>万元，公务员医疗补助</w:t>
      </w:r>
      <w:r>
        <w:rPr>
          <w:rFonts w:hint="eastAsia" w:ascii="仿宋" w:hAnsi="仿宋" w:eastAsia="仿宋" w:cs="FangSong_GB2312"/>
          <w:sz w:val="32"/>
          <w:szCs w:val="32"/>
          <w:lang w:val="en-US" w:eastAsia="zh-CN"/>
        </w:rPr>
        <w:t>10.39</w:t>
      </w:r>
      <w:r>
        <w:rPr>
          <w:rFonts w:hint="eastAsia" w:ascii="仿宋" w:hAnsi="仿宋" w:eastAsia="仿宋" w:cs="FangSong_GB2312"/>
          <w:sz w:val="32"/>
          <w:szCs w:val="32"/>
          <w:lang w:val="zh-CN"/>
        </w:rPr>
        <w:t>万元，住房公积金</w:t>
      </w:r>
      <w:r>
        <w:rPr>
          <w:rFonts w:hint="eastAsia" w:ascii="仿宋" w:hAnsi="仿宋" w:eastAsia="仿宋" w:cs="FangSong_GB2312"/>
          <w:sz w:val="32"/>
          <w:szCs w:val="32"/>
          <w:lang w:val="en-US" w:eastAsia="zh-CN"/>
        </w:rPr>
        <w:t>103.43</w:t>
      </w:r>
      <w:r>
        <w:rPr>
          <w:rFonts w:hint="eastAsia" w:ascii="仿宋" w:hAnsi="仿宋" w:eastAsia="仿宋" w:cs="FangSong_GB2312"/>
          <w:sz w:val="32"/>
          <w:szCs w:val="32"/>
          <w:lang w:val="zh-CN"/>
        </w:rPr>
        <w:t>万元。</w:t>
      </w:r>
    </w:p>
    <w:p w14:paraId="7197E421">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eastAsia="KaiTi_GB2312"/>
          <w:b/>
          <w:bCs/>
          <w:color w:val="000000"/>
          <w:kern w:val="0"/>
          <w:sz w:val="32"/>
          <w:szCs w:val="32"/>
          <w:shd w:val="clear" w:color="auto" w:fill="FFFFFF"/>
          <w:lang w:val="zh-CN"/>
        </w:rPr>
      </w:pPr>
      <w:r>
        <w:rPr>
          <w:rFonts w:hint="eastAsia" w:eastAsia="KaiTi_GB2312"/>
          <w:b/>
          <w:bCs/>
          <w:color w:val="000000"/>
          <w:kern w:val="0"/>
          <w:sz w:val="32"/>
          <w:szCs w:val="32"/>
          <w:shd w:val="clear" w:color="auto" w:fill="FFFFFF"/>
          <w:lang w:val="en-US" w:eastAsia="zh-CN"/>
        </w:rPr>
        <w:t>(二）</w:t>
      </w:r>
      <w:r>
        <w:rPr>
          <w:rFonts w:eastAsia="KaiTi_GB2312"/>
          <w:b/>
          <w:bCs/>
          <w:color w:val="000000"/>
          <w:kern w:val="0"/>
          <w:sz w:val="32"/>
          <w:szCs w:val="32"/>
          <w:shd w:val="clear" w:color="auto" w:fill="FFFFFF"/>
          <w:lang w:val="zh-CN"/>
        </w:rPr>
        <w:t>支出情况。</w:t>
      </w:r>
    </w:p>
    <w:p w14:paraId="7150595E">
      <w:pPr>
        <w:keepNext w:val="0"/>
        <w:keepLines w:val="0"/>
        <w:pageBreakBefore w:val="0"/>
        <w:widowControl/>
        <w:kinsoku/>
        <w:wordWrap/>
        <w:overflowPunct/>
        <w:topLinePunct w:val="0"/>
        <w:autoSpaceDE/>
        <w:autoSpaceDN/>
        <w:bidi w:val="0"/>
        <w:adjustRightInd w:val="0"/>
        <w:snapToGrid w:val="0"/>
        <w:spacing w:line="240" w:lineRule="auto"/>
        <w:ind w:left="0" w:firstLine="640" w:firstLineChars="200"/>
        <w:contextualSpacing/>
        <w:jc w:val="left"/>
        <w:textAlignment w:val="auto"/>
        <w:rPr>
          <w:rFonts w:hint="eastAsia" w:ascii="仿宋" w:hAnsi="仿宋" w:eastAsia="仿宋" w:cs="FangSong_GB2312"/>
          <w:sz w:val="32"/>
          <w:szCs w:val="32"/>
        </w:rPr>
      </w:pPr>
      <w:r>
        <w:rPr>
          <w:rFonts w:hint="eastAsia" w:ascii="仿宋" w:hAnsi="仿宋" w:eastAsia="仿宋" w:cs="FangSong_GB2312"/>
          <w:sz w:val="32"/>
          <w:szCs w:val="32"/>
          <w:lang w:val="zh-CN"/>
        </w:rPr>
        <w:t>若尔盖县人民法院202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年财政资金年初预算支出总额为</w:t>
      </w:r>
      <w:r>
        <w:rPr>
          <w:rFonts w:hint="eastAsia" w:ascii="仿宋" w:hAnsi="仿宋" w:eastAsia="仿宋" w:cs="FangSong_GB2312"/>
          <w:sz w:val="32"/>
          <w:szCs w:val="32"/>
          <w:lang w:val="en-US" w:eastAsia="zh-CN"/>
        </w:rPr>
        <w:t>1,050.37</w:t>
      </w:r>
      <w:r>
        <w:rPr>
          <w:rFonts w:hint="eastAsia" w:ascii="仿宋" w:hAnsi="仿宋" w:eastAsia="仿宋" w:cs="FangSong_GB2312"/>
          <w:sz w:val="32"/>
          <w:szCs w:val="32"/>
          <w:lang w:val="zh-CN"/>
        </w:rPr>
        <w:t>万元</w:t>
      </w:r>
      <w:r>
        <w:rPr>
          <w:rFonts w:hint="eastAsia" w:ascii="仿宋" w:hAnsi="仿宋" w:eastAsia="仿宋" w:cs="FangSong_GB2312"/>
          <w:sz w:val="32"/>
          <w:szCs w:val="32"/>
        </w:rPr>
        <w:t>、决算报表财政资金支出总额为</w:t>
      </w:r>
      <w:r>
        <w:rPr>
          <w:rFonts w:hint="eastAsia" w:ascii="仿宋" w:hAnsi="仿宋" w:eastAsia="仿宋" w:cs="FangSong_GB2312"/>
          <w:sz w:val="32"/>
          <w:szCs w:val="32"/>
          <w:lang w:val="en-US" w:eastAsia="zh-CN"/>
        </w:rPr>
        <w:t>1,762.64</w:t>
      </w:r>
      <w:r>
        <w:rPr>
          <w:rFonts w:hint="eastAsia" w:ascii="仿宋" w:hAnsi="仿宋" w:eastAsia="仿宋" w:cs="FangSong_GB2312"/>
          <w:sz w:val="32"/>
          <w:szCs w:val="32"/>
        </w:rPr>
        <w:t>万元，其中</w:t>
      </w:r>
      <w:r>
        <w:rPr>
          <w:rFonts w:hint="eastAsia" w:ascii="仿宋" w:hAnsi="仿宋" w:eastAsia="仿宋" w:cs="FangSong_GB2312"/>
          <w:sz w:val="32"/>
          <w:szCs w:val="32"/>
          <w:lang w:eastAsia="zh-CN"/>
        </w:rPr>
        <w:t>：</w:t>
      </w:r>
      <w:r>
        <w:rPr>
          <w:rFonts w:hint="eastAsia" w:ascii="仿宋" w:hAnsi="仿宋" w:eastAsia="仿宋" w:cs="FangSong_GB2312"/>
          <w:sz w:val="32"/>
          <w:szCs w:val="32"/>
          <w:lang w:val="zh-CN"/>
        </w:rPr>
        <w:t>行政经费</w:t>
      </w:r>
      <w:r>
        <w:rPr>
          <w:rFonts w:hint="eastAsia" w:ascii="仿宋" w:hAnsi="仿宋" w:eastAsia="仿宋" w:cs="FangSong_GB2312"/>
          <w:sz w:val="32"/>
          <w:szCs w:val="32"/>
          <w:lang w:val="en-US" w:eastAsia="zh-CN"/>
        </w:rPr>
        <w:t>804.86</w:t>
      </w:r>
      <w:r>
        <w:rPr>
          <w:rFonts w:hint="eastAsia" w:ascii="仿宋" w:hAnsi="仿宋" w:eastAsia="仿宋" w:cs="FangSong_GB2312"/>
          <w:sz w:val="32"/>
          <w:szCs w:val="32"/>
          <w:lang w:val="zh-CN"/>
        </w:rPr>
        <w:t>万元，一般行政管理事务</w:t>
      </w:r>
      <w:r>
        <w:rPr>
          <w:rFonts w:hint="eastAsia" w:ascii="仿宋" w:hAnsi="仿宋" w:eastAsia="仿宋" w:cs="FangSong_GB2312"/>
          <w:sz w:val="32"/>
          <w:szCs w:val="32"/>
          <w:lang w:val="en-US" w:eastAsia="zh-CN"/>
        </w:rPr>
        <w:t>623.12</w:t>
      </w:r>
      <w:r>
        <w:rPr>
          <w:rFonts w:hint="eastAsia" w:ascii="仿宋" w:hAnsi="仿宋" w:eastAsia="仿宋" w:cs="FangSong_GB2312"/>
          <w:sz w:val="32"/>
          <w:szCs w:val="32"/>
          <w:lang w:val="zh-CN"/>
        </w:rPr>
        <w:t>万元，机关事业单位基本养老保险缴费支出</w:t>
      </w:r>
      <w:r>
        <w:rPr>
          <w:rFonts w:hint="eastAsia" w:ascii="仿宋" w:hAnsi="仿宋" w:eastAsia="仿宋" w:cs="FangSong_GB2312"/>
          <w:sz w:val="32"/>
          <w:szCs w:val="32"/>
          <w:lang w:val="en-US" w:eastAsia="zh-CN"/>
        </w:rPr>
        <w:t>108.48</w:t>
      </w:r>
      <w:r>
        <w:rPr>
          <w:rFonts w:hint="eastAsia" w:ascii="仿宋" w:hAnsi="仿宋" w:eastAsia="仿宋" w:cs="FangSong_GB2312"/>
          <w:sz w:val="32"/>
          <w:szCs w:val="32"/>
          <w:lang w:val="zh-CN"/>
        </w:rPr>
        <w:t>万元，机关事业单位职业年金缴费支出</w:t>
      </w:r>
      <w:r>
        <w:rPr>
          <w:rFonts w:hint="eastAsia" w:ascii="仿宋" w:hAnsi="仿宋" w:eastAsia="仿宋" w:cs="FangSong_GB2312"/>
          <w:sz w:val="32"/>
          <w:szCs w:val="32"/>
          <w:lang w:val="en-US" w:eastAsia="zh-CN"/>
        </w:rPr>
        <w:t>54.24</w:t>
      </w:r>
      <w:r>
        <w:rPr>
          <w:rFonts w:hint="eastAsia" w:ascii="仿宋" w:hAnsi="仿宋" w:eastAsia="仿宋" w:cs="FangSong_GB2312"/>
          <w:sz w:val="32"/>
          <w:szCs w:val="32"/>
          <w:lang w:val="zh-CN"/>
        </w:rPr>
        <w:t>万元，行政单位医疗</w:t>
      </w:r>
      <w:r>
        <w:rPr>
          <w:rFonts w:hint="eastAsia" w:ascii="仿宋" w:hAnsi="仿宋" w:eastAsia="仿宋" w:cs="FangSong_GB2312"/>
          <w:sz w:val="32"/>
          <w:szCs w:val="32"/>
          <w:lang w:val="en-US" w:eastAsia="zh-CN"/>
        </w:rPr>
        <w:t>58.14</w:t>
      </w:r>
      <w:r>
        <w:rPr>
          <w:rFonts w:hint="eastAsia" w:ascii="仿宋" w:hAnsi="仿宋" w:eastAsia="仿宋" w:cs="FangSong_GB2312"/>
          <w:sz w:val="32"/>
          <w:szCs w:val="32"/>
          <w:lang w:val="zh-CN"/>
        </w:rPr>
        <w:t>万元，公务员医疗补助</w:t>
      </w:r>
      <w:r>
        <w:rPr>
          <w:rFonts w:hint="eastAsia" w:ascii="仿宋" w:hAnsi="仿宋" w:eastAsia="仿宋" w:cs="FangSong_GB2312"/>
          <w:sz w:val="32"/>
          <w:szCs w:val="32"/>
          <w:lang w:val="en-US" w:eastAsia="zh-CN"/>
        </w:rPr>
        <w:t>10.39</w:t>
      </w:r>
      <w:r>
        <w:rPr>
          <w:rFonts w:hint="eastAsia" w:ascii="仿宋" w:hAnsi="仿宋" w:eastAsia="仿宋" w:cs="FangSong_GB2312"/>
          <w:sz w:val="32"/>
          <w:szCs w:val="32"/>
          <w:lang w:val="zh-CN"/>
        </w:rPr>
        <w:t>万元，住房公积金</w:t>
      </w:r>
      <w:r>
        <w:rPr>
          <w:rFonts w:hint="eastAsia" w:ascii="仿宋" w:hAnsi="仿宋" w:eastAsia="仿宋" w:cs="FangSong_GB2312"/>
          <w:sz w:val="32"/>
          <w:szCs w:val="32"/>
          <w:lang w:val="en-US" w:eastAsia="zh-CN"/>
        </w:rPr>
        <w:t>103.43</w:t>
      </w:r>
      <w:r>
        <w:rPr>
          <w:rFonts w:hint="eastAsia" w:ascii="仿宋" w:hAnsi="仿宋" w:eastAsia="仿宋" w:cs="FangSong_GB2312"/>
          <w:sz w:val="32"/>
          <w:szCs w:val="32"/>
          <w:lang w:val="zh-CN"/>
        </w:rPr>
        <w:t>万元</w:t>
      </w:r>
      <w:r>
        <w:rPr>
          <w:rFonts w:hint="eastAsia" w:ascii="仿宋" w:hAnsi="仿宋" w:eastAsia="仿宋" w:cs="FangSong_GB2312"/>
          <w:sz w:val="32"/>
          <w:szCs w:val="32"/>
        </w:rPr>
        <w:t>，完成了年初制定的任务。</w:t>
      </w:r>
    </w:p>
    <w:p w14:paraId="0E090107">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b/>
          <w:bCs/>
          <w:sz w:val="32"/>
          <w:szCs w:val="32"/>
          <w:lang w:val="zh-CN" w:eastAsia="zh-CN"/>
        </w:rPr>
        <w:t>（三）</w:t>
      </w:r>
      <w:r>
        <w:rPr>
          <w:rFonts w:hint="eastAsia" w:ascii="仿宋" w:hAnsi="仿宋" w:eastAsia="仿宋" w:cs="FangSong_GB2312"/>
          <w:b/>
          <w:bCs/>
          <w:sz w:val="32"/>
          <w:szCs w:val="32"/>
          <w:lang w:val="en-US" w:eastAsia="zh-CN"/>
        </w:rPr>
        <w:t>结余分配和结转结余情况。</w:t>
      </w:r>
      <w:r>
        <w:rPr>
          <w:rFonts w:hint="eastAsia" w:ascii="仿宋" w:hAnsi="仿宋" w:eastAsia="仿宋" w:cs="FangSong_GB2312"/>
          <w:sz w:val="32"/>
          <w:szCs w:val="32"/>
          <w:lang w:val="zh-CN"/>
        </w:rPr>
        <w:t>若尔盖县人民法院202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年决算报表结转结余</w:t>
      </w:r>
      <w:r>
        <w:rPr>
          <w:rFonts w:hint="eastAsia" w:ascii="仿宋" w:hAnsi="仿宋" w:eastAsia="仿宋" w:cs="FangSong_GB2312"/>
          <w:sz w:val="32"/>
          <w:szCs w:val="32"/>
          <w:lang w:val="en-US" w:eastAsia="zh-CN"/>
        </w:rPr>
        <w:t>30.31万</w:t>
      </w:r>
      <w:r>
        <w:rPr>
          <w:rFonts w:hint="eastAsia" w:ascii="仿宋" w:hAnsi="仿宋" w:eastAsia="仿宋" w:cs="FangSong_GB2312"/>
          <w:sz w:val="32"/>
          <w:szCs w:val="32"/>
          <w:lang w:val="zh-CN"/>
        </w:rPr>
        <w:t>元。</w:t>
      </w:r>
    </w:p>
    <w:p w14:paraId="7A38B8A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62523CD3">
      <w:pPr>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contextualSpacing/>
        <w:jc w:val="left"/>
        <w:textAlignment w:val="auto"/>
        <w:rPr>
          <w:color w:val="000000"/>
          <w:kern w:val="0"/>
          <w:sz w:val="32"/>
          <w:szCs w:val="32"/>
          <w:shd w:val="clear" w:color="auto" w:fill="FFFFFF"/>
          <w:lang w:val="zh-CN"/>
        </w:rPr>
      </w:pPr>
      <w:r>
        <w:rPr>
          <w:rFonts w:eastAsia="KaiTi_GB2312"/>
          <w:b/>
          <w:bCs/>
          <w:color w:val="000000"/>
          <w:kern w:val="0"/>
          <w:sz w:val="32"/>
          <w:szCs w:val="32"/>
          <w:shd w:val="clear" w:color="auto" w:fill="FFFFFF"/>
          <w:lang w:val="zh-CN"/>
        </w:rPr>
        <w:t>（一）部门预算总体绩效分析。</w:t>
      </w:r>
    </w:p>
    <w:p w14:paraId="57D685A1">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contextualSpacing/>
        <w:jc w:val="left"/>
        <w:textAlignment w:val="auto"/>
        <w:rPr>
          <w:color w:val="000000"/>
          <w:kern w:val="0"/>
          <w:sz w:val="32"/>
          <w:szCs w:val="32"/>
          <w:shd w:val="clear" w:color="auto" w:fill="FFFFFF"/>
          <w:lang w:val="zh-CN"/>
        </w:rPr>
      </w:pPr>
      <w:r>
        <w:rPr>
          <w:rFonts w:eastAsia="KaiTi_GB2312"/>
          <w:color w:val="000000"/>
          <w:kern w:val="0"/>
          <w:sz w:val="32"/>
          <w:szCs w:val="32"/>
          <w:shd w:val="clear" w:color="auto" w:fill="FFFFFF"/>
        </w:rPr>
        <w:t>1.</w:t>
      </w:r>
      <w:r>
        <w:rPr>
          <w:rFonts w:eastAsia="KaiTi_GB2312"/>
          <w:color w:val="000000"/>
          <w:kern w:val="0"/>
          <w:sz w:val="32"/>
          <w:szCs w:val="32"/>
          <w:shd w:val="clear" w:color="auto" w:fill="FFFFFF"/>
          <w:lang w:val="zh-CN"/>
        </w:rPr>
        <w:t>履职效能。</w:t>
      </w:r>
    </w:p>
    <w:tbl>
      <w:tblPr>
        <w:tblStyle w:val="16"/>
        <w:tblW w:w="73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1710"/>
        <w:gridCol w:w="2340"/>
        <w:gridCol w:w="2161"/>
      </w:tblGrid>
      <w:tr w14:paraId="6174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3FD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27D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9C8F">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56EC">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指标值（包括数字及文字描述）</w:t>
            </w:r>
          </w:p>
        </w:tc>
      </w:tr>
      <w:tr w14:paraId="33DF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3D56">
            <w:pPr>
              <w:keepNext w:val="0"/>
              <w:keepLines w:val="0"/>
              <w:widowControl/>
              <w:suppressLineNumbers w:val="0"/>
              <w:jc w:val="left"/>
              <w:textAlignment w:val="center"/>
              <w:rPr>
                <w:rFonts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8C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6BD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案件平均审理天数</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174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≤50天</w:t>
            </w:r>
          </w:p>
        </w:tc>
      </w:tr>
      <w:tr w14:paraId="4FCC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B5E6">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824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DD9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案件审结完成率</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52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r>
      <w:tr w14:paraId="347A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DFBD">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F35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CE2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上诉率</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19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r>
      <w:tr w14:paraId="7728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B767">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E81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FAB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两庭及装备更新维护合格率</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0C41">
            <w:pPr>
              <w:keepNext w:val="0"/>
              <w:keepLines w:val="0"/>
              <w:widowControl/>
              <w:suppressLineNumbers w:val="0"/>
              <w:jc w:val="left"/>
              <w:textAlignment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=100%</w:t>
            </w:r>
          </w:p>
        </w:tc>
      </w:tr>
      <w:tr w14:paraId="3600F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323E">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0A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82F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提升司法公信</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99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有效提升</w:t>
            </w:r>
          </w:p>
        </w:tc>
      </w:tr>
      <w:tr w14:paraId="593E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7E21">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74B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C08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民事案件调解率</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DBB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≥65%</w:t>
            </w:r>
          </w:p>
        </w:tc>
      </w:tr>
    </w:tbl>
    <w:p w14:paraId="22BAB27B">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年案件平均审理天数</w:t>
      </w:r>
      <w:r>
        <w:rPr>
          <w:rFonts w:hint="eastAsia" w:ascii="仿宋" w:hAnsi="仿宋" w:eastAsia="仿宋" w:cs="FangSong_GB2312"/>
          <w:sz w:val="32"/>
          <w:szCs w:val="32"/>
          <w:lang w:val="en-US" w:eastAsia="zh-CN"/>
        </w:rPr>
        <w:t>36.33</w:t>
      </w:r>
      <w:r>
        <w:rPr>
          <w:rFonts w:hint="eastAsia" w:ascii="仿宋" w:hAnsi="仿宋" w:eastAsia="仿宋" w:cs="FangSong_GB2312"/>
          <w:sz w:val="32"/>
          <w:szCs w:val="32"/>
          <w:lang w:val="zh-CN"/>
        </w:rPr>
        <w:t>天，达到目标值，案件审结完成率</w:t>
      </w:r>
      <w:r>
        <w:rPr>
          <w:rFonts w:hint="eastAsia" w:ascii="仿宋" w:hAnsi="仿宋" w:eastAsia="仿宋" w:cs="FangSong_GB2312"/>
          <w:sz w:val="32"/>
          <w:szCs w:val="32"/>
          <w:lang w:val="en-US" w:eastAsia="zh-CN"/>
        </w:rPr>
        <w:t>98.86</w:t>
      </w:r>
      <w:r>
        <w:rPr>
          <w:rFonts w:hint="eastAsia" w:ascii="仿宋" w:hAnsi="仿宋" w:eastAsia="仿宋" w:cs="FangSong_GB2312"/>
          <w:sz w:val="32"/>
          <w:szCs w:val="32"/>
          <w:lang w:val="zh-CN"/>
        </w:rPr>
        <w:t>%，达到目标值，</w:t>
      </w:r>
      <w:r>
        <w:rPr>
          <w:rFonts w:hint="eastAsia" w:ascii="仿宋" w:hAnsi="仿宋" w:eastAsia="仿宋" w:cs="FangSong_GB2312"/>
          <w:sz w:val="32"/>
          <w:szCs w:val="32"/>
          <w:lang w:val="en-US" w:eastAsia="zh-CN"/>
        </w:rPr>
        <w:t>上诉率6.19%，</w:t>
      </w:r>
      <w:r>
        <w:rPr>
          <w:rFonts w:hint="eastAsia" w:ascii="仿宋" w:hAnsi="仿宋" w:eastAsia="仿宋" w:cs="FangSong_GB2312"/>
          <w:sz w:val="32"/>
          <w:szCs w:val="32"/>
          <w:lang w:val="zh-CN"/>
        </w:rPr>
        <w:t>达到目标值，两庭及装备更新维护合格率</w:t>
      </w:r>
      <w:r>
        <w:rPr>
          <w:rFonts w:hint="eastAsia" w:ascii="仿宋" w:hAnsi="仿宋" w:eastAsia="仿宋" w:cs="FangSong_GB2312"/>
          <w:sz w:val="32"/>
          <w:szCs w:val="32"/>
          <w:lang w:val="en-US" w:eastAsia="zh-CN"/>
        </w:rPr>
        <w:t>=</w:t>
      </w:r>
      <w:r>
        <w:rPr>
          <w:rFonts w:hint="eastAsia" w:ascii="仿宋" w:hAnsi="仿宋" w:eastAsia="仿宋" w:cs="FangSong_GB2312"/>
          <w:sz w:val="32"/>
          <w:szCs w:val="32"/>
          <w:lang w:val="zh-CN"/>
        </w:rPr>
        <w:t>100%，达到目标值，有效</w:t>
      </w:r>
      <w:r>
        <w:rPr>
          <w:rFonts w:hint="eastAsia" w:ascii="仿宋" w:hAnsi="仿宋" w:eastAsia="仿宋" w:cs="FangSong_GB2312"/>
          <w:sz w:val="32"/>
          <w:szCs w:val="32"/>
          <w:lang w:val="en-US" w:eastAsia="zh-CN"/>
        </w:rPr>
        <w:t>提升司法公信，</w:t>
      </w:r>
      <w:r>
        <w:rPr>
          <w:rFonts w:hint="eastAsia" w:ascii="仿宋" w:hAnsi="仿宋" w:eastAsia="仿宋" w:cs="FangSong_GB2312"/>
          <w:sz w:val="32"/>
          <w:szCs w:val="32"/>
          <w:lang w:val="zh-CN"/>
        </w:rPr>
        <w:t>达到目标值，</w:t>
      </w:r>
      <w:r>
        <w:rPr>
          <w:rFonts w:hint="eastAsia" w:ascii="仿宋" w:hAnsi="仿宋" w:eastAsia="仿宋" w:cs="FangSong_GB2312"/>
          <w:sz w:val="32"/>
          <w:szCs w:val="32"/>
          <w:lang w:val="en-US" w:eastAsia="zh-CN"/>
        </w:rPr>
        <w:t>民事案件调解率69.58%，</w:t>
      </w:r>
      <w:r>
        <w:rPr>
          <w:rFonts w:hint="eastAsia" w:ascii="仿宋" w:hAnsi="仿宋" w:eastAsia="仿宋" w:cs="FangSong_GB2312"/>
          <w:sz w:val="32"/>
          <w:szCs w:val="32"/>
          <w:lang w:val="zh-CN"/>
        </w:rPr>
        <w:t>达到目标值。</w:t>
      </w:r>
    </w:p>
    <w:p w14:paraId="6431EE39">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eastAsia="KaiTi_GB2312"/>
          <w:color w:val="000000"/>
          <w:kern w:val="0"/>
          <w:sz w:val="32"/>
          <w:szCs w:val="32"/>
          <w:shd w:val="clear" w:color="auto" w:fill="FFFFFF"/>
          <w:lang w:val="zh-CN"/>
        </w:rPr>
      </w:pPr>
      <w:r>
        <w:rPr>
          <w:rFonts w:hint="eastAsia" w:eastAsia="KaiTi_GB2312"/>
          <w:color w:val="000000"/>
          <w:kern w:val="0"/>
          <w:sz w:val="32"/>
          <w:szCs w:val="32"/>
          <w:shd w:val="clear" w:color="auto" w:fill="FFFFFF"/>
          <w:lang w:val="en-US" w:eastAsia="zh-CN"/>
        </w:rPr>
        <w:t>2.</w:t>
      </w:r>
      <w:r>
        <w:rPr>
          <w:rFonts w:eastAsia="KaiTi_GB2312"/>
          <w:color w:val="000000"/>
          <w:kern w:val="0"/>
          <w:sz w:val="32"/>
          <w:szCs w:val="32"/>
          <w:shd w:val="clear" w:color="auto" w:fill="FFFFFF"/>
          <w:lang w:val="zh-CN"/>
        </w:rPr>
        <w:t>预算管理。</w:t>
      </w:r>
    </w:p>
    <w:p w14:paraId="07B9B379">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预算编制质量：预决算编制工作严格按照财政局要求，及时完成基础库、项目库的编制，并及时报送财政审核，预决算编制工作有专人负责、专人审核，做到了完整性、准确性、正确性的基本要求。</w:t>
      </w:r>
    </w:p>
    <w:p w14:paraId="6EB7E8DC">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单位收入统筹：按照上级法院的要求，在与财政局协调后，采取将自有收入全额缴入财政代管账户管理，使用资金需要经过上级单位同意，原则上主要用于改善办案办公环境相关的项目建设。</w:t>
      </w:r>
    </w:p>
    <w:p w14:paraId="37006917">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支出执行进度：截止202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年6月，我院资金执行金额为642.3万元，实际支出进度为</w:t>
      </w:r>
      <w:r>
        <w:rPr>
          <w:rFonts w:hint="eastAsia" w:ascii="仿宋" w:hAnsi="仿宋" w:eastAsia="仿宋" w:cs="FangSong_GB2312"/>
          <w:sz w:val="32"/>
          <w:szCs w:val="32"/>
          <w:lang w:val="en-US" w:eastAsia="zh-CN"/>
        </w:rPr>
        <w:t>36.44</w:t>
      </w:r>
      <w:r>
        <w:rPr>
          <w:rFonts w:hint="eastAsia" w:ascii="仿宋" w:hAnsi="仿宋" w:eastAsia="仿宋" w:cs="FangSong_GB2312"/>
          <w:sz w:val="32"/>
          <w:szCs w:val="32"/>
          <w:lang w:val="zh-CN"/>
        </w:rPr>
        <w:t>%。截止202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年10月，我院资金执行金额为1244.3万元，实际支出进度为</w:t>
      </w:r>
      <w:r>
        <w:rPr>
          <w:rFonts w:hint="eastAsia" w:ascii="仿宋" w:hAnsi="仿宋" w:eastAsia="仿宋" w:cs="FangSong_GB2312"/>
          <w:sz w:val="32"/>
          <w:szCs w:val="32"/>
          <w:lang w:val="en-US" w:eastAsia="zh-CN"/>
        </w:rPr>
        <w:t>70.59</w:t>
      </w:r>
      <w:r>
        <w:rPr>
          <w:rFonts w:hint="eastAsia" w:ascii="仿宋" w:hAnsi="仿宋" w:eastAsia="仿宋" w:cs="FangSong_GB2312"/>
          <w:sz w:val="32"/>
          <w:szCs w:val="32"/>
          <w:lang w:val="zh-CN"/>
        </w:rPr>
        <w:t>%。截止202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年12月，我院资金执行金额为</w:t>
      </w:r>
      <w:r>
        <w:rPr>
          <w:rFonts w:hint="eastAsia" w:ascii="仿宋" w:hAnsi="仿宋" w:eastAsia="仿宋" w:cs="FangSong_GB2312"/>
          <w:sz w:val="32"/>
          <w:szCs w:val="32"/>
          <w:lang w:val="en-US" w:eastAsia="zh-CN"/>
        </w:rPr>
        <w:t>1,762.64</w:t>
      </w:r>
      <w:r>
        <w:rPr>
          <w:rFonts w:hint="eastAsia" w:ascii="仿宋" w:hAnsi="仿宋" w:eastAsia="仿宋" w:cs="FangSong_GB2312"/>
          <w:sz w:val="32"/>
          <w:szCs w:val="32"/>
          <w:lang w:val="zh-CN"/>
        </w:rPr>
        <w:t>万元，实际支出进度为100%。</w:t>
      </w:r>
    </w:p>
    <w:p w14:paraId="4BBADA9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rPr>
      </w:pPr>
      <w:r>
        <w:rPr>
          <w:rFonts w:hint="eastAsia" w:ascii="仿宋" w:hAnsi="仿宋" w:eastAsia="仿宋" w:cs="FangSong_GB2312"/>
          <w:sz w:val="32"/>
          <w:szCs w:val="32"/>
          <w:lang w:val="zh-CN"/>
        </w:rPr>
        <w:t>严控一般性支出进行绩效：对公务用车实行定点维修、定点加油、统一管理。申请公务用必须填写派车单，经院领导审批后，由办公室根据出差里程核定油量并开具加油单到指定地点加油，通过以上制度，有效的控制了车辆油耗，降低了运行成本，并且定期对公务用车经费进行公示，接受监督。公务接待采取事前审批制度，凡公务来客由牵头部门主要负责人，对照《若尔盖县人民法院来客招待管理制度》规定，符合招待条件的在报告分管院领导后填写招待申请单，说明招待的理由、来客人数、确定参陪人员名单，经院长批准后，交办公室联系定点饭店，确定标准，安排就餐。</w:t>
      </w:r>
    </w:p>
    <w:p w14:paraId="51DC73B1">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eastAsia="KaiTi_GB2312"/>
          <w:color w:val="000000"/>
          <w:kern w:val="0"/>
          <w:sz w:val="32"/>
          <w:szCs w:val="32"/>
          <w:shd w:val="clear" w:color="auto" w:fill="FFFFFF"/>
          <w:lang w:val="zh-CN"/>
        </w:rPr>
      </w:pPr>
      <w:r>
        <w:rPr>
          <w:rFonts w:hint="eastAsia" w:eastAsia="KaiTi_GB2312"/>
          <w:color w:val="000000"/>
          <w:kern w:val="0"/>
          <w:sz w:val="32"/>
          <w:szCs w:val="32"/>
          <w:shd w:val="clear" w:color="auto" w:fill="FFFFFF"/>
          <w:lang w:val="en-US" w:eastAsia="zh-CN"/>
        </w:rPr>
        <w:t>3.</w:t>
      </w:r>
      <w:r>
        <w:rPr>
          <w:rFonts w:eastAsia="KaiTi_GB2312"/>
          <w:color w:val="000000"/>
          <w:kern w:val="0"/>
          <w:sz w:val="32"/>
          <w:szCs w:val="32"/>
          <w:shd w:val="clear" w:color="auto" w:fill="FFFFFF"/>
          <w:lang w:val="zh-CN"/>
        </w:rPr>
        <w:t>财务管理。</w:t>
      </w:r>
    </w:p>
    <w:p w14:paraId="7E3CA808">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围绕财务管理制度：我院严格业务处理程序的管理，严格财务审批制度，按照《行政单位会计制度》和《行政单位财务规则》规定设置会计账簿、会计科目，能够准确反映各项收支活动。</w:t>
      </w:r>
    </w:p>
    <w:p w14:paraId="65F94F24">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我院以抓制度建设为重点,完善了会计人员岗位责任制、财务处理程序制度、内控制度、财务收支审批制度、会计档案管理制度等相关制度。各项制度明确财务管理的目的、界定财务管理的职责、整合财务管理的程序，从而进一步完善了财务管理制度，规范了财务管理行为。</w:t>
      </w:r>
    </w:p>
    <w:p w14:paraId="3A4CCA70">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en-US" w:eastAsia="zh-CN"/>
        </w:rPr>
      </w:pPr>
      <w:r>
        <w:rPr>
          <w:rFonts w:hint="eastAsia" w:ascii="仿宋" w:hAnsi="仿宋" w:eastAsia="仿宋" w:cs="FangSong_GB2312"/>
          <w:sz w:val="32"/>
          <w:szCs w:val="32"/>
          <w:lang w:val="zh-CN"/>
        </w:rPr>
        <w:t>财务岗位设置：合理设置财务工作岗位，明确职责权限，并严格实行不相容岗位分离</w:t>
      </w:r>
      <w:r>
        <w:rPr>
          <w:rFonts w:hint="eastAsia" w:ascii="仿宋" w:hAnsi="仿宋" w:eastAsia="仿宋" w:cs="FangSong_GB2312"/>
          <w:sz w:val="32"/>
          <w:szCs w:val="32"/>
          <w:lang w:val="zh-CN" w:eastAsia="zh-CN"/>
        </w:rPr>
        <w:t>。</w:t>
      </w:r>
    </w:p>
    <w:p w14:paraId="4D3D31D6">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资金使用规范：严格依据相关财务管理制度规定使用资金，202</w:t>
      </w:r>
      <w:r>
        <w:rPr>
          <w:rFonts w:hint="eastAsia" w:ascii="仿宋" w:hAnsi="仿宋" w:eastAsia="仿宋" w:cs="FangSong_GB2312"/>
          <w:sz w:val="32"/>
          <w:szCs w:val="32"/>
          <w:lang w:val="en-US" w:eastAsia="zh-CN"/>
        </w:rPr>
        <w:t>5</w:t>
      </w:r>
      <w:r>
        <w:rPr>
          <w:rFonts w:hint="eastAsia" w:ascii="仿宋" w:hAnsi="仿宋" w:eastAsia="仿宋" w:cs="FangSong_GB2312"/>
          <w:sz w:val="32"/>
          <w:szCs w:val="32"/>
          <w:lang w:val="zh-CN"/>
        </w:rPr>
        <w:t>年未发现违规使用资金的情况。</w:t>
      </w:r>
    </w:p>
    <w:p w14:paraId="5FFE1376">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eastAsia="KaiTi_GB2312"/>
          <w:color w:val="000000" w:themeColor="text1"/>
          <w:kern w:val="0"/>
          <w:sz w:val="32"/>
          <w:szCs w:val="32"/>
          <w:shd w:val="clear" w:color="auto" w:fill="FFFFFF"/>
          <w:lang w:val="zh-CN"/>
          <w14:textFill>
            <w14:solidFill>
              <w14:schemeClr w14:val="tx1"/>
            </w14:solidFill>
          </w14:textFill>
        </w:rPr>
      </w:pPr>
      <w:r>
        <w:rPr>
          <w:rFonts w:eastAsia="KaiTi_GB2312"/>
          <w:color w:val="000000" w:themeColor="text1"/>
          <w:kern w:val="0"/>
          <w:sz w:val="32"/>
          <w:szCs w:val="32"/>
          <w:shd w:val="clear" w:color="auto" w:fill="FFFFFF"/>
          <w14:textFill>
            <w14:solidFill>
              <w14:schemeClr w14:val="tx1"/>
            </w14:solidFill>
          </w14:textFill>
        </w:rPr>
        <w:t>4.</w:t>
      </w:r>
      <w:r>
        <w:rPr>
          <w:rFonts w:eastAsia="KaiTi_GB2312"/>
          <w:color w:val="000000" w:themeColor="text1"/>
          <w:kern w:val="0"/>
          <w:sz w:val="32"/>
          <w:szCs w:val="32"/>
          <w:shd w:val="clear" w:color="auto" w:fill="FFFFFF"/>
          <w:lang w:val="zh-CN"/>
          <w14:textFill>
            <w14:solidFill>
              <w14:schemeClr w14:val="tx1"/>
            </w14:solidFill>
          </w14:textFill>
        </w:rPr>
        <w:t>资产管理。</w:t>
      </w:r>
    </w:p>
    <w:p w14:paraId="711718C5">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加强对国有资产的管理，要求单位财务人员及时登记资产账务，建立资产明细卡片，注明购入时间，使用时间和价值等，并由单位专人负责对资产的领用、入库进行管理，对于报废资产，首先进行登记，并报财政局进行审核，根据批复进行账务核销，同时由财务人员每年对使用的资产进行核对。</w:t>
      </w:r>
    </w:p>
    <w:p w14:paraId="4ECEFEF1">
      <w:pPr>
        <w:pStyle w:val="27"/>
        <w:keepNext w:val="0"/>
        <w:keepLines w:val="0"/>
        <w:pageBreakBefore w:val="0"/>
        <w:widowControl w:val="0"/>
        <w:tabs>
          <w:tab w:val="left" w:pos="312"/>
        </w:tabs>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color w:val="000000" w:themeColor="text1"/>
          <w:sz w:val="32"/>
          <w:szCs w:val="32"/>
          <w:lang w:val="zh-CN"/>
          <w14:textFill>
            <w14:solidFill>
              <w14:schemeClr w14:val="tx1"/>
            </w14:solidFill>
          </w14:textFill>
        </w:rPr>
      </w:pPr>
      <w:r>
        <w:rPr>
          <w:rFonts w:hint="eastAsia" w:eastAsia="KaiTi_GB2312"/>
          <w:color w:val="000000" w:themeColor="text1"/>
          <w:kern w:val="0"/>
          <w:sz w:val="32"/>
          <w:szCs w:val="32"/>
          <w:shd w:val="clear" w:color="auto" w:fill="FFFFFF"/>
          <w14:textFill>
            <w14:solidFill>
              <w14:schemeClr w14:val="tx1"/>
            </w14:solidFill>
          </w14:textFill>
        </w:rPr>
        <w:t>5</w:t>
      </w:r>
      <w:r>
        <w:rPr>
          <w:rFonts w:eastAsia="KaiTi_GB2312"/>
          <w:color w:val="000000" w:themeColor="text1"/>
          <w:kern w:val="0"/>
          <w:sz w:val="32"/>
          <w:szCs w:val="32"/>
          <w:shd w:val="clear" w:color="auto" w:fill="FFFFFF"/>
          <w14:textFill>
            <w14:solidFill>
              <w14:schemeClr w14:val="tx1"/>
            </w14:solidFill>
          </w14:textFill>
        </w:rPr>
        <w:t>.</w:t>
      </w:r>
      <w:r>
        <w:rPr>
          <w:rFonts w:eastAsia="KaiTi_GB2312"/>
          <w:color w:val="000000" w:themeColor="text1"/>
          <w:kern w:val="0"/>
          <w:sz w:val="32"/>
          <w:szCs w:val="32"/>
          <w:shd w:val="clear" w:color="auto" w:fill="FFFFFF"/>
          <w:lang w:val="zh-CN"/>
          <w14:textFill>
            <w14:solidFill>
              <w14:schemeClr w14:val="tx1"/>
            </w14:solidFill>
          </w14:textFill>
        </w:rPr>
        <w:t>采购管理。</w:t>
      </w:r>
    </w:p>
    <w:p w14:paraId="623A5DEB">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eastAsia="zh-CN"/>
        </w:rPr>
      </w:pPr>
      <w:r>
        <w:rPr>
          <w:rFonts w:hint="eastAsia" w:ascii="仿宋" w:hAnsi="仿宋" w:eastAsia="仿宋" w:cs="FangSong_GB2312"/>
          <w:sz w:val="32"/>
          <w:szCs w:val="32"/>
          <w:lang w:val="zh-CN"/>
        </w:rPr>
        <w:t>按照政府采购的目录范围和有关金额限定的规定，依据不同情况分别选择政府集中采购、部门集中采购、公开招标等方式进行采购，做到凡纳入政府采购范围的，均选择政府采购方式，依政府采购程序进行采购；凡没有达到政府采购金额起点或在政府采购范围外的，执行院内采购有关规定，小额零星采购则由办公室依据规定直接采购。院内采购参照政府采购程序制定，有资格审核、开标评标、发出中标通知、签订协议等采购程序</w:t>
      </w:r>
      <w:r>
        <w:rPr>
          <w:rFonts w:hint="eastAsia" w:ascii="仿宋" w:hAnsi="仿宋" w:eastAsia="仿宋" w:cs="FangSong_GB2312"/>
          <w:sz w:val="32"/>
          <w:szCs w:val="32"/>
          <w:lang w:val="zh-CN" w:eastAsia="zh-CN"/>
        </w:rPr>
        <w:t>。</w:t>
      </w:r>
    </w:p>
    <w:p w14:paraId="10382342">
      <w:pPr>
        <w:pStyle w:val="27"/>
        <w:keepNext w:val="0"/>
        <w:keepLines w:val="0"/>
        <w:pageBreakBefore w:val="0"/>
        <w:widowControl w:val="0"/>
        <w:kinsoku/>
        <w:wordWrap/>
        <w:overflowPunct/>
        <w:topLinePunct w:val="0"/>
        <w:autoSpaceDE/>
        <w:autoSpaceDN/>
        <w:bidi w:val="0"/>
        <w:adjustRightInd w:val="0"/>
        <w:snapToGrid w:val="0"/>
        <w:spacing w:line="600" w:lineRule="exact"/>
        <w:ind w:left="0" w:firstLine="643" w:firstLineChars="200"/>
        <w:contextualSpacing/>
        <w:jc w:val="left"/>
        <w:textAlignment w:val="auto"/>
        <w:rPr>
          <w:rFonts w:eastAsia="KaiTi_GB2312"/>
          <w:b/>
          <w:bCs/>
          <w:color w:val="000000" w:themeColor="text1"/>
          <w:kern w:val="0"/>
          <w:sz w:val="32"/>
          <w:szCs w:val="32"/>
          <w:shd w:val="clear" w:color="auto" w:fill="FFFFFF"/>
          <w:lang w:val="zh-CN"/>
          <w14:textFill>
            <w14:solidFill>
              <w14:schemeClr w14:val="tx1"/>
            </w14:solidFill>
          </w14:textFill>
        </w:rPr>
      </w:pPr>
      <w:r>
        <w:rPr>
          <w:rFonts w:eastAsia="KaiTi_GB2312"/>
          <w:b/>
          <w:bCs/>
          <w:color w:val="000000"/>
          <w:kern w:val="0"/>
          <w:sz w:val="32"/>
          <w:szCs w:val="32"/>
          <w:shd w:val="clear" w:color="auto" w:fill="FFFFFF"/>
          <w:lang w:val="zh-CN"/>
        </w:rPr>
        <w:t>（二）</w:t>
      </w:r>
      <w:r>
        <w:rPr>
          <w:rFonts w:eastAsia="KaiTi_GB2312"/>
          <w:b/>
          <w:bCs/>
          <w:color w:val="000000" w:themeColor="text1"/>
          <w:kern w:val="0"/>
          <w:sz w:val="32"/>
          <w:szCs w:val="32"/>
          <w:shd w:val="clear" w:color="auto" w:fill="FFFFFF"/>
          <w:lang w:val="zh-CN"/>
          <w14:textFill>
            <w14:solidFill>
              <w14:schemeClr w14:val="tx1"/>
            </w14:solidFill>
          </w14:textFill>
        </w:rPr>
        <w:t>部门预算项目绩效分析。</w:t>
      </w:r>
    </w:p>
    <w:p w14:paraId="6D36C786">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填报以下数据，并根据部门预算绩效评价指标体系“项目绩效”涉及二、三级指标进行逐项绩效分析并评分，依次包括项目决策、项目执行、目标实现等情况。</w:t>
      </w:r>
    </w:p>
    <w:p w14:paraId="26AB9703">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常年项目绩效分析。该类项目总数</w:t>
      </w:r>
      <w:r>
        <w:rPr>
          <w:rFonts w:hint="eastAsia" w:ascii="仿宋" w:hAnsi="仿宋" w:eastAsia="仿宋" w:cs="FangSong_GB2312"/>
          <w:sz w:val="32"/>
          <w:szCs w:val="32"/>
          <w:lang w:val="en-US" w:eastAsia="zh-CN"/>
        </w:rPr>
        <w:t>7</w:t>
      </w:r>
      <w:r>
        <w:rPr>
          <w:rFonts w:hint="eastAsia" w:ascii="仿宋" w:hAnsi="仿宋" w:eastAsia="仿宋" w:cs="FangSong_GB2312"/>
          <w:sz w:val="32"/>
          <w:szCs w:val="32"/>
          <w:lang w:val="zh-CN"/>
        </w:rPr>
        <w:t>个，涉及预算总金额</w:t>
      </w:r>
      <w:r>
        <w:rPr>
          <w:rFonts w:hint="eastAsia" w:ascii="仿宋" w:hAnsi="仿宋" w:eastAsia="仿宋" w:cs="FangSong_GB2312"/>
          <w:sz w:val="32"/>
          <w:szCs w:val="32"/>
          <w:lang w:val="en-US" w:eastAsia="zh-CN"/>
        </w:rPr>
        <w:t>667.83</w:t>
      </w:r>
      <w:r>
        <w:rPr>
          <w:rFonts w:hint="eastAsia" w:ascii="仿宋" w:hAnsi="仿宋" w:eastAsia="仿宋" w:cs="FangSong_GB2312"/>
          <w:sz w:val="32"/>
          <w:szCs w:val="32"/>
          <w:lang w:val="zh-CN"/>
        </w:rPr>
        <w:t>万元，1—12月预算执行总体进度为</w:t>
      </w:r>
      <w:r>
        <w:rPr>
          <w:rFonts w:hint="eastAsia" w:ascii="仿宋" w:hAnsi="仿宋" w:eastAsia="仿宋" w:cs="FangSong_GB2312"/>
          <w:sz w:val="32"/>
          <w:szCs w:val="32"/>
          <w:lang w:val="en-US" w:eastAsia="zh-CN"/>
        </w:rPr>
        <w:t>99</w:t>
      </w:r>
      <w:r>
        <w:rPr>
          <w:rFonts w:hint="eastAsia" w:ascii="仿宋" w:hAnsi="仿宋" w:eastAsia="仿宋" w:cs="FangSong_GB2312"/>
          <w:sz w:val="32"/>
          <w:szCs w:val="32"/>
          <w:lang w:val="zh-CN"/>
        </w:rPr>
        <w:t>%，其中：预算结余率大于10%的项目共计0个。</w:t>
      </w:r>
    </w:p>
    <w:p w14:paraId="05C0484B">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sz w:val="32"/>
          <w:szCs w:val="32"/>
          <w:lang w:val="zh-CN"/>
        </w:rPr>
      </w:pPr>
      <w:r>
        <w:rPr>
          <w:rFonts w:hint="eastAsia" w:ascii="仿宋" w:hAnsi="仿宋" w:eastAsia="仿宋" w:cs="FangSong_GB2312"/>
          <w:sz w:val="32"/>
          <w:szCs w:val="32"/>
          <w:lang w:val="zh-CN"/>
        </w:rPr>
        <w:t>突出年度支出重点，做到计划理财。每年年初，财务部门根据财政批复的年度经费预算，按照 “一个突出，一个确保，一个尽力” （突出重点安排办案经费，确保人员经费，尽力安排项目建设维护经费，并留有余地）编制预算执行计划。在广泛征求意见和建议的基础上，结合本院工作实际，编制机关预算执行计划，经党组审议通过后执行。对日常经费、专项经费统一管理。既体现预算计划的权威性，又实现预算执行可靠性。实际执行过程中，遇有重大临时支出项目，一方面积极与财政协调，争取追加支持；另一方面节约其他经费支出，能省尽省，保障审判执行业务的开展。严格按照财政预算管理要求力争财务管理科学化，财务支出和财务详细报告院长和分管院领导已成为常态。同时加强财务公开，通报经费使用情况，确保各项经费管理落实到实处。因为安排得当管理严格，近几年在案件量和人员大幅增加的情况下，基本保障了审判执行工作和机关正常运行。</w:t>
      </w:r>
    </w:p>
    <w:p w14:paraId="70201B98">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firstLine="643" w:firstLineChars="200"/>
        <w:textAlignment w:val="auto"/>
        <w:rPr>
          <w:rFonts w:ascii="Times New Roman" w:hAnsi="Times New Roman" w:eastAsia="KaiTi_GB2312" w:cs="Times New Roman"/>
          <w:b/>
          <w:bCs/>
          <w:color w:val="000000"/>
          <w:kern w:val="0"/>
          <w:sz w:val="32"/>
          <w:szCs w:val="32"/>
          <w:shd w:val="clear" w:color="auto" w:fill="FFFFFF"/>
          <w:lang w:val="zh-CN" w:eastAsia="zh-CN" w:bidi="ar-SA"/>
        </w:rPr>
      </w:pPr>
      <w:r>
        <w:rPr>
          <w:rFonts w:ascii="Times New Roman" w:hAnsi="Times New Roman" w:eastAsia="KaiTi_GB2312" w:cs="Times New Roman"/>
          <w:b/>
          <w:bCs/>
          <w:color w:val="000000"/>
          <w:kern w:val="0"/>
          <w:sz w:val="32"/>
          <w:szCs w:val="32"/>
          <w:shd w:val="clear" w:color="auto" w:fill="FFFFFF"/>
          <w:lang w:val="zh-CN" w:eastAsia="zh-CN" w:bidi="ar-SA"/>
        </w:rPr>
        <w:t>绩效结果应用情况。</w:t>
      </w:r>
    </w:p>
    <w:p w14:paraId="7602FF89">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b w:val="0"/>
          <w:bCs w:val="0"/>
          <w:sz w:val="32"/>
          <w:szCs w:val="32"/>
          <w:lang w:val="zh-CN"/>
        </w:rPr>
      </w:pPr>
      <w:r>
        <w:rPr>
          <w:rFonts w:hint="eastAsia" w:ascii="仿宋" w:hAnsi="仿宋" w:eastAsia="仿宋" w:cs="FangSong_GB2312"/>
          <w:b w:val="0"/>
          <w:bCs w:val="0"/>
          <w:sz w:val="32"/>
          <w:szCs w:val="32"/>
          <w:lang w:val="zh-CN"/>
        </w:rPr>
        <w:t>202</w:t>
      </w:r>
      <w:r>
        <w:rPr>
          <w:rFonts w:hint="eastAsia" w:ascii="仿宋" w:hAnsi="仿宋" w:eastAsia="仿宋" w:cs="FangSong_GB2312"/>
          <w:b w:val="0"/>
          <w:bCs w:val="0"/>
          <w:sz w:val="32"/>
          <w:szCs w:val="32"/>
          <w:lang w:val="en-US" w:eastAsia="zh-CN"/>
        </w:rPr>
        <w:t>5</w:t>
      </w:r>
      <w:r>
        <w:rPr>
          <w:rFonts w:hint="eastAsia" w:ascii="仿宋" w:hAnsi="仿宋" w:eastAsia="仿宋" w:cs="FangSong_GB2312"/>
          <w:b w:val="0"/>
          <w:bCs w:val="0"/>
          <w:sz w:val="32"/>
          <w:szCs w:val="32"/>
          <w:lang w:val="zh-CN"/>
        </w:rPr>
        <w:t>年在政府网站公开了当年预算、决算；202</w:t>
      </w:r>
      <w:r>
        <w:rPr>
          <w:rFonts w:hint="eastAsia" w:ascii="仿宋" w:hAnsi="仿宋" w:eastAsia="仿宋" w:cs="FangSong_GB2312"/>
          <w:b w:val="0"/>
          <w:bCs w:val="0"/>
          <w:sz w:val="32"/>
          <w:szCs w:val="32"/>
          <w:lang w:val="en-US" w:eastAsia="zh-CN"/>
        </w:rPr>
        <w:t>5</w:t>
      </w:r>
      <w:r>
        <w:rPr>
          <w:rFonts w:hint="eastAsia" w:ascii="仿宋" w:hAnsi="仿宋" w:eastAsia="仿宋" w:cs="FangSong_GB2312"/>
          <w:b w:val="0"/>
          <w:bCs w:val="0"/>
          <w:sz w:val="32"/>
          <w:szCs w:val="32"/>
          <w:lang w:val="zh-CN"/>
        </w:rPr>
        <w:t>年全面落实绩效管理，通过绩效管理有效的提高了财经政策、改进了管理方式、实现了与预算挂钩。</w:t>
      </w:r>
    </w:p>
    <w:p w14:paraId="09D81532">
      <w:pPr>
        <w:keepNext w:val="0"/>
        <w:keepLines w:val="0"/>
        <w:pageBreakBefore w:val="0"/>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338AD0F1">
      <w:pPr>
        <w:keepNext w:val="0"/>
        <w:keepLines w:val="0"/>
        <w:pageBreakBefore w:val="0"/>
        <w:widowControl/>
        <w:kinsoku/>
        <w:wordWrap/>
        <w:overflowPunct/>
        <w:topLinePunct w:val="0"/>
        <w:autoSpaceDE/>
        <w:autoSpaceDN/>
        <w:bidi w:val="0"/>
        <w:adjustRightInd w:val="0"/>
        <w:snapToGrid w:val="0"/>
        <w:spacing w:line="600" w:lineRule="exact"/>
        <w:ind w:left="0" w:firstLine="643" w:firstLineChars="200"/>
        <w:contextualSpacing/>
        <w:jc w:val="left"/>
        <w:textAlignment w:val="auto"/>
        <w:rPr>
          <w:rFonts w:eastAsia="KaiTi_GB2312"/>
          <w:b/>
          <w:bCs/>
          <w:color w:val="000000"/>
          <w:kern w:val="0"/>
          <w:sz w:val="32"/>
          <w:szCs w:val="32"/>
          <w:shd w:val="clear" w:color="auto" w:fill="FFFFFF"/>
          <w:lang w:val="zh-CN"/>
        </w:rPr>
      </w:pPr>
      <w:r>
        <w:rPr>
          <w:rFonts w:eastAsia="KaiTi_GB2312"/>
          <w:b/>
          <w:bCs/>
          <w:color w:val="000000"/>
          <w:kern w:val="0"/>
          <w:sz w:val="32"/>
          <w:szCs w:val="32"/>
          <w:shd w:val="clear" w:color="auto" w:fill="FFFFFF"/>
          <w:lang w:val="zh-CN"/>
        </w:rPr>
        <w:t>（一）评价结论。</w:t>
      </w:r>
    </w:p>
    <w:p w14:paraId="70A57ED6">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b w:val="0"/>
          <w:bCs w:val="0"/>
          <w:sz w:val="32"/>
          <w:szCs w:val="32"/>
          <w:lang w:val="zh-CN"/>
        </w:rPr>
      </w:pPr>
      <w:r>
        <w:rPr>
          <w:rFonts w:hint="eastAsia" w:ascii="仿宋" w:hAnsi="仿宋" w:eastAsia="仿宋" w:cs="FangSong_GB2312"/>
          <w:b w:val="0"/>
          <w:bCs w:val="0"/>
          <w:sz w:val="32"/>
          <w:szCs w:val="32"/>
          <w:lang w:val="zh-CN"/>
        </w:rPr>
        <w:t>院高度重视绩效管理工作，安排专人负责，并指定一名分管财务的领导具体分管，对2024年的财务绩效管理工作总体评价结果为</w:t>
      </w:r>
      <w:r>
        <w:rPr>
          <w:rFonts w:hint="eastAsia" w:ascii="仿宋" w:hAnsi="仿宋" w:eastAsia="仿宋" w:cs="FangSong_GB2312"/>
          <w:b w:val="0"/>
          <w:bCs w:val="0"/>
          <w:sz w:val="32"/>
          <w:szCs w:val="32"/>
          <w:lang w:val="en-US" w:eastAsia="zh"/>
        </w:rPr>
        <w:t>89</w:t>
      </w:r>
      <w:r>
        <w:rPr>
          <w:rFonts w:hint="eastAsia" w:ascii="仿宋" w:hAnsi="仿宋" w:eastAsia="仿宋" w:cs="FangSong_GB2312"/>
          <w:b w:val="0"/>
          <w:bCs w:val="0"/>
          <w:sz w:val="32"/>
          <w:szCs w:val="32"/>
          <w:lang w:val="zh-CN"/>
        </w:rPr>
        <w:t>分。</w:t>
      </w:r>
    </w:p>
    <w:p w14:paraId="31D3FA3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Chars="200"/>
        <w:contextualSpacing/>
        <w:jc w:val="left"/>
        <w:textAlignment w:val="auto"/>
        <w:rPr>
          <w:rFonts w:eastAsia="KaiTi_GB2312"/>
          <w:b/>
          <w:bCs/>
          <w:color w:val="000000"/>
          <w:kern w:val="0"/>
          <w:sz w:val="32"/>
          <w:szCs w:val="32"/>
          <w:shd w:val="clear" w:color="auto" w:fill="FFFFFF"/>
          <w:lang w:val="zh-CN"/>
        </w:rPr>
      </w:pPr>
      <w:r>
        <w:rPr>
          <w:rFonts w:hint="eastAsia" w:eastAsia="KaiTi_GB2312"/>
          <w:b/>
          <w:bCs/>
          <w:color w:val="000000"/>
          <w:kern w:val="0"/>
          <w:sz w:val="32"/>
          <w:szCs w:val="32"/>
          <w:shd w:val="clear" w:color="auto" w:fill="FFFFFF"/>
          <w:lang w:val="zh-CN"/>
        </w:rPr>
        <w:t>（二）</w:t>
      </w:r>
      <w:r>
        <w:rPr>
          <w:rFonts w:eastAsia="KaiTi_GB2312"/>
          <w:b/>
          <w:bCs/>
          <w:color w:val="000000"/>
          <w:kern w:val="0"/>
          <w:sz w:val="32"/>
          <w:szCs w:val="32"/>
          <w:shd w:val="clear" w:color="auto" w:fill="FFFFFF"/>
          <w:lang w:val="zh-CN"/>
        </w:rPr>
        <w:t>存在问题。</w:t>
      </w:r>
    </w:p>
    <w:p w14:paraId="5A4D846D">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b w:val="0"/>
          <w:bCs w:val="0"/>
          <w:sz w:val="32"/>
          <w:szCs w:val="32"/>
          <w:lang w:val="zh-CN"/>
        </w:rPr>
      </w:pPr>
      <w:r>
        <w:rPr>
          <w:rFonts w:hint="eastAsia" w:ascii="仿宋" w:hAnsi="仿宋" w:eastAsia="仿宋" w:cs="FangSong_GB2312"/>
          <w:b w:val="0"/>
          <w:bCs w:val="0"/>
          <w:sz w:val="32"/>
          <w:szCs w:val="32"/>
          <w:lang w:val="zh-CN"/>
        </w:rPr>
        <w:t>政法转移支付办案业务经费的适用范围有限，部分日常事务只能用办公经费支付，导致业务经费使用效益不高，资金支付进度较慢。</w:t>
      </w:r>
    </w:p>
    <w:p w14:paraId="40A78F6B">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left"/>
        <w:textAlignment w:val="auto"/>
        <w:rPr>
          <w:rFonts w:hint="eastAsia" w:eastAsia="KaiTi_GB2312"/>
          <w:b/>
          <w:bCs/>
          <w:color w:val="000000" w:themeColor="text1"/>
          <w:kern w:val="0"/>
          <w:sz w:val="32"/>
          <w:szCs w:val="32"/>
          <w:shd w:val="clear" w:color="auto" w:fill="FFFFFF"/>
          <w:lang w:val="zh-CN"/>
          <w14:textFill>
            <w14:solidFill>
              <w14:schemeClr w14:val="tx1"/>
            </w14:solidFill>
          </w14:textFill>
        </w:rPr>
      </w:pPr>
      <w:r>
        <w:rPr>
          <w:rFonts w:eastAsia="KaiTi_GB2312"/>
          <w:b/>
          <w:bCs/>
          <w:color w:val="000000"/>
          <w:kern w:val="0"/>
          <w:sz w:val="32"/>
          <w:szCs w:val="32"/>
          <w:shd w:val="clear" w:color="auto" w:fill="FFFFFF"/>
          <w:lang w:val="zh-CN"/>
        </w:rPr>
        <w:t>（三</w:t>
      </w:r>
      <w:r>
        <w:rPr>
          <w:rFonts w:eastAsia="KaiTi_GB2312"/>
          <w:b/>
          <w:bCs/>
          <w:color w:val="000000" w:themeColor="text1"/>
          <w:kern w:val="0"/>
          <w:sz w:val="32"/>
          <w:szCs w:val="32"/>
          <w:shd w:val="clear" w:color="auto" w:fill="FFFFFF"/>
          <w:lang w:val="zh-CN"/>
          <w14:textFill>
            <w14:solidFill>
              <w14:schemeClr w14:val="tx1"/>
            </w14:solidFill>
          </w14:textFill>
        </w:rPr>
        <w:t>）改进建议。</w:t>
      </w:r>
      <w:bookmarkStart w:id="89" w:name="_Hlk110546638"/>
    </w:p>
    <w:p w14:paraId="365C68F6">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FangSong_GB2312" w:hAnsi="FangSong_GB2312" w:cs="FangSong_GB2312"/>
          <w:sz w:val="32"/>
          <w:szCs w:val="32"/>
        </w:rPr>
      </w:pPr>
      <w:r>
        <w:rPr>
          <w:rFonts w:hint="eastAsia" w:ascii="仿宋" w:hAnsi="仿宋" w:eastAsia="仿宋" w:cs="FangSong_GB2312"/>
          <w:b w:val="0"/>
          <w:bCs w:val="0"/>
          <w:sz w:val="32"/>
          <w:szCs w:val="32"/>
          <w:lang w:val="zh-CN"/>
        </w:rPr>
        <w:t>一是制定合理的年度工作计划和年度经费支出预算，及时调整不合理的支出，确保全年经费支出均衡。二是将经费使用情况及时向分管领导报告，并强化与业务部门的沟通衔接，切实提高资金使用效益。</w:t>
      </w:r>
      <w:bookmarkEnd w:id="89"/>
    </w:p>
    <w:p w14:paraId="716CCBD2">
      <w:pPr>
        <w:keepNext w:val="0"/>
        <w:keepLines w:val="0"/>
        <w:pageBreakBefore w:val="0"/>
        <w:widowControl/>
        <w:kinsoku/>
        <w:wordWrap/>
        <w:overflowPunct/>
        <w:topLinePunct w:val="0"/>
        <w:autoSpaceDE/>
        <w:autoSpaceDN/>
        <w:bidi w:val="0"/>
        <w:adjustRightInd w:val="0"/>
        <w:snapToGrid w:val="0"/>
        <w:spacing w:line="600" w:lineRule="exact"/>
        <w:ind w:left="0" w:firstLine="640" w:firstLineChars="200"/>
        <w:contextualSpacing/>
        <w:jc w:val="left"/>
        <w:textAlignment w:val="auto"/>
        <w:rPr>
          <w:rFonts w:hint="eastAsia" w:ascii="仿宋" w:hAnsi="仿宋" w:eastAsia="仿宋" w:cs="FangSong_GB2312"/>
          <w:b w:val="0"/>
          <w:bCs w:val="0"/>
          <w:sz w:val="32"/>
          <w:szCs w:val="32"/>
          <w:lang w:val="zh-CN"/>
        </w:rPr>
      </w:pPr>
    </w:p>
    <w:p w14:paraId="67003977">
      <w:pPr>
        <w:spacing w:line="578" w:lineRule="exact"/>
        <w:jc w:val="left"/>
        <w:rPr>
          <w:rFonts w:eastAsia="黑体"/>
        </w:rPr>
      </w:pPr>
      <w:r>
        <w:rPr>
          <w:rFonts w:eastAsia="黑体"/>
        </w:rPr>
        <w:t>附表</w:t>
      </w:r>
      <w:r>
        <w:rPr>
          <w:rFonts w:hint="eastAsia" w:eastAsia="黑体"/>
        </w:rPr>
        <w:t>1</w:t>
      </w:r>
    </w:p>
    <w:p w14:paraId="6B80587A">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C86664A">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0EC4F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0919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0E6EE4E5">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CD12840">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0AC60AB2">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F6DE60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614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CFD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D1F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27BFA">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079C8BA">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42B4BAA">
            <w:pPr>
              <w:widowControl/>
              <w:spacing w:line="240" w:lineRule="exact"/>
              <w:jc w:val="center"/>
              <w:rPr>
                <w:rFonts w:ascii="黑体" w:hAnsi="宋体" w:eastAsia="黑体" w:cs="黑体"/>
                <w:color w:val="000000"/>
                <w:sz w:val="24"/>
              </w:rPr>
            </w:pPr>
          </w:p>
        </w:tc>
      </w:tr>
      <w:tr w14:paraId="423B0914">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48C44F2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99C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15F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06FDB8E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D20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616D">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EB94">
            <w:pPr>
              <w:widowControl/>
              <w:spacing w:line="240" w:lineRule="exact"/>
              <w:jc w:val="left"/>
              <w:textAlignment w:val="center"/>
              <w:rPr>
                <w:rFonts w:ascii="宋体" w:hAnsi="宋体" w:eastAsia="宋体" w:cs="宋体"/>
                <w:color w:val="000000"/>
                <w:kern w:val="0"/>
                <w:sz w:val="24"/>
              </w:rPr>
            </w:pPr>
          </w:p>
        </w:tc>
      </w:tr>
      <w:tr w14:paraId="492AFBB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C9AE26A">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FC2172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589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48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8E6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789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D959">
            <w:pPr>
              <w:widowControl/>
              <w:spacing w:line="240" w:lineRule="exact"/>
              <w:jc w:val="left"/>
              <w:textAlignment w:val="center"/>
              <w:rPr>
                <w:rFonts w:ascii="宋体" w:hAnsi="宋体" w:eastAsia="宋体" w:cs="宋体"/>
                <w:color w:val="000000"/>
                <w:kern w:val="0"/>
                <w:sz w:val="24"/>
              </w:rPr>
            </w:pPr>
          </w:p>
        </w:tc>
      </w:tr>
      <w:tr w14:paraId="69E746C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F52A253">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68FBFEE">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3D7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BF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1EF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4FE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9F76">
            <w:pPr>
              <w:widowControl/>
              <w:spacing w:line="240" w:lineRule="exact"/>
              <w:jc w:val="left"/>
              <w:textAlignment w:val="center"/>
              <w:rPr>
                <w:rFonts w:ascii="宋体" w:hAnsi="宋体" w:eastAsia="宋体" w:cs="宋体"/>
                <w:color w:val="000000"/>
                <w:kern w:val="0"/>
                <w:sz w:val="24"/>
              </w:rPr>
            </w:pPr>
          </w:p>
        </w:tc>
      </w:tr>
      <w:tr w14:paraId="4C22911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0E9036B">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E0094C2">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BD0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9CF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9B4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DBE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8C40">
            <w:pPr>
              <w:widowControl/>
              <w:spacing w:line="240" w:lineRule="exact"/>
              <w:jc w:val="left"/>
              <w:textAlignment w:val="center"/>
              <w:rPr>
                <w:rFonts w:ascii="宋体" w:hAnsi="宋体" w:eastAsia="宋体" w:cs="宋体"/>
                <w:color w:val="000000"/>
                <w:kern w:val="0"/>
                <w:sz w:val="24"/>
              </w:rPr>
            </w:pPr>
          </w:p>
        </w:tc>
      </w:tr>
      <w:tr w14:paraId="2A678EC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F34BC3E">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E95971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775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BA4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841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0ECF">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F838">
            <w:pPr>
              <w:widowControl/>
              <w:spacing w:line="240" w:lineRule="exact"/>
              <w:jc w:val="left"/>
              <w:textAlignment w:val="center"/>
              <w:rPr>
                <w:rFonts w:ascii="宋体" w:hAnsi="宋体" w:eastAsia="宋体" w:cs="宋体"/>
                <w:color w:val="000000"/>
                <w:kern w:val="0"/>
                <w:sz w:val="24"/>
              </w:rPr>
            </w:pPr>
          </w:p>
        </w:tc>
      </w:tr>
      <w:tr w14:paraId="35CD3B6E">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51F6AE43">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A774DDA">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D6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369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0FC8">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A0F4">
            <w:pPr>
              <w:widowControl/>
              <w:spacing w:line="240" w:lineRule="exact"/>
              <w:jc w:val="left"/>
              <w:textAlignment w:val="center"/>
              <w:rPr>
                <w:rFonts w:hint="default" w:ascii="宋体" w:hAnsi="宋体" w:eastAsia="宋体" w:cs="宋体"/>
                <w:color w:val="000000"/>
                <w:kern w:val="0"/>
                <w:sz w:val="24"/>
                <w:lang w:val="en-US" w:eastAsia="zh"/>
              </w:rPr>
            </w:pPr>
            <w:r>
              <w:rPr>
                <w:rFonts w:hint="eastAsia" w:ascii="宋体" w:hAnsi="宋体" w:cs="宋体"/>
                <w:color w:val="000000"/>
                <w:kern w:val="0"/>
                <w:sz w:val="24"/>
                <w:lang w:val="en-US" w:eastAsia="zh"/>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77DE">
            <w:pPr>
              <w:widowControl/>
              <w:spacing w:line="240" w:lineRule="exact"/>
              <w:jc w:val="left"/>
              <w:textAlignment w:val="center"/>
              <w:rPr>
                <w:rFonts w:ascii="宋体" w:hAnsi="宋体" w:eastAsia="宋体" w:cs="宋体"/>
                <w:color w:val="000000"/>
                <w:kern w:val="0"/>
                <w:sz w:val="24"/>
              </w:rPr>
            </w:pPr>
          </w:p>
        </w:tc>
      </w:tr>
      <w:tr w14:paraId="26F048C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008A5E5">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6402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49D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726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37F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3999">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BD11">
            <w:pPr>
              <w:widowControl/>
              <w:spacing w:line="240" w:lineRule="exact"/>
              <w:jc w:val="left"/>
              <w:textAlignment w:val="center"/>
              <w:rPr>
                <w:rFonts w:ascii="宋体" w:hAnsi="宋体" w:eastAsia="宋体" w:cs="宋体"/>
                <w:color w:val="000000"/>
                <w:kern w:val="0"/>
                <w:sz w:val="24"/>
              </w:rPr>
            </w:pPr>
          </w:p>
        </w:tc>
      </w:tr>
      <w:tr w14:paraId="1C73BBF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20961D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623B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E32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0E3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CB1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1C82">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A5A4">
            <w:pPr>
              <w:widowControl/>
              <w:spacing w:line="240" w:lineRule="exact"/>
              <w:jc w:val="left"/>
              <w:textAlignment w:val="center"/>
              <w:rPr>
                <w:rFonts w:ascii="宋体" w:hAnsi="宋体" w:eastAsia="宋体" w:cs="宋体"/>
                <w:color w:val="000000"/>
                <w:kern w:val="0"/>
                <w:sz w:val="24"/>
              </w:rPr>
            </w:pPr>
          </w:p>
        </w:tc>
      </w:tr>
      <w:tr w14:paraId="7F12108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C9CE199">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358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F94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98C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994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2349">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1794">
            <w:pPr>
              <w:widowControl/>
              <w:spacing w:line="240" w:lineRule="exact"/>
              <w:jc w:val="left"/>
              <w:textAlignment w:val="center"/>
              <w:rPr>
                <w:rFonts w:ascii="宋体" w:hAnsi="宋体" w:eastAsia="宋体" w:cs="宋体"/>
                <w:color w:val="000000"/>
                <w:kern w:val="0"/>
                <w:sz w:val="24"/>
              </w:rPr>
            </w:pPr>
          </w:p>
        </w:tc>
      </w:tr>
      <w:tr w14:paraId="4767C77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616BEB1">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3768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673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C2F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036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2AA8">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97B6">
            <w:pPr>
              <w:widowControl/>
              <w:spacing w:line="240" w:lineRule="exact"/>
              <w:jc w:val="left"/>
              <w:textAlignment w:val="center"/>
              <w:rPr>
                <w:rFonts w:ascii="宋体" w:hAnsi="宋体" w:eastAsia="宋体" w:cs="宋体"/>
                <w:color w:val="000000"/>
                <w:kern w:val="0"/>
                <w:sz w:val="24"/>
              </w:rPr>
            </w:pPr>
          </w:p>
        </w:tc>
      </w:tr>
      <w:tr w14:paraId="0FB0835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E4394C4">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9852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A0B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42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879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E2B5">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45E6">
            <w:pPr>
              <w:widowControl/>
              <w:spacing w:line="240" w:lineRule="exact"/>
              <w:jc w:val="left"/>
              <w:textAlignment w:val="center"/>
              <w:rPr>
                <w:rFonts w:ascii="宋体" w:hAnsi="宋体" w:eastAsia="宋体" w:cs="宋体"/>
                <w:color w:val="000000"/>
                <w:kern w:val="0"/>
                <w:sz w:val="24"/>
              </w:rPr>
            </w:pPr>
          </w:p>
        </w:tc>
      </w:tr>
      <w:tr w14:paraId="1D23D5D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8B384">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B2C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18B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842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E90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C7CB">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1D01">
            <w:pPr>
              <w:widowControl/>
              <w:spacing w:line="240" w:lineRule="exact"/>
              <w:jc w:val="left"/>
              <w:textAlignment w:val="center"/>
              <w:rPr>
                <w:rFonts w:ascii="宋体" w:hAnsi="宋体" w:eastAsia="宋体" w:cs="宋体"/>
                <w:color w:val="000000"/>
                <w:kern w:val="0"/>
                <w:sz w:val="24"/>
              </w:rPr>
            </w:pPr>
          </w:p>
        </w:tc>
      </w:tr>
      <w:tr w14:paraId="4C3C0FB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A6DDF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A1E0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CCC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040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1AE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BF5B">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6968">
            <w:pPr>
              <w:widowControl/>
              <w:spacing w:line="240" w:lineRule="exact"/>
              <w:jc w:val="left"/>
              <w:textAlignment w:val="center"/>
              <w:rPr>
                <w:rFonts w:ascii="宋体" w:hAnsi="宋体" w:eastAsia="宋体" w:cs="宋体"/>
                <w:color w:val="000000"/>
                <w:kern w:val="0"/>
                <w:sz w:val="24"/>
              </w:rPr>
            </w:pPr>
          </w:p>
        </w:tc>
      </w:tr>
      <w:tr w14:paraId="1FE45426">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1F4EE34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D0EFE">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2F4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A11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402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672C">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4971">
            <w:pPr>
              <w:widowControl/>
              <w:spacing w:line="240" w:lineRule="exact"/>
              <w:jc w:val="left"/>
              <w:textAlignment w:val="center"/>
              <w:rPr>
                <w:rFonts w:ascii="宋体" w:hAnsi="宋体" w:eastAsia="宋体" w:cs="宋体"/>
                <w:color w:val="000000"/>
                <w:kern w:val="0"/>
                <w:sz w:val="24"/>
              </w:rPr>
            </w:pPr>
          </w:p>
        </w:tc>
      </w:tr>
      <w:tr w14:paraId="1673F659">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E659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1EC5164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DF2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29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7CC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7D6A">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6A83">
            <w:pPr>
              <w:widowControl/>
              <w:spacing w:line="240" w:lineRule="exact"/>
              <w:jc w:val="left"/>
              <w:textAlignment w:val="center"/>
              <w:rPr>
                <w:rFonts w:ascii="宋体" w:hAnsi="宋体" w:eastAsia="宋体" w:cs="宋体"/>
                <w:color w:val="000000"/>
                <w:kern w:val="0"/>
                <w:sz w:val="24"/>
              </w:rPr>
            </w:pPr>
          </w:p>
        </w:tc>
      </w:tr>
      <w:tr w14:paraId="59DC400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E7A4">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8450D3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1CF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2E6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AC5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C558">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1748">
            <w:pPr>
              <w:widowControl/>
              <w:spacing w:line="240" w:lineRule="exact"/>
              <w:jc w:val="left"/>
              <w:textAlignment w:val="center"/>
              <w:rPr>
                <w:rFonts w:ascii="宋体" w:hAnsi="宋体" w:eastAsia="宋体" w:cs="宋体"/>
                <w:color w:val="000000"/>
                <w:kern w:val="0"/>
                <w:sz w:val="24"/>
              </w:rPr>
            </w:pPr>
          </w:p>
        </w:tc>
      </w:tr>
      <w:tr w14:paraId="6CF1E65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27C0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FCCDE7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89D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DF2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A70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7947">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62B4">
            <w:pPr>
              <w:widowControl/>
              <w:spacing w:line="240" w:lineRule="exact"/>
              <w:jc w:val="left"/>
              <w:textAlignment w:val="center"/>
              <w:rPr>
                <w:rFonts w:ascii="宋体" w:hAnsi="宋体" w:eastAsia="宋体" w:cs="宋体"/>
                <w:color w:val="000000"/>
                <w:kern w:val="0"/>
                <w:sz w:val="24"/>
              </w:rPr>
            </w:pPr>
          </w:p>
        </w:tc>
      </w:tr>
      <w:tr w14:paraId="3EFEED7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973FA">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18D5A19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A4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48F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34D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7D28">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2598">
            <w:pPr>
              <w:widowControl/>
              <w:spacing w:line="240" w:lineRule="exact"/>
              <w:jc w:val="left"/>
              <w:textAlignment w:val="center"/>
              <w:rPr>
                <w:rFonts w:ascii="宋体" w:hAnsi="宋体" w:eastAsia="宋体" w:cs="宋体"/>
                <w:color w:val="000000"/>
                <w:kern w:val="0"/>
                <w:sz w:val="24"/>
              </w:rPr>
            </w:pPr>
          </w:p>
        </w:tc>
      </w:tr>
      <w:tr w14:paraId="101896C4">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EDB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96A698E">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67242FF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1CF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93F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67A8">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11">
            <w:pPr>
              <w:widowControl/>
              <w:spacing w:line="240" w:lineRule="exact"/>
              <w:jc w:val="left"/>
              <w:textAlignment w:val="center"/>
              <w:rPr>
                <w:rFonts w:ascii="宋体" w:hAnsi="宋体" w:eastAsia="宋体" w:cs="宋体"/>
                <w:color w:val="000000"/>
                <w:kern w:val="0"/>
                <w:sz w:val="24"/>
              </w:rPr>
            </w:pPr>
          </w:p>
        </w:tc>
      </w:tr>
      <w:tr w14:paraId="11C39A3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41CF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0AB812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C8D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D6A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EA2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22A8">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F9AD">
            <w:pPr>
              <w:widowControl/>
              <w:spacing w:line="240" w:lineRule="exact"/>
              <w:jc w:val="left"/>
              <w:textAlignment w:val="center"/>
              <w:rPr>
                <w:rFonts w:ascii="宋体" w:hAnsi="宋体" w:eastAsia="宋体" w:cs="宋体"/>
                <w:color w:val="000000"/>
                <w:kern w:val="0"/>
                <w:sz w:val="24"/>
              </w:rPr>
            </w:pPr>
          </w:p>
        </w:tc>
      </w:tr>
      <w:tr w14:paraId="2C13DC0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F968E">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B7F8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F6C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2C5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605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9272">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EB9E">
            <w:pPr>
              <w:widowControl/>
              <w:spacing w:line="240" w:lineRule="exact"/>
              <w:jc w:val="left"/>
              <w:textAlignment w:val="center"/>
              <w:rPr>
                <w:rFonts w:ascii="宋体" w:hAnsi="宋体" w:eastAsia="宋体" w:cs="宋体"/>
                <w:color w:val="000000"/>
                <w:kern w:val="0"/>
                <w:sz w:val="24"/>
              </w:rPr>
            </w:pPr>
          </w:p>
        </w:tc>
      </w:tr>
      <w:tr w14:paraId="6A92D32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33F2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592DE">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4BB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38D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3BE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AB5C">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E41A">
            <w:pPr>
              <w:widowControl/>
              <w:spacing w:line="240" w:lineRule="exact"/>
              <w:jc w:val="left"/>
              <w:textAlignment w:val="center"/>
              <w:rPr>
                <w:rFonts w:ascii="宋体" w:hAnsi="宋体" w:eastAsia="宋体" w:cs="宋体"/>
                <w:color w:val="000000"/>
                <w:kern w:val="0"/>
                <w:sz w:val="24"/>
              </w:rPr>
            </w:pPr>
          </w:p>
        </w:tc>
      </w:tr>
      <w:tr w14:paraId="5F14185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224D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D5BB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159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CFA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BBF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D603">
            <w:pPr>
              <w:widowControl/>
              <w:spacing w:line="240" w:lineRule="exact"/>
              <w:jc w:val="left"/>
              <w:textAlignment w:val="center"/>
              <w:rPr>
                <w:rFonts w:hint="eastAsia" w:ascii="宋体" w:hAnsi="宋体" w:eastAsia="宋体" w:cs="宋体"/>
                <w:color w:val="000000"/>
                <w:kern w:val="0"/>
                <w:sz w:val="24"/>
                <w:lang w:val="en-US" w:eastAsia="zh"/>
              </w:rPr>
            </w:pPr>
            <w:r>
              <w:rPr>
                <w:rFonts w:hint="eastAsia" w:ascii="宋体" w:hAnsi="宋体" w:cs="宋体"/>
                <w:color w:val="000000"/>
                <w:kern w:val="0"/>
                <w:sz w:val="24"/>
                <w:lang w:val="en-US" w:eastAsia="zh"/>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2BE7">
            <w:pPr>
              <w:widowControl/>
              <w:spacing w:line="240" w:lineRule="exact"/>
              <w:jc w:val="left"/>
              <w:textAlignment w:val="center"/>
              <w:rPr>
                <w:rFonts w:ascii="宋体" w:hAnsi="宋体" w:eastAsia="宋体" w:cs="宋体"/>
                <w:color w:val="000000"/>
                <w:kern w:val="0"/>
                <w:sz w:val="24"/>
              </w:rPr>
            </w:pPr>
          </w:p>
        </w:tc>
      </w:tr>
      <w:tr w14:paraId="04E267B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FFE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AEAD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E0E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C8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D8BA">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CFA0">
            <w:pPr>
              <w:widowControl/>
              <w:spacing w:line="240" w:lineRule="exact"/>
              <w:jc w:val="left"/>
              <w:textAlignment w:val="center"/>
              <w:rPr>
                <w:rFonts w:ascii="宋体" w:hAnsi="宋体" w:eastAsia="宋体" w:cs="宋体"/>
                <w:color w:val="000000"/>
                <w:kern w:val="0"/>
                <w:sz w:val="24"/>
              </w:rPr>
            </w:pPr>
          </w:p>
        </w:tc>
      </w:tr>
    </w:tbl>
    <w:p w14:paraId="78C9F296">
      <w:pPr>
        <w:pStyle w:val="2"/>
        <w:spacing w:line="20" w:lineRule="exact"/>
      </w:pPr>
    </w:p>
    <w:p w14:paraId="552A90FA">
      <w:pPr>
        <w:spacing w:line="20" w:lineRule="exact"/>
        <w:rPr>
          <w:rFonts w:eastAsia="黑体"/>
        </w:rPr>
      </w:pPr>
      <w:r>
        <w:rPr>
          <w:rFonts w:eastAsia="黑体"/>
        </w:rPr>
        <w:br w:type="page"/>
      </w:r>
    </w:p>
    <w:p w14:paraId="7A17EF7F">
      <w:pPr>
        <w:pStyle w:val="2"/>
        <w:spacing w:line="20" w:lineRule="exact"/>
      </w:pPr>
    </w:p>
    <w:p w14:paraId="4C95BD20">
      <w:pPr>
        <w:rPr>
          <w:rFonts w:eastAsia="黑体"/>
        </w:rPr>
      </w:pPr>
    </w:p>
    <w:tbl>
      <w:tblPr>
        <w:tblStyle w:val="16"/>
        <w:tblpPr w:leftFromText="180" w:rightFromText="180" w:vertAnchor="text" w:horzAnchor="page" w:tblpX="1442" w:tblpY="576"/>
        <w:tblOverlap w:val="never"/>
        <w:tblW w:w="92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4"/>
        <w:gridCol w:w="794"/>
        <w:gridCol w:w="1152"/>
        <w:gridCol w:w="2078"/>
        <w:gridCol w:w="1019"/>
        <w:gridCol w:w="1019"/>
        <w:gridCol w:w="585"/>
        <w:gridCol w:w="585"/>
        <w:gridCol w:w="1019"/>
      </w:tblGrid>
      <w:tr w14:paraId="3047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9225" w:type="dxa"/>
            <w:gridSpan w:val="9"/>
            <w:tcBorders>
              <w:top w:val="nil"/>
              <w:left w:val="nil"/>
              <w:bottom w:val="nil"/>
              <w:right w:val="nil"/>
            </w:tcBorders>
            <w:shd w:val="clear" w:color="auto" w:fill="auto"/>
            <w:vAlign w:val="bottom"/>
          </w:tcPr>
          <w:p w14:paraId="0A9A7AE8">
            <w:pPr>
              <w:keepNext w:val="0"/>
              <w:keepLines w:val="0"/>
              <w:widowControl/>
              <w:suppressLineNumbers w:val="0"/>
              <w:jc w:val="center"/>
              <w:textAlignment w:val="bottom"/>
              <w:rPr>
                <w:rFonts w:hint="eastAsia" w:ascii="宋体" w:hAnsi="宋体" w:eastAsia="宋体" w:cs="宋体"/>
                <w:b/>
                <w:i w:val="0"/>
                <w:color w:val="000000"/>
                <w:sz w:val="30"/>
                <w:szCs w:val="30"/>
                <w:u w:val="none"/>
              </w:rPr>
            </w:pPr>
            <w:r>
              <w:rPr>
                <w:rFonts w:hint="eastAsia" w:ascii="宋体" w:hAnsi="宋体" w:eastAsia="宋体" w:cs="宋体"/>
                <w:b/>
                <w:i w:val="0"/>
                <w:color w:val="000000"/>
                <w:kern w:val="0"/>
                <w:sz w:val="30"/>
                <w:szCs w:val="30"/>
                <w:u w:val="none"/>
                <w:lang w:val="en-US" w:eastAsia="zh-CN" w:bidi="ar"/>
              </w:rPr>
              <w:t>2025年度部门整体绩效目标</w:t>
            </w:r>
          </w:p>
        </w:tc>
      </w:tr>
      <w:tr w14:paraId="4D418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974" w:type="dxa"/>
            <w:tcBorders>
              <w:top w:val="nil"/>
              <w:left w:val="nil"/>
              <w:bottom w:val="nil"/>
              <w:right w:val="nil"/>
            </w:tcBorders>
            <w:shd w:val="clear" w:color="auto" w:fill="auto"/>
            <w:vAlign w:val="bottom"/>
          </w:tcPr>
          <w:p w14:paraId="2045594E">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部门名称：</w:t>
            </w:r>
          </w:p>
        </w:tc>
        <w:tc>
          <w:tcPr>
            <w:tcW w:w="6062" w:type="dxa"/>
            <w:gridSpan w:val="5"/>
            <w:tcBorders>
              <w:top w:val="nil"/>
              <w:left w:val="nil"/>
              <w:bottom w:val="nil"/>
              <w:right w:val="nil"/>
            </w:tcBorders>
            <w:shd w:val="clear" w:color="auto" w:fill="auto"/>
            <w:vAlign w:val="bottom"/>
          </w:tcPr>
          <w:p w14:paraId="571B422C">
            <w:pPr>
              <w:keepNext w:val="0"/>
              <w:keepLines w:val="0"/>
              <w:widowControl/>
              <w:suppressLineNumbers w:val="0"/>
              <w:jc w:val="left"/>
              <w:textAlignment w:val="bottom"/>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若尔盖县人民法院部门</w:t>
            </w:r>
          </w:p>
        </w:tc>
        <w:tc>
          <w:tcPr>
            <w:tcW w:w="585" w:type="dxa"/>
            <w:tcBorders>
              <w:top w:val="nil"/>
              <w:left w:val="nil"/>
              <w:bottom w:val="nil"/>
              <w:right w:val="nil"/>
            </w:tcBorders>
            <w:shd w:val="clear" w:color="auto" w:fill="auto"/>
            <w:vAlign w:val="center"/>
          </w:tcPr>
          <w:p w14:paraId="7684AD9F">
            <w:pPr>
              <w:rPr>
                <w:rFonts w:hint="eastAsia" w:ascii="黑体" w:hAnsi="黑体" w:eastAsia="黑体" w:cs="黑体"/>
                <w:i w:val="0"/>
                <w:color w:val="000000"/>
                <w:sz w:val="18"/>
                <w:szCs w:val="18"/>
                <w:u w:val="none"/>
              </w:rPr>
            </w:pPr>
          </w:p>
        </w:tc>
        <w:tc>
          <w:tcPr>
            <w:tcW w:w="585" w:type="dxa"/>
            <w:tcBorders>
              <w:top w:val="nil"/>
              <w:left w:val="nil"/>
              <w:bottom w:val="nil"/>
              <w:right w:val="nil"/>
            </w:tcBorders>
            <w:shd w:val="clear" w:color="auto" w:fill="auto"/>
            <w:vAlign w:val="center"/>
          </w:tcPr>
          <w:p w14:paraId="32120CB0">
            <w:pPr>
              <w:rPr>
                <w:rFonts w:hint="default" w:ascii="黑体" w:hAnsi="黑体" w:eastAsia="黑体" w:cs="黑体"/>
                <w:i w:val="0"/>
                <w:color w:val="000000"/>
                <w:sz w:val="18"/>
                <w:szCs w:val="18"/>
                <w:u w:val="none"/>
              </w:rPr>
            </w:pPr>
          </w:p>
        </w:tc>
        <w:tc>
          <w:tcPr>
            <w:tcW w:w="1019" w:type="dxa"/>
            <w:tcBorders>
              <w:top w:val="nil"/>
              <w:left w:val="nil"/>
              <w:bottom w:val="nil"/>
              <w:right w:val="nil"/>
            </w:tcBorders>
            <w:shd w:val="clear" w:color="auto" w:fill="auto"/>
            <w:vAlign w:val="bottom"/>
          </w:tcPr>
          <w:p w14:paraId="0257E001">
            <w:pPr>
              <w:keepNext w:val="0"/>
              <w:keepLines w:val="0"/>
              <w:widowControl/>
              <w:suppressLineNumbers w:val="0"/>
              <w:jc w:val="right"/>
              <w:textAlignment w:val="bottom"/>
              <w:rPr>
                <w:rFonts w:ascii="宋体" w:hAnsi="宋体" w:eastAsia="宋体" w:cs="宋体"/>
                <w:i w:val="0"/>
                <w:color w:val="000000"/>
                <w:sz w:val="16"/>
                <w:szCs w:val="16"/>
                <w:u w:val="none"/>
              </w:rPr>
            </w:pPr>
            <w:r>
              <w:rPr>
                <w:rFonts w:ascii="宋体" w:hAnsi="宋体" w:eastAsia="宋体" w:cs="宋体"/>
                <w:i w:val="0"/>
                <w:color w:val="000000"/>
                <w:kern w:val="0"/>
                <w:sz w:val="16"/>
                <w:szCs w:val="16"/>
                <w:u w:val="none"/>
                <w:lang w:val="en-US" w:eastAsia="zh-CN" w:bidi="ar"/>
              </w:rPr>
              <w:t>单位：万元</w:t>
            </w:r>
          </w:p>
        </w:tc>
      </w:tr>
      <w:tr w14:paraId="71E84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9F272">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年度部门整体预算</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3288B">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资金总额</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7A71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财政拨款</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39A1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其他资金</w:t>
            </w:r>
          </w:p>
        </w:tc>
      </w:tr>
      <w:tr w14:paraId="7DA0A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142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收入预算</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5FE3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AD47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909A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1AF7B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2EC1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支出预算</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0D6D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1,050.37</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827B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1,050.37</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77F3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0265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2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7D213F">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年度总体目标</w:t>
            </w:r>
          </w:p>
        </w:tc>
        <w:tc>
          <w:tcPr>
            <w:tcW w:w="63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146A5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目标1：合理合规保障人员经费以及日常运行经费，促进审判工作有序开展。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目标2：开展法官队伍建设，提升队伍整体职业素养。普法依法管理，指导人民调解和矛盾纠纷排查、积极开展法律援助和司法鉴定维护社会稳定和长治久安。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目标3：抓好审判执行、宣传工作，促进司法民主、提升司法公信。</w:t>
            </w:r>
            <w:bookmarkStart w:id="131" w:name="_GoBack"/>
            <w:bookmarkEnd w:id="131"/>
            <w:r>
              <w:rPr>
                <w:rFonts w:hint="eastAsia" w:ascii="宋体" w:hAnsi="宋体" w:cs="宋体"/>
                <w:i w:val="0"/>
                <w:color w:val="000000"/>
                <w:kern w:val="0"/>
                <w:sz w:val="18"/>
                <w:szCs w:val="18"/>
                <w:u w:val="none"/>
                <w:lang w:val="en-US" w:eastAsia="zh-CN" w:bidi="ar"/>
              </w:rPr>
              <w:t>坚持全面从严治党</w:t>
            </w:r>
            <w:r>
              <w:rPr>
                <w:rFonts w:hint="eastAsia" w:ascii="宋体" w:hAnsi="宋体" w:eastAsia="宋体" w:cs="宋体"/>
                <w:i w:val="0"/>
                <w:color w:val="000000"/>
                <w:kern w:val="0"/>
                <w:sz w:val="18"/>
                <w:szCs w:val="18"/>
                <w:u w:val="none"/>
                <w:lang w:val="en-US" w:eastAsia="zh-CN" w:bidi="ar"/>
              </w:rPr>
              <w:t>，从严治院。推动法院各项工作不断实现新发展。</w:t>
            </w:r>
          </w:p>
        </w:tc>
      </w:tr>
      <w:tr w14:paraId="111A1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2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9EBCC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管理效率</w:t>
            </w:r>
          </w:p>
        </w:tc>
      </w:tr>
      <w:tr w14:paraId="62AD1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8A8D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EE9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B64BF">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0988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60B2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0E37C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指标参考值</w:t>
            </w:r>
          </w:p>
        </w:tc>
      </w:tr>
      <w:tr w14:paraId="49889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7BC2">
            <w:pPr>
              <w:jc w:val="center"/>
              <w:rPr>
                <w:rFonts w:hint="eastAsia" w:ascii="宋体" w:hAnsi="宋体" w:eastAsia="宋体" w:cs="宋体"/>
                <w:b/>
                <w:i w:val="0"/>
                <w:color w:val="000000"/>
                <w:sz w:val="18"/>
                <w:szCs w:val="18"/>
                <w:u w:val="none"/>
              </w:rPr>
            </w:pP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B89CB">
            <w:pPr>
              <w:jc w:val="center"/>
              <w:rPr>
                <w:rFonts w:hint="eastAsia" w:ascii="宋体" w:hAnsi="宋体" w:eastAsia="宋体" w:cs="宋体"/>
                <w:b/>
                <w:i w:val="0"/>
                <w:color w:val="000000"/>
                <w:sz w:val="18"/>
                <w:szCs w:val="18"/>
                <w:u w:val="none"/>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A1D13">
            <w:pPr>
              <w:jc w:val="center"/>
              <w:rPr>
                <w:rFonts w:hint="eastAsia" w:ascii="宋体" w:hAnsi="宋体" w:eastAsia="宋体" w:cs="宋体"/>
                <w:b/>
                <w:i w:val="0"/>
                <w:color w:val="000000"/>
                <w:sz w:val="18"/>
                <w:szCs w:val="18"/>
                <w:u w:val="none"/>
              </w:rPr>
            </w:pPr>
          </w:p>
        </w:tc>
        <w:tc>
          <w:tcPr>
            <w:tcW w:w="2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1DE35">
            <w:pPr>
              <w:jc w:val="center"/>
              <w:rPr>
                <w:rFonts w:hint="eastAsia" w:ascii="宋体" w:hAnsi="宋体" w:eastAsia="宋体" w:cs="宋体"/>
                <w:b/>
                <w:i w:val="0"/>
                <w:color w:val="000000"/>
                <w:sz w:val="18"/>
                <w:szCs w:val="18"/>
                <w:u w:val="none"/>
              </w:rPr>
            </w:pP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9851F">
            <w:pPr>
              <w:jc w:val="center"/>
              <w:rPr>
                <w:rFonts w:hint="eastAsia" w:ascii="宋体" w:hAnsi="宋体" w:eastAsia="宋体" w:cs="宋体"/>
                <w:b/>
                <w:i w:val="0"/>
                <w:color w:val="000000"/>
                <w:sz w:val="18"/>
                <w:szCs w:val="18"/>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DB0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三年均值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F4EE">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2022</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DAD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4D0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2024</w:t>
            </w:r>
          </w:p>
        </w:tc>
      </w:tr>
      <w:tr w14:paraId="7121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5DA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0A7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292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390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财政拨款预算偏离度</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ABB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220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15.67%</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497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70AE">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EF6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14:paraId="32CF5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6F2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6F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A8B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BB1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单位收入统筹度</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543E">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FCB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19B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6C8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D4A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88%</w:t>
            </w:r>
          </w:p>
        </w:tc>
      </w:tr>
      <w:tr w14:paraId="4B84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5DF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EDF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EDD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93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预算年终结余率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485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0E4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20.33%</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45E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9AA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F95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r>
      <w:tr w14:paraId="76ADF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F6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0A7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713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B0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一般性支出金额</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39D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1050.37万元</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ECA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1134.56万元</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F286">
            <w:pPr>
              <w:jc w:val="right"/>
              <w:rPr>
                <w:rFonts w:hint="eastAsia" w:ascii="宋体" w:hAnsi="宋体" w:eastAsia="宋体" w:cs="宋体"/>
                <w:i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0DFB">
            <w:pPr>
              <w:jc w:val="right"/>
              <w:rPr>
                <w:rFonts w:hint="eastAsia" w:ascii="宋体" w:hAnsi="宋体" w:eastAsia="宋体" w:cs="宋体"/>
                <w:i w:val="0"/>
                <w:color w:val="000000"/>
                <w:sz w:val="18"/>
                <w:szCs w:val="18"/>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C22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1134.56万元</w:t>
            </w:r>
          </w:p>
        </w:tc>
      </w:tr>
      <w:tr w14:paraId="335B8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58D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0F5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4F8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8E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财务管理规范</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7BC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优</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FA18">
            <w:pPr>
              <w:jc w:val="right"/>
              <w:rPr>
                <w:rFonts w:hint="eastAsia" w:ascii="宋体" w:hAnsi="宋体" w:eastAsia="宋体" w:cs="宋体"/>
                <w:i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0DEA">
            <w:pPr>
              <w:jc w:val="right"/>
              <w:rPr>
                <w:rFonts w:hint="eastAsia" w:ascii="宋体" w:hAnsi="宋体" w:eastAsia="宋体" w:cs="宋体"/>
                <w:i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D5A3">
            <w:pPr>
              <w:jc w:val="right"/>
              <w:rPr>
                <w:rFonts w:hint="eastAsia" w:ascii="宋体" w:hAnsi="宋体" w:eastAsia="宋体" w:cs="宋体"/>
                <w:i w:val="0"/>
                <w:color w:val="000000"/>
                <w:sz w:val="18"/>
                <w:szCs w:val="18"/>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355B">
            <w:pPr>
              <w:jc w:val="right"/>
              <w:rPr>
                <w:rFonts w:hint="eastAsia" w:ascii="宋体" w:hAnsi="宋体" w:eastAsia="宋体" w:cs="宋体"/>
                <w:i w:val="0"/>
                <w:color w:val="000000"/>
                <w:sz w:val="18"/>
                <w:szCs w:val="18"/>
                <w:u w:val="none"/>
              </w:rPr>
            </w:pPr>
          </w:p>
        </w:tc>
      </w:tr>
      <w:tr w14:paraId="5A84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CA1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38E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2B0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AAD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资产配置预算偏离度</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500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D2A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721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299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918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r>
      <w:tr w14:paraId="3AA0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D8F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540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7A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采购管理</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2C0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采购执行率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05B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498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88.33%</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A90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EA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D0F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r>
      <w:tr w14:paraId="2D80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6483F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履职效能</w:t>
            </w:r>
          </w:p>
        </w:tc>
      </w:tr>
      <w:tr w14:paraId="1DFC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D7E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665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AFB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DA1E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D71AD0">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指标值（包括数字及文字描述）</w:t>
            </w:r>
          </w:p>
        </w:tc>
      </w:tr>
      <w:tr w14:paraId="626A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B0E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06D9">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1AE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7288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案件平均审理天数</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A5E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≤50天</w:t>
            </w:r>
          </w:p>
        </w:tc>
      </w:tr>
      <w:tr w14:paraId="781A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7C6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FBFF">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687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B9C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案件审结完成率</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B2890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r>
      <w:tr w14:paraId="17E9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1BC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A228">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164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240A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上诉率</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FCEEB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r>
      <w:tr w14:paraId="1F915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079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0632">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产出指标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586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A6AC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两庭及装备更新维护合格率</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6C69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r>
      <w:tr w14:paraId="7AC0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04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530F">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效益指标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743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6D46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提升司法公信</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FC153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有效提升</w:t>
            </w:r>
          </w:p>
        </w:tc>
      </w:tr>
      <w:tr w14:paraId="7DD4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8CC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9864">
            <w:pPr>
              <w:keepNext w:val="0"/>
              <w:keepLines w:val="0"/>
              <w:widowControl/>
              <w:suppressLineNumbers w:val="0"/>
              <w:jc w:val="left"/>
              <w:textAlignment w:val="center"/>
              <w:rPr>
                <w:rFonts w:hint="default" w:ascii="黑体" w:hAnsi="黑体" w:eastAsia="黑体" w:cs="黑体"/>
                <w:i w:val="0"/>
                <w:color w:val="000000"/>
                <w:sz w:val="18"/>
                <w:szCs w:val="18"/>
                <w:u w:val="none"/>
              </w:rPr>
            </w:pPr>
            <w:r>
              <w:rPr>
                <w:rFonts w:hint="default" w:ascii="黑体" w:hAnsi="黑体" w:eastAsia="黑体" w:cs="黑体"/>
                <w:i w:val="0"/>
                <w:color w:val="000000"/>
                <w:kern w:val="0"/>
                <w:sz w:val="18"/>
                <w:szCs w:val="18"/>
                <w:u w:val="none"/>
                <w:lang w:val="en-US" w:eastAsia="zh-CN" w:bidi="ar"/>
              </w:rPr>
              <w:t>效益指标</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1BA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1C42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民事案件调解率</w:t>
            </w:r>
          </w:p>
        </w:tc>
        <w:tc>
          <w:tcPr>
            <w:tcW w:w="32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0A934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≥65%</w:t>
            </w:r>
          </w:p>
        </w:tc>
      </w:tr>
    </w:tbl>
    <w:p w14:paraId="09A4BFBA">
      <w:pPr>
        <w:rPr>
          <w:rFonts w:eastAsia="黑体"/>
          <w:sz w:val="24"/>
        </w:rPr>
      </w:pPr>
      <w:r>
        <w:rPr>
          <w:rFonts w:eastAsia="黑体"/>
          <w:sz w:val="24"/>
        </w:rPr>
        <w:br w:type="page"/>
      </w:r>
    </w:p>
    <w:p w14:paraId="247BBC51">
      <w:pPr>
        <w:pStyle w:val="3"/>
        <w:bidi w:val="0"/>
        <w:jc w:val="center"/>
        <w:rPr>
          <w:rFonts w:hint="eastAsia" w:ascii="Times New Roman" w:hAnsi="Times New Roman" w:eastAsia="仿宋_GB2312" w:cs="仿宋_GB2312"/>
          <w:color w:val="auto"/>
          <w:sz w:val="32"/>
          <w:szCs w:val="32"/>
          <w:highlight w:val="none"/>
        </w:rPr>
      </w:pPr>
      <w:bookmarkStart w:id="90" w:name="_Toc342339229"/>
      <w:bookmarkStart w:id="91" w:name="_Toc15396618"/>
      <w:r>
        <w:rPr>
          <w:rFonts w:hint="eastAsia"/>
        </w:rPr>
        <w:t>第五部分 附表</w:t>
      </w:r>
      <w:bookmarkEnd w:id="83"/>
      <w:bookmarkEnd w:id="90"/>
      <w:bookmarkEnd w:id="91"/>
      <w:bookmarkStart w:id="92" w:name="_Toc15396619"/>
    </w:p>
    <w:p w14:paraId="46FEB5EF">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93" w:name="_Toc334981552"/>
      <w:bookmarkStart w:id="94" w:name="_Toc174117719"/>
      <w:r>
        <w:rPr>
          <w:rFonts w:hint="eastAsia"/>
        </w:rPr>
        <w:t>一、收入支出决算总表</w:t>
      </w:r>
      <w:bookmarkEnd w:id="92"/>
      <w:bookmarkEnd w:id="93"/>
      <w:bookmarkEnd w:id="94"/>
    </w:p>
    <w:p w14:paraId="22EAFB3B">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95" w:name="_Toc655192773"/>
      <w:bookmarkStart w:id="96" w:name="_Toc15396620"/>
      <w:bookmarkStart w:id="97" w:name="_Toc134190458"/>
      <w:r>
        <w:rPr>
          <w:rFonts w:hint="eastAsia"/>
        </w:rPr>
        <w:t>二、收入决算表</w:t>
      </w:r>
      <w:bookmarkEnd w:id="95"/>
      <w:bookmarkEnd w:id="96"/>
      <w:bookmarkEnd w:id="97"/>
    </w:p>
    <w:p w14:paraId="3D453B53">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98" w:name="_Toc1466594870"/>
      <w:bookmarkStart w:id="99" w:name="_Toc15396621"/>
      <w:bookmarkStart w:id="100" w:name="_Toc1741633314"/>
      <w:r>
        <w:rPr>
          <w:rFonts w:hint="eastAsia"/>
        </w:rPr>
        <w:t>三、支出决算表</w:t>
      </w:r>
      <w:bookmarkEnd w:id="98"/>
      <w:bookmarkEnd w:id="99"/>
      <w:bookmarkEnd w:id="100"/>
    </w:p>
    <w:p w14:paraId="42C63DF6">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01" w:name="_Toc15396622"/>
      <w:bookmarkStart w:id="102" w:name="_Toc2001450427"/>
      <w:bookmarkStart w:id="103" w:name="_Toc590146235"/>
      <w:r>
        <w:rPr>
          <w:rFonts w:hint="eastAsia"/>
        </w:rPr>
        <w:t>四、财政拨款收入支出决算总表</w:t>
      </w:r>
      <w:bookmarkEnd w:id="101"/>
      <w:bookmarkEnd w:id="102"/>
      <w:bookmarkEnd w:id="103"/>
    </w:p>
    <w:p w14:paraId="57EAC340">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04" w:name="_Toc15396623"/>
      <w:bookmarkStart w:id="105" w:name="_Toc23430068"/>
      <w:bookmarkStart w:id="106" w:name="_Toc2022380068"/>
      <w:r>
        <w:rPr>
          <w:rFonts w:hint="eastAsia"/>
        </w:rPr>
        <w:t>五、财政拨款支出决算明细表</w:t>
      </w:r>
      <w:bookmarkEnd w:id="104"/>
      <w:bookmarkEnd w:id="105"/>
      <w:bookmarkEnd w:id="106"/>
      <w:bookmarkStart w:id="107" w:name="_Toc15396624"/>
    </w:p>
    <w:p w14:paraId="660AA012">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08" w:name="_Toc679511354"/>
      <w:bookmarkStart w:id="109" w:name="_Toc328589463"/>
      <w:r>
        <w:rPr>
          <w:rFonts w:hint="eastAsia"/>
        </w:rPr>
        <w:t>六、一般公共预算财政拨款支出决算表</w:t>
      </w:r>
      <w:bookmarkEnd w:id="107"/>
      <w:bookmarkEnd w:id="108"/>
      <w:bookmarkEnd w:id="109"/>
    </w:p>
    <w:p w14:paraId="55FEAFC2">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10" w:name="_Toc15396625"/>
      <w:bookmarkStart w:id="111" w:name="_Toc374155616"/>
      <w:bookmarkStart w:id="112" w:name="_Toc1162479387"/>
      <w:r>
        <w:rPr>
          <w:rFonts w:hint="eastAsia"/>
        </w:rPr>
        <w:t>七、一般公共预算财政拨款支出决算明细表</w:t>
      </w:r>
      <w:bookmarkEnd w:id="110"/>
      <w:bookmarkEnd w:id="111"/>
      <w:bookmarkEnd w:id="112"/>
    </w:p>
    <w:p w14:paraId="7F60C9DD">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13" w:name="_Toc1042535436"/>
      <w:bookmarkStart w:id="114" w:name="_Toc336621983"/>
      <w:bookmarkStart w:id="115" w:name="_Toc15396626"/>
      <w:r>
        <w:rPr>
          <w:rFonts w:hint="eastAsia"/>
        </w:rPr>
        <w:t>八、一般公共预算财政拨款基本支出决算表</w:t>
      </w:r>
      <w:bookmarkEnd w:id="113"/>
      <w:bookmarkEnd w:id="114"/>
      <w:bookmarkEnd w:id="115"/>
    </w:p>
    <w:p w14:paraId="122BF7ED">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16" w:name="_Toc1120110022"/>
      <w:bookmarkStart w:id="117" w:name="_Toc15396627"/>
      <w:bookmarkStart w:id="118" w:name="_Toc967142126"/>
      <w:r>
        <w:rPr>
          <w:rFonts w:hint="eastAsia"/>
        </w:rPr>
        <w:t>九、一般公共预算财政拨款项目支出决算表</w:t>
      </w:r>
      <w:bookmarkEnd w:id="116"/>
      <w:bookmarkEnd w:id="117"/>
      <w:bookmarkEnd w:id="118"/>
    </w:p>
    <w:p w14:paraId="45A1A984">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19" w:name="_Toc15396628"/>
      <w:bookmarkStart w:id="120" w:name="_Toc5870855"/>
      <w:bookmarkStart w:id="121" w:name="_Toc1092380847"/>
      <w:r>
        <w:rPr>
          <w:rFonts w:hint="eastAsia"/>
        </w:rPr>
        <w:t>十、</w:t>
      </w:r>
      <w:bookmarkEnd w:id="119"/>
      <w:r>
        <w:rPr>
          <w:rFonts w:hint="eastAsia"/>
        </w:rPr>
        <w:t>政府性基金预算财政拨款收入支出决算表</w:t>
      </w:r>
      <w:bookmarkEnd w:id="120"/>
      <w:bookmarkEnd w:id="121"/>
    </w:p>
    <w:p w14:paraId="5B2FDC62">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22" w:name="_Toc15396629"/>
      <w:bookmarkStart w:id="123" w:name="_Toc1346372785"/>
      <w:bookmarkStart w:id="124" w:name="_Toc1735436665"/>
      <w:r>
        <w:rPr>
          <w:rFonts w:hint="eastAsia"/>
        </w:rPr>
        <w:t>十一、</w:t>
      </w:r>
      <w:bookmarkEnd w:id="122"/>
      <w:r>
        <w:rPr>
          <w:rFonts w:hint="eastAsia"/>
        </w:rPr>
        <w:t>国有资本经营预算</w:t>
      </w:r>
      <w:r>
        <w:rPr>
          <w:rFonts w:hint="eastAsia"/>
          <w:lang w:eastAsia="zh-CN"/>
        </w:rPr>
        <w:t>财政拨款收入</w:t>
      </w:r>
      <w:r>
        <w:rPr>
          <w:rFonts w:hint="eastAsia"/>
        </w:rPr>
        <w:t>支出决算表</w:t>
      </w:r>
      <w:bookmarkEnd w:id="123"/>
      <w:bookmarkEnd w:id="124"/>
    </w:p>
    <w:p w14:paraId="21073A4B">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rPr>
      </w:pPr>
      <w:bookmarkStart w:id="125" w:name="_Toc15396630"/>
      <w:bookmarkStart w:id="126" w:name="_Toc1706478514"/>
      <w:bookmarkStart w:id="127" w:name="_Toc1065624309"/>
      <w:r>
        <w:rPr>
          <w:rFonts w:hint="eastAsia"/>
        </w:rPr>
        <w:t>十二、</w:t>
      </w:r>
      <w:bookmarkEnd w:id="125"/>
      <w:r>
        <w:rPr>
          <w:rFonts w:hint="eastAsia"/>
          <w:lang w:eastAsia="zh-CN"/>
        </w:rPr>
        <w:t>国有资本经营预算财政拨款支出决算表</w:t>
      </w:r>
      <w:bookmarkEnd w:id="126"/>
      <w:bookmarkEnd w:id="127"/>
    </w:p>
    <w:p w14:paraId="13FF64D5">
      <w:pPr>
        <w:pStyle w:val="4"/>
        <w:keepNext/>
        <w:keepLines/>
        <w:pageBreakBefore w:val="0"/>
        <w:widowControl w:val="0"/>
        <w:kinsoku/>
        <w:wordWrap/>
        <w:overflowPunct/>
        <w:topLinePunct w:val="0"/>
        <w:autoSpaceDE/>
        <w:autoSpaceDN/>
        <w:bidi w:val="0"/>
        <w:adjustRightInd/>
        <w:snapToGrid/>
        <w:spacing w:line="416" w:lineRule="auto"/>
        <w:ind w:firstLine="643" w:firstLineChars="200"/>
        <w:textAlignment w:val="auto"/>
        <w:rPr>
          <w:rFonts w:hint="eastAsia"/>
          <w:lang w:eastAsia="zh-CN"/>
        </w:rPr>
      </w:pPr>
      <w:bookmarkStart w:id="128" w:name="_Toc15396631"/>
      <w:bookmarkStart w:id="129" w:name="_Toc1265478279"/>
      <w:bookmarkStart w:id="130" w:name="_Toc1436926209"/>
      <w:r>
        <w:rPr>
          <w:rFonts w:hint="eastAsia"/>
        </w:rPr>
        <w:t>十三、</w:t>
      </w:r>
      <w:bookmarkEnd w:id="128"/>
      <w:r>
        <w:rPr>
          <w:rFonts w:hint="eastAsia"/>
          <w:lang w:eastAsia="zh-CN"/>
        </w:rPr>
        <w:t>财政拨款“三公”经费支出决算表</w:t>
      </w:r>
      <w:bookmarkEnd w:id="129"/>
      <w:bookmarkEnd w:id="130"/>
    </w:p>
    <w:p w14:paraId="2185B5BA">
      <w:pPr>
        <w:pStyle w:val="4"/>
        <w:bidi w:val="0"/>
        <w:rPr>
          <w:rFonts w:hint="eastAsia"/>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aiTi_GB2312">
    <w:altName w:val="楷体"/>
    <w:panose1 w:val="02010609030101010101"/>
    <w:charset w:val="86"/>
    <w:family w:val="auto"/>
    <w:pitch w:val="default"/>
    <w:sig w:usb0="00000000" w:usb1="00000000" w:usb2="00000000" w:usb3="00000000" w:csb0="00040000" w:csb1="00000000"/>
  </w:font>
  <w:font w:name="汉仪中宋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07E95">
    <w:pPr>
      <w:pStyle w:val="11"/>
      <w:jc w:val="center"/>
    </w:pPr>
  </w:p>
  <w:p w14:paraId="1BF902C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5302">
    <w:pPr>
      <w:pStyle w:val="11"/>
      <w:jc w:val="center"/>
    </w:pPr>
  </w:p>
  <w:p w14:paraId="688005E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DE9F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62BE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F62BE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2F4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2E8C6"/>
    <w:multiLevelType w:val="singleLevel"/>
    <w:tmpl w:val="EDF2E8C6"/>
    <w:lvl w:ilvl="0" w:tentative="0">
      <w:start w:val="2"/>
      <w:numFmt w:val="chineseCounting"/>
      <w:suff w:val="nothing"/>
      <w:lvlText w:val="（%1）"/>
      <w:lvlJc w:val="left"/>
      <w:rPr>
        <w:rFonts w:hint="eastAsia"/>
      </w:rPr>
    </w:lvl>
  </w:abstractNum>
  <w:abstractNum w:abstractNumId="1">
    <w:nsid w:val="FB3E7A1F"/>
    <w:multiLevelType w:val="singleLevel"/>
    <w:tmpl w:val="FB3E7A1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EF9409"/>
    <w:rsid w:val="37F53A3B"/>
    <w:rsid w:val="389B6C89"/>
    <w:rsid w:val="38D469F0"/>
    <w:rsid w:val="39627CCD"/>
    <w:rsid w:val="397BAF1F"/>
    <w:rsid w:val="3AB79AF3"/>
    <w:rsid w:val="3B7EF35A"/>
    <w:rsid w:val="3B9FDB6C"/>
    <w:rsid w:val="3BF5BC2F"/>
    <w:rsid w:val="3CEBA265"/>
    <w:rsid w:val="3D98207C"/>
    <w:rsid w:val="3D9B0D99"/>
    <w:rsid w:val="3DCE8CD9"/>
    <w:rsid w:val="3DEE7CF3"/>
    <w:rsid w:val="3DF02244"/>
    <w:rsid w:val="3DFF2CE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2A72AF1"/>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3374C1"/>
    <w:rsid w:val="744731E5"/>
    <w:rsid w:val="74527205"/>
    <w:rsid w:val="74BBD01D"/>
    <w:rsid w:val="74ED5379"/>
    <w:rsid w:val="74FC2395"/>
    <w:rsid w:val="75DEEEC2"/>
    <w:rsid w:val="76E3355F"/>
    <w:rsid w:val="76FF5125"/>
    <w:rsid w:val="773936D8"/>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29FCDF"/>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BEAAE13"/>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6F4A54"/>
    <w:rsid w:val="ED7FD312"/>
    <w:rsid w:val="EF53993F"/>
    <w:rsid w:val="EF6FD633"/>
    <w:rsid w:val="EFBFB2F4"/>
    <w:rsid w:val="EFBFFA21"/>
    <w:rsid w:val="EFF7D74A"/>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FFFFB62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Header or footer|1"/>
    <w:qFormat/>
    <w:uiPriority w:val="0"/>
    <w:pPr>
      <w:keepNext w:val="0"/>
      <w:keepLines w:val="0"/>
      <w:widowControl w:val="0"/>
      <w:shd w:val="clear" w:color="auto" w:fill="auto"/>
      <w:bidi w:val="0"/>
      <w:spacing w:before="0" w:after="0" w:line="240" w:lineRule="auto"/>
      <w:ind w:left="0" w:right="0" w:firstLine="0"/>
      <w:jc w:val="center"/>
    </w:pPr>
    <w:rPr>
      <w:rFonts w:ascii="Times New Roman" w:hAnsi="Times New Roman" w:eastAsia="Times New Roman" w:cs="Times New Roman"/>
      <w:b/>
      <w:bCs/>
      <w:color w:val="3C3A3F"/>
      <w:spacing w:val="0"/>
      <w:w w:val="80"/>
      <w:position w:val="0"/>
      <w:sz w:val="30"/>
      <w:szCs w:val="30"/>
      <w:u w:val="none"/>
      <w:shd w:val="clear" w:color="auto" w:fill="auto"/>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2"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2"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2"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2"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2"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2"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elete val="1"/>
          </c:dLbls>
          <c:cat>
            <c:strRef>
              <c:f>[工作簿2]Sheet1!$A$1:$D$1</c:f>
              <c:strCache>
                <c:ptCount val="4"/>
                <c:pt idx="0">
                  <c:v>2025年度收入总计</c:v>
                </c:pt>
                <c:pt idx="1">
                  <c:v>2025年度支出总计</c:v>
                </c:pt>
                <c:pt idx="2">
                  <c:v>2024年度收入总计</c:v>
                </c:pt>
                <c:pt idx="3">
                  <c:v>2024年度支出总计</c:v>
                </c:pt>
              </c:strCache>
            </c:strRef>
          </c:cat>
          <c:val>
            <c:numRef>
              <c:f>[工作簿2]Sheet1!$A$2:$D$2</c:f>
              <c:numCache>
                <c:formatCode>General</c:formatCode>
                <c:ptCount val="4"/>
                <c:pt idx="0">
                  <c:v>2413.4</c:v>
                </c:pt>
                <c:pt idx="1">
                  <c:v>2408.12</c:v>
                </c:pt>
                <c:pt idx="2">
                  <c:v>2170.56</c:v>
                </c:pt>
                <c:pt idx="3">
                  <c:v>2145.53</c:v>
                </c:pt>
              </c:numCache>
            </c:numRef>
          </c:val>
        </c:ser>
        <c:dLbls>
          <c:showLegendKey val="0"/>
          <c:showVal val="0"/>
          <c:showCatName val="0"/>
          <c:showSerName val="0"/>
          <c:showPercent val="0"/>
          <c:showBubbleSize val="0"/>
        </c:dLbls>
        <c:gapWidth val="219"/>
        <c:overlap val="-27"/>
        <c:axId val="356062411"/>
        <c:axId val="805198333"/>
      </c:barChart>
      <c:catAx>
        <c:axId val="3560624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198333"/>
        <c:crosses val="autoZero"/>
        <c:auto val="1"/>
        <c:lblAlgn val="ctr"/>
        <c:lblOffset val="100"/>
        <c:noMultiLvlLbl val="0"/>
      </c:catAx>
      <c:valAx>
        <c:axId val="80519833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062411"/>
        <c:crosses val="autoZero"/>
        <c:crossBetween val="between"/>
      </c:valAx>
      <c:spPr>
        <a:noFill/>
        <a:ln>
          <a:noFill/>
        </a:ln>
        <a:effectLst/>
      </c:spPr>
    </c:plotArea>
    <c:plotVisOnly val="1"/>
    <c:dispBlanksAs val="gap"/>
    <c:showDLblsOverMax val="0"/>
    <c:extLst>
      <c:ext uri="{0b15fc19-7d7d-44ad-8c2d-2c3a37ce22c3}">
        <chartProps xmlns="https://web.wps.cn/et/2018/main" chartId="{dadfe3a0-fe3f-4e03-ad18-154962da53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[工作簿2]Sheet1!$A$1:$B$1</c:f>
              <c:strCache>
                <c:ptCount val="2"/>
                <c:pt idx="0">
                  <c:v>一般公共预算财政拨款收入</c:v>
                </c:pt>
                <c:pt idx="1">
                  <c:v>其他收入</c:v>
                </c:pt>
              </c:strCache>
            </c:strRef>
          </c:cat>
          <c:val>
            <c:numRef>
              <c:f>[工作簿2]Sheet1!$A$2:$B$2</c:f>
              <c:numCache>
                <c:formatCode>General</c:formatCode>
                <c:ptCount val="2"/>
                <c:pt idx="0">
                  <c:v>1762.64</c:v>
                </c:pt>
                <c:pt idx="1">
                  <c:v>650.76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a8ee97-62ee-4a9f-84cc-23ae34221f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[工作簿2]Sheet1!$A$1:$B$1</c:f>
              <c:strCache>
                <c:ptCount val="2"/>
                <c:pt idx="0">
                  <c:v>基本支出</c:v>
                </c:pt>
                <c:pt idx="1">
                  <c:v>项目支出</c:v>
                </c:pt>
              </c:strCache>
            </c:strRef>
          </c:cat>
          <c:val>
            <c:numRef>
              <c:f>[工作簿2]Sheet1!$A$2:$B$2</c:f>
              <c:numCache>
                <c:formatCode>General</c:formatCode>
                <c:ptCount val="2"/>
                <c:pt idx="0">
                  <c:v>1740.28</c:v>
                </c:pt>
                <c:pt idx="1">
                  <c:v>667.84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f48a5d3-ad8c-4fd0-a576-684ed276c76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elete val="1"/>
          </c:dLbls>
          <c:cat>
            <c:strRef>
              <c:f>[工作簿2]Sheet1!$A$1:$D$1</c:f>
              <c:strCache>
                <c:ptCount val="4"/>
                <c:pt idx="0">
                  <c:v>2025年度财政拨款收入</c:v>
                </c:pt>
                <c:pt idx="1">
                  <c:v>2025年度财政拨款支出</c:v>
                </c:pt>
                <c:pt idx="2">
                  <c:v>2024年度财政拨款收入</c:v>
                </c:pt>
                <c:pt idx="3">
                  <c:v>2024年度财政拨款支出</c:v>
                </c:pt>
              </c:strCache>
            </c:strRef>
          </c:cat>
          <c:val>
            <c:numRef>
              <c:f>[工作簿2]Sheet1!$A$2:$D$2</c:f>
              <c:numCache>
                <c:formatCode>General</c:formatCode>
                <c:ptCount val="4"/>
                <c:pt idx="0">
                  <c:v>1762.64</c:v>
                </c:pt>
                <c:pt idx="1">
                  <c:v>1762.64</c:v>
                </c:pt>
                <c:pt idx="2">
                  <c:v>1698.89</c:v>
                </c:pt>
                <c:pt idx="3">
                  <c:v>1698.89</c:v>
                </c:pt>
              </c:numCache>
            </c:numRef>
          </c:val>
        </c:ser>
        <c:dLbls>
          <c:showLegendKey val="0"/>
          <c:showVal val="0"/>
          <c:showCatName val="0"/>
          <c:showSerName val="0"/>
          <c:showPercent val="0"/>
          <c:showBubbleSize val="0"/>
        </c:dLbls>
        <c:gapWidth val="219"/>
        <c:overlap val="-27"/>
        <c:axId val="696082084"/>
        <c:axId val="44045655"/>
      </c:barChart>
      <c:catAx>
        <c:axId val="69608208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45655"/>
        <c:crosses val="autoZero"/>
        <c:auto val="1"/>
        <c:lblAlgn val="ctr"/>
        <c:lblOffset val="100"/>
        <c:noMultiLvlLbl val="0"/>
      </c:catAx>
      <c:valAx>
        <c:axId val="44045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0820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61060db-1cb6-4a1a-8e09-249cf892d2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elete val="1"/>
          </c:dLbls>
          <c:cat>
            <c:strRef>
              <c:f>[工作簿2]Sheet1!$A$1:$B$1</c:f>
              <c:strCache>
                <c:ptCount val="2"/>
                <c:pt idx="0">
                  <c:v>2024年度一般公共预算财政拨款支出</c:v>
                </c:pt>
                <c:pt idx="1">
                  <c:v>2024年度一般公共预算财政拨款支出</c:v>
                </c:pt>
              </c:strCache>
            </c:strRef>
          </c:cat>
          <c:val>
            <c:numRef>
              <c:f>[工作簿2]Sheet1!$A$2:$B$2</c:f>
              <c:numCache>
                <c:formatCode>General</c:formatCode>
                <c:ptCount val="2"/>
                <c:pt idx="0">
                  <c:v>1762.64</c:v>
                </c:pt>
                <c:pt idx="1">
                  <c:v>1698.89</c:v>
                </c:pt>
              </c:numCache>
            </c:numRef>
          </c:val>
        </c:ser>
        <c:dLbls>
          <c:showLegendKey val="0"/>
          <c:showVal val="0"/>
          <c:showCatName val="0"/>
          <c:showSerName val="0"/>
          <c:showPercent val="0"/>
          <c:showBubbleSize val="0"/>
        </c:dLbls>
        <c:gapWidth val="219"/>
        <c:overlap val="-27"/>
        <c:axId val="148688908"/>
        <c:axId val="364235769"/>
      </c:barChart>
      <c:catAx>
        <c:axId val="1486889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235769"/>
        <c:crosses val="autoZero"/>
        <c:auto val="1"/>
        <c:lblAlgn val="ctr"/>
        <c:lblOffset val="100"/>
        <c:noMultiLvlLbl val="0"/>
      </c:catAx>
      <c:valAx>
        <c:axId val="36423576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86889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1b5fc6e2-cc58-4bdd-ad3e-8b0b040c59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[工作簿2]Sheet1!$A$1:$D$1</c:f>
              <c:strCache>
                <c:ptCount val="4"/>
                <c:pt idx="0">
                  <c:v>公共安全支出</c:v>
                </c:pt>
                <c:pt idx="1">
                  <c:v>社会保障和就业</c:v>
                </c:pt>
                <c:pt idx="2">
                  <c:v>卫生健康</c:v>
                </c:pt>
                <c:pt idx="3">
                  <c:v>住房保障</c:v>
                </c:pt>
              </c:strCache>
            </c:strRef>
          </c:cat>
          <c:val>
            <c:numRef>
              <c:f>[工作簿2]Sheet1!$A$2:$D$2</c:f>
              <c:numCache>
                <c:formatCode>General</c:formatCode>
                <c:ptCount val="4"/>
                <c:pt idx="0">
                  <c:v>1427.97</c:v>
                </c:pt>
                <c:pt idx="1">
                  <c:v>162.72</c:v>
                </c:pt>
                <c:pt idx="2">
                  <c:v>68.53</c:v>
                </c:pt>
                <c:pt idx="3">
                  <c:v>103.41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f5a4f3-334a-4a84-8e91-641536db48b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[工作簿2]Sheet1!$A$1:$B$1</c:f>
              <c:strCache>
                <c:ptCount val="2"/>
                <c:pt idx="0">
                  <c:v>公务用车购置及运行维护费</c:v>
                </c:pt>
                <c:pt idx="1">
                  <c:v>公务接待费</c:v>
                </c:pt>
              </c:strCache>
            </c:strRef>
          </c:cat>
          <c:val>
            <c:numRef>
              <c:f>[工作簿2]Sheet1!$A$2:$B$2</c:f>
              <c:numCache>
                <c:formatCode>General</c:formatCode>
                <c:ptCount val="2"/>
                <c:pt idx="0">
                  <c:v>23.94</c:v>
                </c:pt>
                <c:pt idx="1">
                  <c:v>1.23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1a9e359-cbbb-45e1-aac4-7b48ac53de4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8653</Words>
  <Characters>9498</Characters>
  <Lines>61</Lines>
  <Paragraphs>17</Paragraphs>
  <TotalTime>203</TotalTime>
  <ScaleCrop>false</ScaleCrop>
  <LinksUpToDate>false</LinksUpToDate>
  <CharactersWithSpaces>9557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一个笨蛋</cp:lastModifiedBy>
  <cp:lastPrinted>2026-08-04T01:27:00Z</cp:lastPrinted>
  <dcterms:modified xsi:type="dcterms:W3CDTF">2026-09-18T07:16:26Z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eyJoZGlkIjoiYjllZGNkZWEzYjg0NDNmNTQ5MjkzNjk0ODlhNmVkYzAiLCJ1c2VySWQiOiI0MTAxMDQ4MDkifQ==</vt:lpwstr>
  </property>
</Properties>
</file>