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475"/>
      <w:bookmarkStart w:id="2" w:name="_Toc15396597"/>
      <w:bookmarkStart w:id="3" w:name="_Toc15377425"/>
      <w:bookmarkStart w:id="4" w:name="_Toc15377193"/>
      <w:bookmarkStart w:id="5" w:name="_Toc15306267"/>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21314"/>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6"/>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7" w:name="_Toc15993"/>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val="en-US" w:eastAsia="zh-CN"/>
        </w:rPr>
        <w:t>红原县人民法院</w:t>
      </w:r>
      <w:bookmarkEnd w:id="7"/>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8" w:name="_Toc6941"/>
      <w:r>
        <w:rPr>
          <w:rFonts w:hint="eastAsia" w:ascii="方正小标宋简体" w:hAnsi="方正小标宋简体" w:eastAsia="方正小标宋简体" w:cs="方正小标宋简体"/>
          <w:sz w:val="72"/>
          <w:szCs w:val="72"/>
          <w:lang w:val="en-US" w:eastAsia="zh-CN"/>
        </w:rPr>
        <w:t>部门</w:t>
      </w:r>
      <w:r>
        <w:rPr>
          <w:rFonts w:hint="eastAsia" w:ascii="方正小标宋简体" w:hAnsi="方正小标宋简体" w:eastAsia="方正小标宋简体" w:cs="方正小标宋简体"/>
          <w:sz w:val="72"/>
          <w:szCs w:val="72"/>
        </w:rPr>
        <w:t>决算</w:t>
      </w:r>
      <w:bookmarkEnd w:id="8"/>
    </w:p>
    <w:p>
      <w:pPr>
        <w:widowControl/>
        <w:shd w:val="clear" w:color="auto" w:fill="FFFFFF"/>
        <w:jc w:val="center"/>
        <w:rPr>
          <w:rFonts w:ascii="Arial" w:hAnsi="Arial" w:eastAsia="宋体" w:cs="Arial"/>
          <w:color w:val="000000"/>
          <w:kern w:val="0"/>
          <w:sz w:val="24"/>
          <w:szCs w:val="24"/>
        </w:rPr>
      </w:pPr>
      <w:r>
        <w:rPr>
          <w:rFonts w:ascii="Arial" w:hAnsi="Arial" w:eastAsia="宋体" w:cs="Arial"/>
          <w:color w:val="000000"/>
          <w:kern w:val="0"/>
          <w:sz w:val="24"/>
          <w:szCs w:val="24"/>
        </w:rPr>
        <w:t>已经保密审查、内容审定，同意对外公开</w:t>
      </w:r>
    </w:p>
    <w:p>
      <w:pPr>
        <w:spacing w:line="600" w:lineRule="exact"/>
        <w:jc w:val="center"/>
        <w:outlineLvl w:val="0"/>
        <w:rPr>
          <w:rFonts w:ascii="Times New Roman" w:hAnsi="Times New Roman" w:eastAsia="方正小标宋简体"/>
          <w:color w:val="auto"/>
          <w:sz w:val="72"/>
          <w:szCs w:val="72"/>
          <w:highlight w:val="none"/>
        </w:rPr>
      </w:pPr>
    </w:p>
    <w:p>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9" w:name="_Toc15396599"/>
      <w:bookmarkStart w:id="10" w:name="_Toc15377196"/>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9"/>
      <w:bookmarkEnd w:id="10"/>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4"/>
        <w:keepNext/>
        <w:keepLines w:val="0"/>
        <w:pageBreakBefore w:val="0"/>
        <w:widowControl/>
        <w:numPr>
          <w:ilvl w:val="0"/>
          <w:numId w:val="0"/>
        </w:numPr>
        <w:kinsoku/>
        <w:wordWrap w:val="0"/>
        <w:overflowPunct/>
        <w:topLinePunct/>
        <w:autoSpaceDE/>
        <w:autoSpaceDN/>
        <w:bidi w:val="0"/>
        <w:adjustRightInd/>
        <w:snapToGrid/>
        <w:spacing w:before="0" w:after="0" w:line="560" w:lineRule="exact"/>
        <w:ind w:firstLine="640" w:firstLineChars="200"/>
        <w:jc w:val="left"/>
        <w:textAlignment w:val="auto"/>
        <w:rPr>
          <w:rFonts w:hint="eastAsia" w:ascii="仿宋_GB2312" w:hAnsi="仿宋_GB2312" w:eastAsia="仿宋_GB2312" w:cs="仿宋_GB2312"/>
          <w:b w:val="0"/>
          <w:bCs w:val="0"/>
          <w:sz w:val="32"/>
          <w:szCs w:val="32"/>
        </w:rPr>
      </w:pPr>
      <w:bookmarkStart w:id="11" w:name="_Toc3214"/>
      <w:bookmarkStart w:id="12" w:name="_Toc15396601"/>
      <w:bookmarkStart w:id="13" w:name="_Toc15377200"/>
      <w:r>
        <w:rPr>
          <w:rFonts w:hint="eastAsia" w:ascii="仿宋_GB2312" w:hAnsi="仿宋_GB2312" w:eastAsia="仿宋_GB2312" w:cs="仿宋_GB2312"/>
          <w:b w:val="0"/>
          <w:bCs w:val="0"/>
          <w:sz w:val="32"/>
          <w:szCs w:val="32"/>
        </w:rPr>
        <w:t>法院作为国家审判机关，在各级党委、政府的指导下依法独立行使审判权，对县人民代表大会及其常务委员会负责并报告工作。人民法院作为国家的司法机关，承担着维护社会公平正义、保障公民权益、维护法律尊严的重要职责。它的主要职能包括审判、执行和监督，通过司法权力的行使，维护社会秩序，保护人民的合法权益，促进社会稳定和经济发展。</w:t>
      </w:r>
      <w:bookmarkEnd w:id="11"/>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sz w:val="32"/>
          <w:szCs w:val="32"/>
          <w:lang w:val="en-US" w:eastAsia="zh-CN"/>
        </w:rPr>
        <w:t>2025</w:t>
      </w:r>
      <w:r>
        <w:rPr>
          <w:rFonts w:hint="eastAsia" w:ascii="仿宋_GB2312" w:hAnsi="仿宋_GB2312" w:eastAsia="仿宋_GB2312" w:cs="仿宋_GB2312"/>
          <w:b w:val="0"/>
          <w:bCs w:val="0"/>
          <w:kern w:val="2"/>
          <w:sz w:val="32"/>
          <w:szCs w:val="32"/>
          <w:lang w:val="en-US" w:eastAsia="zh-CN" w:bidi="ar-SA"/>
        </w:rPr>
        <w:t>年，全院各部门高效履职，各项工作成效显著，案件审理质效稳步提升，全院共受理各类案件</w:t>
      </w:r>
      <w:r>
        <w:rPr>
          <w:rFonts w:hint="eastAsia" w:ascii="仿宋_GB2312" w:hAnsi="仿宋_GB2312" w:eastAsia="仿宋_GB2312" w:cs="仿宋_GB2312"/>
          <w:b/>
          <w:sz w:val="32"/>
          <w:szCs w:val="32"/>
          <w:lang w:val="en-US" w:eastAsia="zh-CN"/>
        </w:rPr>
        <w:t>511</w:t>
      </w:r>
      <w:r>
        <w:rPr>
          <w:rFonts w:hint="eastAsia" w:ascii="仿宋_GB2312" w:hAnsi="仿宋_GB2312" w:eastAsia="仿宋_GB2312" w:cs="仿宋_GB2312"/>
          <w:b w:val="0"/>
          <w:bCs w:val="0"/>
          <w:kern w:val="2"/>
          <w:sz w:val="32"/>
          <w:szCs w:val="32"/>
          <w:lang w:val="en-US" w:eastAsia="zh-CN" w:bidi="ar-SA"/>
        </w:rPr>
        <w:t>件、审结</w:t>
      </w:r>
      <w:r>
        <w:rPr>
          <w:rFonts w:hint="eastAsia" w:ascii="仿宋_GB2312" w:hAnsi="仿宋_GB2312" w:eastAsia="仿宋_GB2312" w:cs="仿宋_GB2312"/>
          <w:b/>
          <w:sz w:val="32"/>
          <w:szCs w:val="32"/>
          <w:lang w:val="en-US" w:eastAsia="zh-CN"/>
        </w:rPr>
        <w:t>496</w:t>
      </w:r>
      <w:r>
        <w:rPr>
          <w:rFonts w:hint="eastAsia" w:ascii="仿宋_GB2312" w:hAnsi="仿宋_GB2312" w:eastAsia="仿宋_GB2312" w:cs="仿宋_GB2312"/>
          <w:b w:val="0"/>
          <w:bCs w:val="0"/>
          <w:kern w:val="2"/>
          <w:sz w:val="32"/>
          <w:szCs w:val="32"/>
          <w:lang w:val="en-US" w:eastAsia="zh-CN" w:bidi="ar-SA"/>
        </w:rPr>
        <w:t>件，综合结案率</w:t>
      </w:r>
      <w:r>
        <w:rPr>
          <w:rFonts w:hint="eastAsia" w:ascii="仿宋_GB2312" w:hAnsi="仿宋_GB2312" w:eastAsia="仿宋_GB2312" w:cs="仿宋_GB2312"/>
          <w:b/>
          <w:sz w:val="32"/>
          <w:szCs w:val="32"/>
          <w:lang w:val="en-US" w:eastAsia="zh-CN"/>
        </w:rPr>
        <w:t>97.06%</w:t>
      </w:r>
      <w:r>
        <w:rPr>
          <w:rFonts w:hint="eastAsia" w:ascii="仿宋_GB2312" w:hAnsi="仿宋_GB2312" w:eastAsia="仿宋_GB2312" w:cs="仿宋_GB2312"/>
          <w:b w:val="0"/>
          <w:bCs w:val="0"/>
          <w:kern w:val="2"/>
          <w:sz w:val="32"/>
          <w:szCs w:val="32"/>
          <w:lang w:val="en-US" w:eastAsia="zh-CN" w:bidi="ar-SA"/>
        </w:rPr>
        <w:t>，其中民事案件受理</w:t>
      </w:r>
      <w:r>
        <w:rPr>
          <w:rFonts w:hint="eastAsia" w:ascii="仿宋_GB2312" w:hAnsi="仿宋_GB2312" w:eastAsia="仿宋_GB2312" w:cs="仿宋_GB2312"/>
          <w:b/>
          <w:sz w:val="32"/>
          <w:szCs w:val="32"/>
          <w:lang w:val="en-US" w:eastAsia="zh-CN"/>
        </w:rPr>
        <w:t>316</w:t>
      </w:r>
      <w:r>
        <w:rPr>
          <w:rFonts w:hint="eastAsia" w:ascii="仿宋_GB2312" w:hAnsi="仿宋_GB2312" w:eastAsia="仿宋_GB2312" w:cs="仿宋_GB2312"/>
          <w:b w:val="0"/>
          <w:bCs w:val="0"/>
          <w:kern w:val="2"/>
          <w:sz w:val="32"/>
          <w:szCs w:val="32"/>
          <w:lang w:val="en-US" w:eastAsia="zh-CN" w:bidi="ar-SA"/>
        </w:rPr>
        <w:t>件、审结</w:t>
      </w:r>
      <w:r>
        <w:rPr>
          <w:rFonts w:hint="eastAsia" w:ascii="仿宋_GB2312" w:hAnsi="仿宋_GB2312" w:eastAsia="仿宋_GB2312" w:cs="仿宋_GB2312"/>
          <w:b/>
          <w:sz w:val="32"/>
          <w:szCs w:val="32"/>
          <w:lang w:val="en-US" w:eastAsia="zh-CN"/>
        </w:rPr>
        <w:t>295</w:t>
      </w:r>
      <w:r>
        <w:rPr>
          <w:rFonts w:hint="eastAsia" w:ascii="仿宋_GB2312" w:hAnsi="仿宋_GB2312" w:eastAsia="仿宋_GB2312" w:cs="仿宋_GB2312"/>
          <w:b w:val="0"/>
          <w:bCs w:val="0"/>
          <w:kern w:val="2"/>
          <w:sz w:val="32"/>
          <w:szCs w:val="32"/>
          <w:lang w:val="en-US" w:eastAsia="zh-CN" w:bidi="ar-SA"/>
        </w:rPr>
        <w:t>件，结案率</w:t>
      </w:r>
      <w:r>
        <w:rPr>
          <w:rFonts w:hint="eastAsia" w:ascii="仿宋_GB2312" w:hAnsi="仿宋_GB2312" w:eastAsia="仿宋_GB2312" w:cs="仿宋_GB2312"/>
          <w:b/>
          <w:sz w:val="32"/>
          <w:szCs w:val="32"/>
          <w:lang w:val="en-US" w:eastAsia="zh-CN"/>
        </w:rPr>
        <w:t>93%</w:t>
      </w:r>
      <w:r>
        <w:rPr>
          <w:rFonts w:hint="eastAsia" w:ascii="仿宋_GB2312" w:hAnsi="仿宋_GB2312" w:eastAsia="仿宋_GB2312" w:cs="仿宋_GB2312"/>
          <w:b w:val="0"/>
          <w:bCs w:val="0"/>
          <w:kern w:val="2"/>
          <w:sz w:val="32"/>
          <w:szCs w:val="32"/>
          <w:lang w:val="en-US" w:eastAsia="zh-CN" w:bidi="ar-SA"/>
        </w:rPr>
        <w:t>，调撤率</w:t>
      </w:r>
      <w:r>
        <w:rPr>
          <w:rFonts w:hint="eastAsia" w:ascii="仿宋_GB2312" w:hAnsi="仿宋_GB2312" w:eastAsia="仿宋_GB2312" w:cs="仿宋_GB2312"/>
          <w:b/>
          <w:sz w:val="32"/>
          <w:szCs w:val="32"/>
          <w:lang w:val="en-US" w:eastAsia="zh-CN"/>
        </w:rPr>
        <w:t>74.6%</w:t>
      </w:r>
      <w:r>
        <w:rPr>
          <w:rFonts w:hint="eastAsia" w:ascii="仿宋_GB2312" w:hAnsi="仿宋_GB2312" w:eastAsia="仿宋_GB2312" w:cs="仿宋_GB2312"/>
          <w:b w:val="0"/>
          <w:bCs w:val="0"/>
          <w:kern w:val="2"/>
          <w:sz w:val="32"/>
          <w:szCs w:val="32"/>
          <w:lang w:val="en-US" w:eastAsia="zh-CN" w:bidi="ar-SA"/>
        </w:rPr>
        <w:t>，刑事案件受理</w:t>
      </w:r>
      <w:r>
        <w:rPr>
          <w:rFonts w:hint="eastAsia" w:ascii="仿宋_GB2312" w:hAnsi="仿宋_GB2312" w:eastAsia="仿宋_GB2312" w:cs="仿宋_GB2312"/>
          <w:b/>
          <w:sz w:val="32"/>
          <w:szCs w:val="32"/>
          <w:lang w:val="en-US" w:eastAsia="zh-CN"/>
        </w:rPr>
        <w:t>41</w:t>
      </w:r>
      <w:r>
        <w:rPr>
          <w:rFonts w:hint="eastAsia" w:ascii="仿宋_GB2312" w:hAnsi="仿宋_GB2312" w:eastAsia="仿宋_GB2312" w:cs="仿宋_GB2312"/>
          <w:b w:val="0"/>
          <w:bCs w:val="0"/>
          <w:kern w:val="2"/>
          <w:sz w:val="32"/>
          <w:szCs w:val="32"/>
          <w:lang w:val="en-US" w:eastAsia="zh-CN" w:bidi="ar-SA"/>
        </w:rPr>
        <w:t>件、审结</w:t>
      </w:r>
      <w:r>
        <w:rPr>
          <w:rFonts w:hint="eastAsia" w:ascii="仿宋_GB2312" w:hAnsi="仿宋_GB2312" w:eastAsia="仿宋_GB2312" w:cs="仿宋_GB2312"/>
          <w:b/>
          <w:sz w:val="32"/>
          <w:szCs w:val="32"/>
          <w:lang w:val="en-US" w:eastAsia="zh-CN"/>
        </w:rPr>
        <w:t>41</w:t>
      </w:r>
      <w:r>
        <w:rPr>
          <w:rFonts w:hint="eastAsia" w:ascii="仿宋_GB2312" w:hAnsi="仿宋_GB2312" w:eastAsia="仿宋_GB2312" w:cs="仿宋_GB2312"/>
          <w:b w:val="0"/>
          <w:bCs w:val="0"/>
          <w:kern w:val="2"/>
          <w:sz w:val="32"/>
          <w:szCs w:val="32"/>
          <w:lang w:val="en-US" w:eastAsia="zh-CN" w:bidi="ar-SA"/>
        </w:rPr>
        <w:t>件，结案率</w:t>
      </w:r>
      <w:r>
        <w:rPr>
          <w:rFonts w:hint="eastAsia" w:ascii="仿宋_GB2312" w:hAnsi="仿宋_GB2312" w:eastAsia="仿宋_GB2312" w:cs="仿宋_GB2312"/>
          <w:b/>
          <w:sz w:val="32"/>
          <w:szCs w:val="32"/>
          <w:lang w:val="en-US" w:eastAsia="zh-CN"/>
        </w:rPr>
        <w:t>100%</w:t>
      </w:r>
      <w:r>
        <w:rPr>
          <w:rFonts w:hint="eastAsia" w:ascii="仿宋_GB2312" w:hAnsi="仿宋_GB2312" w:eastAsia="仿宋_GB2312" w:cs="仿宋_GB2312"/>
          <w:b w:val="0"/>
          <w:bCs w:val="0"/>
          <w:kern w:val="2"/>
          <w:sz w:val="32"/>
          <w:szCs w:val="32"/>
          <w:lang w:val="en-US" w:eastAsia="zh-CN" w:bidi="ar-SA"/>
        </w:rPr>
        <w:t>，刑事审判警务保障</w:t>
      </w:r>
      <w:r>
        <w:rPr>
          <w:rFonts w:hint="eastAsia" w:ascii="仿宋_GB2312" w:hAnsi="仿宋_GB2312" w:eastAsia="仿宋_GB2312" w:cs="仿宋_GB2312"/>
          <w:b/>
          <w:sz w:val="32"/>
          <w:szCs w:val="32"/>
          <w:lang w:val="en-US" w:eastAsia="zh-CN"/>
        </w:rPr>
        <w:t>45</w:t>
      </w:r>
      <w:r>
        <w:rPr>
          <w:rFonts w:hint="eastAsia" w:ascii="仿宋_GB2312" w:hAnsi="仿宋_GB2312" w:eastAsia="仿宋_GB2312" w:cs="仿宋_GB2312"/>
          <w:b w:val="0"/>
          <w:bCs w:val="0"/>
          <w:kern w:val="2"/>
          <w:sz w:val="32"/>
          <w:szCs w:val="32"/>
          <w:lang w:val="en-US" w:eastAsia="zh-CN" w:bidi="ar-SA"/>
        </w:rPr>
        <w:t>次，协助收监执行</w:t>
      </w:r>
      <w:r>
        <w:rPr>
          <w:rFonts w:hint="eastAsia" w:ascii="仿宋_GB2312" w:hAnsi="仿宋_GB2312" w:eastAsia="仿宋_GB2312" w:cs="仿宋_GB2312"/>
          <w:b/>
          <w:sz w:val="32"/>
          <w:szCs w:val="32"/>
          <w:lang w:val="en-US" w:eastAsia="zh-CN"/>
        </w:rPr>
        <w:t>26</w:t>
      </w:r>
      <w:r>
        <w:rPr>
          <w:rFonts w:hint="eastAsia" w:ascii="仿宋_GB2312" w:hAnsi="仿宋_GB2312" w:eastAsia="仿宋_GB2312" w:cs="仿宋_GB2312"/>
          <w:b w:val="0"/>
          <w:bCs w:val="0"/>
          <w:kern w:val="2"/>
          <w:sz w:val="32"/>
          <w:szCs w:val="32"/>
          <w:lang w:val="en-US" w:eastAsia="zh-CN" w:bidi="ar-SA"/>
        </w:rPr>
        <w:t>人，行政案件受理</w:t>
      </w: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val="0"/>
          <w:bCs w:val="0"/>
          <w:kern w:val="2"/>
          <w:sz w:val="32"/>
          <w:szCs w:val="32"/>
          <w:lang w:val="en-US" w:eastAsia="zh-CN" w:bidi="ar-SA"/>
        </w:rPr>
        <w:t>件、审结</w:t>
      </w: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val="0"/>
          <w:bCs w:val="0"/>
          <w:kern w:val="2"/>
          <w:sz w:val="32"/>
          <w:szCs w:val="32"/>
          <w:lang w:val="en-US" w:eastAsia="zh-CN" w:bidi="ar-SA"/>
        </w:rPr>
        <w:t>件，结案率1</w:t>
      </w:r>
      <w:r>
        <w:rPr>
          <w:rFonts w:hint="eastAsia" w:ascii="仿宋_GB2312" w:hAnsi="仿宋_GB2312" w:eastAsia="仿宋_GB2312" w:cs="仿宋_GB2312"/>
          <w:b/>
          <w:sz w:val="32"/>
          <w:szCs w:val="32"/>
          <w:lang w:val="en-US" w:eastAsia="zh-CN"/>
        </w:rPr>
        <w:t>00%</w:t>
      </w:r>
      <w:r>
        <w:rPr>
          <w:rFonts w:hint="eastAsia" w:ascii="仿宋_GB2312" w:hAnsi="仿宋_GB2312" w:eastAsia="仿宋_GB2312" w:cs="仿宋_GB2312"/>
          <w:b w:val="0"/>
          <w:bCs w:val="0"/>
          <w:kern w:val="2"/>
          <w:sz w:val="32"/>
          <w:szCs w:val="32"/>
          <w:lang w:val="en-US" w:eastAsia="zh-CN" w:bidi="ar-SA"/>
        </w:rPr>
        <w:t>，圆满完成全年各项目标任务。</w:t>
      </w:r>
    </w:p>
    <w:p>
      <w:pPr>
        <w:pStyle w:val="4"/>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2"/>
      <w:bookmarkEnd w:id="13"/>
    </w:p>
    <w:p>
      <w:pPr>
        <w:numPr>
          <w:ilvl w:val="0"/>
          <w:numId w:val="0"/>
        </w:numPr>
        <w:wordWrap w:val="0"/>
        <w:topLinePunct/>
        <w:spacing w:beforeLines="0" w:afterLines="0" w:line="560" w:lineRule="exact"/>
        <w:ind w:firstLine="640" w:firstLineChars="200"/>
        <w:rPr>
          <w:rFonts w:hint="eastAsia" w:ascii="仿宋_GB2312" w:hAnsi="仿宋_GB2312" w:eastAsia="仿宋_GB2312"/>
          <w:sz w:val="32"/>
          <w:szCs w:val="24"/>
        </w:rPr>
      </w:pPr>
      <w:r>
        <w:rPr>
          <w:rFonts w:hint="eastAsia" w:ascii="仿宋_GB2312" w:hAnsi="仿宋_GB2312" w:eastAsia="仿宋_GB2312"/>
          <w:sz w:val="32"/>
          <w:szCs w:val="24"/>
        </w:rPr>
        <w:t>本单位本年度纳入本套决算编制范围的独立编制机构数共</w:t>
      </w:r>
      <w:r>
        <w:rPr>
          <w:rFonts w:hint="eastAsia" w:ascii="仿宋_GB2312" w:hAnsi="仿宋_GB2312" w:eastAsia="仿宋_GB2312"/>
          <w:b/>
          <w:sz w:val="32"/>
          <w:szCs w:val="24"/>
        </w:rPr>
        <w:t>1</w:t>
      </w:r>
      <w:r>
        <w:rPr>
          <w:rFonts w:hint="eastAsia" w:ascii="仿宋_GB2312" w:hAnsi="仿宋_GB2312" w:eastAsia="仿宋_GB2312"/>
          <w:sz w:val="32"/>
          <w:szCs w:val="24"/>
        </w:rPr>
        <w:t>个，比上年增加</w:t>
      </w:r>
      <w:r>
        <w:rPr>
          <w:rFonts w:hint="eastAsia" w:ascii="仿宋_GB2312" w:hAnsi="仿宋_GB2312" w:eastAsia="仿宋_GB2312"/>
          <w:b/>
          <w:sz w:val="32"/>
          <w:szCs w:val="24"/>
        </w:rPr>
        <w:t>0</w:t>
      </w:r>
      <w:r>
        <w:rPr>
          <w:rFonts w:hint="eastAsia" w:ascii="仿宋_GB2312" w:hAnsi="仿宋_GB2312" w:eastAsia="仿宋_GB2312"/>
          <w:sz w:val="32"/>
          <w:szCs w:val="24"/>
        </w:rPr>
        <w:t>个；独立核算机构数共</w:t>
      </w:r>
      <w:r>
        <w:rPr>
          <w:rFonts w:hint="eastAsia" w:ascii="仿宋_GB2312" w:hAnsi="仿宋_GB2312" w:eastAsia="仿宋_GB2312"/>
          <w:b/>
          <w:sz w:val="32"/>
          <w:szCs w:val="24"/>
        </w:rPr>
        <w:t>1</w:t>
      </w:r>
      <w:r>
        <w:rPr>
          <w:rFonts w:hint="eastAsia" w:ascii="仿宋_GB2312" w:hAnsi="仿宋_GB2312" w:eastAsia="仿宋_GB2312"/>
          <w:sz w:val="32"/>
          <w:szCs w:val="24"/>
        </w:rPr>
        <w:t>个，比上年增加</w:t>
      </w:r>
      <w:r>
        <w:rPr>
          <w:rFonts w:hint="eastAsia" w:ascii="仿宋_GB2312" w:hAnsi="仿宋_GB2312" w:eastAsia="仿宋_GB2312"/>
          <w:b/>
          <w:sz w:val="32"/>
          <w:szCs w:val="24"/>
        </w:rPr>
        <w:t>0</w:t>
      </w:r>
      <w:r>
        <w:rPr>
          <w:rFonts w:hint="eastAsia" w:ascii="仿宋_GB2312" w:hAnsi="仿宋_GB2312" w:eastAsia="仿宋_GB2312"/>
          <w:sz w:val="32"/>
          <w:szCs w:val="24"/>
        </w:rPr>
        <w:t>个。</w:t>
      </w:r>
    </w:p>
    <w:p>
      <w:pPr>
        <w:numPr>
          <w:ilvl w:val="0"/>
          <w:numId w:val="0"/>
        </w:numPr>
        <w:wordWrap w:val="0"/>
        <w:topLinePunct/>
        <w:spacing w:beforeLines="0" w:afterLines="0" w:line="560" w:lineRule="exact"/>
        <w:ind w:firstLine="640" w:firstLineChars="200"/>
        <w:rPr>
          <w:rFonts w:hint="eastAsia" w:ascii="仿宋_GB2312" w:hAnsi="仿宋_GB2312" w:eastAsia="仿宋_GB2312"/>
          <w:sz w:val="32"/>
          <w:szCs w:val="24"/>
        </w:rPr>
      </w:pPr>
      <w:r>
        <w:rPr>
          <w:rFonts w:hint="eastAsia" w:ascii="仿宋_GB2312" w:hAnsi="仿宋_GB2312" w:eastAsia="仿宋_GB2312"/>
          <w:sz w:val="32"/>
          <w:szCs w:val="24"/>
        </w:rPr>
        <w:t>本单位本年度年末实有人数为</w:t>
      </w:r>
      <w:r>
        <w:rPr>
          <w:rFonts w:hint="eastAsia" w:ascii="仿宋_GB2312" w:hAnsi="仿宋_GB2312" w:eastAsia="仿宋_GB2312"/>
          <w:b/>
          <w:sz w:val="32"/>
          <w:szCs w:val="24"/>
        </w:rPr>
        <w:t>37</w:t>
      </w:r>
      <w:r>
        <w:rPr>
          <w:rFonts w:hint="eastAsia" w:ascii="仿宋_GB2312" w:hAnsi="仿宋_GB2312" w:eastAsia="仿宋_GB2312"/>
          <w:sz w:val="32"/>
          <w:szCs w:val="24"/>
        </w:rPr>
        <w:t>人，比上年增加</w:t>
      </w:r>
      <w:r>
        <w:rPr>
          <w:rFonts w:hint="eastAsia" w:ascii="仿宋_GB2312" w:hAnsi="仿宋_GB2312" w:eastAsia="仿宋_GB2312"/>
          <w:b/>
          <w:sz w:val="32"/>
          <w:szCs w:val="24"/>
        </w:rPr>
        <w:t>0</w:t>
      </w:r>
      <w:r>
        <w:rPr>
          <w:rFonts w:hint="eastAsia" w:ascii="仿宋_GB2312" w:hAnsi="仿宋_GB2312" w:eastAsia="仿宋_GB2312"/>
          <w:sz w:val="32"/>
          <w:szCs w:val="24"/>
        </w:rPr>
        <w:t>人；年末实有离退休人数为</w:t>
      </w:r>
      <w:r>
        <w:rPr>
          <w:rFonts w:hint="eastAsia" w:ascii="仿宋_GB2312" w:hAnsi="仿宋_GB2312" w:eastAsia="仿宋_GB2312"/>
          <w:b/>
          <w:sz w:val="32"/>
          <w:szCs w:val="24"/>
        </w:rPr>
        <w:t>17</w:t>
      </w:r>
      <w:r>
        <w:rPr>
          <w:rFonts w:hint="eastAsia" w:ascii="仿宋_GB2312" w:hAnsi="仿宋_GB2312" w:eastAsia="仿宋_GB2312"/>
          <w:sz w:val="32"/>
          <w:szCs w:val="24"/>
        </w:rPr>
        <w:t>人，比上年增加</w:t>
      </w:r>
      <w:r>
        <w:rPr>
          <w:rFonts w:hint="eastAsia" w:ascii="仿宋_GB2312" w:hAnsi="仿宋_GB2312" w:eastAsia="仿宋_GB2312"/>
          <w:b/>
          <w:sz w:val="32"/>
          <w:szCs w:val="24"/>
        </w:rPr>
        <w:t>3</w:t>
      </w:r>
      <w:r>
        <w:rPr>
          <w:rFonts w:hint="eastAsia" w:ascii="仿宋_GB2312" w:hAnsi="仿宋_GB2312" w:eastAsia="仿宋_GB2312"/>
          <w:sz w:val="32"/>
          <w:szCs w:val="24"/>
        </w:rPr>
        <w:t>人；年末实有其他人数为</w:t>
      </w:r>
      <w:r>
        <w:rPr>
          <w:rFonts w:hint="eastAsia" w:ascii="仿宋_GB2312" w:hAnsi="仿宋_GB2312" w:eastAsia="仿宋_GB2312"/>
          <w:b/>
          <w:sz w:val="32"/>
          <w:szCs w:val="24"/>
        </w:rPr>
        <w:t>23</w:t>
      </w:r>
      <w:r>
        <w:rPr>
          <w:rFonts w:hint="eastAsia" w:ascii="仿宋_GB2312" w:hAnsi="仿宋_GB2312" w:eastAsia="仿宋_GB2312"/>
          <w:sz w:val="32"/>
          <w:szCs w:val="24"/>
        </w:rPr>
        <w:t>人，比上年增加</w:t>
      </w:r>
      <w:r>
        <w:rPr>
          <w:rFonts w:hint="eastAsia" w:ascii="仿宋_GB2312" w:hAnsi="仿宋_GB2312" w:eastAsia="仿宋_GB2312"/>
          <w:b/>
          <w:sz w:val="32"/>
          <w:szCs w:val="24"/>
        </w:rPr>
        <w:t>4</w:t>
      </w:r>
      <w:r>
        <w:rPr>
          <w:rFonts w:hint="eastAsia" w:ascii="仿宋_GB2312" w:hAnsi="仿宋_GB2312" w:eastAsia="仿宋_GB2312"/>
          <w:sz w:val="32"/>
          <w:szCs w:val="24"/>
        </w:rPr>
        <w:t>人。</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b w:val="0"/>
          <w:bCs w:val="0"/>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b/>
          <w:bCs/>
          <w:sz w:val="32"/>
          <w:szCs w:val="32"/>
        </w:rPr>
        <w:t>2073.56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eastAsia="zh-CN"/>
        </w:rPr>
        <w:t>减少</w:t>
      </w:r>
      <w:r>
        <w:rPr>
          <w:rFonts w:hint="eastAsia" w:ascii="仿宋_GB2312" w:hAnsi="仿宋_GB2312" w:eastAsia="仿宋_GB2312" w:cs="仿宋_GB2312"/>
          <w:b/>
          <w:sz w:val="32"/>
          <w:szCs w:val="32"/>
        </w:rPr>
        <w:t>10.6</w:t>
      </w:r>
      <w:r>
        <w:rPr>
          <w:rFonts w:hint="eastAsia" w:ascii="仿宋_GB2312" w:hAnsi="仿宋_GB2312" w:eastAsia="仿宋_GB2312" w:cs="仿宋_GB2312"/>
          <w:b/>
          <w:sz w:val="32"/>
          <w:szCs w:val="32"/>
          <w:lang w:val="en-US" w:eastAsia="zh-CN"/>
        </w:rPr>
        <w:t>4</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eastAsia="zh-CN"/>
        </w:rPr>
        <w:t>，减少</w:t>
      </w:r>
      <w:r>
        <w:rPr>
          <w:rFonts w:hint="eastAsia" w:ascii="仿宋_GB2312" w:hAnsi="仿宋_GB2312" w:eastAsia="仿宋_GB2312" w:cs="仿宋_GB2312"/>
          <w:b/>
          <w:bCs/>
          <w:sz w:val="32"/>
          <w:szCs w:val="32"/>
          <w:lang w:val="en-US" w:eastAsia="zh-CN"/>
        </w:rPr>
        <w:t>0.51%</w:t>
      </w:r>
      <w:r>
        <w:rPr>
          <w:rFonts w:hint="eastAsia" w:ascii="仿宋_GB2312" w:hAnsi="仿宋_GB2312" w:eastAsia="仿宋_GB2312" w:cs="仿宋_GB2312"/>
          <w:b w:val="0"/>
          <w:bCs w:val="0"/>
          <w:sz w:val="32"/>
          <w:szCs w:val="32"/>
          <w:lang w:val="en-US" w:eastAsia="zh-CN"/>
        </w:rPr>
        <w:t>，主要变动原是按决算要求，昨年援建资金纳入决算后，其中有</w:t>
      </w:r>
      <w:r>
        <w:rPr>
          <w:rFonts w:hint="eastAsia" w:ascii="仿宋_GB2312" w:hAnsi="仿宋_GB2312" w:eastAsia="仿宋_GB2312" w:cs="仿宋_GB2312"/>
          <w:b/>
          <w:bCs/>
          <w:sz w:val="32"/>
          <w:szCs w:val="32"/>
          <w:lang w:val="en-US" w:eastAsia="zh-CN"/>
        </w:rPr>
        <w:t>601103</w:t>
      </w:r>
      <w:r>
        <w:rPr>
          <w:rFonts w:hint="eastAsia" w:ascii="仿宋_GB2312" w:hAnsi="仿宋_GB2312" w:eastAsia="仿宋_GB2312" w:cs="仿宋_GB2312"/>
          <w:b w:val="0"/>
          <w:bCs w:val="0"/>
          <w:sz w:val="32"/>
          <w:szCs w:val="32"/>
          <w:lang w:val="en-US" w:eastAsia="zh-CN"/>
        </w:rPr>
        <w:t>元结余至盈余收入里面，没有在援建资金中体现。</w:t>
      </w:r>
      <w:r>
        <w:rPr>
          <w:rFonts w:hint="eastAsia" w:eastAsia="仿宋_GB2312" w:cs="仿宋_GB2312"/>
          <w:color w:val="auto"/>
          <w:sz w:val="32"/>
          <w:szCs w:val="32"/>
          <w:highlight w:val="none"/>
          <w:lang w:eastAsia="zh-CN"/>
        </w:rPr>
        <w:t>支出总计增加</w:t>
      </w:r>
      <w:r>
        <w:rPr>
          <w:rFonts w:hint="eastAsia" w:ascii="仿宋_GB2312" w:hAnsi="仿宋_GB2312" w:eastAsia="仿宋_GB2312" w:cs="仿宋_GB2312"/>
          <w:b/>
          <w:sz w:val="32"/>
          <w:szCs w:val="32"/>
          <w:lang w:val="en-US" w:eastAsia="zh-CN"/>
        </w:rPr>
        <w:t>49.47</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eastAsia="zh-CN"/>
        </w:rPr>
        <w:t>，增加</w:t>
      </w:r>
      <w:r>
        <w:rPr>
          <w:rFonts w:hint="eastAsia" w:ascii="仿宋_GB2312" w:hAnsi="仿宋_GB2312" w:eastAsia="仿宋_GB2312" w:cs="仿宋_GB2312"/>
          <w:b/>
          <w:bCs/>
          <w:sz w:val="32"/>
          <w:szCs w:val="32"/>
          <w:lang w:val="en-US" w:eastAsia="zh-CN"/>
        </w:rPr>
        <w:t>2.4%</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b w:val="0"/>
          <w:bCs w:val="0"/>
          <w:sz w:val="32"/>
          <w:szCs w:val="32"/>
        </w:rPr>
        <w:t>今年</w:t>
      </w:r>
      <w:r>
        <w:rPr>
          <w:rFonts w:hint="eastAsia" w:ascii="仿宋_GB2312" w:hAnsi="仿宋_GB2312" w:eastAsia="仿宋_GB2312" w:cs="仿宋_GB2312"/>
          <w:b w:val="0"/>
          <w:bCs w:val="0"/>
          <w:sz w:val="32"/>
          <w:szCs w:val="32"/>
          <w:lang w:eastAsia="zh-CN"/>
        </w:rPr>
        <w:t>新</w:t>
      </w:r>
      <w:r>
        <w:rPr>
          <w:rFonts w:hint="eastAsia" w:ascii="仿宋_GB2312" w:hAnsi="仿宋_GB2312" w:eastAsia="仿宋_GB2312" w:cs="仿宋_GB2312"/>
          <w:b w:val="0"/>
          <w:bCs w:val="0"/>
          <w:sz w:val="32"/>
          <w:szCs w:val="32"/>
        </w:rPr>
        <w:t>增物业管理服务</w:t>
      </w:r>
      <w:r>
        <w:rPr>
          <w:rFonts w:hint="eastAsia" w:ascii="仿宋_GB2312" w:hAnsi="仿宋_GB2312" w:eastAsia="仿宋_GB2312" w:cs="仿宋_GB2312"/>
          <w:b/>
          <w:sz w:val="32"/>
          <w:szCs w:val="32"/>
        </w:rPr>
        <w:t>444000</w:t>
      </w:r>
      <w:r>
        <w:rPr>
          <w:rFonts w:hint="eastAsia" w:ascii="仿宋_GB2312" w:hAnsi="仿宋_GB2312" w:eastAsia="仿宋_GB2312" w:cs="仿宋_GB2312"/>
          <w:b w:val="0"/>
          <w:bCs w:val="0"/>
          <w:sz w:val="32"/>
          <w:szCs w:val="32"/>
        </w:rPr>
        <w:t>元。</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ascii="仿宋_GB2312" w:eastAsia="仿宋_GB2312"/>
          <w:sz w:val="32"/>
          <w:szCs w:val="32"/>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96604"/>
      <w:bookmarkStart w:id="19" w:name="_Toc15377206"/>
      <w:r>
        <w:rPr>
          <w:rFonts w:hint="eastAsia" w:ascii="Times New Roman" w:hAnsi="Times New Roman" w:eastAsia="黑体"/>
          <w:color w:val="auto"/>
          <w:sz w:val="32"/>
          <w:szCs w:val="32"/>
          <w:highlight w:val="none"/>
          <w:lang w:eastAsia="zh-CN"/>
        </w:rPr>
        <w:t>二、收入决算情况说明</w:t>
      </w:r>
      <w:bookmarkEnd w:id="18"/>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b/>
          <w:bCs/>
          <w:sz w:val="32"/>
          <w:szCs w:val="32"/>
          <w:lang w:val="en-US" w:eastAsia="zh-CN"/>
        </w:rPr>
        <w:t>2073.56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b/>
          <w:bCs/>
          <w:sz w:val="32"/>
          <w:szCs w:val="32"/>
          <w:lang w:val="en-US" w:eastAsia="zh-CN"/>
        </w:rPr>
        <w:t>1642.11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79.19</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b/>
          <w:bCs/>
          <w:sz w:val="32"/>
          <w:szCs w:val="32"/>
          <w:lang w:val="en-US" w:eastAsia="zh-CN"/>
        </w:rPr>
        <w:t>431.46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20.8</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eastAsia="仿宋_GB2312"/>
          <w:sz w:val="32"/>
          <w:szCs w:val="32"/>
          <w:lang w:eastAsia="zh-CN"/>
        </w:rPr>
        <w:drawing>
          <wp:anchor distT="0" distB="0" distL="114300" distR="114300" simplePos="0" relativeHeight="251671552" behindDoc="0" locked="0" layoutInCell="1" allowOverlap="1">
            <wp:simplePos x="0" y="0"/>
            <wp:positionH relativeFrom="column">
              <wp:posOffset>-426085</wp:posOffset>
            </wp:positionH>
            <wp:positionV relativeFrom="paragraph">
              <wp:posOffset>71120</wp:posOffset>
            </wp:positionV>
            <wp:extent cx="5256530" cy="3027045"/>
            <wp:effectExtent l="4445" t="4445" r="15875" b="1651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7"/>
      <w:bookmarkStart w:id="21" w:name="_Toc1539660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b/>
          <w:bCs/>
          <w:sz w:val="32"/>
          <w:szCs w:val="32"/>
          <w:lang w:val="en-US" w:eastAsia="zh-CN"/>
        </w:rPr>
        <w:t>2056.49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b/>
          <w:bCs/>
          <w:sz w:val="32"/>
          <w:szCs w:val="32"/>
          <w:lang w:val="en-US" w:eastAsia="zh-CN"/>
        </w:rPr>
        <w:t>1474.88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71.71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b/>
          <w:bCs/>
          <w:sz w:val="32"/>
          <w:szCs w:val="32"/>
          <w:lang w:val="en-US" w:eastAsia="zh-CN"/>
        </w:rPr>
        <w:t>581.61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28.28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b/>
          <w:bCs/>
          <w:sz w:val="32"/>
          <w:szCs w:val="32"/>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 w:eastAsia="仿宋"/>
          <w:sz w:val="32"/>
          <w:szCs w:val="32"/>
          <w:lang w:eastAsia="zh-CN"/>
        </w:rPr>
        <w:drawing>
          <wp:inline distT="0" distB="0" distL="114300" distR="114300">
            <wp:extent cx="4704080" cy="2253615"/>
            <wp:effectExtent l="5080" t="5080" r="15240" b="825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29"/>
          <w:rFonts w:ascii="Times New Roman" w:hAnsi="Times New Roman" w:eastAsia="黑体"/>
          <w:b w:val="0"/>
          <w:color w:val="auto"/>
          <w:highlight w:val="none"/>
        </w:rPr>
      </w:pPr>
      <w:bookmarkStart w:id="22" w:name="_Toc15396606"/>
      <w:bookmarkStart w:id="23"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2"/>
      <w:bookmarkEnd w:id="2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Times New Roman" w:hAnsi="Times New Roman" w:eastAsia="仿宋_GB2312" w:cs="仿宋_GB2312"/>
          <w:b w:val="0"/>
          <w:bCs w:val="0"/>
          <w:color w:val="auto"/>
          <w:kern w:val="2"/>
          <w:sz w:val="32"/>
          <w:szCs w:val="32"/>
          <w:highlight w:val="none"/>
          <w:lang w:val="en-US" w:eastAsia="zh-CN" w:bidi="ar-SA"/>
        </w:rPr>
        <w:t>1642.11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42.03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%。主要变动原因是今年财政保障了物业管理服务</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eastAsia="仿宋"/>
          <w:sz w:val="32"/>
          <w:szCs w:val="32"/>
          <w:lang w:eastAsia="zh-CN"/>
        </w:rPr>
        <w:drawing>
          <wp:anchor distT="0" distB="0" distL="114300" distR="114300" simplePos="0" relativeHeight="251663360" behindDoc="0" locked="0" layoutInCell="1" allowOverlap="1">
            <wp:simplePos x="0" y="0"/>
            <wp:positionH relativeFrom="column">
              <wp:posOffset>140335</wp:posOffset>
            </wp:positionH>
            <wp:positionV relativeFrom="paragraph">
              <wp:posOffset>5715</wp:posOffset>
            </wp:positionV>
            <wp:extent cx="5335270" cy="2546350"/>
            <wp:effectExtent l="4445" t="4445" r="13335" b="2095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outlineLvl w:val="1"/>
        <w:rPr>
          <w:rStyle w:val="29"/>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Times New Roman"/>
          <w:b/>
          <w:sz w:val="32"/>
          <w:szCs w:val="24"/>
        </w:rPr>
        <w:t>1642.11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Times New Roman"/>
          <w:b/>
          <w:sz w:val="32"/>
          <w:szCs w:val="24"/>
        </w:rPr>
        <w:t>79.84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42.03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kern w:val="2"/>
          <w:sz w:val="32"/>
          <w:szCs w:val="32"/>
          <w:highlight w:val="none"/>
          <w:lang w:val="en-US" w:eastAsia="zh-CN" w:bidi="ar-SA"/>
        </w:rPr>
        <w:t>今年财政保障了物业管理服务</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仿宋_GB2312" w:hAnsi="仿宋_GB2312" w:eastAsia="仿宋_GB2312" w:cs="仿宋_GB2312"/>
          <w:sz w:val="32"/>
          <w:szCs w:val="32"/>
          <w:lang w:eastAsia="zh-CN"/>
        </w:rPr>
        <w:drawing>
          <wp:anchor distT="0" distB="0" distL="114300" distR="114300" simplePos="0" relativeHeight="251667456" behindDoc="1" locked="0" layoutInCell="1" allowOverlap="1">
            <wp:simplePos x="0" y="0"/>
            <wp:positionH relativeFrom="column">
              <wp:posOffset>-158750</wp:posOffset>
            </wp:positionH>
            <wp:positionV relativeFrom="paragraph">
              <wp:posOffset>93345</wp:posOffset>
            </wp:positionV>
            <wp:extent cx="5806440" cy="2729230"/>
            <wp:effectExtent l="4445" t="4445" r="18415" b="9525"/>
            <wp:wrapTight wrapText="bothSides">
              <wp:wrapPolygon>
                <wp:start x="-17" y="-35"/>
                <wp:lineTo x="-17" y="21525"/>
                <wp:lineTo x="21527" y="21525"/>
                <wp:lineTo x="21527" y="-35"/>
                <wp:lineTo x="-17" y="-35"/>
              </wp:wrapPolygon>
            </wp:wrapTight>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楷体_GB2312"/>
          <w:b/>
          <w:color w:val="auto"/>
          <w:sz w:val="32"/>
          <w:szCs w:val="32"/>
          <w:highlight w:val="none"/>
        </w:rPr>
        <w:t>（二）一般公共预算财政拨款支出决算结构情况</w:t>
      </w:r>
      <w:bookmarkEnd w:id="27"/>
    </w:p>
    <w:p>
      <w:pPr>
        <w:keepNext w:val="0"/>
        <w:keepLines w:val="0"/>
        <w:widowControl w:val="0"/>
        <w:suppressLineNumbers w:val="0"/>
        <w:autoSpaceDE w:val="0"/>
        <w:autoSpaceDN/>
        <w:spacing w:before="0" w:beforeAutospacing="0" w:after="0" w:afterAutospacing="0" w:line="560" w:lineRule="exact"/>
        <w:ind w:left="0" w:right="0" w:firstLine="640" w:firstLineChars="200"/>
        <w:jc w:val="both"/>
        <w:outlineLvl w:val="2"/>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Times New Roman"/>
          <w:b/>
          <w:sz w:val="32"/>
          <w:szCs w:val="24"/>
        </w:rPr>
        <w:t>1642.11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default" w:ascii="仿宋_GB2312" w:hAnsi="Times New Roman" w:eastAsia="仿宋_GB2312" w:cs="仿宋_GB2312"/>
          <w:b/>
          <w:kern w:val="2"/>
          <w:sz w:val="32"/>
          <w:szCs w:val="32"/>
          <w:lang w:val="en-US" w:eastAsia="zh-CN" w:bidi="ar"/>
        </w:rPr>
        <w:t>公共安全支出</w:t>
      </w:r>
      <w:r>
        <w:rPr>
          <w:rFonts w:hint="eastAsia" w:ascii="仿宋_GB2312" w:hAnsi="Times New Roman" w:eastAsia="仿宋_GB2312" w:cs="仿宋_GB2312"/>
          <w:b/>
          <w:kern w:val="2"/>
          <w:sz w:val="32"/>
          <w:szCs w:val="32"/>
          <w:lang w:val="en-US" w:eastAsia="zh-CN" w:bidi="ar"/>
        </w:rPr>
        <w:t>1333.71</w:t>
      </w:r>
      <w:r>
        <w:rPr>
          <w:rFonts w:hint="default" w:ascii="仿宋_GB2312" w:hAnsi="Times New Roman" w:eastAsia="仿宋_GB2312" w:cs="仿宋_GB2312"/>
          <w:kern w:val="2"/>
          <w:sz w:val="32"/>
          <w:szCs w:val="32"/>
          <w:lang w:val="en-US" w:eastAsia="zh-CN" w:bidi="ar"/>
        </w:rPr>
        <w:t>万元，占</w:t>
      </w:r>
      <w:r>
        <w:rPr>
          <w:rFonts w:hint="default" w:ascii="仿宋_GB2312" w:hAnsi="Times New Roman" w:eastAsia="仿宋_GB2312" w:cs="仿宋_GB2312"/>
          <w:b/>
          <w:kern w:val="2"/>
          <w:sz w:val="32"/>
          <w:szCs w:val="32"/>
          <w:lang w:val="en-US" w:eastAsia="zh-CN" w:bidi="ar"/>
        </w:rPr>
        <w:t>81.</w:t>
      </w:r>
      <w:r>
        <w:rPr>
          <w:rFonts w:hint="eastAsia" w:ascii="仿宋_GB2312" w:hAnsi="Times New Roman" w:eastAsia="仿宋_GB2312" w:cs="仿宋_GB2312"/>
          <w:b/>
          <w:kern w:val="2"/>
          <w:sz w:val="32"/>
          <w:szCs w:val="32"/>
          <w:lang w:val="en-US" w:eastAsia="zh-CN" w:bidi="ar"/>
        </w:rPr>
        <w:t>22</w:t>
      </w:r>
      <w:r>
        <w:rPr>
          <w:rFonts w:hint="default"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b/>
          <w:kern w:val="2"/>
          <w:sz w:val="32"/>
          <w:szCs w:val="32"/>
          <w:lang w:val="en-US" w:eastAsia="zh-CN" w:bidi="ar"/>
        </w:rPr>
        <w:t>社会保障和就业支出</w:t>
      </w:r>
      <w:r>
        <w:rPr>
          <w:rFonts w:hint="eastAsia" w:ascii="仿宋_GB2312" w:hAnsi="Times New Roman" w:eastAsia="仿宋_GB2312" w:cs="仿宋_GB2312"/>
          <w:b/>
          <w:kern w:val="2"/>
          <w:sz w:val="32"/>
          <w:szCs w:val="32"/>
          <w:lang w:val="en-US" w:eastAsia="zh-CN" w:bidi="ar"/>
        </w:rPr>
        <w:t>149.35</w:t>
      </w:r>
      <w:r>
        <w:rPr>
          <w:rFonts w:hint="default" w:ascii="仿宋_GB2312" w:hAnsi="Times New Roman" w:eastAsia="仿宋_GB2312" w:cs="仿宋_GB2312"/>
          <w:kern w:val="2"/>
          <w:sz w:val="32"/>
          <w:szCs w:val="32"/>
          <w:lang w:val="en-US" w:eastAsia="zh-CN" w:bidi="ar"/>
        </w:rPr>
        <w:t>万元，占</w:t>
      </w:r>
      <w:r>
        <w:rPr>
          <w:rFonts w:hint="default" w:ascii="仿宋_GB2312" w:hAnsi="Times New Roman" w:eastAsia="仿宋_GB2312" w:cs="仿宋_GB2312"/>
          <w:b/>
          <w:kern w:val="2"/>
          <w:sz w:val="32"/>
          <w:szCs w:val="32"/>
          <w:lang w:val="en-US" w:eastAsia="zh-CN" w:bidi="ar"/>
        </w:rPr>
        <w:t>9.</w:t>
      </w:r>
      <w:r>
        <w:rPr>
          <w:rFonts w:hint="eastAsia" w:ascii="仿宋_GB2312" w:hAnsi="Times New Roman" w:eastAsia="仿宋_GB2312" w:cs="仿宋_GB2312"/>
          <w:b/>
          <w:kern w:val="2"/>
          <w:sz w:val="32"/>
          <w:szCs w:val="32"/>
          <w:lang w:val="en-US" w:eastAsia="zh-CN" w:bidi="ar"/>
        </w:rPr>
        <w:t>1</w:t>
      </w:r>
      <w:r>
        <w:rPr>
          <w:rFonts w:hint="default"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b/>
          <w:kern w:val="2"/>
          <w:sz w:val="32"/>
          <w:szCs w:val="32"/>
          <w:lang w:val="en-US" w:eastAsia="zh-CN" w:bidi="ar"/>
        </w:rPr>
        <w:t>卫生健康支出</w:t>
      </w:r>
      <w:r>
        <w:rPr>
          <w:rFonts w:hint="eastAsia" w:ascii="仿宋_GB2312" w:hAnsi="Times New Roman" w:eastAsia="仿宋_GB2312" w:cs="仿宋_GB2312"/>
          <w:b/>
          <w:kern w:val="2"/>
          <w:sz w:val="32"/>
          <w:szCs w:val="32"/>
          <w:lang w:val="en-US" w:eastAsia="zh-CN" w:bidi="ar"/>
        </w:rPr>
        <w:t>64.02</w:t>
      </w:r>
      <w:r>
        <w:rPr>
          <w:rFonts w:hint="default" w:ascii="仿宋_GB2312" w:hAnsi="Times New Roman" w:eastAsia="仿宋_GB2312" w:cs="仿宋_GB2312"/>
          <w:kern w:val="2"/>
          <w:sz w:val="32"/>
          <w:szCs w:val="32"/>
          <w:lang w:val="en-US" w:eastAsia="zh-CN" w:bidi="ar"/>
        </w:rPr>
        <w:t>万元，占</w:t>
      </w:r>
      <w:r>
        <w:rPr>
          <w:rFonts w:hint="default" w:ascii="仿宋_GB2312" w:hAnsi="Times New Roman" w:eastAsia="仿宋_GB2312" w:cs="仿宋_GB2312"/>
          <w:b/>
          <w:kern w:val="2"/>
          <w:sz w:val="32"/>
          <w:szCs w:val="32"/>
          <w:lang w:val="en-US" w:eastAsia="zh-CN" w:bidi="ar"/>
        </w:rPr>
        <w:t>3.</w:t>
      </w:r>
      <w:r>
        <w:rPr>
          <w:rFonts w:hint="eastAsia" w:ascii="仿宋_GB2312" w:hAnsi="Times New Roman" w:eastAsia="仿宋_GB2312" w:cs="仿宋_GB2312"/>
          <w:b/>
          <w:kern w:val="2"/>
          <w:sz w:val="32"/>
          <w:szCs w:val="32"/>
          <w:lang w:val="en-US" w:eastAsia="zh-CN" w:bidi="ar"/>
        </w:rPr>
        <w:t>9</w:t>
      </w:r>
      <w:r>
        <w:rPr>
          <w:rFonts w:hint="default"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b/>
          <w:kern w:val="2"/>
          <w:sz w:val="32"/>
          <w:szCs w:val="32"/>
          <w:lang w:val="en-US" w:eastAsia="zh-CN" w:bidi="ar"/>
        </w:rPr>
        <w:t>住房保障支出</w:t>
      </w:r>
      <w:r>
        <w:rPr>
          <w:rFonts w:hint="eastAsia" w:ascii="仿宋_GB2312" w:hAnsi="Times New Roman" w:eastAsia="仿宋_GB2312" w:cs="仿宋_GB2312"/>
          <w:b/>
          <w:kern w:val="2"/>
          <w:sz w:val="32"/>
          <w:szCs w:val="32"/>
          <w:lang w:val="en-US" w:eastAsia="zh-CN" w:bidi="ar"/>
        </w:rPr>
        <w:t>95.03</w:t>
      </w:r>
      <w:r>
        <w:rPr>
          <w:rFonts w:hint="default" w:ascii="仿宋_GB2312" w:hAnsi="Times New Roman" w:eastAsia="仿宋_GB2312" w:cs="仿宋_GB2312"/>
          <w:kern w:val="2"/>
          <w:sz w:val="32"/>
          <w:szCs w:val="32"/>
          <w:lang w:val="en-US" w:eastAsia="zh-CN" w:bidi="ar"/>
        </w:rPr>
        <w:t>万元，占</w:t>
      </w:r>
      <w:r>
        <w:rPr>
          <w:rFonts w:hint="default" w:ascii="仿宋_GB2312" w:hAnsi="Times New Roman" w:eastAsia="仿宋_GB2312" w:cs="仿宋_GB2312"/>
          <w:b/>
          <w:kern w:val="2"/>
          <w:sz w:val="32"/>
          <w:szCs w:val="32"/>
          <w:lang w:val="en-US" w:eastAsia="zh-CN" w:bidi="ar"/>
        </w:rPr>
        <w:t>5.</w:t>
      </w:r>
      <w:r>
        <w:rPr>
          <w:rFonts w:hint="eastAsia" w:ascii="仿宋_GB2312" w:hAnsi="Times New Roman" w:eastAsia="仿宋_GB2312" w:cs="仿宋_GB2312"/>
          <w:b/>
          <w:kern w:val="2"/>
          <w:sz w:val="32"/>
          <w:szCs w:val="32"/>
          <w:lang w:val="en-US" w:eastAsia="zh-CN" w:bidi="ar"/>
        </w:rPr>
        <w:t>7</w:t>
      </w:r>
      <w:r>
        <w:rPr>
          <w:rFonts w:hint="default" w:ascii="仿宋_GB2312" w:hAnsi="Times New Roman" w:eastAsia="仿宋_GB2312" w:cs="仿宋_GB2312"/>
          <w:b/>
          <w:kern w:val="2"/>
          <w:sz w:val="32"/>
          <w:szCs w:val="32"/>
          <w:lang w:val="en-US" w:eastAsia="zh-CN" w:bidi="ar"/>
        </w:rPr>
        <w:t>8</w:t>
      </w:r>
      <w:r>
        <w:rPr>
          <w:rFonts w:hint="default"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b/>
          <w:kern w:val="2"/>
          <w:sz w:val="32"/>
          <w:szCs w:val="32"/>
          <w:lang w:val="en-US" w:eastAsia="zh-CN" w:bidi="ar"/>
        </w:rPr>
        <w:t>（注：数据来源于财决GK04表，仅罗列本单位涉及的全部功能分类科目，至类级。）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eastAsia="zh-CN"/>
        </w:rPr>
        <w:drawing>
          <wp:anchor distT="0" distB="0" distL="114300" distR="114300" simplePos="0" relativeHeight="251670528" behindDoc="0" locked="0" layoutInCell="1" allowOverlap="1">
            <wp:simplePos x="0" y="0"/>
            <wp:positionH relativeFrom="column">
              <wp:posOffset>299085</wp:posOffset>
            </wp:positionH>
            <wp:positionV relativeFrom="paragraph">
              <wp:posOffset>423545</wp:posOffset>
            </wp:positionV>
            <wp:extent cx="4465320" cy="1817370"/>
            <wp:effectExtent l="4445" t="4445" r="6985" b="698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8460"/>
      <w:bookmarkStart w:id="30" w:name="_Toc15377213"/>
      <w:bookmarkStart w:id="3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Times New Roman"/>
          <w:b/>
          <w:sz w:val="32"/>
          <w:szCs w:val="24"/>
        </w:rPr>
        <w:t>1642.11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1.公共安全支出: 支出决算为13</w:t>
      </w:r>
      <w:r>
        <w:rPr>
          <w:rFonts w:hint="eastAsia" w:eastAsia="仿宋_GB2312" w:cs="仿宋_GB2312"/>
          <w:color w:val="auto"/>
          <w:kern w:val="2"/>
          <w:sz w:val="32"/>
          <w:szCs w:val="32"/>
          <w:highlight w:val="none"/>
          <w:lang w:val="en-US" w:eastAsia="zh-CN" w:bidi="ar-SA"/>
        </w:rPr>
        <w:t>33.71</w:t>
      </w:r>
      <w:r>
        <w:rPr>
          <w:rFonts w:hint="eastAsia" w:ascii="Times New Roman" w:hAnsi="Times New Roman" w:eastAsia="仿宋_GB2312" w:cs="仿宋_GB2312"/>
          <w:color w:val="auto"/>
          <w:kern w:val="2"/>
          <w:sz w:val="32"/>
          <w:szCs w:val="32"/>
          <w:highlight w:val="none"/>
          <w:lang w:val="en-US" w:eastAsia="zh-CN" w:bidi="ar-SA"/>
        </w:rPr>
        <w:t>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2.社会保障和就业支出: 支出决算为1</w:t>
      </w:r>
      <w:r>
        <w:rPr>
          <w:rFonts w:hint="eastAsia" w:eastAsia="仿宋_GB2312" w:cs="仿宋_GB2312"/>
          <w:color w:val="auto"/>
          <w:kern w:val="2"/>
          <w:sz w:val="32"/>
          <w:szCs w:val="32"/>
          <w:highlight w:val="none"/>
          <w:lang w:val="en-US" w:eastAsia="zh-CN" w:bidi="ar-SA"/>
        </w:rPr>
        <w:t>49.35</w:t>
      </w:r>
      <w:r>
        <w:rPr>
          <w:rFonts w:hint="eastAsia" w:ascii="Times New Roman" w:hAnsi="Times New Roman" w:eastAsia="仿宋_GB2312" w:cs="仿宋_GB2312"/>
          <w:color w:val="auto"/>
          <w:kern w:val="2"/>
          <w:sz w:val="32"/>
          <w:szCs w:val="32"/>
          <w:highlight w:val="none"/>
          <w:lang w:val="en-US" w:eastAsia="zh-CN" w:bidi="ar-SA"/>
        </w:rPr>
        <w:t>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3.卫生健康支出:支出决算为</w:t>
      </w:r>
      <w:r>
        <w:rPr>
          <w:rFonts w:hint="eastAsia" w:eastAsia="仿宋_GB2312" w:cs="仿宋_GB2312"/>
          <w:color w:val="auto"/>
          <w:kern w:val="2"/>
          <w:sz w:val="32"/>
          <w:szCs w:val="32"/>
          <w:highlight w:val="none"/>
          <w:lang w:val="en-US" w:eastAsia="zh-CN" w:bidi="ar-SA"/>
        </w:rPr>
        <w:t>64.02</w:t>
      </w:r>
      <w:r>
        <w:rPr>
          <w:rFonts w:hint="eastAsia" w:ascii="Times New Roman" w:hAnsi="Times New Roman" w:eastAsia="仿宋_GB2312" w:cs="仿宋_GB2312"/>
          <w:color w:val="auto"/>
          <w:kern w:val="2"/>
          <w:sz w:val="32"/>
          <w:szCs w:val="32"/>
          <w:highlight w:val="none"/>
          <w:lang w:val="en-US" w:eastAsia="zh-CN" w:bidi="ar-SA"/>
        </w:rPr>
        <w:t>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4.住房保障支出：支出决算为9</w:t>
      </w:r>
      <w:r>
        <w:rPr>
          <w:rFonts w:hint="eastAsia" w:eastAsia="仿宋_GB2312" w:cs="仿宋_GB2312"/>
          <w:color w:val="auto"/>
          <w:kern w:val="2"/>
          <w:sz w:val="32"/>
          <w:szCs w:val="32"/>
          <w:highlight w:val="none"/>
          <w:lang w:val="en-US" w:eastAsia="zh-CN" w:bidi="ar-SA"/>
        </w:rPr>
        <w:t>5.03</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outlineLvl w:val="1"/>
        <w:rPr>
          <w:rStyle w:val="29"/>
          <w:rFonts w:ascii="Times New Roman" w:hAnsi="Times New Roman"/>
          <w:color w:val="auto"/>
          <w:highlight w:val="none"/>
        </w:rPr>
      </w:pPr>
      <w:bookmarkStart w:id="32" w:name="_Toc15377214"/>
      <w:bookmarkStart w:id="3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2"/>
      <w:bookmarkEnd w:id="33"/>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Times New Roman"/>
          <w:b/>
          <w:sz w:val="32"/>
          <w:szCs w:val="24"/>
        </w:rPr>
        <w:t>1060.5</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Times New Roman"/>
          <w:b/>
          <w:sz w:val="32"/>
          <w:szCs w:val="24"/>
        </w:rPr>
        <w:t>957.2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Times New Roman"/>
          <w:b/>
          <w:sz w:val="32"/>
          <w:szCs w:val="24"/>
        </w:rPr>
        <w:t>103.3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outlineLvl w:val="1"/>
        <w:rPr>
          <w:rStyle w:val="29"/>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4"/>
      <w:bookmarkEnd w:id="3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Times New Roman"/>
          <w:b/>
          <w:sz w:val="32"/>
          <w:szCs w:val="24"/>
        </w:rPr>
        <w:t>87.33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Times New Roman"/>
          <w:b/>
          <w:sz w:val="32"/>
          <w:szCs w:val="24"/>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63.01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260.27</w:t>
      </w:r>
      <w:r>
        <w:rPr>
          <w:rFonts w:hint="eastAsia" w:ascii="Times New Roman" w:hAnsi="Times New Roman" w:eastAsia="仿宋_GB2312" w:cs="仿宋_GB2312"/>
          <w:color w:val="auto"/>
          <w:kern w:val="2"/>
          <w:sz w:val="32"/>
          <w:szCs w:val="32"/>
          <w:highlight w:val="none"/>
          <w:lang w:val="en-US" w:eastAsia="zh-CN" w:bidi="ar-SA"/>
        </w:rPr>
        <w:t>%。主要原因获批新增</w:t>
      </w:r>
      <w:r>
        <w:rPr>
          <w:rFonts w:hint="default" w:ascii="仿宋_GB2312" w:hAnsi="宋体" w:eastAsia="仿宋_GB2312" w:cs="仿宋_GB2312"/>
          <w:kern w:val="2"/>
          <w:sz w:val="32"/>
          <w:szCs w:val="32"/>
        </w:rPr>
        <w:t>购置两辆执法执勤用车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Times New Roman"/>
          <w:b/>
          <w:sz w:val="32"/>
          <w:szCs w:val="24"/>
        </w:rPr>
        <w:t>86.99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99.61</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Times New Roman"/>
          <w:b/>
          <w:sz w:val="32"/>
          <w:szCs w:val="24"/>
        </w:rPr>
        <w:t>0.34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0.39</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Style w:val="2"/>
        <w:rPr>
          <w:rFonts w:hint="eastAsia"/>
          <w:lang w:val="en-US" w:eastAsia="zh-CN"/>
        </w:rPr>
      </w:pPr>
      <w:r>
        <w:rPr>
          <w:rFonts w:hint="eastAsia" w:ascii="华文仿宋" w:hAnsi="华文仿宋" w:eastAsia="华文仿宋" w:cs="华文仿宋"/>
          <w:b w:val="0"/>
          <w:bCs w:val="0"/>
          <w:kern w:val="0"/>
          <w:sz w:val="30"/>
          <w:szCs w:val="30"/>
          <w:shd w:val="clear" w:fill="FFFFFF"/>
          <w:lang w:val="en-US" w:eastAsia="zh-CN"/>
        </w:rPr>
        <w:drawing>
          <wp:inline distT="0" distB="0" distL="114300" distR="114300">
            <wp:extent cx="4705350" cy="2350770"/>
            <wp:effectExtent l="4445" t="4445" r="14605" b="698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Times New Roman"/>
          <w:b/>
          <w:sz w:val="32"/>
          <w:szCs w:val="24"/>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年增加0万元，增长0%。</w:t>
      </w:r>
    </w:p>
    <w:p>
      <w:pPr>
        <w:spacing w:line="600" w:lineRule="exact"/>
        <w:ind w:firstLine="640"/>
        <w:rPr>
          <w:rFonts w:hint="default" w:ascii="仿宋_GB2312" w:hAnsi="宋体" w:eastAsia="仿宋_GB2312" w:cs="仿宋_GB2312"/>
          <w:kern w:val="2"/>
          <w:sz w:val="32"/>
          <w:szCs w:val="32"/>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86.99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default" w:ascii="仿宋_GB2312" w:hAnsi="仿宋_GB2312" w:eastAsia="仿宋_GB2312" w:cs="Times New Roman"/>
          <w:b/>
          <w:sz w:val="32"/>
          <w:szCs w:val="24"/>
        </w:rPr>
        <w:t>62.75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258.87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Times New Roman" w:hAnsi="Times New Roman" w:eastAsia="仿宋_GB2312" w:cs="仿宋_GB2312"/>
          <w:color w:val="auto"/>
          <w:kern w:val="2"/>
          <w:sz w:val="32"/>
          <w:szCs w:val="32"/>
          <w:highlight w:val="none"/>
          <w:lang w:val="en-US" w:eastAsia="zh-CN" w:bidi="ar-SA"/>
        </w:rPr>
        <w:t>获批新增</w:t>
      </w:r>
      <w:r>
        <w:rPr>
          <w:rFonts w:hint="default" w:ascii="仿宋_GB2312" w:hAnsi="宋体" w:eastAsia="仿宋_GB2312" w:cs="仿宋_GB2312"/>
          <w:kern w:val="2"/>
          <w:sz w:val="32"/>
          <w:szCs w:val="32"/>
        </w:rPr>
        <w:t>购置两辆执法执勤用车</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Times New Roman"/>
          <w:b/>
          <w:sz w:val="32"/>
          <w:szCs w:val="24"/>
        </w:rPr>
        <w:t>75.97</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两</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一般执法执勤用车一</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22.79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特种执法执勤用车一</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53.18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办案业务需求</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一般执法执勤用车7辆</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特种执法执勤用车3</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Times New Roman"/>
          <w:b/>
          <w:sz w:val="32"/>
          <w:szCs w:val="24"/>
        </w:rPr>
        <w:t>11.02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单位办公、办案</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0.34</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40.35</w:t>
      </w:r>
      <w:r>
        <w:rPr>
          <w:rFonts w:hint="eastAsia" w:ascii="Times New Roman" w:hAnsi="Times New Roman" w:eastAsia="仿宋_GB2312" w:cs="仿宋_GB2312"/>
          <w:color w:val="auto"/>
          <w:kern w:val="2"/>
          <w:sz w:val="32"/>
          <w:szCs w:val="32"/>
          <w:highlight w:val="none"/>
          <w:lang w:val="en-US" w:eastAsia="zh-CN" w:bidi="ar-SA"/>
        </w:rPr>
        <w:t>%。主要原因是例行节约，严格按照相关文件规定执行，减少不必要浪费。。其中：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Times New Roman"/>
          <w:b/>
          <w:sz w:val="32"/>
          <w:szCs w:val="24"/>
        </w:rPr>
        <w:t>0.34</w:t>
      </w:r>
      <w:r>
        <w:rPr>
          <w:rFonts w:hint="eastAsia" w:ascii="Times New Roman" w:hAnsi="Times New Roman" w:eastAsia="仿宋_GB2312" w:cs="仿宋_GB2312"/>
          <w:color w:val="auto"/>
          <w:kern w:val="2"/>
          <w:sz w:val="32"/>
          <w:szCs w:val="32"/>
          <w:highlight w:val="none"/>
          <w:lang w:val="en-US" w:eastAsia="zh-CN" w:bidi="ar-SA"/>
        </w:rPr>
        <w:t>万元，主要用于开展业务活动开支</w:t>
      </w:r>
      <w:r>
        <w:rPr>
          <w:rFonts w:hint="eastAsia" w:eastAsia="仿宋_GB2312" w:cs="仿宋_GB2312"/>
          <w:color w:val="auto"/>
          <w:kern w:val="2"/>
          <w:sz w:val="32"/>
          <w:szCs w:val="32"/>
          <w:highlight w:val="none"/>
          <w:lang w:val="en-US" w:eastAsia="zh-CN" w:bidi="ar-SA"/>
        </w:rPr>
        <w:t>的</w:t>
      </w:r>
      <w:r>
        <w:rPr>
          <w:rFonts w:hint="eastAsia" w:ascii="Times New Roman" w:hAnsi="Times New Roman" w:eastAsia="仿宋_GB2312" w:cs="仿宋_GB2312"/>
          <w:color w:val="auto"/>
          <w:kern w:val="2"/>
          <w:sz w:val="32"/>
          <w:szCs w:val="32"/>
          <w:highlight w:val="none"/>
          <w:lang w:val="en-US" w:eastAsia="zh-CN" w:bidi="ar-SA"/>
        </w:rPr>
        <w:t>住宿费、用餐费等。国内公务接待</w:t>
      </w:r>
      <w:r>
        <w:rPr>
          <w:rFonts w:hint="eastAsia" w:ascii="仿宋_GB2312" w:hAnsi="仿宋_GB2312" w:eastAsia="仿宋_GB2312" w:cs="Times New Roman"/>
          <w:b/>
          <w:sz w:val="32"/>
          <w:szCs w:val="24"/>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Times New Roman"/>
          <w:b/>
          <w:sz w:val="32"/>
          <w:szCs w:val="24"/>
        </w:rPr>
        <w:t>18</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0.34</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接待环资审判工作、金额1360元，杭州市中级人民法院开展对口援助和调研考察工作、金额2070元。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8" w:name="_Toc15396610"/>
      <w:bookmarkStart w:id="39" w:name="_Toc15377218"/>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0" w:name="_Toc15396611"/>
      <w:bookmarkStart w:id="41"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2" w:name="_Toc15377221"/>
      <w:bookmarkStart w:id="43"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2"/>
      <w:bookmarkEnd w:id="4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红原县人民法院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Times New Roman"/>
          <w:b/>
          <w:sz w:val="32"/>
          <w:szCs w:val="24"/>
        </w:rPr>
        <w:t>103.3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0.55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0.54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主要原因获批新增购买</w:t>
      </w:r>
      <w:r>
        <w:rPr>
          <w:rFonts w:hint="eastAsia" w:eastAsia="仿宋_GB2312" w:cs="仿宋_GB2312"/>
          <w:color w:val="auto"/>
          <w:kern w:val="2"/>
          <w:sz w:val="32"/>
          <w:szCs w:val="32"/>
          <w:highlight w:val="none"/>
          <w:lang w:val="en-US" w:eastAsia="zh-CN" w:bidi="ar-SA"/>
        </w:rPr>
        <w:t>两辆</w:t>
      </w:r>
      <w:r>
        <w:rPr>
          <w:rFonts w:hint="eastAsia" w:ascii="Times New Roman" w:hAnsi="Times New Roman" w:eastAsia="仿宋_GB2312" w:cs="仿宋_GB2312"/>
          <w:color w:val="auto"/>
          <w:kern w:val="2"/>
          <w:sz w:val="32"/>
          <w:szCs w:val="32"/>
          <w:highlight w:val="none"/>
          <w:lang w:val="en-US" w:eastAsia="zh-CN" w:bidi="ar-SA"/>
        </w:rPr>
        <w:t>执法执勤用车。</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红原县人民法院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Times New Roman"/>
          <w:b/>
          <w:sz w:val="32"/>
          <w:szCs w:val="24"/>
        </w:rPr>
        <w:t>157.89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Times New Roman"/>
          <w:b/>
          <w:sz w:val="32"/>
          <w:szCs w:val="24"/>
        </w:rPr>
        <w:t>97.8</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Times New Roman"/>
          <w:b/>
          <w:sz w:val="32"/>
          <w:szCs w:val="24"/>
        </w:rPr>
        <w:t>60.09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物业管理费用和汽车的保险、维修维护。</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Times New Roman"/>
          <w:b/>
          <w:sz w:val="32"/>
          <w:szCs w:val="24"/>
        </w:rPr>
        <w:t>0</w:t>
      </w:r>
      <w:r>
        <w:rPr>
          <w:rFonts w:hint="eastAsia" w:ascii="仿宋_GB2312" w:hAnsi="仿宋_GB2312" w:eastAsia="仿宋_GB2312" w:cs="Times New Roman"/>
          <w:b/>
          <w:sz w:val="32"/>
          <w:szCs w:val="24"/>
          <w:lang w:val="en-US" w:eastAsia="zh-CN"/>
        </w:rPr>
        <w:t>%</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红原县人民法院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Times New Roman"/>
          <w:b/>
          <w:sz w:val="32"/>
          <w:szCs w:val="24"/>
        </w:rPr>
        <w:t>1</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Times New Roman"/>
          <w:b/>
          <w:sz w:val="32"/>
          <w:szCs w:val="24"/>
        </w:rPr>
        <w:t>10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Times New Roman"/>
          <w:b/>
          <w:sz w:val="32"/>
          <w:szCs w:val="24"/>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根据预算绩效管理要求，本单位在202</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年度预算编制阶段，组织对工资性支出等</w:t>
      </w: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val="0"/>
          <w:bCs w:val="0"/>
          <w:sz w:val="32"/>
          <w:szCs w:val="32"/>
        </w:rPr>
        <w:t>个项目开展了预算事前绩效评估，对</w:t>
      </w: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val="0"/>
          <w:bCs w:val="0"/>
          <w:sz w:val="32"/>
          <w:szCs w:val="32"/>
        </w:rPr>
        <w:t>个项目编制了绩效目标，预算执行过程中，选取</w:t>
      </w:r>
      <w:r>
        <w:rPr>
          <w:rFonts w:hint="eastAsia" w:ascii="仿宋_GB2312" w:hAnsi="仿宋_GB2312" w:eastAsia="仿宋_GB2312" w:cs="仿宋_GB2312"/>
          <w:b/>
          <w:bCs/>
          <w:color w:val="auto"/>
          <w:sz w:val="32"/>
          <w:szCs w:val="32"/>
          <w:lang w:val="en-US" w:eastAsia="zh-CN"/>
        </w:rPr>
        <w:t>12</w:t>
      </w:r>
      <w:r>
        <w:rPr>
          <w:rFonts w:hint="eastAsia" w:ascii="仿宋_GB2312" w:hAnsi="仿宋_GB2312" w:eastAsia="仿宋_GB2312" w:cs="仿宋_GB2312"/>
          <w:b w:val="0"/>
          <w:bCs w:val="0"/>
          <w:sz w:val="32"/>
          <w:szCs w:val="32"/>
        </w:rPr>
        <w:t>个项目开展绩效监控，组织对</w:t>
      </w:r>
      <w:r>
        <w:rPr>
          <w:rFonts w:hint="eastAsia" w:ascii="仿宋_GB2312" w:hAnsi="仿宋_GB2312" w:eastAsia="仿宋_GB2312" w:cs="仿宋_GB2312"/>
          <w:b/>
          <w:bCs/>
          <w:color w:val="auto"/>
          <w:sz w:val="32"/>
          <w:szCs w:val="32"/>
          <w:lang w:val="en-US" w:eastAsia="zh-CN"/>
        </w:rPr>
        <w:t>12</w:t>
      </w:r>
      <w:r>
        <w:rPr>
          <w:rFonts w:hint="eastAsia" w:ascii="仿宋_GB2312" w:hAnsi="仿宋_GB2312" w:eastAsia="仿宋_GB2312" w:cs="仿宋_GB2312"/>
          <w:b w:val="0"/>
          <w:bCs w:val="0"/>
          <w:sz w:val="32"/>
          <w:szCs w:val="32"/>
        </w:rPr>
        <w:t>个项目开展绩效自评，自评得分为</w:t>
      </w:r>
      <w:r>
        <w:rPr>
          <w:rFonts w:hint="eastAsia" w:ascii="仿宋_GB2312" w:hAnsi="仿宋_GB2312" w:eastAsia="仿宋_GB2312" w:cs="仿宋_GB2312"/>
          <w:b/>
          <w:bCs/>
          <w:color w:val="auto"/>
          <w:sz w:val="32"/>
          <w:szCs w:val="32"/>
          <w:lang w:val="en-US" w:eastAsia="zh-CN"/>
        </w:rPr>
        <w:t>93.86</w:t>
      </w:r>
      <w:r>
        <w:rPr>
          <w:rFonts w:hint="eastAsia" w:ascii="仿宋_GB2312" w:hAnsi="仿宋_GB2312" w:eastAsia="仿宋_GB2312" w:cs="仿宋_GB2312"/>
          <w:b w:val="0"/>
          <w:bCs w:val="0"/>
          <w:sz w:val="32"/>
          <w:szCs w:val="32"/>
        </w:rPr>
        <w:t>分</w:t>
      </w:r>
      <w:r>
        <w:rPr>
          <w:rFonts w:hint="eastAsia" w:ascii="仿宋_GB2312" w:hAnsi="仿宋_GB2312" w:eastAsia="仿宋_GB2312" w:cs="仿宋_GB2312"/>
          <w:b w:val="0"/>
          <w:bCs w:val="0"/>
          <w:sz w:val="32"/>
          <w:szCs w:val="32"/>
          <w:lang w:eastAsia="zh-CN"/>
        </w:rPr>
        <w:t>。</w:t>
      </w:r>
    </w:p>
    <w:p>
      <w:pPr>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br w:type="page"/>
      </w:r>
    </w:p>
    <w:p>
      <w:pPr>
        <w:pStyle w:val="2"/>
        <w:rPr>
          <w:rFonts w:hint="eastAsia"/>
          <w:lang w:val="en-US" w:eastAsia="zh-CN"/>
        </w:rPr>
      </w:pPr>
    </w:p>
    <w:p>
      <w:pPr>
        <w:keepNext/>
        <w:keepLines/>
        <w:pageBreakBefore w:val="0"/>
        <w:widowControl/>
        <w:numPr>
          <w:ilvl w:val="0"/>
          <w:numId w:val="2"/>
        </w:numPr>
        <w:kinsoku/>
        <w:wordWrap w:val="0"/>
        <w:overflowPunct/>
        <w:topLinePunct/>
        <w:autoSpaceDE/>
        <w:autoSpaceDN/>
        <w:bidi w:val="0"/>
        <w:snapToGrid/>
        <w:spacing w:line="560" w:lineRule="exact"/>
        <w:ind w:firstLine="0" w:firstLineChars="0"/>
        <w:jc w:val="center"/>
        <w:textAlignment w:val="auto"/>
        <w:outlineLvl w:val="9"/>
        <w:rPr>
          <w:rFonts w:ascii="宋体"/>
          <w:b/>
          <w:sz w:val="44"/>
          <w:szCs w:val="44"/>
        </w:rPr>
      </w:pPr>
      <w:bookmarkStart w:id="47" w:name="_Toc17840"/>
      <w:bookmarkStart w:id="48" w:name="_Toc15396613"/>
      <w:bookmarkStart w:id="49" w:name="_Toc15377225"/>
      <w:bookmarkStart w:id="50" w:name="_Toc15377226"/>
      <w:r>
        <w:rPr>
          <w:rFonts w:hint="eastAsia" w:ascii="黑体" w:hAnsi="黑体" w:eastAsia="黑体"/>
          <w:sz w:val="44"/>
          <w:szCs w:val="44"/>
        </w:rPr>
        <w:t>名</w:t>
      </w:r>
      <w:r>
        <w:rPr>
          <w:rStyle w:val="28"/>
          <w:rFonts w:hint="eastAsia" w:ascii="黑体" w:hAnsi="黑体" w:eastAsia="黑体"/>
          <w:b w:val="0"/>
        </w:rPr>
        <w:t>词解释</w:t>
      </w:r>
      <w:bookmarkEnd w:id="47"/>
      <w:bookmarkEnd w:id="48"/>
      <w:bookmarkEnd w:id="49"/>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1.财政拨款收入：指单位从同级财政部门取得的财政预算资金。</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2.事业收入：指事业单位开展专业业务活动及辅助活动取得的收入。</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3.经营收入：指事业单位在专业业务活动及其辅助活动之外开展非独立核算经营活动取得的收入。</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4.其他收入：指单位取得的除上述收入以外的各项收入。</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 xml:space="preserve">5.使用非财政拨款结余：指事业单位使用以前年度积累的非财政拨款结余弥补当年收支差额的金额。 </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 xml:space="preserve">6.年初结转和结余：指以前年度尚未完成、结转到本年按有关规定继续使用的资金。 </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7.结余分配：指事业单位按照会计制度规定缴纳的所得税、提取的专用结余以及转入非财政拨款结余的金额等。</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8.年末结转和结余：指单位按有关规定结转到下年或以后年度继续使用的资金。</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9.公共安全：反映政府维护社会公共安全方面的支出。</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10.社会保障和就业：反映政府在社会保障与就业方面的支出。</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11.卫生健康：反映政府卫生健康方面的支出。</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12.住房保障：集中反映政府用于住房方面的支出。</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13.基本支出：指为保障机构正常运转、完成日常工作任务而发生的人员支出和公用支出。</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 xml:space="preserve">14.项目支出：指在基本支出之外为完成特定行政任务和事业发展目标所发生的支出。 </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15.经营支出：指事业单位在专业业务活动及其辅助活动之外开展非独立核算经营活动发生的支出。</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keepNext/>
        <w:keepLines/>
        <w:pageBreakBefore w:val="0"/>
        <w:widowControl/>
        <w:kinsoku/>
        <w:wordWrap w:val="0"/>
        <w:overflowPunct/>
        <w:topLinePunct/>
        <w:autoSpaceDE/>
        <w:autoSpaceDN/>
        <w:bidi w:val="0"/>
        <w:snapToGrid/>
        <w:spacing w:line="560" w:lineRule="exact"/>
        <w:ind w:firstLine="640" w:firstLineChars="200"/>
        <w:jc w:val="left"/>
        <w:textAlignment w:val="auto"/>
        <w:outlineLvl w:val="9"/>
        <w:rPr>
          <w:rFonts w:ascii="仿宋_GB2312" w:eastAsia="仿宋_GB2312" w:cs="黑体"/>
          <w:color w:val="auto"/>
          <w:sz w:val="32"/>
          <w:szCs w:val="32"/>
        </w:rPr>
      </w:pPr>
      <w:r>
        <w:rPr>
          <w:rFonts w:hint="eastAsia" w:ascii="仿宋_GB2312" w:eastAsia="仿宋_GB2312"/>
          <w:color w:val="auto"/>
          <w:sz w:val="32"/>
          <w:szCs w:val="32"/>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keepLines/>
        <w:pageBreakBefore w:val="0"/>
        <w:widowControl/>
        <w:kinsoku/>
        <w:wordWrap w:val="0"/>
        <w:overflowPunct/>
        <w:topLinePunct/>
        <w:autoSpaceDE/>
        <w:autoSpaceDN/>
        <w:bidi w:val="0"/>
        <w:snapToGrid/>
        <w:spacing w:line="560" w:lineRule="exact"/>
        <w:ind w:firstLine="0" w:firstLineChars="0"/>
        <w:jc w:val="left"/>
        <w:textAlignment w:val="auto"/>
        <w:outlineLvl w:val="9"/>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51"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1"/>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val="0"/>
        <w:overflowPunct/>
        <w:topLinePunct/>
        <w:autoSpaceDE/>
        <w:autoSpaceDN/>
        <w:bidi w:val="0"/>
        <w:spacing w:line="560" w:lineRule="exact"/>
        <w:ind w:left="0" w:leftChars="0" w:firstLine="0" w:firstLineChars="0"/>
        <w:contextualSpacing/>
        <w:jc w:val="center"/>
        <w:rPr>
          <w:rFonts w:hint="eastAsia" w:ascii="方正小标宋简体" w:hAnsi="方正小标宋简体" w:eastAsia="方正小标宋简体" w:cs="方正小标宋简体"/>
          <w:b/>
          <w:bCs w:val="0"/>
          <w:color w:val="000000" w:themeColor="text1"/>
          <w:sz w:val="44"/>
          <w:szCs w:val="44"/>
          <w:shd w:val="clear" w:color="auto" w:fill="FFFFFF"/>
          <w14:textFill>
            <w14:solidFill>
              <w14:schemeClr w14:val="tx1"/>
            </w14:solidFill>
          </w14:textFill>
        </w:rPr>
      </w:pPr>
      <w:r>
        <w:rPr>
          <w:rFonts w:hint="eastAsia" w:ascii="方正小标宋简体" w:hAnsi="方正小标宋简体" w:eastAsia="方正小标宋简体" w:cs="方正小标宋简体"/>
          <w:b/>
          <w:bCs w:val="0"/>
          <w:color w:val="000000" w:themeColor="text1"/>
          <w:sz w:val="44"/>
          <w:szCs w:val="44"/>
          <w:shd w:val="clear" w:color="auto" w:fill="FFFFFF"/>
          <w14:textFill>
            <w14:solidFill>
              <w14:schemeClr w14:val="tx1"/>
            </w14:solidFill>
          </w14:textFill>
        </w:rPr>
        <w:t>红原县人民法院</w:t>
      </w:r>
    </w:p>
    <w:p>
      <w:pPr>
        <w:keepNext w:val="0"/>
        <w:keepLines w:val="0"/>
        <w:pageBreakBefore w:val="0"/>
        <w:widowControl/>
        <w:kinsoku/>
        <w:wordWrap w:val="0"/>
        <w:overflowPunct/>
        <w:topLinePunct/>
        <w:autoSpaceDE/>
        <w:autoSpaceDN/>
        <w:bidi w:val="0"/>
        <w:spacing w:line="560" w:lineRule="exact"/>
        <w:ind w:left="0" w:leftChars="0" w:firstLine="0" w:firstLineChars="0"/>
        <w:contextualSpacing/>
        <w:jc w:val="center"/>
        <w:rPr>
          <w:rFonts w:hint="eastAsia" w:ascii="方正小标宋简体" w:hAnsi="方正小标宋简体" w:eastAsia="方正小标宋简体" w:cs="方正小标宋简体"/>
          <w:b/>
          <w:bCs w:val="0"/>
          <w:color w:val="000000" w:themeColor="text1"/>
          <w:sz w:val="44"/>
          <w:szCs w:val="44"/>
          <w:shd w:val="clear" w:color="auto" w:fill="FFFFFF"/>
          <w14:textFill>
            <w14:solidFill>
              <w14:schemeClr w14:val="tx1"/>
            </w14:solidFill>
          </w14:textFill>
        </w:rPr>
      </w:pPr>
      <w:r>
        <w:rPr>
          <w:rFonts w:hint="eastAsia" w:ascii="方正小标宋简体" w:hAnsi="方正小标宋简体" w:eastAsia="方正小标宋简体" w:cs="方正小标宋简体"/>
          <w:b/>
          <w:bCs w:val="0"/>
          <w:color w:val="000000" w:themeColor="text1"/>
          <w:sz w:val="44"/>
          <w:szCs w:val="44"/>
          <w:shd w:val="clear" w:color="auto" w:fill="FFFFFF"/>
          <w14:textFill>
            <w14:solidFill>
              <w14:schemeClr w14:val="tx1"/>
            </w14:solidFill>
          </w14:textFill>
        </w:rPr>
        <w:t>202</w:t>
      </w:r>
      <w:r>
        <w:rPr>
          <w:rFonts w:hint="eastAsia" w:ascii="方正小标宋简体" w:hAnsi="方正小标宋简体" w:eastAsia="方正小标宋简体" w:cs="方正小标宋简体"/>
          <w:b/>
          <w:bCs w:val="0"/>
          <w:color w:val="000000" w:themeColor="text1"/>
          <w:sz w:val="44"/>
          <w:szCs w:val="44"/>
          <w:shd w:val="clear" w:color="auto" w:fill="FFFFFF"/>
          <w:lang w:val="en-US" w:eastAsia="zh-CN"/>
          <w14:textFill>
            <w14:solidFill>
              <w14:schemeClr w14:val="tx1"/>
            </w14:solidFill>
          </w14:textFill>
        </w:rPr>
        <w:t>5</w:t>
      </w:r>
      <w:r>
        <w:rPr>
          <w:rFonts w:hint="eastAsia" w:ascii="方正小标宋简体" w:hAnsi="方正小标宋简体" w:eastAsia="方正小标宋简体" w:cs="方正小标宋简体"/>
          <w:b/>
          <w:bCs w:val="0"/>
          <w:color w:val="000000" w:themeColor="text1"/>
          <w:sz w:val="44"/>
          <w:szCs w:val="44"/>
          <w:shd w:val="clear" w:color="auto" w:fill="FFFFFF"/>
          <w14:textFill>
            <w14:solidFill>
              <w14:schemeClr w14:val="tx1"/>
            </w14:solidFill>
          </w14:textFill>
        </w:rPr>
        <w:t>年度部门预算绩效评价报告</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0" w:firstLineChars="0"/>
        <w:contextualSpacing/>
        <w:jc w:val="left"/>
        <w:rPr>
          <w:rFonts w:eastAsia="黑体"/>
          <w:color w:val="000000" w:themeColor="text1"/>
          <w:kern w:val="0"/>
          <w:sz w:val="24"/>
          <w:szCs w:val="32"/>
          <w:shd w:val="clear" w:color="auto" w:fill="FFFFFF"/>
          <w14:textFill>
            <w14:solidFill>
              <w14:schemeClr w14:val="tx1"/>
            </w14:solidFill>
          </w14:textFill>
        </w:rPr>
      </w:pP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0" w:firstLineChars="0"/>
        <w:contextualSpacing/>
        <w:jc w:val="left"/>
        <w:textAlignment w:val="auto"/>
        <w:rPr>
          <w:sz w:val="32"/>
          <w:szCs w:val="32"/>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（一）机构组成。</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红原县人民法院</w:t>
      </w:r>
      <w:r>
        <w:rPr>
          <w:rFonts w:hint="eastAsia" w:ascii="方正仿宋_GBK" w:hAnsi="方正仿宋_GBK" w:eastAsia="方正仿宋_GBK" w:cs="方正仿宋_GBK"/>
          <w:b w:val="0"/>
          <w:bCs w:val="0"/>
          <w:sz w:val="32"/>
          <w:szCs w:val="32"/>
        </w:rPr>
        <w:t>现有内设机构6个，涉及综合办公室、政治部（督察室）、综合审判庭（环境资源审判庭）、立案庭（诉讼服务中心）、执行局、法警大队；2个派出法庭：刷经寺人民法庭、流动法庭。</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二）</w:t>
      </w:r>
      <w:r>
        <w:rPr>
          <w:rFonts w:hint="eastAsia" w:ascii="方正楷体_GB2312" w:hAnsi="方正楷体_GB2312" w:eastAsia="方正楷体_GB2312" w:cs="方正楷体_GB2312"/>
          <w:b/>
          <w:bCs/>
          <w:color w:val="000000"/>
          <w:kern w:val="0"/>
          <w:sz w:val="32"/>
          <w:szCs w:val="32"/>
          <w:shd w:val="clear" w:color="auto" w:fill="FFFFFF"/>
          <w:lang w:val="zh-CN"/>
        </w:rPr>
        <w:t>机构职能。</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法院作为国家审判机关，在各级党委、政府的指导下依法独立行使审判权，对县人民代表大会及其常务委员会负责并报告工作。人民法院作为国家的司法机关，承担着维护社会公平正义、保障公民权益、维护法律尊严的重要职责。它的主要职能包括审判、执行和监督，通过司法权力的行使，维护社会秩序，保护人民的合法权益，促进社会稳定和经济发展。</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1）综合办公室。主要职责：负责协助院领导组织协调处理司法政务，负责综合性办文办会、文秘、信息、宣传、保密、档案、代表委员联络、决议事项督办、社会综合治理；负责本院财务管理、诉讼费监督管理，后勤物资装备配置及管理，办公用房和法庭建设维护，信息系统建设、运行、维护和管理保障；负责案件评查、司法公开等审判管理工作，负责审判委员会、调研、案例等工作；以及其他与审判管理、司法事务、后勤保障相关的工作。</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2）政治部（督察室）。主要职责：负责法院干警思想政治建设、队伍建设、机构编制管理、干部人事管理、教育培训、表彰奖励、党建、文化建设、人民陪审员管理、内部监督管理，以及其他与组织人事管理相关的工作。</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3）立案庭（诉讼服务中心）。主要职责：负责本院诉讼服务大厅等窗口的管理工作；负责本院的各类案件登记立案及立案审查工作；负责诉前调解、立案调解、信访接待、诉非衔接、诉讼辅导、案件繁简分流、案件速裁、多元化解矛盾纠纷等工作；依法实施诉前保全、起诉时提起的证据保全措施；依法审理支付令、督促等程序性案件并作出裁决；对应由本院受理的申诉、申请再审案件进行审查，并决定是否再审立案；负责办理减、免、缓诉讼费的审批手续；负责本院各类案件的材料收转、案件查询、法律咨询、12368诉讼服务热线，以及其他与立案、信访有关的工作事宜。</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4）综合审判庭（环境资源审判庭）。主要职责：依法审理本院受理的各类民事、刑事、行政案件及国家赔偿案件；依法审查行政机关申请强制执行其具体行政行为的案件；依法审理申诉、申请再审及审判监督案件；依法审理污染环境、破坏资源、环境资源监管失职渎职等与环境资源保护相关的刑事案件；依法审理与环境资源保护相关的物权、合同和侵权案件、行政案件等；总结审判工作经验，指导人民法庭，办理其他与审判有关的工作。</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（5）执行局。主要职责：负责执行本院发生法律效力的判决、裁定以及调解协议中有关财产的规定；执行法律规定的由本院执行的其他法律文书；办理委托移送执行和协助执行事宜；司法评估、拍卖、鉴定。</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人民法庭不纳入内设机构改革范围，改革期间冻结对人民法庭的设置审批工作。司法警察大队暂维持不变，待最高人民法院另行明确后再统一规范。</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纪检监察机构，按照党的纪律检查体制和国家监察体制改革要求设置。应当明确专职人员履行内部监督职责。</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三）</w:t>
      </w:r>
      <w:r>
        <w:rPr>
          <w:rFonts w:hint="eastAsia" w:ascii="方正楷体_GB2312" w:hAnsi="方正楷体_GB2312" w:eastAsia="方正楷体_GB2312" w:cs="方正楷体_GB2312"/>
          <w:b/>
          <w:bCs/>
          <w:color w:val="000000"/>
          <w:kern w:val="0"/>
          <w:sz w:val="32"/>
          <w:szCs w:val="32"/>
          <w:shd w:val="clear" w:color="auto" w:fill="FFFFFF"/>
          <w:lang w:val="zh-CN"/>
        </w:rPr>
        <w:t>人员概况。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截至2025年末，</w:t>
      </w:r>
      <w:r>
        <w:rPr>
          <w:rFonts w:hint="default" w:ascii="方正仿宋_GBK" w:hAnsi="方正仿宋_GBK" w:eastAsia="方正仿宋_GBK" w:cs="方正仿宋_GBK"/>
          <w:b w:val="0"/>
          <w:bCs w:val="0"/>
          <w:color w:val="000000"/>
          <w:kern w:val="0"/>
          <w:sz w:val="32"/>
          <w:szCs w:val="32"/>
          <w:shd w:val="clear" w:color="auto" w:fill="FFFFFF"/>
          <w:lang w:val="en-US" w:eastAsia="zh-CN"/>
        </w:rPr>
        <w:t>本单位本年度年末实有人数为37人，比上年增加0人；年末实有离退休人数为17人，比上年增加3人；</w:t>
      </w:r>
      <w:r>
        <w:rPr>
          <w:rFonts w:hint="default" w:ascii="方正仿宋_GBK" w:hAnsi="方正仿宋_GBK" w:eastAsia="方正仿宋_GBK" w:cs="方正仿宋_GBK"/>
          <w:b w:val="0"/>
          <w:bCs w:val="0"/>
          <w:color w:val="000000"/>
          <w:kern w:val="0"/>
          <w:sz w:val="32"/>
          <w:szCs w:val="32"/>
          <w:shd w:val="clear" w:color="auto" w:fill="FFFFFF"/>
          <w:lang w:val="zh-CN" w:eastAsia="zh-CN"/>
        </w:rPr>
        <w:t>年末实有其他人数为23人，比上年增加4人。</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0" w:firstLineChars="0"/>
        <w:contextualSpacing/>
        <w:jc w:val="left"/>
        <w:textAlignment w:val="auto"/>
        <w:rPr>
          <w:rFonts w:hint="eastAsia" w:ascii="Times New Roman" w:hAnsi="Times New Roman" w:eastAsia="黑体" w:cs="Times New Roman"/>
          <w:color w:val="000000"/>
          <w:kern w:val="0"/>
          <w:sz w:val="32"/>
          <w:szCs w:val="32"/>
          <w:shd w:val="clear" w:color="auto" w:fill="FFFFFF"/>
          <w:lang w:val="zh-CN"/>
        </w:rPr>
      </w:pPr>
      <w:r>
        <w:rPr>
          <w:rFonts w:hint="eastAsia" w:ascii="Times New Roman" w:hAnsi="Times New Roman" w:eastAsia="黑体" w:cs="Times New Roman"/>
          <w:color w:val="000000"/>
          <w:kern w:val="0"/>
          <w:sz w:val="32"/>
          <w:szCs w:val="32"/>
          <w:shd w:val="clear" w:color="auto" w:fill="FFFFFF"/>
          <w:lang w:val="zh-CN"/>
        </w:rPr>
        <w:t>二、部门资金收支情况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（一）收入情况。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红原县人民法院2025年年初预算收入的年初预算数为2073.56万元、决算报表收入数为2073.56万元。</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二）</w:t>
      </w:r>
      <w:r>
        <w:rPr>
          <w:rFonts w:hint="eastAsia" w:ascii="方正楷体_GB2312" w:hAnsi="方正楷体_GB2312" w:eastAsia="方正楷体_GB2312" w:cs="方正楷体_GB2312"/>
          <w:b/>
          <w:bCs/>
          <w:color w:val="000000"/>
          <w:kern w:val="0"/>
          <w:sz w:val="32"/>
          <w:szCs w:val="32"/>
          <w:shd w:val="clear" w:color="auto" w:fill="FFFFFF"/>
          <w:lang w:val="zh-CN"/>
        </w:rPr>
        <w:t>支出情况。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红原县人民法院2025年年初预算支出数为2073.56万元、决算报表支出数为2073.56万元。</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default" w:ascii="方正仿宋_GBK" w:hAnsi="方正仿宋_GBK" w:eastAsia="方正仿宋_GBK" w:cs="方正仿宋_GBK"/>
          <w:b w:val="0"/>
          <w:bCs w:val="0"/>
          <w:color w:val="000000"/>
          <w:kern w:val="0"/>
          <w:sz w:val="32"/>
          <w:szCs w:val="32"/>
          <w:shd w:val="clear" w:color="auto" w:fill="FFFFFF"/>
          <w:lang w:val="en-US" w:eastAsia="zh-CN"/>
        </w:rPr>
      </w:pPr>
      <w:r>
        <w:rPr>
          <w:rFonts w:hint="default" w:ascii="方正仿宋_GBK" w:hAnsi="方正仿宋_GBK" w:eastAsia="方正仿宋_GBK" w:cs="方正仿宋_GBK"/>
          <w:b w:val="0"/>
          <w:bCs w:val="0"/>
          <w:color w:val="000000"/>
          <w:kern w:val="0"/>
          <w:sz w:val="32"/>
          <w:szCs w:val="32"/>
          <w:shd w:val="clear" w:color="auto" w:fill="FFFFFF"/>
          <w:lang w:val="en-US" w:eastAsia="zh-CN"/>
        </w:rPr>
        <w:t>2025年，全院各部门高效履职，各项工作成效显著，案件审理质效稳步提升，全院共受理各类案件511件、审结496件，综合结案率97.06%，其中民事案件受理316件、审结295件，结案率93%，调撤率74.6%，刑事案件受理41件、审结41件，结案率100%，刑事审判警务保障45次，协助收监执行26人，行政案件受理1件、审结1件，结案率100%，执行类案件中，申请首次执行103件、执行恢复4件、执行保全128件、执行异议13件，执行警务保障28次，司法拘留5人；诉讼服务与矛盾化解成效明显，立案庭接待群众520件/700余人次，处理12368咨询热线工单16次，成立速裁团队和石榴籽调解室推进诉前调解，综合审判庭针对弱势群体开辟诉讼绿色通道，开展送法进社区、学校、企业等活动11次；审判管理规范有序，构建“周监测、月通报、季研判、年总结”管理模式，召开审判执行数据会商会12次、质效态势分析会14次，开展案件质量、庭审、裁判文书“三评查”，评查案件42件，长期未结案件清理率达87.5%；警务保障坚实有力，司法警察大队全年安检人员6043人次，完成民事开庭警务保障14次，圆满完成查理寺案件等重大安保任务，实现全年警务安全“零事故”；司法技术支撑到位，审管办承办鉴定评估案件9件，办结7件，为案件公正审理提供专业支持。</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eastAsia="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三）</w:t>
      </w:r>
      <w:r>
        <w:rPr>
          <w:rFonts w:hint="eastAsia" w:ascii="方正楷体_GB2312" w:hAnsi="方正楷体_GB2312" w:eastAsia="方正楷体_GB2312" w:cs="方正楷体_GB2312"/>
          <w:b/>
          <w:bCs/>
          <w:color w:val="000000"/>
          <w:kern w:val="0"/>
          <w:sz w:val="32"/>
          <w:szCs w:val="32"/>
          <w:shd w:val="clear" w:color="auto" w:fill="FFFFFF"/>
          <w:lang w:val="zh-CN"/>
        </w:rPr>
        <w:t>结余分配和结转结余情况。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红原县人民法院2025年决算报表结转结余数为17.07万元。</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0" w:firstLineChars="0"/>
        <w:contextualSpacing/>
        <w:jc w:val="left"/>
        <w:textAlignment w:val="auto"/>
        <w:rPr>
          <w:rFonts w:hint="eastAsia" w:ascii="Times New Roman" w:hAnsi="Times New Roman" w:eastAsia="黑体" w:cs="Times New Roman"/>
          <w:color w:val="000000"/>
          <w:kern w:val="0"/>
          <w:sz w:val="32"/>
          <w:szCs w:val="32"/>
          <w:shd w:val="clear" w:color="auto" w:fill="FFFFFF"/>
          <w:lang w:val="zh-CN"/>
        </w:rPr>
      </w:pPr>
      <w:r>
        <w:rPr>
          <w:rFonts w:hint="eastAsia" w:ascii="Times New Roman" w:hAnsi="Times New Roman" w:eastAsia="黑体" w:cs="Times New Roman"/>
          <w:color w:val="000000"/>
          <w:kern w:val="0"/>
          <w:sz w:val="32"/>
          <w:szCs w:val="32"/>
          <w:shd w:val="clear" w:color="auto" w:fill="FFFFFF"/>
          <w:lang w:val="zh-CN"/>
        </w:rPr>
        <w:t>三、部门预算绩效分析</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（一）部门预算总体绩效分析。</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rPr>
        <w:t>1.</w:t>
      </w:r>
      <w:r>
        <w:rPr>
          <w:rFonts w:hint="eastAsia" w:ascii="仿宋_GB2312" w:hAnsi="仿宋_GB2312" w:eastAsia="仿宋_GB2312" w:cs="仿宋_GB2312"/>
          <w:b/>
          <w:bCs/>
          <w:color w:val="000000"/>
          <w:kern w:val="0"/>
          <w:sz w:val="32"/>
          <w:szCs w:val="32"/>
          <w:shd w:val="clear" w:color="auto" w:fill="FFFFFF"/>
          <w:lang w:val="zh-CN"/>
        </w:rPr>
        <w:t>履职效能。</w:t>
      </w:r>
      <w:r>
        <w:rPr>
          <w:rFonts w:hint="eastAsia" w:ascii="仿宋_GB2312" w:hAnsi="仿宋_GB2312" w:eastAsia="仿宋_GB2312" w:cs="仿宋_GB2312"/>
          <w:color w:val="000000"/>
          <w:kern w:val="0"/>
          <w:szCs w:val="32"/>
          <w:shd w:val="clear" w:color="auto" w:fill="FFFFFF"/>
          <w:lang w:val="zh-CN"/>
        </w:rPr>
        <w:t xml:space="preserve"> </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我院各部门履职效能自评分数为15分，满分15分。全部符合指标值，具体如下：</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zh-CN" w:eastAsia="zh-CN"/>
        </w:rPr>
        <w:t>（1）数量指标。2025年，全院各部门高效履职，各项工作成效显著，案件审理质效稳步提升，全院共受理各类案件511件、审结496件，综合结案率97.06%，法官人均案件结案数</w:t>
      </w:r>
      <w:r>
        <w:rPr>
          <w:rFonts w:hint="eastAsia" w:ascii="方正仿宋_GBK" w:hAnsi="方正仿宋_GBK" w:eastAsia="方正仿宋_GBK" w:cs="方正仿宋_GBK"/>
          <w:b w:val="0"/>
          <w:bCs w:val="0"/>
          <w:color w:val="000000"/>
          <w:kern w:val="0"/>
          <w:sz w:val="32"/>
          <w:szCs w:val="32"/>
          <w:shd w:val="clear" w:color="auto" w:fill="FFFFFF"/>
          <w:lang w:val="en-US" w:eastAsia="zh-CN"/>
        </w:rPr>
        <w:t>45件，</w:t>
      </w:r>
      <w:r>
        <w:rPr>
          <w:rFonts w:hint="eastAsia" w:ascii="方正仿宋_GBK" w:hAnsi="方正仿宋_GBK" w:eastAsia="方正仿宋_GBK" w:cs="方正仿宋_GBK"/>
          <w:b w:val="0"/>
          <w:bCs w:val="0"/>
          <w:color w:val="000000"/>
          <w:kern w:val="0"/>
          <w:sz w:val="32"/>
          <w:szCs w:val="32"/>
          <w:shd w:val="clear" w:color="auto" w:fill="FFFFFF"/>
          <w:lang w:val="zh-CN" w:eastAsia="zh-CN"/>
        </w:rPr>
        <w:t>其中民事案件受理316件、审结295件，结案率93%，调撤率74.6%，刑事案件受理41件、审结41件，结案率100%，刑事审判警务保障45次，协助收监执行26人，行政案件受理1件、审结1件，结案率100%。</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zh-CN" w:eastAsia="zh-CN"/>
        </w:rPr>
        <w:t>（2）质量指标。全年利用转移支付资金实施的项目验收合格率达到100%，一审裁判被改发率0.</w:t>
      </w:r>
      <w:r>
        <w:rPr>
          <w:rFonts w:hint="eastAsia" w:ascii="方正仿宋_GBK" w:hAnsi="方正仿宋_GBK" w:eastAsia="方正仿宋_GBK" w:cs="方正仿宋_GBK"/>
          <w:b w:val="0"/>
          <w:bCs w:val="0"/>
          <w:color w:val="000000"/>
          <w:kern w:val="0"/>
          <w:sz w:val="32"/>
          <w:szCs w:val="32"/>
          <w:shd w:val="clear" w:color="auto" w:fill="FFFFFF"/>
          <w:lang w:val="en-US" w:eastAsia="zh-CN"/>
        </w:rPr>
        <w:t>287</w:t>
      </w:r>
      <w:r>
        <w:rPr>
          <w:rFonts w:hint="eastAsia" w:ascii="方正仿宋_GBK" w:hAnsi="方正仿宋_GBK" w:eastAsia="方正仿宋_GBK" w:cs="方正仿宋_GBK"/>
          <w:b w:val="0"/>
          <w:bCs w:val="0"/>
          <w:color w:val="000000"/>
          <w:kern w:val="0"/>
          <w:sz w:val="32"/>
          <w:szCs w:val="32"/>
          <w:shd w:val="clear" w:color="auto" w:fill="FFFFFF"/>
          <w:lang w:val="zh-CN" w:eastAsia="zh-CN"/>
        </w:rPr>
        <w:t>%。</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zh-CN" w:eastAsia="zh-CN"/>
        </w:rPr>
        <w:t>（3）时效指标。截至202</w:t>
      </w:r>
      <w:r>
        <w:rPr>
          <w:rFonts w:hint="eastAsia" w:ascii="方正仿宋_GBK" w:hAnsi="方正仿宋_GBK" w:eastAsia="方正仿宋_GBK" w:cs="方正仿宋_GBK"/>
          <w:b w:val="0"/>
          <w:bCs w:val="0"/>
          <w:color w:val="000000"/>
          <w:kern w:val="0"/>
          <w:sz w:val="32"/>
          <w:szCs w:val="32"/>
          <w:shd w:val="clear" w:color="auto" w:fill="FFFFFF"/>
          <w:lang w:val="en-US" w:eastAsia="zh-CN"/>
        </w:rPr>
        <w:t>5</w:t>
      </w:r>
      <w:r>
        <w:rPr>
          <w:rFonts w:hint="eastAsia" w:ascii="方正仿宋_GBK" w:hAnsi="方正仿宋_GBK" w:eastAsia="方正仿宋_GBK" w:cs="方正仿宋_GBK"/>
          <w:b w:val="0"/>
          <w:bCs w:val="0"/>
          <w:color w:val="000000"/>
          <w:kern w:val="0"/>
          <w:sz w:val="32"/>
          <w:szCs w:val="32"/>
          <w:shd w:val="clear" w:color="auto" w:fill="FFFFFF"/>
          <w:lang w:val="zh-CN" w:eastAsia="zh-CN"/>
        </w:rPr>
        <w:t>年12月31日，全年案件平均审理天数</w:t>
      </w:r>
      <w:r>
        <w:rPr>
          <w:rFonts w:hint="eastAsia" w:ascii="方正仿宋_GBK" w:hAnsi="方正仿宋_GBK" w:eastAsia="方正仿宋_GBK" w:cs="方正仿宋_GBK"/>
          <w:b w:val="0"/>
          <w:bCs w:val="0"/>
          <w:color w:val="000000"/>
          <w:kern w:val="0"/>
          <w:sz w:val="32"/>
          <w:szCs w:val="32"/>
          <w:shd w:val="clear" w:color="auto" w:fill="FFFFFF"/>
          <w:lang w:val="en-US" w:eastAsia="zh-CN"/>
        </w:rPr>
        <w:t>52.83</w:t>
      </w:r>
      <w:r>
        <w:rPr>
          <w:rFonts w:hint="eastAsia" w:ascii="方正仿宋_GBK" w:hAnsi="方正仿宋_GBK" w:eastAsia="方正仿宋_GBK" w:cs="方正仿宋_GBK"/>
          <w:b w:val="0"/>
          <w:bCs w:val="0"/>
          <w:color w:val="000000"/>
          <w:kern w:val="0"/>
          <w:sz w:val="32"/>
          <w:szCs w:val="32"/>
          <w:shd w:val="clear" w:color="auto" w:fill="FFFFFF"/>
          <w:lang w:val="zh-CN" w:eastAsia="zh-CN"/>
        </w:rPr>
        <w:t>天，较上年度增加了</w:t>
      </w:r>
      <w:r>
        <w:rPr>
          <w:rFonts w:hint="eastAsia" w:ascii="方正仿宋_GBK" w:hAnsi="方正仿宋_GBK" w:eastAsia="方正仿宋_GBK" w:cs="方正仿宋_GBK"/>
          <w:b w:val="0"/>
          <w:bCs w:val="0"/>
          <w:color w:val="000000"/>
          <w:kern w:val="0"/>
          <w:sz w:val="32"/>
          <w:szCs w:val="32"/>
          <w:shd w:val="clear" w:color="auto" w:fill="FFFFFF"/>
          <w:lang w:val="en-US" w:eastAsia="zh-CN"/>
        </w:rPr>
        <w:t>4.81</w:t>
      </w:r>
      <w:r>
        <w:rPr>
          <w:rFonts w:hint="eastAsia" w:ascii="方正仿宋_GBK" w:hAnsi="方正仿宋_GBK" w:eastAsia="方正仿宋_GBK" w:cs="方正仿宋_GBK"/>
          <w:b w:val="0"/>
          <w:bCs w:val="0"/>
          <w:color w:val="000000"/>
          <w:kern w:val="0"/>
          <w:sz w:val="32"/>
          <w:szCs w:val="32"/>
          <w:shd w:val="clear" w:color="auto" w:fill="FFFFFF"/>
          <w:lang w:val="zh-CN" w:eastAsia="zh-CN"/>
        </w:rPr>
        <w:t>天，增加原因为我院法官人数减少。</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zh-CN" w:eastAsia="zh-CN"/>
        </w:rPr>
        <w:t>（4）服务对象满意度指标。社会满意度测评</w:t>
      </w:r>
      <w:r>
        <w:rPr>
          <w:rFonts w:hint="eastAsia" w:ascii="方正仿宋_GBK" w:hAnsi="方正仿宋_GBK" w:eastAsia="方正仿宋_GBK" w:cs="方正仿宋_GBK"/>
          <w:b w:val="0"/>
          <w:bCs w:val="0"/>
          <w:color w:val="000000"/>
          <w:kern w:val="0"/>
          <w:sz w:val="32"/>
          <w:szCs w:val="32"/>
          <w:shd w:val="clear" w:color="auto" w:fill="FFFFFF"/>
          <w:lang w:val="en-US" w:eastAsia="zh-CN"/>
        </w:rPr>
        <w:t>90%。</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default"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（5）社会效益指标。维护地区法治营商环境成效显著，有效提升司法公信力。</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rPr>
        <w:t>2.</w:t>
      </w:r>
      <w:r>
        <w:rPr>
          <w:rFonts w:hint="eastAsia" w:ascii="仿宋_GB2312" w:hAnsi="仿宋_GB2312" w:eastAsia="仿宋_GB2312" w:cs="仿宋_GB2312"/>
          <w:b/>
          <w:bCs/>
          <w:color w:val="000000"/>
          <w:kern w:val="0"/>
          <w:sz w:val="32"/>
          <w:szCs w:val="32"/>
          <w:shd w:val="clear" w:color="auto" w:fill="FFFFFF"/>
          <w:lang w:val="zh-CN"/>
        </w:rPr>
        <w:t>预算管理。</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我院预算管理自评分数为22.86分，满分25分。扣分项具体如下：</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（1）预算编制中财政拨款存在预算偏离度51.14%，扣分2.05分，主要原因为转移支付项目资金不做年初预算，为资金下达后做项目增加。</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当年年终部门预算有注销金额和结余，扣分0.14分，主要原因为</w:t>
      </w:r>
      <w:r>
        <w:rPr>
          <w:rFonts w:hint="default" w:ascii="方正仿宋_GBK" w:hAnsi="方正仿宋_GBK" w:eastAsia="方正仿宋_GBK" w:cs="方正仿宋_GBK"/>
          <w:b w:val="0"/>
          <w:bCs w:val="0"/>
          <w:color w:val="000000"/>
          <w:kern w:val="0"/>
          <w:sz w:val="32"/>
          <w:szCs w:val="32"/>
          <w:shd w:val="clear" w:color="auto" w:fill="FFFFFF"/>
          <w:lang w:val="en-US" w:eastAsia="zh-CN"/>
        </w:rPr>
        <w:t>本年度非财政拨款收入资金结转和结余金额为17.07万元，主要为绵阳援建资金剩余2.06万元，杭州援建资金剩余15.08万元。</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default" w:ascii="仿宋_GB2312" w:hAnsi="仿宋_GB2312" w:eastAsia="仿宋_GB2312" w:cs="仿宋_GB2312"/>
          <w:b/>
          <w:bCs/>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32"/>
          <w:szCs w:val="32"/>
          <w:shd w:val="clear" w:color="auto" w:fill="FFFFFF"/>
          <w:lang w:val="en-US" w:eastAsia="zh-CN"/>
        </w:rPr>
        <w:t>3.财务管理。</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财务管理自评分数10分，满分10分。部门已制定内部财务管理制度等制度机制，合理设置财务工作岗位，明确职责权限，并严格实行不相容岗位分离原则，部门资金使用不存在不符合相关财务管理制度规定现象。</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lang w:val="en-US" w:eastAsia="zh-CN"/>
        </w:rPr>
        <w:t>4.</w:t>
      </w:r>
      <w:r>
        <w:rPr>
          <w:rFonts w:hint="eastAsia" w:ascii="仿宋_GB2312" w:hAnsi="仿宋_GB2312" w:eastAsia="仿宋_GB2312" w:cs="仿宋_GB2312"/>
          <w:b/>
          <w:bCs/>
          <w:color w:val="000000"/>
          <w:kern w:val="0"/>
          <w:sz w:val="32"/>
          <w:szCs w:val="32"/>
          <w:shd w:val="clear" w:color="auto" w:fill="FFFFFF"/>
          <w:lang w:val="zh-CN" w:eastAsia="zh-CN"/>
        </w:rPr>
        <w:t>资产管理。</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我院资产管理自评分数为8分，满分9分，扣1分。部门人均资产变化率为18.52%，部门人均资产减少率为18.52%，无闲置资产。</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lang w:val="en-US" w:eastAsia="zh-CN"/>
        </w:rPr>
        <w:t>5.</w:t>
      </w:r>
      <w:r>
        <w:rPr>
          <w:rFonts w:hint="eastAsia" w:ascii="仿宋_GB2312" w:hAnsi="仿宋_GB2312" w:eastAsia="仿宋_GB2312" w:cs="仿宋_GB2312"/>
          <w:b/>
          <w:bCs/>
          <w:color w:val="000000"/>
          <w:kern w:val="0"/>
          <w:sz w:val="32"/>
          <w:szCs w:val="32"/>
          <w:shd w:val="clear" w:color="auto" w:fill="FFFFFF"/>
          <w:lang w:val="zh-CN" w:eastAsia="zh-CN"/>
        </w:rPr>
        <w:t>采购管理。</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我院采购管理自评分数为6分，满分6分。</w:t>
      </w:r>
      <w:r>
        <w:rPr>
          <w:rFonts w:hint="eastAsia" w:ascii="方正仿宋_GBK" w:hAnsi="方正仿宋_GBK" w:eastAsia="方正仿宋_GBK" w:cs="方正仿宋_GBK"/>
          <w:b w:val="0"/>
          <w:bCs w:val="0"/>
          <w:color w:val="000000"/>
          <w:kern w:val="0"/>
          <w:sz w:val="32"/>
          <w:szCs w:val="32"/>
          <w:shd w:val="clear" w:color="auto" w:fill="FFFFFF"/>
          <w:lang w:val="zh-CN" w:eastAsia="zh-CN"/>
        </w:rPr>
        <w:t>部门政府采购项目资金支付比例</w:t>
      </w:r>
      <w:r>
        <w:rPr>
          <w:rFonts w:hint="eastAsia" w:ascii="方正仿宋_GBK" w:hAnsi="方正仿宋_GBK" w:eastAsia="方正仿宋_GBK" w:cs="方正仿宋_GBK"/>
          <w:b w:val="0"/>
          <w:bCs w:val="0"/>
          <w:color w:val="000000"/>
          <w:kern w:val="0"/>
          <w:sz w:val="32"/>
          <w:szCs w:val="32"/>
          <w:shd w:val="clear" w:color="auto" w:fill="FFFFFF"/>
          <w:lang w:val="en-US" w:eastAsia="zh-CN"/>
        </w:rPr>
        <w:t>为100%。</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二）</w:t>
      </w:r>
      <w:r>
        <w:rPr>
          <w:rFonts w:hint="eastAsia" w:ascii="方正楷体_GB2312" w:hAnsi="方正楷体_GB2312" w:eastAsia="方正楷体_GB2312" w:cs="方正楷体_GB2312"/>
          <w:b/>
          <w:bCs/>
          <w:color w:val="000000"/>
          <w:kern w:val="0"/>
          <w:sz w:val="32"/>
          <w:szCs w:val="32"/>
          <w:shd w:val="clear" w:color="auto" w:fill="FFFFFF"/>
          <w:lang w:val="zh-CN"/>
        </w:rPr>
        <w:t>部门预算项目绩效分析。</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我院常年项目</w:t>
      </w:r>
      <w:r>
        <w:rPr>
          <w:rFonts w:hint="eastAsia" w:ascii="方正仿宋_GBK" w:hAnsi="方正仿宋_GBK" w:eastAsia="方正仿宋_GBK" w:cs="方正仿宋_GBK"/>
          <w:b w:val="0"/>
          <w:bCs w:val="0"/>
          <w:color w:val="000000"/>
          <w:kern w:val="0"/>
          <w:sz w:val="32"/>
          <w:szCs w:val="32"/>
          <w:shd w:val="clear" w:color="auto" w:fill="FFFFFF"/>
          <w:lang w:val="zh-CN" w:eastAsia="zh-CN"/>
        </w:rPr>
        <w:t>总数</w:t>
      </w:r>
      <w:r>
        <w:rPr>
          <w:rFonts w:hint="eastAsia" w:ascii="方正仿宋_GBK" w:hAnsi="方正仿宋_GBK" w:eastAsia="方正仿宋_GBK" w:cs="方正仿宋_GBK"/>
          <w:b w:val="0"/>
          <w:bCs w:val="0"/>
          <w:color w:val="000000"/>
          <w:kern w:val="0"/>
          <w:sz w:val="32"/>
          <w:szCs w:val="32"/>
          <w:shd w:val="clear" w:color="auto" w:fill="FFFFFF"/>
          <w:lang w:val="en-US" w:eastAsia="zh-CN"/>
        </w:rPr>
        <w:t>6</w:t>
      </w:r>
      <w:r>
        <w:rPr>
          <w:rFonts w:hint="eastAsia" w:ascii="方正仿宋_GBK" w:hAnsi="方正仿宋_GBK" w:eastAsia="方正仿宋_GBK" w:cs="方正仿宋_GBK"/>
          <w:b w:val="0"/>
          <w:bCs w:val="0"/>
          <w:color w:val="000000"/>
          <w:kern w:val="0"/>
          <w:sz w:val="32"/>
          <w:szCs w:val="32"/>
          <w:shd w:val="clear" w:color="auto" w:fill="FFFFFF"/>
          <w:lang w:val="zh-CN" w:eastAsia="zh-CN"/>
        </w:rPr>
        <w:t>个，涉及预算总金额</w:t>
      </w:r>
      <w:r>
        <w:rPr>
          <w:rFonts w:hint="eastAsia" w:ascii="方正仿宋_GBK" w:hAnsi="方正仿宋_GBK" w:eastAsia="方正仿宋_GBK" w:cs="方正仿宋_GBK"/>
          <w:b w:val="0"/>
          <w:bCs w:val="0"/>
          <w:color w:val="000000"/>
          <w:kern w:val="0"/>
          <w:sz w:val="32"/>
          <w:szCs w:val="32"/>
          <w:shd w:val="clear" w:color="auto" w:fill="FFFFFF"/>
          <w:lang w:val="en-US" w:eastAsia="zh-CN"/>
        </w:rPr>
        <w:t>100.30</w:t>
      </w:r>
      <w:r>
        <w:rPr>
          <w:rFonts w:hint="eastAsia" w:ascii="方正仿宋_GBK" w:hAnsi="方正仿宋_GBK" w:eastAsia="方正仿宋_GBK" w:cs="方正仿宋_GBK"/>
          <w:b w:val="0"/>
          <w:bCs w:val="0"/>
          <w:color w:val="000000"/>
          <w:kern w:val="0"/>
          <w:sz w:val="32"/>
          <w:szCs w:val="32"/>
          <w:shd w:val="clear" w:color="auto" w:fill="FFFFFF"/>
          <w:lang w:val="zh-CN" w:eastAsia="zh-CN"/>
        </w:rPr>
        <w:t>万元，1—1</w:t>
      </w:r>
      <w:r>
        <w:rPr>
          <w:rFonts w:hint="eastAsia" w:ascii="方正仿宋_GBK" w:hAnsi="方正仿宋_GBK" w:eastAsia="方正仿宋_GBK" w:cs="方正仿宋_GBK"/>
          <w:b w:val="0"/>
          <w:bCs w:val="0"/>
          <w:color w:val="000000"/>
          <w:kern w:val="0"/>
          <w:sz w:val="32"/>
          <w:szCs w:val="32"/>
          <w:shd w:val="clear" w:color="auto" w:fill="FFFFFF"/>
          <w:lang w:val="en-US" w:eastAsia="zh-CN"/>
        </w:rPr>
        <w:t>2</w:t>
      </w:r>
      <w:r>
        <w:rPr>
          <w:rFonts w:hint="eastAsia" w:ascii="方正仿宋_GBK" w:hAnsi="方正仿宋_GBK" w:eastAsia="方正仿宋_GBK" w:cs="方正仿宋_GBK"/>
          <w:b w:val="0"/>
          <w:bCs w:val="0"/>
          <w:color w:val="000000"/>
          <w:kern w:val="0"/>
          <w:sz w:val="32"/>
          <w:szCs w:val="32"/>
          <w:shd w:val="clear" w:color="auto" w:fill="FFFFFF"/>
          <w:lang w:val="zh-CN" w:eastAsia="zh-CN"/>
        </w:rPr>
        <w:t>月预算执行总体进度为</w:t>
      </w:r>
      <w:r>
        <w:rPr>
          <w:rFonts w:hint="eastAsia" w:ascii="方正仿宋_GBK" w:hAnsi="方正仿宋_GBK" w:eastAsia="方正仿宋_GBK" w:cs="方正仿宋_GBK"/>
          <w:b w:val="0"/>
          <w:bCs w:val="0"/>
          <w:color w:val="000000"/>
          <w:kern w:val="0"/>
          <w:sz w:val="32"/>
          <w:szCs w:val="32"/>
          <w:shd w:val="clear" w:color="auto" w:fill="FFFFFF"/>
          <w:lang w:val="en-US" w:eastAsia="zh-CN"/>
        </w:rPr>
        <w:t>100</w:t>
      </w:r>
      <w:r>
        <w:rPr>
          <w:rFonts w:hint="eastAsia" w:ascii="方正仿宋_GBK" w:hAnsi="方正仿宋_GBK" w:eastAsia="方正仿宋_GBK" w:cs="方正仿宋_GBK"/>
          <w:b w:val="0"/>
          <w:bCs w:val="0"/>
          <w:color w:val="000000"/>
          <w:kern w:val="0"/>
          <w:sz w:val="32"/>
          <w:szCs w:val="32"/>
          <w:shd w:val="clear" w:color="auto" w:fill="FFFFFF"/>
          <w:lang w:val="zh-CN" w:eastAsia="zh-CN"/>
        </w:rPr>
        <w:t>%，其中：预算结余率大于</w:t>
      </w:r>
      <w:r>
        <w:rPr>
          <w:rFonts w:hint="eastAsia" w:ascii="方正仿宋_GBK" w:hAnsi="方正仿宋_GBK" w:eastAsia="方正仿宋_GBK" w:cs="方正仿宋_GBK"/>
          <w:b w:val="0"/>
          <w:bCs w:val="0"/>
          <w:color w:val="000000"/>
          <w:kern w:val="0"/>
          <w:sz w:val="32"/>
          <w:szCs w:val="32"/>
          <w:shd w:val="clear" w:color="auto" w:fill="FFFFFF"/>
          <w:lang w:val="en-US" w:eastAsia="zh-CN"/>
        </w:rPr>
        <w:t>10%</w:t>
      </w:r>
      <w:r>
        <w:rPr>
          <w:rFonts w:hint="eastAsia" w:ascii="方正仿宋_GBK" w:hAnsi="方正仿宋_GBK" w:eastAsia="方正仿宋_GBK" w:cs="方正仿宋_GBK"/>
          <w:b w:val="0"/>
          <w:bCs w:val="0"/>
          <w:color w:val="000000"/>
          <w:kern w:val="0"/>
          <w:sz w:val="32"/>
          <w:szCs w:val="32"/>
          <w:shd w:val="clear" w:color="auto" w:fill="FFFFFF"/>
          <w:lang w:val="zh-CN" w:eastAsia="zh-CN"/>
        </w:rPr>
        <w:t>的项目共计</w:t>
      </w:r>
      <w:r>
        <w:rPr>
          <w:rFonts w:hint="eastAsia" w:ascii="方正仿宋_GBK" w:hAnsi="方正仿宋_GBK" w:eastAsia="方正仿宋_GBK" w:cs="方正仿宋_GBK"/>
          <w:b w:val="0"/>
          <w:bCs w:val="0"/>
          <w:color w:val="000000"/>
          <w:kern w:val="0"/>
          <w:sz w:val="32"/>
          <w:szCs w:val="32"/>
          <w:shd w:val="clear" w:color="auto" w:fill="FFFFFF"/>
          <w:lang w:val="en-US" w:eastAsia="zh-CN"/>
        </w:rPr>
        <w:t>0</w:t>
      </w:r>
      <w:r>
        <w:rPr>
          <w:rFonts w:hint="eastAsia" w:ascii="方正仿宋_GBK" w:hAnsi="方正仿宋_GBK" w:eastAsia="方正仿宋_GBK" w:cs="方正仿宋_GBK"/>
          <w:b w:val="0"/>
          <w:bCs w:val="0"/>
          <w:color w:val="000000"/>
          <w:kern w:val="0"/>
          <w:sz w:val="32"/>
          <w:szCs w:val="32"/>
          <w:shd w:val="clear" w:color="auto" w:fill="FFFFFF"/>
          <w:lang w:val="zh-CN" w:eastAsia="zh-CN"/>
        </w:rPr>
        <w:t>个。</w:t>
      </w:r>
      <w:r>
        <w:rPr>
          <w:rFonts w:hint="eastAsia" w:ascii="方正仿宋_GBK" w:hAnsi="方正仿宋_GBK" w:eastAsia="方正仿宋_GBK" w:cs="方正仿宋_GBK"/>
          <w:b w:val="0"/>
          <w:bCs w:val="0"/>
          <w:color w:val="000000"/>
          <w:kern w:val="0"/>
          <w:sz w:val="32"/>
          <w:szCs w:val="32"/>
          <w:shd w:val="clear" w:color="auto" w:fill="FFFFFF"/>
          <w:lang w:val="en-US" w:eastAsia="zh-CN"/>
        </w:rPr>
        <w:t>阶段（一次性）项目</w:t>
      </w:r>
      <w:r>
        <w:rPr>
          <w:rFonts w:hint="eastAsia" w:ascii="方正仿宋_GBK" w:hAnsi="方正仿宋_GBK" w:eastAsia="方正仿宋_GBK" w:cs="方正仿宋_GBK"/>
          <w:b w:val="0"/>
          <w:bCs w:val="0"/>
          <w:color w:val="000000"/>
          <w:kern w:val="0"/>
          <w:sz w:val="32"/>
          <w:szCs w:val="32"/>
          <w:shd w:val="clear" w:color="auto" w:fill="FFFFFF"/>
          <w:lang w:val="zh-CN" w:eastAsia="zh-CN"/>
        </w:rPr>
        <w:t>总数</w:t>
      </w:r>
      <w:r>
        <w:rPr>
          <w:rFonts w:hint="eastAsia" w:ascii="方正仿宋_GBK" w:hAnsi="方正仿宋_GBK" w:eastAsia="方正仿宋_GBK" w:cs="方正仿宋_GBK"/>
          <w:b w:val="0"/>
          <w:bCs w:val="0"/>
          <w:color w:val="000000"/>
          <w:kern w:val="0"/>
          <w:sz w:val="32"/>
          <w:szCs w:val="32"/>
          <w:shd w:val="clear" w:color="auto" w:fill="FFFFFF"/>
          <w:lang w:val="en-US" w:eastAsia="zh-CN"/>
        </w:rPr>
        <w:t>6</w:t>
      </w:r>
      <w:r>
        <w:rPr>
          <w:rFonts w:hint="eastAsia" w:ascii="方正仿宋_GBK" w:hAnsi="方正仿宋_GBK" w:eastAsia="方正仿宋_GBK" w:cs="方正仿宋_GBK"/>
          <w:b w:val="0"/>
          <w:bCs w:val="0"/>
          <w:color w:val="000000"/>
          <w:kern w:val="0"/>
          <w:sz w:val="32"/>
          <w:szCs w:val="32"/>
          <w:shd w:val="clear" w:color="auto" w:fill="FFFFFF"/>
          <w:lang w:val="zh-CN" w:eastAsia="zh-CN"/>
        </w:rPr>
        <w:t>个，涉及预算总金额</w:t>
      </w:r>
      <w:r>
        <w:rPr>
          <w:rFonts w:hint="eastAsia" w:ascii="方正仿宋_GBK" w:hAnsi="方正仿宋_GBK" w:eastAsia="方正仿宋_GBK" w:cs="方正仿宋_GBK"/>
          <w:b w:val="0"/>
          <w:bCs w:val="0"/>
          <w:color w:val="000000"/>
          <w:kern w:val="0"/>
          <w:sz w:val="32"/>
          <w:szCs w:val="32"/>
          <w:shd w:val="clear" w:color="auto" w:fill="FFFFFF"/>
          <w:lang w:val="en-US" w:eastAsia="zh-CN"/>
        </w:rPr>
        <w:t>788.13</w:t>
      </w:r>
      <w:r>
        <w:rPr>
          <w:rFonts w:hint="eastAsia" w:ascii="方正仿宋_GBK" w:hAnsi="方正仿宋_GBK" w:eastAsia="方正仿宋_GBK" w:cs="方正仿宋_GBK"/>
          <w:b w:val="0"/>
          <w:bCs w:val="0"/>
          <w:color w:val="000000"/>
          <w:kern w:val="0"/>
          <w:sz w:val="32"/>
          <w:szCs w:val="32"/>
          <w:shd w:val="clear" w:color="auto" w:fill="FFFFFF"/>
          <w:lang w:val="zh-CN" w:eastAsia="zh-CN"/>
        </w:rPr>
        <w:t>万元，1—1</w:t>
      </w:r>
      <w:r>
        <w:rPr>
          <w:rFonts w:hint="eastAsia" w:ascii="方正仿宋_GBK" w:hAnsi="方正仿宋_GBK" w:eastAsia="方正仿宋_GBK" w:cs="方正仿宋_GBK"/>
          <w:b w:val="0"/>
          <w:bCs w:val="0"/>
          <w:color w:val="000000"/>
          <w:kern w:val="0"/>
          <w:sz w:val="32"/>
          <w:szCs w:val="32"/>
          <w:shd w:val="clear" w:color="auto" w:fill="FFFFFF"/>
          <w:lang w:val="en-US" w:eastAsia="zh-CN"/>
        </w:rPr>
        <w:t>2</w:t>
      </w:r>
      <w:r>
        <w:rPr>
          <w:rFonts w:hint="eastAsia" w:ascii="方正仿宋_GBK" w:hAnsi="方正仿宋_GBK" w:eastAsia="方正仿宋_GBK" w:cs="方正仿宋_GBK"/>
          <w:b w:val="0"/>
          <w:bCs w:val="0"/>
          <w:color w:val="000000"/>
          <w:kern w:val="0"/>
          <w:sz w:val="32"/>
          <w:szCs w:val="32"/>
          <w:shd w:val="clear" w:color="auto" w:fill="FFFFFF"/>
          <w:lang w:val="zh-CN" w:eastAsia="zh-CN"/>
        </w:rPr>
        <w:t>月预算执行总体进度为</w:t>
      </w:r>
      <w:r>
        <w:rPr>
          <w:rFonts w:hint="eastAsia" w:ascii="方正仿宋_GBK" w:hAnsi="方正仿宋_GBK" w:eastAsia="方正仿宋_GBK" w:cs="方正仿宋_GBK"/>
          <w:b w:val="0"/>
          <w:bCs w:val="0"/>
          <w:color w:val="000000"/>
          <w:kern w:val="0"/>
          <w:sz w:val="32"/>
          <w:szCs w:val="32"/>
          <w:shd w:val="clear" w:color="auto" w:fill="FFFFFF"/>
          <w:lang w:val="en-US" w:eastAsia="zh-CN"/>
        </w:rPr>
        <w:t>91.14</w:t>
      </w:r>
      <w:r>
        <w:rPr>
          <w:rFonts w:hint="eastAsia" w:ascii="方正仿宋_GBK" w:hAnsi="方正仿宋_GBK" w:eastAsia="方正仿宋_GBK" w:cs="方正仿宋_GBK"/>
          <w:b w:val="0"/>
          <w:bCs w:val="0"/>
          <w:color w:val="000000"/>
          <w:kern w:val="0"/>
          <w:sz w:val="32"/>
          <w:szCs w:val="32"/>
          <w:shd w:val="clear" w:color="auto" w:fill="FFFFFF"/>
          <w:lang w:val="zh-CN" w:eastAsia="zh-CN"/>
        </w:rPr>
        <w:t>%，其中：预算结余率大于</w:t>
      </w:r>
      <w:r>
        <w:rPr>
          <w:rFonts w:hint="eastAsia" w:ascii="方正仿宋_GBK" w:hAnsi="方正仿宋_GBK" w:eastAsia="方正仿宋_GBK" w:cs="方正仿宋_GBK"/>
          <w:b w:val="0"/>
          <w:bCs w:val="0"/>
          <w:color w:val="000000"/>
          <w:kern w:val="0"/>
          <w:sz w:val="32"/>
          <w:szCs w:val="32"/>
          <w:shd w:val="clear" w:color="auto" w:fill="FFFFFF"/>
          <w:lang w:val="en-US" w:eastAsia="zh-CN"/>
        </w:rPr>
        <w:t>10%</w:t>
      </w:r>
      <w:r>
        <w:rPr>
          <w:rFonts w:hint="eastAsia" w:ascii="方正仿宋_GBK" w:hAnsi="方正仿宋_GBK" w:eastAsia="方正仿宋_GBK" w:cs="方正仿宋_GBK"/>
          <w:b w:val="0"/>
          <w:bCs w:val="0"/>
          <w:color w:val="000000"/>
          <w:kern w:val="0"/>
          <w:sz w:val="32"/>
          <w:szCs w:val="32"/>
          <w:shd w:val="clear" w:color="auto" w:fill="FFFFFF"/>
          <w:lang w:val="zh-CN" w:eastAsia="zh-CN"/>
        </w:rPr>
        <w:t>的项目共计</w:t>
      </w:r>
      <w:r>
        <w:rPr>
          <w:rFonts w:hint="eastAsia" w:ascii="方正仿宋_GBK" w:hAnsi="方正仿宋_GBK" w:eastAsia="方正仿宋_GBK" w:cs="方正仿宋_GBK"/>
          <w:b w:val="0"/>
          <w:bCs w:val="0"/>
          <w:color w:val="000000"/>
          <w:kern w:val="0"/>
          <w:sz w:val="32"/>
          <w:szCs w:val="32"/>
          <w:shd w:val="clear" w:color="auto" w:fill="FFFFFF"/>
          <w:lang w:val="en-US" w:eastAsia="zh-CN"/>
        </w:rPr>
        <w:t>1</w:t>
      </w:r>
      <w:r>
        <w:rPr>
          <w:rFonts w:hint="eastAsia" w:ascii="方正仿宋_GBK" w:hAnsi="方正仿宋_GBK" w:eastAsia="方正仿宋_GBK" w:cs="方正仿宋_GBK"/>
          <w:b w:val="0"/>
          <w:bCs w:val="0"/>
          <w:color w:val="000000"/>
          <w:kern w:val="0"/>
          <w:sz w:val="32"/>
          <w:szCs w:val="32"/>
          <w:shd w:val="clear" w:color="auto" w:fill="FFFFFF"/>
          <w:lang w:val="zh-CN" w:eastAsia="zh-CN"/>
        </w:rPr>
        <w:t>个。</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lang w:val="en-US" w:eastAsia="zh-CN"/>
        </w:rPr>
        <w:t>1.</w:t>
      </w:r>
      <w:r>
        <w:rPr>
          <w:rFonts w:hint="eastAsia" w:ascii="仿宋_GB2312" w:hAnsi="仿宋_GB2312" w:eastAsia="仿宋_GB2312" w:cs="仿宋_GB2312"/>
          <w:b/>
          <w:bCs/>
          <w:color w:val="000000"/>
          <w:kern w:val="0"/>
          <w:sz w:val="32"/>
          <w:szCs w:val="32"/>
          <w:shd w:val="clear" w:color="auto" w:fill="FFFFFF"/>
          <w:lang w:val="zh-CN" w:eastAsia="zh-CN"/>
        </w:rPr>
        <w:t>项目决策。</w:t>
      </w:r>
    </w:p>
    <w:p>
      <w:pPr>
        <w:keepNext w:val="0"/>
        <w:keepLines w:val="0"/>
        <w:pageBreakBefore w:val="0"/>
        <w:numPr>
          <w:ilvl w:val="0"/>
          <w:numId w:val="0"/>
        </w:numPr>
        <w:kinsoku/>
        <w:wordWrap w:val="0"/>
        <w:overflowPunct/>
        <w:topLinePunct/>
        <w:autoSpaceDE/>
        <w:autoSpaceDN/>
        <w:bidi w:val="0"/>
        <w:adjustRightInd w:val="0"/>
        <w:snapToGrid w:val="0"/>
        <w:spacing w:line="560" w:lineRule="exact"/>
        <w:ind w:firstLine="0" w:firstLineChars="0"/>
        <w:contextualSpacing/>
        <w:jc w:val="left"/>
        <w:rPr>
          <w:rFonts w:hint="default"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仿宋_GB2312" w:hAnsi="仿宋_GB2312" w:cs="仿宋_GB2312"/>
          <w:b/>
          <w:bCs/>
          <w:color w:val="000000"/>
          <w:kern w:val="0"/>
          <w:szCs w:val="32"/>
          <w:shd w:val="clear" w:color="auto" w:fill="FFFFFF"/>
          <w:lang w:val="en-US" w:eastAsia="zh-CN"/>
        </w:rPr>
        <w:t xml:space="preserve">  </w:t>
      </w:r>
      <w:r>
        <w:rPr>
          <w:rFonts w:hint="eastAsia" w:ascii="方正仿宋_GBK" w:hAnsi="方正仿宋_GBK" w:eastAsia="方正仿宋_GBK" w:cs="方正仿宋_GBK"/>
          <w:b w:val="0"/>
          <w:bCs w:val="0"/>
          <w:color w:val="000000"/>
          <w:kern w:val="0"/>
          <w:sz w:val="32"/>
          <w:szCs w:val="32"/>
          <w:shd w:val="clear" w:color="auto" w:fill="FFFFFF"/>
          <w:lang w:val="en-US" w:eastAsia="zh-CN"/>
        </w:rPr>
        <w:t xml:space="preserve">  我院项目决策自评得分11分，满分12分。部门预算项目设立已按规定履行评估论证、申报程序，部门预算项目绩效目标与计划期内的任务量有较小差异、预算安排的资金合理，绩效目标设置科学合理、规范完整、量化细化和预算匹配，部门预算项目未在规定时间完成项目入库。</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lang w:val="en-US" w:eastAsia="zh-CN"/>
        </w:rPr>
        <w:t>2.项目执行</w:t>
      </w:r>
      <w:r>
        <w:rPr>
          <w:rFonts w:hint="eastAsia" w:ascii="仿宋_GB2312" w:hAnsi="仿宋_GB2312" w:eastAsia="仿宋_GB2312" w:cs="仿宋_GB2312"/>
          <w:b/>
          <w:bCs/>
          <w:color w:val="000000"/>
          <w:kern w:val="0"/>
          <w:sz w:val="32"/>
          <w:szCs w:val="32"/>
          <w:shd w:val="clear" w:color="auto" w:fill="FFFFFF"/>
          <w:lang w:val="zh-CN" w:eastAsia="zh-CN"/>
        </w:rPr>
        <w:t>。</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default"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我院项目执行自评得分11分，满分12分。部门预算项目实际列支内容与绩效目标设置方向相符，</w:t>
      </w:r>
      <w:r>
        <w:rPr>
          <w:rFonts w:hint="default" w:ascii="方正仿宋_GBK" w:hAnsi="方正仿宋_GBK" w:eastAsia="方正仿宋_GBK" w:cs="方正仿宋_GBK"/>
          <w:b w:val="0"/>
          <w:bCs w:val="0"/>
          <w:color w:val="000000"/>
          <w:kern w:val="0"/>
          <w:sz w:val="32"/>
          <w:szCs w:val="32"/>
          <w:shd w:val="clear" w:color="auto" w:fill="FFFFFF"/>
          <w:lang w:val="en-US" w:eastAsia="zh-CN"/>
        </w:rPr>
        <w:t>部门预算项目</w:t>
      </w:r>
      <w:r>
        <w:rPr>
          <w:rFonts w:hint="eastAsia" w:ascii="方正仿宋_GBK" w:hAnsi="方正仿宋_GBK" w:eastAsia="方正仿宋_GBK" w:cs="方正仿宋_GBK"/>
          <w:b w:val="0"/>
          <w:bCs w:val="0"/>
          <w:color w:val="000000"/>
          <w:kern w:val="0"/>
          <w:sz w:val="32"/>
          <w:szCs w:val="32"/>
          <w:shd w:val="clear" w:color="auto" w:fill="FFFFFF"/>
          <w:lang w:val="en-US" w:eastAsia="zh-CN"/>
        </w:rPr>
        <w:t>有</w:t>
      </w:r>
      <w:r>
        <w:rPr>
          <w:rFonts w:hint="default" w:ascii="方正仿宋_GBK" w:hAnsi="方正仿宋_GBK" w:eastAsia="方正仿宋_GBK" w:cs="方正仿宋_GBK"/>
          <w:b w:val="0"/>
          <w:bCs w:val="0"/>
          <w:color w:val="000000"/>
          <w:kern w:val="0"/>
          <w:sz w:val="32"/>
          <w:szCs w:val="32"/>
          <w:shd w:val="clear" w:color="auto" w:fill="FFFFFF"/>
          <w:lang w:val="en-US" w:eastAsia="zh-CN"/>
        </w:rPr>
        <w:t>采取对应调整措施</w:t>
      </w:r>
      <w:r>
        <w:rPr>
          <w:rFonts w:hint="eastAsia" w:ascii="方正仿宋_GBK" w:hAnsi="方正仿宋_GBK" w:eastAsia="方正仿宋_GBK" w:cs="方正仿宋_GBK"/>
          <w:b w:val="0"/>
          <w:bCs w:val="0"/>
          <w:color w:val="000000"/>
          <w:kern w:val="0"/>
          <w:sz w:val="32"/>
          <w:szCs w:val="32"/>
          <w:shd w:val="clear" w:color="auto" w:fill="FFFFFF"/>
          <w:lang w:val="en-US" w:eastAsia="zh-CN"/>
        </w:rPr>
        <w:t>，部门预算项目预算执行率为91.14%。</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lang w:val="en-US" w:eastAsia="zh-CN"/>
        </w:rPr>
        <w:t>3.</w:t>
      </w:r>
      <w:r>
        <w:rPr>
          <w:rFonts w:hint="eastAsia" w:ascii="仿宋_GB2312" w:hAnsi="仿宋_GB2312" w:eastAsia="仿宋_GB2312" w:cs="仿宋_GB2312"/>
          <w:b/>
          <w:bCs/>
          <w:color w:val="000000"/>
          <w:kern w:val="0"/>
          <w:sz w:val="32"/>
          <w:szCs w:val="32"/>
          <w:shd w:val="clear" w:color="auto" w:fill="FFFFFF"/>
          <w:lang w:val="zh-CN" w:eastAsia="zh-CN"/>
        </w:rPr>
        <w:t>目标实现。</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我院目标实现自评得分10分，满分11分。1个部门预算项目绩效目标数量指标未达标。</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三）</w:t>
      </w:r>
      <w:r>
        <w:rPr>
          <w:rFonts w:hint="eastAsia" w:ascii="方正楷体_GB2312" w:hAnsi="方正楷体_GB2312" w:eastAsia="方正楷体_GB2312" w:cs="方正楷体_GB2312"/>
          <w:b/>
          <w:bCs/>
          <w:color w:val="000000"/>
          <w:kern w:val="0"/>
          <w:sz w:val="32"/>
          <w:szCs w:val="32"/>
          <w:shd w:val="clear" w:color="auto" w:fill="FFFFFF"/>
          <w:lang w:val="zh-CN"/>
        </w:rPr>
        <w:t>重点领域绩效分析。</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default"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我院2025年度政府采购项目共24个，按期完成24个。</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四）</w:t>
      </w:r>
      <w:r>
        <w:rPr>
          <w:rFonts w:hint="eastAsia" w:ascii="方正楷体_GB2312" w:hAnsi="方正楷体_GB2312" w:eastAsia="方正楷体_GB2312" w:cs="方正楷体_GB2312"/>
          <w:b/>
          <w:bCs/>
          <w:color w:val="000000"/>
          <w:kern w:val="0"/>
          <w:sz w:val="32"/>
          <w:szCs w:val="32"/>
          <w:shd w:val="clear" w:color="auto" w:fill="FFFFFF"/>
          <w:lang w:val="zh-CN"/>
        </w:rPr>
        <w:t>绩效结果应用情况。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针对此绩效成果，我院已依据项目绩效的实际表现，对资源配置进行了科学合理的调整与优化，旨在确保各类资源得以高效利用。针对绩效表现突出的项目，我院将给予更为坚实的支持与资源倾斜，以进一步促进其稳健持续发展。</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同时，我院致力于建立健全绩效管理体系，明确各项目绩效的具体目标、评估标准及考核流程。通过持续不断地完善绩效管理体系，我们将着力提升项目执行的效率与质量，从而为推动单位的可持续发展奠定坚实基础。</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0" w:firstLineChars="0"/>
        <w:contextualSpacing/>
        <w:jc w:val="left"/>
        <w:textAlignment w:val="auto"/>
        <w:rPr>
          <w:rFonts w:hint="eastAsia" w:ascii="Times New Roman" w:hAnsi="Times New Roman" w:eastAsia="黑体" w:cs="Times New Roman"/>
          <w:color w:val="000000"/>
          <w:kern w:val="0"/>
          <w:sz w:val="32"/>
          <w:szCs w:val="32"/>
          <w:shd w:val="clear" w:color="auto" w:fill="FFFFFF"/>
          <w:lang w:val="zh-CN"/>
        </w:rPr>
      </w:pPr>
      <w:bookmarkStart w:id="66" w:name="_GoBack"/>
      <w:bookmarkEnd w:id="66"/>
      <w:r>
        <w:rPr>
          <w:rFonts w:hint="eastAsia" w:ascii="Times New Roman" w:hAnsi="Times New Roman" w:eastAsia="黑体" w:cs="Times New Roman"/>
          <w:color w:val="000000"/>
          <w:kern w:val="0"/>
          <w:sz w:val="32"/>
          <w:szCs w:val="32"/>
          <w:shd w:val="clear" w:color="auto" w:fill="FFFFFF"/>
          <w:lang w:val="zh-CN"/>
        </w:rPr>
        <w:t>四、评价结论及建议</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（一）评价结论。</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综合以上各项分析，我院于2025年度的绩效自评结果为93.86分。</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这一评分不仅是对过去一年我院在预算执行、项目管理、资源利用效率以及服务质量等方面综合表现的客观反映，更是我院持续改进、追求卓越的重要动力源泉。</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二）</w:t>
      </w:r>
      <w:r>
        <w:rPr>
          <w:rFonts w:hint="eastAsia" w:ascii="方正楷体_GB2312" w:hAnsi="方正楷体_GB2312" w:eastAsia="方正楷体_GB2312" w:cs="方正楷体_GB2312"/>
          <w:b/>
          <w:bCs/>
          <w:color w:val="000000"/>
          <w:kern w:val="0"/>
          <w:sz w:val="32"/>
          <w:szCs w:val="32"/>
          <w:shd w:val="clear" w:color="auto" w:fill="FFFFFF"/>
          <w:lang w:val="zh-CN"/>
        </w:rPr>
        <w:t>存在问题。</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zh-CN" w:eastAsia="zh-CN"/>
        </w:rPr>
        <w:t>部分项目绩效目标设置不够准确、细化、量化，导致在评估过程中难以准确衡量目标达成情况。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zh-CN" w:eastAsia="zh-CN"/>
        </w:rPr>
        <w:t>尽管资产管理自评分数较高，但仍存在超最低使用年限资产利用率偏低的情况。</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r>
        <w:rPr>
          <w:rFonts w:hint="eastAsia" w:ascii="方正仿宋_GBK" w:hAnsi="方正仿宋_GBK" w:eastAsia="方正仿宋_GBK" w:cs="方正仿宋_GBK"/>
          <w:b w:val="0"/>
          <w:bCs w:val="0"/>
          <w:color w:val="000000"/>
          <w:kern w:val="0"/>
          <w:sz w:val="32"/>
          <w:szCs w:val="32"/>
          <w:shd w:val="clear" w:color="auto" w:fill="FFFFFF"/>
          <w:lang w:val="zh-CN" w:eastAsia="zh-CN"/>
        </w:rPr>
        <w:t>虽然预算管理整体到位，但在部分经费使用上仍存在不够精细和透明的问题。</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2" w:firstLineChars="200"/>
        <w:contextualSpacing/>
        <w:jc w:val="left"/>
        <w:rPr>
          <w:rFonts w:hint="eastAsia" w:ascii="方正楷体_GB2312" w:hAnsi="方正楷体_GB2312" w:eastAsia="方正楷体_GB2312" w:cs="方正楷体_GB2312"/>
          <w:b/>
          <w:bCs/>
          <w:color w:val="000000"/>
          <w:kern w:val="0"/>
          <w:sz w:val="32"/>
          <w:szCs w:val="32"/>
          <w:shd w:val="clear" w:color="auto" w:fill="FFFFFF"/>
          <w:lang w:val="en-US" w:eastAsia="zh-CN"/>
        </w:rPr>
      </w:pPr>
      <w:r>
        <w:rPr>
          <w:rFonts w:hint="eastAsia" w:ascii="方正楷体_GB2312" w:hAnsi="方正楷体_GB2312" w:eastAsia="方正楷体_GB2312" w:cs="方正楷体_GB2312"/>
          <w:b/>
          <w:bCs/>
          <w:color w:val="000000"/>
          <w:kern w:val="0"/>
          <w:sz w:val="32"/>
          <w:szCs w:val="32"/>
          <w:shd w:val="clear" w:color="auto" w:fill="FFFFFF"/>
          <w:lang w:val="zh-CN"/>
        </w:rPr>
        <w:t>（</w:t>
      </w:r>
      <w:r>
        <w:rPr>
          <w:rFonts w:hint="eastAsia" w:ascii="方正楷体_GB2312" w:hAnsi="方正楷体_GB2312" w:eastAsia="方正楷体_GB2312" w:cs="方正楷体_GB2312"/>
          <w:b/>
          <w:bCs/>
          <w:color w:val="000000"/>
          <w:kern w:val="0"/>
          <w:sz w:val="32"/>
          <w:szCs w:val="32"/>
          <w:shd w:val="clear" w:color="auto" w:fill="FFFFFF"/>
          <w:lang w:val="en-US" w:eastAsia="zh-CN"/>
        </w:rPr>
        <w:t>三）</w:t>
      </w:r>
      <w:r>
        <w:rPr>
          <w:rFonts w:hint="eastAsia" w:ascii="方正楷体_GB2312" w:hAnsi="方正楷体_GB2312" w:eastAsia="方正楷体_GB2312" w:cs="方正楷体_GB2312"/>
          <w:b/>
          <w:bCs/>
          <w:color w:val="000000"/>
          <w:kern w:val="0"/>
          <w:sz w:val="32"/>
          <w:szCs w:val="32"/>
          <w:shd w:val="clear" w:color="auto" w:fill="FFFFFF"/>
          <w:lang w:val="zh-CN"/>
        </w:rPr>
        <w:t>改进建议。</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加强与上级财政部门的沟通，提前掌握转移支付项目和追加资金的预计情况，尽可能减少预算调整，提高预算编制的准确性和前瞻性。同时，加强对预算执行进度的监控，确保各项支出按照既定计划有序进行。</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进一步细化支出分类，明确各项支出的合理性和必要性。加强对办公设备购置、信息网络及软件更新等项目的论证和审批，避免重复购置和浪费。同时，探索建立更加科学合理的经费保障机制，确保临聘人员等必要支出得到合理保障，减少因经费来源变化导致的支出增加。</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严格按照政府采购相关规定执行，预留适当比例的采购份额专门面向中小企业采购，并在采购预算中单独列示。加强对政府采购项目资金支付的监管，确保资金支付进度与项目执行进度相匹配。同时，加强与供应商的沟通合作，提高采购效率和质量。</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进一步完善项目绩效管理体系。加强项目立项前的评估论证工作，确保项目设立的科学性和合理性。加强项目执行过程中的监控和调整工作，确保项目按照既定目标和计划有序进行。同时，加强对项目绩效目标的考核和评估工作，确保绩效目标得到有效实现。</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进一步建立健全绩效结果反馈机制。将绩效评价结果与资源配置、预算编制、项目调整等紧密结合起来，形成有效的激励和约束机制。对于绩效表现突出的项目和部门给予表彰和奖励；对于绩效表现不佳的项目和部门及时提出整改意见并督促落实整改措施。通过绩效结果的有效应用推动我院各项工作持续改进和提升。</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在保持现有财务管理水平的基础上继续加强内部控制和风险管理确保资金使用合规高效。同时加强对资产的管理和利用提高资产使用效率减少闲置和浪费现象的发生。通过完善资产管理制度和流程确保资产的安全完整和有效利用。</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加强相关人员的业务培训和知识更新提高其专业素养和工作能力。同时注重引进和培养高素质的专业人才为预算管理和绩效管理工作提供有力的人才保障。</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en-US" w:eastAsia="zh-CN"/>
        </w:rPr>
      </w:pPr>
      <w:r>
        <w:rPr>
          <w:rFonts w:hint="eastAsia" w:ascii="方正仿宋_GBK" w:hAnsi="方正仿宋_GBK" w:eastAsia="方正仿宋_GBK" w:cs="方正仿宋_GBK"/>
          <w:b w:val="0"/>
          <w:bCs w:val="0"/>
          <w:color w:val="000000"/>
          <w:kern w:val="0"/>
          <w:sz w:val="32"/>
          <w:szCs w:val="32"/>
          <w:shd w:val="clear" w:color="auto" w:fill="FFFFFF"/>
          <w:lang w:val="en-US" w:eastAsia="zh-CN"/>
        </w:rPr>
        <w:t>利用现代信息技术手段加强预算管理、绩效管理和资产管理的信息化建设实现数据的实时共享和动态监控提高管理效率和准确性。通过信息化建设推动我院管理水平的全面提升为可持续发展提供有力支撑。</w:t>
      </w:r>
    </w:p>
    <w:p>
      <w:pPr>
        <w:keepNext w:val="0"/>
        <w:keepLines w:val="0"/>
        <w:pageBreakBefore w:val="0"/>
        <w:widowControl/>
        <w:kinsoku/>
        <w:wordWrap w:val="0"/>
        <w:overflowPunct/>
        <w:topLinePunct/>
        <w:autoSpaceDE/>
        <w:autoSpaceDN/>
        <w:bidi w:val="0"/>
        <w:adjustRightInd w:val="0"/>
        <w:snapToGrid w:val="0"/>
        <w:spacing w:line="560" w:lineRule="exact"/>
        <w:ind w:left="0" w:leftChars="0" w:firstLine="640" w:firstLineChars="200"/>
        <w:contextualSpacing/>
        <w:jc w:val="left"/>
        <w:rPr>
          <w:rFonts w:hint="eastAsia" w:ascii="方正仿宋_GBK" w:hAnsi="方正仿宋_GBK" w:eastAsia="方正仿宋_GBK" w:cs="方正仿宋_GBK"/>
          <w:b w:val="0"/>
          <w:bCs w:val="0"/>
          <w:color w:val="000000"/>
          <w:kern w:val="0"/>
          <w:sz w:val="32"/>
          <w:szCs w:val="32"/>
          <w:shd w:val="clear" w:color="auto" w:fill="FFFFFF"/>
          <w:lang w:val="zh-CN" w:eastAsia="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t>附件</w:t>
      </w:r>
    </w:p>
    <w:tbl>
      <w:tblPr>
        <w:tblStyle w:val="16"/>
        <w:tblW w:w="4853" w:type="pct"/>
        <w:tblInd w:w="11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999"/>
        <w:gridCol w:w="940"/>
        <w:gridCol w:w="1321"/>
        <w:gridCol w:w="396"/>
        <w:gridCol w:w="857"/>
        <w:gridCol w:w="861"/>
        <w:gridCol w:w="486"/>
        <w:gridCol w:w="486"/>
        <w:gridCol w:w="12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after="180" w:afterAutospacing="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51320025T000012698590-物业管理服务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通过专业、高效的物业服务，为审判业务大楼及基层人民法庭提供全方位的保障，提高机关运转效率，保障司法工作的顺利开展，助力法治建设再上新台阶。</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2025年，全院各部门高效履职，各项工作成效显著，案件审理质效稳步提升，全院共受理各类案件511件、审结496件，综合结案率97.06%，其中民事案件受理316件、审结295件，结案率93%，调撤率74.6%，刑事案件受理41件、审结41件，结案率100%，刑事审判警务保障45次，协助收监执行26人，行政案件受理1件、审结1件，结案率100%，圆满完成全年各项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46.20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44.40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44.40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46.20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44.40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44.40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绩效指标（100分）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服务覆盖人数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60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远程开庭、网络开庭案件数、执行指挥中心使用数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50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公共清洁保洁率：清洁保洁达标面积/清洁保洁总面积×100%</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95</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物业服务质量达标率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保障司法工作正常开展</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定性</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有效保障</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是</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满意度指标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满意度指标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服务对象满意度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成本指标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经济成本指标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物业管理成本</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50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44.4</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时效指标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物业服务响应及时率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0.4</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34"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53" w:type="dxa"/>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i w:val="0"/>
                <w:color w:val="000000"/>
                <w:sz w:val="30"/>
                <w:szCs w:val="30"/>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该项目自评得分为100分，提高了办公办案效率，为人民法院提供高效完善的司法服务，进而更好的服务人民群众，司法为民，提高法院公众影响力。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51320023R000009914893-工资性支出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严格执行相关政策，保障工资及时、足额发放或社保及时、足额缴纳，预算编制科学合理，无结余。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544.76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509.62</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509.62</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544.76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509.62</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509.62</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发放（缴纳）覆盖率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34"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53" w:type="dxa"/>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i w:val="0"/>
                <w:color w:val="000000"/>
                <w:sz w:val="30"/>
                <w:szCs w:val="30"/>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该项目自评得分为100分，我单位严格执行相关政策，保障工资及时、足额发放或社保及时、足额缴纳，预算编制科学合理，无资金结余。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项目负责人：李祥英</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51320023R000009915221-单位缴费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严格执行相关政策，保障工资及时、足额发放或社保及时、足额缴纳，预算编制科学合理，无结余。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327.40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319.43</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319.43</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327.40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319.43</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319.43</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发放（缴纳）覆盖率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34"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53" w:type="dxa"/>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i w:val="0"/>
                <w:color w:val="000000"/>
                <w:sz w:val="30"/>
                <w:szCs w:val="30"/>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该项目自评得分为100分，我单位严格执行相关政策，保障工资及时、足额发放或社保及时、足额缴纳，预算编制科学合理，无资金结余。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项目负责人：李祥英</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51320023R000009915925-聘用人员经费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严格执行相关政策，保障工资及时、足额发放或社保及时、足额缴纳，预算编制科学合理，无结余。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107.35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106.90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106.90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107.35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106.90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106.90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发放（缴纳）覆盖率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34"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53" w:type="dxa"/>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i w:val="0"/>
                <w:color w:val="000000"/>
                <w:sz w:val="30"/>
                <w:szCs w:val="30"/>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该项目自评得分为100分，我单位严格执行相关政策，保障工资及时、足额发放或社保及时、足额缴纳，预算编制科学合理，无资金结余。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项目负责人：李祥英</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51320023Y000009917272-日常公用经费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提高预算编制质量，严格执行预算，保障单位日常运转。</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严格执行预算，保障单位日常运转。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84.16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84.16</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84.16</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84.16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84.16</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84.16</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科目调整次数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42</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各部门对年度需求判断不足，支出调剂科目次数较多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预算编制准确率（计算方法为：∣（执行数-预算数）/预算数∣）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经济效益指标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“三公经费”控制率[计算方法为：（三公经费实际支出数/预算安排数]×100%）</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color w:val="000000"/>
                <w:sz w:val="18"/>
                <w:szCs w:val="18"/>
                <w:u w:val="none"/>
              </w:rPr>
            </w:pPr>
          </w:p>
        </w:tc>
        <w:tc>
          <w:tcPr>
            <w:tcW w:w="1077"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运转保障率</w:t>
            </w:r>
          </w:p>
        </w:tc>
        <w:tc>
          <w:tcPr>
            <w:tcW w:w="319"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74"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53" w:type="dxa"/>
            <w:tcBorders>
              <w:top w:val="nil"/>
              <w:left w:val="nil"/>
              <w:bottom w:val="nil"/>
              <w:right w:val="nil"/>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i w:val="0"/>
                <w:color w:val="000000"/>
                <w:sz w:val="30"/>
                <w:szCs w:val="30"/>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80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该项目自评得分为80分，三公经费得到了有效控制，主要问题在科目调整次数高达41次，没有控制在5次以内，主要原因为需求部门对资金需求提供不准确。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科目调整次数高达42次，没有控制在5次以内，主要原因为需求部门对资金需求提供不准确。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预算管理部门按年、按季度收取资金需求清单，并根据实际需求，控制科目调整次数，能合并调整的，需要合并调整。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51320025Y000012974203-日常公用经费（其他运转类）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提高预算编制质量，严格执行预算，保障单位日常运转。</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严格执行预算，保障单位日常运转。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39.68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39.68</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39.68</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39.68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39.68</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39.68</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科目调整次数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各部门对年度需求判断不足，支出调剂科目次数较多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预算编制准确率（计算方法为：∣（执行数-预算数）/预算数∣）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vMerge w:val="restar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1378"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“三公经费”控制率[计算方法为：（三公经费实际支出数/预算安排数]×100%）</w:t>
            </w:r>
          </w:p>
        </w:tc>
        <w:tc>
          <w:tcPr>
            <w:tcW w:w="319"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74"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53" w:type="dxa"/>
            <w:tcBorders>
              <w:top w:val="nil"/>
              <w:left w:val="nil"/>
              <w:bottom w:val="nil"/>
              <w:right w:val="nil"/>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黑体" w:hAnsi="宋体" w:eastAsia="黑体" w:cs="黑体"/>
                <w:i w:val="0"/>
                <w:color w:val="000000"/>
                <w:sz w:val="30"/>
                <w:szCs w:val="30"/>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运转保障率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该项目自评得分为100分，三公经费得到了有效控制。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51320024R000010654621-退休人员经费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严格执行相关政策，保障工资及时、足额发放，预算编制科学合理，无结余资金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99.71%</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99.71%</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发放（缴纳）覆盖率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30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34"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53" w:type="dxa"/>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i w:val="0"/>
                <w:color w:val="000000"/>
                <w:sz w:val="30"/>
                <w:szCs w:val="30"/>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该项目自评得分为100分，我单位严格执行相关政策，保障工资及时、足额发放，预算编制科学合理，无资金结余。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项目负责人：李祥英</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该项目自评得分为100分，用于支付维修、保证金等各项费用，做到专款专用。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51320026T000014929708-2025年下半年中央和省级ZFZY支付资金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保障办案业务需求</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2025年，全院各部门高效履职，各项工作成效显著，案件审理质效稳步提升，全院共受理各类案件511件、审结496件，综合结案率97.06%，其中民事案件受理316件、审结295件，结案率93%，调撤率74.6%，刑事案件受理41件、审结41件，结案率100%，刑事审判警务保障45次，协助收监执行26人，行政案件受理1件、审结1件，结案率100%，圆满完成全年各项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77.66</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77.66</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77.66</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77.66</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黑体" w:hAnsi="宋体" w:eastAsia="黑体" w:cs="黑体"/>
                <w:i w:val="0"/>
                <w:color w:val="000000"/>
                <w:sz w:val="30"/>
                <w:szCs w:val="30"/>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法官人均结案数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35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45</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一审案件审结率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97.06</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开展法制宣传数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6</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11</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执行标的额到位率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41</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52.27</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90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该项目自评得分为100分，提高办公办案效率，为人民法院提供高效完善的司法服务，进而更好的服务人民群众，司法为名，提高法院公众影响力。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51320025T000012994419-红原县人民法院法治教育宣传建设服务项目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充分挖掘红原地方文化，凝聚强大精神伟力拟打造红原县法治文化教育基地和法院办公楼道文化建设，传承中华优秀传统法律文化，深入挖掘红原特色文化，讲好红原法治故事，以精神力量凝聚法治力量，推动实现高质量发展。</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simhei" w:hAnsi="simhei" w:eastAsia="simhei" w:cs="simhei"/>
                <w:i w:val="0"/>
                <w:color w:val="000000"/>
                <w:kern w:val="0"/>
                <w:sz w:val="18"/>
                <w:szCs w:val="18"/>
                <w:u w:val="none"/>
                <w:lang w:val="en-US" w:eastAsia="zh-CN" w:bidi="ar"/>
              </w:rPr>
              <w:t>已完成项目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115.90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115.80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115.80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99.91%</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95.90</w:t>
            </w:r>
          </w:p>
        </w:tc>
        <w:tc>
          <w:tcPr>
            <w:tcW w:w="1378"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95.80</w:t>
            </w:r>
          </w:p>
        </w:tc>
        <w:tc>
          <w:tcPr>
            <w:tcW w:w="1343"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95.80</w:t>
            </w:r>
          </w:p>
        </w:tc>
        <w:tc>
          <w:tcPr>
            <w:tcW w:w="666"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99.90%</w:t>
            </w:r>
          </w:p>
        </w:tc>
        <w:tc>
          <w:tcPr>
            <w:tcW w:w="31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黑体" w:hAnsi="宋体" w:eastAsia="黑体" w:cs="黑体"/>
                <w:i w:val="0"/>
                <w:color w:val="000000"/>
                <w:sz w:val="30"/>
                <w:szCs w:val="30"/>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666" w:type="dxa"/>
            <w:tcBorders>
              <w:top w:val="nil"/>
              <w:left w:val="nil"/>
              <w:bottom w:val="nil"/>
              <w:right w:val="nil"/>
            </w:tcBorders>
            <w:shd w:val="clear" w:color="auto" w:fill="auto"/>
            <w:vAlign w:val="center"/>
          </w:tcPr>
          <w:p>
            <w:pPr>
              <w:jc w:val="center"/>
              <w:rPr>
                <w:rFonts w:hint="default" w:ascii="simhei" w:hAnsi="simhei" w:eastAsia="simhei" w:cs="simhei"/>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每年开展法治教育次数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11</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一审裁判被改发率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0.283</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案件平均结案时间</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56.62</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提升司法公信</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有效提升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是</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维护地区法治营商环境成效</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成效显著，地区营商环境优良</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是</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群众满意度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经费预算执行率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99.98</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该项目自评得分为100分，完成项目并投入使用。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51320025T000013443255-红原县人民法院代管资金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nil"/>
              <w:left w:val="nil"/>
              <w:bottom w:val="nil"/>
              <w:right w:val="nil"/>
            </w:tcBorders>
            <w:shd w:val="clear" w:color="auto" w:fill="auto"/>
            <w:vAlign w:val="center"/>
          </w:tcPr>
          <w:p>
            <w:pPr>
              <w:rPr>
                <w:rFonts w:hint="eastAsia" w:ascii="宋体" w:hAnsi="宋体" w:eastAsia="宋体" w:cs="宋体"/>
                <w:i w:val="0"/>
                <w:color w:val="000000"/>
                <w:sz w:val="18"/>
                <w:szCs w:val="18"/>
                <w:u w:val="none"/>
              </w:rPr>
            </w:pPr>
          </w:p>
        </w:tc>
        <w:tc>
          <w:tcPr>
            <w:tcW w:w="3798"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合理统筹使用资金，用于支付维修、保证金等各项费用，做到专款专用。</w:t>
            </w:r>
          </w:p>
        </w:tc>
        <w:tc>
          <w:tcPr>
            <w:tcW w:w="2803"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已合理统筹使用资金，用于支付维修、保证金等各项费用，做到专款专用。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宋体" w:eastAsia="黑体" w:cs="黑体"/>
                <w:i w:val="0"/>
                <w:color w:val="000000"/>
                <w:sz w:val="30"/>
                <w:szCs w:val="30"/>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115.97</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90.57</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90.57</w:t>
            </w:r>
          </w:p>
        </w:tc>
        <w:tc>
          <w:tcPr>
            <w:tcW w:w="666"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78.10%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115.97</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90.57</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90.57</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78.10%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资金支付率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78.1</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维修资金项目验收通过率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保证金支付及时率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维护社会和谐稳定</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提高资金利用率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提高司法办案效能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该项目自评得分为90分，我单位严格执行相关政策，合理统筹资金，资金支付进度达到78.1%，原因为代管资金没有必须要到达的支付率。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71" w:type="dxa"/>
            <w:gridSpan w:val="1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宋体" w:eastAsia="黑体" w:cs="黑体"/>
                <w:i w:val="0"/>
                <w:color w:val="000000"/>
                <w:sz w:val="30"/>
                <w:szCs w:val="30"/>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51320026T000014100600-红原县色地人民法庭建设项目初设费用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拟开展红原县色地人民法庭改扩建项目，现需开展初步设计工作，满足正常办公办案，提升司法为民服务水平和审判执行效率。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拟开展红原县色地人民法庭改扩建项目，现需开展初步设计工作，满足正常办公办案，提升司法为民服务水平和审判执行效率。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法官人均办案量</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45</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当地群众投诉次数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营造良好的法治氛围</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满足群众多元化司法需求</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90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群众获得感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90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群众满意度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90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成本指标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经济成本指标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资金合理利用率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100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该项目自评得分为100分，完成初步设计工作。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444"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项目负责人：杨兴保</w:t>
            </w:r>
          </w:p>
        </w:tc>
        <w:tc>
          <w:tcPr>
            <w:tcW w:w="3827"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default" w:ascii="simhei" w:hAnsi="simhei" w:eastAsia="simhei" w:cs="simhei"/>
                <w:i w:val="0"/>
                <w:color w:val="000000"/>
                <w:kern w:val="0"/>
                <w:sz w:val="18"/>
                <w:szCs w:val="18"/>
                <w:u w:val="none"/>
                <w:lang w:val="en-US" w:eastAsia="zh-CN" w:bidi="ar"/>
              </w:rPr>
              <w:t>财务负责人：尕让卓玛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宋体" w:eastAsia="黑体" w:cs="黑体"/>
                <w:i w:val="0"/>
                <w:color w:val="000000"/>
                <w:sz w:val="30"/>
                <w:szCs w:val="30"/>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7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黑体" w:hAnsi="宋体" w:eastAsia="黑体" w:cs="黑体"/>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51320025T000013801704-2025年中央和省级ZFZY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红原县人民法院部门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实施单位 （盖章）</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红原县人民法院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hint="default" w:ascii="simhei" w:hAnsi="simhei" w:eastAsia="simhei" w:cs="simhei"/>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37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挥法院审判执行工作职能，全面提升审判执行工作质效。开展法官队伍建设，提升队伍整体职业素养，维护案件审判执行的公平正义。开展普法宣传，维护社会稳定和长治久安。推进装备系统化，信息化，规范化，提升诉讼服务质量等工作开支。</w:t>
            </w:r>
          </w:p>
        </w:tc>
        <w:tc>
          <w:tcPr>
            <w:tcW w:w="28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rPr>
            </w:pPr>
            <w:r>
              <w:rPr>
                <w:rFonts w:hint="default" w:ascii="simhei" w:hAnsi="simhei" w:eastAsia="simhei" w:cs="simhei"/>
                <w:i w:val="0"/>
                <w:color w:val="000000"/>
                <w:kern w:val="0"/>
                <w:sz w:val="18"/>
                <w:szCs w:val="18"/>
                <w:u w:val="none"/>
                <w:lang w:val="en-US" w:eastAsia="zh-CN" w:bidi="ar"/>
              </w:rPr>
              <w:t>2025年，全院各部门高效履职，各项工作成效显著，案件审理质效稳步提升，全院共受理各类案件511件、审结496件，综合结案率97.06%，其中民事案件受理316件、审结295件，结案率93%，调撤率74.6%，刑事案件受理41件、审结41件，结案率100%，刑事审判警务保障45次，协助收监执行26人，行政案件受理1件、审结1件，结案率100%，圆满完成全年各项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60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355.76</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355.76</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color w:val="000000"/>
                <w:sz w:val="18"/>
                <w:szCs w:val="18"/>
                <w:u w:val="none"/>
              </w:rPr>
            </w:pPr>
            <w:r>
              <w:rPr>
                <w:rFonts w:hint="default" w:ascii="simhei" w:hAnsi="simhei" w:eastAsia="simhei" w:cs="simhei"/>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355.76</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355.76</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法官人均案件结案数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45</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当年审结执行案件数量</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115</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案件平均结案时间</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52.83</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一审裁判被改发率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0.287</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当年审结民商事案件数量</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327</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维护地区法治营商环境成效</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成效显著，地区营商环境优良</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成效显著，地区营商环境优良</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18"/>
                <w:szCs w:val="18"/>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满意度指标</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服务对象满意度指标</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社会公众满意度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90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1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100</w:t>
            </w:r>
          </w:p>
        </w:tc>
        <w:tc>
          <w:tcPr>
            <w:tcW w:w="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rPr>
            </w:pPr>
            <w:r>
              <w:rPr>
                <w:rFonts w:ascii="宋体" w:hAnsi="宋体" w:eastAsia="宋体" w:cs="宋体"/>
                <w:i w:val="0"/>
                <w:color w:val="000000"/>
                <w:kern w:val="0"/>
                <w:sz w:val="18"/>
                <w:szCs w:val="18"/>
                <w:u w:val="none"/>
                <w:lang w:val="en-US" w:eastAsia="zh-CN" w:bidi="ar"/>
              </w:rPr>
              <w:t>100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该项目自评得分为100分，提高办公办案效率，为人民法院提供高效完善的司法服务，进而更好的服务人民群众，司法为名，提高法院公众影响力。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color w:val="000000"/>
                <w:sz w:val="16"/>
                <w:szCs w:val="16"/>
                <w:u w:val="none"/>
              </w:rPr>
            </w:pPr>
            <w:r>
              <w:rPr>
                <w:rFonts w:hint="default"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color w:val="000000"/>
                <w:sz w:val="18"/>
                <w:szCs w:val="18"/>
                <w:u w:val="none"/>
              </w:rPr>
            </w:pPr>
            <w:r>
              <w:rPr>
                <w:rFonts w:hint="default" w:ascii="微软雅黑" w:hAnsi="微软雅黑" w:eastAsia="微软雅黑" w:cs="微软雅黑"/>
                <w:i/>
                <w:color w:val="000000"/>
                <w:kern w:val="0"/>
                <w:sz w:val="16"/>
                <w:szCs w:val="16"/>
                <w:u w:val="none"/>
                <w:lang w:val="en-US" w:eastAsia="zh-CN" w:bidi="ar"/>
              </w:rPr>
              <w:t>无</w:t>
            </w:r>
          </w:p>
        </w:tc>
      </w:tr>
    </w:tbl>
    <w:p>
      <w:pPr>
        <w:pStyle w:val="6"/>
        <w:rPr>
          <w:rFonts w:hint="eastAsia" w:ascii="Times New Roman" w:hAnsi="Times New Roman" w:eastAsia="黑体" w:cs="黑体"/>
          <w:color w:val="auto"/>
          <w:kern w:val="0"/>
          <w:sz w:val="32"/>
          <w:szCs w:val="32"/>
          <w:highlight w:val="none"/>
          <w:shd w:val="clear" w:color="auto" w:fill="FFFFFF"/>
          <w:lang w:val="en-US" w:eastAsia="zh-CN"/>
        </w:rPr>
      </w:pPr>
    </w:p>
    <w:p>
      <w:pPr>
        <w:rPr>
          <w:rFonts w:hint="eastAsia" w:ascii="Times New Roman" w:hAnsi="Times New Roman" w:eastAsia="黑体"/>
          <w:color w:val="auto"/>
          <w:sz w:val="44"/>
          <w:szCs w:val="44"/>
          <w:highlight w:val="none"/>
        </w:rPr>
      </w:pPr>
      <w:r>
        <w:rPr>
          <w:rFonts w:hint="eastAsia" w:ascii="Times New Roman" w:hAnsi="Times New Roman" w:eastAsia="方正小标宋简体" w:cs="方正小标宋简体"/>
          <w:color w:val="auto"/>
          <w:kern w:val="2"/>
          <w:sz w:val="44"/>
          <w:szCs w:val="44"/>
          <w:highlight w:val="none"/>
          <w:lang w:val="en-US" w:eastAsia="zh-CN"/>
        </w:rPr>
        <w:br w:type="page"/>
      </w:r>
      <w:bookmarkStart w:id="52" w:name="_Toc15396618"/>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0"/>
      <w:bookmarkEnd w:id="52"/>
      <w:bookmarkStart w:id="53"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国标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国标仿宋">
    <w:panose1 w:val="02000500000000000000"/>
    <w:charset w:val="86"/>
    <w:family w:val="auto"/>
    <w:pitch w:val="default"/>
    <w:sig w:usb0="A00002BF" w:usb1="38C77CFA" w:usb2="00000016" w:usb3="00000000" w:csb0="00060007" w:csb1="00000000"/>
  </w:font>
  <w:font w:name="国标宋体-超大字符集">
    <w:panose1 w:val="03000509000000000000"/>
    <w:charset w:val="86"/>
    <w:family w:val="auto"/>
    <w:pitch w:val="default"/>
    <w:sig w:usb0="00000001" w:usb1="08000000" w:usb2="00000000" w:usb3="00000000" w:csb0="00040001" w:csb1="00000000"/>
  </w:font>
  <w:font w:name="Arial">
    <w:altName w:val="DejaVu Sans"/>
    <w:panose1 w:val="020B0604020202020204"/>
    <w:charset w:val="00"/>
    <w:family w:val="swiss"/>
    <w:pitch w:val="default"/>
    <w:sig w:usb0="00000000" w:usb1="00000000" w:usb2="00000000" w:usb3="00000000" w:csb0="00040001" w:csb1="00000000"/>
  </w:font>
  <w:font w:name="黑体">
    <w:altName w:val="方正黑体_GBK"/>
    <w:panose1 w:val="02010609060101010101"/>
    <w:charset w:val="00"/>
    <w:family w:val="auto"/>
    <w:pitch w:val="default"/>
    <w:sig w:usb0="00000000" w:usb1="00000000" w:usb2="00000000" w:usb3="00000000" w:csb0="00040001" w:csb1="00000000"/>
  </w:font>
  <w:font w:name="仿宋_GB2312">
    <w:altName w:val="方正仿宋_GBK"/>
    <w:panose1 w:val="02010609030101010101"/>
    <w:charset w:val="00"/>
    <w:family w:val="modern"/>
    <w:pitch w:val="default"/>
    <w:sig w:usb0="00000000" w:usb1="00000000" w:usb2="00000000"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方正楷体_GB2312">
    <w:altName w:val="方正楷体_GBK"/>
    <w:panose1 w:val="02000000000000000000"/>
    <w:charset w:val="86"/>
    <w:family w:val="auto"/>
    <w:pitch w:val="default"/>
    <w:sig w:usb0="00000000" w:usb1="00000000" w:usb2="00000000" w:usb3="00000000" w:csb0="00000000" w:csb1="00000000"/>
  </w:font>
  <w:font w:name="方正仿宋_GB2312">
    <w:altName w:val="方正仿宋_GBK"/>
    <w:panose1 w:val="02000000000000000000"/>
    <w:charset w:val="86"/>
    <w:family w:val="auto"/>
    <w:pitch w:val="default"/>
    <w:sig w:usb0="00000000" w:usb1="00000000" w:usb2="00000000" w:usb3="00000000" w:csb0="00000000" w:csb1="00000000"/>
  </w:font>
  <w:font w:name="simhei">
    <w:altName w:val="国标仿宋"/>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auto"/>
    <w:pitch w:val="default"/>
    <w:sig w:usb0="00000000" w:usb1="00000000" w:usb2="00000016" w:usb3="00000000" w:csb0="0004001F" w:csb1="00000000"/>
  </w:font>
  <w:font w:name="CESI宋体-GB2312">
    <w:panose1 w:val="02000500000000000000"/>
    <w:charset w:val="86"/>
    <w:family w:val="auto"/>
    <w:pitch w:val="default"/>
    <w:sig w:usb0="800002AF" w:usb1="0847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1yZaEwIAABMEAAAOAAAAZHJz&#10;L2Uyb0RvYy54bWytU8uO0zAU3SPxD5b3NGkRVVU1HZUZFSFVzEgFsXYdp4nkl2y3SfkA+ANWbNjz&#10;Xf0Ojp2mg5hZITbOje/znHu8uOmUJEfhfGN0QcejnBKhuSkbvS/op4/rVzNKfGC6ZNJoUdCT8PRm&#10;+fLForVzMTG1kaVwBEW0n7e2oHUIdp5lntdCMT8yVmg4K+MUC/h1+6x0rEV1JbNJnk+z1rjSOsOF&#10;97i96510mepXleDhvqq8CEQWFLOFdLp07uKZLRdsvnfM1g2/jMH+YQrFGo2m11J3LDBycM2TUqrh&#10;znhThRE3KjNV1XCRMADNOP8LzbZmViQsIMfbK03+/5XlH44PjjRlQaeUaKawovP3b+cfv84/v5Jp&#10;pKe1fo6orUVc6N6aDmse7j0uI+qucip+gYfAD6JPV3JFFwiPSbPJbJbDxeEbflA/e0y3zod3wigS&#10;jYI6bC+Ryo4bH/rQISR202bdSJk2KDVpAeH1mzwlXD0oLjV6RBD9sNEK3a67INuZ8gRgzvTK8Jav&#10;GzTfMB8emIMUMDDkHe5xVNKgiblYlNTGfXnuPsZjQ/BS0kJaBdXQPiXyvcbmogoHww3GbjD0Qd0a&#10;aHWMZ2N5MpHgghzMyhn1GZpfxR5wMc3RqaBhMG9DL2+8GS5WqxR0sK7Z130CdGdZ2Oit5bFNJNLb&#10;1SGAzMRxJKhn5cIblJe2dHklUdp//qeox7e8/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EdcmWhMCAAATBAAADgAAAAAAAAABACAAAAA1AQAAZHJzL2Uyb0RvYy54bWxQSwUGAAAAAAYABgBZ&#10;AQAAug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CDCF1"/>
    <w:multiLevelType w:val="singleLevel"/>
    <w:tmpl w:val="BFDCDCF1"/>
    <w:lvl w:ilvl="0" w:tentative="0">
      <w:start w:val="1"/>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CCD6AB5"/>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DFF10BB"/>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D782D0"/>
    <w:rsid w:val="7EEF11D3"/>
    <w:rsid w:val="7F0971A6"/>
    <w:rsid w:val="7F3712C5"/>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7D1E22B"/>
    <w:rsid w:val="ECFED1BC"/>
    <w:rsid w:val="ED1D69BB"/>
    <w:rsid w:val="ED7FD312"/>
    <w:rsid w:val="EF53993F"/>
    <w:rsid w:val="EF6FD633"/>
    <w:rsid w:val="EFBFB2F4"/>
    <w:rsid w:val="EFBFFA21"/>
    <w:rsid w:val="F2BEBCB8"/>
    <w:rsid w:val="F36FB518"/>
    <w:rsid w:val="F3DE1A04"/>
    <w:rsid w:val="F3F722E5"/>
    <w:rsid w:val="F69E9352"/>
    <w:rsid w:val="FA5F1E70"/>
    <w:rsid w:val="FA5FDB97"/>
    <w:rsid w:val="FB7F486A"/>
    <w:rsid w:val="FBFF5B2E"/>
    <w:rsid w:val="FD7FFE2B"/>
    <w:rsid w:val="FDEE196B"/>
    <w:rsid w:val="FDFE6575"/>
    <w:rsid w:val="FEDFDDC2"/>
    <w:rsid w:val="FEED32F6"/>
    <w:rsid w:val="FEF781DD"/>
    <w:rsid w:val="FF3F7E3F"/>
    <w:rsid w:val="FFBA12D7"/>
    <w:rsid w:val="FFD1416C"/>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普通(网站) Char"/>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ysClr val="windowText" lastClr="000000">
                    <a:lumMod val="65000"/>
                    <a:lumOff val="35000"/>
                  </a:sysClr>
                </a:solidFill>
                <a:latin typeface="+mn-lt"/>
                <a:ea typeface="+mn-ea"/>
                <a:cs typeface="+mn-cs"/>
              </a:defRPr>
            </a:pPr>
            <a:r>
              <a:t>收、支决算总结变动情况表</a:t>
            </a:r>
          </a:p>
        </c:rich>
      </c:tx>
      <c:layout/>
      <c:overlay val="0"/>
      <c:spPr>
        <a:noFill/>
        <a:ln>
          <a:noFill/>
        </a:ln>
        <a:effectLst/>
      </c:spPr>
    </c:title>
    <c:autoTitleDeleted val="0"/>
    <c:plotArea>
      <c:layout/>
      <c:barChart>
        <c:barDir val="col"/>
        <c:grouping val="clustered"/>
        <c:varyColors val="0"/>
        <c:ser>
          <c:idx val="1"/>
          <c:order val="1"/>
          <c:tx>
            <c:strRef>
              <c:f>Sheet1!$B$1</c:f>
              <c:strCache>
                <c:ptCount val="1"/>
                <c:pt idx="0">
                  <c:v>系列 2</c:v>
                </c:pt>
              </c:strCache>
            </c:strRef>
          </c:tx>
          <c:spPr>
            <a:solidFill>
              <a:srgbClr val="9BBB59"/>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Sheet1!$A$2:$A$3</c:f>
              <c:strCache>
                <c:ptCount val="2"/>
                <c:pt idx="0">
                  <c:v>收入</c:v>
                </c:pt>
                <c:pt idx="1">
                  <c:v>支出</c:v>
                </c:pt>
              </c:strCache>
            </c:strRef>
          </c:cat>
          <c:val>
            <c:numRef>
              <c:f>Sheet1!$B$2:$B$3</c:f>
              <c:numCache>
                <c:formatCode>0.00_);[Red]\(0.00\)</c:formatCode>
                <c:ptCount val="2"/>
                <c:pt idx="0">
                  <c:v>2084.2</c:v>
                </c:pt>
                <c:pt idx="1" c:formatCode="General">
                  <c:v>2024.09</c:v>
                </c:pt>
              </c:numCache>
            </c:numRef>
          </c:val>
        </c:ser>
        <c:ser>
          <c:idx val="2"/>
          <c:order val="2"/>
          <c:tx>
            <c:strRef>
              <c:f>Sheet1!$C$1</c:f>
              <c:strCache>
                <c:ptCount val="1"/>
                <c:pt idx="0">
                  <c:v>系列 3</c:v>
                </c:pt>
              </c:strCache>
            </c:strRef>
          </c:tx>
          <c:spPr>
            <a:solidFill>
              <a:srgbClr val="9BBB59">
                <a:tint val="65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Sheet1!$A$2:$A$3</c:f>
              <c:strCache>
                <c:ptCount val="2"/>
                <c:pt idx="0">
                  <c:v>收入</c:v>
                </c:pt>
                <c:pt idx="1">
                  <c:v>支出</c:v>
                </c:pt>
              </c:strCache>
            </c:strRef>
          </c:cat>
          <c:val>
            <c:numRef>
              <c:f>Sheet1!$C$2:$C$3</c:f>
              <c:numCache>
                <c:formatCode>0.00_);[Red]\(0.00\)</c:formatCode>
                <c:ptCount val="2"/>
                <c:pt idx="0">
                  <c:v>2073.56</c:v>
                </c:pt>
                <c:pt idx="1" c:formatCode="General">
                  <c:v>2073.56</c:v>
                </c:pt>
              </c:numCache>
            </c:numRef>
          </c:val>
        </c:ser>
        <c:dLbls>
          <c:showLegendKey val="0"/>
          <c:showVal val="1"/>
          <c:showCatName val="0"/>
          <c:showSerName val="0"/>
          <c:showPercent val="0"/>
          <c:showBubbleSize val="0"/>
        </c:dLbls>
        <c:gapWidth val="75"/>
        <c:overlap val="-25"/>
        <c:axId val="876847978"/>
        <c:axId val="892486506"/>
        <c:extLst>
          <c:ext xmlns:c15="http://schemas.microsoft.com/office/drawing/2012/chart" uri="{02D57815-91ED-43cb-92C2-25804820EDAC}">
            <c15:filteredBarSeries>
              <c15:ser>
                <c:idx val="0"/>
                <c:order val="0"/>
                <c:tx>
                  <c:strRef>
                    <c:extLst>
                      <c:ext uri="{02D57815-91ED-43cb-92C2-25804820EDAC}">
                        <c15:formulaRef>
                          <c15:sqref>Sheet1!#REF!</c15:sqref>
                        </c15:formulaRef>
                      </c:ext>
                    </c:extLst>
                    <c:strCache>
                      <c:ptCount val="1"/>
                      <c:pt idx="0">
                        <c:v/>
                      </c:pt>
                    </c:strCache>
                  </c:strRef>
                </c:tx>
                <c:spPr>
                  <a:solidFill>
                    <a:srgbClr val="9BBB59">
                      <a:shade val="65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extLst>
                      <c:ext uri="{02D57815-91ED-43cb-92C2-25804820EDAC}">
                        <c15:fullRef>
                          <c15:sqref/>
                        </c15:fullRef>
                        <c15:formulaRef>
                          <c15:sqref>Sheet1!$A$2:$A$3</c15:sqref>
                        </c15:formulaRef>
                      </c:ext>
                    </c:extLst>
                    <c:strCache>
                      <c:ptCount val="2"/>
                      <c:pt idx="0">
                        <c:v>收入</c:v>
                      </c:pt>
                      <c:pt idx="1">
                        <c:v>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876847978"/>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92486506"/>
        <c:crosses val="autoZero"/>
        <c:auto val="1"/>
        <c:lblAlgn val="ctr"/>
        <c:lblOffset val="100"/>
        <c:noMultiLvlLbl val="0"/>
      </c:catAx>
      <c:valAx>
        <c:axId val="892486506"/>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76847978"/>
        <c:crosses val="autoZero"/>
        <c:crossBetween val="between"/>
      </c:valAx>
      <c:spPr>
        <a:noFill/>
        <a:ln>
          <a:noFill/>
        </a:ln>
        <a:effectLst/>
      </c:spPr>
    </c:plotArea>
    <c:plotVisOnly val="1"/>
    <c:dispBlanksAs val="gap"/>
    <c:showDLblsOverMax val="0"/>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rPr altLang="en-US"/>
              <a:t>收入决算结构图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rgbClr val="4F81BD"/>
              </a:solidFill>
              <a:ln>
                <a:solidFill>
                  <a:sysClr val="window" lastClr="FFFFFF"/>
                </a:solidFill>
              </a:ln>
              <a:effectLst/>
            </c:spPr>
          </c:dPt>
          <c:dPt>
            <c:idx val="1"/>
            <c:bubble3D val="0"/>
            <c:spPr>
              <a:solidFill>
                <a:srgbClr val="9BBB59"/>
              </a:solidFill>
              <a:ln>
                <a:solidFill>
                  <a:sysClr val="window" lastClr="FFFFFF"/>
                </a:solidFill>
              </a:ln>
              <a:effectLst/>
            </c:spPr>
          </c:dPt>
          <c:dPt>
            <c:idx val="2"/>
            <c:bubble3D val="0"/>
            <c:spPr>
              <a:solidFill>
                <a:srgbClr val="4BACC6"/>
              </a:solidFill>
              <a:ln>
                <a:solidFill>
                  <a:sysClr val="window" lastClr="FFFFFF"/>
                </a:solidFill>
              </a:ln>
              <a:effectLst/>
            </c:spPr>
          </c:dPt>
          <c:dPt>
            <c:idx val="3"/>
            <c:bubble3D val="0"/>
            <c:spPr>
              <a:solidFill>
                <a:srgbClr val="4F81BD">
                  <a:lumMod val="60000"/>
                </a:srgbClr>
              </a:solidFill>
              <a:ln>
                <a:solidFill>
                  <a:sysClr val="window" lastClr="FFFFFF"/>
                </a:solidFill>
              </a:ln>
              <a:effectLst/>
            </c:spPr>
          </c:dPt>
          <c:dPt>
            <c:idx val="4"/>
            <c:bubble3D val="0"/>
            <c:spPr>
              <a:solidFill>
                <a:srgbClr val="9BBB59">
                  <a:lumMod val="60000"/>
                </a:srgbClr>
              </a:solidFill>
              <a:ln>
                <a:solidFill>
                  <a:sysClr val="window" lastClr="FFFFFF"/>
                </a:solidFill>
              </a:ln>
              <a:effectLst/>
            </c:spPr>
          </c:dPt>
          <c:dPt>
            <c:idx val="5"/>
            <c:bubble3D val="0"/>
            <c:spPr>
              <a:solidFill>
                <a:srgbClr val="4BACC6">
                  <a:lumMod val="60000"/>
                </a:srgbClr>
              </a:solidFill>
              <a:ln>
                <a:solidFill>
                  <a:sysClr val="window" lastClr="FFFFFF"/>
                </a:solidFill>
              </a:ln>
              <a:effectLst/>
            </c:spPr>
          </c:dPt>
          <c:dPt>
            <c:idx val="6"/>
            <c:bubble3D val="0"/>
            <c:spPr>
              <a:solidFill>
                <a:srgbClr val="4F81BD">
                  <a:lumMod val="80000"/>
                  <a:lumOff val="20000"/>
                </a:srgbClr>
              </a:solidFill>
              <a:ln>
                <a:solidFill>
                  <a:sysClr val="window" lastClr="FFFFFF"/>
                </a:solidFill>
              </a:ln>
              <a:effectLst/>
            </c:spPr>
          </c:dPt>
          <c:dPt>
            <c:idx val="7"/>
            <c:bubble3D val="0"/>
            <c:spPr>
              <a:solidFill>
                <a:srgbClr val="9BBB59">
                  <a:lumMod val="80000"/>
                  <a:lumOff val="20000"/>
                </a:srgbClr>
              </a:solidFill>
              <a:ln>
                <a:solidFill>
                  <a:sysClr val="window" lastClr="FFFFFF"/>
                </a:solidFill>
              </a:ln>
              <a:effectLst/>
            </c:spPr>
          </c:dPt>
          <c:dLbls>
            <c:dLbl>
              <c:idx val="6"/>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0.00_ </c:formatCode>
                <c:ptCount val="8"/>
                <c:pt idx="0">
                  <c:v>1642.11</c:v>
                </c:pt>
                <c:pt idx="7">
                  <c:v>431.46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162297656438753"/>
          <c:y val="0.11285924061254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chart>
  <c:spPr>
    <a:solidFill>
      <a:sysClr val="window" lastClr="FFFFFF"/>
    </a:solidFill>
    <a:ln w="9525" cap="flat" cmpd="sng" algn="ctr">
      <a:solidFill>
        <a:sysClr val="windowText" lastClr="000000"/>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支出决算结构图</a:t>
            </a:r>
          </a:p>
        </c:rich>
      </c:tx>
      <c:layout>
        <c:manualLayout>
          <c:xMode val="edge"/>
          <c:yMode val="edge"/>
          <c:x val="0.36811555075594"/>
          <c:y val="0.030712876866723"/>
        </c:manualLayout>
      </c:layout>
      <c:overlay val="0"/>
      <c:spPr>
        <a:noFill/>
        <a:ln>
          <a:noFill/>
        </a:ln>
        <a:effectLst/>
      </c:spPr>
    </c:title>
    <c:autoTitleDeleted val="0"/>
    <c:plotArea>
      <c:layout/>
      <c:pieChart>
        <c:varyColors val="1"/>
        <c:ser>
          <c:idx val="0"/>
          <c:order val="0"/>
          <c:spPr/>
          <c:explosion val="0"/>
          <c:dPt>
            <c:idx val="0"/>
            <c:bubble3D val="0"/>
            <c:spPr>
              <a:solidFill>
                <a:srgbClr val="4F81BD"/>
              </a:solidFill>
              <a:ln>
                <a:solidFill>
                  <a:sysClr val="window" lastClr="FFFFFF"/>
                </a:solidFill>
              </a:ln>
              <a:effectLst/>
            </c:spPr>
          </c:dPt>
          <c:dPt>
            <c:idx val="1"/>
            <c:bubble3D val="0"/>
            <c:spPr>
              <a:solidFill>
                <a:srgbClr val="9BBB59"/>
              </a:solidFill>
              <a:ln>
                <a:solidFill>
                  <a:sysClr val="window" lastClr="FFFFFF"/>
                </a:solidFill>
              </a:ln>
              <a:effectLst/>
            </c:spPr>
          </c:dPt>
          <c:dPt>
            <c:idx val="2"/>
            <c:bubble3D val="0"/>
            <c:spPr>
              <a:solidFill>
                <a:srgbClr val="4BACC6"/>
              </a:solidFill>
              <a:ln>
                <a:solidFill>
                  <a:sysClr val="window" lastClr="FFFFFF"/>
                </a:solidFill>
              </a:ln>
              <a:effectLst/>
            </c:spPr>
          </c:dPt>
          <c:dPt>
            <c:idx val="3"/>
            <c:bubble3D val="0"/>
            <c:spPr>
              <a:solidFill>
                <a:srgbClr val="4F81BD">
                  <a:lumMod val="60000"/>
                </a:srgbClr>
              </a:solidFill>
              <a:ln>
                <a:solidFill>
                  <a:sysClr val="window" lastClr="FFFFFF"/>
                </a:solidFill>
              </a:ln>
              <a:effectLst/>
            </c:spPr>
          </c:dPt>
          <c:dPt>
            <c:idx val="4"/>
            <c:bubble3D val="0"/>
            <c:spPr>
              <a:solidFill>
                <a:srgbClr val="9BBB59">
                  <a:lumMod val="60000"/>
                </a:srgbClr>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1474.88</c:v>
                </c:pt>
                <c:pt idx="1">
                  <c:v>581.61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chart>
  <c:spPr>
    <a:solidFill>
      <a:sysClr val="window" lastClr="FFFFFF"/>
    </a:solidFill>
    <a:ln w="9525" cap="flat" cmpd="sng" algn="ctr">
      <a:solidFill>
        <a:sysClr val="windowText" lastClr="000000"/>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Sheet1!$A$2</c:f>
              <c:strCache>
                <c:ptCount val="1"/>
                <c:pt idx="0">
                  <c:v>2024年</c:v>
                </c:pt>
              </c:strCache>
            </c:strRef>
          </c:tx>
          <c:spPr>
            <a:solidFill>
              <a:srgbClr val="9BBB59">
                <a:shade val="76667"/>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Sheet1!$B$1:$C$1</c:f>
              <c:strCache>
                <c:ptCount val="2"/>
                <c:pt idx="0">
                  <c:v>财政拨款收入</c:v>
                </c:pt>
                <c:pt idx="1">
                  <c:v>财政拨款支出</c:v>
                </c:pt>
              </c:strCache>
            </c:strRef>
          </c:cat>
          <c:val>
            <c:numRef>
              <c:f>Sheet1!$B$2:$C$2</c:f>
              <c:numCache>
                <c:formatCode>General</c:formatCode>
                <c:ptCount val="2"/>
                <c:pt idx="0">
                  <c:v>1600.08</c:v>
                </c:pt>
                <c:pt idx="1">
                  <c:v>1600.08</c:v>
                </c:pt>
              </c:numCache>
            </c:numRef>
          </c:val>
        </c:ser>
        <c:ser>
          <c:idx val="1"/>
          <c:order val="1"/>
          <c:tx>
            <c:strRef>
              <c:f>Sheet1!$A$3</c:f>
              <c:strCache>
                <c:ptCount val="1"/>
                <c:pt idx="0">
                  <c:v>2025年</c:v>
                </c:pt>
              </c:strCache>
            </c:strRef>
          </c:tx>
          <c:spPr>
            <a:solidFill>
              <a:srgbClr val="9BBB59">
                <a:tint val="76667"/>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Sheet1!$B$1:$C$1</c:f>
              <c:strCache>
                <c:ptCount val="2"/>
                <c:pt idx="0">
                  <c:v>财政拨款收入</c:v>
                </c:pt>
                <c:pt idx="1">
                  <c:v>财政拨款支出</c:v>
                </c:pt>
              </c:strCache>
            </c:strRef>
          </c:cat>
          <c:val>
            <c:numRef>
              <c:f>Sheet1!$B$3:$C$3</c:f>
              <c:numCache>
                <c:formatCode>General</c:formatCode>
                <c:ptCount val="2"/>
                <c:pt idx="0">
                  <c:v>1642.11</c:v>
                </c:pt>
                <c:pt idx="1">
                  <c:v>1642.11</c:v>
                </c:pt>
              </c:numCache>
            </c:numRef>
          </c:val>
        </c:ser>
        <c:dLbls>
          <c:showLegendKey val="0"/>
          <c:showVal val="0"/>
          <c:showCatName val="0"/>
          <c:showSerName val="0"/>
          <c:showPercent val="0"/>
          <c:showBubbleSize val="0"/>
        </c:dLbls>
        <c:gapWidth val="246"/>
        <c:overlap val="-28"/>
        <c:axId val="877067900"/>
        <c:axId val="276842623"/>
      </c:barChart>
      <c:catAx>
        <c:axId val="877067900"/>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276842623"/>
        <c:crosses val="autoZero"/>
        <c:auto val="1"/>
        <c:lblAlgn val="ctr"/>
        <c:lblOffset val="100"/>
        <c:noMultiLvlLbl val="0"/>
      </c:catAx>
      <c:valAx>
        <c:axId val="276842623"/>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77067900"/>
        <c:crosses val="autoZero"/>
        <c:crossBetween val="between"/>
      </c:valAx>
      <c:spPr>
        <a:noFill/>
        <a:ln>
          <a:noFill/>
        </a:ln>
        <a:effectLst/>
      </c:spPr>
    </c:plotArea>
    <c:legend>
      <c:legendPos val="b"/>
      <c:layout>
        <c:manualLayout>
          <c:xMode val="edge"/>
          <c:yMode val="edge"/>
          <c:x val="0.378165139311517"/>
          <c:y val="0.90249453855039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chart>
  <c:spPr>
    <a:solidFill>
      <a:sysClr val="window" lastClr="FFFFFF"/>
    </a:solidFill>
    <a:ln w="9525" cap="flat" cmpd="sng" algn="ctr">
      <a:solidFill>
        <a:sysClr val="windowText" lastClr="000000"/>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327046827046827"/>
          <c:y val="0.035404757514291"/>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ysClr val="windowText" lastClr="000000">
                  <a:lumMod val="65000"/>
                  <a:lumOff val="35000"/>
                </a:sysClr>
              </a:solidFill>
              <a:latin typeface="+mn-lt"/>
              <a:ea typeface="+mn-ea"/>
              <a:cs typeface="+mn-cs"/>
            </a:defRPr>
          </a:pPr>
        </a:p>
      </c:txPr>
    </c:title>
    <c:autoTitleDeleted val="0"/>
    <c:plotArea>
      <c:layout/>
      <c:barChart>
        <c:barDir val="col"/>
        <c:grouping val="clustered"/>
        <c:varyColors val="0"/>
        <c:ser>
          <c:idx val="2"/>
          <c:order val="2"/>
          <c:tx>
            <c:strRef>
              <c:f>Sheet1!$B$1</c:f>
              <c:strCache>
                <c:ptCount val="1"/>
                <c:pt idx="0">
                  <c:v>一般公共预算财政拨款支出</c:v>
                </c:pt>
              </c:strCache>
            </c:strRef>
          </c:tx>
          <c:spPr>
            <a:solidFill>
              <a:srgbClr val="9BBB59"/>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1600.08</c:v>
                </c:pt>
                <c:pt idx="1">
                  <c:v>1642.11</c:v>
                </c:pt>
              </c:numCache>
            </c:numRef>
          </c:val>
        </c:ser>
        <c:dLbls>
          <c:showLegendKey val="0"/>
          <c:showVal val="1"/>
          <c:showCatName val="0"/>
          <c:showSerName val="0"/>
          <c:showPercent val="0"/>
          <c:showBubbleSize val="0"/>
        </c:dLbls>
        <c:gapWidth val="219"/>
        <c:overlap val="-27"/>
        <c:axId val="494162067"/>
        <c:axId val="748841996"/>
        <c:extLst>
          <c:ext xmlns:c15="http://schemas.microsoft.com/office/drawing/2012/chart" uri="{02D57815-91ED-43cb-92C2-25804820EDAC}">
            <c15:filteredBarSeries>
              <c15:ser>
                <c:idx val="0"/>
                <c:order val="0"/>
                <c:tx>
                  <c:strRef>
                    <c:extLst>
                      <c:ext uri="{02D57815-91ED-43cb-92C2-25804820EDAC}">
                        <c15:formulaRef>
                          <c15:sqref>Sheet1!#REF!</c15:sqref>
                        </c15:formulaRef>
                      </c:ext>
                    </c:extLst>
                    <c:strCache>
                      <c:ptCount val="1"/>
                      <c:pt idx="0">
                        <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extLst>
                      <c:ext uri="{02D57815-91ED-43cb-92C2-25804820EDAC}">
                        <c15:fullRef>
                          <c15:sqref/>
                        </c15:fullRef>
                        <c15:formulaRef>
                          <c15:sqref>Sheet1!$A$2:$A$3</c15:sqref>
                        </c15:formulaRef>
                      </c:ext>
                    </c:extLst>
                    <c:numCache>
                      <c:formatCode>General</c:formatCode>
                      <c:ptCount val="2"/>
                      <c:pt idx="0">
                        <c:v>2024</c:v>
                      </c:pt>
                      <c:pt idx="1">
                        <c:v>2025</c:v>
                      </c:pt>
                    </c:numCache>
                  </c:num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1"/>
                <c:order val="1"/>
                <c:tx>
                  <c:strRef>
                    <c:extLst>
                      <c:ext uri="{02D57815-91ED-43cb-92C2-25804820EDAC}">
                        <c15:formulaRef>
                          <c15:sqref>Sheet1!#REF!</c15:sqref>
                        </c15:formulaRef>
                      </c:ext>
                    </c:extLst>
                    <c:strCache>
                      <c:ptCount val="1"/>
                      <c:pt idx="0">
                        <c:v/>
                      </c:pt>
                    </c:strCache>
                  </c:strRef>
                </c:tx>
                <c:spPr>
                  <a:solidFill>
                    <a:srgbClr val="C0504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extLst>
                      <c:ext uri="{02D57815-91ED-43cb-92C2-25804820EDAC}">
                        <c15:fullRef>
                          <c15:sqref/>
                        </c15:fullRef>
                        <c15:formulaRef>
                          <c15:sqref>Sheet1!$A$2:$A$3</c15:sqref>
                        </c15:formulaRef>
                      </c:ext>
                    </c:extLst>
                    <c:numCache>
                      <c:formatCode>General</c:formatCode>
                      <c:ptCount val="2"/>
                      <c:pt idx="0">
                        <c:v>2024</c:v>
                      </c:pt>
                      <c:pt idx="1">
                        <c:v>2025</c:v>
                      </c:pt>
                    </c:numCache>
                  </c:num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494162067"/>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48841996"/>
        <c:crosses val="autoZero"/>
        <c:auto val="1"/>
        <c:lblAlgn val="ctr"/>
        <c:lblOffset val="100"/>
        <c:noMultiLvlLbl val="0"/>
      </c:catAx>
      <c:valAx>
        <c:axId val="748841996"/>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941620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c:explosion val="0"/>
          <c:dPt>
            <c:idx val="0"/>
            <c:bubble3D val="0"/>
            <c:spPr>
              <a:solidFill>
                <a:srgbClr val="4F81BD"/>
              </a:solidFill>
              <a:ln>
                <a:solidFill>
                  <a:sysClr val="window" lastClr="FFFFFF"/>
                </a:solidFill>
              </a:ln>
              <a:effectLst/>
            </c:spPr>
          </c:dPt>
          <c:dPt>
            <c:idx val="1"/>
            <c:bubble3D val="0"/>
            <c:spPr>
              <a:solidFill>
                <a:srgbClr val="9BBB59"/>
              </a:solidFill>
              <a:ln>
                <a:solidFill>
                  <a:sysClr val="window" lastClr="FFFFFF"/>
                </a:solidFill>
              </a:ln>
              <a:effectLst/>
            </c:spPr>
          </c:dPt>
          <c:dPt>
            <c:idx val="2"/>
            <c:bubble3D val="0"/>
            <c:spPr>
              <a:solidFill>
                <a:srgbClr val="4BACC6"/>
              </a:solidFill>
              <a:ln>
                <a:solidFill>
                  <a:sysClr val="window" lastClr="FFFFFF"/>
                </a:solidFill>
              </a:ln>
              <a:effectLst/>
            </c:spPr>
          </c:dPt>
          <c:dPt>
            <c:idx val="3"/>
            <c:bubble3D val="0"/>
            <c:spPr>
              <a:solidFill>
                <a:srgbClr val="4F81BD">
                  <a:lumMod val="60000"/>
                </a:srgbClr>
              </a:solidFill>
              <a:ln>
                <a:solidFill>
                  <a:sysClr val="window" lastClr="FFFFFF"/>
                </a:solidFill>
              </a:ln>
              <a:effectLst/>
            </c:spPr>
          </c:dPt>
          <c:dLbls>
            <c:dLbl>
              <c:idx val="2"/>
              <c:layout>
                <c:manualLayout>
                  <c:x val="-0.040279645349941"/>
                  <c:y val="-0.0084974560248547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43933974673663"/>
                  <c:y val="-0.0077160290365431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Sheet1!$A$1:$A$4</c:f>
              <c:strCache>
                <c:ptCount val="4"/>
                <c:pt idx="0">
                  <c:v>公共安全支出</c:v>
                </c:pt>
                <c:pt idx="1">
                  <c:v>社会保障和就业支出</c:v>
                </c:pt>
                <c:pt idx="2">
                  <c:v>卫生健康支出</c:v>
                </c:pt>
                <c:pt idx="3">
                  <c:v>住房保障支出</c:v>
                </c:pt>
              </c:strCache>
            </c:strRef>
          </c:cat>
          <c:val>
            <c:numRef>
              <c:f>Sheet1!$B$1:$B$4</c:f>
              <c:numCache>
                <c:formatCode>#,##0.00</c:formatCode>
                <c:ptCount val="4"/>
                <c:pt idx="0">
                  <c:v>1333.71</c:v>
                </c:pt>
                <c:pt idx="1">
                  <c:v>149.35</c:v>
                </c:pt>
                <c:pt idx="2">
                  <c:v>64.02</c:v>
                </c:pt>
                <c:pt idx="3">
                  <c:v>95.03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566048900467752"/>
          <c:y val="0.032356159479791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chart>
  <c:spPr>
    <a:solidFill>
      <a:sysClr val="window" lastClr="FFFFFF"/>
    </a:solidFill>
    <a:ln w="3175" cap="flat" cmpd="sng" algn="ctr">
      <a:solidFill>
        <a:sysClr val="windowText" lastClr="000000"/>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6127083836676"/>
          <c:y val="0.183595410114747"/>
          <c:w val="0.460497704759604"/>
          <c:h val="0.810029749256269"/>
        </c:manualLayout>
      </c:layout>
      <c:pieChart>
        <c:varyColors val="1"/>
        <c:ser>
          <c:idx val="0"/>
          <c:order val="0"/>
          <c:spPr/>
          <c:explosion val="0"/>
          <c:dPt>
            <c:idx val="0"/>
            <c:bubble3D val="0"/>
            <c:spPr>
              <a:solidFill>
                <a:srgbClr val="4F81BD"/>
              </a:solidFill>
              <a:ln>
                <a:solidFill>
                  <a:sysClr val="window" lastClr="FFFFFF"/>
                </a:solidFill>
              </a:ln>
              <a:effectLst/>
            </c:spPr>
          </c:dPt>
          <c:dPt>
            <c:idx val="1"/>
            <c:bubble3D val="0"/>
            <c:spPr>
              <a:solidFill>
                <a:srgbClr val="9BBB59"/>
              </a:solidFill>
              <a:ln>
                <a:solidFill>
                  <a:sysClr val="window" lastClr="FFFFFF"/>
                </a:solidFill>
              </a:ln>
              <a:effectLst/>
            </c:spPr>
          </c:dPt>
          <c:dPt>
            <c:idx val="2"/>
            <c:bubble3D val="0"/>
            <c:spPr>
              <a:solidFill>
                <a:srgbClr val="4BACC6"/>
              </a:solidFill>
              <a:ln>
                <a:solidFill>
                  <a:sysClr val="window" lastClr="FFFFFF"/>
                </a:solidFill>
              </a:ln>
              <a:effectLst/>
            </c:spPr>
          </c:dPt>
          <c:dLbls>
            <c:dLbl>
              <c:idx val="0"/>
              <c:delete val="1"/>
            </c:dLbl>
            <c:dLbl>
              <c:idx val="1"/>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Sheet1!$A$1:$A$3</c:f>
              <c:strCache>
                <c:ptCount val="3"/>
                <c:pt idx="0">
                  <c:v>因公出国（境）费</c:v>
                </c:pt>
                <c:pt idx="1">
                  <c:v>公务用车购置及运行维护费</c:v>
                </c:pt>
                <c:pt idx="2">
                  <c:v>公务接待费</c:v>
                </c:pt>
              </c:strCache>
            </c:strRef>
          </c:cat>
          <c:val>
            <c:numRef>
              <c:f>Sheet1!$B$1:$B$3</c:f>
              <c:numCache>
                <c:formatCode>General</c:formatCode>
                <c:ptCount val="3"/>
                <c:pt idx="0">
                  <c:v>0</c:v>
                </c:pt>
                <c:pt idx="1">
                  <c:v>86.99</c:v>
                </c:pt>
                <c:pt idx="2">
                  <c:v>0.34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chart>
  <c:spPr>
    <a:solidFill>
      <a:sysClr val="window" lastClr="FFFFFF"/>
    </a:solidFill>
    <a:ln w="0" cap="flat" cmpd="sng" algn="ctr">
      <a:solidFill>
        <a:sysClr val="windowText" lastClr="000000"/>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Pages>
  <Words>1299</Words>
  <Characters>7410</Characters>
  <Lines>1</Lines>
  <Paragraphs>1</Paragraphs>
  <TotalTime>9</TotalTime>
  <ScaleCrop>false</ScaleCrop>
  <LinksUpToDate>false</LinksUpToDate>
  <CharactersWithSpaces>8692</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杨星</cp:lastModifiedBy>
  <cp:lastPrinted>2026-08-03T17:27:00Z</cp:lastPrinted>
  <dcterms:modified xsi:type="dcterms:W3CDTF">2026-09-04T11:11:22Z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400D301575C74348A5277D00A7902E06</vt:lpwstr>
  </property>
</Properties>
</file>