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9523E">
      <w:pPr>
        <w:pStyle w:val="6"/>
        <w:spacing w:before="93"/>
        <w:rPr>
          <w:rFonts w:ascii="Times New Roman" w:eastAsia="方正小标宋简体"/>
          <w:kern w:val="2"/>
          <w:sz w:val="72"/>
          <w:szCs w:val="72"/>
        </w:rPr>
      </w:pPr>
      <w:bookmarkStart w:id="0" w:name="_Toc15377425"/>
      <w:bookmarkStart w:id="1" w:name="_Toc15396475"/>
      <w:bookmarkStart w:id="2" w:name="_Toc15378441"/>
      <w:bookmarkStart w:id="3" w:name="_Toc15306267"/>
      <w:bookmarkStart w:id="4" w:name="_Toc15396597"/>
      <w:bookmarkStart w:id="5" w:name="_Toc15377193"/>
    </w:p>
    <w:p w14:paraId="0FF4DA23">
      <w:pPr>
        <w:pStyle w:val="6"/>
        <w:spacing w:before="93"/>
        <w:rPr>
          <w:rFonts w:ascii="Times New Roman" w:eastAsia="方正小标宋简体"/>
          <w:kern w:val="2"/>
          <w:sz w:val="72"/>
          <w:szCs w:val="72"/>
        </w:rPr>
      </w:pPr>
    </w:p>
    <w:p w14:paraId="3F611A60">
      <w:pPr>
        <w:pStyle w:val="6"/>
        <w:spacing w:before="93"/>
        <w:rPr>
          <w:rFonts w:ascii="Times New Roman" w:eastAsia="方正小标宋简体"/>
          <w:kern w:val="2"/>
          <w:sz w:val="72"/>
          <w:szCs w:val="72"/>
        </w:rPr>
      </w:pPr>
    </w:p>
    <w:p w14:paraId="6377ADDA">
      <w:pPr>
        <w:pStyle w:val="6"/>
        <w:spacing w:before="93"/>
        <w:jc w:val="center"/>
        <w:rPr>
          <w:rFonts w:hint="default" w:ascii="Times New Roman" w:hAnsi="Times New Roman" w:eastAsia="方正小标宋_GBK" w:cs="Times New Roman"/>
          <w:kern w:val="2"/>
          <w:sz w:val="44"/>
          <w:szCs w:val="44"/>
          <w:lang w:val="en-US" w:eastAsia="zh-CN"/>
        </w:rPr>
      </w:pPr>
      <w:bookmarkStart w:id="61" w:name="_GoBack"/>
      <w:r>
        <w:rPr>
          <w:rFonts w:hint="default" w:ascii="Times New Roman" w:hAnsi="Times New Roman" w:eastAsia="方正小标宋_GBK" w:cs="Times New Roman"/>
          <w:kern w:val="2"/>
          <w:sz w:val="44"/>
          <w:szCs w:val="44"/>
        </w:rPr>
        <w:t>2024年度</w:t>
      </w:r>
      <w:r>
        <w:rPr>
          <w:rFonts w:hint="eastAsia" w:ascii="Times New Roman" w:eastAsia="方正小标宋_GBK" w:cs="Times New Roman"/>
          <w:kern w:val="2"/>
          <w:sz w:val="44"/>
          <w:szCs w:val="44"/>
          <w:lang w:eastAsia="zh-CN"/>
        </w:rPr>
        <w:t>阿坝州</w:t>
      </w:r>
      <w:r>
        <w:rPr>
          <w:rFonts w:hint="default" w:ascii="Times New Roman" w:hAnsi="Times New Roman" w:eastAsia="方正小标宋_GBK" w:cs="Times New Roman"/>
          <w:kern w:val="2"/>
          <w:sz w:val="44"/>
          <w:szCs w:val="44"/>
          <w:lang w:val="en-US" w:eastAsia="zh-CN"/>
        </w:rPr>
        <w:t>壤塘县人民检察院部门</w:t>
      </w:r>
    </w:p>
    <w:p w14:paraId="0B3DAE6B">
      <w:pPr>
        <w:pStyle w:val="6"/>
        <w:spacing w:before="93"/>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决</w:t>
      </w:r>
      <w:r>
        <w:rPr>
          <w:rFonts w:hint="default" w:ascii="Times New Roman" w:hAnsi="Times New Roman" w:eastAsia="方正小标宋_GBK" w:cs="Times New Roman"/>
          <w:kern w:val="2"/>
          <w:sz w:val="44"/>
          <w:szCs w:val="44"/>
          <w:lang w:val="en-US" w:eastAsia="zh-CN"/>
        </w:rPr>
        <w:t xml:space="preserve">   </w:t>
      </w:r>
      <w:bookmarkEnd w:id="61"/>
      <w:r>
        <w:rPr>
          <w:rFonts w:hint="default" w:ascii="Times New Roman" w:hAnsi="Times New Roman" w:eastAsia="方正小标宋_GBK" w:cs="Times New Roman"/>
          <w:kern w:val="2"/>
          <w:sz w:val="44"/>
          <w:szCs w:val="44"/>
        </w:rPr>
        <w:t>算</w:t>
      </w:r>
    </w:p>
    <w:p w14:paraId="46845C5D">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48525C46">
      <w:pPr>
        <w:widowControl/>
        <w:jc w:val="both"/>
        <w:rPr>
          <w:rFonts w:eastAsia="黑体"/>
          <w:sz w:val="48"/>
          <w:szCs w:val="48"/>
        </w:rPr>
      </w:pPr>
      <w:r>
        <w:rPr>
          <w:rFonts w:hint="eastAsia" w:eastAsia="黑体"/>
          <w:sz w:val="48"/>
          <w:szCs w:val="48"/>
        </w:rPr>
        <w:t>目录</w:t>
      </w:r>
    </w:p>
    <w:p w14:paraId="3A675FA4">
      <w:pPr>
        <w:widowControl/>
        <w:jc w:val="center"/>
        <w:rPr>
          <w:rFonts w:eastAsia="黑体" w:cstheme="minorBidi"/>
          <w:sz w:val="28"/>
          <w:szCs w:val="28"/>
        </w:rPr>
      </w:pPr>
    </w:p>
    <w:p w14:paraId="3AB94423">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09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18</w:t>
      </w:r>
      <w:r>
        <w:rPr>
          <w:rFonts w:hint="eastAsia" w:ascii="Times New Roman" w:hAnsi="Times New Roman" w:eastAsia="仿宋_GB2312" w:cs="仿宋_GB2312"/>
          <w:sz w:val="32"/>
          <w:szCs w:val="32"/>
        </w:rPr>
        <w:t>日</w:t>
      </w:r>
    </w:p>
    <w:p w14:paraId="63C0BCB0"/>
    <w:p w14:paraId="162A9EE7">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p>
    <w:p w14:paraId="07155AE4">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p>
    <w:p w14:paraId="4FBD899C">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p>
    <w:p w14:paraId="5D6095BD">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14:paraId="5155C649">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p>
    <w:p w14:paraId="4FCE229F">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p>
    <w:p w14:paraId="033A218A">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p>
    <w:p w14:paraId="2FE2F279">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p>
    <w:p w14:paraId="05A94E15">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p>
    <w:p w14:paraId="56D489FE">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p>
    <w:p w14:paraId="5E00F471">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p>
    <w:p w14:paraId="3B729C15">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p>
    <w:p w14:paraId="1FFEFCFA">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p>
    <w:p w14:paraId="23B50E32">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p>
    <w:p w14:paraId="0D792C5F">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p>
    <w:p w14:paraId="5BA7B373">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p>
    <w:p w14:paraId="0F0A60EC">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p>
    <w:p w14:paraId="25B9FD90">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6D72D4AC">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7004AF0A">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694E3723">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77CDBED6">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2DA8883A">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25B469D2">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3BD6C084">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524B9B3A">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7477C8A1">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7EEFC5DB">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70742367">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3B3F2705">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1848713F">
      <w:pPr>
        <w:widowControl/>
        <w:spacing w:line="560" w:lineRule="exact"/>
        <w:jc w:val="left"/>
        <w:rPr>
          <w:rFonts w:eastAsia="仿宋_GB2312" w:cs="仿宋_GB2312"/>
          <w:bCs/>
          <w:kern w:val="44"/>
          <w:sz w:val="32"/>
          <w:szCs w:val="32"/>
        </w:rPr>
      </w:pPr>
      <w:bookmarkStart w:id="6" w:name="_Toc15396599"/>
      <w:bookmarkStart w:id="7" w:name="_Toc15377196"/>
      <w:r>
        <w:rPr>
          <w:rFonts w:hint="eastAsia" w:eastAsia="仿宋_GB2312" w:cs="仿宋_GB2312"/>
          <w:b/>
          <w:sz w:val="32"/>
          <w:szCs w:val="32"/>
        </w:rPr>
        <w:br w:type="page"/>
      </w:r>
    </w:p>
    <w:p w14:paraId="6E8BE59E">
      <w:pPr>
        <w:pStyle w:val="2"/>
        <w:jc w:val="center"/>
        <w:rPr>
          <w:rFonts w:eastAsia="黑体"/>
          <w:sz w:val="32"/>
          <w:szCs w:val="32"/>
        </w:rPr>
      </w:pPr>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6"/>
      <w:bookmarkEnd w:id="7"/>
    </w:p>
    <w:p w14:paraId="58D83182">
      <w:pPr>
        <w:pStyle w:val="3"/>
        <w:rPr>
          <w:rFonts w:hint="eastAsia" w:ascii="Times New Roman" w:hAnsi="Times New Roman" w:eastAsia="黑体"/>
          <w:b w:val="0"/>
        </w:rPr>
      </w:pPr>
      <w:bookmarkStart w:id="8" w:name="_Toc15396600"/>
      <w:bookmarkStart w:id="9" w:name="_Toc15377197"/>
      <w:r>
        <w:rPr>
          <w:rFonts w:hint="eastAsia" w:ascii="Times New Roman" w:hAnsi="Times New Roman" w:eastAsia="黑体"/>
          <w:b w:val="0"/>
        </w:rPr>
        <w:t>一、</w:t>
      </w:r>
      <w:bookmarkEnd w:id="8"/>
      <w:bookmarkEnd w:id="9"/>
      <w:r>
        <w:rPr>
          <w:rFonts w:hint="eastAsia" w:ascii="Times New Roman" w:hAnsi="Times New Roman" w:eastAsia="黑体"/>
          <w:b w:val="0"/>
        </w:rPr>
        <w:t>部门职责</w:t>
      </w:r>
    </w:p>
    <w:p w14:paraId="67AD5D87">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（1）深入贯彻习近平新时代中国特色社会主义思想，深入贯彻党的路线方针政策和决策部署，统一检察队伍思想和行动，坚持党对检察工作的绝对领导，坚决维护党中央权威和集中统一领导。</w:t>
      </w:r>
    </w:p>
    <w:p w14:paraId="68DE6C02">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（2）按照上级检察机关确定的工作方针，研究制定壤塘县人民检察院检察工作规划，部署检察工作任务。</w:t>
      </w:r>
    </w:p>
    <w:p w14:paraId="3178CE23">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zh-CN"/>
        </w:rPr>
        <w:t>对刑事案件依法审查批准逮捕、决定逮捕、提起公诉。</w:t>
      </w:r>
    </w:p>
    <w:p w14:paraId="2314D0AE">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4）负</w:t>
      </w:r>
      <w:r>
        <w:rPr>
          <w:rFonts w:hint="eastAsia" w:ascii="方正仿宋_GB2312" w:hAnsi="方正仿宋_GB2312" w:eastAsia="方正仿宋_GB2312" w:cs="方正仿宋_GB2312"/>
          <w:sz w:val="32"/>
          <w:szCs w:val="32"/>
          <w:lang w:val="zh-CN"/>
        </w:rPr>
        <w:t>责应由壤塘县人民检察院承办的刑事、民事、行政诉讼活动及刑事、民事、行政判决和裁定等生效法律文书执行的法律监督工作。</w:t>
      </w:r>
    </w:p>
    <w:p w14:paraId="38515A24">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zh-CN"/>
        </w:rPr>
        <w:t>负责应由壤塘县人民检察院承办的公益诉讼工作。</w:t>
      </w:r>
    </w:p>
    <w:p w14:paraId="132443DD">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val="zh-CN"/>
        </w:rPr>
        <w:t>负责应由壤塘县人民检察院承办的对看守所、司法局等执法活动的法律监督工作。</w:t>
      </w:r>
    </w:p>
    <w:p w14:paraId="7BE62091">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lang w:val="zh-CN"/>
        </w:rPr>
        <w:t>受理向壤塘县人民检察院的控告申诉。</w:t>
      </w:r>
    </w:p>
    <w:p w14:paraId="10D46598">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lang w:val="zh-CN"/>
        </w:rPr>
        <w:t>开展检察机关的理论研究工作。</w:t>
      </w:r>
    </w:p>
    <w:p w14:paraId="20EEA8B0">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9）</w:t>
      </w:r>
      <w:r>
        <w:rPr>
          <w:rFonts w:hint="eastAsia" w:ascii="方正仿宋_GB2312" w:hAnsi="方正仿宋_GB2312" w:eastAsia="方正仿宋_GB2312" w:cs="方正仿宋_GB2312"/>
          <w:sz w:val="32"/>
          <w:szCs w:val="32"/>
          <w:lang w:eastAsia="zh-CN"/>
        </w:rPr>
        <w:t>负</w:t>
      </w:r>
      <w:r>
        <w:rPr>
          <w:rFonts w:hint="eastAsia" w:ascii="方正仿宋_GB2312" w:hAnsi="方正仿宋_GB2312" w:eastAsia="方正仿宋_GB2312" w:cs="方正仿宋_GB2312"/>
          <w:sz w:val="32"/>
          <w:szCs w:val="32"/>
          <w:lang w:val="zh-CN"/>
        </w:rPr>
        <w:t>责壤塘县人民检察院队伍建设和思想政治工作。依法管理检察官及其他检察人员的工作，协同地方主管部门管理人民检察院的机构设置及人员编制，制定相关人员管理办法，组织开展壤塘县人民检察院教育培训工作。</w:t>
      </w:r>
    </w:p>
    <w:p w14:paraId="649534A1">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10）</w:t>
      </w:r>
      <w:r>
        <w:rPr>
          <w:rFonts w:hint="eastAsia" w:ascii="方正仿宋_GB2312" w:hAnsi="方正仿宋_GB2312" w:eastAsia="方正仿宋_GB2312" w:cs="方正仿宋_GB2312"/>
          <w:sz w:val="32"/>
          <w:szCs w:val="32"/>
          <w:lang w:val="zh-CN"/>
        </w:rPr>
        <w:t>协同县委主管部门管理和考核除检察长和其他领导班子成员以外的检察机关工作人员。</w:t>
      </w:r>
    </w:p>
    <w:p w14:paraId="51FAA548">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11）</w:t>
      </w:r>
      <w:r>
        <w:rPr>
          <w:rFonts w:hint="eastAsia" w:ascii="方正仿宋_GB2312" w:hAnsi="方正仿宋_GB2312" w:eastAsia="方正仿宋_GB2312" w:cs="方正仿宋_GB2312"/>
          <w:sz w:val="32"/>
          <w:szCs w:val="32"/>
          <w:lang w:val="zh-CN"/>
        </w:rPr>
        <w:t>开展壤塘县人民检察院的检务督察工作。</w:t>
      </w:r>
    </w:p>
    <w:p w14:paraId="7176DC18">
      <w:pPr>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12）</w:t>
      </w:r>
      <w:r>
        <w:rPr>
          <w:rFonts w:hint="eastAsia" w:ascii="方正仿宋_GB2312" w:hAnsi="方正仿宋_GB2312" w:eastAsia="方正仿宋_GB2312" w:cs="方正仿宋_GB2312"/>
          <w:sz w:val="32"/>
          <w:szCs w:val="32"/>
          <w:lang w:val="zh-CN"/>
        </w:rPr>
        <w:t>开展壤塘县人民检察院的财务装备、检察技术信息工作。</w:t>
      </w:r>
    </w:p>
    <w:p w14:paraId="556B8261">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rPr>
        <w:t>13）</w:t>
      </w:r>
      <w:r>
        <w:rPr>
          <w:rFonts w:hint="eastAsia" w:ascii="方正仿宋_GB2312" w:hAnsi="方正仿宋_GB2312" w:eastAsia="方正仿宋_GB2312" w:cs="方正仿宋_GB2312"/>
          <w:sz w:val="32"/>
          <w:szCs w:val="32"/>
          <w:lang w:val="zh-CN"/>
        </w:rPr>
        <w:t>负责其他应由壤塘县人民检察院承办的事项。</w:t>
      </w:r>
    </w:p>
    <w:p w14:paraId="020F2A88">
      <w:pPr>
        <w:pStyle w:val="3"/>
        <w:rPr>
          <w:rStyle w:val="31"/>
          <w:rFonts w:ascii="Times New Roman" w:hAnsi="Times New Roman"/>
          <w:b w:val="0"/>
          <w:bCs w:val="0"/>
        </w:rPr>
      </w:pPr>
      <w:bookmarkStart w:id="10" w:name="_Toc15377200"/>
      <w:bookmarkStart w:id="11" w:name="_Toc15396601"/>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10"/>
      <w:bookmarkEnd w:id="11"/>
    </w:p>
    <w:p w14:paraId="59E4EF8D">
      <w:pPr>
        <w:pStyle w:val="6"/>
        <w:adjustRightInd w:val="0"/>
        <w:snapToGrid w:val="0"/>
        <w:spacing w:before="93" w:line="600" w:lineRule="exact"/>
        <w:ind w:firstLine="672" w:firstLineChars="210"/>
        <w:rPr>
          <w:rStyle w:val="37"/>
          <w:rFonts w:ascii="仿宋_GB2312" w:hAnsi="仿宋_GB2312" w:eastAsia="仿宋_GB2312" w:cs="Times New Roman"/>
          <w:color w:val="000000"/>
          <w:sz w:val="32"/>
          <w:szCs w:val="32"/>
        </w:rPr>
      </w:pPr>
      <w:r>
        <w:rPr>
          <w:rStyle w:val="37"/>
          <w:rFonts w:hint="eastAsia" w:ascii="仿宋_GB2312" w:hAnsi="仿宋_GB2312" w:eastAsia="仿宋_GB2312" w:cs="Times New Roman"/>
          <w:color w:val="000000"/>
          <w:sz w:val="32"/>
          <w:szCs w:val="32"/>
        </w:rPr>
        <w:t>壤塘县人民检察院独立编制机构数1个，独立核算机构数1个，在职人员27人，其中公务员21人，机关工人2人，其他人员4人；无退休人员，较上年未产生变动。</w:t>
      </w:r>
    </w:p>
    <w:p w14:paraId="295113B1">
      <w:pPr>
        <w:widowControl/>
        <w:jc w:val="left"/>
        <w:rPr>
          <w:rFonts w:eastAsia="仿宋"/>
          <w:kern w:val="0"/>
          <w:sz w:val="32"/>
          <w:szCs w:val="32"/>
        </w:rPr>
      </w:pPr>
      <w:r>
        <w:rPr>
          <w:rFonts w:eastAsia="仿宋"/>
          <w:sz w:val="32"/>
          <w:szCs w:val="32"/>
        </w:rPr>
        <w:br w:type="page"/>
      </w:r>
    </w:p>
    <w:p w14:paraId="533D2F2E">
      <w:pPr>
        <w:pStyle w:val="2"/>
        <w:jc w:val="center"/>
        <w:rPr>
          <w:rFonts w:eastAsia="方正小标宋简体" w:cs="方正小标宋简体"/>
          <w:b w:val="0"/>
        </w:rPr>
      </w:pPr>
      <w:bookmarkStart w:id="12" w:name="_Toc15396602"/>
      <w:bookmarkStart w:id="13" w:name="_Toc15377204"/>
      <w:r>
        <w:rPr>
          <w:rFonts w:hint="eastAsia" w:eastAsia="方正小标宋简体" w:cs="方正小标宋简体"/>
          <w:b w:val="0"/>
        </w:rPr>
        <w:t>第二部分  2024年度部门决算情况说明</w:t>
      </w:r>
      <w:bookmarkEnd w:id="12"/>
      <w:bookmarkEnd w:id="13"/>
    </w:p>
    <w:p w14:paraId="6B57631A"/>
    <w:p w14:paraId="61C442B7">
      <w:pPr>
        <w:pStyle w:val="29"/>
        <w:spacing w:line="600" w:lineRule="exact"/>
        <w:ind w:firstLine="640"/>
        <w:outlineLvl w:val="1"/>
        <w:rPr>
          <w:rStyle w:val="31"/>
          <w:rFonts w:ascii="Times New Roman" w:hAnsi="Times New Roman" w:eastAsia="黑体"/>
          <w:b w:val="0"/>
        </w:rPr>
      </w:pPr>
      <w:bookmarkStart w:id="14" w:name="_Toc15377205"/>
      <w:bookmarkStart w:id="15" w:name="_Toc15396603"/>
      <w:r>
        <w:rPr>
          <w:rFonts w:hint="eastAsia" w:eastAsia="黑体"/>
          <w:sz w:val="32"/>
          <w:szCs w:val="32"/>
        </w:rPr>
        <w:t>一、收</w:t>
      </w:r>
      <w:r>
        <w:rPr>
          <w:rStyle w:val="31"/>
          <w:rFonts w:hint="eastAsia" w:ascii="Times New Roman" w:hAnsi="Times New Roman" w:eastAsia="黑体"/>
          <w:b w:val="0"/>
        </w:rPr>
        <w:t>入支出决算总体情况说明</w:t>
      </w:r>
      <w:bookmarkEnd w:id="14"/>
      <w:bookmarkEnd w:id="15"/>
    </w:p>
    <w:p w14:paraId="29AF0EAF">
      <w:pPr>
        <w:snapToGrid w:val="0"/>
        <w:spacing w:line="520" w:lineRule="exact"/>
        <w:ind w:firstLine="640" w:firstLineChars="200"/>
        <w:rPr>
          <w:rFonts w:hint="eastAsia" w:ascii="仿宋_GB2312" w:hAnsi="仿宋_GB2312" w:eastAsia="仿宋_GB2312" w:cs="仿宋_GB2312"/>
          <w:sz w:val="32"/>
          <w:szCs w:val="32"/>
        </w:rPr>
      </w:pPr>
      <w:r>
        <w:rPr>
          <w:rStyle w:val="37"/>
          <w:rFonts w:hint="eastAsia" w:ascii="仿宋_GB2312" w:hAnsi="仿宋_GB2312" w:eastAsia="仿宋_GB2312"/>
          <w:color w:val="000000"/>
          <w:sz w:val="32"/>
          <w:szCs w:val="32"/>
        </w:rPr>
        <w:t>2024年总收入合计1023.81万元。其中：一般公共预算财政拨款收入762.03万元，占74.43%；其他收入261.78万元，占25.57%</w:t>
      </w:r>
      <w:r>
        <w:rPr>
          <w:rFonts w:hint="eastAsia" w:ascii="仿宋_GB2312" w:hAnsi="仿宋_GB2312" w:eastAsia="仿宋_GB2312" w:cs="仿宋_GB2312"/>
          <w:sz w:val="32"/>
          <w:szCs w:val="32"/>
        </w:rPr>
        <w:t>。</w:t>
      </w:r>
    </w:p>
    <w:p w14:paraId="2F7221AD">
      <w:pPr>
        <w:snapToGrid w:val="0"/>
        <w:spacing w:line="520" w:lineRule="exact"/>
        <w:jc w:val="center"/>
        <w:rPr>
          <w:rFonts w:hint="eastAsia" w:ascii="仿宋_GB2312" w:hAnsi="仿宋_GB2312" w:eastAsia="仿宋_GB2312" w:cs="仿宋_GB2312"/>
          <w:sz w:val="32"/>
          <w:szCs w:val="32"/>
        </w:rPr>
      </w:pPr>
      <w:r>
        <w:rPr>
          <w:rFonts w:hint="eastAsia" w:eastAsia="仿宋_GB2312" w:cs="仿宋_GB2312"/>
          <w:sz w:val="32"/>
          <w:szCs w:val="32"/>
        </w:rPr>
        <w:drawing>
          <wp:anchor distT="0" distB="0" distL="114300" distR="114300" simplePos="0" relativeHeight="251659264" behindDoc="1" locked="0" layoutInCell="1" allowOverlap="1">
            <wp:simplePos x="0" y="0"/>
            <wp:positionH relativeFrom="column">
              <wp:posOffset>838835</wp:posOffset>
            </wp:positionH>
            <wp:positionV relativeFrom="paragraph">
              <wp:posOffset>90170</wp:posOffset>
            </wp:positionV>
            <wp:extent cx="3454400" cy="1809115"/>
            <wp:effectExtent l="4445" t="5080" r="8255" b="50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7BF36B1">
      <w:pPr>
        <w:snapToGrid w:val="0"/>
        <w:spacing w:line="520" w:lineRule="exact"/>
        <w:ind w:firstLine="640" w:firstLineChars="200"/>
        <w:rPr>
          <w:rFonts w:hint="eastAsia" w:eastAsia="仿宋_GB2312" w:cs="仿宋_GB2312"/>
          <w:sz w:val="32"/>
          <w:szCs w:val="32"/>
        </w:rPr>
      </w:pPr>
    </w:p>
    <w:p w14:paraId="0040D535">
      <w:pPr>
        <w:snapToGrid w:val="0"/>
        <w:spacing w:line="520" w:lineRule="exact"/>
        <w:ind w:firstLine="640" w:firstLineChars="200"/>
        <w:rPr>
          <w:rFonts w:hint="eastAsia" w:eastAsia="仿宋_GB2312" w:cs="仿宋_GB2312"/>
          <w:sz w:val="32"/>
          <w:szCs w:val="32"/>
        </w:rPr>
      </w:pPr>
    </w:p>
    <w:p w14:paraId="3C78ACE8">
      <w:pPr>
        <w:snapToGrid w:val="0"/>
        <w:spacing w:line="520" w:lineRule="exact"/>
        <w:ind w:firstLine="640" w:firstLineChars="200"/>
        <w:rPr>
          <w:rFonts w:hint="eastAsia" w:eastAsia="仿宋_GB2312" w:cs="仿宋_GB2312"/>
          <w:sz w:val="32"/>
          <w:szCs w:val="32"/>
        </w:rPr>
      </w:pPr>
    </w:p>
    <w:p w14:paraId="6118B786">
      <w:pPr>
        <w:snapToGrid w:val="0"/>
        <w:spacing w:line="520" w:lineRule="exact"/>
        <w:ind w:firstLine="640" w:firstLineChars="200"/>
        <w:rPr>
          <w:rFonts w:hint="eastAsia" w:eastAsia="仿宋_GB2312" w:cs="仿宋_GB2312"/>
          <w:sz w:val="32"/>
          <w:szCs w:val="32"/>
        </w:rPr>
      </w:pPr>
    </w:p>
    <w:p w14:paraId="2BF7A3F5">
      <w:pPr>
        <w:snapToGrid w:val="0"/>
        <w:spacing w:line="520" w:lineRule="exact"/>
        <w:rPr>
          <w:rFonts w:hint="eastAsia" w:eastAsia="仿宋_GB2312" w:cs="仿宋_GB2312"/>
          <w:sz w:val="32"/>
          <w:szCs w:val="32"/>
        </w:rPr>
      </w:pPr>
    </w:p>
    <w:p w14:paraId="37F2870B">
      <w:pPr>
        <w:snapToGrid w:val="0"/>
        <w:spacing w:line="560" w:lineRule="exact"/>
        <w:ind w:firstLine="640" w:firstLineChars="200"/>
        <w:rPr>
          <w:rFonts w:hint="eastAsia" w:eastAsia="仿宋_GB2312"/>
          <w:sz w:val="32"/>
          <w:szCs w:val="32"/>
        </w:rPr>
      </w:pPr>
      <w:r>
        <w:rPr>
          <w:rStyle w:val="37"/>
          <w:rFonts w:hint="eastAsia" w:ascii="仿宋_GB2312" w:hAnsi="仿宋_GB2312" w:eastAsia="仿宋_GB2312"/>
          <w:color w:val="000000"/>
          <w:sz w:val="32"/>
          <w:szCs w:val="32"/>
        </w:rPr>
        <w:t>2024年总支出合计1023.81万元。其中：公共安全支出861.22万元；社会保障和就业支出87.73万元；卫生健康支出32.08万元；住房保障支出42.79万元</w:t>
      </w:r>
      <w:r>
        <w:rPr>
          <w:rFonts w:hint="eastAsia" w:eastAsia="仿宋_GB2312"/>
          <w:sz w:val="32"/>
          <w:szCs w:val="32"/>
        </w:rPr>
        <w:t xml:space="preserve">。          </w:t>
      </w:r>
    </w:p>
    <w:p w14:paraId="3E4C4E93">
      <w:pPr>
        <w:snapToGrid w:val="0"/>
        <w:spacing w:line="560" w:lineRule="exact"/>
        <w:ind w:firstLine="640" w:firstLineChars="200"/>
        <w:rPr>
          <w:rFonts w:hint="eastAsia" w:eastAsia="仿宋_GB2312"/>
          <w:sz w:val="32"/>
          <w:szCs w:val="32"/>
        </w:rPr>
      </w:pPr>
    </w:p>
    <w:p w14:paraId="6A41CC28">
      <w:pPr>
        <w:snapToGrid w:val="0"/>
        <w:spacing w:line="560" w:lineRule="exact"/>
        <w:ind w:firstLine="640" w:firstLineChars="200"/>
        <w:rPr>
          <w:rFonts w:hint="eastAsia" w:eastAsia="仿宋_GB2312"/>
          <w:sz w:val="32"/>
          <w:szCs w:val="32"/>
        </w:rPr>
      </w:pPr>
      <w:r>
        <w:rPr>
          <w:rFonts w:eastAsia="仿宋_GB2312"/>
          <w:sz w:val="32"/>
          <w:szCs w:val="32"/>
        </w:rPr>
        <w:drawing>
          <wp:anchor distT="0" distB="0" distL="114300" distR="114300" simplePos="0" relativeHeight="251660288" behindDoc="1" locked="0" layoutInCell="1" allowOverlap="1">
            <wp:simplePos x="0" y="0"/>
            <wp:positionH relativeFrom="column">
              <wp:posOffset>940435</wp:posOffset>
            </wp:positionH>
            <wp:positionV relativeFrom="paragraph">
              <wp:posOffset>114300</wp:posOffset>
            </wp:positionV>
            <wp:extent cx="3722370" cy="1997710"/>
            <wp:effectExtent l="4445" t="5080" r="6985" b="698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0EBECA5">
      <w:pPr>
        <w:snapToGrid w:val="0"/>
        <w:spacing w:line="560" w:lineRule="exact"/>
        <w:ind w:firstLine="640" w:firstLineChars="200"/>
        <w:rPr>
          <w:rFonts w:hint="eastAsia" w:eastAsia="仿宋_GB2312"/>
          <w:sz w:val="32"/>
          <w:szCs w:val="32"/>
        </w:rPr>
      </w:pPr>
    </w:p>
    <w:p w14:paraId="25EA81E7">
      <w:pPr>
        <w:snapToGrid w:val="0"/>
        <w:spacing w:line="560" w:lineRule="exact"/>
        <w:ind w:firstLine="640" w:firstLineChars="200"/>
        <w:rPr>
          <w:rFonts w:hint="eastAsia" w:eastAsia="仿宋_GB2312"/>
          <w:sz w:val="32"/>
          <w:szCs w:val="32"/>
        </w:rPr>
      </w:pPr>
    </w:p>
    <w:p w14:paraId="69C6B302">
      <w:pPr>
        <w:ind w:firstLine="640" w:firstLineChars="200"/>
        <w:rPr>
          <w:rFonts w:hint="eastAsia" w:ascii="仿宋" w:hAnsi="仿宋" w:eastAsia="仿宋"/>
          <w:color w:val="000000"/>
          <w:sz w:val="32"/>
          <w:szCs w:val="32"/>
          <w:lang w:eastAsia="zh-CN"/>
        </w:rPr>
      </w:pPr>
    </w:p>
    <w:p w14:paraId="4422896E">
      <w:pPr>
        <w:ind w:firstLine="640" w:firstLineChars="200"/>
        <w:rPr>
          <w:rFonts w:hint="eastAsia" w:ascii="仿宋" w:hAnsi="仿宋" w:eastAsia="仿宋"/>
          <w:color w:val="000000"/>
          <w:sz w:val="32"/>
          <w:szCs w:val="32"/>
        </w:rPr>
      </w:pPr>
    </w:p>
    <w:p w14:paraId="6DA864E2">
      <w:pPr>
        <w:ind w:firstLine="640" w:firstLineChars="200"/>
        <w:rPr>
          <w:rFonts w:hint="eastAsia" w:ascii="仿宋" w:hAnsi="仿宋" w:eastAsia="仿宋"/>
          <w:color w:val="000000"/>
          <w:sz w:val="32"/>
          <w:szCs w:val="32"/>
        </w:rPr>
      </w:pPr>
    </w:p>
    <w:p w14:paraId="7389CC6F">
      <w:pPr>
        <w:ind w:firstLine="640" w:firstLineChars="200"/>
        <w:rPr>
          <w:rFonts w:hint="eastAsia" w:ascii="仿宋" w:hAnsi="仿宋" w:eastAsia="仿宋"/>
          <w:color w:val="000000"/>
          <w:sz w:val="32"/>
          <w:szCs w:val="32"/>
        </w:rPr>
      </w:pPr>
    </w:p>
    <w:p w14:paraId="52B33641">
      <w:pPr>
        <w:rPr>
          <w:rFonts w:hint="eastAsia" w:ascii="仿宋" w:hAnsi="仿宋" w:eastAsia="仿宋"/>
          <w:color w:val="000000"/>
          <w:sz w:val="32"/>
          <w:szCs w:val="32"/>
        </w:rPr>
      </w:pPr>
    </w:p>
    <w:p w14:paraId="07592078">
      <w:pPr>
        <w:pStyle w:val="29"/>
        <w:spacing w:line="600" w:lineRule="exact"/>
        <w:ind w:firstLine="640"/>
        <w:outlineLvl w:val="1"/>
        <w:rPr>
          <w:rFonts w:eastAsia="黑体"/>
          <w:sz w:val="32"/>
          <w:szCs w:val="32"/>
        </w:rPr>
      </w:pPr>
      <w:bookmarkStart w:id="16" w:name="_Toc15377206"/>
      <w:bookmarkStart w:id="17" w:name="_Toc15396604"/>
      <w:r>
        <w:rPr>
          <w:rFonts w:hint="eastAsia" w:eastAsia="黑体"/>
          <w:sz w:val="32"/>
          <w:szCs w:val="32"/>
        </w:rPr>
        <w:t>二、收入决算情况说明</w:t>
      </w:r>
      <w:bookmarkEnd w:id="16"/>
      <w:bookmarkEnd w:id="17"/>
    </w:p>
    <w:p w14:paraId="4193DD90">
      <w:pPr>
        <w:snapToGrid w:val="0"/>
        <w:spacing w:line="520" w:lineRule="exact"/>
        <w:ind w:firstLine="640" w:firstLineChars="200"/>
        <w:rPr>
          <w:rFonts w:hint="eastAsia" w:ascii="仿宋_GB2312" w:hAnsi="仿宋_GB2312" w:eastAsia="仿宋_GB2312" w:cs="仿宋_GB2312"/>
          <w:sz w:val="32"/>
          <w:szCs w:val="32"/>
        </w:rPr>
      </w:pPr>
      <w:r>
        <w:rPr>
          <w:rStyle w:val="37"/>
          <w:rFonts w:hint="eastAsia" w:ascii="仿宋_GB2312" w:hAnsi="仿宋_GB2312" w:eastAsia="仿宋_GB2312"/>
          <w:color w:val="000000"/>
          <w:sz w:val="32"/>
          <w:szCs w:val="32"/>
        </w:rPr>
        <w:t>2024年总收入合计1023.81万元。其中：一般公共预算财政拨款收入762.03万元，占74.43%；其他收入261.78万元，占25.57%</w:t>
      </w:r>
      <w:r>
        <w:rPr>
          <w:rFonts w:hint="eastAsia" w:ascii="仿宋_GB2312" w:hAnsi="仿宋_GB2312" w:eastAsia="仿宋_GB2312" w:cs="仿宋_GB2312"/>
          <w:sz w:val="32"/>
          <w:szCs w:val="32"/>
        </w:rPr>
        <w:t>。</w:t>
      </w:r>
    </w:p>
    <w:p w14:paraId="0533B5B0">
      <w:pPr>
        <w:snapToGrid w:val="0"/>
        <w:spacing w:line="520" w:lineRule="exact"/>
        <w:jc w:val="center"/>
        <w:rPr>
          <w:rFonts w:hint="eastAsia" w:ascii="仿宋_GB2312" w:hAnsi="仿宋_GB2312" w:eastAsia="仿宋_GB2312" w:cs="仿宋_GB2312"/>
          <w:sz w:val="32"/>
          <w:szCs w:val="32"/>
        </w:rPr>
      </w:pPr>
      <w:r>
        <w:rPr>
          <w:rFonts w:hint="eastAsia" w:eastAsia="仿宋_GB2312" w:cs="仿宋_GB2312"/>
          <w:sz w:val="32"/>
          <w:szCs w:val="32"/>
        </w:rPr>
        <w:drawing>
          <wp:anchor distT="0" distB="0" distL="114300" distR="114300" simplePos="0" relativeHeight="251661312" behindDoc="1" locked="0" layoutInCell="1" allowOverlap="1">
            <wp:simplePos x="0" y="0"/>
            <wp:positionH relativeFrom="column">
              <wp:posOffset>838835</wp:posOffset>
            </wp:positionH>
            <wp:positionV relativeFrom="paragraph">
              <wp:posOffset>90170</wp:posOffset>
            </wp:positionV>
            <wp:extent cx="3454400" cy="1809115"/>
            <wp:effectExtent l="4445" t="5080" r="8255" b="508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6D823AA">
      <w:pPr>
        <w:snapToGrid w:val="0"/>
        <w:spacing w:line="520" w:lineRule="exact"/>
        <w:ind w:firstLine="640" w:firstLineChars="200"/>
        <w:rPr>
          <w:rFonts w:hint="eastAsia" w:eastAsia="仿宋_GB2312" w:cs="仿宋_GB2312"/>
          <w:sz w:val="32"/>
          <w:szCs w:val="32"/>
        </w:rPr>
      </w:pPr>
    </w:p>
    <w:p w14:paraId="358BD4C6">
      <w:pPr>
        <w:snapToGrid w:val="0"/>
        <w:spacing w:line="520" w:lineRule="exact"/>
        <w:ind w:firstLine="640" w:firstLineChars="200"/>
        <w:rPr>
          <w:rFonts w:hint="eastAsia" w:eastAsia="仿宋_GB2312" w:cs="仿宋_GB2312"/>
          <w:sz w:val="32"/>
          <w:szCs w:val="32"/>
        </w:rPr>
      </w:pPr>
    </w:p>
    <w:p w14:paraId="134F077B">
      <w:pPr>
        <w:ind w:firstLine="800" w:firstLineChars="250"/>
        <w:rPr>
          <w:rFonts w:eastAsia="仿宋_GB2312" w:cs="仿宋_GB2312"/>
          <w:sz w:val="32"/>
          <w:szCs w:val="32"/>
        </w:rPr>
      </w:pPr>
    </w:p>
    <w:p w14:paraId="62D0464D">
      <w:pPr>
        <w:pStyle w:val="29"/>
        <w:spacing w:line="600" w:lineRule="exact"/>
        <w:ind w:firstLine="640"/>
        <w:outlineLvl w:val="1"/>
        <w:rPr>
          <w:rFonts w:hint="eastAsia" w:eastAsia="黑体"/>
          <w:sz w:val="32"/>
          <w:szCs w:val="32"/>
        </w:rPr>
      </w:pPr>
      <w:bookmarkStart w:id="18" w:name="_Toc15396605"/>
      <w:bookmarkStart w:id="19" w:name="_Toc15377207"/>
    </w:p>
    <w:p w14:paraId="267AA7F3">
      <w:pPr>
        <w:pStyle w:val="29"/>
        <w:spacing w:line="600" w:lineRule="exact"/>
        <w:ind w:firstLine="640"/>
        <w:outlineLvl w:val="1"/>
        <w:rPr>
          <w:rFonts w:hint="eastAsia" w:eastAsia="黑体"/>
          <w:sz w:val="32"/>
          <w:szCs w:val="32"/>
        </w:rPr>
      </w:pPr>
    </w:p>
    <w:p w14:paraId="7D954DA0">
      <w:pPr>
        <w:pStyle w:val="29"/>
        <w:spacing w:line="600" w:lineRule="exact"/>
        <w:ind w:firstLine="640"/>
        <w:outlineLvl w:val="1"/>
        <w:rPr>
          <w:rStyle w:val="31"/>
          <w:rFonts w:ascii="Times New Roman" w:hAnsi="Times New Roman" w:eastAsia="黑体"/>
          <w:b w:val="0"/>
        </w:rPr>
      </w:pPr>
      <w:r>
        <w:rPr>
          <w:rFonts w:hint="eastAsia" w:eastAsia="黑体"/>
          <w:sz w:val="32"/>
          <w:szCs w:val="32"/>
        </w:rPr>
        <w:t>三、支</w:t>
      </w:r>
      <w:r>
        <w:rPr>
          <w:rStyle w:val="31"/>
          <w:rFonts w:hint="eastAsia" w:ascii="Times New Roman" w:hAnsi="Times New Roman" w:eastAsia="黑体"/>
          <w:b w:val="0"/>
        </w:rPr>
        <w:t>出决算情况说明</w:t>
      </w:r>
      <w:bookmarkEnd w:id="18"/>
      <w:bookmarkEnd w:id="19"/>
    </w:p>
    <w:p w14:paraId="71F27C9B">
      <w:pPr>
        <w:rPr>
          <w:rFonts w:hint="eastAsia"/>
        </w:rPr>
      </w:pPr>
      <w:bookmarkStart w:id="20" w:name="_Toc15377208"/>
      <w:bookmarkStart w:id="21" w:name="_Toc15396606"/>
    </w:p>
    <w:p w14:paraId="047AAD13">
      <w:pPr>
        <w:snapToGrid w:val="0"/>
        <w:spacing w:line="520" w:lineRule="exact"/>
        <w:ind w:firstLine="640" w:firstLineChars="200"/>
        <w:rPr>
          <w:rFonts w:hint="eastAsia" w:eastAsia="黑体"/>
          <w:sz w:val="32"/>
          <w:szCs w:val="32"/>
        </w:rPr>
      </w:pPr>
      <w:r>
        <w:rPr>
          <w:rFonts w:hint="eastAsia" w:ascii="仿宋_GB2312" w:hAnsi="仿宋_GB2312" w:eastAsia="仿宋_GB2312" w:cs="仿宋_GB2312"/>
          <w:sz w:val="32"/>
          <w:szCs w:val="32"/>
        </w:rPr>
        <w:t>2024年财政拨款支出合计1023.81万元，其中：基本支出765.71万元，占74.79%；项目支出258.1万元，占25.21%</w:t>
      </w:r>
      <w:r>
        <w:rPr>
          <w:rFonts w:hint="eastAsia" w:eastAsia="仿宋_GB2312" w:cs="仿宋_GB2312"/>
          <w:sz w:val="32"/>
          <w:szCs w:val="32"/>
        </w:rPr>
        <w:t>。</w:t>
      </w:r>
    </w:p>
    <w:p w14:paraId="54075097">
      <w:pPr>
        <w:spacing w:line="600" w:lineRule="exact"/>
        <w:ind w:firstLine="640" w:firstLineChars="200"/>
        <w:outlineLvl w:val="1"/>
        <w:rPr>
          <w:rStyle w:val="31"/>
          <w:rFonts w:ascii="Times New Roman" w:hAnsi="Times New Roman" w:eastAsia="黑体"/>
          <w:b w:val="0"/>
        </w:rPr>
      </w:pPr>
      <w:r>
        <w:rPr>
          <w:rFonts w:hint="eastAsia" w:eastAsia="黑体"/>
          <w:sz w:val="32"/>
          <w:szCs w:val="32"/>
        </w:rPr>
        <w:t>四、财</w:t>
      </w:r>
      <w:r>
        <w:rPr>
          <w:rStyle w:val="31"/>
          <w:rFonts w:hint="eastAsia" w:ascii="Times New Roman" w:hAnsi="Times New Roman" w:eastAsia="黑体"/>
          <w:b w:val="0"/>
        </w:rPr>
        <w:t>政拨款收入支出决算总体情况说明</w:t>
      </w:r>
      <w:bookmarkEnd w:id="20"/>
      <w:bookmarkEnd w:id="21"/>
    </w:p>
    <w:p w14:paraId="2B060487">
      <w:pPr>
        <w:snapToGrid w:val="0"/>
        <w:spacing w:line="520" w:lineRule="exact"/>
        <w:ind w:firstLine="640" w:firstLineChars="200"/>
        <w:rPr>
          <w:rStyle w:val="37"/>
          <w:rFonts w:hint="eastAsia" w:ascii="仿宋_GB2312" w:hAnsi="仿宋_GB2312" w:eastAsia="仿宋_GB2312"/>
          <w:color w:val="000000"/>
          <w:sz w:val="32"/>
          <w:szCs w:val="32"/>
        </w:rPr>
      </w:pPr>
      <w:bookmarkStart w:id="22" w:name="_Toc15377209"/>
      <w:bookmarkStart w:id="23" w:name="_Toc15396607"/>
      <w:r>
        <w:rPr>
          <w:rStyle w:val="37"/>
          <w:rFonts w:hint="eastAsia" w:ascii="仿宋_GB2312" w:hAnsi="仿宋_GB2312" w:eastAsia="仿宋_GB2312"/>
          <w:color w:val="000000"/>
          <w:sz w:val="32"/>
          <w:szCs w:val="32"/>
        </w:rPr>
        <w:t>（1）收入预、决算差异情况：2024年年初预算收入合计561.89万元，2024年决算收入合计1023.81万元。财政拨款收入决算数比预算数增加461.92万元，主要原因是项目支出未列入预算。</w:t>
      </w:r>
    </w:p>
    <w:p w14:paraId="16D7B727">
      <w:pPr>
        <w:snapToGrid w:val="0"/>
        <w:spacing w:line="520" w:lineRule="exact"/>
        <w:ind w:firstLine="640" w:firstLineChars="200"/>
        <w:rPr>
          <w:rStyle w:val="37"/>
          <w:rFonts w:ascii="仿宋_GB2312" w:hAnsi="仿宋_GB2312" w:eastAsia="仿宋_GB2312"/>
          <w:color w:val="000000"/>
          <w:sz w:val="32"/>
          <w:szCs w:val="32"/>
        </w:rPr>
      </w:pPr>
      <w:r>
        <w:rPr>
          <w:rStyle w:val="37"/>
          <w:rFonts w:hint="eastAsia" w:ascii="仿宋_GB2312" w:hAnsi="仿宋_GB2312" w:eastAsia="仿宋_GB2312"/>
          <w:color w:val="000000"/>
          <w:sz w:val="32"/>
          <w:szCs w:val="32"/>
        </w:rPr>
        <w:t>（2）支出预、决算差异情况：2024年年初预算支出合计561.89万元，2024年决算支出合计1023.81万元，财政拨款支出决算数比预算数增加461.92万元，主要原因是项目支出未列入预算。</w:t>
      </w:r>
    </w:p>
    <w:p w14:paraId="25DDE449">
      <w:pPr>
        <w:spacing w:line="600" w:lineRule="exact"/>
        <w:ind w:firstLine="640" w:firstLineChars="200"/>
        <w:outlineLvl w:val="1"/>
        <w:rPr>
          <w:rStyle w:val="37"/>
          <w:rFonts w:hint="eastAsia" w:ascii="仿宋_GB2312" w:hAnsi="仿宋_GB2312" w:eastAsia="仿宋_GB2312"/>
          <w:color w:val="000000"/>
          <w:sz w:val="32"/>
          <w:szCs w:val="32"/>
        </w:rPr>
      </w:pPr>
    </w:p>
    <w:p w14:paraId="3C22A30F">
      <w:pPr>
        <w:spacing w:line="600" w:lineRule="exact"/>
        <w:ind w:firstLine="640" w:firstLineChars="200"/>
        <w:outlineLvl w:val="1"/>
        <w:rPr>
          <w:rStyle w:val="37"/>
          <w:rFonts w:hint="eastAsia" w:ascii="仿宋_GB2312" w:hAnsi="仿宋_GB2312" w:eastAsia="仿宋_GB2312"/>
          <w:color w:val="000000"/>
          <w:sz w:val="32"/>
          <w:szCs w:val="32"/>
        </w:rPr>
      </w:pPr>
    </w:p>
    <w:p w14:paraId="588454DC">
      <w:pPr>
        <w:spacing w:line="600" w:lineRule="exact"/>
        <w:outlineLvl w:val="1"/>
        <w:rPr>
          <w:rStyle w:val="31"/>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2"/>
      <w:bookmarkEnd w:id="23"/>
    </w:p>
    <w:p w14:paraId="1F541FFE">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5896B844">
      <w:pPr>
        <w:snapToGrid w:val="0"/>
        <w:spacing w:line="520" w:lineRule="exact"/>
        <w:ind w:firstLine="640" w:firstLineChars="200"/>
        <w:rPr>
          <w:rFonts w:hint="eastAsia" w:eastAsia="黑体"/>
          <w:sz w:val="32"/>
          <w:szCs w:val="32"/>
        </w:rPr>
      </w:pPr>
      <w:r>
        <w:rPr>
          <w:rFonts w:hint="eastAsia" w:ascii="仿宋_GB2312" w:hAnsi="仿宋_GB2312" w:eastAsia="仿宋_GB2312" w:cs="仿宋_GB2312"/>
          <w:sz w:val="32"/>
          <w:szCs w:val="32"/>
        </w:rPr>
        <w:t>2024年财政拨款支出合计1023.81万元，其中：基本支出765.71万元，占74.79%；项目支出258.1万元，占25.21%</w:t>
      </w:r>
      <w:r>
        <w:rPr>
          <w:rFonts w:hint="eastAsia" w:eastAsia="仿宋_GB2312" w:cs="仿宋_GB2312"/>
          <w:sz w:val="32"/>
          <w:szCs w:val="32"/>
        </w:rPr>
        <w:t>。</w:t>
      </w:r>
    </w:p>
    <w:p w14:paraId="4863566A">
      <w:pPr>
        <w:spacing w:line="600" w:lineRule="exact"/>
        <w:ind w:firstLine="640"/>
        <w:rPr>
          <w:rFonts w:hint="eastAsia" w:eastAsia="仿宋_GB2312" w:cs="仿宋_GB2312"/>
          <w:sz w:val="32"/>
          <w:szCs w:val="32"/>
        </w:rPr>
      </w:pPr>
      <w:r>
        <w:rPr>
          <w:rFonts w:hint="eastAsia"/>
        </w:rPr>
        <w:drawing>
          <wp:anchor distT="0" distB="0" distL="114300" distR="114300" simplePos="0" relativeHeight="251662336" behindDoc="0" locked="0" layoutInCell="1" allowOverlap="1">
            <wp:simplePos x="0" y="0"/>
            <wp:positionH relativeFrom="column">
              <wp:posOffset>1050290</wp:posOffset>
            </wp:positionH>
            <wp:positionV relativeFrom="paragraph">
              <wp:posOffset>240665</wp:posOffset>
            </wp:positionV>
            <wp:extent cx="3430905" cy="2132965"/>
            <wp:effectExtent l="4445" t="4445" r="12700" b="5715"/>
            <wp:wrapSquare wrapText="bothSides"/>
            <wp:docPr id="17" name="图表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4FF90A1">
      <w:pPr>
        <w:spacing w:line="600" w:lineRule="exact"/>
        <w:ind w:firstLine="640"/>
        <w:rPr>
          <w:rFonts w:hint="eastAsia" w:eastAsia="仿宋_GB2312" w:cs="仿宋_GB2312"/>
          <w:sz w:val="32"/>
          <w:szCs w:val="32"/>
          <w:lang w:eastAsia="zh-CN"/>
        </w:rPr>
      </w:pPr>
    </w:p>
    <w:p w14:paraId="3F6D2F3B">
      <w:pPr>
        <w:spacing w:line="600" w:lineRule="exact"/>
        <w:ind w:firstLine="640"/>
        <w:rPr>
          <w:rFonts w:eastAsia="仿宋_GB2312" w:cs="仿宋_GB2312"/>
          <w:sz w:val="32"/>
          <w:szCs w:val="32"/>
        </w:rPr>
      </w:pPr>
    </w:p>
    <w:p w14:paraId="5EEB6F1B">
      <w:pPr>
        <w:spacing w:line="600" w:lineRule="exact"/>
        <w:ind w:firstLine="640"/>
        <w:rPr>
          <w:rFonts w:eastAsia="仿宋_GB2312" w:cs="仿宋_GB2312"/>
          <w:sz w:val="32"/>
          <w:szCs w:val="32"/>
        </w:rPr>
      </w:pPr>
    </w:p>
    <w:p w14:paraId="69EDF730">
      <w:pPr>
        <w:spacing w:line="600" w:lineRule="exact"/>
        <w:ind w:firstLine="640"/>
        <w:rPr>
          <w:rFonts w:eastAsia="仿宋_GB2312" w:cs="仿宋_GB2312"/>
          <w:sz w:val="32"/>
          <w:szCs w:val="32"/>
        </w:rPr>
      </w:pPr>
    </w:p>
    <w:p w14:paraId="4EE74D0F">
      <w:pPr>
        <w:spacing w:line="600" w:lineRule="exact"/>
        <w:ind w:firstLine="643" w:firstLineChars="200"/>
        <w:outlineLvl w:val="2"/>
        <w:rPr>
          <w:rFonts w:hint="eastAsia" w:eastAsia="楷体_GB2312" w:cs="楷体_GB2312"/>
          <w:b/>
          <w:sz w:val="32"/>
          <w:szCs w:val="32"/>
        </w:rPr>
      </w:pPr>
      <w:bookmarkStart w:id="25" w:name="_Toc15377211"/>
    </w:p>
    <w:p w14:paraId="4508DA07">
      <w:pPr>
        <w:spacing w:line="600" w:lineRule="exact"/>
        <w:outlineLvl w:val="2"/>
        <w:rPr>
          <w:rFonts w:hint="eastAsia" w:eastAsia="楷体_GB2312" w:cs="楷体_GB2312"/>
          <w:b/>
          <w:sz w:val="32"/>
          <w:szCs w:val="32"/>
          <w:lang w:eastAsia="zh-CN"/>
        </w:rPr>
      </w:pPr>
    </w:p>
    <w:p w14:paraId="738B8286">
      <w:pPr>
        <w:spacing w:line="600" w:lineRule="exact"/>
        <w:outlineLvl w:val="2"/>
        <w:rPr>
          <w:rFonts w:hint="eastAsia" w:eastAsia="楷体_GB2312" w:cs="楷体_GB2312"/>
          <w:b/>
          <w:sz w:val="32"/>
          <w:szCs w:val="32"/>
        </w:rPr>
      </w:pPr>
    </w:p>
    <w:p w14:paraId="69AEC7DB">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5"/>
    </w:p>
    <w:p w14:paraId="5B0106C1">
      <w:pPr>
        <w:snapToGrid w:val="0"/>
        <w:spacing w:line="560" w:lineRule="exact"/>
        <w:ind w:firstLine="640" w:firstLineChars="200"/>
        <w:rPr>
          <w:rFonts w:hint="eastAsia" w:eastAsia="仿宋_GB2312"/>
          <w:sz w:val="32"/>
          <w:szCs w:val="32"/>
        </w:rPr>
      </w:pPr>
      <w:r>
        <w:rPr>
          <w:rStyle w:val="37"/>
          <w:rFonts w:hint="eastAsia" w:ascii="仿宋_GB2312" w:hAnsi="仿宋_GB2312" w:eastAsia="仿宋_GB2312"/>
          <w:color w:val="000000"/>
          <w:sz w:val="32"/>
          <w:szCs w:val="32"/>
        </w:rPr>
        <w:t>2024年总支出合计1023.81万元。其中：公共安全支出861.22万元；社会保障和就业支出87.73万元；卫生健康支出32.08万元；住房保障支出42.79万元</w:t>
      </w:r>
      <w:r>
        <w:rPr>
          <w:rFonts w:hint="eastAsia" w:eastAsia="仿宋_GB2312"/>
          <w:sz w:val="32"/>
          <w:szCs w:val="32"/>
        </w:rPr>
        <w:t xml:space="preserve">。          </w:t>
      </w:r>
    </w:p>
    <w:p w14:paraId="677F9E6D">
      <w:pPr>
        <w:snapToGrid w:val="0"/>
        <w:spacing w:line="560" w:lineRule="exact"/>
        <w:ind w:firstLine="640" w:firstLineChars="200"/>
        <w:rPr>
          <w:rFonts w:hint="eastAsia" w:eastAsia="仿宋_GB2312"/>
          <w:sz w:val="32"/>
          <w:szCs w:val="32"/>
        </w:rPr>
      </w:pPr>
      <w:r>
        <w:rPr>
          <w:rFonts w:eastAsia="仿宋_GB2312"/>
          <w:sz w:val="32"/>
          <w:szCs w:val="32"/>
        </w:rPr>
        <w:drawing>
          <wp:anchor distT="0" distB="0" distL="114300" distR="114300" simplePos="0" relativeHeight="251663360" behindDoc="1" locked="0" layoutInCell="1" allowOverlap="1">
            <wp:simplePos x="0" y="0"/>
            <wp:positionH relativeFrom="column">
              <wp:posOffset>920115</wp:posOffset>
            </wp:positionH>
            <wp:positionV relativeFrom="paragraph">
              <wp:posOffset>167640</wp:posOffset>
            </wp:positionV>
            <wp:extent cx="3543300" cy="1711325"/>
            <wp:effectExtent l="4445" t="5080" r="5080" b="7620"/>
            <wp:wrapNone/>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C95D765">
      <w:pPr>
        <w:snapToGrid w:val="0"/>
        <w:spacing w:line="560" w:lineRule="exact"/>
        <w:ind w:firstLine="640" w:firstLineChars="200"/>
        <w:rPr>
          <w:rFonts w:hint="eastAsia" w:eastAsia="仿宋_GB2312"/>
          <w:sz w:val="32"/>
          <w:szCs w:val="32"/>
        </w:rPr>
      </w:pPr>
    </w:p>
    <w:p w14:paraId="4206F54F">
      <w:pPr>
        <w:snapToGrid w:val="0"/>
        <w:spacing w:line="560" w:lineRule="exact"/>
        <w:ind w:firstLine="640" w:firstLineChars="200"/>
        <w:rPr>
          <w:rFonts w:hint="eastAsia" w:eastAsia="仿宋_GB2312"/>
          <w:sz w:val="32"/>
          <w:szCs w:val="32"/>
        </w:rPr>
      </w:pPr>
    </w:p>
    <w:p w14:paraId="7931634D">
      <w:pPr>
        <w:spacing w:line="600" w:lineRule="exact"/>
        <w:ind w:firstLine="640"/>
        <w:rPr>
          <w:rFonts w:eastAsia="仿宋_GB2312" w:cs="仿宋_GB2312"/>
          <w:sz w:val="32"/>
          <w:szCs w:val="32"/>
        </w:rPr>
      </w:pPr>
    </w:p>
    <w:p w14:paraId="67B19902">
      <w:pPr>
        <w:spacing w:line="600" w:lineRule="exact"/>
        <w:ind w:firstLine="643" w:firstLineChars="200"/>
        <w:outlineLvl w:val="2"/>
        <w:rPr>
          <w:rFonts w:hint="eastAsia" w:eastAsia="楷体_GB2312" w:cs="楷体_GB2312"/>
          <w:b/>
          <w:sz w:val="32"/>
          <w:szCs w:val="32"/>
        </w:rPr>
      </w:pPr>
      <w:bookmarkStart w:id="26" w:name="_Toc15377212"/>
    </w:p>
    <w:p w14:paraId="10ECD28C">
      <w:pPr>
        <w:spacing w:line="600" w:lineRule="exact"/>
        <w:ind w:firstLine="643" w:firstLineChars="200"/>
        <w:outlineLvl w:val="2"/>
        <w:rPr>
          <w:rFonts w:hint="eastAsia" w:eastAsia="楷体_GB2312" w:cs="楷体_GB2312"/>
          <w:b/>
          <w:sz w:val="32"/>
          <w:szCs w:val="32"/>
        </w:rPr>
      </w:pPr>
    </w:p>
    <w:p w14:paraId="2933DF04">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26"/>
    </w:p>
    <w:p w14:paraId="53F299F9">
      <w:pPr>
        <w:snapToGrid w:val="0"/>
        <w:spacing w:line="520" w:lineRule="exact"/>
        <w:ind w:firstLine="640" w:firstLineChars="200"/>
        <w:rPr>
          <w:rStyle w:val="37"/>
          <w:rFonts w:hint="eastAsia" w:ascii="仿宋_GB2312" w:hAnsi="仿宋_GB2312" w:eastAsia="仿宋_GB2312"/>
          <w:color w:val="000000"/>
          <w:sz w:val="32"/>
          <w:szCs w:val="32"/>
        </w:rPr>
      </w:pPr>
      <w:r>
        <w:rPr>
          <w:rStyle w:val="37"/>
          <w:rFonts w:hint="eastAsia" w:ascii="仿宋_GB2312" w:hAnsi="仿宋_GB2312" w:eastAsia="仿宋_GB2312"/>
          <w:color w:val="000000"/>
          <w:sz w:val="32"/>
          <w:szCs w:val="32"/>
        </w:rPr>
        <w:t>2024年</w:t>
      </w:r>
      <w:r>
        <w:rPr>
          <w:rStyle w:val="37"/>
          <w:rFonts w:hint="eastAsia" w:ascii="仿宋_GB2312" w:hAnsi="仿宋_GB2312" w:eastAsia="仿宋_GB2312"/>
          <w:color w:val="000000"/>
          <w:sz w:val="32"/>
          <w:szCs w:val="32"/>
          <w:lang w:val="en-US"/>
        </w:rPr>
        <w:t>财政拨款</w:t>
      </w:r>
      <w:r>
        <w:rPr>
          <w:rStyle w:val="37"/>
          <w:rFonts w:hint="eastAsia" w:ascii="仿宋_GB2312" w:hAnsi="仿宋_GB2312" w:eastAsia="仿宋_GB2312"/>
          <w:color w:val="000000"/>
          <w:sz w:val="32"/>
          <w:szCs w:val="32"/>
        </w:rPr>
        <w:t>支出为1023.81万元。</w:t>
      </w:r>
    </w:p>
    <w:p w14:paraId="7E982232">
      <w:pPr>
        <w:snapToGrid w:val="0"/>
        <w:spacing w:line="520" w:lineRule="exact"/>
        <w:ind w:firstLine="640" w:firstLineChars="200"/>
        <w:rPr>
          <w:rStyle w:val="37"/>
          <w:rFonts w:hint="eastAsia" w:ascii="仿宋_GB2312" w:hAnsi="仿宋_GB2312" w:eastAsia="仿宋_GB2312"/>
          <w:color w:val="000000"/>
          <w:sz w:val="32"/>
          <w:szCs w:val="32"/>
        </w:rPr>
      </w:pPr>
      <w:r>
        <w:rPr>
          <w:rStyle w:val="37"/>
          <w:rFonts w:hint="eastAsia" w:ascii="仿宋_GB2312" w:hAnsi="仿宋_GB2312" w:eastAsia="仿宋_GB2312"/>
          <w:color w:val="000000"/>
          <w:sz w:val="32"/>
          <w:szCs w:val="32"/>
        </w:rPr>
        <w:t>其中:（1）社会保障和就业支出（类）行政事业单位养老支出（款）机关事业单位基本养老保险缴费支出（项）：58.48万元，占5.71%。</w:t>
      </w:r>
    </w:p>
    <w:p w14:paraId="2BC34EE7">
      <w:pPr>
        <w:snapToGrid w:val="0"/>
        <w:spacing w:line="520" w:lineRule="exact"/>
        <w:ind w:firstLine="640" w:firstLineChars="200"/>
        <w:rPr>
          <w:rStyle w:val="37"/>
          <w:rFonts w:hint="eastAsia" w:ascii="仿宋_GB2312" w:hAnsi="仿宋_GB2312" w:eastAsia="仿宋_GB2312"/>
          <w:color w:val="000000"/>
          <w:sz w:val="32"/>
          <w:szCs w:val="32"/>
        </w:rPr>
      </w:pPr>
      <w:r>
        <w:rPr>
          <w:rStyle w:val="37"/>
          <w:rFonts w:hint="eastAsia" w:ascii="仿宋_GB2312" w:hAnsi="仿宋_GB2312" w:eastAsia="仿宋_GB2312"/>
          <w:color w:val="000000"/>
          <w:sz w:val="32"/>
          <w:szCs w:val="32"/>
        </w:rPr>
        <w:t>（2）社会保障和就业支出（类）行政事业单位养老支出（款）机关事业单位职业年金缴费支出（项）：29.24万元，占2.86%。</w:t>
      </w:r>
    </w:p>
    <w:p w14:paraId="276664E0">
      <w:pPr>
        <w:snapToGrid w:val="0"/>
        <w:spacing w:line="520" w:lineRule="exact"/>
        <w:ind w:firstLine="640" w:firstLineChars="200"/>
        <w:rPr>
          <w:rStyle w:val="37"/>
          <w:rFonts w:hint="eastAsia" w:ascii="仿宋_GB2312" w:hAnsi="仿宋_GB2312" w:eastAsia="仿宋_GB2312"/>
          <w:color w:val="000000"/>
          <w:sz w:val="32"/>
          <w:szCs w:val="32"/>
        </w:rPr>
      </w:pPr>
      <w:r>
        <w:rPr>
          <w:rStyle w:val="37"/>
          <w:rFonts w:hint="eastAsia" w:ascii="仿宋_GB2312" w:hAnsi="仿宋_GB2312" w:eastAsia="仿宋_GB2312"/>
          <w:color w:val="000000"/>
          <w:sz w:val="32"/>
          <w:szCs w:val="32"/>
        </w:rPr>
        <w:t>（3）卫生健康支出（类）行政事业单位医疗（款）行政单位医疗（项）：25.59万元，占2.5%。</w:t>
      </w:r>
    </w:p>
    <w:p w14:paraId="405EB450">
      <w:pPr>
        <w:snapToGrid w:val="0"/>
        <w:spacing w:line="520" w:lineRule="exact"/>
        <w:ind w:firstLine="640" w:firstLineChars="200"/>
        <w:rPr>
          <w:rStyle w:val="37"/>
          <w:rFonts w:hint="eastAsia" w:ascii="仿宋_GB2312" w:hAnsi="仿宋_GB2312" w:eastAsia="仿宋_GB2312"/>
          <w:color w:val="000000"/>
          <w:sz w:val="32"/>
          <w:szCs w:val="32"/>
        </w:rPr>
      </w:pPr>
      <w:r>
        <w:rPr>
          <w:rStyle w:val="37"/>
          <w:rFonts w:hint="eastAsia" w:ascii="仿宋_GB2312" w:hAnsi="仿宋_GB2312" w:eastAsia="仿宋_GB2312"/>
          <w:color w:val="000000"/>
          <w:sz w:val="32"/>
          <w:szCs w:val="32"/>
        </w:rPr>
        <w:t>（4）卫生健康支出（类）行政事业单位医疗（款）公务员医疗补助（项）：6.49万元，占0.63%。</w:t>
      </w:r>
    </w:p>
    <w:p w14:paraId="0AA0E4D4">
      <w:pPr>
        <w:snapToGrid w:val="0"/>
        <w:spacing w:line="520" w:lineRule="exact"/>
        <w:ind w:firstLine="640" w:firstLineChars="200"/>
        <w:rPr>
          <w:rStyle w:val="37"/>
          <w:rFonts w:hint="eastAsia" w:ascii="仿宋_GB2312" w:hAnsi="仿宋_GB2312" w:eastAsia="仿宋_GB2312"/>
          <w:color w:val="000000"/>
          <w:sz w:val="32"/>
          <w:szCs w:val="32"/>
        </w:rPr>
      </w:pPr>
      <w:r>
        <w:rPr>
          <w:rStyle w:val="37"/>
          <w:rFonts w:hint="eastAsia" w:ascii="仿宋_GB2312" w:hAnsi="仿宋_GB2312" w:eastAsia="仿宋_GB2312"/>
          <w:color w:val="000000"/>
          <w:sz w:val="32"/>
          <w:szCs w:val="32"/>
        </w:rPr>
        <w:t>（5）公共安全支出（类）检察（款）行政运行（项）：603.12万元，占58.91%。</w:t>
      </w:r>
    </w:p>
    <w:p w14:paraId="410B7C0A">
      <w:pPr>
        <w:pStyle w:val="10"/>
        <w:ind w:firstLine="640" w:firstLineChars="200"/>
        <w:rPr>
          <w:rStyle w:val="37"/>
          <w:rFonts w:hint="eastAsia" w:ascii="仿宋_GB2312" w:hAnsi="仿宋_GB2312" w:eastAsia="仿宋_GB2312" w:cs="Times New Roman"/>
          <w:color w:val="000000"/>
          <w:sz w:val="32"/>
          <w:szCs w:val="32"/>
        </w:rPr>
      </w:pPr>
      <w:r>
        <w:rPr>
          <w:rStyle w:val="37"/>
          <w:rFonts w:hint="eastAsia" w:ascii="仿宋_GB2312" w:hAnsi="仿宋_GB2312" w:eastAsia="仿宋_GB2312" w:cs="Times New Roman"/>
          <w:color w:val="000000"/>
          <w:sz w:val="32"/>
          <w:szCs w:val="32"/>
        </w:rPr>
        <w:t>（6）公共安全支出（类）检察（款）一般行政管理事务（项）：4.43万元，占0.43%。</w:t>
      </w:r>
    </w:p>
    <w:p w14:paraId="341F2432">
      <w:pPr>
        <w:pStyle w:val="10"/>
        <w:ind w:firstLine="640" w:firstLineChars="200"/>
        <w:rPr>
          <w:rStyle w:val="37"/>
          <w:rFonts w:ascii="仿宋_GB2312" w:hAnsi="仿宋_GB2312" w:eastAsia="仿宋_GB2312" w:cs="Times New Roman"/>
          <w:color w:val="000000"/>
          <w:sz w:val="32"/>
          <w:szCs w:val="32"/>
        </w:rPr>
      </w:pPr>
      <w:r>
        <w:rPr>
          <w:rStyle w:val="37"/>
          <w:rFonts w:ascii="仿宋_GB2312" w:hAnsi="仿宋_GB2312" w:eastAsia="仿宋_GB2312" w:cs="Times New Roman"/>
          <w:color w:val="000000"/>
          <w:sz w:val="32"/>
          <w:szCs w:val="32"/>
        </w:rPr>
        <w:t>（</w:t>
      </w:r>
      <w:r>
        <w:rPr>
          <w:rStyle w:val="37"/>
          <w:rFonts w:hint="eastAsia" w:ascii="仿宋_GB2312" w:hAnsi="仿宋_GB2312" w:eastAsia="仿宋_GB2312" w:cs="Times New Roman"/>
          <w:color w:val="000000"/>
          <w:sz w:val="32"/>
          <w:szCs w:val="32"/>
        </w:rPr>
        <w:t>7</w:t>
      </w:r>
      <w:r>
        <w:rPr>
          <w:rStyle w:val="37"/>
          <w:rFonts w:ascii="仿宋_GB2312" w:hAnsi="仿宋_GB2312" w:eastAsia="仿宋_GB2312" w:cs="Times New Roman"/>
          <w:color w:val="000000"/>
          <w:sz w:val="32"/>
          <w:szCs w:val="32"/>
        </w:rPr>
        <w:t>）公共安全支出（类）检察（款）其他检察支出（项）：</w:t>
      </w:r>
      <w:r>
        <w:rPr>
          <w:rStyle w:val="37"/>
          <w:rFonts w:hint="eastAsia" w:ascii="仿宋_GB2312" w:hAnsi="仿宋_GB2312" w:eastAsia="仿宋_GB2312" w:cs="Times New Roman"/>
          <w:color w:val="000000"/>
          <w:sz w:val="32"/>
          <w:szCs w:val="32"/>
        </w:rPr>
        <w:t>253.68</w:t>
      </w:r>
      <w:r>
        <w:rPr>
          <w:rStyle w:val="37"/>
          <w:rFonts w:ascii="仿宋_GB2312" w:hAnsi="仿宋_GB2312" w:eastAsia="仿宋_GB2312" w:cs="Times New Roman"/>
          <w:color w:val="000000"/>
          <w:sz w:val="32"/>
          <w:szCs w:val="32"/>
        </w:rPr>
        <w:t>万元，占</w:t>
      </w:r>
      <w:r>
        <w:rPr>
          <w:rStyle w:val="37"/>
          <w:rFonts w:hint="eastAsia" w:ascii="仿宋_GB2312" w:hAnsi="仿宋_GB2312" w:eastAsia="仿宋_GB2312" w:cs="Times New Roman"/>
          <w:color w:val="000000"/>
          <w:sz w:val="32"/>
          <w:szCs w:val="32"/>
        </w:rPr>
        <w:t>24.78</w:t>
      </w:r>
      <w:r>
        <w:rPr>
          <w:rStyle w:val="37"/>
          <w:rFonts w:ascii="仿宋_GB2312" w:hAnsi="仿宋_GB2312" w:eastAsia="仿宋_GB2312" w:cs="Times New Roman"/>
          <w:color w:val="000000"/>
          <w:sz w:val="32"/>
          <w:szCs w:val="32"/>
        </w:rPr>
        <w:t>%。</w:t>
      </w:r>
    </w:p>
    <w:p w14:paraId="08ADBD1A">
      <w:pPr>
        <w:snapToGrid w:val="0"/>
        <w:spacing w:line="520" w:lineRule="exact"/>
        <w:ind w:firstLine="640" w:firstLineChars="200"/>
        <w:rPr>
          <w:rFonts w:eastAsia="仿宋_GB2312" w:cs="仿宋_GB2312"/>
          <w:sz w:val="32"/>
          <w:szCs w:val="32"/>
        </w:rPr>
      </w:pPr>
      <w:r>
        <w:rPr>
          <w:rStyle w:val="37"/>
          <w:rFonts w:hint="eastAsia" w:ascii="仿宋_GB2312" w:hAnsi="仿宋_GB2312" w:eastAsia="仿宋_GB2312"/>
          <w:color w:val="000000"/>
          <w:sz w:val="32"/>
          <w:szCs w:val="32"/>
        </w:rPr>
        <w:t>（8）住房保障支出（类）住房改革支出（款）住房公积金（项）：42.79万元，占4.18%。</w:t>
      </w:r>
    </w:p>
    <w:p w14:paraId="09FFB682">
      <w:pPr>
        <w:tabs>
          <w:tab w:val="right" w:pos="8306"/>
        </w:tabs>
        <w:spacing w:line="600" w:lineRule="exact"/>
        <w:ind w:firstLine="640"/>
        <w:outlineLvl w:val="1"/>
        <w:rPr>
          <w:rStyle w:val="31"/>
          <w:rFonts w:ascii="Times New Roman" w:hAnsi="Times New Roman"/>
        </w:rPr>
      </w:pPr>
      <w:bookmarkStart w:id="27" w:name="_Toc15396608"/>
      <w:bookmarkStart w:id="28" w:name="_Toc15377214"/>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27"/>
      <w:bookmarkEnd w:id="28"/>
      <w:r>
        <w:rPr>
          <w:rStyle w:val="31"/>
          <w:rFonts w:ascii="Times New Roman" w:hAnsi="Times New Roman" w:eastAsia="黑体"/>
          <w:b w:val="0"/>
        </w:rPr>
        <w:tab/>
      </w:r>
    </w:p>
    <w:p w14:paraId="7A6B2C5F">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765.71万</w:t>
      </w:r>
      <w:r>
        <w:rPr>
          <w:rFonts w:hint="eastAsia" w:eastAsia="仿宋_GB2312" w:cs="仿宋_GB2312"/>
          <w:sz w:val="32"/>
          <w:szCs w:val="32"/>
        </w:rPr>
        <w:t>元，其中：</w:t>
      </w:r>
    </w:p>
    <w:p w14:paraId="0C82ECFB">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502.02</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56.55</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元，主要包括：办公费、水费、电费、邮电费、取暖费、差旅费、维修（护）费、租赁费</w:t>
      </w:r>
      <w:r>
        <w:rPr>
          <w:rFonts w:hint="eastAsia" w:eastAsia="仿宋_GB2312" w:cs="仿宋_GB2312"/>
          <w:sz w:val="32"/>
          <w:szCs w:val="32"/>
          <w:lang w:eastAsia="zh-CN"/>
        </w:rPr>
        <w:t>、</w:t>
      </w:r>
      <w:r>
        <w:rPr>
          <w:rFonts w:hint="eastAsia" w:eastAsia="仿宋_GB2312" w:cs="仿宋_GB2312"/>
          <w:sz w:val="32"/>
          <w:szCs w:val="32"/>
        </w:rPr>
        <w:t>培训费、公务接待费、劳务费、委托业务费、工会经费、福利费、公务用车运行维护费、其他交通费、税金及附加费用、其他商品和服务支出</w:t>
      </w:r>
      <w:r>
        <w:rPr>
          <w:rFonts w:hint="eastAsia" w:eastAsia="仿宋_GB2312" w:cs="仿宋_GB2312"/>
          <w:sz w:val="32"/>
          <w:szCs w:val="32"/>
          <w:lang w:eastAsia="zh-CN"/>
        </w:rPr>
        <w:t>。</w:t>
      </w:r>
    </w:p>
    <w:p w14:paraId="475093D4">
      <w:pPr>
        <w:spacing w:line="600" w:lineRule="exact"/>
        <w:ind w:firstLine="640"/>
        <w:outlineLvl w:val="1"/>
        <w:rPr>
          <w:rStyle w:val="31"/>
          <w:rFonts w:ascii="Times New Roman" w:hAnsi="Times New Roman" w:eastAsia="黑体"/>
          <w:b w:val="0"/>
        </w:rPr>
      </w:pPr>
      <w:bookmarkStart w:id="29" w:name="_Toc15377215"/>
      <w:bookmarkStart w:id="30" w:name="_Toc15396609"/>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29"/>
      <w:bookmarkEnd w:id="30"/>
    </w:p>
    <w:p w14:paraId="55E32413">
      <w:pPr>
        <w:spacing w:line="600" w:lineRule="exact"/>
        <w:ind w:firstLine="643" w:firstLineChars="200"/>
        <w:outlineLvl w:val="2"/>
        <w:rPr>
          <w:rFonts w:eastAsia="楷体_GB2312" w:cs="楷体_GB2312"/>
          <w:b/>
          <w:sz w:val="32"/>
          <w:szCs w:val="32"/>
        </w:rPr>
      </w:pPr>
      <w:bookmarkStart w:id="31" w:name="_Toc15377216"/>
      <w:r>
        <w:rPr>
          <w:rFonts w:hint="eastAsia" w:eastAsia="楷体_GB2312" w:cs="楷体_GB2312"/>
          <w:b/>
          <w:sz w:val="32"/>
          <w:szCs w:val="32"/>
        </w:rPr>
        <w:t>（一）“三公”经费财政拨款支出决算总体情况说明</w:t>
      </w:r>
      <w:bookmarkEnd w:id="31"/>
    </w:p>
    <w:p w14:paraId="262D246B">
      <w:pPr>
        <w:spacing w:line="600" w:lineRule="exact"/>
        <w:ind w:firstLine="640"/>
        <w:rPr>
          <w:rFonts w:ascii="仿宋" w:hAnsi="仿宋" w:eastAsia="仿宋"/>
          <w:sz w:val="32"/>
          <w:szCs w:val="32"/>
        </w:rPr>
      </w:pPr>
      <w:bookmarkStart w:id="32" w:name="_Toc15377217"/>
      <w:r>
        <w:rPr>
          <w:rStyle w:val="37"/>
          <w:rFonts w:hint="eastAsia" w:ascii="仿宋_GB2312" w:hAnsi="仿宋_GB2312" w:eastAsia="仿宋_GB2312"/>
          <w:color w:val="000000"/>
          <w:sz w:val="32"/>
          <w:szCs w:val="32"/>
        </w:rPr>
        <w:t>2024年“三公”经费支出情况：2024年支出合14.37万元，其中：因公出国（境）费0万元；公务用车购置及运行维护费1</w:t>
      </w:r>
      <w:r>
        <w:rPr>
          <w:rStyle w:val="37"/>
          <w:rFonts w:hint="eastAsia" w:ascii="仿宋_GB2312" w:hAnsi="仿宋_GB2312" w:eastAsia="仿宋_GB2312"/>
          <w:color w:val="000000"/>
          <w:sz w:val="32"/>
          <w:szCs w:val="32"/>
          <w:lang w:val="en-US"/>
        </w:rPr>
        <w:t>3</w:t>
      </w:r>
      <w:r>
        <w:rPr>
          <w:rStyle w:val="37"/>
          <w:rFonts w:hint="eastAsia" w:ascii="仿宋_GB2312" w:hAnsi="仿宋_GB2312" w:eastAsia="仿宋_GB2312"/>
          <w:color w:val="000000"/>
          <w:sz w:val="32"/>
          <w:szCs w:val="32"/>
        </w:rPr>
        <w:t>.5万元；公务接待费0.87万元；比上年度减少0.04万元，原因是我单位厉行节约。</w:t>
      </w:r>
    </w:p>
    <w:p w14:paraId="181B4920">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（二）“三公”经费财政拨款支出决算具体情况说明</w:t>
      </w:r>
      <w:bookmarkEnd w:id="32"/>
    </w:p>
    <w:p w14:paraId="3582B8E9">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万元；公务用车购置及运行维护费支出决算</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%。具体情况如下：</w:t>
      </w:r>
    </w:p>
    <w:p w14:paraId="13095D98">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p>
    <w:p w14:paraId="02872B96">
      <w:pPr>
        <w:spacing w:line="600" w:lineRule="exact"/>
        <w:ind w:firstLine="640"/>
        <w:rPr>
          <w:rFonts w:hint="eastAsia" w:eastAsia="仿宋_GB2312" w:cs="仿宋_GB2312"/>
          <w:b/>
          <w:bCs/>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13.5</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p>
    <w:p w14:paraId="1ECD7BDF">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13.50</w:t>
      </w:r>
      <w:r>
        <w:rPr>
          <w:rFonts w:hint="eastAsia" w:eastAsia="仿宋_GB2312" w:cs="仿宋_GB2312"/>
          <w:sz w:val="32"/>
          <w:szCs w:val="32"/>
        </w:rPr>
        <w:t>万元。主要用于</w:t>
      </w:r>
      <w:r>
        <w:rPr>
          <w:rFonts w:hint="eastAsia" w:eastAsia="仿宋_GB2312" w:cs="仿宋_GB2312"/>
          <w:sz w:val="32"/>
          <w:szCs w:val="32"/>
          <w:lang w:val="en-US" w:eastAsia="zh-CN"/>
        </w:rPr>
        <w:t>检察办案、机关运行、下乡驻村等</w:t>
      </w:r>
      <w:r>
        <w:rPr>
          <w:rFonts w:hint="eastAsia" w:eastAsia="仿宋_GB2312" w:cs="仿宋_GB2312"/>
          <w:sz w:val="32"/>
          <w:szCs w:val="32"/>
        </w:rPr>
        <w:t>所需的公务用车燃料费、维修费、过路过桥费、保险费等支出。</w:t>
      </w:r>
    </w:p>
    <w:p w14:paraId="0DF7D7CC">
      <w:pPr>
        <w:spacing w:line="600" w:lineRule="exact"/>
        <w:ind w:firstLine="640"/>
        <w:rPr>
          <w:rFonts w:eastAsia="仿宋_GB2312" w:cs="仿宋_GB2312"/>
          <w:sz w:val="32"/>
          <w:szCs w:val="32"/>
        </w:rPr>
      </w:pPr>
      <w:r>
        <w:rPr>
          <w:rFonts w:hint="eastAsia" w:eastAsia="仿宋_GB2312" w:cs="仿宋_GB2312"/>
          <w:b/>
          <w:bCs/>
          <w:sz w:val="32"/>
          <w:szCs w:val="32"/>
        </w:rPr>
        <w:t>公务接待费支出</w:t>
      </w:r>
      <w:r>
        <w:rPr>
          <w:rFonts w:hint="eastAsia" w:ascii="仿宋_GB2312" w:hAnsi="仿宋_GB2312" w:eastAsia="仿宋_GB2312" w:cs="仿宋_GB2312"/>
          <w:b/>
          <w:bCs/>
          <w:sz w:val="32"/>
          <w:szCs w:val="32"/>
          <w:lang w:val="en-US" w:eastAsia="zh-CN"/>
        </w:rPr>
        <w:t>0.87</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0.87</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hint="eastAsia" w:eastAsia="仿宋_GB2312" w:cs="仿宋_GB2312"/>
          <w:sz w:val="32"/>
          <w:szCs w:val="32"/>
          <w:lang w:val="en-US" w:eastAsia="zh-CN"/>
        </w:rPr>
        <w:t>上级检察院、其他县市检察院来我县</w:t>
      </w:r>
      <w:r>
        <w:rPr>
          <w:rFonts w:hint="eastAsia" w:eastAsia="仿宋_GB2312" w:cs="仿宋_GB2312"/>
          <w:sz w:val="32"/>
          <w:szCs w:val="32"/>
        </w:rPr>
        <w:t>执行公务、开展业务活动开支的用餐费等。</w:t>
      </w:r>
      <w:bookmarkStart w:id="33" w:name="_Toc15377218"/>
      <w:bookmarkStart w:id="34" w:name="_Toc15396610"/>
    </w:p>
    <w:p w14:paraId="47228CBE">
      <w:pPr>
        <w:spacing w:line="600" w:lineRule="exact"/>
        <w:ind w:firstLine="640"/>
        <w:outlineLvl w:val="1"/>
        <w:rPr>
          <w:rStyle w:val="31"/>
          <w:rFonts w:ascii="Times New Roman" w:hAnsi="Times New Roman" w:eastAsia="黑体"/>
        </w:rPr>
      </w:pPr>
      <w:r>
        <w:rPr>
          <w:rFonts w:hint="eastAsia" w:eastAsia="黑体"/>
          <w:sz w:val="32"/>
          <w:szCs w:val="32"/>
        </w:rPr>
        <w:t>八、</w:t>
      </w:r>
      <w:r>
        <w:rPr>
          <w:rStyle w:val="31"/>
          <w:rFonts w:hint="eastAsia" w:ascii="Times New Roman" w:hAnsi="Times New Roman" w:eastAsia="黑体"/>
          <w:b w:val="0"/>
        </w:rPr>
        <w:t>政府性基金预算支出决算情况说明</w:t>
      </w:r>
      <w:bookmarkEnd w:id="33"/>
      <w:bookmarkEnd w:id="34"/>
    </w:p>
    <w:p w14:paraId="469BDC26">
      <w:pPr>
        <w:spacing w:line="600" w:lineRule="exact"/>
        <w:ind w:firstLine="640"/>
        <w:rPr>
          <w:rFonts w:hint="eastAsia" w:eastAsia="仿宋_GB2312" w:cs="仿宋_GB2312"/>
          <w:sz w:val="32"/>
          <w:szCs w:val="32"/>
          <w:lang w:eastAsia="zh-CN"/>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4A9A739A">
      <w:pPr>
        <w:spacing w:line="600" w:lineRule="exact"/>
        <w:ind w:left="630"/>
        <w:outlineLvl w:val="1"/>
        <w:rPr>
          <w:rStyle w:val="31"/>
          <w:rFonts w:ascii="Times New Roman" w:hAnsi="Times New Roman" w:eastAsia="黑体"/>
          <w:b w:val="0"/>
        </w:rPr>
      </w:pPr>
      <w:bookmarkStart w:id="35" w:name="_Toc15377219"/>
      <w:bookmarkStart w:id="36" w:name="_Toc15396611"/>
      <w:r>
        <w:rPr>
          <w:rStyle w:val="31"/>
          <w:rFonts w:hint="eastAsia" w:ascii="Times New Roman" w:hAnsi="Times New Roman" w:eastAsia="黑体"/>
          <w:b w:val="0"/>
        </w:rPr>
        <w:t>九、国有资本经营预算支出决算情况说明</w:t>
      </w:r>
      <w:bookmarkEnd w:id="35"/>
      <w:bookmarkEnd w:id="36"/>
    </w:p>
    <w:p w14:paraId="7AE95F82">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CA2FA4F">
      <w:pPr>
        <w:spacing w:line="600" w:lineRule="exact"/>
        <w:ind w:left="630"/>
        <w:outlineLvl w:val="1"/>
        <w:rPr>
          <w:rStyle w:val="31"/>
          <w:rFonts w:ascii="Times New Roman" w:hAnsi="Times New Roman" w:eastAsia="黑体"/>
          <w:b w:val="0"/>
        </w:rPr>
      </w:pPr>
      <w:bookmarkStart w:id="37" w:name="_Toc15396612"/>
      <w:bookmarkStart w:id="38" w:name="_Toc15377221"/>
      <w:r>
        <w:rPr>
          <w:rStyle w:val="31"/>
          <w:rFonts w:hint="eastAsia" w:ascii="Times New Roman" w:hAnsi="Times New Roman" w:eastAsia="黑体"/>
          <w:b w:val="0"/>
        </w:rPr>
        <w:t>十、其他重要事项的情况说明</w:t>
      </w:r>
      <w:bookmarkEnd w:id="37"/>
      <w:bookmarkEnd w:id="38"/>
    </w:p>
    <w:p w14:paraId="2635AD73">
      <w:pPr>
        <w:spacing w:line="600" w:lineRule="exact"/>
        <w:ind w:firstLine="643" w:firstLineChars="200"/>
        <w:outlineLvl w:val="2"/>
        <w:rPr>
          <w:rFonts w:eastAsia="楷体_GB2312" w:cs="楷体_GB2312"/>
          <w:b/>
          <w:sz w:val="32"/>
          <w:szCs w:val="32"/>
        </w:rPr>
      </w:pPr>
      <w:bookmarkStart w:id="39" w:name="_Toc15377222"/>
      <w:r>
        <w:rPr>
          <w:rFonts w:hint="eastAsia" w:eastAsia="楷体_GB2312" w:cs="楷体_GB2312"/>
          <w:b/>
          <w:sz w:val="32"/>
          <w:szCs w:val="32"/>
        </w:rPr>
        <w:t>（一）机关运行经费支出情况</w:t>
      </w:r>
      <w:bookmarkEnd w:id="39"/>
    </w:p>
    <w:p w14:paraId="7B010C1B">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壤塘县人民检察院</w:t>
      </w:r>
      <w:r>
        <w:rPr>
          <w:rFonts w:hint="eastAsia" w:ascii="仿宋_GB2312" w:hAnsi="仿宋_GB2312" w:eastAsia="仿宋_GB2312" w:cs="仿宋_GB2312"/>
          <w:sz w:val="32"/>
          <w:szCs w:val="32"/>
        </w:rPr>
        <w:t>运行经费支出</w:t>
      </w:r>
      <w:r>
        <w:rPr>
          <w:rFonts w:hint="eastAsia" w:ascii="仿宋_GB2312" w:hAnsi="仿宋_GB2312" w:eastAsia="仿宋_GB2312" w:cs="仿宋_GB2312"/>
          <w:sz w:val="32"/>
          <w:szCs w:val="32"/>
          <w:lang w:val="en-US" w:eastAsia="zh-CN"/>
        </w:rPr>
        <w:t>56.55</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eastAsia="仿宋_GB2312" w:cs="仿宋_GB2312"/>
          <w:sz w:val="32"/>
          <w:szCs w:val="32"/>
          <w:lang w:eastAsia="zh-CN"/>
        </w:rPr>
        <w:t>。</w:t>
      </w:r>
    </w:p>
    <w:p w14:paraId="55FA91AE">
      <w:pPr>
        <w:spacing w:line="600" w:lineRule="exact"/>
        <w:ind w:firstLine="643" w:firstLineChars="200"/>
        <w:outlineLvl w:val="2"/>
        <w:rPr>
          <w:rFonts w:eastAsia="楷体_GB2312" w:cs="楷体_GB2312"/>
          <w:b/>
          <w:color w:val="auto"/>
          <w:sz w:val="32"/>
          <w:szCs w:val="32"/>
        </w:rPr>
      </w:pPr>
      <w:bookmarkStart w:id="40" w:name="_Toc15377223"/>
      <w:r>
        <w:rPr>
          <w:rFonts w:hint="eastAsia" w:eastAsia="楷体_GB2312" w:cs="楷体_GB2312"/>
          <w:b/>
          <w:color w:val="auto"/>
          <w:sz w:val="32"/>
          <w:szCs w:val="32"/>
        </w:rPr>
        <w:t>（二）政府采购支出情况</w:t>
      </w:r>
      <w:bookmarkEnd w:id="40"/>
    </w:p>
    <w:p w14:paraId="64232170">
      <w:pPr>
        <w:spacing w:line="600" w:lineRule="exact"/>
        <w:ind w:firstLine="640"/>
        <w:rPr>
          <w:rFonts w:hint="eastAsia" w:eastAsia="仿宋_GB2312" w:cs="仿宋_GB2312"/>
          <w:color w:val="auto"/>
          <w:sz w:val="32"/>
          <w:szCs w:val="32"/>
          <w:lang w:eastAsia="zh-CN"/>
        </w:rPr>
      </w:pPr>
      <w:r>
        <w:rPr>
          <w:rFonts w:hint="eastAsia" w:ascii="仿宋_GB2312" w:hAnsi="仿宋_GB2312" w:eastAsia="仿宋_GB2312" w:cs="仿宋_GB2312"/>
          <w:color w:val="auto"/>
          <w:sz w:val="32"/>
          <w:szCs w:val="32"/>
        </w:rPr>
        <w:t>2024年度，</w:t>
      </w:r>
      <w:r>
        <w:rPr>
          <w:rFonts w:hint="eastAsia" w:ascii="仿宋_GB2312" w:hAnsi="仿宋_GB2312" w:eastAsia="仿宋_GB2312" w:cs="仿宋_GB2312"/>
          <w:color w:val="auto"/>
          <w:sz w:val="32"/>
          <w:szCs w:val="32"/>
          <w:lang w:eastAsia="zh-CN"/>
        </w:rPr>
        <w:t>壤塘县人民检察院</w:t>
      </w:r>
      <w:r>
        <w:rPr>
          <w:rFonts w:hint="eastAsia" w:ascii="仿宋_GB2312" w:hAnsi="仿宋_GB2312" w:eastAsia="仿宋_GB2312" w:cs="仿宋_GB2312"/>
          <w:color w:val="auto"/>
          <w:sz w:val="32"/>
          <w:szCs w:val="32"/>
        </w:rPr>
        <w:t>政府采购支出总额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5302635">
      <w:pPr>
        <w:spacing w:line="600" w:lineRule="exact"/>
        <w:ind w:firstLine="643" w:firstLineChars="200"/>
        <w:outlineLvl w:val="2"/>
        <w:rPr>
          <w:rFonts w:eastAsia="楷体_GB2312" w:cs="楷体_GB2312"/>
          <w:b/>
          <w:color w:val="auto"/>
          <w:sz w:val="32"/>
          <w:szCs w:val="32"/>
        </w:rPr>
      </w:pPr>
      <w:bookmarkStart w:id="41" w:name="_Toc15377224"/>
      <w:r>
        <w:rPr>
          <w:rFonts w:hint="eastAsia" w:eastAsia="楷体_GB2312" w:cs="楷体_GB2312"/>
          <w:b/>
          <w:color w:val="auto"/>
          <w:sz w:val="32"/>
          <w:szCs w:val="32"/>
        </w:rPr>
        <w:t>（三）国有资产占有使用情况</w:t>
      </w:r>
      <w:bookmarkEnd w:id="41"/>
    </w:p>
    <w:p w14:paraId="1C776524">
      <w:pPr>
        <w:spacing w:line="600" w:lineRule="exact"/>
        <w:ind w:firstLine="640"/>
        <w:rPr>
          <w:rFonts w:eastAsia="仿宋_GB2312" w:cs="仿宋_GB2312"/>
          <w:sz w:val="32"/>
          <w:szCs w:val="32"/>
        </w:rPr>
      </w:pPr>
      <w:r>
        <w:rPr>
          <w:rFonts w:hint="eastAsia" w:ascii="仿宋_GB2312" w:hAnsi="仿宋_GB2312" w:eastAsia="仿宋_GB2312" w:cs="仿宋_GB2312"/>
          <w:color w:val="auto"/>
          <w:sz w:val="32"/>
          <w:szCs w:val="32"/>
        </w:rPr>
        <w:t>截至2024年12月31日，壤塘县人民检察院共有车辆6辆，其中：执法执勤用车5辆，其他用车1辆，其他用车为电瓶通勤车。单价100万元（含）以上设备（不含车辆）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r>
        <w:rPr>
          <w:rFonts w:hint="eastAsia" w:eastAsia="仿宋_GB2312" w:cs="仿宋_GB2312"/>
          <w:color w:val="auto"/>
          <w:sz w:val="32"/>
          <w:szCs w:val="32"/>
        </w:rPr>
        <w:t>。</w:t>
      </w:r>
    </w:p>
    <w:p w14:paraId="43666F02">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02A06120">
      <w:pPr>
        <w:snapToGrid w:val="0"/>
        <w:spacing w:line="520" w:lineRule="exact"/>
        <w:ind w:firstLine="640" w:firstLineChars="200"/>
        <w:rPr>
          <w:rFonts w:hint="eastAsia" w:ascii="仿宋_GB2312" w:hAnsi="仿宋" w:eastAsia="仿宋_GB2312"/>
          <w:sz w:val="32"/>
          <w:szCs w:val="32"/>
        </w:rPr>
      </w:pPr>
      <w:r>
        <w:rPr>
          <w:rStyle w:val="37"/>
          <w:rFonts w:hint="eastAsia" w:ascii="仿宋_GB2312" w:hAnsi="仿宋_GB2312" w:eastAsia="仿宋_GB2312"/>
          <w:color w:val="000000"/>
          <w:sz w:val="32"/>
          <w:szCs w:val="32"/>
        </w:rPr>
        <w:t>我单位2024年项目用于非基建项目，已按照要求完成项目工作并进行资金拨付。本单位无专项预算项目，因此未单位开展项目支出绩效评价</w:t>
      </w:r>
      <w:r>
        <w:rPr>
          <w:rFonts w:hint="eastAsia" w:ascii="仿宋_GB2312" w:hAnsi="仿宋_GB2312" w:eastAsia="仿宋_GB2312" w:cs="仿宋_GB2312"/>
          <w:sz w:val="32"/>
          <w:szCs w:val="32"/>
        </w:rPr>
        <w:t>。</w:t>
      </w:r>
    </w:p>
    <w:p w14:paraId="698B69C6">
      <w:pPr>
        <w:spacing w:line="600" w:lineRule="exact"/>
        <w:ind w:firstLine="640"/>
        <w:rPr>
          <w:rFonts w:eastAsia="仿宋_GB2312" w:cs="仿宋_GB2312"/>
          <w:sz w:val="32"/>
          <w:szCs w:val="32"/>
        </w:rPr>
      </w:pPr>
    </w:p>
    <w:p w14:paraId="6F45BA35">
      <w:pPr>
        <w:spacing w:line="600" w:lineRule="exact"/>
        <w:jc w:val="center"/>
        <w:outlineLvl w:val="0"/>
        <w:rPr>
          <w:rFonts w:eastAsia="黑体"/>
          <w:sz w:val="44"/>
          <w:szCs w:val="44"/>
        </w:rPr>
      </w:pPr>
      <w:bookmarkStart w:id="42" w:name="_Toc15396613"/>
      <w:bookmarkStart w:id="43" w:name="_Toc15377225"/>
      <w:r>
        <w:rPr>
          <w:rFonts w:hint="eastAsia" w:eastAsia="黑体"/>
          <w:sz w:val="44"/>
          <w:szCs w:val="44"/>
        </w:rPr>
        <w:t>第三部分  名词解释</w:t>
      </w:r>
      <w:bookmarkEnd w:id="42"/>
      <w:bookmarkEnd w:id="43"/>
    </w:p>
    <w:p w14:paraId="46850336">
      <w:pPr>
        <w:spacing w:line="600" w:lineRule="exact"/>
        <w:jc w:val="left"/>
        <w:rPr>
          <w:b/>
          <w:sz w:val="44"/>
          <w:szCs w:val="44"/>
        </w:rPr>
      </w:pPr>
    </w:p>
    <w:p w14:paraId="4BAF05B5">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5BA59A87">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2.事业收入：指事业单位开展专业业务活动及辅助活动取得的收入。如……（二级预算单位事业收入情况）等。</w:t>
      </w:r>
    </w:p>
    <w:p w14:paraId="69D37402">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3.经营收入：指事业单位在专业业务活动及其辅助活动之外开展非独立核算经营活动取得的收入。如……（二级预算单位经营收入情况）等。</w:t>
      </w:r>
    </w:p>
    <w:p w14:paraId="7DA482AC">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4.其他收入：指单位取得的除上述收入以外的各项收入。主要是……（收入类型）等。 </w:t>
      </w:r>
    </w:p>
    <w:p w14:paraId="2A3583FC">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2139D660">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6FB1F36A">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666A8C02">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210C4E6F">
      <w:pPr>
        <w:spacing w:line="600" w:lineRule="exact"/>
        <w:ind w:firstLine="640"/>
        <w:rPr>
          <w:rFonts w:eastAsia="仿宋_GB2312" w:cs="仿宋_GB2312"/>
          <w:sz w:val="32"/>
          <w:szCs w:val="32"/>
        </w:rPr>
      </w:pPr>
      <w:r>
        <w:rPr>
          <w:rFonts w:hint="eastAsia" w:eastAsia="仿宋_GB2312" w:cs="仿宋_GB2312"/>
          <w:sz w:val="32"/>
          <w:szCs w:val="32"/>
        </w:rPr>
        <w:t>9.一般公共服务（类）……（款）……（项）：指……</w:t>
      </w:r>
    </w:p>
    <w:p w14:paraId="54A0CC6A">
      <w:pPr>
        <w:spacing w:line="600" w:lineRule="exact"/>
        <w:ind w:firstLine="640"/>
        <w:rPr>
          <w:rFonts w:eastAsia="仿宋_GB2312" w:cs="仿宋_GB2312"/>
          <w:sz w:val="32"/>
          <w:szCs w:val="32"/>
        </w:rPr>
      </w:pPr>
      <w:r>
        <w:rPr>
          <w:rFonts w:hint="eastAsia" w:eastAsia="仿宋_GB2312" w:cs="仿宋_GB2312"/>
          <w:sz w:val="32"/>
          <w:szCs w:val="32"/>
        </w:rPr>
        <w:t>10.外交（类）……（款）……（项）：指……</w:t>
      </w:r>
    </w:p>
    <w:p w14:paraId="591FD200">
      <w:pPr>
        <w:spacing w:line="600" w:lineRule="exact"/>
        <w:ind w:firstLine="640"/>
        <w:rPr>
          <w:rFonts w:eastAsia="仿宋_GB2312" w:cs="仿宋_GB2312"/>
          <w:sz w:val="32"/>
          <w:szCs w:val="32"/>
        </w:rPr>
      </w:pPr>
      <w:r>
        <w:rPr>
          <w:rFonts w:hint="eastAsia" w:eastAsia="仿宋_GB2312" w:cs="仿宋_GB2312"/>
          <w:sz w:val="32"/>
          <w:szCs w:val="32"/>
        </w:rPr>
        <w:t>11.公共安全（类）……（款）……（项）：指……</w:t>
      </w:r>
    </w:p>
    <w:p w14:paraId="1295AD63">
      <w:pPr>
        <w:spacing w:line="600" w:lineRule="exact"/>
        <w:ind w:firstLine="640"/>
        <w:rPr>
          <w:rFonts w:eastAsia="仿宋_GB2312" w:cs="仿宋_GB2312"/>
          <w:sz w:val="32"/>
          <w:szCs w:val="32"/>
        </w:rPr>
      </w:pPr>
      <w:r>
        <w:rPr>
          <w:rFonts w:hint="eastAsia" w:eastAsia="仿宋_GB2312" w:cs="仿宋_GB2312"/>
          <w:sz w:val="32"/>
          <w:szCs w:val="32"/>
        </w:rPr>
        <w:t>12.教育（类）……（款）……（项）：指……</w:t>
      </w:r>
    </w:p>
    <w:p w14:paraId="087B26BC">
      <w:pPr>
        <w:spacing w:line="600" w:lineRule="exact"/>
        <w:ind w:firstLine="640"/>
        <w:rPr>
          <w:rFonts w:eastAsia="仿宋_GB2312" w:cs="仿宋_GB2312"/>
          <w:sz w:val="32"/>
          <w:szCs w:val="32"/>
        </w:rPr>
      </w:pPr>
      <w:r>
        <w:rPr>
          <w:rFonts w:hint="eastAsia" w:eastAsia="仿宋_GB2312" w:cs="仿宋_GB2312"/>
          <w:sz w:val="32"/>
          <w:szCs w:val="32"/>
        </w:rPr>
        <w:t>13.科学技术（类）……（款）……（项）：指……</w:t>
      </w:r>
    </w:p>
    <w:p w14:paraId="197CDA4A">
      <w:pPr>
        <w:spacing w:line="600" w:lineRule="exact"/>
        <w:ind w:firstLine="640"/>
        <w:rPr>
          <w:rFonts w:eastAsia="仿宋_GB2312" w:cs="仿宋_GB2312"/>
          <w:sz w:val="32"/>
          <w:szCs w:val="32"/>
        </w:rPr>
      </w:pPr>
      <w:r>
        <w:rPr>
          <w:rFonts w:hint="eastAsia" w:eastAsia="仿宋_GB2312" w:cs="仿宋_GB2312"/>
          <w:sz w:val="32"/>
          <w:szCs w:val="32"/>
        </w:rPr>
        <w:t>14.文化旅游体育与传媒（类）……（款）……（项）：指……</w:t>
      </w:r>
    </w:p>
    <w:p w14:paraId="4AF5DA27">
      <w:pPr>
        <w:spacing w:line="600" w:lineRule="exact"/>
        <w:ind w:firstLine="640"/>
        <w:rPr>
          <w:rFonts w:eastAsia="仿宋_GB2312" w:cs="仿宋_GB2312"/>
          <w:sz w:val="32"/>
          <w:szCs w:val="32"/>
        </w:rPr>
      </w:pPr>
      <w:r>
        <w:rPr>
          <w:rFonts w:hint="eastAsia" w:eastAsia="仿宋_GB2312" w:cs="仿宋_GB2312"/>
          <w:sz w:val="32"/>
          <w:szCs w:val="32"/>
        </w:rPr>
        <w:t>15.社会保障和就业（类）……（款）……（项）：指……</w:t>
      </w:r>
    </w:p>
    <w:p w14:paraId="447D47F5">
      <w:pPr>
        <w:spacing w:line="600" w:lineRule="exact"/>
        <w:ind w:firstLine="640"/>
        <w:rPr>
          <w:rFonts w:eastAsia="仿宋_GB2312" w:cs="仿宋_GB2312"/>
          <w:sz w:val="32"/>
          <w:szCs w:val="32"/>
        </w:rPr>
      </w:pPr>
      <w:r>
        <w:rPr>
          <w:rFonts w:hint="eastAsia" w:eastAsia="仿宋_GB2312" w:cs="仿宋_GB2312"/>
          <w:sz w:val="32"/>
          <w:szCs w:val="32"/>
        </w:rPr>
        <w:t>16.卫生健康（类）……（款）……（项）：指……</w:t>
      </w:r>
    </w:p>
    <w:p w14:paraId="712789A8">
      <w:pPr>
        <w:spacing w:line="600" w:lineRule="exact"/>
        <w:ind w:firstLine="640"/>
        <w:rPr>
          <w:rFonts w:eastAsia="仿宋_GB2312" w:cs="仿宋_GB2312"/>
          <w:sz w:val="32"/>
          <w:szCs w:val="32"/>
        </w:rPr>
      </w:pPr>
      <w:r>
        <w:rPr>
          <w:rFonts w:hint="eastAsia" w:eastAsia="仿宋_GB2312" w:cs="仿宋_GB2312"/>
          <w:sz w:val="32"/>
          <w:szCs w:val="32"/>
        </w:rPr>
        <w:t>17.节能环保（类）……（款）……（项）：指……</w:t>
      </w:r>
    </w:p>
    <w:p w14:paraId="2284B5EB">
      <w:pPr>
        <w:spacing w:line="600" w:lineRule="exact"/>
        <w:ind w:firstLine="640"/>
        <w:rPr>
          <w:rFonts w:eastAsia="仿宋_GB2312" w:cs="仿宋_GB2312"/>
          <w:sz w:val="32"/>
          <w:szCs w:val="32"/>
        </w:rPr>
      </w:pPr>
      <w:r>
        <w:rPr>
          <w:rFonts w:hint="eastAsia" w:eastAsia="仿宋_GB2312" w:cs="仿宋_GB2312"/>
          <w:sz w:val="32"/>
          <w:szCs w:val="32"/>
        </w:rPr>
        <w:t>18.城乡社区（类）……（款）……（项）：指……</w:t>
      </w:r>
    </w:p>
    <w:p w14:paraId="64B602C7">
      <w:pPr>
        <w:spacing w:line="600" w:lineRule="exact"/>
        <w:ind w:firstLine="640"/>
        <w:rPr>
          <w:rFonts w:eastAsia="仿宋_GB2312" w:cs="仿宋_GB2312"/>
          <w:sz w:val="32"/>
          <w:szCs w:val="32"/>
        </w:rPr>
      </w:pPr>
      <w:r>
        <w:rPr>
          <w:rFonts w:hint="eastAsia" w:eastAsia="仿宋_GB2312" w:cs="仿宋_GB2312"/>
          <w:sz w:val="32"/>
          <w:szCs w:val="32"/>
        </w:rPr>
        <w:t>19.农林水（类）……（款）……（项）：指……</w:t>
      </w:r>
    </w:p>
    <w:p w14:paraId="62AF4817">
      <w:pPr>
        <w:spacing w:line="600" w:lineRule="exact"/>
        <w:ind w:firstLine="640"/>
        <w:rPr>
          <w:rFonts w:eastAsia="仿宋_GB2312" w:cs="仿宋_GB2312"/>
          <w:sz w:val="32"/>
          <w:szCs w:val="32"/>
        </w:rPr>
      </w:pPr>
      <w:r>
        <w:rPr>
          <w:rFonts w:hint="eastAsia" w:eastAsia="仿宋_GB2312" w:cs="仿宋_GB2312"/>
          <w:sz w:val="32"/>
          <w:szCs w:val="32"/>
        </w:rPr>
        <w:t>20.交通运输（类）……（款）……（项）：指……</w:t>
      </w:r>
    </w:p>
    <w:p w14:paraId="1FFEE5FA">
      <w:pPr>
        <w:spacing w:line="600" w:lineRule="exact"/>
        <w:ind w:firstLine="640"/>
        <w:rPr>
          <w:rFonts w:eastAsia="仿宋_GB2312" w:cs="仿宋_GB2312"/>
          <w:sz w:val="32"/>
          <w:szCs w:val="32"/>
        </w:rPr>
      </w:pPr>
      <w:r>
        <w:rPr>
          <w:rFonts w:hint="eastAsia" w:eastAsia="仿宋_GB2312" w:cs="仿宋_GB2312"/>
          <w:sz w:val="32"/>
          <w:szCs w:val="32"/>
        </w:rPr>
        <w:t>21.资源勘探工业信息等（类）……（款）……（项）：指……</w:t>
      </w:r>
    </w:p>
    <w:p w14:paraId="077524A9">
      <w:pPr>
        <w:spacing w:line="600" w:lineRule="exact"/>
        <w:ind w:firstLine="640"/>
        <w:rPr>
          <w:rFonts w:eastAsia="仿宋_GB2312" w:cs="仿宋_GB2312"/>
          <w:sz w:val="32"/>
          <w:szCs w:val="32"/>
        </w:rPr>
      </w:pPr>
      <w:r>
        <w:rPr>
          <w:rFonts w:hint="eastAsia" w:eastAsia="仿宋_GB2312" w:cs="仿宋_GB2312"/>
          <w:sz w:val="32"/>
          <w:szCs w:val="32"/>
        </w:rPr>
        <w:t>22.商业服务业（类）……（款）……（项）：指……</w:t>
      </w:r>
    </w:p>
    <w:p w14:paraId="6619D2C7">
      <w:pPr>
        <w:spacing w:line="600" w:lineRule="exact"/>
        <w:ind w:firstLine="640"/>
        <w:rPr>
          <w:rFonts w:eastAsia="仿宋_GB2312" w:cs="仿宋_GB2312"/>
          <w:sz w:val="32"/>
          <w:szCs w:val="32"/>
        </w:rPr>
      </w:pPr>
      <w:r>
        <w:rPr>
          <w:rFonts w:hint="eastAsia" w:eastAsia="仿宋_GB2312" w:cs="仿宋_GB2312"/>
          <w:sz w:val="32"/>
          <w:szCs w:val="32"/>
        </w:rPr>
        <w:t>23.金融（类）……（款）……（项）：指……</w:t>
      </w:r>
    </w:p>
    <w:p w14:paraId="15D542AC">
      <w:pPr>
        <w:spacing w:line="600" w:lineRule="exact"/>
        <w:ind w:firstLine="640"/>
        <w:rPr>
          <w:rFonts w:eastAsia="仿宋_GB2312" w:cs="仿宋_GB2312"/>
          <w:sz w:val="32"/>
          <w:szCs w:val="32"/>
        </w:rPr>
      </w:pPr>
      <w:r>
        <w:rPr>
          <w:rFonts w:hint="eastAsia" w:eastAsia="仿宋_GB2312" w:cs="仿宋_GB2312"/>
          <w:sz w:val="32"/>
          <w:szCs w:val="32"/>
        </w:rPr>
        <w:t>24.自然资源海洋气象等（类）……（款）……（项）：指……</w:t>
      </w:r>
    </w:p>
    <w:p w14:paraId="717C33B8">
      <w:pPr>
        <w:spacing w:line="600" w:lineRule="exact"/>
        <w:ind w:firstLine="640"/>
        <w:rPr>
          <w:rFonts w:eastAsia="仿宋_GB2312" w:cs="仿宋_GB2312"/>
          <w:sz w:val="32"/>
          <w:szCs w:val="32"/>
        </w:rPr>
      </w:pPr>
      <w:r>
        <w:rPr>
          <w:rFonts w:hint="eastAsia" w:eastAsia="仿宋_GB2312" w:cs="仿宋_GB2312"/>
          <w:sz w:val="32"/>
          <w:szCs w:val="32"/>
        </w:rPr>
        <w:t>25.住房保障（类）……（款）……（项）：指……</w:t>
      </w:r>
    </w:p>
    <w:p w14:paraId="65A29798">
      <w:pPr>
        <w:spacing w:line="600" w:lineRule="exact"/>
        <w:ind w:firstLine="640"/>
        <w:rPr>
          <w:rFonts w:eastAsia="仿宋_GB2312" w:cs="仿宋_GB2312"/>
          <w:sz w:val="32"/>
          <w:szCs w:val="32"/>
        </w:rPr>
      </w:pPr>
      <w:r>
        <w:rPr>
          <w:rFonts w:hint="eastAsia" w:eastAsia="仿宋_GB2312" w:cs="仿宋_GB2312"/>
          <w:sz w:val="32"/>
          <w:szCs w:val="32"/>
        </w:rPr>
        <w:t>26.粮油物资储备（类）……（款）……（项）：指……</w:t>
      </w:r>
    </w:p>
    <w:p w14:paraId="04FD41C8">
      <w:pPr>
        <w:spacing w:line="600" w:lineRule="exact"/>
        <w:ind w:firstLine="640"/>
        <w:rPr>
          <w:rFonts w:eastAsia="仿宋_GB2312" w:cs="仿宋_GB2312"/>
          <w:sz w:val="32"/>
          <w:szCs w:val="32"/>
        </w:rPr>
      </w:pPr>
      <w:r>
        <w:rPr>
          <w:rFonts w:hint="eastAsia" w:eastAsia="仿宋_GB2312" w:cs="仿宋_GB2312"/>
          <w:sz w:val="32"/>
          <w:szCs w:val="32"/>
        </w:rPr>
        <w:t>……</w:t>
      </w:r>
    </w:p>
    <w:p w14:paraId="7F64279E">
      <w:pPr>
        <w:spacing w:line="600" w:lineRule="exact"/>
        <w:ind w:firstLine="640"/>
        <w:rPr>
          <w:rFonts w:eastAsia="仿宋_GB2312" w:cs="仿宋_GB2312"/>
          <w:sz w:val="32"/>
          <w:szCs w:val="32"/>
        </w:rPr>
      </w:pPr>
      <w:r>
        <w:rPr>
          <w:rFonts w:hint="eastAsia" w:eastAsia="仿宋_GB2312" w:cs="仿宋_GB2312"/>
          <w:b/>
          <w:bCs/>
          <w:sz w:val="32"/>
          <w:szCs w:val="32"/>
        </w:rPr>
        <w:t>（注：解释本部门决算报表中涉及的全部功能分类科目至项级，不涉及的科目请自行删除。请参照《2024年政府收支分类科目》增减内容）</w:t>
      </w:r>
    </w:p>
    <w:p w14:paraId="0AA8EFF7">
      <w:pPr>
        <w:spacing w:line="600" w:lineRule="exact"/>
        <w:ind w:firstLine="640"/>
        <w:rPr>
          <w:rFonts w:eastAsia="仿宋_GB2312" w:cs="仿宋_GB2312"/>
          <w:sz w:val="32"/>
          <w:szCs w:val="32"/>
        </w:rPr>
      </w:pPr>
      <w:r>
        <w:rPr>
          <w:rFonts w:hint="eastAsia" w:eastAsia="仿宋_GB2312" w:cs="仿宋_GB2312"/>
          <w:sz w:val="32"/>
          <w:szCs w:val="32"/>
        </w:rPr>
        <w:t>27.基本支出：指为保障机构正常运转、完成日常工作任务而发生的人员支出和公用支出。</w:t>
      </w:r>
    </w:p>
    <w:p w14:paraId="50C5AD18">
      <w:pPr>
        <w:spacing w:line="600" w:lineRule="exact"/>
        <w:ind w:firstLine="640"/>
        <w:rPr>
          <w:rFonts w:eastAsia="仿宋_GB2312" w:cs="仿宋_GB2312"/>
          <w:sz w:val="32"/>
          <w:szCs w:val="32"/>
        </w:rPr>
      </w:pPr>
      <w:r>
        <w:rPr>
          <w:rFonts w:hint="eastAsia" w:eastAsia="仿宋_GB2312" w:cs="仿宋_GB2312"/>
          <w:sz w:val="32"/>
          <w:szCs w:val="32"/>
        </w:rPr>
        <w:t xml:space="preserve">28.项目支出：指在基本支出之外为完成特定行政任务和事业发展目标所发生的支出。 </w:t>
      </w:r>
    </w:p>
    <w:p w14:paraId="2C1E157D">
      <w:pPr>
        <w:spacing w:line="600" w:lineRule="exact"/>
        <w:ind w:firstLine="640"/>
        <w:rPr>
          <w:rFonts w:eastAsia="仿宋_GB2312" w:cs="仿宋_GB2312"/>
          <w:sz w:val="32"/>
          <w:szCs w:val="32"/>
        </w:rPr>
      </w:pPr>
      <w:r>
        <w:rPr>
          <w:rFonts w:hint="eastAsia" w:eastAsia="仿宋_GB2312" w:cs="仿宋_GB2312"/>
          <w:sz w:val="32"/>
          <w:szCs w:val="32"/>
        </w:rPr>
        <w:t>29.经营支出：指事业单位在专业业务活动及其辅助活动之外开展非独立核算经营活动发生的支出。</w:t>
      </w:r>
    </w:p>
    <w:p w14:paraId="63C28601">
      <w:pPr>
        <w:spacing w:line="600" w:lineRule="exact"/>
        <w:ind w:firstLine="640"/>
        <w:rPr>
          <w:rFonts w:eastAsia="仿宋_GB2312" w:cs="仿宋_GB2312"/>
          <w:sz w:val="32"/>
          <w:szCs w:val="32"/>
        </w:rPr>
      </w:pPr>
      <w:r>
        <w:rPr>
          <w:rFonts w:hint="eastAsia" w:eastAsia="仿宋_GB2312" w:cs="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6E1A17">
      <w:pPr>
        <w:spacing w:line="600" w:lineRule="exact"/>
        <w:ind w:firstLine="640"/>
        <w:rPr>
          <w:rFonts w:eastAsia="仿宋_GB2312" w:cs="仿宋_GB2312"/>
          <w:sz w:val="32"/>
          <w:szCs w:val="32"/>
        </w:rPr>
      </w:pPr>
      <w:r>
        <w:rPr>
          <w:rFonts w:hint="eastAsia" w:eastAsia="仿宋_GB2312" w:cs="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480BBB">
      <w:pPr>
        <w:spacing w:line="600" w:lineRule="exact"/>
        <w:ind w:firstLine="640"/>
        <w:rPr>
          <w:rFonts w:eastAsia="仿宋_GB2312" w:cs="仿宋_GB2312"/>
          <w:sz w:val="32"/>
          <w:szCs w:val="32"/>
        </w:rPr>
      </w:pPr>
      <w:r>
        <w:rPr>
          <w:rFonts w:hint="eastAsia" w:eastAsia="仿宋_GB2312" w:cs="仿宋_GB2312"/>
          <w:sz w:val="32"/>
          <w:szCs w:val="32"/>
        </w:rPr>
        <w:t>32.……</w:t>
      </w:r>
    </w:p>
    <w:p w14:paraId="2E1B7AE1">
      <w:pPr>
        <w:spacing w:line="600" w:lineRule="exact"/>
        <w:ind w:firstLine="640"/>
        <w:rPr>
          <w:rFonts w:eastAsia="仿宋_GB2312" w:cs="仿宋_GB2312"/>
          <w:b/>
          <w:bCs/>
          <w:sz w:val="32"/>
          <w:szCs w:val="32"/>
        </w:rPr>
      </w:pPr>
      <w:r>
        <w:rPr>
          <w:rFonts w:hint="eastAsia" w:eastAsia="仿宋_GB2312" w:cs="仿宋_GB2312"/>
          <w:b/>
          <w:bCs/>
          <w:sz w:val="32"/>
          <w:szCs w:val="32"/>
        </w:rPr>
        <w:t>（注：名词解释部分请根据各部门实际列支情况罗列，并根据本部门职责职能增减名词解释内容）</w:t>
      </w:r>
    </w:p>
    <w:p w14:paraId="0596286A">
      <w:pPr>
        <w:spacing w:line="600" w:lineRule="exact"/>
        <w:jc w:val="center"/>
        <w:rPr>
          <w:rStyle w:val="30"/>
          <w:rFonts w:eastAsia="黑体"/>
          <w:b w:val="0"/>
        </w:rPr>
      </w:pPr>
      <w:bookmarkStart w:id="44" w:name="_Toc15377226"/>
      <w:r>
        <w:rPr>
          <w:rFonts w:hint="eastAsia" w:eastAsia="仿宋_GB2312" w:cs="仿宋_GB2312"/>
          <w:sz w:val="32"/>
          <w:szCs w:val="32"/>
        </w:rPr>
        <w:br w:type="page"/>
      </w:r>
      <w:bookmarkStart w:id="45" w:name="_Toc15396614"/>
      <w:r>
        <w:rPr>
          <w:rFonts w:hint="eastAsia" w:eastAsia="黑体"/>
          <w:sz w:val="44"/>
          <w:szCs w:val="44"/>
        </w:rPr>
        <w:t>第四部分  附件</w:t>
      </w:r>
      <w:bookmarkEnd w:id="45"/>
    </w:p>
    <w:p w14:paraId="7BA44CB3">
      <w:pPr>
        <w:spacing w:line="572" w:lineRule="exact"/>
        <w:jc w:val="left"/>
        <w:outlineLvl w:val="0"/>
        <w:rPr>
          <w:rFonts w:eastAsia="黑体" w:cs="黑体"/>
          <w:color w:val="FF0000"/>
          <w:sz w:val="32"/>
          <w:szCs w:val="32"/>
        </w:rPr>
      </w:pPr>
    </w:p>
    <w:p w14:paraId="66D3A627">
      <w:pPr>
        <w:spacing w:line="572" w:lineRule="exact"/>
        <w:jc w:val="left"/>
        <w:outlineLvl w:val="0"/>
        <w:rPr>
          <w:rFonts w:eastAsia="黑体" w:cs="方正小标宋简体"/>
          <w:sz w:val="44"/>
          <w:szCs w:val="44"/>
        </w:rPr>
      </w:pPr>
      <w:r>
        <w:rPr>
          <w:rFonts w:hint="eastAsia" w:eastAsia="黑体" w:cs="黑体"/>
          <w:sz w:val="32"/>
          <w:szCs w:val="32"/>
        </w:rPr>
        <w:t>附件1</w:t>
      </w:r>
    </w:p>
    <w:p w14:paraId="19AD568C">
      <w:pPr>
        <w:widowControl/>
        <w:spacing w:line="578" w:lineRule="exact"/>
        <w:contextualSpacing/>
        <w:jc w:val="center"/>
        <w:rPr>
          <w:rFonts w:eastAsia="方正小标宋简体"/>
          <w:bCs/>
          <w:sz w:val="44"/>
          <w:szCs w:val="44"/>
          <w:shd w:val="clear" w:color="auto" w:fill="FFFFFF"/>
        </w:rPr>
      </w:pPr>
    </w:p>
    <w:p w14:paraId="3E5D851F">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报告范本</w:t>
      </w:r>
    </w:p>
    <w:p w14:paraId="7443D8C8">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（报告范围包括机关和下属单位）</w:t>
      </w:r>
    </w:p>
    <w:p w14:paraId="73910544">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2928546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71980A74">
      <w:pPr>
        <w:widowControl/>
        <w:adjustRightInd w:val="0"/>
        <w:snapToGrid w:val="0"/>
        <w:spacing w:line="578" w:lineRule="exact"/>
        <w:ind w:firstLine="643" w:firstLineChars="200"/>
        <w:contextualSpacing/>
        <w:jc w:val="left"/>
        <w:rPr>
          <w:szCs w:val="32"/>
        </w:rPr>
      </w:pPr>
      <w:r>
        <w:rPr>
          <w:rFonts w:hint="eastAsia" w:eastAsia="楷体_GB2312" w:cs="楷体_GB2312"/>
          <w:b/>
          <w:sz w:val="32"/>
          <w:szCs w:val="32"/>
          <w:lang w:val="zh-CN"/>
        </w:rPr>
        <w:t>（一）</w:t>
      </w:r>
      <w:r>
        <w:rPr>
          <w:rFonts w:eastAsia="楷体_GB2312" w:cs="楷体_GB2312"/>
          <w:b/>
          <w:sz w:val="32"/>
          <w:szCs w:val="32"/>
          <w:lang w:val="zh-CN"/>
        </w:rPr>
        <w:t>机构组成。</w:t>
      </w:r>
      <w:r>
        <w:rPr>
          <w:rFonts w:hint="eastAsia" w:eastAsia="仿宋_GB2312" w:cs="仿宋_GB2312"/>
          <w:sz w:val="32"/>
          <w:szCs w:val="32"/>
        </w:rPr>
        <w:t>***内设</w:t>
      </w:r>
      <w:r>
        <w:rPr>
          <w:rFonts w:eastAsia="仿宋_GB2312" w:cs="仿宋_GB2312"/>
          <w:sz w:val="32"/>
          <w:szCs w:val="32"/>
        </w:rPr>
        <w:t>处室</w:t>
      </w:r>
      <w:r>
        <w:rPr>
          <w:rFonts w:hint="eastAsia" w:eastAsia="仿宋_GB2312" w:cs="仿宋_GB2312"/>
          <w:sz w:val="32"/>
          <w:szCs w:val="32"/>
        </w:rPr>
        <w:t>及下属单位情况</w:t>
      </w:r>
      <w:r>
        <w:rPr>
          <w:rFonts w:eastAsia="仿宋_GB2312" w:cs="仿宋_GB2312"/>
          <w:sz w:val="32"/>
          <w:szCs w:val="32"/>
        </w:rPr>
        <w:t>。</w:t>
      </w:r>
    </w:p>
    <w:p w14:paraId="025B03D5">
      <w:pPr>
        <w:widowControl/>
        <w:adjustRightInd w:val="0"/>
        <w:snapToGrid w:val="0"/>
        <w:spacing w:line="578" w:lineRule="exact"/>
        <w:ind w:firstLine="643" w:firstLineChars="200"/>
        <w:contextualSpacing/>
        <w:jc w:val="left"/>
        <w:rPr>
          <w:rFonts w:eastAsia="楷体_GB2312"/>
          <w:b/>
          <w:bCs/>
          <w:color w:val="000000"/>
          <w:kern w:val="0"/>
          <w:szCs w:val="32"/>
          <w:shd w:val="clear" w:color="auto" w:fill="FFFFFF"/>
          <w:lang w:val="zh-CN"/>
        </w:rPr>
      </w:pPr>
      <w:r>
        <w:rPr>
          <w:rFonts w:eastAsia="楷体_GB2312" w:cs="楷体_GB2312"/>
          <w:b/>
          <w:sz w:val="32"/>
          <w:szCs w:val="32"/>
          <w:lang w:val="zh-CN"/>
        </w:rPr>
        <w:t>（二）机构职能</w:t>
      </w:r>
      <w:r>
        <w:rPr>
          <w:rFonts w:hint="eastAsia" w:eastAsia="楷体_GB2312" w:cs="楷体_GB2312"/>
          <w:b/>
          <w:sz w:val="32"/>
          <w:szCs w:val="32"/>
          <w:lang w:val="zh-CN"/>
        </w:rPr>
        <w:t>。</w:t>
      </w:r>
      <w:r>
        <w:rPr>
          <w:rFonts w:hint="eastAsia" w:eastAsia="仿宋_GB2312" w:cs="仿宋_GB2312"/>
          <w:sz w:val="32"/>
          <w:szCs w:val="32"/>
        </w:rPr>
        <w:t>***</w:t>
      </w:r>
      <w:r>
        <w:rPr>
          <w:rFonts w:hint="eastAsia" w:eastAsia="仿宋_GB2312"/>
          <w:sz w:val="32"/>
          <w:szCs w:val="32"/>
        </w:rPr>
        <w:t>职责和功能。</w:t>
      </w:r>
    </w:p>
    <w:p w14:paraId="2A35A49D">
      <w:pPr>
        <w:spacing w:line="600" w:lineRule="exact"/>
        <w:ind w:firstLine="643" w:firstLineChars="200"/>
        <w:rPr>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eastAsia="仿宋_GB2312" w:cs="仿宋_GB2312"/>
          <w:sz w:val="32"/>
          <w:szCs w:val="32"/>
        </w:rPr>
        <w:t>***</w:t>
      </w:r>
      <w:r>
        <w:rPr>
          <w:rFonts w:eastAsia="仿宋_GB2312"/>
          <w:sz w:val="32"/>
          <w:szCs w:val="32"/>
        </w:rPr>
        <w:t>及下属单位编制</w:t>
      </w:r>
      <w:r>
        <w:rPr>
          <w:rFonts w:hint="eastAsia" w:eastAsia="仿宋_GB2312"/>
          <w:sz w:val="32"/>
          <w:szCs w:val="32"/>
        </w:rPr>
        <w:t>情况、</w:t>
      </w:r>
      <w:r>
        <w:rPr>
          <w:rFonts w:eastAsia="仿宋_GB2312"/>
          <w:sz w:val="32"/>
          <w:szCs w:val="32"/>
        </w:rPr>
        <w:t>年末实有人数</w:t>
      </w:r>
      <w:r>
        <w:rPr>
          <w:rFonts w:hint="eastAsia" w:eastAsia="仿宋_GB2312"/>
          <w:sz w:val="32"/>
          <w:szCs w:val="32"/>
        </w:rPr>
        <w:t>情况。</w:t>
      </w:r>
    </w:p>
    <w:p w14:paraId="7ED1CCC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68E4D2A1">
      <w:pPr>
        <w:widowControl/>
        <w:adjustRightInd w:val="0"/>
        <w:snapToGrid w:val="0"/>
        <w:spacing w:line="578" w:lineRule="exact"/>
        <w:ind w:firstLine="643" w:firstLineChars="200"/>
        <w:contextualSpacing/>
        <w:jc w:val="left"/>
        <w:rPr>
          <w:rFonts w:eastAsia="楷体_GB2312"/>
          <w:b/>
          <w:bCs/>
          <w:color w:val="000000"/>
          <w:kern w:val="0"/>
          <w:szCs w:val="32"/>
          <w:shd w:val="clear" w:color="auto" w:fill="FFFFFF"/>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hint="eastAsia" w:eastAsia="仿宋_GB2312" w:cs="仿宋_GB2312"/>
          <w:sz w:val="32"/>
          <w:szCs w:val="32"/>
        </w:rPr>
        <w:t>***</w:t>
      </w:r>
      <w:r>
        <w:rPr>
          <w:rFonts w:hint="eastAsia" w:eastAsia="仿宋_GB2312"/>
          <w:sz w:val="32"/>
          <w:szCs w:val="32"/>
        </w:rPr>
        <w:t>2024年年初预算收入情况、决算报表收入情况。</w:t>
      </w:r>
    </w:p>
    <w:p w14:paraId="0C354000">
      <w:pPr>
        <w:widowControl/>
        <w:adjustRightInd w:val="0"/>
        <w:snapToGrid w:val="0"/>
        <w:spacing w:line="578" w:lineRule="exact"/>
        <w:ind w:firstLine="643" w:firstLineChars="200"/>
        <w:contextualSpacing/>
        <w:jc w:val="left"/>
        <w:rPr>
          <w:szCs w:val="32"/>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eastAsia="仿宋_GB2312" w:cs="仿宋_GB2312"/>
          <w:sz w:val="32"/>
          <w:szCs w:val="32"/>
        </w:rPr>
        <w:t>***</w:t>
      </w:r>
      <w:r>
        <w:rPr>
          <w:rFonts w:hint="eastAsia" w:eastAsia="仿宋_GB2312"/>
          <w:sz w:val="32"/>
          <w:szCs w:val="32"/>
        </w:rPr>
        <w:t>2024年年初预算支出情况、决算报表支出情况。</w:t>
      </w:r>
    </w:p>
    <w:p w14:paraId="17F34060">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hint="eastAsia" w:eastAsia="仿宋_GB2312" w:cs="仿宋_GB2312"/>
          <w:sz w:val="32"/>
          <w:szCs w:val="32"/>
        </w:rPr>
        <w:t>***</w:t>
      </w:r>
      <w:r>
        <w:rPr>
          <w:rFonts w:hint="eastAsia" w:eastAsia="仿宋_GB2312"/>
          <w:sz w:val="32"/>
          <w:szCs w:val="32"/>
        </w:rPr>
        <w:t>2024年决算报表</w:t>
      </w:r>
      <w:r>
        <w:rPr>
          <w:rFonts w:eastAsia="仿宋_GB2312"/>
          <w:sz w:val="32"/>
          <w:szCs w:val="32"/>
        </w:rPr>
        <w:t>结转结余</w:t>
      </w:r>
      <w:r>
        <w:rPr>
          <w:rFonts w:hint="eastAsia" w:eastAsia="仿宋_GB2312"/>
          <w:sz w:val="32"/>
          <w:szCs w:val="32"/>
        </w:rPr>
        <w:t>情况</w:t>
      </w:r>
      <w:r>
        <w:rPr>
          <w:rFonts w:eastAsia="仿宋_GB2312"/>
          <w:sz w:val="32"/>
          <w:szCs w:val="32"/>
        </w:rPr>
        <w:t>。</w:t>
      </w:r>
    </w:p>
    <w:p w14:paraId="50E1BB25">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25FC126F">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14:paraId="04416A46">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履职效能。部门整体绩效目标中选定3-5个核心职能目标，对职能目标完成效果情况绩效分析。</w:t>
      </w:r>
    </w:p>
    <w:p w14:paraId="57455D55">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2.</w:t>
      </w:r>
      <w:r>
        <w:rPr>
          <w:rFonts w:eastAsia="仿宋_GB2312" w:cs="仿宋_GB2312"/>
          <w:sz w:val="32"/>
          <w:szCs w:val="32"/>
          <w:lang w:val="zh-CN"/>
        </w:rPr>
        <w:t>预算管理</w:t>
      </w:r>
      <w:r>
        <w:rPr>
          <w:rFonts w:hint="eastAsia" w:eastAsia="仿宋_GB2312" w:cs="仿宋_GB2312"/>
          <w:sz w:val="32"/>
          <w:szCs w:val="32"/>
          <w:lang w:val="zh-CN"/>
        </w:rPr>
        <w:t>。围绕预算编制质量、单位收入统筹、支出执行进度、预算年终结余、严控一般性支出</w:t>
      </w:r>
      <w:r>
        <w:rPr>
          <w:rFonts w:eastAsia="仿宋_GB2312" w:cs="仿宋_GB2312"/>
          <w:sz w:val="32"/>
          <w:szCs w:val="32"/>
          <w:lang w:val="zh-CN"/>
        </w:rPr>
        <w:t>进行绩效分析</w:t>
      </w:r>
      <w:r>
        <w:rPr>
          <w:rFonts w:hint="eastAsia" w:eastAsia="仿宋_GB2312" w:cs="仿宋_GB2312"/>
          <w:sz w:val="32"/>
          <w:szCs w:val="32"/>
          <w:lang w:val="zh-CN"/>
        </w:rPr>
        <w:t>。</w:t>
      </w:r>
    </w:p>
    <w:p w14:paraId="6E5B7E79">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3.</w:t>
      </w:r>
      <w:r>
        <w:rPr>
          <w:rFonts w:eastAsia="仿宋_GB2312" w:cs="仿宋_GB2312"/>
          <w:sz w:val="32"/>
          <w:szCs w:val="32"/>
          <w:lang w:val="zh-CN"/>
        </w:rPr>
        <w:t>财务管理</w:t>
      </w:r>
      <w:r>
        <w:rPr>
          <w:rFonts w:hint="eastAsia" w:eastAsia="仿宋_GB2312" w:cs="仿宋_GB2312"/>
          <w:sz w:val="32"/>
          <w:szCs w:val="32"/>
          <w:lang w:val="zh-CN"/>
        </w:rPr>
        <w:t>。围绕财务管理制度、财务岗位设置、资金使用规范</w:t>
      </w:r>
      <w:r>
        <w:rPr>
          <w:rFonts w:eastAsia="仿宋_GB2312" w:cs="仿宋_GB2312"/>
          <w:sz w:val="32"/>
          <w:szCs w:val="32"/>
          <w:lang w:val="zh-CN"/>
        </w:rPr>
        <w:t>进行绩效分析</w:t>
      </w:r>
      <w:r>
        <w:rPr>
          <w:rFonts w:hint="eastAsia" w:eastAsia="仿宋_GB2312" w:cs="仿宋_GB2312"/>
          <w:sz w:val="32"/>
          <w:szCs w:val="32"/>
          <w:lang w:val="zh-CN"/>
        </w:rPr>
        <w:t>。</w:t>
      </w:r>
    </w:p>
    <w:p w14:paraId="68BCC4C9">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4.</w:t>
      </w:r>
      <w:r>
        <w:rPr>
          <w:rFonts w:eastAsia="仿宋_GB2312" w:cs="仿宋_GB2312"/>
          <w:sz w:val="32"/>
          <w:szCs w:val="32"/>
          <w:lang w:val="zh-CN"/>
        </w:rPr>
        <w:t>资产管理</w:t>
      </w:r>
      <w:r>
        <w:rPr>
          <w:rFonts w:hint="eastAsia" w:eastAsia="仿宋_GB2312" w:cs="仿宋_GB2312"/>
          <w:sz w:val="32"/>
          <w:szCs w:val="32"/>
          <w:lang w:val="zh-CN"/>
        </w:rPr>
        <w:t>。围绕人均资产变化率、资产利用率、资产盘活率</w:t>
      </w:r>
      <w:r>
        <w:rPr>
          <w:rFonts w:eastAsia="仿宋_GB2312" w:cs="仿宋_GB2312"/>
          <w:sz w:val="32"/>
          <w:szCs w:val="32"/>
          <w:lang w:val="zh-CN"/>
        </w:rPr>
        <w:t>进行绩效分析</w:t>
      </w:r>
      <w:r>
        <w:rPr>
          <w:rFonts w:hint="eastAsia" w:eastAsia="仿宋_GB2312" w:cs="仿宋_GB2312"/>
          <w:sz w:val="32"/>
          <w:szCs w:val="32"/>
          <w:lang w:val="zh-CN"/>
        </w:rPr>
        <w:t>。</w:t>
      </w:r>
    </w:p>
    <w:p w14:paraId="0684EDF8">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5.</w:t>
      </w:r>
      <w:r>
        <w:rPr>
          <w:rFonts w:eastAsia="仿宋_GB2312" w:cs="仿宋_GB2312"/>
          <w:sz w:val="32"/>
          <w:szCs w:val="32"/>
          <w:lang w:val="zh-CN"/>
        </w:rPr>
        <w:t>采购管理</w:t>
      </w:r>
      <w:r>
        <w:rPr>
          <w:rFonts w:hint="eastAsia" w:eastAsia="仿宋_GB2312" w:cs="仿宋_GB2312"/>
          <w:sz w:val="32"/>
          <w:szCs w:val="32"/>
          <w:lang w:val="zh-CN"/>
        </w:rPr>
        <w:t>。围绕支持中小企业发展、采购执行率</w:t>
      </w:r>
      <w:r>
        <w:rPr>
          <w:rFonts w:eastAsia="仿宋_GB2312" w:cs="仿宋_GB2312"/>
          <w:sz w:val="32"/>
          <w:szCs w:val="32"/>
          <w:lang w:val="zh-CN"/>
        </w:rPr>
        <w:t>进行绩效分析</w:t>
      </w:r>
      <w:r>
        <w:rPr>
          <w:rFonts w:hint="eastAsia" w:eastAsia="仿宋_GB2312" w:cs="仿宋_GB2312"/>
          <w:sz w:val="32"/>
          <w:szCs w:val="32"/>
          <w:lang w:val="zh-CN"/>
        </w:rPr>
        <w:t>。</w:t>
      </w:r>
    </w:p>
    <w:p w14:paraId="296D8A59">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r>
        <w:rPr>
          <w:rFonts w:hint="eastAsia" w:eastAsia="仿宋_GB2312" w:cs="仿宋_GB2312"/>
          <w:sz w:val="32"/>
          <w:szCs w:val="32"/>
          <w:lang w:val="zh-CN"/>
        </w:rPr>
        <w:t>填报以下数据，并</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项目绩效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，依次包括项目</w:t>
      </w:r>
      <w:r>
        <w:rPr>
          <w:rFonts w:eastAsia="仿宋_GB2312" w:cs="仿宋_GB2312"/>
          <w:sz w:val="32"/>
          <w:szCs w:val="32"/>
        </w:rPr>
        <w:t>决策、项目执行、目标实现等情况</w:t>
      </w:r>
      <w:r>
        <w:rPr>
          <w:rFonts w:hint="eastAsia" w:eastAsia="仿宋_GB2312" w:cs="仿宋_GB2312"/>
          <w:sz w:val="32"/>
          <w:szCs w:val="32"/>
        </w:rPr>
        <w:t>。</w:t>
      </w:r>
    </w:p>
    <w:p w14:paraId="38526302">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rPr>
        <w:t>***</w:t>
      </w:r>
      <w:r>
        <w:rPr>
          <w:rFonts w:eastAsia="仿宋_GB2312" w:cs="仿宋_GB2312"/>
          <w:sz w:val="32"/>
          <w:szCs w:val="32"/>
          <w:lang w:val="zh-CN"/>
        </w:rPr>
        <w:t>个，涉及预算总金额</w:t>
      </w:r>
      <w:r>
        <w:rPr>
          <w:rFonts w:hint="eastAsia" w:eastAsia="仿宋_GB2312" w:cs="仿宋_GB2312"/>
          <w:sz w:val="32"/>
          <w:szCs w:val="32"/>
        </w:rPr>
        <w:t>***</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w:t>
      </w:r>
      <w:r>
        <w:rPr>
          <w:rFonts w:eastAsia="仿宋_GB2312" w:cs="仿宋_GB2312"/>
          <w:sz w:val="32"/>
          <w:szCs w:val="32"/>
          <w:lang w:val="zh-CN"/>
        </w:rPr>
        <w:t>个。</w:t>
      </w:r>
    </w:p>
    <w:p w14:paraId="56E18803">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eastAsia" w:eastAsia="仿宋_GB2312" w:cs="仿宋_GB2312"/>
          <w:sz w:val="32"/>
          <w:szCs w:val="32"/>
        </w:rPr>
        <w:t>***</w:t>
      </w:r>
      <w:r>
        <w:rPr>
          <w:rFonts w:eastAsia="仿宋_GB2312" w:cs="仿宋_GB2312"/>
          <w:sz w:val="32"/>
          <w:szCs w:val="32"/>
          <w:lang w:val="zh-CN"/>
        </w:rPr>
        <w:t>个，涉及预算总金额</w:t>
      </w:r>
      <w:r>
        <w:rPr>
          <w:rFonts w:hint="eastAsia" w:eastAsia="仿宋_GB2312" w:cs="仿宋_GB2312"/>
          <w:sz w:val="32"/>
          <w:szCs w:val="32"/>
        </w:rPr>
        <w:t>***</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w:t>
      </w:r>
      <w:r>
        <w:rPr>
          <w:rFonts w:eastAsia="仿宋_GB2312" w:cs="仿宋_GB2312"/>
          <w:sz w:val="32"/>
          <w:szCs w:val="32"/>
          <w:lang w:val="zh-CN"/>
        </w:rPr>
        <w:t>个。</w:t>
      </w:r>
    </w:p>
    <w:p w14:paraId="3BB4B39F">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项目决策。围绕决策程序、目标设置、项目入库</w:t>
      </w:r>
      <w:r>
        <w:rPr>
          <w:rFonts w:eastAsia="仿宋_GB2312" w:cs="仿宋_GB2312"/>
          <w:sz w:val="32"/>
          <w:szCs w:val="32"/>
          <w:lang w:val="zh-CN"/>
        </w:rPr>
        <w:t>进行绩效分析</w:t>
      </w:r>
      <w:r>
        <w:rPr>
          <w:rFonts w:hint="eastAsia" w:eastAsia="仿宋_GB2312" w:cs="仿宋_GB2312"/>
          <w:sz w:val="32"/>
          <w:szCs w:val="32"/>
          <w:lang w:val="zh-CN"/>
        </w:rPr>
        <w:t>。</w:t>
      </w:r>
    </w:p>
    <w:p w14:paraId="295E17BD">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2.项目执行</w:t>
      </w:r>
      <w:r>
        <w:rPr>
          <w:rFonts w:hint="eastAsia" w:eastAsia="仿宋_GB2312" w:cs="仿宋_GB2312"/>
          <w:sz w:val="32"/>
          <w:szCs w:val="32"/>
          <w:lang w:val="zh-CN"/>
        </w:rPr>
        <w:t>。围绕资金执行同向、项目调整、执行结果</w:t>
      </w:r>
      <w:r>
        <w:rPr>
          <w:rFonts w:eastAsia="仿宋_GB2312" w:cs="仿宋_GB2312"/>
          <w:sz w:val="32"/>
          <w:szCs w:val="32"/>
          <w:lang w:val="zh-CN"/>
        </w:rPr>
        <w:t>进行绩效分析</w:t>
      </w:r>
      <w:r>
        <w:rPr>
          <w:rFonts w:hint="eastAsia" w:eastAsia="仿宋_GB2312" w:cs="仿宋_GB2312"/>
          <w:sz w:val="32"/>
          <w:szCs w:val="32"/>
          <w:lang w:val="zh-CN"/>
        </w:rPr>
        <w:t>。</w:t>
      </w:r>
    </w:p>
    <w:p w14:paraId="39147915">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3.</w:t>
      </w:r>
      <w:r>
        <w:rPr>
          <w:rFonts w:hint="eastAsia" w:eastAsia="仿宋_GB2312" w:cs="仿宋_GB2312"/>
          <w:sz w:val="32"/>
          <w:szCs w:val="32"/>
          <w:lang w:val="zh-CN"/>
        </w:rPr>
        <w:t>目标实现。围绕目标完成、目标偏离、实现效果</w:t>
      </w:r>
      <w:r>
        <w:rPr>
          <w:rFonts w:eastAsia="仿宋_GB2312" w:cs="仿宋_GB2312"/>
          <w:sz w:val="32"/>
          <w:szCs w:val="32"/>
          <w:lang w:val="zh-CN"/>
        </w:rPr>
        <w:t>进行绩效分析</w:t>
      </w:r>
      <w:r>
        <w:rPr>
          <w:rFonts w:hint="eastAsia" w:eastAsia="仿宋_GB2312" w:cs="仿宋_GB2312"/>
          <w:sz w:val="32"/>
          <w:szCs w:val="32"/>
          <w:lang w:val="zh-CN"/>
        </w:rPr>
        <w:t>。</w:t>
      </w:r>
    </w:p>
    <w:p w14:paraId="2F9B8EC3">
      <w:pPr>
        <w:snapToGrid w:val="0"/>
        <w:spacing w:line="600" w:lineRule="exact"/>
        <w:ind w:firstLine="640" w:firstLineChars="200"/>
        <w:rPr>
          <w:rFonts w:eastAsia="仿宋_GB2312"/>
          <w:sz w:val="32"/>
          <w:szCs w:val="32"/>
        </w:rPr>
      </w:pPr>
      <w:r>
        <w:rPr>
          <w:rFonts w:eastAsia="仿宋_GB2312"/>
          <w:sz w:val="32"/>
          <w:szCs w:val="32"/>
        </w:rPr>
        <w:t>省级部门对2024年度一般公共预算、政府性基金预算、国有资本经营预算安排的常年项目、阶段项目绩效目标完成情况，以及债券资金、政府购买服务有关情况进行梳理阐述</w:t>
      </w:r>
      <w:r>
        <w:rPr>
          <w:rFonts w:hint="eastAsia" w:eastAsia="仿宋_GB2312"/>
          <w:sz w:val="32"/>
          <w:szCs w:val="32"/>
        </w:rPr>
        <w:t>。</w:t>
      </w:r>
    </w:p>
    <w:p w14:paraId="3202628D">
      <w:pPr>
        <w:snapToGrid w:val="0"/>
        <w:spacing w:line="600" w:lineRule="exact"/>
        <w:ind w:firstLine="643" w:firstLineChars="200"/>
        <w:rPr>
          <w:rFonts w:eastAsia="仿宋_GB2312"/>
          <w:sz w:val="32"/>
          <w:szCs w:val="32"/>
          <w:lang w:bidi="ar"/>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r>
        <w:rPr>
          <w:rFonts w:hint="eastAsia" w:eastAsia="仿宋_GB2312"/>
          <w:sz w:val="32"/>
          <w:szCs w:val="32"/>
          <w:lang w:val="zh-CN" w:bidi="ar"/>
        </w:rPr>
        <w:t>围绕内部应用情况、</w:t>
      </w:r>
      <w:r>
        <w:rPr>
          <w:rFonts w:eastAsia="仿宋_GB2312"/>
          <w:sz w:val="32"/>
          <w:szCs w:val="32"/>
          <w:lang w:val="zh-CN" w:bidi="ar"/>
        </w:rPr>
        <w:t>信息公开情况</w:t>
      </w:r>
      <w:r>
        <w:rPr>
          <w:rFonts w:hint="eastAsia" w:eastAsia="仿宋_GB2312"/>
          <w:sz w:val="32"/>
          <w:szCs w:val="32"/>
          <w:lang w:val="zh-CN" w:bidi="ar"/>
        </w:rPr>
        <w:t>、</w:t>
      </w:r>
      <w:r>
        <w:rPr>
          <w:rFonts w:eastAsia="仿宋_GB2312"/>
          <w:sz w:val="32"/>
          <w:szCs w:val="32"/>
          <w:lang w:val="zh-CN" w:bidi="ar"/>
        </w:rPr>
        <w:t>整改反馈情况</w:t>
      </w:r>
      <w:r>
        <w:rPr>
          <w:rFonts w:hint="eastAsia" w:eastAsia="仿宋_GB2312"/>
          <w:sz w:val="32"/>
          <w:szCs w:val="32"/>
          <w:lang w:val="zh-CN" w:bidi="ar"/>
        </w:rPr>
        <w:t>进行分析。</w:t>
      </w:r>
    </w:p>
    <w:p w14:paraId="42FA01F2">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44BED633">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（一）评价结论。</w:t>
      </w:r>
      <w:r>
        <w:rPr>
          <w:rFonts w:hint="eastAsia" w:eastAsia="仿宋_GB2312"/>
          <w:sz w:val="32"/>
          <w:szCs w:val="32"/>
          <w:lang w:bidi="ar"/>
        </w:rPr>
        <w:t>简要阐述部门预算绩效自评总体结论，其中必须包含自评得分。</w:t>
      </w:r>
    </w:p>
    <w:p w14:paraId="6D0ECB9F">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（二）存在问题。</w:t>
      </w:r>
      <w:r>
        <w:rPr>
          <w:rFonts w:hint="eastAsia" w:eastAsia="仿宋_GB2312"/>
          <w:sz w:val="32"/>
          <w:szCs w:val="32"/>
          <w:lang w:bidi="ar"/>
        </w:rPr>
        <w:t>简要阐述部门预算绩效自评发现的主要问题。</w:t>
      </w:r>
    </w:p>
    <w:p w14:paraId="572A1759">
      <w:pPr>
        <w:widowControl/>
        <w:adjustRightInd w:val="0"/>
        <w:snapToGrid w:val="0"/>
        <w:spacing w:line="578" w:lineRule="exact"/>
        <w:ind w:firstLine="643" w:firstLineChars="200"/>
        <w:contextualSpacing/>
        <w:jc w:val="left"/>
        <w:rPr>
          <w:rFonts w:eastAsia="仿宋_GB2312"/>
          <w:sz w:val="32"/>
          <w:szCs w:val="32"/>
          <w:lang w:val="en" w:bidi="ar"/>
        </w:rPr>
      </w:pPr>
      <w:r>
        <w:rPr>
          <w:rFonts w:eastAsia="楷体_GB2312"/>
          <w:b/>
          <w:bCs/>
          <w:color w:val="000000"/>
          <w:kern w:val="0"/>
          <w:sz w:val="32"/>
          <w:szCs w:val="32"/>
          <w:shd w:val="clear" w:color="auto" w:fill="FFFFFF"/>
          <w:lang w:val="zh-CN"/>
        </w:rPr>
        <w:t>（三）改进建议。</w:t>
      </w:r>
      <w:r>
        <w:rPr>
          <w:rFonts w:hint="eastAsia" w:eastAsia="仿宋_GB2312"/>
          <w:sz w:val="32"/>
          <w:szCs w:val="32"/>
          <w:lang w:bidi="ar"/>
        </w:rPr>
        <w:t>简要阐述</w:t>
      </w:r>
      <w:bookmarkStart w:id="46" w:name="_Hlk110546638"/>
      <w:r>
        <w:rPr>
          <w:rFonts w:hint="eastAsia" w:eastAsia="仿宋_GB2312"/>
          <w:sz w:val="32"/>
          <w:szCs w:val="32"/>
          <w:lang w:val="en" w:bidi="ar"/>
        </w:rPr>
        <w:t>预算安排、完善政策、改进管理等方面的</w:t>
      </w:r>
      <w:r>
        <w:rPr>
          <w:rFonts w:hint="eastAsia" w:eastAsia="仿宋_GB2312"/>
          <w:sz w:val="32"/>
          <w:szCs w:val="32"/>
          <w:lang w:bidi="ar"/>
        </w:rPr>
        <w:t>措施</w:t>
      </w:r>
      <w:r>
        <w:rPr>
          <w:rFonts w:hint="eastAsia" w:eastAsia="仿宋_GB2312"/>
          <w:sz w:val="32"/>
          <w:szCs w:val="32"/>
          <w:lang w:val="en" w:bidi="ar"/>
        </w:rPr>
        <w:t>建议，其中</w:t>
      </w:r>
      <w:r>
        <w:rPr>
          <w:rFonts w:hint="eastAsia" w:eastAsia="仿宋_GB2312"/>
          <w:sz w:val="32"/>
          <w:szCs w:val="32"/>
          <w:lang w:bidi="ar"/>
        </w:rPr>
        <w:t>必须对应评价发现的主要问题一一提出措施建议。</w:t>
      </w:r>
    </w:p>
    <w:bookmarkEnd w:id="46"/>
    <w:p w14:paraId="108D1D65">
      <w:pPr>
        <w:pStyle w:val="8"/>
        <w:spacing w:line="560" w:lineRule="exact"/>
        <w:ind w:left="0" w:leftChars="0" w:firstLine="640"/>
        <w:rPr>
          <w:rFonts w:ascii="Times New Roman" w:eastAsia="仿宋_GB2312"/>
          <w:sz w:val="32"/>
          <w:lang w:val="zh-CN" w:bidi="ar"/>
        </w:rPr>
      </w:pPr>
    </w:p>
    <w:p w14:paraId="5B72C019">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36EC5B4C">
      <w:pPr>
        <w:pStyle w:val="8"/>
        <w:spacing w:line="560" w:lineRule="exact"/>
        <w:ind w:left="0" w:leftChars="0" w:firstLine="640"/>
        <w:rPr>
          <w:rFonts w:ascii="Times New Roman" w:eastAsia="仿宋_GB2312" w:cs="仿宋_GB2312"/>
          <w:kern w:val="0"/>
          <w:sz w:val="32"/>
          <w:lang w:val="zh-CN"/>
        </w:rPr>
      </w:pPr>
      <w:r>
        <w:rPr>
          <w:rFonts w:hint="eastAsia" w:ascii="Times New Roman" w:eastAsia="仿宋_GB2312" w:cs="仿宋_GB2312"/>
          <w:kern w:val="0"/>
          <w:sz w:val="32"/>
        </w:rPr>
        <w:t>（注：按照绩效自评工作安排，各部门已在预算管理一体化系统绩效自评模块上传“部门预算项目支出绩效自评表（2024年度）”，该表格应作为附表予以公开）</w:t>
      </w:r>
    </w:p>
    <w:p w14:paraId="6FA3E27D">
      <w:pPr>
        <w:pStyle w:val="8"/>
        <w:spacing w:line="560" w:lineRule="exact"/>
        <w:ind w:left="0" w:leftChars="0" w:firstLine="0" w:firstLineChars="0"/>
        <w:rPr>
          <w:rFonts w:ascii="Times New Roman"/>
          <w:sz w:val="32"/>
          <w:highlight w:val="yellow"/>
          <w:lang w:val="zh-CN"/>
        </w:rPr>
      </w:pPr>
    </w:p>
    <w:p w14:paraId="3F495731">
      <w:pPr>
        <w:pStyle w:val="6"/>
        <w:spacing w:before="93"/>
        <w:rPr>
          <w:rFonts w:ascii="Times New Roman" w:cs="宋体"/>
          <w:color w:val="FF0000"/>
          <w:sz w:val="32"/>
          <w:szCs w:val="32"/>
          <w:highlight w:val="yellow"/>
          <w:shd w:val="clear" w:color="auto" w:fill="FFFFFF"/>
          <w:lang w:val="zh-CN"/>
        </w:rPr>
      </w:pPr>
    </w:p>
    <w:p w14:paraId="0BF36035">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478173F2">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7390FFE7">
      <w:pPr>
        <w:pStyle w:val="36"/>
        <w:spacing w:line="578" w:lineRule="exact"/>
        <w:jc w:val="center"/>
        <w:rPr>
          <w:rFonts w:ascii="Times New Roman" w:hAnsi="Times New Roman" w:eastAsia="方正小标宋简体" w:cs="方正小标宋简体"/>
          <w:color w:val="auto"/>
          <w:kern w:val="2"/>
          <w:sz w:val="44"/>
          <w:szCs w:val="44"/>
          <w:lang w:val="en-US"/>
        </w:rPr>
      </w:pPr>
    </w:p>
    <w:p w14:paraId="0FE39652">
      <w:pPr>
        <w:pStyle w:val="36"/>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专项预算项目绩效评价报告范本</w:t>
      </w:r>
    </w:p>
    <w:p w14:paraId="635CD978">
      <w:pPr>
        <w:pStyle w:val="36"/>
        <w:spacing w:line="578" w:lineRule="exact"/>
        <w:ind w:firstLine="640"/>
        <w:jc w:val="center"/>
        <w:rPr>
          <w:rFonts w:ascii="Times New Roman" w:hAnsi="Times New Roman"/>
          <w:color w:val="auto"/>
          <w:kern w:val="2"/>
          <w:sz w:val="32"/>
          <w:szCs w:val="32"/>
        </w:rPr>
      </w:pPr>
    </w:p>
    <w:p w14:paraId="0FA32EC9">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4F25413B">
      <w:pPr>
        <w:widowControl/>
        <w:adjustRightInd w:val="0"/>
        <w:snapToGrid w:val="0"/>
        <w:spacing w:line="578" w:lineRule="exact"/>
        <w:ind w:firstLine="643" w:firstLineChars="200"/>
        <w:contextualSpacing/>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r>
        <w:rPr>
          <w:rFonts w:hint="eastAsia" w:eastAsia="仿宋_GB2312" w:cs="仿宋_GB2312"/>
          <w:kern w:val="0"/>
          <w:sz w:val="32"/>
          <w:szCs w:val="32"/>
        </w:rPr>
        <w:t>项目设立原因及背景，</w:t>
      </w:r>
      <w:r>
        <w:rPr>
          <w:rFonts w:hint="eastAsia" w:eastAsia="仿宋_GB2312" w:cs="仿宋_GB2312"/>
          <w:kern w:val="0"/>
          <w:sz w:val="32"/>
          <w:szCs w:val="32"/>
          <w:lang w:val="zh-CN"/>
        </w:rPr>
        <w:t>项目立项、资金申报的依据，项目主要内容</w:t>
      </w:r>
      <w:r>
        <w:rPr>
          <w:rFonts w:hint="eastAsia" w:eastAsia="仿宋_GB2312" w:cs="仿宋_GB2312"/>
          <w:kern w:val="0"/>
          <w:sz w:val="32"/>
          <w:szCs w:val="32"/>
        </w:rPr>
        <w:t>。</w:t>
      </w:r>
      <w:r>
        <w:rPr>
          <w:rFonts w:hint="eastAsia" w:eastAsia="仿宋_GB2312" w:cs="仿宋_GB2312"/>
          <w:kern w:val="0"/>
          <w:sz w:val="32"/>
          <w:szCs w:val="32"/>
          <w:lang w:val="zh-CN"/>
        </w:rPr>
        <w:t>主管部门职能</w:t>
      </w:r>
      <w:r>
        <w:rPr>
          <w:rFonts w:hint="eastAsia" w:eastAsia="仿宋_GB2312" w:cs="仿宋_GB2312"/>
          <w:kern w:val="0"/>
          <w:sz w:val="32"/>
          <w:szCs w:val="32"/>
          <w:shd w:val="clear" w:color="auto" w:fill="FFFFFF"/>
          <w:lang w:val="zh-CN"/>
        </w:rPr>
        <w:t>。</w:t>
      </w:r>
    </w:p>
    <w:p w14:paraId="25AD2B93">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eastAsia="仿宋_GB2312" w:cs="仿宋_GB2312"/>
          <w:kern w:val="0"/>
          <w:sz w:val="32"/>
          <w:szCs w:val="32"/>
        </w:rPr>
        <w:t>项目资金</w:t>
      </w:r>
      <w:r>
        <w:rPr>
          <w:rFonts w:hint="eastAsia" w:eastAsia="仿宋_GB2312" w:cs="仿宋_GB2312"/>
          <w:kern w:val="0"/>
          <w:sz w:val="32"/>
          <w:szCs w:val="32"/>
          <w:lang w:val="zh-CN"/>
        </w:rPr>
        <w:t>管理办法制定情况，项目实施目的和主要工作任务，项目支持方向。</w:t>
      </w:r>
    </w:p>
    <w:p w14:paraId="7C6FD1EC">
      <w:pPr>
        <w:widowControl/>
        <w:adjustRightInd w:val="0"/>
        <w:snapToGrid w:val="0"/>
        <w:spacing w:line="578" w:lineRule="exact"/>
        <w:ind w:firstLine="643"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hint="eastAsia" w:eastAsia="仿宋_GB2312" w:cs="仿宋_GB2312"/>
          <w:kern w:val="0"/>
          <w:sz w:val="32"/>
          <w:szCs w:val="32"/>
          <w:lang w:val="zh-CN"/>
        </w:rPr>
        <w:t>项目预算安排情况，项目资金分配原则及考虑因素，项目资金分配情况。</w:t>
      </w:r>
    </w:p>
    <w:p w14:paraId="30AC4E6E">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（四）项目绩效目标设置。</w:t>
      </w:r>
      <w:r>
        <w:rPr>
          <w:rFonts w:hint="eastAsia" w:eastAsia="仿宋_GB2312" w:cs="仿宋_GB2312"/>
          <w:kern w:val="0"/>
          <w:sz w:val="32"/>
          <w:szCs w:val="32"/>
          <w:lang w:val="zh-CN"/>
        </w:rPr>
        <w:t>项目整体、区域和具体绩效目标设置情况，项目自评工作开展情况。</w:t>
      </w:r>
    </w:p>
    <w:p w14:paraId="7E18D9A0">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603A2621">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hint="eastAsia" w:eastAsia="仿宋_GB2312" w:cs="仿宋_GB2312"/>
          <w:kern w:val="0"/>
          <w:sz w:val="32"/>
          <w:szCs w:val="32"/>
          <w:lang w:val="zh-CN"/>
        </w:rPr>
        <w:t>通过项目绩效自评要实现的目的。</w:t>
      </w:r>
    </w:p>
    <w:p w14:paraId="7DDCAB05">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hint="eastAsia" w:eastAsia="仿宋_GB2312" w:cs="仿宋_GB2312"/>
          <w:kern w:val="0"/>
          <w:sz w:val="32"/>
          <w:szCs w:val="32"/>
          <w:lang w:val="zh-CN"/>
        </w:rPr>
        <w:t>按照绩效评价指标体系，对资金支出使用全过程及其实施效果进行综合评价和判断。</w:t>
      </w:r>
    </w:p>
    <w:p w14:paraId="12ED72D0">
      <w:pPr>
        <w:spacing w:line="578" w:lineRule="exact"/>
        <w:ind w:firstLine="640"/>
        <w:rPr>
          <w:rFonts w:eastAsia="楷体_GB2312"/>
          <w:b/>
          <w:sz w:val="32"/>
          <w:szCs w:val="32"/>
          <w:lang w:val="zh-CN"/>
        </w:rPr>
      </w:pPr>
      <w:r>
        <w:rPr>
          <w:rFonts w:hint="eastAsia" w:eastAsia="楷体_GB2312"/>
          <w:b/>
          <w:sz w:val="32"/>
          <w:szCs w:val="32"/>
          <w:lang w:val="zh-CN"/>
        </w:rPr>
        <w:t>（三）评价选点。</w:t>
      </w:r>
      <w:r>
        <w:rPr>
          <w:rFonts w:hint="eastAsia" w:eastAsia="仿宋_GB2312" w:cs="仿宋_GB2312"/>
          <w:kern w:val="0"/>
          <w:sz w:val="32"/>
          <w:szCs w:val="32"/>
          <w:lang w:val="zh-CN"/>
        </w:rPr>
        <w:t>项目绩效自评所抽样点位情况。每个专项预算项目应选取专项资金分配涉及市县总数的20%、总计不超过20个的市县点位进行实地踏勘，且点位清单应作为自评附表。</w:t>
      </w:r>
    </w:p>
    <w:p w14:paraId="3A96816D">
      <w:pPr>
        <w:spacing w:line="578" w:lineRule="exact"/>
        <w:ind w:firstLine="640"/>
        <w:rPr>
          <w:rFonts w:eastAsia="仿宋_GB2312" w:cs="仿宋_GB2312"/>
          <w:kern w:val="0"/>
          <w:sz w:val="32"/>
          <w:szCs w:val="32"/>
          <w:lang w:val="zh-CN"/>
        </w:rPr>
      </w:pPr>
      <w:r>
        <w:rPr>
          <w:rFonts w:hint="eastAsia" w:eastAsia="楷体_GB2312"/>
          <w:b/>
          <w:sz w:val="32"/>
          <w:szCs w:val="32"/>
          <w:lang w:val="zh-CN"/>
        </w:rPr>
        <w:t>（四）评价方法。</w:t>
      </w:r>
      <w:r>
        <w:rPr>
          <w:rFonts w:hint="eastAsia" w:eastAsia="仿宋_GB2312" w:cs="仿宋_GB2312"/>
          <w:kern w:val="0"/>
          <w:sz w:val="32"/>
          <w:szCs w:val="32"/>
          <w:lang w:val="zh-CN"/>
        </w:rPr>
        <w:t>根据项目情况和评价重点，用来收集相关材料和开展具体评价的方法。包括：采用成本效益分析法、标杆管理法、案卷研究法、单位自评法、实地勘察法、问卷调查法、座谈调研法等多种方法。</w:t>
      </w:r>
    </w:p>
    <w:p w14:paraId="188842F1">
      <w:pPr>
        <w:spacing w:line="578" w:lineRule="exact"/>
        <w:ind w:firstLine="640"/>
        <w:rPr>
          <w:rFonts w:eastAsia="仿宋_GB2312"/>
          <w:bCs/>
        </w:rPr>
      </w:pPr>
      <w:r>
        <w:rPr>
          <w:rFonts w:hint="eastAsia" w:eastAsia="楷体_GB2312"/>
          <w:b/>
          <w:sz w:val="32"/>
          <w:szCs w:val="32"/>
          <w:lang w:val="zh-CN"/>
        </w:rPr>
        <w:t>（五）评价组织。</w:t>
      </w:r>
      <w:r>
        <w:rPr>
          <w:rFonts w:hint="eastAsia" w:eastAsia="仿宋_GB2312" w:cs="仿宋_GB2312"/>
          <w:kern w:val="0"/>
          <w:sz w:val="32"/>
          <w:szCs w:val="32"/>
          <w:lang w:val="zh-CN"/>
        </w:rPr>
        <w:t>评价组人员构成和职责分工。</w:t>
      </w:r>
    </w:p>
    <w:p w14:paraId="7C3296B0">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14:paraId="290BD1FC">
      <w:pPr>
        <w:spacing w:line="578" w:lineRule="exact"/>
        <w:ind w:firstLine="64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14:paraId="2A7FE50F">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32656E12">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项目决策。围绕决策程序、规划论证、资金投向进行绩效分析。</w:t>
      </w:r>
    </w:p>
    <w:p w14:paraId="441F2245">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项目管理。围绕制度办法、分配管理、绩效监管进行绩效分析。</w:t>
      </w:r>
    </w:p>
    <w:p w14:paraId="2A9A9D62">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3.项目实施。</w:t>
      </w:r>
      <w:r>
        <w:rPr>
          <w:rFonts w:hint="eastAsia" w:eastAsia="仿宋_GB2312" w:cs="仿宋_GB2312"/>
          <w:kern w:val="0"/>
          <w:sz w:val="32"/>
          <w:szCs w:val="32"/>
          <w:lang w:val="zh-CN"/>
        </w:rPr>
        <w:t>围绕预算执行、资金使用进行绩效分析。</w:t>
      </w:r>
    </w:p>
    <w:p w14:paraId="218383A8">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4.项目结果。围绕</w:t>
      </w:r>
      <w:r>
        <w:rPr>
          <w:rFonts w:hint="eastAsia" w:eastAsia="仿宋_GB2312" w:cs="仿宋_GB2312"/>
          <w:kern w:val="0"/>
          <w:sz w:val="32"/>
          <w:szCs w:val="32"/>
          <w:lang w:val="zh-CN"/>
        </w:rPr>
        <w:t>目标完成、完成时效进行绩效分析。</w:t>
      </w:r>
    </w:p>
    <w:p w14:paraId="05301A2D">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w:t>
      </w:r>
      <w:r>
        <w:rPr>
          <w:rFonts w:hint="eastAsia" w:eastAsia="仿宋_GB2312" w:cs="仿宋_GB2312"/>
          <w:kern w:val="0"/>
          <w:sz w:val="32"/>
          <w:szCs w:val="32"/>
        </w:rPr>
        <w:t>专项预算项目资金支持对象选择所属指标进行绩效分析。支持对象</w:t>
      </w:r>
      <w:r>
        <w:rPr>
          <w:rFonts w:hint="eastAsia" w:eastAsia="仿宋_GB2312" w:cs="仿宋_GB2312"/>
          <w:kern w:val="0"/>
          <w:sz w:val="32"/>
          <w:szCs w:val="32"/>
          <w:lang w:val="zh-CN"/>
        </w:rPr>
        <w:t>包括产业发展、民生保障、基础设施、行政运转等方面。</w:t>
      </w:r>
    </w:p>
    <w:p w14:paraId="722030B4">
      <w:pPr>
        <w:spacing w:line="578" w:lineRule="exact"/>
        <w:ind w:firstLine="640"/>
        <w:rPr>
          <w:rFonts w:eastAsia="仿宋_GB2312" w:cs="仿宋_GB2312"/>
          <w:kern w:val="0"/>
          <w:sz w:val="32"/>
          <w:szCs w:val="32"/>
        </w:rPr>
      </w:pPr>
      <w:r>
        <w:rPr>
          <w:rFonts w:hint="eastAsia" w:eastAsia="仿宋_GB2312" w:cs="仿宋_GB2312"/>
          <w:kern w:val="0"/>
          <w:sz w:val="32"/>
          <w:szCs w:val="32"/>
        </w:rPr>
        <w:t>1.产业发展。围绕符合性、成长性、经济性进行绩效分析。</w:t>
      </w:r>
    </w:p>
    <w:p w14:paraId="6231BDBC">
      <w:pPr>
        <w:spacing w:line="578" w:lineRule="exact"/>
        <w:ind w:firstLine="640"/>
        <w:rPr>
          <w:rFonts w:eastAsia="仿宋_GB2312" w:cs="仿宋_GB2312"/>
          <w:kern w:val="0"/>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hint="eastAsia" w:eastAsia="仿宋_GB2312" w:cs="仿宋_GB2312"/>
          <w:kern w:val="0"/>
          <w:sz w:val="32"/>
          <w:szCs w:val="32"/>
        </w:rPr>
        <w:t>围绕区域均衡性、对象精准性、标准合理性、群众满意度进行绩效分析。</w:t>
      </w:r>
    </w:p>
    <w:p w14:paraId="6E965D78">
      <w:pPr>
        <w:spacing w:line="578" w:lineRule="exact"/>
        <w:ind w:firstLine="640"/>
        <w:rPr>
          <w:rFonts w:eastAsia="仿宋_GB2312" w:cs="仿宋_GB2312"/>
          <w:kern w:val="0"/>
          <w:sz w:val="32"/>
          <w:szCs w:val="32"/>
        </w:rPr>
      </w:pPr>
      <w:r>
        <w:rPr>
          <w:rFonts w:hint="eastAsia" w:eastAsia="仿宋_GB2312" w:cs="仿宋_GB2312"/>
          <w:kern w:val="0"/>
          <w:sz w:val="32"/>
          <w:szCs w:val="32"/>
        </w:rPr>
        <w:t>3.基础设施。在建项目围绕工程进度和资金拨付进行绩效分析；建成项目围绕项目验收、功能实现、后续管护进行</w:t>
      </w:r>
      <w:r>
        <w:rPr>
          <w:rFonts w:hint="eastAsia" w:eastAsia="仿宋_GB2312" w:cs="仿宋_GB2312"/>
          <w:kern w:val="0"/>
          <w:sz w:val="32"/>
          <w:szCs w:val="32"/>
          <w:lang w:val="zh-CN"/>
        </w:rPr>
        <w:t>绩效分析。</w:t>
      </w:r>
    </w:p>
    <w:p w14:paraId="3D17752D">
      <w:pPr>
        <w:spacing w:line="578" w:lineRule="exact"/>
        <w:ind w:firstLine="640"/>
        <w:rPr>
          <w:rFonts w:eastAsia="仿宋_GB2312" w:cs="仿宋_GB2312"/>
          <w:kern w:val="0"/>
          <w:sz w:val="32"/>
          <w:szCs w:val="32"/>
        </w:rPr>
      </w:pPr>
      <w:r>
        <w:rPr>
          <w:rFonts w:hint="eastAsia" w:eastAsia="仿宋_GB2312" w:cs="仿宋_GB2312"/>
          <w:kern w:val="0"/>
          <w:sz w:val="32"/>
          <w:szCs w:val="32"/>
        </w:rPr>
        <w:t>4.</w:t>
      </w:r>
      <w:r>
        <w:rPr>
          <w:rFonts w:hint="eastAsia" w:eastAsia="仿宋_GB2312" w:cs="仿宋_GB2312"/>
          <w:kern w:val="0"/>
          <w:sz w:val="32"/>
          <w:szCs w:val="32"/>
          <w:lang w:val="zh-CN"/>
        </w:rPr>
        <w:t>行政运转。围绕用途合规性、程序合规性、标准合规性进行绩效分析。</w:t>
      </w:r>
    </w:p>
    <w:p w14:paraId="0726B68E">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根据项目个性自行设定部分指标，反映该项指标执行完成情况。</w:t>
      </w:r>
    </w:p>
    <w:p w14:paraId="1172FA7F">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42510B41">
      <w:pPr>
        <w:spacing w:line="578" w:lineRule="exact"/>
        <w:ind w:firstLine="640"/>
        <w:rPr>
          <w:rFonts w:eastAsia="仿宋_GB2312" w:cs="仿宋_GB2312"/>
          <w:kern w:val="0"/>
          <w:sz w:val="32"/>
          <w:szCs w:val="32"/>
        </w:rPr>
      </w:pPr>
      <w:r>
        <w:rPr>
          <w:rFonts w:hint="eastAsia" w:eastAsia="仿宋_GB2312" w:cs="仿宋_GB2312"/>
          <w:kern w:val="0"/>
          <w:sz w:val="32"/>
          <w:szCs w:val="32"/>
        </w:rPr>
        <w:t>简要阐述专项预算项目绩效自评总体结论，包含评价总分、</w:t>
      </w:r>
      <w:r>
        <w:rPr>
          <w:rFonts w:hint="eastAsia" w:eastAsia="仿宋_GB2312" w:cs="仿宋_GB2312"/>
          <w:kern w:val="0"/>
          <w:sz w:val="32"/>
          <w:szCs w:val="32"/>
          <w:lang w:val="zh-CN"/>
        </w:rPr>
        <w:t>项目实施情况。</w:t>
      </w:r>
    </w:p>
    <w:p w14:paraId="09C04850">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3017D37D">
      <w:pPr>
        <w:spacing w:line="578" w:lineRule="exact"/>
        <w:ind w:firstLine="640"/>
        <w:rPr>
          <w:rFonts w:eastAsia="仿宋_GB2312" w:cs="仿宋_GB2312"/>
          <w:kern w:val="0"/>
          <w:sz w:val="32"/>
          <w:szCs w:val="32"/>
        </w:rPr>
      </w:pPr>
      <w:r>
        <w:rPr>
          <w:rFonts w:hint="eastAsia" w:eastAsia="仿宋_GB2312" w:cs="仿宋_GB2312"/>
          <w:kern w:val="0"/>
          <w:sz w:val="32"/>
          <w:szCs w:val="32"/>
        </w:rPr>
        <w:t>简要阐述专项预算项目绩效自评发现的主要问题。</w:t>
      </w:r>
    </w:p>
    <w:p w14:paraId="46823B19">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373F3D6C">
      <w:pPr>
        <w:spacing w:line="578" w:lineRule="exact"/>
        <w:ind w:firstLine="640"/>
        <w:rPr>
          <w:rFonts w:eastAsia="仿宋_GB2312" w:cs="仿宋_GB2312"/>
          <w:kern w:val="0"/>
          <w:sz w:val="32"/>
          <w:szCs w:val="32"/>
        </w:rPr>
      </w:pPr>
      <w:r>
        <w:rPr>
          <w:rFonts w:hint="eastAsia" w:eastAsia="仿宋_GB2312" w:cs="仿宋_GB2312"/>
          <w:kern w:val="0"/>
          <w:sz w:val="32"/>
          <w:szCs w:val="32"/>
        </w:rPr>
        <w:t>简要阐述专项预算项目在</w:t>
      </w:r>
      <w:r>
        <w:rPr>
          <w:rFonts w:hint="eastAsia" w:eastAsia="仿宋_GB2312" w:cs="仿宋_GB2312"/>
          <w:kern w:val="0"/>
          <w:sz w:val="32"/>
          <w:szCs w:val="32"/>
          <w:lang w:val="en"/>
        </w:rPr>
        <w:t>预算安排、完善政策、改进管理等方面的</w:t>
      </w:r>
      <w:r>
        <w:rPr>
          <w:rFonts w:hint="eastAsia" w:eastAsia="仿宋_GB2312" w:cs="仿宋_GB2312"/>
          <w:kern w:val="0"/>
          <w:sz w:val="32"/>
          <w:szCs w:val="32"/>
        </w:rPr>
        <w:t>措施</w:t>
      </w:r>
      <w:r>
        <w:rPr>
          <w:rFonts w:hint="eastAsia" w:eastAsia="仿宋_GB2312" w:cs="仿宋_GB2312"/>
          <w:kern w:val="0"/>
          <w:sz w:val="32"/>
          <w:szCs w:val="32"/>
          <w:lang w:val="en"/>
        </w:rPr>
        <w:t>建议，其中</w:t>
      </w:r>
      <w:r>
        <w:rPr>
          <w:rFonts w:hint="eastAsia" w:eastAsia="仿宋_GB2312" w:cs="仿宋_GB2312"/>
          <w:kern w:val="0"/>
          <w:sz w:val="32"/>
          <w:szCs w:val="32"/>
        </w:rPr>
        <w:t>必须对应评价发现的主要问题一一提出措施建议。</w:t>
      </w:r>
    </w:p>
    <w:p w14:paraId="00631380">
      <w:pPr>
        <w:spacing w:line="578" w:lineRule="exact"/>
        <w:ind w:firstLine="640"/>
        <w:rPr>
          <w:rFonts w:eastAsia="仿宋_GB2312" w:cs="仿宋_GB2312"/>
          <w:kern w:val="0"/>
          <w:sz w:val="32"/>
          <w:szCs w:val="32"/>
        </w:rPr>
      </w:pPr>
      <w:r>
        <w:rPr>
          <w:rFonts w:hint="eastAsia" w:eastAsia="仿宋_GB2312" w:cs="仿宋_GB2312"/>
          <w:kern w:val="0"/>
          <w:sz w:val="32"/>
          <w:szCs w:val="32"/>
        </w:rPr>
        <w:t>（注：以上绩效自评报告，除涉密敏感内容外，原则上都应予以公开）</w:t>
      </w:r>
    </w:p>
    <w:p w14:paraId="7A3DE6B8">
      <w:pPr>
        <w:spacing w:line="578" w:lineRule="exact"/>
        <w:ind w:firstLine="640"/>
        <w:rPr>
          <w:rFonts w:eastAsia="仿宋_GB2312" w:cs="仿宋_GB2312"/>
          <w:kern w:val="0"/>
          <w:sz w:val="32"/>
          <w:szCs w:val="32"/>
        </w:rPr>
      </w:pPr>
    </w:p>
    <w:p w14:paraId="4237FA01">
      <w:pPr>
        <w:spacing w:line="578" w:lineRule="exact"/>
        <w:ind w:firstLine="640"/>
        <w:rPr>
          <w:rFonts w:eastAsia="仿宋_GB2312" w:cs="仿宋_GB2312"/>
          <w:kern w:val="0"/>
          <w:sz w:val="32"/>
          <w:szCs w:val="32"/>
        </w:rPr>
      </w:pPr>
    </w:p>
    <w:p w14:paraId="661ABCB3">
      <w:pPr>
        <w:spacing w:line="578" w:lineRule="exact"/>
        <w:ind w:firstLine="640"/>
        <w:rPr>
          <w:rFonts w:eastAsia="仿宋_GB2312" w:cs="仿宋_GB2312"/>
          <w:kern w:val="0"/>
          <w:sz w:val="32"/>
          <w:szCs w:val="32"/>
        </w:rPr>
      </w:pPr>
      <w:bookmarkStart w:id="47" w:name="_Toc15396618"/>
      <w:r>
        <w:rPr>
          <w:rFonts w:hint="eastAsia" w:eastAsia="仿宋_GB2312" w:cs="仿宋_GB2312"/>
          <w:kern w:val="0"/>
          <w:sz w:val="32"/>
          <w:szCs w:val="32"/>
        </w:rPr>
        <w:br w:type="page"/>
      </w:r>
    </w:p>
    <w:p w14:paraId="7BE27C7C">
      <w:pPr>
        <w:widowControl/>
        <w:jc w:val="center"/>
        <w:rPr>
          <w:rFonts w:eastAsia="仿宋"/>
        </w:rPr>
      </w:pPr>
      <w:r>
        <w:rPr>
          <w:rFonts w:hint="eastAsia" w:eastAsia="黑体"/>
          <w:sz w:val="44"/>
          <w:szCs w:val="44"/>
        </w:rPr>
        <w:t>第</w:t>
      </w:r>
      <w:r>
        <w:rPr>
          <w:rStyle w:val="30"/>
          <w:rFonts w:hint="eastAsia" w:eastAsia="黑体"/>
          <w:b w:val="0"/>
        </w:rPr>
        <w:t>五部分 附表</w:t>
      </w:r>
      <w:bookmarkEnd w:id="44"/>
      <w:bookmarkEnd w:id="47"/>
      <w:bookmarkStart w:id="48" w:name="_Toc15396619"/>
    </w:p>
    <w:p w14:paraId="227BAD2B">
      <w:pPr>
        <w:pStyle w:val="16"/>
        <w:adjustRightInd w:val="0"/>
        <w:snapToGrid w:val="0"/>
        <w:spacing w:line="560" w:lineRule="exact"/>
        <w:jc w:val="left"/>
        <w:rPr>
          <w:rFonts w:eastAsia="仿宋_GB2312" w:cs="仿宋_GB2312"/>
          <w:sz w:val="32"/>
          <w:szCs w:val="32"/>
        </w:rPr>
      </w:pPr>
    </w:p>
    <w:p w14:paraId="09ED9CFC">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14:paraId="5254CF88">
      <w:pPr>
        <w:pStyle w:val="16"/>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14:paraId="2F5F2926">
      <w:pPr>
        <w:pStyle w:val="16"/>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14:paraId="6246EB0A">
      <w:pPr>
        <w:pStyle w:val="16"/>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6BAEB6DE">
      <w:pPr>
        <w:pStyle w:val="16"/>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3D2920E5">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14:paraId="240F08B6">
      <w:pPr>
        <w:pStyle w:val="16"/>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2CA8AE20">
      <w:pPr>
        <w:pStyle w:val="16"/>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1021E5EC">
      <w:pPr>
        <w:pStyle w:val="16"/>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07043E00">
      <w:pPr>
        <w:pStyle w:val="16"/>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7B15E922">
      <w:pPr>
        <w:pStyle w:val="16"/>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0F22F1B4">
      <w:pPr>
        <w:pStyle w:val="16"/>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3D830803">
      <w:pPr>
        <w:pStyle w:val="16"/>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46D5F740"/>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47AFAE-2F94-493E-A03A-02B6107143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620BA3D-A026-4E30-9923-D7B795883AD1}"/>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D439E1F-1DC0-4190-A134-C3C7A3EE6536}"/>
  </w:font>
  <w:font w:name="仿宋">
    <w:panose1 w:val="02010609060101010101"/>
    <w:charset w:val="86"/>
    <w:family w:val="modern"/>
    <w:pitch w:val="default"/>
    <w:sig w:usb0="800002BF" w:usb1="38CF7CFA" w:usb2="00000016" w:usb3="00000000" w:csb0="00040001" w:csb1="00000000"/>
    <w:embedRegular r:id="rId4" w:fontKey="{95312BDA-74C9-4B18-A661-1349E1705041}"/>
  </w:font>
  <w:font w:name="Arial Unicode MS">
    <w:panose1 w:val="020B0604020202020204"/>
    <w:charset w:val="86"/>
    <w:family w:val="roman"/>
    <w:pitch w:val="default"/>
    <w:sig w:usb0="FFFFFFFF" w:usb1="E9FFFFFF" w:usb2="0000003F" w:usb3="00000000" w:csb0="603F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47B6B3AD-A5A2-422E-9AED-5AF6BDD0B655}"/>
  </w:font>
  <w:font w:name="楷体_GB2312">
    <w:panose1 w:val="02010609030101010101"/>
    <w:charset w:val="86"/>
    <w:family w:val="auto"/>
    <w:pitch w:val="default"/>
    <w:sig w:usb0="00000001" w:usb1="080E0000" w:usb2="00000000" w:usb3="00000000" w:csb0="00040000" w:csb1="00000000"/>
    <w:embedRegular r:id="rId6" w:fontKey="{03413C3E-E705-4A4B-AC01-F7B625E43042}"/>
  </w:font>
  <w:font w:name="方正小标宋_GBK">
    <w:panose1 w:val="02000000000000000000"/>
    <w:charset w:val="86"/>
    <w:family w:val="auto"/>
    <w:pitch w:val="default"/>
    <w:sig w:usb0="A00002BF" w:usb1="38CF7CFA" w:usb2="00082016" w:usb3="00000000" w:csb0="00040001" w:csb1="00000000"/>
    <w:embedRegular r:id="rId7" w:fontKey="{7C8A4EA8-9EB0-445E-8ED8-19A4A1A9B9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7E0E">
    <w:pPr>
      <w:pStyle w:val="12"/>
      <w:jc w:val="center"/>
    </w:pPr>
  </w:p>
  <w:p w14:paraId="036783C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4825">
    <w:pPr>
      <w:pStyle w:val="12"/>
      <w:jc w:val="center"/>
    </w:pPr>
  </w:p>
  <w:p w14:paraId="1C1DB2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1BF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44DE">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0FC43A31"/>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603EA7"/>
    <w:rsid w:val="30AB6865"/>
    <w:rsid w:val="319F7F4E"/>
    <w:rsid w:val="32BD1EF1"/>
    <w:rsid w:val="3304709D"/>
    <w:rsid w:val="33A773CB"/>
    <w:rsid w:val="349D6851"/>
    <w:rsid w:val="35E6413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584802"/>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4A5200"/>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2940"/>
    </w:pPr>
  </w:style>
  <w:style w:type="paragraph" w:styleId="6">
    <w:name w:val="Body Text"/>
    <w:basedOn w:val="1"/>
    <w:next w:val="5"/>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eastAsia="仿宋" w:cs="Arial Unicode MS"/>
      <w:kern w:val="0"/>
      <w:sz w:val="32"/>
      <w:szCs w:val="21"/>
      <w:lang w:bidi="bo-CN"/>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2"/>
    <w:qFormat/>
    <w:uiPriority w:val="9"/>
    <w:rPr>
      <w:rFonts w:ascii="Times New Roman" w:hAnsi="Times New Roman"/>
      <w:b/>
      <w:bCs/>
      <w:kern w:val="44"/>
      <w:sz w:val="44"/>
      <w:szCs w:val="44"/>
    </w:rPr>
  </w:style>
  <w:style w:type="character" w:customStyle="1" w:styleId="31">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1"/>
    <w:semiHidden/>
    <w:qFormat/>
    <w:uiPriority w:val="99"/>
    <w:rPr>
      <w:rFonts w:ascii="Times New Roman" w:hAnsi="Times New Roman"/>
      <w:kern w:val="2"/>
      <w:sz w:val="18"/>
      <w:szCs w:val="18"/>
    </w:rPr>
  </w:style>
  <w:style w:type="character" w:customStyle="1" w:styleId="34">
    <w:name w:val="标题 3 字符"/>
    <w:basedOn w:val="18"/>
    <w:link w:val="4"/>
    <w:qFormat/>
    <w:uiPriority w:val="9"/>
    <w:rPr>
      <w:rFonts w:ascii="Times New Roman" w:hAnsi="Times New Roman"/>
      <w:b/>
      <w:bCs/>
      <w:kern w:val="2"/>
      <w:sz w:val="32"/>
      <w:szCs w:val="32"/>
    </w:rPr>
  </w:style>
  <w:style w:type="paragraph" w:customStyle="1" w:styleId="3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15307\Desktop\&#36164;&#26009;\&#20915;&#31639;&#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5307\Desktop\&#36164;&#26009;\&#20915;&#31639;&#20998;&#26512;&#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15307\Desktop\&#36164;&#26009;\&#20915;&#31639;&#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5307\Desktop\&#36164;&#26009;\&#20915;&#31639;&#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5307\Desktop\&#36164;&#26009;\&#20915;&#31639;&#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'[决算分析图表.xls]1'!$B$33</c:f>
              <c:strCache>
                <c:ptCount val="1"/>
                <c:pt idx="0">
                  <c:v>本年收入结构图</c:v>
                </c:pt>
              </c:strCache>
            </c:strRef>
          </c:tx>
          <c:explosion val="0"/>
          <c:dPt>
            <c:idx val="0"/>
            <c:bubble3D val="0"/>
            <c:explosion val="0"/>
            <c:spPr>
              <a:solidFill>
                <a:srgbClr val="4F81BD"/>
              </a:solidFill>
              <a:ln>
                <a:solidFill>
                  <a:srgbClr val="FFFFFF"/>
                </a:solidFill>
              </a:ln>
              <a:effectLst/>
            </c:spPr>
          </c:dPt>
          <c:dPt>
            <c:idx val="1"/>
            <c:bubble3D val="0"/>
          </c:dPt>
          <c:dLbls>
            <c:delete val="1"/>
          </c:dLbls>
          <c:cat>
            <c:strRef>
              <c:f>'[决算分析图表.xls]1'!$D$32:$E$32</c:f>
              <c:strCache>
                <c:ptCount val="2"/>
                <c:pt idx="0">
                  <c:v>一般公共预算财政拨款收入</c:v>
                </c:pt>
                <c:pt idx="1">
                  <c:v>其他收入</c:v>
                </c:pt>
              </c:strCache>
            </c:strRef>
          </c:cat>
          <c:val>
            <c:numRef>
              <c:f>'[决算分析图表.xls]1'!$D$33:$E$33</c:f>
              <c:numCache>
                <c:formatCode>General</c:formatCode>
                <c:ptCount val="2"/>
                <c:pt idx="0">
                  <c:v>762.03</c:v>
                </c:pt>
                <c:pt idx="1">
                  <c:v>261.78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509735488611315"/>
          <c:y val="0.364740643466842"/>
          <c:w val="0.442321822189567"/>
          <c:h val="0.2245567957977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b0240742-709a-48e8-8691-ce85e6d7d2b6}"/>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'[决算分析图表.xls]1'!$A$17</c:f>
              <c:strCache>
                <c:ptCount val="1"/>
                <c:pt idx="0">
                  <c:v>本年支出结构图</c:v>
                </c:pt>
              </c:strCache>
            </c:strRef>
          </c:tx>
          <c:explosion val="0"/>
          <c:dPt>
            <c:idx val="0"/>
            <c:bubble3D val="0"/>
            <c:explosion val="0"/>
            <c:spPr>
              <a:solidFill>
                <a:srgbClr val="4F81BD"/>
              </a:solidFill>
              <a:ln>
                <a:solidFill>
                  <a:srgbClr val="FFFFFF"/>
                </a:solidFill>
              </a:ln>
              <a:effectLst/>
            </c:spPr>
          </c:dPt>
          <c:dPt>
            <c:idx val="1"/>
            <c:bubble3D val="0"/>
            <c:explosion val="0"/>
            <c:spPr>
              <a:solidFill>
                <a:srgbClr val="C0504D"/>
              </a:solidFill>
              <a:ln>
                <a:solidFill>
                  <a:srgbClr val="FFFFFF"/>
                </a:solidFill>
              </a:ln>
              <a:effectLst/>
            </c:spPr>
          </c:dPt>
          <c:dPt>
            <c:idx val="2"/>
            <c:bubble3D val="0"/>
            <c:explosion val="0"/>
            <c:spPr>
              <a:solidFill>
                <a:srgbClr val="9BBB59"/>
              </a:solidFill>
              <a:ln>
                <a:solidFill>
                  <a:srgbClr val="FFFFFF"/>
                </a:solidFill>
              </a:ln>
              <a:effectLst/>
            </c:spPr>
          </c:dPt>
          <c:dPt>
            <c:idx val="3"/>
            <c:bubble3D val="0"/>
            <c:explosion val="0"/>
            <c:spPr>
              <a:solidFill>
                <a:srgbClr val="8064A2"/>
              </a:solidFill>
              <a:ln>
                <a:solidFill>
                  <a:srgbClr val="FFFFFF"/>
                </a:solidFill>
              </a:ln>
              <a:effectLst/>
            </c:spPr>
          </c:dPt>
          <c:dLbls>
            <c:delete val="1"/>
          </c:dLbls>
          <c:cat>
            <c:strRef>
              <c:f>'[决算分析图表.xls]1'!$B$16:$E$16</c:f>
              <c:strCache>
                <c:ptCount val="4"/>
                <c:pt idx="0">
                  <c:v>社会保障和就业支出</c:v>
                </c:pt>
                <c:pt idx="1">
                  <c:v>卫生健康支出</c:v>
                </c:pt>
                <c:pt idx="2">
                  <c:v>公共安全支出</c:v>
                </c:pt>
                <c:pt idx="3">
                  <c:v>住房保障支出</c:v>
                </c:pt>
              </c:strCache>
            </c:strRef>
          </c:cat>
          <c:val>
            <c:numRef>
              <c:f>'[决算分析图表.xls]1'!$B$17:$E$17</c:f>
              <c:numCache>
                <c:formatCode>General</c:formatCode>
                <c:ptCount val="4"/>
                <c:pt idx="0">
                  <c:v>87.73</c:v>
                </c:pt>
                <c:pt idx="1">
                  <c:v>32.08</c:v>
                </c:pt>
                <c:pt idx="2">
                  <c:v>861.22</c:v>
                </c:pt>
                <c:pt idx="3">
                  <c:v>42.79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198834418923552"/>
          <c:y val="0.683885049108767"/>
          <c:w val="0.75934178950977"/>
          <c:h val="0.27282648235722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27016f0a-a5c0-4acc-89fb-de6657c595b0}"/>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'[决算分析图表.xls]1'!$B$33</c:f>
              <c:strCache>
                <c:ptCount val="1"/>
                <c:pt idx="0">
                  <c:v>本年收入结构图</c:v>
                </c:pt>
              </c:strCache>
            </c:strRef>
          </c:tx>
          <c:spPr/>
          <c:explosion val="0"/>
          <c:dPt>
            <c:idx val="0"/>
            <c:bubble3D val="0"/>
            <c:explosion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'[决算分析图表.xls]1'!$D$32:$E$32</c:f>
              <c:strCache>
                <c:ptCount val="2"/>
                <c:pt idx="0">
                  <c:v>一般公共预算财政拨款收入</c:v>
                </c:pt>
                <c:pt idx="1">
                  <c:v>其他收入</c:v>
                </c:pt>
              </c:strCache>
            </c:strRef>
          </c:cat>
          <c:val>
            <c:numRef>
              <c:f>'[决算分析图表.xls]1'!$D$33:$E$33</c:f>
              <c:numCache>
                <c:formatCode>General</c:formatCode>
                <c:ptCount val="2"/>
                <c:pt idx="0">
                  <c:v>762.03</c:v>
                </c:pt>
                <c:pt idx="1">
                  <c:v>261.78</c:v>
                </c:pt>
              </c:numCache>
            </c:numRef>
          </c:val>
        </c:ser>
        <c:dLbls>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extLst>
      <c:ext uri="{0b15fc19-7d7d-44ad-8c2d-2c3a37ce22c3}">
        <chartProps xmlns="https://web.wps.cn/et/2018/main" chartId="{b0240742-709a-48e8-8691-ce85e6d7d2b6}"/>
      </c:ext>
    </c:extLst>
  </c:chart>
  <c:spPr>
    <a:solidFill>
      <a:schemeClr val="lt1">
        <a:lumMod val="96000"/>
      </a:schemeClr>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'[决算分析图表.xls]1'!$B$129</c:f>
              <c:strCache>
                <c:ptCount val="1"/>
                <c:pt idx="0">
                  <c:v>财政拨款支出结构图</c:v>
                </c:pt>
              </c:strCache>
            </c:strRef>
          </c:tx>
          <c:explosion val="0"/>
          <c:dPt>
            <c:idx val="0"/>
            <c:bubble3D val="0"/>
            <c:explosion val="0"/>
            <c:spPr>
              <a:solidFill>
                <a:srgbClr val="4F81BD"/>
              </a:solidFill>
              <a:ln>
                <a:solidFill>
                  <a:srgbClr val="FFFFFF"/>
                </a:solidFill>
              </a:ln>
              <a:effectLst/>
            </c:spPr>
          </c:dPt>
          <c:dPt>
            <c:idx val="1"/>
            <c:bubble3D val="0"/>
            <c:explosion val="0"/>
            <c:spPr>
              <a:solidFill>
                <a:srgbClr val="C0504D"/>
              </a:solidFill>
              <a:ln>
                <a:solidFill>
                  <a:srgbClr val="FFFFFF"/>
                </a:solidFill>
              </a:ln>
              <a:effectLst/>
            </c:spPr>
          </c:dPt>
          <c:dLbls>
            <c:delete val="1"/>
          </c:dLbls>
          <c:cat>
            <c:strRef>
              <c:f>'[决算分析图表.xls]1'!$C$128:$D$128</c:f>
              <c:strCache>
                <c:ptCount val="2"/>
                <c:pt idx="0">
                  <c:v>基本支出</c:v>
                </c:pt>
                <c:pt idx="1">
                  <c:v>项目支出</c:v>
                </c:pt>
              </c:strCache>
            </c:strRef>
          </c:cat>
          <c:val>
            <c:numRef>
              <c:f>'[决算分析图表.xls]1'!$C$129:$D$129</c:f>
              <c:numCache>
                <c:formatCode>General</c:formatCode>
                <c:ptCount val="2"/>
                <c:pt idx="0">
                  <c:v>765.71</c:v>
                </c:pt>
                <c:pt idx="1" c:formatCode="#,##0.00">
                  <c:v>258.1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434393193013883"/>
          <c:y val="0.868069967388082"/>
          <c:w val="0.911330049261084"/>
          <c:h val="0.1120664097242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1bd1718a-74a7-4404-a3a9-60c8cd50604c}"/>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'[决算分析图表.xls]1'!$A$17</c:f>
              <c:strCache>
                <c:ptCount val="1"/>
                <c:pt idx="0">
                  <c:v>本年支出结构图</c:v>
                </c:pt>
              </c:strCache>
            </c:strRef>
          </c:tx>
          <c:explosion val="0"/>
          <c:dPt>
            <c:idx val="0"/>
            <c:bubble3D val="0"/>
            <c:explosion val="0"/>
            <c:spPr>
              <a:solidFill>
                <a:srgbClr val="4F81BD"/>
              </a:solidFill>
              <a:ln>
                <a:solidFill>
                  <a:srgbClr val="FFFFFF"/>
                </a:solidFill>
              </a:ln>
              <a:effectLst/>
            </c:spPr>
          </c:dPt>
          <c:dPt>
            <c:idx val="1"/>
            <c:bubble3D val="0"/>
            <c:explosion val="0"/>
            <c:spPr>
              <a:solidFill>
                <a:srgbClr val="C0504D"/>
              </a:solidFill>
              <a:ln>
                <a:solidFill>
                  <a:srgbClr val="FFFFFF"/>
                </a:solidFill>
              </a:ln>
              <a:effectLst/>
            </c:spPr>
          </c:dPt>
          <c:dPt>
            <c:idx val="2"/>
            <c:bubble3D val="0"/>
            <c:explosion val="0"/>
            <c:spPr>
              <a:solidFill>
                <a:srgbClr val="9BBB59"/>
              </a:solidFill>
              <a:ln>
                <a:solidFill>
                  <a:srgbClr val="FFFFFF"/>
                </a:solidFill>
              </a:ln>
              <a:effectLst/>
            </c:spPr>
          </c:dPt>
          <c:dPt>
            <c:idx val="3"/>
            <c:bubble3D val="0"/>
            <c:explosion val="0"/>
            <c:spPr>
              <a:solidFill>
                <a:srgbClr val="8064A2"/>
              </a:solidFill>
              <a:ln>
                <a:solidFill>
                  <a:srgbClr val="FFFFFF"/>
                </a:solidFill>
              </a:ln>
              <a:effectLst/>
            </c:spPr>
          </c:dPt>
          <c:dLbls>
            <c:delete val="1"/>
          </c:dLbls>
          <c:cat>
            <c:strRef>
              <c:f>'[决算分析图表.xls]1'!$B$16:$E$16</c:f>
              <c:strCache>
                <c:ptCount val="4"/>
                <c:pt idx="0">
                  <c:v>社会保障和就业支出</c:v>
                </c:pt>
                <c:pt idx="1">
                  <c:v>卫生健康支出</c:v>
                </c:pt>
                <c:pt idx="2">
                  <c:v>公共安全支出</c:v>
                </c:pt>
                <c:pt idx="3">
                  <c:v>住房保障支出</c:v>
                </c:pt>
              </c:strCache>
            </c:strRef>
          </c:cat>
          <c:val>
            <c:numRef>
              <c:f>'[决算分析图表.xls]1'!$B$17:$E$17</c:f>
              <c:numCache>
                <c:formatCode>General</c:formatCode>
                <c:ptCount val="4"/>
                <c:pt idx="0">
                  <c:v>87.73</c:v>
                </c:pt>
                <c:pt idx="1">
                  <c:v>32.08</c:v>
                </c:pt>
                <c:pt idx="2">
                  <c:v>861.22</c:v>
                </c:pt>
                <c:pt idx="3">
                  <c:v>42.79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198834418923552"/>
          <c:y val="0.683885049108767"/>
          <c:w val="0.75934178950977"/>
          <c:h val="0.27282648235722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27016f0a-a5c0-4acc-89fb-de6657c595b0}"/>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6744</Words>
  <Characters>7282</Characters>
  <Lines>60</Lines>
  <Paragraphs>17</Paragraphs>
  <TotalTime>39</TotalTime>
  <ScaleCrop>false</ScaleCrop>
  <LinksUpToDate>false</LinksUpToDate>
  <CharactersWithSpaces>7327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点子王</cp:lastModifiedBy>
  <cp:lastPrinted>2025-09-19T08:33:59Z</cp:lastPrinted>
  <dcterms:modified xsi:type="dcterms:W3CDTF">2025-09-19T08:34:46Z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7944811327D34FC086D2DF622F954994_13</vt:lpwstr>
  </property>
  <property fmtid="{D5CDD505-2E9C-101B-9397-08002B2CF9AE}" pid="4" name="KSOTemplateDocerSaveRecord">
    <vt:lpwstr>eyJoZGlkIjoiNTNmY2RlZjJlZjY1MzI4MGQ5ZjRjYTFkZDc1ODAwOGEiLCJ1c2VySWQiOiI5NDI1NzQxODYifQ==</vt:lpwstr>
  </property>
</Properties>
</file>