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center"/>
        <w:rPr>
          <w:rFonts w:hint="eastAsia" w:ascii="Times New Roman" w:eastAsia="方正小标宋简体" w:cs="Times New Roman"/>
          <w:color w:val="auto"/>
          <w:kern w:val="2"/>
          <w:sz w:val="44"/>
          <w:szCs w:val="44"/>
          <w:highlight w:val="none"/>
          <w:lang w:val="en-US" w:eastAsia="zh-CN" w:bidi="ar-SA"/>
        </w:rPr>
      </w:pPr>
      <w:bookmarkStart w:id="0" w:name="_Toc15306267"/>
      <w:bookmarkStart w:id="1" w:name="_Toc15396476"/>
      <w:bookmarkStart w:id="2" w:name="_Toc15378442"/>
      <w:bookmarkStart w:id="3" w:name="_Toc15377426"/>
      <w:bookmarkStart w:id="4" w:name="_Toc15377194"/>
      <w:bookmarkStart w:id="5"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0"/>
      <w:bookmarkStart w:id="6" w:name="_Toc15306268"/>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壤塘县人民法院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1"/>
      <w:bookmarkEnd w:id="2"/>
      <w:bookmarkEnd w:id="3"/>
      <w:bookmarkEnd w:id="4"/>
      <w:bookmarkEnd w:id="5"/>
      <w:bookmarkEnd w:id="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sdt>
      <w:sdtPr>
        <w:rPr>
          <w:rFonts w:ascii="宋体" w:hAnsi="宋体" w:eastAsia="宋体" w:cs="Times New Roman"/>
          <w:kern w:val="2"/>
          <w:sz w:val="21"/>
          <w:szCs w:val="24"/>
          <w:lang w:val="en-US" w:eastAsia="zh-CN" w:bidi="ar-SA"/>
        </w:rPr>
        <w:id w:val="147481172"/>
        <w15:color w:val="DBDBDB"/>
        <w:docPartObj>
          <w:docPartGallery w:val="Table of Contents"/>
          <w:docPartUnique/>
        </w:docPartObj>
      </w:sdtPr>
      <w:sdtEndPr>
        <w:rPr>
          <w:rFonts w:hint="eastAsia" w:ascii="Times New Roman" w:hAnsi="Times New Roman" w:eastAsia="黑体" w:cs="Times New Roman"/>
          <w:b/>
          <w:color w:val="auto"/>
          <w:kern w:val="2"/>
          <w:sz w:val="21"/>
          <w:szCs w:val="48"/>
          <w:highlight w:val="none"/>
          <w:lang w:val="en-US" w:eastAsia="zh-CN" w:bidi="ar-SA"/>
        </w:rPr>
      </w:sdtEndPr>
      <w:sdtContent>
        <w:p>
          <w:pPr>
            <w:widowControl/>
            <w:jc w:val="center"/>
            <w:outlineLvl w:val="0"/>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outlineLvl w:val="0"/>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日</w:t>
          </w:r>
        </w:p>
        <w:p>
          <w:pPr>
            <w:pStyle w:val="37"/>
            <w:tabs>
              <w:tab w:val="right" w:leader="dot" w:pos="8306"/>
            </w:tabs>
            <w:rPr>
              <w:b/>
            </w:rPr>
          </w:pPr>
          <w:r>
            <w:rPr>
              <w:rFonts w:hint="eastAsia" w:ascii="Times New Roman" w:hAnsi="Times New Roman" w:eastAsia="黑体"/>
              <w:color w:val="auto"/>
              <w:sz w:val="48"/>
              <w:szCs w:val="48"/>
              <w:highlight w:val="none"/>
            </w:rPr>
            <w:fldChar w:fldCharType="begin"/>
          </w:r>
          <w:r>
            <w:rPr>
              <w:rFonts w:hint="eastAsia" w:ascii="Times New Roman" w:hAnsi="Times New Roman" w:eastAsia="黑体"/>
              <w:color w:val="auto"/>
              <w:sz w:val="48"/>
              <w:szCs w:val="48"/>
              <w:highlight w:val="none"/>
            </w:rPr>
            <w:instrText xml:space="preserve">TOC \o "1-2" \h \u </w:instrText>
          </w:r>
          <w:r>
            <w:rPr>
              <w:rFonts w:hint="eastAsia" w:ascii="Times New Roman" w:hAnsi="Times New Roman" w:eastAsia="黑体"/>
              <w:color w:val="auto"/>
              <w:sz w:val="48"/>
              <w:szCs w:val="48"/>
              <w:highlight w:val="none"/>
            </w:rPr>
            <w:fldChar w:fldCharType="separate"/>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_Toc13564 </w:instrText>
          </w:r>
          <w:r>
            <w:rPr>
              <w:rFonts w:hint="eastAsia" w:ascii="Times New Roman" w:hAnsi="Times New Roman" w:eastAsia="黑体"/>
              <w:b/>
              <w:szCs w:val="48"/>
              <w:highlight w:val="none"/>
            </w:rPr>
            <w:fldChar w:fldCharType="separate"/>
          </w:r>
          <w:r>
            <w:rPr>
              <w:rFonts w:hint="eastAsia" w:ascii="Times New Roman" w:hAnsi="Times New Roman" w:eastAsia="方正小标宋简体" w:cs="方正小标宋简体"/>
              <w:b/>
              <w:highlight w:val="none"/>
            </w:rPr>
            <w:t>第一部分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ascii="Times New Roman" w:hAnsi="Times New Roman" w:eastAsia="方正小标宋简体" w:cs="方正小标宋简体"/>
              <w:b/>
              <w:bCs w:val="0"/>
              <w:highlight w:val="none"/>
            </w:rPr>
            <w:t>部门概况</w:t>
          </w:r>
          <w:r>
            <w:rPr>
              <w:b/>
            </w:rPr>
            <w:tab/>
          </w:r>
          <w:r>
            <w:rPr>
              <w:b/>
            </w:rPr>
            <w:fldChar w:fldCharType="begin"/>
          </w:r>
          <w:r>
            <w:rPr>
              <w:b/>
            </w:rPr>
            <w:instrText xml:space="preserve"> PAGEREF _Toc13564 </w:instrText>
          </w:r>
          <w:r>
            <w:rPr>
              <w:b/>
            </w:rPr>
            <w:fldChar w:fldCharType="separate"/>
          </w:r>
          <w:r>
            <w:rPr>
              <w:b/>
            </w:rPr>
            <w:t>- 1 -</w:t>
          </w:r>
          <w:r>
            <w:rPr>
              <w:b/>
            </w:rPr>
            <w:fldChar w:fldCharType="end"/>
          </w:r>
          <w:r>
            <w:rPr>
              <w:rFonts w:hint="eastAsia" w:ascii="Times New Roman" w:hAnsi="Times New Roman" w:eastAsia="黑体"/>
              <w:b/>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_Toc21470 </w:instrText>
          </w:r>
          <w:r>
            <w:rPr>
              <w:rFonts w:hint="eastAsia" w:ascii="Times New Roman" w:hAnsi="Times New Roman" w:eastAsia="黑体"/>
              <w:szCs w:val="48"/>
              <w:highlight w:val="none"/>
            </w:rPr>
            <w:fldChar w:fldCharType="separate"/>
          </w:r>
          <w:r>
            <w:rPr>
              <w:rFonts w:hint="eastAsia" w:ascii="黑体" w:hAnsi="黑体" w:eastAsia="黑体"/>
              <w:szCs w:val="32"/>
              <w:highlight w:val="none"/>
              <w:lang w:val="en-US" w:eastAsia="zh-CN"/>
            </w:rPr>
            <w:t>一、部门职责</w:t>
          </w:r>
          <w:r>
            <w:tab/>
          </w:r>
          <w:r>
            <w:fldChar w:fldCharType="begin"/>
          </w:r>
          <w:r>
            <w:instrText xml:space="preserve"> PAGEREF _Toc21470 </w:instrText>
          </w:r>
          <w:r>
            <w:fldChar w:fldCharType="separate"/>
          </w:r>
          <w:r>
            <w:t>- 1 -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_Toc6748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_Toc6748 </w:instrText>
          </w:r>
          <w:r>
            <w:fldChar w:fldCharType="separate"/>
          </w:r>
          <w:r>
            <w:t>- 2 -</w:t>
          </w:r>
          <w:r>
            <w:fldChar w:fldCharType="end"/>
          </w:r>
          <w:r>
            <w:rPr>
              <w:rFonts w:hint="eastAsia" w:ascii="Times New Roman" w:hAnsi="Times New Roman" w:eastAsia="黑体"/>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_Toc2599 </w:instrText>
          </w:r>
          <w:r>
            <w:rPr>
              <w:rFonts w:hint="eastAsia" w:ascii="Times New Roman" w:hAnsi="Times New Roman" w:eastAsia="黑体"/>
              <w:b/>
              <w:szCs w:val="48"/>
              <w:highlight w:val="none"/>
            </w:rPr>
            <w:fldChar w:fldCharType="separate"/>
          </w:r>
          <w:r>
            <w:rPr>
              <w:rFonts w:hint="eastAsia" w:ascii="Times New Roman" w:hAnsi="Times New Roman" w:eastAsia="方正小标宋简体" w:cs="方正小标宋简体"/>
              <w:b/>
              <w:highlight w:val="none"/>
            </w:rPr>
            <w:t>第二部分</w:t>
          </w:r>
          <w:r>
            <w:rPr>
              <w:rFonts w:hint="eastAsia" w:ascii="Times New Roman" w:hAnsi="Times New Roman" w:eastAsia="方正小标宋简体" w:cs="方正小标宋简体"/>
              <w:b/>
              <w:highlight w:val="none"/>
              <w:lang w:val="en-US" w:eastAsia="zh-CN"/>
            </w:rPr>
            <w:t xml:space="preserve"> </w:t>
          </w:r>
          <w:r>
            <w:rPr>
              <w:rFonts w:hint="eastAsia" w:ascii="Times New Roman" w:hAnsi="Times New Roman" w:eastAsia="方正小标宋简体" w:cs="方正小标宋简体"/>
              <w:b/>
              <w:highlight w:val="none"/>
            </w:rPr>
            <w:t xml:space="preserve"> </w:t>
          </w:r>
          <w:r>
            <w:rPr>
              <w:rFonts w:hint="eastAsia" w:eastAsia="方正小标宋简体" w:cs="方正小标宋简体"/>
              <w:b/>
              <w:highlight w:val="none"/>
              <w:lang w:val="en-US" w:eastAsia="zh-CN"/>
            </w:rPr>
            <w:t>2025年度</w:t>
          </w:r>
          <w:r>
            <w:rPr>
              <w:rFonts w:hint="eastAsia" w:ascii="Times New Roman" w:hAnsi="Times New Roman" w:eastAsia="方正小标宋简体" w:cs="方正小标宋简体"/>
              <w:b/>
              <w:highlight w:val="none"/>
            </w:rPr>
            <w:t>部门决算情况说明</w:t>
          </w:r>
          <w:r>
            <w:rPr>
              <w:b/>
            </w:rPr>
            <w:tab/>
          </w:r>
          <w:r>
            <w:rPr>
              <w:b/>
            </w:rPr>
            <w:fldChar w:fldCharType="begin"/>
          </w:r>
          <w:r>
            <w:rPr>
              <w:b/>
            </w:rPr>
            <w:instrText xml:space="preserve"> PAGEREF _Toc2599 </w:instrText>
          </w:r>
          <w:r>
            <w:rPr>
              <w:b/>
            </w:rPr>
            <w:fldChar w:fldCharType="separate"/>
          </w:r>
          <w:r>
            <w:rPr>
              <w:b/>
            </w:rPr>
            <w:t>- 3 -</w:t>
          </w:r>
          <w:r>
            <w:rPr>
              <w:b/>
            </w:rPr>
            <w:fldChar w:fldCharType="end"/>
          </w:r>
          <w:r>
            <w:rPr>
              <w:rFonts w:hint="eastAsia" w:ascii="Times New Roman" w:hAnsi="Times New Roman" w:eastAsia="黑体"/>
              <w:b/>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_Toc10981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_Toc10981 </w:instrText>
          </w:r>
          <w:r>
            <w:fldChar w:fldCharType="separate"/>
          </w:r>
          <w:r>
            <w:t>- 3 -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_Toc2687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_Toc2687 </w:instrText>
          </w:r>
          <w:r>
            <w:fldChar w:fldCharType="separate"/>
          </w:r>
          <w:r>
            <w:t>- 3 -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_Toc12197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_Toc12197 </w:instrText>
          </w:r>
          <w:r>
            <w:fldChar w:fldCharType="separate"/>
          </w:r>
          <w:r>
            <w:t>- 4 -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_Toc6147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_Toc6147 </w:instrText>
          </w:r>
          <w:r>
            <w:fldChar w:fldCharType="separate"/>
          </w:r>
          <w:r>
            <w:t>- 4 -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_Toc11369 </w:instrText>
          </w:r>
          <w:r>
            <w:rPr>
              <w:rFonts w:hint="eastAsia" w:ascii="Times New Roman" w:hAnsi="Times New Roman" w:eastAsia="黑体"/>
              <w:szCs w:val="48"/>
              <w:highlight w:val="none"/>
            </w:rPr>
            <w:fldChar w:fldCharType="separate"/>
          </w:r>
          <w:r>
            <w:t>表 4</w:t>
          </w:r>
          <w:r>
            <w:rPr>
              <w:rFonts w:hint="eastAsia"/>
              <w:lang w:eastAsia="zh-CN"/>
            </w:rPr>
            <w:t>财政拨款收、支决算总计变动情况</w:t>
          </w:r>
          <w:r>
            <w:tab/>
          </w:r>
          <w:r>
            <w:fldChar w:fldCharType="begin"/>
          </w:r>
          <w:r>
            <w:instrText xml:space="preserve"> PAGEREF _Toc11369 </w:instrText>
          </w:r>
          <w:r>
            <w:fldChar w:fldCharType="separate"/>
          </w:r>
          <w:r>
            <w:t>- 5 -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_Toc18410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_Toc18410 </w:instrText>
          </w:r>
          <w:r>
            <w:fldChar w:fldCharType="separate"/>
          </w:r>
          <w:r>
            <w:t>- 5 -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_Toc26555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_Toc26555 </w:instrText>
          </w:r>
          <w:r>
            <w:fldChar w:fldCharType="separate"/>
          </w:r>
          <w:r>
            <w:t>- 7 -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_Toc31744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_Toc31744 </w:instrText>
          </w:r>
          <w:r>
            <w:fldChar w:fldCharType="separate"/>
          </w:r>
          <w:r>
            <w:t>- 8 -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_Toc17402 </w:instrText>
          </w:r>
          <w:r>
            <w:rPr>
              <w:rFonts w:hint="eastAsia" w:ascii="Times New Roman" w:hAnsi="Times New Roman" w:eastAsia="黑体"/>
              <w:szCs w:val="48"/>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_Toc17402 </w:instrText>
          </w:r>
          <w:r>
            <w:fldChar w:fldCharType="separate"/>
          </w:r>
          <w:r>
            <w:t>- 9 -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_Toc32220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_Toc32220 </w:instrText>
          </w:r>
          <w:r>
            <w:fldChar w:fldCharType="separate"/>
          </w:r>
          <w:r>
            <w:t>- 10 -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_Toc31285 </w:instrText>
          </w:r>
          <w:r>
            <w:rPr>
              <w:rFonts w:hint="eastAsia" w:ascii="Times New Roman" w:hAnsi="Times New Roman" w:eastAsia="黑体"/>
              <w:szCs w:val="48"/>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_Toc31285 </w:instrText>
          </w:r>
          <w:r>
            <w:fldChar w:fldCharType="separate"/>
          </w:r>
          <w:r>
            <w:t>- 10 -</w:t>
          </w:r>
          <w:r>
            <w:fldChar w:fldCharType="end"/>
          </w:r>
          <w:r>
            <w:rPr>
              <w:rFonts w:hint="eastAsia" w:ascii="Times New Roman" w:hAnsi="Times New Roman" w:eastAsia="黑体"/>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_Toc3227 </w:instrText>
          </w:r>
          <w:r>
            <w:rPr>
              <w:rFonts w:hint="eastAsia" w:ascii="Times New Roman" w:hAnsi="Times New Roman" w:eastAsia="黑体"/>
              <w:b/>
              <w:szCs w:val="48"/>
              <w:highlight w:val="none"/>
            </w:rPr>
            <w:fldChar w:fldCharType="separate"/>
          </w:r>
          <w:r>
            <w:rPr>
              <w:rFonts w:hint="eastAsia" w:ascii="Times New Roman" w:hAnsi="Times New Roman" w:eastAsia="黑体"/>
              <w:b/>
              <w:szCs w:val="44"/>
              <w:highlight w:val="none"/>
            </w:rPr>
            <w:t>第</w:t>
          </w:r>
          <w:r>
            <w:rPr>
              <w:rFonts w:hint="eastAsia" w:eastAsia="黑体"/>
              <w:b/>
              <w:szCs w:val="44"/>
              <w:highlight w:val="none"/>
              <w:lang w:eastAsia="zh-CN"/>
            </w:rPr>
            <w:t>三</w:t>
          </w:r>
          <w:r>
            <w:rPr>
              <w:rFonts w:hint="eastAsia" w:ascii="Times New Roman" w:hAnsi="Times New Roman" w:eastAsia="黑体"/>
              <w:b/>
              <w:szCs w:val="44"/>
              <w:highlight w:val="none"/>
            </w:rPr>
            <w:t>部分</w:t>
          </w:r>
          <w:r>
            <w:rPr>
              <w:rFonts w:hint="eastAsia" w:ascii="Times New Roman" w:hAnsi="Times New Roman" w:eastAsia="黑体"/>
              <w:b/>
              <w:szCs w:val="44"/>
              <w:highlight w:val="none"/>
              <w:lang w:val="en-US" w:eastAsia="zh-CN"/>
            </w:rPr>
            <w:t xml:space="preserve"> </w:t>
          </w:r>
          <w:r>
            <w:rPr>
              <w:rFonts w:hint="eastAsia" w:eastAsia="黑体"/>
              <w:b/>
              <w:szCs w:val="44"/>
              <w:highlight w:val="none"/>
              <w:lang w:val="en-US" w:eastAsia="zh-CN"/>
            </w:rPr>
            <w:t xml:space="preserve"> </w:t>
          </w:r>
          <w:r>
            <w:rPr>
              <w:rFonts w:hint="eastAsia" w:ascii="Times New Roman" w:hAnsi="Times New Roman" w:eastAsia="黑体"/>
              <w:b/>
              <w:szCs w:val="44"/>
              <w:highlight w:val="none"/>
            </w:rPr>
            <w:t>名词解释</w:t>
          </w:r>
          <w:r>
            <w:rPr>
              <w:b/>
            </w:rPr>
            <w:tab/>
          </w:r>
          <w:r>
            <w:rPr>
              <w:b/>
            </w:rPr>
            <w:fldChar w:fldCharType="begin"/>
          </w:r>
          <w:r>
            <w:rPr>
              <w:b/>
            </w:rPr>
            <w:instrText xml:space="preserve"> PAGEREF _Toc3227 </w:instrText>
          </w:r>
          <w:r>
            <w:rPr>
              <w:b/>
            </w:rPr>
            <w:fldChar w:fldCharType="separate"/>
          </w:r>
          <w:r>
            <w:rPr>
              <w:b/>
            </w:rPr>
            <w:t>- 12 -</w:t>
          </w:r>
          <w:r>
            <w:rPr>
              <w:b/>
            </w:rPr>
            <w:fldChar w:fldCharType="end"/>
          </w:r>
          <w:r>
            <w:rPr>
              <w:rFonts w:hint="eastAsia" w:ascii="Times New Roman" w:hAnsi="Times New Roman" w:eastAsia="黑体"/>
              <w:b/>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_Toc16733 </w:instrText>
          </w:r>
          <w:r>
            <w:rPr>
              <w:rFonts w:hint="eastAsia" w:ascii="Times New Roman" w:hAnsi="Times New Roman" w:eastAsia="黑体"/>
              <w:b/>
              <w:szCs w:val="48"/>
              <w:highlight w:val="none"/>
            </w:rPr>
            <w:fldChar w:fldCharType="separate"/>
          </w:r>
          <w:r>
            <w:rPr>
              <w:rFonts w:hint="eastAsia" w:ascii="Times New Roman" w:hAnsi="Times New Roman" w:eastAsia="黑体"/>
              <w:b/>
              <w:szCs w:val="44"/>
              <w:highlight w:val="none"/>
            </w:rPr>
            <w:t>第四部分</w:t>
          </w:r>
          <w:r>
            <w:rPr>
              <w:rFonts w:hint="eastAsia" w:ascii="Times New Roman" w:hAnsi="Times New Roman" w:eastAsia="黑体"/>
              <w:b/>
              <w:szCs w:val="44"/>
              <w:highlight w:val="none"/>
              <w:lang w:val="en-US" w:eastAsia="zh-CN"/>
            </w:rPr>
            <w:t xml:space="preserve"> </w:t>
          </w:r>
          <w:r>
            <w:rPr>
              <w:rFonts w:hint="eastAsia" w:ascii="Times New Roman" w:hAnsi="Times New Roman" w:eastAsia="黑体"/>
              <w:b/>
              <w:szCs w:val="44"/>
              <w:highlight w:val="none"/>
            </w:rPr>
            <w:t xml:space="preserve"> 附件</w:t>
          </w:r>
          <w:r>
            <w:rPr>
              <w:b/>
            </w:rPr>
            <w:tab/>
          </w:r>
          <w:r>
            <w:rPr>
              <w:b/>
            </w:rPr>
            <w:fldChar w:fldCharType="begin"/>
          </w:r>
          <w:r>
            <w:rPr>
              <w:b/>
            </w:rPr>
            <w:instrText xml:space="preserve"> PAGEREF _Toc16733 </w:instrText>
          </w:r>
          <w:r>
            <w:rPr>
              <w:b/>
            </w:rPr>
            <w:fldChar w:fldCharType="separate"/>
          </w:r>
          <w:r>
            <w:rPr>
              <w:b/>
            </w:rPr>
            <w:t>- 16 -</w:t>
          </w:r>
          <w:r>
            <w:rPr>
              <w:b/>
            </w:rPr>
            <w:fldChar w:fldCharType="end"/>
          </w:r>
          <w:r>
            <w:rPr>
              <w:rFonts w:hint="eastAsia" w:ascii="Times New Roman" w:hAnsi="Times New Roman" w:eastAsia="黑体"/>
              <w:b/>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_Toc13769 </w:instrText>
          </w:r>
          <w:r>
            <w:rPr>
              <w:rFonts w:hint="eastAsia" w:ascii="Times New Roman" w:hAnsi="Times New Roman" w:eastAsia="黑体"/>
              <w:b/>
              <w:szCs w:val="48"/>
              <w:highlight w:val="none"/>
            </w:rPr>
            <w:fldChar w:fldCharType="separate"/>
          </w:r>
          <w:r>
            <w:rPr>
              <w:rFonts w:hint="eastAsia" w:ascii="Times New Roman" w:hAnsi="Times New Roman" w:eastAsia="黑体" w:cs="黑体"/>
              <w:b/>
              <w:szCs w:val="32"/>
              <w:highlight w:val="none"/>
            </w:rPr>
            <w:t>附件</w:t>
          </w:r>
          <w:r>
            <w:rPr>
              <w:rFonts w:hint="eastAsia" w:ascii="Times New Roman" w:hAnsi="Times New Roman" w:eastAsia="黑体" w:cs="黑体"/>
              <w:b/>
              <w:szCs w:val="32"/>
              <w:highlight w:val="none"/>
              <w:lang w:val="en-US" w:eastAsia="zh-CN"/>
            </w:rPr>
            <w:t>1</w:t>
          </w:r>
          <w:r>
            <w:rPr>
              <w:b/>
            </w:rPr>
            <w:tab/>
          </w:r>
          <w:r>
            <w:rPr>
              <w:b/>
            </w:rPr>
            <w:fldChar w:fldCharType="begin"/>
          </w:r>
          <w:r>
            <w:rPr>
              <w:b/>
            </w:rPr>
            <w:instrText xml:space="preserve"> PAGEREF _Toc13769 </w:instrText>
          </w:r>
          <w:r>
            <w:rPr>
              <w:b/>
            </w:rPr>
            <w:fldChar w:fldCharType="separate"/>
          </w:r>
          <w:r>
            <w:rPr>
              <w:b/>
            </w:rPr>
            <w:t>- 16 -</w:t>
          </w:r>
          <w:r>
            <w:rPr>
              <w:b/>
            </w:rPr>
            <w:fldChar w:fldCharType="end"/>
          </w:r>
          <w:r>
            <w:rPr>
              <w:rFonts w:hint="eastAsia" w:ascii="Times New Roman" w:hAnsi="Times New Roman" w:eastAsia="黑体"/>
              <w:b/>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_Toc18719 </w:instrText>
          </w:r>
          <w:r>
            <w:rPr>
              <w:rFonts w:hint="eastAsia" w:ascii="Times New Roman" w:hAnsi="Times New Roman" w:eastAsia="黑体"/>
              <w:b/>
              <w:szCs w:val="48"/>
              <w:highlight w:val="none"/>
            </w:rPr>
            <w:fldChar w:fldCharType="separate"/>
          </w:r>
          <w:r>
            <w:rPr>
              <w:rFonts w:hint="default" w:ascii="Times New Roman" w:hAnsi="Times New Roman" w:eastAsia="仿宋_GB2312" w:cs="Times New Roman"/>
              <w:b/>
              <w:szCs w:val="32"/>
              <w:highlight w:val="none"/>
              <w:shd w:val="clear" w:color="auto" w:fill="FFFFFF"/>
            </w:rPr>
            <w:t>（报告范围包括机关和下属单位）</w:t>
          </w:r>
          <w:r>
            <w:rPr>
              <w:b/>
            </w:rPr>
            <w:tab/>
          </w:r>
          <w:r>
            <w:rPr>
              <w:b/>
            </w:rPr>
            <w:fldChar w:fldCharType="begin"/>
          </w:r>
          <w:r>
            <w:rPr>
              <w:b/>
            </w:rPr>
            <w:instrText xml:space="preserve"> PAGEREF _Toc18719 </w:instrText>
          </w:r>
          <w:r>
            <w:rPr>
              <w:b/>
            </w:rPr>
            <w:fldChar w:fldCharType="separate"/>
          </w:r>
          <w:r>
            <w:rPr>
              <w:b/>
            </w:rPr>
            <w:t>- 16 -</w:t>
          </w:r>
          <w:r>
            <w:rPr>
              <w:b/>
            </w:rPr>
            <w:fldChar w:fldCharType="end"/>
          </w:r>
          <w:r>
            <w:rPr>
              <w:rFonts w:hint="eastAsia" w:ascii="Times New Roman" w:hAnsi="Times New Roman" w:eastAsia="黑体"/>
              <w:b/>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_Toc834 </w:instrText>
          </w:r>
          <w:r>
            <w:rPr>
              <w:rFonts w:hint="eastAsia" w:ascii="Times New Roman" w:hAnsi="Times New Roman" w:eastAsia="黑体"/>
              <w:szCs w:val="48"/>
              <w:highlight w:val="none"/>
            </w:rPr>
            <w:fldChar w:fldCharType="separate"/>
          </w:r>
          <w:r>
            <w:rPr>
              <w:rFonts w:hint="eastAsia" w:ascii="Times New Roman" w:hAnsi="Times New Roman" w:eastAsia="黑体" w:cs="Times New Roman"/>
              <w:kern w:val="0"/>
              <w:szCs w:val="32"/>
              <w:highlight w:val="none"/>
              <w:shd w:val="clear" w:color="auto" w:fill="FFFFFF"/>
              <w:lang w:val="zh-CN"/>
            </w:rPr>
            <w:t>一、</w:t>
          </w:r>
          <w:r>
            <w:rPr>
              <w:rFonts w:hint="default" w:ascii="Times New Roman" w:hAnsi="Times New Roman" w:eastAsia="黑体" w:cs="Times New Roman"/>
              <w:kern w:val="0"/>
              <w:szCs w:val="32"/>
              <w:highlight w:val="none"/>
              <w:shd w:val="clear" w:color="auto" w:fill="FFFFFF"/>
              <w:lang w:val="zh-CN"/>
            </w:rPr>
            <w:t>部门（单位）基本情况</w:t>
          </w:r>
          <w:r>
            <w:tab/>
          </w:r>
          <w:r>
            <w:fldChar w:fldCharType="begin"/>
          </w:r>
          <w:r>
            <w:instrText xml:space="preserve"> PAGEREF _Toc834 </w:instrText>
          </w:r>
          <w:r>
            <w:fldChar w:fldCharType="separate"/>
          </w:r>
          <w:r>
            <w:t>- 16 -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_Toc26264 </w:instrText>
          </w:r>
          <w:r>
            <w:rPr>
              <w:rFonts w:hint="eastAsia" w:ascii="Times New Roman" w:hAnsi="Times New Roman" w:eastAsia="黑体"/>
              <w:szCs w:val="48"/>
              <w:highlight w:val="none"/>
            </w:rPr>
            <w:fldChar w:fldCharType="separate"/>
          </w:r>
          <w:r>
            <w:rPr>
              <w:rFonts w:hint="default" w:ascii="Times New Roman" w:hAnsi="Times New Roman" w:eastAsia="黑体" w:cs="Times New Roman"/>
              <w:kern w:val="0"/>
              <w:szCs w:val="32"/>
              <w:highlight w:val="none"/>
              <w:shd w:val="clear" w:color="auto" w:fill="FFFFFF"/>
              <w:lang w:val="zh-CN" w:eastAsia="zh-CN"/>
            </w:rPr>
            <w:t>二、部门资金收支情况</w:t>
          </w:r>
          <w:r>
            <w:tab/>
          </w:r>
          <w:r>
            <w:fldChar w:fldCharType="begin"/>
          </w:r>
          <w:r>
            <w:instrText xml:space="preserve"> PAGEREF _Toc26264 </w:instrText>
          </w:r>
          <w:r>
            <w:fldChar w:fldCharType="separate"/>
          </w:r>
          <w:r>
            <w:t>- 17 -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_Toc31945 </w:instrText>
          </w:r>
          <w:r>
            <w:rPr>
              <w:rFonts w:hint="eastAsia" w:ascii="Times New Roman" w:hAnsi="Times New Roman" w:eastAsia="黑体"/>
              <w:szCs w:val="48"/>
              <w:highlight w:val="none"/>
            </w:rPr>
            <w:fldChar w:fldCharType="separate"/>
          </w:r>
          <w:r>
            <w:rPr>
              <w:rFonts w:hint="default" w:ascii="Times New Roman" w:hAnsi="Times New Roman" w:eastAsia="黑体" w:cs="Times New Roman"/>
              <w:kern w:val="0"/>
              <w:szCs w:val="32"/>
              <w:highlight w:val="none"/>
              <w:shd w:val="clear" w:color="auto" w:fill="FFFFFF"/>
              <w:lang w:val="zh-CN" w:eastAsia="zh-CN"/>
            </w:rPr>
            <w:t>三、部门预算绩效分析</w:t>
          </w:r>
          <w:r>
            <w:tab/>
          </w:r>
          <w:r>
            <w:fldChar w:fldCharType="begin"/>
          </w:r>
          <w:r>
            <w:instrText xml:space="preserve"> PAGEREF _Toc31945 </w:instrText>
          </w:r>
          <w:r>
            <w:fldChar w:fldCharType="separate"/>
          </w:r>
          <w:r>
            <w:t>- 18 -</w:t>
          </w:r>
          <w:r>
            <w:fldChar w:fldCharType="end"/>
          </w:r>
          <w:r>
            <w:rPr>
              <w:rFonts w:hint="eastAsia" w:ascii="Times New Roman" w:hAnsi="Times New Roman" w:eastAsia="黑体"/>
              <w:color w:val="auto"/>
              <w:szCs w:val="48"/>
              <w:highlight w:val="none"/>
            </w:rPr>
            <w:fldChar w:fldCharType="end"/>
          </w:r>
        </w:p>
        <w:p>
          <w:pPr>
            <w:pStyle w:val="38"/>
            <w:tabs>
              <w:tab w:val="right" w:leader="dot" w:pos="8306"/>
            </w:tabs>
          </w:pPr>
          <w:r>
            <w:rPr>
              <w:rFonts w:hint="eastAsia" w:ascii="Times New Roman" w:hAnsi="Times New Roman" w:eastAsia="黑体"/>
              <w:color w:val="auto"/>
              <w:szCs w:val="48"/>
              <w:highlight w:val="none"/>
            </w:rPr>
            <w:fldChar w:fldCharType="begin"/>
          </w:r>
          <w:r>
            <w:rPr>
              <w:rFonts w:hint="eastAsia" w:ascii="Times New Roman" w:hAnsi="Times New Roman" w:eastAsia="黑体"/>
              <w:szCs w:val="48"/>
              <w:highlight w:val="none"/>
            </w:rPr>
            <w:instrText xml:space="preserve"> HYPERLINK \l _Toc22857 </w:instrText>
          </w:r>
          <w:r>
            <w:rPr>
              <w:rFonts w:hint="eastAsia" w:ascii="Times New Roman" w:hAnsi="Times New Roman" w:eastAsia="黑体"/>
              <w:szCs w:val="48"/>
              <w:highlight w:val="none"/>
            </w:rPr>
            <w:fldChar w:fldCharType="separate"/>
          </w:r>
          <w:r>
            <w:rPr>
              <w:rFonts w:hint="default" w:ascii="Times New Roman" w:hAnsi="Times New Roman" w:eastAsia="黑体" w:cs="Times New Roman"/>
              <w:kern w:val="0"/>
              <w:szCs w:val="32"/>
              <w:highlight w:val="none"/>
              <w:shd w:val="clear" w:color="auto" w:fill="FFFFFF"/>
              <w:lang w:val="zh-CN" w:eastAsia="zh-CN"/>
            </w:rPr>
            <w:t>四、</w:t>
          </w:r>
          <w:r>
            <w:rPr>
              <w:rFonts w:hint="default" w:ascii="Times New Roman" w:hAnsi="Times New Roman" w:eastAsia="黑体" w:cs="Times New Roman"/>
              <w:kern w:val="0"/>
              <w:szCs w:val="32"/>
              <w:highlight w:val="none"/>
              <w:shd w:val="clear" w:color="auto" w:fill="FFFFFF"/>
              <w:lang w:val="zh-CN"/>
            </w:rPr>
            <w:t>评价结论及建议</w:t>
          </w:r>
          <w:r>
            <w:tab/>
          </w:r>
          <w:r>
            <w:fldChar w:fldCharType="begin"/>
          </w:r>
          <w:r>
            <w:instrText xml:space="preserve"> PAGEREF _Toc22857 </w:instrText>
          </w:r>
          <w:r>
            <w:fldChar w:fldCharType="separate"/>
          </w:r>
          <w:r>
            <w:t>- 20 -</w:t>
          </w:r>
          <w:r>
            <w:fldChar w:fldCharType="end"/>
          </w:r>
          <w:r>
            <w:rPr>
              <w:rFonts w:hint="eastAsia" w:ascii="Times New Roman" w:hAnsi="Times New Roman" w:eastAsia="黑体"/>
              <w:color w:val="auto"/>
              <w:szCs w:val="48"/>
              <w:highlight w:val="none"/>
            </w:rPr>
            <w:fldChar w:fldCharType="end"/>
          </w:r>
        </w:p>
        <w:p>
          <w:pPr>
            <w:pStyle w:val="37"/>
            <w:tabs>
              <w:tab w:val="right" w:leader="dot" w:pos="8306"/>
            </w:tabs>
            <w:rPr>
              <w:b/>
            </w:rPr>
          </w:pPr>
          <w:r>
            <w:rPr>
              <w:rFonts w:hint="eastAsia" w:ascii="Times New Roman" w:hAnsi="Times New Roman" w:eastAsia="黑体"/>
              <w:b/>
              <w:color w:val="auto"/>
              <w:szCs w:val="48"/>
              <w:highlight w:val="none"/>
            </w:rPr>
            <w:fldChar w:fldCharType="begin"/>
          </w:r>
          <w:r>
            <w:rPr>
              <w:rFonts w:hint="eastAsia" w:ascii="Times New Roman" w:hAnsi="Times New Roman" w:eastAsia="黑体"/>
              <w:b/>
              <w:szCs w:val="48"/>
              <w:highlight w:val="none"/>
            </w:rPr>
            <w:instrText xml:space="preserve"> HYPERLINK \l _Toc1920 </w:instrText>
          </w:r>
          <w:r>
            <w:rPr>
              <w:rFonts w:hint="eastAsia" w:ascii="Times New Roman" w:hAnsi="Times New Roman" w:eastAsia="黑体"/>
              <w:b/>
              <w:szCs w:val="48"/>
              <w:highlight w:val="none"/>
            </w:rPr>
            <w:fldChar w:fldCharType="separate"/>
          </w:r>
          <w:r>
            <w:rPr>
              <w:rFonts w:hint="eastAsia" w:ascii="Times New Roman" w:hAnsi="Times New Roman" w:eastAsia="黑体"/>
              <w:b/>
              <w:szCs w:val="44"/>
              <w:highlight w:val="none"/>
            </w:rPr>
            <w:t>第</w:t>
          </w:r>
          <w:r>
            <w:rPr>
              <w:rFonts w:hint="eastAsia" w:ascii="Times New Roman" w:hAnsi="Times New Roman" w:eastAsia="黑体"/>
              <w:b/>
              <w:highlight w:val="none"/>
            </w:rPr>
            <w:t>五部分 附表</w:t>
          </w:r>
          <w:r>
            <w:rPr>
              <w:b/>
            </w:rPr>
            <w:tab/>
          </w:r>
          <w:r>
            <w:rPr>
              <w:b/>
            </w:rPr>
            <w:fldChar w:fldCharType="begin"/>
          </w:r>
          <w:r>
            <w:rPr>
              <w:b/>
            </w:rPr>
            <w:instrText xml:space="preserve"> PAGEREF _Toc1920 </w:instrText>
          </w:r>
          <w:r>
            <w:rPr>
              <w:b/>
            </w:rPr>
            <w:fldChar w:fldCharType="separate"/>
          </w:r>
          <w:r>
            <w:rPr>
              <w:b/>
            </w:rPr>
            <w:t>- 23 -</w:t>
          </w:r>
          <w:r>
            <w:rPr>
              <w:b/>
            </w:rPr>
            <w:fldChar w:fldCharType="end"/>
          </w:r>
          <w:r>
            <w:rPr>
              <w:rFonts w:hint="eastAsia" w:ascii="Times New Roman" w:hAnsi="Times New Roman" w:eastAsia="黑体"/>
              <w:b/>
              <w:color w:val="auto"/>
              <w:szCs w:val="48"/>
              <w:highlight w:val="none"/>
            </w:rPr>
            <w:fldChar w:fldCharType="end"/>
          </w:r>
        </w:p>
        <w:p>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numberInDash" w:start="1"/>
              <w:cols w:space="425" w:num="1"/>
              <w:docGrid w:type="lines" w:linePitch="312" w:charSpace="0"/>
            </w:sectPr>
          </w:pPr>
          <w:r>
            <w:rPr>
              <w:rFonts w:hint="eastAsia" w:ascii="Times New Roman" w:hAnsi="Times New Roman" w:eastAsia="黑体"/>
              <w:b/>
              <w:color w:val="auto"/>
              <w:szCs w:val="48"/>
              <w:highlight w:val="none"/>
            </w:rPr>
            <w:fldChar w:fldCharType="end"/>
          </w:r>
        </w:p>
      </w:sdtContent>
    </w:sdt>
    <w:p>
      <w:pPr>
        <w:pStyle w:val="3"/>
        <w:jc w:val="center"/>
        <w:rPr>
          <w:rStyle w:val="30"/>
          <w:rFonts w:hint="eastAsia" w:ascii="Times New Roman" w:hAnsi="Times New Roman" w:eastAsia="方正小标宋简体" w:cs="方正小标宋简体"/>
          <w:b/>
          <w:bCs w:val="0"/>
          <w:color w:val="auto"/>
          <w:highlight w:val="none"/>
        </w:rPr>
      </w:pPr>
      <w:bookmarkStart w:id="7" w:name="_Toc15377196"/>
      <w:bookmarkStart w:id="8" w:name="_Toc15396599"/>
      <w:bookmarkStart w:id="9" w:name="_Toc1356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7"/>
      <w:bookmarkEnd w:id="8"/>
      <w:bookmarkEnd w:id="9"/>
    </w:p>
    <w:p>
      <w:pPr>
        <w:widowControl/>
        <w:jc w:val="left"/>
        <w:rPr>
          <w:rFonts w:ascii="Times New Roman" w:hAnsi="Times New Roman" w:eastAsia="黑体"/>
          <w:color w:val="auto"/>
          <w:sz w:val="32"/>
          <w:szCs w:val="32"/>
          <w:highlight w:val="none"/>
        </w:rPr>
      </w:pPr>
    </w:p>
    <w:p>
      <w:pPr>
        <w:snapToGrid w:val="0"/>
        <w:spacing w:line="520" w:lineRule="exact"/>
        <w:ind w:firstLine="640" w:firstLineChars="200"/>
        <w:outlineLvl w:val="1"/>
        <w:rPr>
          <w:rFonts w:hint="eastAsia" w:ascii="黑体" w:hAnsi="黑体" w:eastAsia="黑体"/>
          <w:sz w:val="32"/>
          <w:szCs w:val="32"/>
          <w:highlight w:val="none"/>
          <w:lang w:eastAsia="zh-CN"/>
        </w:rPr>
      </w:pPr>
      <w:bookmarkStart w:id="10" w:name="_Toc21470"/>
      <w:r>
        <w:rPr>
          <w:rFonts w:hint="eastAsia" w:ascii="黑体" w:hAnsi="黑体" w:eastAsia="黑体"/>
          <w:sz w:val="32"/>
          <w:szCs w:val="32"/>
          <w:highlight w:val="none"/>
          <w:lang w:val="en-US" w:eastAsia="zh-CN"/>
        </w:rPr>
        <w:t>一、部门职责</w:t>
      </w:r>
      <w:bookmarkEnd w:id="10"/>
    </w:p>
    <w:p>
      <w:pPr>
        <w:snapToGrid w:val="0"/>
        <w:spacing w:line="520" w:lineRule="exact"/>
        <w:ind w:firstLine="640" w:firstLineChars="200"/>
        <w:rPr>
          <w:rFonts w:hint="eastAsia"/>
          <w:lang w:val="en-US" w:eastAsia="zh-CN"/>
        </w:rPr>
      </w:pPr>
      <w:r>
        <w:rPr>
          <w:rFonts w:hint="eastAsia" w:ascii="仿宋_GB2312" w:hAnsi="仿宋" w:eastAsia="仿宋_GB2312"/>
          <w:sz w:val="32"/>
          <w:szCs w:val="32"/>
          <w:highlight w:val="none"/>
          <w:lang w:val="en-US" w:eastAsia="zh-CN"/>
        </w:rPr>
        <w:t>法院作为国家审判机关，在县委的领导和中级人民法院的指导下依法独立行使审判权，对县人民代表大会及其常务委员会负责并报告工作。认真贯彻党的方针政策，忠于法律、忠于事实、忠于人民，严肃执法，公正司法。</w:t>
      </w:r>
    </w:p>
    <w:p>
      <w:pPr>
        <w:pStyle w:val="17"/>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00" w:beforeAutospacing="0" w:after="100" w:afterAutospacing="0" w:line="0" w:lineRule="atLeast"/>
        <w:ind w:left="0" w:right="0" w:firstLine="643"/>
      </w:pPr>
      <w:r>
        <w:rPr>
          <w:rFonts w:ascii="仿宋" w:hAnsi="仿宋" w:eastAsia="仿宋" w:cs="仿宋"/>
          <w:b/>
          <w:bCs/>
          <w:color w:val="000000"/>
          <w:sz w:val="32"/>
          <w:szCs w:val="32"/>
        </w:rPr>
        <w:t>综合办公室</w:t>
      </w:r>
      <w:r>
        <w:rPr>
          <w:rFonts w:hint="eastAsia" w:ascii="仿宋" w:hAnsi="仿宋" w:eastAsia="仿宋" w:cs="仿宋"/>
          <w:b/>
          <w:bCs/>
          <w:color w:val="000000"/>
          <w:sz w:val="32"/>
          <w:szCs w:val="32"/>
        </w:rPr>
        <w:t>：</w:t>
      </w:r>
      <w:r>
        <w:rPr>
          <w:rFonts w:hint="eastAsia" w:ascii="仿宋" w:hAnsi="仿宋" w:eastAsia="仿宋" w:cs="仿宋"/>
          <w:color w:val="000000"/>
          <w:sz w:val="32"/>
          <w:szCs w:val="32"/>
        </w:rPr>
        <w:t>负责协助院领导组织、协调、处理司法政务，负责综合性办文办会、文秘、信息、宣传、保密、档案、代表委员联络、决议事项督办、社会综合治理，负责本院财务管理、诉讼费监督管理，后勤物资装备配置及管理，办公用房和法庭建设维护，信息系统建设、运行、维护和管理保障，以及其他与政务后勤保障相关的工作；负责庭审翻译工作，双语裁判文书翻译工作，日常接待及其他翻译工作；负责案件评查、司法公开等审判管理工作，负责审判委员会、调研、案例等工作。</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15" w:firstLine="643"/>
      </w:pPr>
      <w:r>
        <w:rPr>
          <w:rFonts w:hint="eastAsia" w:ascii="仿宋" w:hAnsi="仿宋" w:eastAsia="仿宋" w:cs="仿宋"/>
          <w:b/>
          <w:bCs/>
          <w:color w:val="000000"/>
          <w:sz w:val="32"/>
          <w:szCs w:val="32"/>
        </w:rPr>
        <w:t>政治部（督察室）：</w:t>
      </w:r>
      <w:r>
        <w:rPr>
          <w:rFonts w:hint="eastAsia" w:ascii="仿宋" w:hAnsi="仿宋" w:eastAsia="仿宋" w:cs="仿宋"/>
          <w:color w:val="000000"/>
          <w:sz w:val="32"/>
          <w:szCs w:val="32"/>
        </w:rPr>
        <w:t>负责干警思想政治建设、队伍建设、机构编制管理、干部人事管理、教育培训、表彰奖励、文化建设、人民陪审员管理，履行内部监督职能、协助党组抓好全院党风、党纪和廉政建设，承担其他与组织人事管理相关的工作。</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15" w:firstLine="643"/>
      </w:pPr>
      <w:r>
        <w:rPr>
          <w:rFonts w:hint="eastAsia" w:ascii="仿宋" w:hAnsi="仿宋" w:eastAsia="仿宋" w:cs="仿宋"/>
          <w:b/>
          <w:bCs/>
          <w:color w:val="000000"/>
          <w:sz w:val="32"/>
          <w:szCs w:val="32"/>
        </w:rPr>
        <w:t>立案庭（诉讼服务中心）</w:t>
      </w:r>
      <w:r>
        <w:rPr>
          <w:rFonts w:hint="eastAsia" w:ascii="仿宋" w:hAnsi="仿宋" w:eastAsia="仿宋" w:cs="仿宋"/>
          <w:color w:val="000000"/>
          <w:sz w:val="32"/>
          <w:szCs w:val="32"/>
        </w:rPr>
        <w:t>：负责本院诉讼服务大厅等窗口的管理工作；负责本院的各类案件登记立案及立案审查工作；负责诉前调解、立案调解、信访接待、诉非衔接、诉讼辅导、案件繁简分流、案件速裁、多元化解矛盾纠纷等工作；依法实施诉前保全、起诉时提起的证据保全措施；依法审理支付令、督促等程序性案件并作出裁决；对应由本院受理的申诉、申请再审案件进行审查，并决定是否再审立案；负责办理减、免、缓诉讼费的审批手续；负责本院各类案件的材料收转、案件查询、法律咨询、12368诉讼服务热线等工作，司法评估、拍卖、鉴定，以及其他与立案、信访有关的工作事宜。</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15" w:firstLine="643"/>
        <w:jc w:val="both"/>
      </w:pPr>
      <w:r>
        <w:rPr>
          <w:rFonts w:hint="eastAsia" w:ascii="仿宋" w:hAnsi="仿宋" w:eastAsia="仿宋" w:cs="仿宋"/>
          <w:b/>
          <w:bCs/>
          <w:color w:val="000000"/>
          <w:sz w:val="32"/>
          <w:szCs w:val="32"/>
        </w:rPr>
        <w:t>综合审判庭（环境资源审判庭）：</w:t>
      </w:r>
      <w:r>
        <w:rPr>
          <w:rFonts w:hint="eastAsia" w:ascii="仿宋" w:hAnsi="仿宋" w:eastAsia="仿宋" w:cs="仿宋"/>
          <w:color w:val="000000"/>
          <w:sz w:val="32"/>
          <w:szCs w:val="32"/>
        </w:rPr>
        <w:t>依法审理本院各类刑事、民事、行政等案件；依法审理破坏资源、污染环境、与环境资源相关等涉及环境资源保护等案件；依法审理申诉、申请再审及审判监督案件；负责总结审判工作经验，以及其他与审判相关的工作。</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15" w:firstLine="643"/>
      </w:pPr>
      <w:r>
        <w:rPr>
          <w:rFonts w:hint="eastAsia" w:ascii="仿宋" w:hAnsi="仿宋" w:eastAsia="仿宋" w:cs="仿宋"/>
          <w:b/>
          <w:bCs/>
          <w:color w:val="000000"/>
          <w:sz w:val="32"/>
          <w:szCs w:val="32"/>
        </w:rPr>
        <w:t>执行局：</w:t>
      </w:r>
      <w:r>
        <w:rPr>
          <w:rFonts w:hint="eastAsia" w:ascii="仿宋" w:hAnsi="仿宋" w:eastAsia="仿宋" w:cs="仿宋"/>
          <w:color w:val="000000"/>
          <w:sz w:val="32"/>
          <w:szCs w:val="32"/>
        </w:rPr>
        <w:t>负责办理本院各类执行案件，总结执行工作经验，以及其他与执行相关的工作。</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15" w:firstLine="642" w:firstLineChars="200"/>
        <w:rPr>
          <w:rFonts w:hint="default"/>
          <w:lang w:val="en-US" w:eastAsia="zh-CN"/>
        </w:rPr>
      </w:pPr>
      <w:r>
        <w:rPr>
          <w:rFonts w:hint="eastAsia" w:ascii="仿宋" w:hAnsi="仿宋" w:eastAsia="仿宋" w:cs="仿宋"/>
          <w:b/>
          <w:bCs/>
          <w:color w:val="000000"/>
          <w:sz w:val="32"/>
          <w:szCs w:val="32"/>
        </w:rPr>
        <w:t>司法</w:t>
      </w:r>
      <w:r>
        <w:rPr>
          <w:rFonts w:hint="eastAsia" w:ascii="仿宋" w:hAnsi="仿宋" w:eastAsia="仿宋" w:cs="仿宋"/>
          <w:b/>
          <w:bCs/>
          <w:color w:val="000000"/>
          <w:sz w:val="32"/>
          <w:szCs w:val="32"/>
          <w:lang w:eastAsia="zh-CN"/>
        </w:rPr>
        <w:t>法</w:t>
      </w:r>
      <w:r>
        <w:rPr>
          <w:rFonts w:hint="eastAsia" w:ascii="仿宋" w:hAnsi="仿宋" w:eastAsia="仿宋" w:cs="仿宋"/>
          <w:b/>
          <w:bCs/>
          <w:color w:val="000000"/>
          <w:sz w:val="32"/>
          <w:szCs w:val="32"/>
        </w:rPr>
        <w:t>警大队</w:t>
      </w:r>
      <w:r>
        <w:rPr>
          <w:rFonts w:hint="eastAsia" w:ascii="仿宋" w:hAnsi="仿宋" w:eastAsia="仿宋" w:cs="仿宋"/>
          <w:color w:val="000000"/>
          <w:sz w:val="32"/>
          <w:szCs w:val="32"/>
        </w:rPr>
        <w:t>：负责司法警察、警务工作、警卫法庭、押解人犯、送达有关法律文书、执行死刑。</w:t>
      </w:r>
    </w:p>
    <w:p>
      <w:pPr>
        <w:numPr>
          <w:ilvl w:val="0"/>
          <w:numId w:val="0"/>
        </w:numPr>
        <w:rPr>
          <w:rFonts w:hint="eastAsia"/>
          <w:lang w:eastAsia="zh-CN"/>
        </w:rPr>
      </w:pPr>
    </w:p>
    <w:p>
      <w:pPr>
        <w:pStyle w:val="4"/>
        <w:rPr>
          <w:rStyle w:val="31"/>
          <w:rFonts w:ascii="Times New Roman" w:hAnsi="Times New Roman"/>
          <w:b w:val="0"/>
          <w:bCs w:val="0"/>
          <w:color w:val="auto"/>
          <w:highlight w:val="none"/>
        </w:rPr>
      </w:pPr>
      <w:bookmarkStart w:id="11" w:name="_Toc6748"/>
      <w:bookmarkStart w:id="12" w:name="_Toc15377200"/>
      <w:bookmarkStart w:id="13"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1"/>
      <w:bookmarkEnd w:id="12"/>
      <w:bookmarkEnd w:id="13"/>
    </w:p>
    <w:p>
      <w:pPr>
        <w:ind w:firstLine="800" w:firstLineChars="250"/>
        <w:rPr>
          <w:rFonts w:hint="eastAsia" w:ascii="仿宋" w:hAnsi="仿宋" w:eastAsia="仿宋" w:cs="仿宋"/>
          <w:color w:val="000000"/>
          <w:sz w:val="32"/>
          <w:szCs w:val="32"/>
        </w:rPr>
      </w:pPr>
      <w:r>
        <w:rPr>
          <w:rFonts w:ascii="仿宋" w:hAnsi="仿宋" w:eastAsia="仿宋" w:cs="仿宋"/>
          <w:color w:val="000000"/>
          <w:sz w:val="32"/>
          <w:szCs w:val="32"/>
        </w:rPr>
        <w:t>本单位本年度纳入本套决算编制范围的独立编制机构数共1个，与上年相比无变化；独立核算机构数共1个，与上年相比无变化。</w:t>
      </w:r>
      <w:r>
        <w:rPr>
          <w:rFonts w:hint="eastAsia" w:ascii="仿宋" w:hAnsi="仿宋" w:eastAsia="仿宋" w:cs="仿宋"/>
          <w:color w:val="000000"/>
          <w:sz w:val="32"/>
          <w:szCs w:val="32"/>
        </w:rPr>
        <w:t>     </w:t>
      </w:r>
    </w:p>
    <w:p>
      <w:pPr>
        <w:snapToGrid w:val="0"/>
        <w:spacing w:line="520" w:lineRule="exact"/>
        <w:ind w:firstLine="640" w:firstLineChars="200"/>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2025年壤塘县人民法院单位年末编制内实有人数40人，较上年减少1人；其他人员26人。</w:t>
      </w:r>
    </w:p>
    <w:p>
      <w:pPr>
        <w:pStyle w:val="2"/>
        <w:rPr>
          <w:rFonts w:hint="default"/>
          <w:lang w:val="en-US" w:eastAsia="zh-CN"/>
        </w:rPr>
      </w:pPr>
    </w:p>
    <w:p>
      <w:pPr>
        <w:pStyle w:val="15"/>
        <w:rPr>
          <w:rFonts w:hint="eastAsia"/>
        </w:rPr>
      </w:pPr>
    </w:p>
    <w:p>
      <w:pPr>
        <w:widowControl/>
        <w:jc w:val="left"/>
        <w:rPr>
          <w:rFonts w:ascii="Times New Roman" w:hAnsi="Times New Roman" w:eastAsia="仿宋"/>
          <w:color w:val="auto"/>
          <w:kern w:val="0"/>
          <w:sz w:val="32"/>
          <w:szCs w:val="32"/>
          <w:highlight w:val="none"/>
        </w:rPr>
      </w:pPr>
    </w:p>
    <w:p>
      <w:pPr>
        <w:pStyle w:val="7"/>
        <w:rPr>
          <w:rFonts w:ascii="Times New Roman" w:hAnsi="Times New Roman" w:eastAsia="仿宋"/>
          <w:color w:val="auto"/>
          <w:kern w:val="0"/>
          <w:sz w:val="32"/>
          <w:szCs w:val="32"/>
          <w:highlight w:val="none"/>
        </w:rPr>
      </w:pPr>
    </w:p>
    <w:p>
      <w:pPr>
        <w:pStyle w:val="7"/>
        <w:rPr>
          <w:rFonts w:ascii="Times New Roman" w:hAnsi="Times New Roman" w:eastAsia="仿宋"/>
          <w:color w:val="auto"/>
          <w:kern w:val="0"/>
          <w:sz w:val="32"/>
          <w:szCs w:val="32"/>
          <w:highlight w:val="none"/>
        </w:rPr>
      </w:pPr>
    </w:p>
    <w:p>
      <w:pPr>
        <w:pStyle w:val="7"/>
        <w:rPr>
          <w:rFonts w:ascii="Times New Roman" w:hAnsi="Times New Roman" w:eastAsia="仿宋"/>
          <w:color w:val="auto"/>
          <w:kern w:val="0"/>
          <w:sz w:val="32"/>
          <w:szCs w:val="32"/>
          <w:highlight w:val="none"/>
        </w:rPr>
      </w:pPr>
      <w:bookmarkStart w:id="87" w:name="_GoBack"/>
      <w:bookmarkEnd w:id="87"/>
    </w:p>
    <w:p>
      <w:pPr>
        <w:pStyle w:val="3"/>
        <w:jc w:val="center"/>
        <w:rPr>
          <w:rFonts w:hint="eastAsia" w:ascii="Times New Roman" w:hAnsi="Times New Roman" w:eastAsia="方正小标宋简体" w:cs="方正小标宋简体"/>
          <w:b w:val="0"/>
          <w:color w:val="auto"/>
          <w:highlight w:val="none"/>
        </w:rPr>
      </w:pPr>
      <w:bookmarkStart w:id="14" w:name="_Toc15377204"/>
      <w:bookmarkStart w:id="15" w:name="_Toc2599"/>
      <w:bookmarkStart w:id="16"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4"/>
      <w:bookmarkEnd w:id="15"/>
      <w:bookmarkEnd w:id="16"/>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7" w:name="_Toc10981"/>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7"/>
      <w:bookmarkEnd w:id="18"/>
      <w:bookmarkEnd w:id="19"/>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pPr>
      <w:r>
        <w:rPr>
          <w:rFonts w:hint="eastAsia" w:ascii="仿宋_GB2312" w:hAnsi="仿宋" w:eastAsia="仿宋_GB2312"/>
          <w:sz w:val="32"/>
          <w:szCs w:val="32"/>
          <w:highlight w:val="none"/>
          <w:lang w:eastAsia="zh-CN"/>
        </w:rPr>
        <w:t>202</w:t>
      </w:r>
      <w:r>
        <w:rPr>
          <w:rFonts w:hint="eastAsia" w:ascii="仿宋_GB2312" w:hAnsi="仿宋" w:eastAsia="仿宋_GB2312"/>
          <w:sz w:val="32"/>
          <w:szCs w:val="32"/>
          <w:highlight w:val="none"/>
          <w:lang w:val="en-US" w:eastAsia="zh-CN"/>
        </w:rPr>
        <w:t>5</w:t>
      </w:r>
      <w:r>
        <w:rPr>
          <w:rFonts w:hint="eastAsia" w:ascii="仿宋_GB2312" w:hAnsi="仿宋" w:eastAsia="仿宋_GB2312"/>
          <w:sz w:val="32"/>
          <w:szCs w:val="32"/>
          <w:highlight w:val="none"/>
          <w:lang w:eastAsia="zh-CN"/>
        </w:rPr>
        <w:t>年</w:t>
      </w:r>
      <w:r>
        <w:rPr>
          <w:rFonts w:hint="eastAsia" w:ascii="仿宋_GB2312" w:hAnsi="仿宋" w:eastAsia="仿宋_GB2312"/>
          <w:sz w:val="32"/>
          <w:szCs w:val="32"/>
          <w:highlight w:val="none"/>
        </w:rPr>
        <w:t>总收入为</w:t>
      </w:r>
      <w:r>
        <w:rPr>
          <w:rFonts w:hint="eastAsia" w:ascii="仿宋" w:hAnsi="仿宋" w:eastAsia="仿宋"/>
          <w:color w:val="auto"/>
          <w:sz w:val="32"/>
          <w:szCs w:val="32"/>
          <w:highlight w:val="none"/>
          <w:lang w:eastAsia="zh-CN"/>
        </w:rPr>
        <w:t>2,123.93</w:t>
      </w:r>
      <w:r>
        <w:rPr>
          <w:rFonts w:hint="eastAsia" w:ascii="仿宋_GB2312" w:hAnsi="仿宋" w:eastAsia="仿宋_GB2312"/>
          <w:sz w:val="32"/>
          <w:szCs w:val="32"/>
          <w:highlight w:val="none"/>
        </w:rPr>
        <w:t>万元，较</w:t>
      </w:r>
      <w:r>
        <w:rPr>
          <w:rFonts w:hint="eastAsia" w:ascii="仿宋_GB2312" w:hAnsi="仿宋" w:eastAsia="仿宋_GB2312"/>
          <w:sz w:val="32"/>
          <w:szCs w:val="32"/>
          <w:highlight w:val="none"/>
          <w:lang w:val="en-US" w:eastAsia="zh-CN"/>
        </w:rPr>
        <w:t>2024年</w:t>
      </w:r>
      <w:r>
        <w:rPr>
          <w:rFonts w:hint="eastAsia" w:ascii="仿宋" w:hAnsi="仿宋" w:eastAsia="仿宋"/>
          <w:color w:val="auto"/>
          <w:sz w:val="32"/>
          <w:szCs w:val="32"/>
          <w:highlight w:val="none"/>
          <w:lang w:eastAsia="zh-CN"/>
        </w:rPr>
        <w:t>增加49.69</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上升2.40</w:t>
      </w:r>
      <w:r>
        <w:rPr>
          <w:rFonts w:hint="eastAsia" w:ascii="仿宋_GB2312" w:hAnsi="仿宋" w:eastAsia="仿宋_GB2312"/>
          <w:sz w:val="32"/>
          <w:szCs w:val="32"/>
          <w:highlight w:val="none"/>
        </w:rPr>
        <w:t>%；总支出为</w:t>
      </w:r>
      <w:r>
        <w:rPr>
          <w:rFonts w:hint="eastAsia" w:ascii="仿宋" w:hAnsi="仿宋" w:eastAsia="仿宋"/>
          <w:color w:val="auto"/>
          <w:sz w:val="32"/>
          <w:szCs w:val="32"/>
          <w:highlight w:val="none"/>
          <w:lang w:eastAsia="zh-CN"/>
        </w:rPr>
        <w:t>2,128.51</w:t>
      </w:r>
      <w:r>
        <w:rPr>
          <w:rFonts w:hint="eastAsia" w:ascii="仿宋_GB2312" w:hAnsi="仿宋" w:eastAsia="仿宋_GB2312"/>
          <w:sz w:val="32"/>
          <w:szCs w:val="32"/>
          <w:highlight w:val="none"/>
        </w:rPr>
        <w:t>万元，较</w:t>
      </w:r>
      <w:r>
        <w:rPr>
          <w:rFonts w:hint="eastAsia" w:ascii="仿宋_GB2312" w:hAnsi="仿宋" w:eastAsia="仿宋_GB2312"/>
          <w:sz w:val="32"/>
          <w:szCs w:val="32"/>
          <w:highlight w:val="none"/>
          <w:lang w:val="en-US" w:eastAsia="zh-CN"/>
        </w:rPr>
        <w:t>2024年</w:t>
      </w:r>
      <w:r>
        <w:rPr>
          <w:rFonts w:hint="eastAsia" w:ascii="仿宋_GB2312" w:hAnsi="仿宋" w:eastAsia="仿宋_GB2312"/>
          <w:sz w:val="32"/>
          <w:szCs w:val="32"/>
          <w:highlight w:val="none"/>
          <w:lang w:eastAsia="zh-CN"/>
        </w:rPr>
        <w:t>增加132.00</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上升6.61</w:t>
      </w:r>
      <w:r>
        <w:rPr>
          <w:rFonts w:hint="eastAsia" w:ascii="仿宋_GB2312" w:hAnsi="仿宋" w:eastAsia="仿宋_GB2312"/>
          <w:sz w:val="32"/>
          <w:szCs w:val="32"/>
          <w:highlight w:val="none"/>
        </w:rPr>
        <w:t>%，主要原因是本年项目款增加。</w:t>
      </w:r>
    </w:p>
    <w:p>
      <w:pPr>
        <w:pStyle w:val="6"/>
        <w:keepNext w:val="0"/>
        <w:keepLines w:val="0"/>
        <w:pageBreakBefore w:val="0"/>
        <w:widowControl w:val="0"/>
        <w:kinsoku/>
        <w:wordWrap/>
        <w:overflowPunct/>
        <w:topLinePunct w:val="0"/>
        <w:autoSpaceDE/>
        <w:autoSpaceDN/>
        <w:bidi w:val="0"/>
        <w:adjustRightInd/>
        <w:snapToGrid/>
        <w:ind w:firstLine="400" w:firstLineChars="200"/>
        <w:textAlignment w:val="auto"/>
        <w:rPr>
          <w:rFonts w:hint="eastAsia" w:eastAsia="宋体"/>
          <w:highlight w:val="none"/>
          <w:lang w:eastAsia="zh-CN"/>
        </w:rPr>
      </w:pPr>
      <w:r>
        <w:t xml:space="preserve">表 </w:t>
      </w:r>
      <w:r>
        <w:fldChar w:fldCharType="begin"/>
      </w:r>
      <w:r>
        <w:instrText xml:space="preserve"> SEQ 表 \* ARABIC </w:instrText>
      </w:r>
      <w:r>
        <w:fldChar w:fldCharType="separate"/>
      </w:r>
      <w:r>
        <w:t>1</w:t>
      </w:r>
      <w:r>
        <w:fldChar w:fldCharType="end"/>
      </w:r>
      <w:r>
        <w:rPr>
          <w:rFonts w:hint="eastAsia"/>
          <w:lang w:eastAsia="zh-CN"/>
        </w:rPr>
        <w:t>收入、支出决算总计变动情况图</w:t>
      </w:r>
    </w:p>
    <w:p>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黑体"/>
          <w:color w:val="auto"/>
          <w:sz w:val="32"/>
          <w:szCs w:val="32"/>
          <w:highlight w:val="none"/>
          <w:lang w:eastAsia="zh-CN"/>
        </w:rPr>
      </w:pPr>
      <w:r>
        <w:rPr>
          <w:rFonts w:hint="eastAsia"/>
          <w:highlight w:val="none"/>
        </w:rPr>
        <w:drawing>
          <wp:inline distT="0" distB="0" distL="114300" distR="114300">
            <wp:extent cx="5256530" cy="2312035"/>
            <wp:effectExtent l="4445" t="4445" r="15875" b="7620"/>
            <wp:docPr id="9" name="图表 9" title="{{chart_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20" w:name="_Toc15377206"/>
      <w:bookmarkStart w:id="21" w:name="_Toc1539660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2687"/>
      <w:r>
        <w:rPr>
          <w:rFonts w:hint="eastAsia" w:ascii="Times New Roman" w:hAnsi="Times New Roman" w:eastAsia="黑体"/>
          <w:color w:val="auto"/>
          <w:sz w:val="32"/>
          <w:szCs w:val="32"/>
          <w:highlight w:val="none"/>
          <w:lang w:eastAsia="zh-CN"/>
        </w:rPr>
        <w:t>二、收入决算情况说明</w:t>
      </w:r>
      <w:bookmarkEnd w:id="20"/>
      <w:bookmarkEnd w:id="21"/>
      <w:bookmarkEnd w:id="22"/>
    </w:p>
    <w:p>
      <w:pPr>
        <w:snapToGrid w:val="0"/>
        <w:spacing w:line="520" w:lineRule="exact"/>
        <w:ind w:firstLine="640" w:firstLineChars="200"/>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eastAsia="zh-CN"/>
        </w:rPr>
        <w:t>2,123.93</w:t>
      </w:r>
      <w:r>
        <w:rPr>
          <w:rFonts w:hint="eastAsia" w:ascii="仿宋" w:hAnsi="仿宋" w:eastAsia="仿宋"/>
          <w:color w:val="auto"/>
          <w:sz w:val="32"/>
          <w:szCs w:val="32"/>
          <w:highlight w:val="none"/>
        </w:rPr>
        <w:t>万元，其中：一般公共预算财政拨款收入1,720.37万元，占81.00%；其他收入403.56万元，占19.00%</w:t>
      </w:r>
      <w:r>
        <w:rPr>
          <w:rFonts w:hint="eastAsia" w:ascii="仿宋" w:hAnsi="仿宋" w:eastAsia="仿宋"/>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pPr>
        <w:pStyle w:val="6"/>
        <w:ind w:firstLine="500" w:firstLineChars="250"/>
        <w:rPr>
          <w:rFonts w:hint="eastAsia" w:eastAsia="宋体"/>
          <w:highlight w:val="none"/>
          <w:lang w:eastAsia="zh-CN"/>
        </w:rPr>
      </w:pPr>
      <w:r>
        <w:t xml:space="preserve">表 </w:t>
      </w:r>
      <w:r>
        <w:fldChar w:fldCharType="begin"/>
      </w:r>
      <w:r>
        <w:instrText xml:space="preserve"> SEQ 表 \* ARABIC </w:instrText>
      </w:r>
      <w:r>
        <w:fldChar w:fldCharType="separate"/>
      </w:r>
      <w:r>
        <w:t>2</w:t>
      </w:r>
      <w:r>
        <w:fldChar w:fldCharType="end"/>
      </w:r>
      <w:r>
        <w:rPr>
          <w:rFonts w:hint="eastAsia"/>
          <w:lang w:eastAsia="zh-CN"/>
        </w:rPr>
        <w:t>收入决算结构图</w:t>
      </w:r>
    </w:p>
    <w:p>
      <w:pPr>
        <w:rPr>
          <w:rFonts w:hint="eastAsia" w:ascii="Times New Roman" w:hAnsi="Times New Roman" w:eastAsia="仿宋_GB2312" w:cs="仿宋_GB2312"/>
          <w:color w:val="auto"/>
          <w:sz w:val="32"/>
          <w:szCs w:val="32"/>
          <w:highlight w:val="none"/>
          <w:lang w:eastAsia="zh-CN"/>
        </w:rPr>
      </w:pPr>
      <w:r>
        <w:rPr>
          <w:rFonts w:hint="eastAsia"/>
          <w:highlight w:val="none"/>
        </w:rPr>
        <w:drawing>
          <wp:inline distT="0" distB="0" distL="114300" distR="114300">
            <wp:extent cx="5256530" cy="2284730"/>
            <wp:effectExtent l="4445" t="4445" r="15875" b="15875"/>
            <wp:docPr id="10" name="图表 10" title="{{chart_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3" w:name="_Toc12197"/>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3"/>
      <w:bookmarkEnd w:id="24"/>
      <w:bookmarkEnd w:id="25"/>
    </w:p>
    <w:p>
      <w:pPr>
        <w:snapToGrid w:val="0"/>
        <w:spacing w:line="520" w:lineRule="exact"/>
        <w:ind w:firstLine="640" w:firstLineChars="200"/>
        <w:rPr>
          <w:rFonts w:hint="eastAsia" w:ascii="Times New Roman" w:hAnsi="Times New Roman" w:eastAsia="仿宋_GB2312" w:cs="仿宋_GB2312"/>
          <w:b/>
          <w:bCs/>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2,128.51</w:t>
      </w:r>
      <w:r>
        <w:rPr>
          <w:rFonts w:hint="eastAsia" w:ascii="仿宋" w:hAnsi="仿宋" w:eastAsia="仿宋"/>
          <w:color w:val="auto"/>
          <w:sz w:val="32"/>
          <w:szCs w:val="32"/>
          <w:highlight w:val="none"/>
        </w:rPr>
        <w:t>万元，其中：</w:t>
      </w:r>
      <w:r>
        <w:rPr>
          <w:rFonts w:hint="eastAsia" w:ascii="仿宋_GB2312" w:hAnsi="仿宋_GB2312" w:eastAsia="仿宋_GB2312" w:cs="仿宋_GB2312"/>
          <w:color w:val="auto"/>
          <w:sz w:val="32"/>
          <w:szCs w:val="32"/>
          <w:highlight w:val="none"/>
          <w:lang w:eastAsia="zh-CN"/>
        </w:rPr>
        <w:t>基本支出</w:t>
      </w:r>
      <w:r>
        <w:rPr>
          <w:rFonts w:hint="eastAsia" w:ascii="仿宋_GB2312" w:hAnsi="仿宋_GB2312" w:eastAsia="仿宋_GB2312" w:cs="仿宋_GB2312"/>
          <w:sz w:val="32"/>
          <w:szCs w:val="32"/>
        </w:rPr>
        <w:t>1502.59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625.92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.4</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olor w:val="auto"/>
          <w:sz w:val="32"/>
          <w:szCs w:val="32"/>
          <w:highlight w:val="none"/>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6"/>
        <w:rPr>
          <w:rFonts w:hint="eastAsia" w:eastAsia="宋体"/>
          <w:highlight w:val="none"/>
          <w:lang w:eastAsia="zh-CN"/>
        </w:rPr>
      </w:pPr>
      <w:r>
        <w:t xml:space="preserve">表 </w:t>
      </w:r>
      <w:r>
        <w:fldChar w:fldCharType="begin"/>
      </w:r>
      <w:r>
        <w:instrText xml:space="preserve"> SEQ 表 \* ARABIC </w:instrText>
      </w:r>
      <w:r>
        <w:fldChar w:fldCharType="separate"/>
      </w:r>
      <w:r>
        <w:t>3</w:t>
      </w:r>
      <w:r>
        <w:fldChar w:fldCharType="end"/>
      </w:r>
      <w:r>
        <w:rPr>
          <w:rFonts w:hint="eastAsia"/>
          <w:lang w:eastAsia="zh-CN"/>
        </w:rPr>
        <w:t>支出决算结构图</w:t>
      </w:r>
    </w:p>
    <w:p>
      <w:pPr>
        <w:rPr>
          <w:rFonts w:hint="eastAsia" w:ascii="Times New Roman" w:hAnsi="Times New Roman" w:eastAsia="仿宋_GB2312" w:cs="仿宋_GB2312"/>
          <w:color w:val="auto"/>
          <w:sz w:val="32"/>
          <w:szCs w:val="32"/>
          <w:highlight w:val="none"/>
          <w:lang w:eastAsia="zh-CN"/>
        </w:rPr>
      </w:pPr>
      <w:r>
        <w:rPr>
          <w:rFonts w:hint="eastAsia"/>
          <w:highlight w:val="none"/>
        </w:rPr>
        <w:drawing>
          <wp:inline distT="0" distB="0" distL="114300" distR="114300">
            <wp:extent cx="5420995" cy="3789045"/>
            <wp:effectExtent l="5080" t="4445" r="22225" b="16510"/>
            <wp:docPr id="1" name="图表 1" title="{{chart_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1"/>
        <w:rPr>
          <w:rStyle w:val="31"/>
          <w:rFonts w:ascii="Times New Roman" w:hAnsi="Times New Roman" w:eastAsia="黑体"/>
          <w:b w:val="0"/>
          <w:color w:val="auto"/>
          <w:highlight w:val="none"/>
        </w:rPr>
      </w:pPr>
      <w:bookmarkStart w:id="26" w:name="_Toc15377208"/>
      <w:bookmarkStart w:id="27" w:name="_Toc15396606"/>
      <w:bookmarkStart w:id="28" w:name="_Toc6147"/>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6"/>
      <w:bookmarkEnd w:id="27"/>
      <w:bookmarkEnd w:id="28"/>
    </w:p>
    <w:p>
      <w:pPr>
        <w:pStyle w:val="6"/>
        <w:snapToGrid w:val="0"/>
        <w:spacing w:line="520" w:lineRule="exact"/>
        <w:ind w:firstLine="640" w:firstLineChars="200"/>
        <w:rPr>
          <w:rFonts w:hint="eastAsia" w:ascii="仿宋_GB2312" w:hAnsi="仿宋_GB2312" w:eastAsia="宋体" w:cs="仿宋_GB2312"/>
          <w:kern w:val="2"/>
          <w:sz w:val="32"/>
          <w:szCs w:val="32"/>
          <w:lang w:val="en-US" w:eastAsia="zh-CN" w:bidi="ar-SA"/>
        </w:rPr>
      </w:pPr>
    </w:p>
    <w:p>
      <w:pPr>
        <w:snapToGrid w:val="0"/>
        <w:spacing w:line="520" w:lineRule="exact"/>
        <w:ind w:firstLine="640" w:firstLineChars="200"/>
        <w:rPr>
          <w:rFonts w:hint="eastAsia" w:ascii="Times New Roman" w:hAnsi="Times New Roman" w:eastAsia="黑体"/>
          <w:color w:val="auto"/>
          <w:sz w:val="32"/>
          <w:szCs w:val="32"/>
          <w:highlight w:val="none"/>
        </w:rPr>
      </w:pPr>
      <w:r>
        <w:rPr>
          <w:rFonts w:hint="eastAsia" w:ascii="仿宋_GB2312" w:hAnsi="仿宋_GB2312" w:eastAsia="仿宋_GB2312" w:cs="仿宋_GB2312"/>
          <w:kern w:val="2"/>
          <w:sz w:val="32"/>
          <w:szCs w:val="32"/>
          <w:lang w:val="en-US" w:eastAsia="zh-CN" w:bidi="ar-SA"/>
        </w:rPr>
        <w:t>2025年度财政拨款收入、支出总计均为1720.37万元。与2024年度相比，财政拨款收入总计、支出总计各增加94.82万元，增长5.8%。</w:t>
      </w:r>
      <w:bookmarkStart w:id="29" w:name="_Toc15396607"/>
      <w:bookmarkStart w:id="30" w:name="_Toc15377209"/>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ind w:firstLine="640" w:firstLineChars="200"/>
        <w:outlineLvl w:val="9"/>
        <w:rPr>
          <w:rFonts w:hint="eastAsia" w:ascii="Times New Roman" w:hAnsi="Times New Roman" w:eastAsia="黑体"/>
          <w:color w:val="auto"/>
          <w:sz w:val="32"/>
          <w:szCs w:val="32"/>
          <w:highlight w:val="none"/>
        </w:rPr>
      </w:pPr>
    </w:p>
    <w:p>
      <w:pPr>
        <w:spacing w:line="600" w:lineRule="exact"/>
        <w:outlineLvl w:val="1"/>
        <w:rPr>
          <w:rFonts w:hint="eastAsia" w:ascii="Times New Roman" w:hAnsi="Times New Roman" w:eastAsia="黑体"/>
          <w:color w:val="auto"/>
          <w:sz w:val="32"/>
          <w:szCs w:val="32"/>
          <w:highlight w:val="none"/>
        </w:rPr>
      </w:pPr>
      <w:bookmarkStart w:id="31" w:name="_Toc11369"/>
      <w:r>
        <w:t xml:space="preserve">表 </w:t>
      </w:r>
      <w:r>
        <w:fldChar w:fldCharType="begin"/>
      </w:r>
      <w:r>
        <w:instrText xml:space="preserve"> SEQ 表 \* ARABIC </w:instrText>
      </w:r>
      <w:r>
        <w:fldChar w:fldCharType="separate"/>
      </w:r>
      <w:r>
        <w:t>4</w:t>
      </w:r>
      <w:r>
        <w:fldChar w:fldCharType="end"/>
      </w:r>
      <w:r>
        <w:rPr>
          <w:rFonts w:hint="eastAsia"/>
          <w:lang w:eastAsia="zh-CN"/>
        </w:rPr>
        <w:t>财政拨款收、支决算总计变动情况</w:t>
      </w:r>
      <w:bookmarkEnd w:id="31"/>
    </w:p>
    <w:p>
      <w:pPr>
        <w:spacing w:line="600" w:lineRule="exact"/>
        <w:ind w:firstLine="642" w:firstLineChars="200"/>
        <w:outlineLvl w:val="9"/>
        <w:rPr>
          <w:rFonts w:hint="eastAsia" w:ascii="Times New Roman" w:hAnsi="Times New Roman" w:eastAsia="黑体"/>
          <w:color w:val="auto"/>
          <w:sz w:val="32"/>
          <w:szCs w:val="32"/>
          <w:highlight w:val="none"/>
        </w:rPr>
      </w:pPr>
      <w:r>
        <w:rPr>
          <w:rFonts w:hint="eastAsia" w:ascii="仿宋" w:hAnsi="仿宋" w:eastAsia="仿宋" w:cs="仿宋"/>
          <w:b/>
          <w:bCs/>
          <w:color w:val="000000"/>
          <w:sz w:val="32"/>
          <w:szCs w:val="32"/>
        </w:rPr>
        <w:drawing>
          <wp:anchor distT="0" distB="0" distL="114300" distR="114300" simplePos="0" relativeHeight="251659264" behindDoc="0" locked="0" layoutInCell="1" allowOverlap="1">
            <wp:simplePos x="0" y="0"/>
            <wp:positionH relativeFrom="column">
              <wp:posOffset>96520</wp:posOffset>
            </wp:positionH>
            <wp:positionV relativeFrom="paragraph">
              <wp:posOffset>49530</wp:posOffset>
            </wp:positionV>
            <wp:extent cx="4990465" cy="2740660"/>
            <wp:effectExtent l="4445" t="4445" r="15240" b="1714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firstLineChars="200"/>
        <w:outlineLvl w:val="1"/>
        <w:rPr>
          <w:rStyle w:val="31"/>
          <w:rFonts w:ascii="Times New Roman" w:hAnsi="Times New Roman" w:eastAsia="黑体"/>
          <w:b w:val="0"/>
          <w:color w:val="auto"/>
          <w:highlight w:val="none"/>
        </w:rPr>
      </w:pPr>
      <w:bookmarkStart w:id="32" w:name="_Toc18410"/>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9"/>
      <w:bookmarkEnd w:id="30"/>
      <w:bookmarkEnd w:id="3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52705</wp:posOffset>
            </wp:positionH>
            <wp:positionV relativeFrom="paragraph">
              <wp:posOffset>1930400</wp:posOffset>
            </wp:positionV>
            <wp:extent cx="5080000" cy="1725295"/>
            <wp:effectExtent l="4445" t="4445" r="20955" b="2286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一般公共预算财政拨款支出1720.37万元，占本年支出合计的</w:t>
      </w:r>
      <w:r>
        <w:rPr>
          <w:rFonts w:hint="eastAsia" w:eastAsia="仿宋_GB2312" w:cs="仿宋_GB2312"/>
          <w:color w:val="auto"/>
          <w:kern w:val="2"/>
          <w:sz w:val="32"/>
          <w:szCs w:val="32"/>
          <w:highlight w:val="none"/>
          <w:lang w:val="en-US" w:eastAsia="zh-CN" w:bidi="ar-SA"/>
        </w:rPr>
        <w:t>80.8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94.28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新进人员增加。</w:t>
      </w:r>
    </w:p>
    <w:p>
      <w:pPr>
        <w:pStyle w:val="6"/>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t xml:space="preserve">表 </w:t>
      </w:r>
      <w:r>
        <w:fldChar w:fldCharType="begin"/>
      </w:r>
      <w:r>
        <w:instrText xml:space="preserve"> SEQ 表 \* ARABIC </w:instrText>
      </w:r>
      <w:r>
        <w:fldChar w:fldCharType="separate"/>
      </w:r>
      <w:r>
        <w:t>5</w:t>
      </w:r>
      <w:r>
        <w:fldChar w:fldCharType="end"/>
      </w:r>
      <w:r>
        <w:rPr>
          <w:rFonts w:hint="eastAsia"/>
          <w:lang w:eastAsia="zh-CN"/>
        </w:rPr>
        <w:t>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1720.37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：公共安全</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1392.83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170.33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92.11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pStyle w:val="6"/>
        <w:spacing w:line="600" w:lineRule="exact"/>
        <w:ind w:firstLine="640"/>
        <w:rPr>
          <w:rFonts w:hint="eastAsia"/>
          <w:highlight w:val="none"/>
        </w:rPr>
      </w:pPr>
      <w:r>
        <w:t xml:space="preserve">表 </w:t>
      </w:r>
      <w:r>
        <w:fldChar w:fldCharType="begin"/>
      </w:r>
      <w:r>
        <w:instrText xml:space="preserve"> SEQ 表 \* ARABIC </w:instrText>
      </w:r>
      <w:r>
        <w:fldChar w:fldCharType="separate"/>
      </w:r>
      <w:r>
        <w:t>6</w:t>
      </w:r>
      <w:r>
        <w:fldChar w:fldCharType="end"/>
      </w:r>
      <w:r>
        <w:rPr>
          <w:rFonts w:hint="eastAsia"/>
          <w:lang w:eastAsia="zh-CN"/>
        </w:rPr>
        <w:t>一般公共预算财政拨款支出决算结构</w:t>
      </w:r>
      <w:r>
        <w:rPr>
          <w:rFonts w:hint="eastAsia"/>
          <w:highlight w:val="none"/>
        </w:rPr>
        <w:drawing>
          <wp:anchor distT="0" distB="0" distL="114300" distR="114300" simplePos="0" relativeHeight="251661312" behindDoc="0" locked="0" layoutInCell="1" allowOverlap="1">
            <wp:simplePos x="0" y="0"/>
            <wp:positionH relativeFrom="column">
              <wp:posOffset>4445</wp:posOffset>
            </wp:positionH>
            <wp:positionV relativeFrom="paragraph">
              <wp:posOffset>24130</wp:posOffset>
            </wp:positionV>
            <wp:extent cx="5572760" cy="2691765"/>
            <wp:effectExtent l="4445" t="4445" r="23495" b="8890"/>
            <wp:wrapSquare wrapText="bothSides"/>
            <wp:docPr id="4" name="图表 4" title="{{chart_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bookmarkStart w:id="35"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77213"/>
      <w:bookmarkStart w:id="37" w:name="_Toc15378460"/>
      <w:bookmarkStart w:id="38"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1720.37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pPr>
        <w:numPr>
          <w:ilvl w:val="0"/>
          <w:numId w:val="1"/>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公共安全（类）法院（款）行政运行（项）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794.77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.公共安全（类）法院（款）一般行政管理事务（项）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569.45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公共安全（类）法院（款）其他公共安全支出（项）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28.61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113.88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643"/>
        <w:jc w:val="both"/>
        <w:rPr>
          <w:rFonts w:hint="eastAsia" w:eastAsia="仿宋_GB2312" w:cs="仿宋_GB2312"/>
          <w:color w:val="auto"/>
          <w:kern w:val="2"/>
          <w:sz w:val="32"/>
          <w:szCs w:val="32"/>
          <w:highlight w:val="none"/>
          <w:lang w:val="en-US" w:eastAsia="zh-CN" w:bidi="ar-SA"/>
        </w:rPr>
      </w:pPr>
      <w:r>
        <w:rPr>
          <w:rFonts w:hint="eastAsia" w:ascii="仿宋" w:hAnsi="仿宋" w:eastAsia="仿宋" w:cs="仿宋"/>
          <w:b/>
          <w:bCs/>
          <w:color w:val="000000"/>
          <w:sz w:val="32"/>
          <w:szCs w:val="32"/>
          <w:lang w:val="en-US" w:eastAsia="zh-CN"/>
        </w:rPr>
        <w:t>6</w:t>
      </w:r>
      <w:r>
        <w:rPr>
          <w:rFonts w:hint="eastAsia" w:ascii="仿宋" w:hAnsi="仿宋" w:eastAsia="仿宋" w:cs="仿宋"/>
          <w:b/>
          <w:bCs/>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w:t>
      </w:r>
      <w:r>
        <w:rPr>
          <w:rFonts w:hint="eastAsia" w:ascii="仿宋" w:hAnsi="仿宋" w:eastAsia="仿宋" w:cs="仿宋"/>
          <w:b/>
          <w:bCs/>
          <w:color w:val="000000"/>
          <w:sz w:val="32"/>
          <w:szCs w:val="32"/>
        </w:rPr>
        <w:t>:</w:t>
      </w:r>
      <w:r>
        <w:rPr>
          <w:rFonts w:hint="eastAsia" w:ascii="仿宋_GB2312" w:hAnsi="仿宋_GB2312" w:eastAsia="仿宋_GB2312" w:cs="仿宋_GB2312"/>
          <w:color w:val="000000"/>
          <w:sz w:val="32"/>
          <w:szCs w:val="32"/>
        </w:rPr>
        <w:t>支出决算为</w:t>
      </w:r>
      <w:r>
        <w:rPr>
          <w:rFonts w:hint="eastAsia" w:ascii="仿宋_GB2312" w:hAnsi="仿宋_GB2312" w:eastAsia="仿宋_GB2312" w:cs="仿宋_GB2312"/>
          <w:color w:val="000000"/>
          <w:sz w:val="32"/>
          <w:szCs w:val="32"/>
          <w:lang w:val="en-US" w:eastAsia="zh-CN"/>
        </w:rPr>
        <w:t>53.22</w:t>
      </w:r>
      <w:r>
        <w:rPr>
          <w:rFonts w:hint="eastAsia" w:ascii="仿宋_GB2312" w:hAnsi="仿宋_GB2312" w:eastAsia="仿宋_GB2312" w:cs="仿宋_GB2312"/>
          <w:color w:val="000000"/>
          <w:sz w:val="32"/>
          <w:szCs w:val="32"/>
        </w:rPr>
        <w:t>万元，完成预算100%。</w:t>
      </w:r>
      <w:r>
        <w:rPr>
          <w:rFonts w:hint="eastAsia" w:eastAsia="仿宋_GB2312" w:cs="仿宋_GB2312"/>
          <w:color w:val="auto"/>
          <w:kern w:val="2"/>
          <w:sz w:val="32"/>
          <w:szCs w:val="32"/>
          <w:highlight w:val="none"/>
          <w:lang w:val="en-US" w:eastAsia="zh-CN" w:bidi="ar-SA"/>
        </w:rPr>
        <w:t xml:space="preserve">  </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firstLine="643"/>
        <w:jc w:val="both"/>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7.卫生健康支出（类）行政事业单位医疗（款）公务员医疗补助（项）</w:t>
      </w:r>
      <w:r>
        <w:rPr>
          <w:rFonts w:hint="eastAsia" w:ascii="仿宋" w:hAnsi="仿宋" w:eastAsia="仿宋" w:cs="仿宋"/>
          <w:b/>
          <w:bCs/>
          <w:color w:val="000000"/>
          <w:sz w:val="32"/>
          <w:szCs w:val="32"/>
        </w:rPr>
        <w:t>:</w:t>
      </w:r>
      <w:r>
        <w:rPr>
          <w:rFonts w:hint="default" w:ascii="Times New Roman" w:hAnsi="Times New Roman" w:eastAsia="仿宋_GB2312" w:cs="仿宋_GB2312"/>
          <w:color w:val="auto"/>
          <w:kern w:val="2"/>
          <w:sz w:val="32"/>
          <w:szCs w:val="32"/>
          <w:highlight w:val="none"/>
          <w:lang w:val="en-US" w:eastAsia="zh-CN" w:bidi="ar-SA"/>
        </w:rPr>
        <w:t>支出决算为</w:t>
      </w:r>
      <w:r>
        <w:rPr>
          <w:rFonts w:hint="eastAsia" w:ascii="Times New Roman" w:hAnsi="Times New Roman" w:eastAsia="仿宋_GB2312" w:cs="仿宋_GB2312"/>
          <w:color w:val="auto"/>
          <w:kern w:val="2"/>
          <w:sz w:val="32"/>
          <w:szCs w:val="32"/>
          <w:highlight w:val="none"/>
          <w:lang w:val="en-US" w:eastAsia="zh-CN" w:bidi="ar-SA"/>
        </w:rPr>
        <w:t>11.88</w:t>
      </w:r>
      <w:r>
        <w:rPr>
          <w:rFonts w:hint="default" w:ascii="Times New Roman" w:hAnsi="Times New Roman" w:eastAsia="仿宋_GB2312" w:cs="仿宋_GB2312"/>
          <w:color w:val="auto"/>
          <w:kern w:val="2"/>
          <w:sz w:val="32"/>
          <w:szCs w:val="32"/>
          <w:highlight w:val="none"/>
          <w:lang w:val="en-US" w:eastAsia="zh-CN" w:bidi="ar-SA"/>
        </w:rPr>
        <w:t>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8.</w:t>
      </w:r>
      <w:r>
        <w:rPr>
          <w:rFonts w:hint="eastAsia" w:ascii="Times New Roman" w:cs="仿宋_GB2312"/>
          <w:color w:val="auto"/>
          <w:kern w:val="2"/>
          <w:sz w:val="32"/>
          <w:szCs w:val="32"/>
          <w:highlight w:val="none"/>
          <w:lang w:val="en-US" w:eastAsia="zh-CN" w:bidi="ar-SA"/>
        </w:rPr>
        <w:t>住房保障（类）住房改革支出（款）住房公积金（项）：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92.11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outlineLvl w:val="1"/>
        <w:rPr>
          <w:rStyle w:val="31"/>
          <w:rFonts w:ascii="Times New Roman" w:hAnsi="Times New Roman"/>
          <w:color w:val="auto"/>
          <w:highlight w:val="none"/>
        </w:rPr>
      </w:pPr>
      <w:bookmarkStart w:id="39" w:name="_Toc15377214"/>
      <w:bookmarkStart w:id="40" w:name="_Toc15396608"/>
      <w:bookmarkStart w:id="41" w:name="_Toc26555"/>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9"/>
      <w:bookmarkEnd w:id="40"/>
      <w:bookmarkEnd w:id="41"/>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1122.31</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1039.85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万元，主要包括：基本工资、津贴补贴、机关事业单位基本养老保险缴费、职业年金缴费、其他社会保障缴费、其他工资福利支出、生活补助、住房公积金、其他对个人和家庭的补助支出等。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82.46</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万元，主要包括：办公费、水费、电费、邮电费、差旅费、培训费、公务接待费、劳务费、委托业务费、福利费、公务用车运行维护费、其他商品和服务支出、其他资本性支出等。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Style w:val="31"/>
          <w:rFonts w:ascii="Times New Roman" w:hAnsi="Times New Roman" w:eastAsia="黑体"/>
          <w:b w:val="0"/>
          <w:color w:val="auto"/>
          <w:highlight w:val="none"/>
        </w:rPr>
      </w:pPr>
      <w:bookmarkStart w:id="42" w:name="_Toc15396609"/>
      <w:bookmarkStart w:id="43" w:name="_Toc15377215"/>
      <w:bookmarkStart w:id="44" w:name="_Toc31744"/>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2"/>
      <w:bookmarkEnd w:id="43"/>
      <w:bookmarkEnd w:id="4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0.77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3.2</w:t>
      </w:r>
      <w:r>
        <w:rPr>
          <w:rFonts w:hint="eastAsia" w:ascii="Times New Roman" w:hAnsi="Times New Roman" w:eastAsia="仿宋_GB2312" w:cs="仿宋_GB2312"/>
          <w:color w:val="auto"/>
          <w:kern w:val="2"/>
          <w:sz w:val="32"/>
          <w:szCs w:val="32"/>
          <w:highlight w:val="none"/>
          <w:lang w:val="en-US" w:eastAsia="zh-CN" w:bidi="ar-SA"/>
        </w:rPr>
        <w:t>%，较上年度减少万元，下降</w:t>
      </w:r>
      <w:r>
        <w:rPr>
          <w:rFonts w:hint="eastAsia" w:eastAsia="仿宋_GB2312" w:cs="仿宋_GB2312"/>
          <w:color w:val="auto"/>
          <w:kern w:val="2"/>
          <w:sz w:val="32"/>
          <w:szCs w:val="32"/>
          <w:highlight w:val="none"/>
          <w:lang w:val="en-US" w:eastAsia="zh-CN" w:bidi="ar-SA"/>
        </w:rPr>
        <w:t>99.3</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eastAsia="仿宋_GB2312" w:cs="仿宋_GB2312"/>
          <w:color w:val="auto"/>
          <w:kern w:val="2"/>
          <w:sz w:val="32"/>
          <w:szCs w:val="32"/>
          <w:highlight w:val="none"/>
          <w:lang w:val="en-US" w:eastAsia="zh-CN" w:bidi="ar-SA"/>
        </w:rPr>
        <w:t>接待减少，严控支出，厉行节约。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63.6</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pStyle w:val="7"/>
        <w:rPr>
          <w:rFonts w:hint="eastAsia"/>
          <w:lang w:val="en-US" w:eastAsia="zh-CN"/>
        </w:rPr>
      </w:pPr>
      <w:r>
        <w:rPr>
          <w:rFonts w:hint="eastAsia"/>
          <w:lang w:val="en-US" w:eastAsia="zh-CN"/>
        </w:rPr>
        <w:drawing>
          <wp:inline distT="0" distB="0" distL="114300" distR="114300">
            <wp:extent cx="5080000" cy="2572385"/>
            <wp:effectExtent l="4445" t="4445" r="20955" b="1397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numPr>
          <w:ilvl w:val="0"/>
          <w:numId w:val="0"/>
        </w:numPr>
        <w:spacing w:line="600" w:lineRule="exact"/>
        <w:ind w:firstLine="642" w:firstLineChars="200"/>
        <w:rPr>
          <w:rFonts w:hint="eastAsia" w:ascii="仿宋_GB2312" w:hAnsi="仿宋" w:eastAsia="仿宋_GB2312"/>
          <w:sz w:val="32"/>
          <w:szCs w:val="32"/>
          <w:highlight w:val="none"/>
          <w:lang w:val="en-US" w:eastAsia="zh-CN"/>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w:t>
      </w:r>
      <w:r>
        <w:rPr>
          <w:rFonts w:hint="eastAsia" w:ascii="仿宋_GB2312" w:hAnsi="宋体" w:eastAsia="仿宋_GB2312"/>
          <w:color w:val="auto"/>
          <w:sz w:val="32"/>
          <w:szCs w:val="32"/>
          <w:highlight w:val="none"/>
        </w:rPr>
        <w:t>较</w:t>
      </w:r>
      <w:r>
        <w:rPr>
          <w:rFonts w:hint="eastAsia" w:ascii="仿宋_GB2312" w:hAnsi="宋体" w:eastAsia="仿宋_GB2312"/>
          <w:color w:val="auto"/>
          <w:sz w:val="32"/>
          <w:szCs w:val="32"/>
          <w:highlight w:val="none"/>
          <w:lang w:val="en-US" w:eastAsia="zh-CN"/>
        </w:rPr>
        <w:t>上</w:t>
      </w:r>
      <w:r>
        <w:rPr>
          <w:rFonts w:hint="eastAsia" w:ascii="仿宋_GB2312" w:hAnsi="宋体" w:eastAsia="仿宋_GB2312"/>
          <w:color w:val="auto"/>
          <w:sz w:val="32"/>
          <w:szCs w:val="32"/>
          <w:highlight w:val="none"/>
        </w:rPr>
        <w:t>年</w:t>
      </w:r>
      <w:r>
        <w:rPr>
          <w:rFonts w:hint="eastAsia" w:ascii="仿宋_GB2312" w:hAnsi="仿宋" w:eastAsia="仿宋_GB2312"/>
          <w:sz w:val="32"/>
          <w:szCs w:val="32"/>
          <w:highlight w:val="none"/>
          <w:lang w:val="en-US" w:eastAsia="zh-CN"/>
        </w:rPr>
        <w:t>无变动。</w:t>
      </w:r>
    </w:p>
    <w:p>
      <w:pPr>
        <w:numPr>
          <w:ilvl w:val="0"/>
          <w:numId w:val="0"/>
        </w:numPr>
        <w:spacing w:line="600" w:lineRule="exact"/>
        <w:ind w:firstLine="642"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0.28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1.2</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仿宋_GB2312" w:hAnsi="仿宋" w:eastAsia="仿宋_GB2312"/>
          <w:sz w:val="32"/>
          <w:szCs w:val="32"/>
          <w:highlight w:val="none"/>
          <w:lang w:eastAsia="zh-CN"/>
        </w:rPr>
        <w:t>下降107.45</w:t>
      </w:r>
      <w:r>
        <w:rPr>
          <w:rFonts w:hint="eastAsia" w:ascii="仿宋_GB2312" w:hAnsi="宋体"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99.74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2024年度购买3辆新车。</w:t>
      </w:r>
    </w:p>
    <w:p>
      <w:pPr>
        <w:pStyle w:val="17"/>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firstLine="640"/>
        <w:jc w:val="both"/>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 w:hAnsi="仿宋" w:eastAsia="仿宋" w:cs="仿宋"/>
          <w:color w:val="auto"/>
          <w:kern w:val="2"/>
          <w:sz w:val="32"/>
          <w:szCs w:val="32"/>
          <w:highlight w:val="none"/>
          <w:lang w:val="en-US" w:eastAsia="zh-CN" w:bidi="ar-SA"/>
        </w:rPr>
        <w:t>其中：商务车2辆、越野车6辆、其他车辆2辆。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0.28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办案</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0.49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27.8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 w:eastAsia="仿宋_GB2312"/>
          <w:sz w:val="32"/>
          <w:szCs w:val="32"/>
          <w:highlight w:val="none"/>
          <w:lang w:eastAsia="zh-CN"/>
        </w:rPr>
        <w:t>减少1.20</w:t>
      </w:r>
      <w:r>
        <w:rPr>
          <w:rFonts w:hint="eastAsia" w:ascii="仿宋_GB2312" w:hAnsi="宋体" w:eastAsia="仿宋_GB2312"/>
          <w:color w:val="auto"/>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71.3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仿宋"/>
          <w:color w:val="auto"/>
          <w:kern w:val="2"/>
          <w:sz w:val="32"/>
          <w:szCs w:val="32"/>
          <w:highlight w:val="none"/>
          <w:lang w:val="en-US" w:eastAsia="zh-CN" w:bidi="ar-SA"/>
        </w:rPr>
        <w:t>公务接待减少</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0.49</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0.49</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 w:hAnsi="仿宋" w:eastAsia="仿宋" w:cs="仿宋"/>
          <w:color w:val="auto"/>
          <w:kern w:val="2"/>
          <w:sz w:val="32"/>
          <w:szCs w:val="32"/>
          <w:highlight w:val="none"/>
          <w:lang w:val="en-US" w:eastAsia="zh-CN" w:bidi="ar-SA"/>
        </w:rPr>
        <w:t>上级法院、绵阳对口援建单位，其他有法院执行公务用餐费。</w:t>
      </w:r>
      <w:bookmarkStart w:id="47" w:name="_Toc15377218"/>
      <w:bookmarkStart w:id="48" w:name="_Toc15396610"/>
    </w:p>
    <w:p>
      <w:pPr>
        <w:spacing w:line="600" w:lineRule="exact"/>
        <w:ind w:firstLine="640"/>
        <w:outlineLvl w:val="1"/>
        <w:rPr>
          <w:rStyle w:val="31"/>
          <w:rFonts w:ascii="Times New Roman" w:hAnsi="Times New Roman" w:eastAsia="黑体"/>
          <w:color w:val="auto"/>
          <w:highlight w:val="none"/>
        </w:rPr>
      </w:pPr>
      <w:bookmarkStart w:id="49" w:name="_Toc1740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7"/>
      <w:bookmarkEnd w:id="48"/>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0" w:name="_Toc15396611"/>
      <w:bookmarkStart w:id="51" w:name="_Toc15377219"/>
      <w:bookmarkStart w:id="52" w:name="_Toc32220"/>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0"/>
      <w:bookmarkEnd w:id="51"/>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53" w:name="_Toc15377221"/>
      <w:bookmarkStart w:id="54" w:name="_Toc15396612"/>
      <w:bookmarkStart w:id="55" w:name="_Toc31285"/>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3"/>
      <w:bookmarkEnd w:id="54"/>
      <w:bookmarkEnd w:id="55"/>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壤塘县人民法院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104.34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29.76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厉行节约，严控开支。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壤塘县人民法院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134.11</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134.11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正常工作运转</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 w:hAnsi="仿宋" w:eastAsia="仿宋" w:cs="仿宋"/>
          <w:color w:val="auto"/>
          <w:kern w:val="2"/>
          <w:sz w:val="32"/>
          <w:szCs w:val="32"/>
          <w:highlight w:val="none"/>
          <w:lang w:val="en-US" w:eastAsia="zh-CN" w:bidi="ar-SA"/>
        </w:rPr>
        <w:t>壤塘县人民法院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辆，其中：执法执勤用车</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 w:hAnsi="仿宋" w:eastAsia="仿宋" w:cs="仿宋"/>
          <w:color w:val="auto"/>
          <w:kern w:val="2"/>
          <w:sz w:val="32"/>
          <w:szCs w:val="32"/>
          <w:highlight w:val="none"/>
          <w:lang w:val="en-US" w:eastAsia="zh-CN" w:bidi="ar-SA"/>
        </w:rPr>
        <w:t>壤塘县人民法院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人员经费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1024.07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numPr>
          <w:ilvl w:val="0"/>
          <w:numId w:val="0"/>
        </w:numPr>
        <w:spacing w:line="600" w:lineRule="exact"/>
        <w:ind w:firstLine="640" w:firstLineChars="200"/>
        <w:outlineLvl w:val="1"/>
        <w:rPr>
          <w:rFonts w:hint="eastAsia" w:ascii="仿宋" w:hAnsi="仿宋" w:eastAsia="仿宋" w:cs="仿宋"/>
          <w:color w:val="auto"/>
          <w:kern w:val="2"/>
          <w:sz w:val="32"/>
          <w:szCs w:val="32"/>
          <w:highlight w:val="none"/>
          <w:lang w:val="en-US" w:eastAsia="zh-CN" w:bidi="ar-SA"/>
        </w:rPr>
      </w:pPr>
      <w:bookmarkStart w:id="59" w:name="_Toc10467"/>
      <w:r>
        <w:rPr>
          <w:rFonts w:hint="eastAsia" w:ascii="仿宋" w:hAnsi="仿宋" w:eastAsia="仿宋" w:cs="仿宋"/>
          <w:color w:val="auto"/>
          <w:kern w:val="2"/>
          <w:sz w:val="32"/>
          <w:szCs w:val="32"/>
          <w:highlight w:val="none"/>
          <w:lang w:val="en-US" w:eastAsia="zh-CN" w:bidi="ar-SA"/>
        </w:rPr>
        <w:t>组织对2025年度一般公共预算、政府性基金预算、社会保险基金预算以及资本资产等全面开展绩效自评，形成壤塘县人民法院2025年部门整体绩效自评报告，其中，壤塘县人民法院部门整体绩效自评得分为95分。绩效自评报告详见附件。</w:t>
      </w:r>
      <w:bookmarkEnd w:id="59"/>
    </w:p>
    <w:p>
      <w:pPr>
        <w:pStyle w:val="2"/>
        <w:outlineLvl w:val="9"/>
        <w:rPr>
          <w:rFonts w:hint="eastAsia" w:ascii="仿宋" w:hAnsi="仿宋" w:eastAsia="仿宋" w:cs="仿宋"/>
          <w:color w:val="auto"/>
          <w:kern w:val="2"/>
          <w:sz w:val="32"/>
          <w:szCs w:val="32"/>
          <w:highlight w:val="none"/>
          <w:lang w:val="en-US" w:eastAsia="zh-CN" w:bidi="ar-SA"/>
        </w:rPr>
      </w:pPr>
    </w:p>
    <w:p>
      <w:pPr>
        <w:rPr>
          <w:rFonts w:hint="eastAsia" w:ascii="仿宋" w:hAnsi="仿宋" w:eastAsia="仿宋" w:cs="仿宋"/>
          <w:color w:val="auto"/>
          <w:kern w:val="2"/>
          <w:sz w:val="32"/>
          <w:szCs w:val="32"/>
          <w:highlight w:val="none"/>
          <w:lang w:val="en-US" w:eastAsia="zh-CN" w:bidi="ar-SA"/>
        </w:rPr>
      </w:pPr>
    </w:p>
    <w:p>
      <w:pPr>
        <w:pStyle w:val="2"/>
        <w:outlineLvl w:val="9"/>
        <w:rPr>
          <w:rFonts w:hint="eastAsia" w:ascii="仿宋" w:hAnsi="仿宋" w:eastAsia="仿宋" w:cs="仿宋"/>
          <w:color w:val="auto"/>
          <w:kern w:val="2"/>
          <w:sz w:val="32"/>
          <w:szCs w:val="32"/>
          <w:highlight w:val="none"/>
          <w:lang w:val="en-US" w:eastAsia="zh-CN" w:bidi="ar-SA"/>
        </w:rPr>
      </w:pPr>
    </w:p>
    <w:p>
      <w:pPr>
        <w:rPr>
          <w:rFonts w:hint="eastAsia" w:ascii="仿宋" w:hAnsi="仿宋" w:eastAsia="仿宋" w:cs="仿宋"/>
          <w:color w:val="auto"/>
          <w:kern w:val="2"/>
          <w:sz w:val="32"/>
          <w:szCs w:val="32"/>
          <w:highlight w:val="none"/>
          <w:lang w:val="en-US" w:eastAsia="zh-CN" w:bidi="ar-SA"/>
        </w:rPr>
      </w:pPr>
    </w:p>
    <w:p>
      <w:pPr>
        <w:pStyle w:val="2"/>
        <w:outlineLvl w:val="9"/>
        <w:rPr>
          <w:rFonts w:hint="eastAsia" w:ascii="仿宋" w:hAnsi="仿宋" w:eastAsia="仿宋" w:cs="仿宋"/>
          <w:color w:val="auto"/>
          <w:kern w:val="2"/>
          <w:sz w:val="32"/>
          <w:szCs w:val="32"/>
          <w:highlight w:val="none"/>
          <w:lang w:val="en-US" w:eastAsia="zh-CN" w:bidi="ar-SA"/>
        </w:rPr>
      </w:pPr>
    </w:p>
    <w:p>
      <w:pPr>
        <w:rPr>
          <w:rFonts w:hint="eastAsia" w:ascii="仿宋" w:hAnsi="仿宋" w:eastAsia="仿宋" w:cs="仿宋"/>
          <w:color w:val="auto"/>
          <w:kern w:val="2"/>
          <w:sz w:val="32"/>
          <w:szCs w:val="32"/>
          <w:highlight w:val="none"/>
          <w:lang w:val="en-US" w:eastAsia="zh-CN" w:bidi="ar-SA"/>
        </w:rPr>
      </w:pPr>
    </w:p>
    <w:p>
      <w:pPr>
        <w:pStyle w:val="2"/>
        <w:outlineLvl w:val="9"/>
        <w:rPr>
          <w:rFonts w:hint="eastAsia" w:ascii="仿宋" w:hAnsi="仿宋" w:eastAsia="仿宋" w:cs="仿宋"/>
          <w:color w:val="auto"/>
          <w:kern w:val="2"/>
          <w:sz w:val="32"/>
          <w:szCs w:val="32"/>
          <w:highlight w:val="none"/>
          <w:lang w:val="en-US" w:eastAsia="zh-CN" w:bidi="ar-SA"/>
        </w:rPr>
      </w:pPr>
    </w:p>
    <w:p>
      <w:pPr>
        <w:rPr>
          <w:rFonts w:hint="eastAsia" w:ascii="仿宋" w:hAnsi="仿宋" w:eastAsia="仿宋" w:cs="仿宋"/>
          <w:color w:val="auto"/>
          <w:kern w:val="2"/>
          <w:sz w:val="32"/>
          <w:szCs w:val="32"/>
          <w:highlight w:val="none"/>
          <w:lang w:val="en-US" w:eastAsia="zh-CN" w:bidi="ar-SA"/>
        </w:rPr>
      </w:pPr>
    </w:p>
    <w:p>
      <w:pPr>
        <w:pStyle w:val="2"/>
        <w:outlineLvl w:val="9"/>
        <w:rPr>
          <w:rFonts w:hint="eastAsia" w:ascii="仿宋" w:hAnsi="仿宋" w:eastAsia="仿宋" w:cs="仿宋"/>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0" w:name="_Toc3227"/>
      <w:bookmarkStart w:id="61" w:name="_Toc15396613"/>
      <w:bookmarkStart w:id="6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0"/>
      <w:bookmarkEnd w:id="61"/>
      <w:bookmarkEnd w:id="62"/>
    </w:p>
    <w:p>
      <w:pPr>
        <w:spacing w:line="600" w:lineRule="exact"/>
        <w:jc w:val="left"/>
        <w:rPr>
          <w:rFonts w:ascii="Times New Roman" w:hAnsi="Times New Roman"/>
          <w:b/>
          <w:color w:val="auto"/>
          <w:sz w:val="44"/>
          <w:szCs w:val="44"/>
          <w:highlight w:val="none"/>
        </w:rPr>
      </w:pP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1.财政拨款收入：指单位从同级财政部门取得的财政预算资金。</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2.事业收入：指事业单位开展专业业务活动及辅助活动取得的收入。</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4.其他收入：指单位取得的除上述收入以外的各项收入。主要是…（收入类型）等。 </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5.使用非财政拨款结余（含专用结余）：指事业单位使用以前年度积累的非财政拨款结余弥补当年收支差额的金额。 </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6.年初结转和结余：指以前年度尚未完成、结转到本年按有关规定继续使用的资金。 </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8.年末结转和结余：指单位按有关规定结转到下年或以后年度继续使用的资金。</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9、公共安全（类）法院（款）行政运行（项）: 指法院（包括实行公务员管理的事业单位）的基本支出。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color w:val="000000"/>
          <w:sz w:val="32"/>
          <w:szCs w:val="32"/>
          <w:shd w:val="clear" w:fill="FFFFFF"/>
        </w:rPr>
      </w:pPr>
      <w:r>
        <w:rPr>
          <w:rFonts w:hint="eastAsia" w:ascii="仿宋" w:hAnsi="仿宋" w:eastAsia="仿宋" w:cs="仿宋"/>
          <w:color w:val="000000"/>
          <w:sz w:val="32"/>
          <w:szCs w:val="32"/>
          <w:shd w:val="clear" w:fill="FFFFFF"/>
        </w:rPr>
        <w:t>10、公共安全（类）法院（款）一般行政管理事务（项）: 指行政单位（包括实行公务员管理的事业单位）未单独设置项级科目的其他项目支出。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11、公共安全（类）法院（款）案件执行（项）: 指指反应人民法院对刑事、民事、行政、涉外等案件执行活动和对  各种非诉执行活动的支出。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12、公共安全支出（类）法院（款）其他法院支出（项）：指反应除上述项目外其他用于法院方面的支出。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13.社会保障和就业（类）行政事业单位离退休（款）机关事业单位基本养老保险缴费（项）: 指机关事业单位实施养老保险制度由单位缴纳的基本养老保险费支出。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14、社会保障和就业（类）行政事业单位离退休（款）机关事业单位职业年金缴费（项）: 指机关事业单位实施养老保险制度由单位实际缴纳的职业年金支出。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15、医疗卫生与计划生育（类）行政事业单位医疗（款）行政单位医疗（项）:指财政部门集中安排的行政单位基本医疗保险缴费经费，未参加医疗保险的行政单位的公费医疗经费，按国家规定享受离休人员、红军老战士待遇人员的医疗经费。</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16、医疗卫生与计划生育（类）行政事业单位医疗（款）事业单位医疗（项）:指财政部门集中安排的事业单位基本医疗保险缴费经费，未参加医疗保险的事业单位的公费医疗经费，按国家规定享受离休人员待遇的医疗经费。</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17、医疗卫生与计划生育（类）行政事业单位医疗（款）公务员医疗补助（项）:指财政部门集中安排的公务员医疗补助经费。</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18、医疗卫生与计划生育（类）行政事业单位医疗（款）其他行政事业单位医疗（项）:指除上述项目以外的其他用于行政事业单位医疗方面的支出。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19、住房保障（类）住房改革（款）住房公积金（项）:指行政事业单位按人力资源和社会保障部、财政部规定的基本工资和津贴补贴以及规定比例为职工缴纳的住房公积金。</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kinsoku/>
        <w:wordWrap/>
        <w:overflowPunct/>
        <w:topLinePunct w:val="0"/>
        <w:autoSpaceDE/>
        <w:autoSpaceDN/>
        <w:bidi w:val="0"/>
        <w:adjustRightInd/>
        <w:snapToGrid/>
        <w:spacing w:before="0" w:beforeAutospacing="0" w:after="0" w:afterAutospacing="0" w:line="550" w:lineRule="exact"/>
        <w:ind w:left="0" w:firstLine="641"/>
        <w:textAlignment w:val="auto"/>
        <w:rPr>
          <w:rFonts w:hint="eastAsia" w:ascii="仿宋" w:hAnsi="仿宋" w:eastAsia="仿宋" w:cs="仿宋"/>
          <w:sz w:val="32"/>
          <w:szCs w:val="32"/>
        </w:rPr>
      </w:pPr>
      <w:r>
        <w:rPr>
          <w:rFonts w:hint="eastAsia" w:ascii="仿宋" w:hAnsi="仿宋" w:eastAsia="仿宋" w:cs="仿宋"/>
          <w:color w:val="000000"/>
          <w:sz w:val="32"/>
          <w:szCs w:val="32"/>
          <w:shd w:val="clear" w:fill="FFFFFF"/>
        </w:rPr>
        <w:t>20、住房保障（类）住房改革（款）购房补贴（项）:指铵房改政策规定，行政事业单位向符合条件职工（含离退休人员）、军队（含武警）向转役复原离退休人员发放的用于购买住房的补贴。</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21.基本支出：指为保障机构正常运转、完成日常工作任务而发生的人员支出和公用支出。</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 xml:space="preserve">22.项目支出：指在基本支出之外为完成特定行政任务和事业发展目标所发生的支出。 </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23.经营支出：指事业单位在专业业务活动及其辅助活动之外开展非独立核算经营活动发生的支出。</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outlineLvl w:val="0"/>
        <w:rPr>
          <w:rStyle w:val="30"/>
          <w:rFonts w:hint="eastAsia" w:ascii="Times New Roman" w:hAnsi="Times New Roman" w:eastAsia="黑体"/>
          <w:b w:val="0"/>
          <w:color w:val="auto"/>
          <w:highlight w:val="none"/>
          <w:lang w:eastAsia="zh-CN"/>
        </w:rPr>
      </w:pPr>
      <w:bookmarkStart w:id="6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4" w:name="_Toc15396614"/>
      <w:bookmarkStart w:id="65" w:name="_Toc16733"/>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bookmarkEnd w:id="65"/>
    </w:p>
    <w:p>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6" w:name="_Toc13769"/>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6"/>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default" w:ascii="Times New Roman" w:hAnsi="Times New Roman" w:eastAsia="仿宋_GB2312" w:cs="Times New Roman"/>
          <w:sz w:val="32"/>
          <w:szCs w:val="32"/>
          <w:highlight w:val="none"/>
          <w:shd w:val="clear" w:color="auto" w:fill="FFFFFF"/>
        </w:rPr>
      </w:pPr>
      <w:bookmarkStart w:id="67" w:name="_Toc18719"/>
      <w:r>
        <w:rPr>
          <w:rFonts w:hint="default" w:ascii="Times New Roman" w:hAnsi="Times New Roman" w:eastAsia="仿宋_GB2312" w:cs="Times New Roman"/>
          <w:sz w:val="32"/>
          <w:szCs w:val="32"/>
          <w:highlight w:val="none"/>
          <w:shd w:val="clear" w:color="auto" w:fill="FFFFFF"/>
        </w:rPr>
        <w:t>（报告范围包括机关和下属单位）</w:t>
      </w:r>
      <w:bookmarkEnd w:id="67"/>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黑体" w:cs="Times New Roman"/>
          <w:color w:val="000000"/>
          <w:kern w:val="0"/>
          <w:sz w:val="32"/>
          <w:szCs w:val="32"/>
          <w:highlight w:val="none"/>
          <w:shd w:val="clear" w:color="auto" w:fill="FFFFFF"/>
          <w:lang w:val="zh-CN"/>
        </w:rPr>
      </w:pPr>
      <w:bookmarkStart w:id="68" w:name="_Toc834"/>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bookmarkEnd w:id="68"/>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default" w:ascii="Times New Roman" w:hAnsi="Times New Roman" w:eastAsia="仿宋_GB2312" w:cs="仿宋_GB2312"/>
          <w:color w:val="auto"/>
          <w:kern w:val="2"/>
          <w:sz w:val="32"/>
          <w:szCs w:val="32"/>
          <w:highlight w:val="none"/>
          <w:lang w:val="zh-CN" w:eastAsia="zh-CN" w:bidi="ar-SA"/>
        </w:rPr>
        <w:t>壤塘县人民法院设立6个行政科室，两个基层法庭(南木达法庭、蒲西法庭)。</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(1)综合办公室:负责协助院领导组织、协调、处理司法政务，负责综合性办文办会、文秘、信息、宣传、保密、档案、代表委员联络、决议事项督办、社会综合治理，负责本院财务管理、诉讼费监督管理，后勤物资装备配置及管理，办公用房和法庭建设维护，信息系统建设、运行、维护和管理保障，以及其他与政务后勤保障相关的工作;负责庭审翻译工作，双语裁判文书翻译工作，日常接待及其他翻译工作;负责案件评查、司法公开等审判管理工作，负责审判委员会、调研、案例等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政治部(督察室):负责干警思想政治建设、队伍建设、机构编制管理、干部人事管理、教育培训、表彰奖励、文化建设、人民陪审员管理，履行内部监督职能、协助党组抓好全院党风、党纪和廉政建设，承担其他与组织人事管理相关的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立案庭(诉讼服务中心):负责本院诉讼服务大厅等窗口的管理工作;负责本院的各类案件登记立案及立案审查工作;负责诉前调解、立案调解、信访接待、诉非衔接、诉讼辅导、案件繁简分流、案件速裁、多元化解矛盾纠纷等工作;依法实施诉前保全、起诉时提起的证据保全措施;依法审理支付令、督促等程序性案件并作出裁决;对应由本院受理的申诉、申请再审案件进行审查，并决定是否再审立案;负责办理减、免、缓诉讼费的审批手续;负责本院各类案件的材料收转、案件查询、法律咨询、12368诉讼服务热线等工作，司法评估、拍卖、鉴定，以及其他与立案、信访有关的工作事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综合审判庭(环境资源审判庭):依法审理本院各类刑事、民事、行政等案件;依法审理破坏资源、污染环境、与环境资源相关等涉及环境资源保护等案件;依法审理申诉、申请再审及审判监督案件;负责总结审判工作经验，以及其他与审判相关的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(5)执行局:负责办理本院各类执行案件，总结执行工作经验，以及其他与执行相关的工作。</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仿宋_GB2312" w:cs="仿宋_GB2312"/>
          <w:color w:val="auto"/>
          <w:kern w:val="2"/>
          <w:sz w:val="32"/>
          <w:szCs w:val="32"/>
          <w:highlight w:val="none"/>
          <w:lang w:val="en-US" w:eastAsia="zh-CN" w:bidi="ar-SA"/>
        </w:rPr>
        <w:t>(6)法警大队:负责司法警察、警务工作、警卫法庭、押解人犯、送达有关法律文书、执行死刑。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年末，本单位实有人数40人，比上年减少1人；变动原因为6人调动、招录4名新干警。年末实有其它人数（临聘书记员及辅警）为18人，与上年相比减少1人。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黑体" w:cs="Times New Roman"/>
          <w:color w:val="000000"/>
          <w:kern w:val="0"/>
          <w:sz w:val="32"/>
          <w:szCs w:val="32"/>
          <w:highlight w:val="none"/>
          <w:shd w:val="clear" w:color="auto" w:fill="FFFFFF"/>
          <w:lang w:val="zh-CN" w:eastAsia="zh-CN"/>
        </w:rPr>
      </w:pPr>
      <w:bookmarkStart w:id="69" w:name="_Toc26264"/>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bookmarkEnd w:id="69"/>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eastAsia="仿宋_GB2312" w:cs="Times New Roman"/>
          <w:sz w:val="32"/>
          <w:szCs w:val="32"/>
          <w:highlight w:val="none"/>
          <w:lang w:val="en-US" w:eastAsia="zh-CN"/>
        </w:rPr>
      </w:pPr>
      <w:r>
        <w:rPr>
          <w:rFonts w:eastAsia="楷体_GB2312"/>
          <w:b/>
          <w:bCs/>
          <w:color w:val="000000"/>
          <w:kern w:val="0"/>
          <w:sz w:val="32"/>
          <w:szCs w:val="32"/>
          <w:shd w:val="clear" w:color="auto" w:fill="FFFFFF"/>
          <w:lang w:val="zh-CN"/>
        </w:rPr>
        <w:t>（一）收入情况。</w:t>
      </w:r>
      <w:r>
        <w:rPr>
          <w:rFonts w:hint="eastAsia" w:eastAsia="仿宋_GB2312" w:cs="Times New Roman"/>
          <w:sz w:val="32"/>
          <w:szCs w:val="32"/>
          <w:lang w:val="en-US" w:eastAsia="zh-CN"/>
        </w:rPr>
        <w:t>壤塘法院</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1024.07万元，其中日常公用经费下达132.89万元，人员经费下达891.18万元，项目经费下达</w:t>
      </w:r>
      <w:r>
        <w:rPr>
          <w:rFonts w:hint="eastAsia" w:eastAsia="仿宋_GB2312" w:cs="Times New Roman"/>
          <w:sz w:val="32"/>
          <w:szCs w:val="32"/>
          <w:highlight w:val="none"/>
          <w:lang w:val="en-US" w:eastAsia="zh-CN"/>
        </w:rPr>
        <w:t>0万元，中央zfzyzf资金734万元，2025年下达598.06万元，2025年结余结转资金135.94万元。</w:t>
      </w:r>
    </w:p>
    <w:p>
      <w:pPr>
        <w:widowControl/>
        <w:adjustRightInd w:val="0"/>
        <w:snapToGrid w:val="0"/>
        <w:spacing w:line="578" w:lineRule="exact"/>
        <w:ind w:firstLine="642" w:firstLineChars="200"/>
        <w:contextualSpacing/>
        <w:jc w:val="left"/>
        <w:rPr>
          <w:rFonts w:eastAsia="仿宋_GB2312"/>
          <w:sz w:val="32"/>
          <w:szCs w:val="32"/>
          <w:lang w:val="zh-CN"/>
        </w:rPr>
      </w:pPr>
      <w:r>
        <w:rPr>
          <w:rFonts w:eastAsia="楷体_GB2312"/>
          <w:b/>
          <w:bCs/>
          <w:color w:val="000000"/>
          <w:kern w:val="0"/>
          <w:sz w:val="32"/>
          <w:szCs w:val="32"/>
          <w:shd w:val="clear" w:color="auto" w:fill="FFFFFF"/>
          <w:lang w:val="zh-CN"/>
        </w:rPr>
        <w:t>（二）支出情况。</w:t>
      </w:r>
      <w:r>
        <w:rPr>
          <w:rFonts w:hint="eastAsia" w:eastAsia="仿宋_GB2312" w:cs="Times New Roman"/>
          <w:sz w:val="32"/>
          <w:szCs w:val="32"/>
          <w:lang w:val="en-US" w:eastAsia="zh-CN"/>
        </w:rPr>
        <w:t>壤塘法院</w:t>
      </w:r>
      <w:r>
        <w:rPr>
          <w:rFonts w:hint="default"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1024.07万元，其中日常公用经费支出132.89万元，人员经费支出891.18万元，项目支出0万元，中央</w:t>
      </w:r>
      <w:r>
        <w:rPr>
          <w:rFonts w:hint="eastAsia" w:eastAsia="仿宋_GB2312" w:cs="Times New Roman"/>
          <w:sz w:val="32"/>
          <w:szCs w:val="32"/>
          <w:highlight w:val="none"/>
          <w:lang w:val="en-US" w:eastAsia="zh-CN"/>
        </w:rPr>
        <w:t>zfzyzf</w:t>
      </w:r>
      <w:r>
        <w:rPr>
          <w:rFonts w:hint="eastAsia" w:eastAsia="仿宋_GB2312" w:cs="Times New Roman"/>
          <w:sz w:val="32"/>
          <w:szCs w:val="32"/>
          <w:lang w:val="en-US" w:eastAsia="zh-CN"/>
        </w:rPr>
        <w:t>资金支出734万元，2025年支出598.06万元，2024年结余结转资金支出135.94万元。</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eastAsia="仿宋_GB2312"/>
          <w:sz w:val="32"/>
          <w:lang w:val="zh-CN" w:eastAsia="zh-CN"/>
        </w:rPr>
      </w:pPr>
      <w:r>
        <w:rPr>
          <w:rFonts w:eastAsia="楷体_GB2312"/>
          <w:b/>
          <w:bCs/>
          <w:color w:val="000000"/>
          <w:kern w:val="0"/>
          <w:sz w:val="32"/>
          <w:szCs w:val="32"/>
          <w:shd w:val="clear" w:color="auto" w:fill="FFFFFF"/>
          <w:lang w:val="zh-CN"/>
        </w:rPr>
        <w:t>（三）</w:t>
      </w:r>
      <w:r>
        <w:rPr>
          <w:rFonts w:eastAsia="楷体_GB2312"/>
          <w:b/>
          <w:sz w:val="32"/>
          <w:szCs w:val="32"/>
        </w:rPr>
        <w:t>结余分配和结转结余情况。</w:t>
      </w:r>
      <w:r>
        <w:rPr>
          <w:rFonts w:hint="eastAsia" w:eastAsia="仿宋_GB2312" w:cs="Times New Roman"/>
          <w:sz w:val="32"/>
          <w:szCs w:val="32"/>
          <w:lang w:val="en-US" w:eastAsia="zh-CN"/>
        </w:rPr>
        <w:t>壤塘法院</w:t>
      </w:r>
      <w:r>
        <w:rPr>
          <w:rFonts w:hint="default"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结转结余。</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黑体" w:cs="Times New Roman"/>
          <w:color w:val="000000"/>
          <w:kern w:val="0"/>
          <w:sz w:val="32"/>
          <w:szCs w:val="32"/>
          <w:highlight w:val="none"/>
          <w:shd w:val="clear" w:color="auto" w:fill="FFFFFF"/>
          <w:lang w:val="zh-CN" w:eastAsia="zh-CN"/>
        </w:rPr>
      </w:pPr>
      <w:bookmarkStart w:id="70" w:name="_Toc31945"/>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bookmarkEnd w:id="70"/>
    </w:p>
    <w:p>
      <w:pPr>
        <w:adjustRightInd w:val="0"/>
        <w:snapToGrid w:val="0"/>
        <w:spacing w:line="578" w:lineRule="exact"/>
        <w:ind w:firstLine="642" w:firstLineChars="200"/>
        <w:contextualSpacing/>
        <w:jc w:val="left"/>
        <w:rPr>
          <w:rFonts w:hint="default" w:eastAsia="仿宋_GB2312"/>
          <w:color w:val="000000"/>
          <w:kern w:val="0"/>
          <w:sz w:val="32"/>
          <w:szCs w:val="32"/>
          <w:shd w:val="clear" w:color="auto" w:fill="FFFFFF"/>
          <w:lang w:val="en-US" w:eastAsia="zh-CN"/>
        </w:rPr>
      </w:pPr>
      <w:r>
        <w:rPr>
          <w:rFonts w:eastAsia="楷体_GB2312"/>
          <w:b/>
          <w:bCs/>
          <w:color w:val="000000"/>
          <w:kern w:val="0"/>
          <w:sz w:val="32"/>
          <w:szCs w:val="32"/>
          <w:shd w:val="clear" w:color="auto" w:fill="FFFFFF"/>
          <w:lang w:val="zh-CN"/>
        </w:rPr>
        <w:t>（一）部门预算总体绩效分析。</w:t>
      </w:r>
      <w:r>
        <w:rPr>
          <w:rFonts w:hint="eastAsia" w:eastAsia="仿宋_GB2312"/>
          <w:color w:val="000000"/>
          <w:kern w:val="0"/>
          <w:sz w:val="32"/>
          <w:szCs w:val="32"/>
          <w:shd w:val="clear" w:color="auto" w:fill="FFFFFF"/>
          <w:lang w:val="zh-CN"/>
        </w:rPr>
        <w:t>壤塘县人民法院以保障审判执行、维护司法公正、服务基层治理为核心目标，严格落实预算法与全面实施预算绩效管理要求，坚持</w:t>
      </w:r>
      <w:r>
        <w:rPr>
          <w:rFonts w:hint="eastAsia" w:eastAsia="仿宋_GB2312"/>
          <w:color w:val="000000"/>
          <w:kern w:val="0"/>
          <w:sz w:val="32"/>
          <w:szCs w:val="32"/>
          <w:shd w:val="clear" w:color="auto" w:fill="FFFFFF"/>
          <w:lang w:val="en-US" w:eastAsia="zh-CN"/>
        </w:rPr>
        <w:t xml:space="preserve"> </w:t>
      </w:r>
      <w:r>
        <w:rPr>
          <w:rFonts w:hint="default" w:eastAsia="仿宋_GB2312"/>
          <w:color w:val="000000"/>
          <w:kern w:val="0"/>
          <w:sz w:val="32"/>
          <w:szCs w:val="32"/>
          <w:shd w:val="clear" w:color="auto" w:fill="FFFFFF"/>
          <w:lang w:val="en-US" w:eastAsia="zh-CN"/>
        </w:rPr>
        <w:t>“</w:t>
      </w:r>
      <w:r>
        <w:rPr>
          <w:rFonts w:hint="eastAsia" w:eastAsia="仿宋_GB2312"/>
          <w:color w:val="000000"/>
          <w:kern w:val="0"/>
          <w:sz w:val="32"/>
          <w:szCs w:val="32"/>
          <w:shd w:val="clear" w:color="auto" w:fill="FFFFFF"/>
          <w:lang w:val="zh-CN"/>
        </w:rPr>
        <w:t>预算跟着职能走、资金围着绩效转</w:t>
      </w:r>
      <w:r>
        <w:rPr>
          <w:rFonts w:hint="default" w:eastAsia="仿宋_GB2312"/>
          <w:color w:val="000000"/>
          <w:kern w:val="0"/>
          <w:sz w:val="32"/>
          <w:szCs w:val="32"/>
          <w:shd w:val="clear" w:color="auto" w:fill="FFFFFF"/>
          <w:lang w:val="en-US" w:eastAsia="zh-CN"/>
        </w:rPr>
        <w:t>”</w:t>
      </w:r>
      <w:r>
        <w:rPr>
          <w:rFonts w:hint="eastAsia" w:eastAsia="仿宋_GB2312"/>
          <w:color w:val="000000"/>
          <w:kern w:val="0"/>
          <w:sz w:val="32"/>
          <w:szCs w:val="32"/>
          <w:shd w:val="clear" w:color="auto" w:fill="FFFFFF"/>
          <w:lang w:val="en-US" w:eastAsia="zh-CN"/>
        </w:rPr>
        <w:t>,将绩效管理贯穿预算编制、执行、监督全过程，全力提升财政资金使用效益与司法服务效能。</w:t>
      </w:r>
    </w:p>
    <w:p>
      <w:pPr>
        <w:adjustRightInd w:val="0"/>
        <w:snapToGrid w:val="0"/>
        <w:spacing w:line="578" w:lineRule="exact"/>
        <w:ind w:firstLine="640" w:firstLineChars="200"/>
        <w:contextualSpacing/>
        <w:jc w:val="left"/>
        <w:rPr>
          <w:rFonts w:hint="default" w:eastAsia="仿宋_GB2312"/>
          <w:color w:val="000000"/>
          <w:kern w:val="0"/>
          <w:sz w:val="32"/>
          <w:szCs w:val="32"/>
          <w:shd w:val="clear" w:color="auto" w:fill="FFFFFF"/>
          <w:lang w:val="en-US" w:eastAsia="zh-CN"/>
        </w:rPr>
      </w:pPr>
      <w:r>
        <w:rPr>
          <w:rFonts w:eastAsia="楷体_GB2312"/>
          <w:color w:val="000000"/>
          <w:kern w:val="0"/>
          <w:sz w:val="32"/>
          <w:szCs w:val="32"/>
          <w:shd w:val="clear" w:color="auto" w:fill="FFFFFF"/>
        </w:rPr>
        <w:t>1.</w:t>
      </w:r>
      <w:r>
        <w:rPr>
          <w:rFonts w:eastAsia="楷体_GB2312"/>
          <w:color w:val="000000"/>
          <w:kern w:val="0"/>
          <w:sz w:val="32"/>
          <w:szCs w:val="32"/>
          <w:shd w:val="clear" w:color="auto" w:fill="FFFFFF"/>
          <w:lang w:val="zh-CN"/>
        </w:rPr>
        <w:t>履职效能。</w:t>
      </w:r>
      <w:r>
        <w:rPr>
          <w:rFonts w:hint="eastAsia" w:eastAsia="楷体_GB2312"/>
          <w:color w:val="000000"/>
          <w:kern w:val="0"/>
          <w:sz w:val="32"/>
          <w:szCs w:val="32"/>
          <w:shd w:val="clear" w:color="auto" w:fill="FFFFFF"/>
          <w:lang w:val="zh-CN"/>
        </w:rPr>
        <w:t>审判执行职能目标：</w:t>
      </w:r>
      <w:r>
        <w:rPr>
          <w:rFonts w:hint="eastAsia" w:eastAsia="仿宋_GB2312"/>
          <w:color w:val="000000"/>
          <w:kern w:val="0"/>
          <w:sz w:val="32"/>
          <w:szCs w:val="32"/>
          <w:shd w:val="clear" w:color="auto" w:fill="FFFFFF"/>
          <w:lang w:val="zh-CN"/>
        </w:rPr>
        <w:t>依法独立行使审判权，公正高效审理各类案件。提升结案率、调节率、服判息诉率；司法服务与便民利民目标：完善诉讼服务中心建设，提供一站式、便捷化诉讼服务。推进巡回审判、基层普法、法制宣传，提升群众法制意识，和司法满意度；法制建设与社会治理目标：充分发挥司法在基层社会治理中的作用，助力平安建设，法治建设。</w:t>
      </w:r>
    </w:p>
    <w:p>
      <w:pPr>
        <w:adjustRightInd w:val="0"/>
        <w:snapToGrid w:val="0"/>
        <w:spacing w:line="578" w:lineRule="exact"/>
        <w:ind w:firstLine="640" w:firstLineChars="200"/>
        <w:contextualSpacing/>
        <w:jc w:val="left"/>
        <w:rPr>
          <w:rFonts w:hint="eastAsia" w:eastAsia="仿宋_GB2312"/>
          <w:color w:val="000000"/>
          <w:kern w:val="0"/>
          <w:sz w:val="32"/>
          <w:szCs w:val="32"/>
          <w:shd w:val="clear" w:color="auto" w:fill="FFFFFF"/>
          <w:lang w:val="zh-CN"/>
        </w:rPr>
      </w:pPr>
      <w:r>
        <w:rPr>
          <w:rFonts w:eastAsia="楷体_GB2312"/>
          <w:color w:val="000000"/>
          <w:kern w:val="0"/>
          <w:sz w:val="32"/>
          <w:szCs w:val="32"/>
          <w:shd w:val="clear" w:color="auto" w:fill="FFFFFF"/>
        </w:rPr>
        <w:t>2.</w:t>
      </w:r>
      <w:r>
        <w:rPr>
          <w:rFonts w:eastAsia="楷体_GB2312"/>
          <w:color w:val="000000"/>
          <w:kern w:val="0"/>
          <w:sz w:val="32"/>
          <w:szCs w:val="32"/>
          <w:shd w:val="clear" w:color="auto" w:fill="FFFFFF"/>
          <w:lang w:val="zh-CN"/>
        </w:rPr>
        <w:t>预算管理。</w:t>
      </w:r>
      <w:r>
        <w:rPr>
          <w:rFonts w:hint="eastAsia" w:eastAsia="楷体_GB2312"/>
          <w:color w:val="000000"/>
          <w:kern w:val="0"/>
          <w:sz w:val="32"/>
          <w:szCs w:val="32"/>
          <w:shd w:val="clear" w:color="auto" w:fill="FFFFFF"/>
          <w:lang w:val="zh-CN"/>
        </w:rPr>
        <w:t>本</w:t>
      </w:r>
      <w:r>
        <w:rPr>
          <w:rFonts w:hint="eastAsia" w:eastAsia="仿宋_GB2312"/>
          <w:color w:val="000000"/>
          <w:kern w:val="0"/>
          <w:sz w:val="32"/>
          <w:szCs w:val="32"/>
          <w:shd w:val="clear" w:color="auto" w:fill="FFFFFF"/>
          <w:lang w:val="zh-CN"/>
        </w:rPr>
        <w:t>单位严格执行国家和上级部门预算管理各项政策规定坚持绩效导向、系统管理、闭环管控、预算管理全流程运行总体规范、平稳、有序。预算管理工作规范有序，预算编制、收入统筹、支出执行、结余管理、控费支出、预决算公开均完成既定目标，合规性、约束性、稳步增强，较好落实了财经政策与绩效管理要求。但在精准化、统筹化、透明化等方面仍有提升空间。</w:t>
      </w:r>
    </w:p>
    <w:p>
      <w:pPr>
        <w:adjustRightInd w:val="0"/>
        <w:snapToGrid w:val="0"/>
        <w:spacing w:line="578" w:lineRule="exact"/>
        <w:ind w:firstLine="640" w:firstLineChars="200"/>
        <w:contextualSpacing/>
        <w:jc w:val="left"/>
        <w:rPr>
          <w:rFonts w:hint="eastAsia" w:eastAsia="仿宋_GB2312"/>
          <w:color w:val="000000"/>
          <w:kern w:val="0"/>
          <w:sz w:val="32"/>
          <w:szCs w:val="32"/>
          <w:shd w:val="clear" w:color="auto" w:fill="FFFFFF"/>
          <w:lang w:val="zh-CN"/>
        </w:rPr>
      </w:pPr>
      <w:r>
        <w:rPr>
          <w:rFonts w:eastAsia="楷体_GB2312"/>
          <w:color w:val="000000"/>
          <w:kern w:val="0"/>
          <w:sz w:val="32"/>
          <w:szCs w:val="32"/>
          <w:shd w:val="clear" w:color="auto" w:fill="FFFFFF"/>
        </w:rPr>
        <w:t>3.</w:t>
      </w:r>
      <w:r>
        <w:rPr>
          <w:rFonts w:eastAsia="楷体_GB2312"/>
          <w:color w:val="000000"/>
          <w:kern w:val="0"/>
          <w:sz w:val="32"/>
          <w:szCs w:val="32"/>
          <w:shd w:val="clear" w:color="auto" w:fill="FFFFFF"/>
          <w:lang w:val="zh-CN"/>
        </w:rPr>
        <w:t>财务管理。</w:t>
      </w:r>
      <w:r>
        <w:rPr>
          <w:rFonts w:hint="eastAsia" w:eastAsia="仿宋_GB2312"/>
          <w:color w:val="000000"/>
          <w:kern w:val="0"/>
          <w:sz w:val="32"/>
          <w:szCs w:val="32"/>
          <w:shd w:val="clear" w:color="auto" w:fill="FFFFFF"/>
          <w:lang w:val="zh-CN"/>
        </w:rPr>
        <w:t>本单位严格执行财经法律法规及上级财务管理要求，持续完善财务管理制度体系，规范财务岗位配置，强化资金使用全过程管控，财务规范化，制度化水平稳步提升。财务运行平稳有序，内控机制有效落实，资金安全得到有效保障，整体管理绩效持续向好。</w:t>
      </w:r>
    </w:p>
    <w:p>
      <w:pPr>
        <w:adjustRightInd w:val="0"/>
        <w:snapToGrid w:val="0"/>
        <w:spacing w:line="578" w:lineRule="exact"/>
        <w:ind w:firstLine="640" w:firstLineChars="200"/>
        <w:contextualSpacing/>
        <w:jc w:val="left"/>
        <w:rPr>
          <w:rFonts w:hint="eastAsia" w:eastAsia="仿宋_GB2312"/>
          <w:color w:val="000000"/>
          <w:kern w:val="0"/>
          <w:sz w:val="32"/>
          <w:szCs w:val="32"/>
          <w:shd w:val="clear" w:color="auto" w:fill="FFFFFF"/>
          <w:lang w:val="en-US" w:eastAsia="zh-CN"/>
        </w:rPr>
      </w:pPr>
      <w:r>
        <w:rPr>
          <w:rFonts w:eastAsia="楷体_GB2312"/>
          <w:color w:val="000000"/>
          <w:kern w:val="0"/>
          <w:sz w:val="32"/>
          <w:szCs w:val="32"/>
          <w:shd w:val="clear" w:color="auto" w:fill="FFFFFF"/>
        </w:rPr>
        <w:t>4.</w:t>
      </w:r>
      <w:r>
        <w:rPr>
          <w:rFonts w:eastAsia="楷体_GB2312"/>
          <w:color w:val="000000"/>
          <w:kern w:val="0"/>
          <w:sz w:val="32"/>
          <w:szCs w:val="32"/>
          <w:shd w:val="clear" w:color="auto" w:fill="FFFFFF"/>
          <w:lang w:val="zh-CN"/>
        </w:rPr>
        <w:t>资产管理。</w:t>
      </w:r>
      <w:r>
        <w:rPr>
          <w:rFonts w:hint="eastAsia" w:eastAsia="仿宋_GB2312"/>
          <w:color w:val="000000"/>
          <w:kern w:val="0"/>
          <w:sz w:val="32"/>
          <w:szCs w:val="32"/>
          <w:shd w:val="clear" w:color="auto" w:fill="FFFFFF"/>
          <w:lang w:val="zh-CN"/>
        </w:rPr>
        <w:t>本单位严格落实国有资产管理各项规定，资产配置总体合理，使用管理规范，闲置资产盘活力度持续加大，资产安全完整，运行平稳。从绩效指标看，资产配置与履职需求基本匹配，使用效率稳步提升。</w:t>
      </w:r>
    </w:p>
    <w:p>
      <w:pPr>
        <w:adjustRightInd w:val="0"/>
        <w:snapToGrid w:val="0"/>
        <w:spacing w:line="578" w:lineRule="exact"/>
        <w:ind w:firstLine="640" w:firstLineChars="200"/>
        <w:contextualSpacing/>
        <w:jc w:val="left"/>
        <w:rPr>
          <w:rFonts w:eastAsia="楷体_GB2312"/>
          <w:color w:val="000000"/>
          <w:kern w:val="0"/>
          <w:sz w:val="32"/>
          <w:szCs w:val="32"/>
          <w:shd w:val="clear" w:color="auto" w:fill="FFFFFF"/>
          <w:lang w:val="zh-CN"/>
        </w:rPr>
      </w:pPr>
      <w:r>
        <w:rPr>
          <w:rFonts w:eastAsia="楷体_GB2312"/>
          <w:color w:val="000000"/>
          <w:kern w:val="0"/>
          <w:sz w:val="32"/>
          <w:szCs w:val="32"/>
          <w:shd w:val="clear" w:color="auto" w:fill="FFFFFF"/>
        </w:rPr>
        <w:t>5.</w:t>
      </w:r>
      <w:r>
        <w:rPr>
          <w:rFonts w:eastAsia="楷体_GB2312"/>
          <w:color w:val="000000"/>
          <w:kern w:val="0"/>
          <w:sz w:val="32"/>
          <w:szCs w:val="32"/>
          <w:shd w:val="clear" w:color="auto" w:fill="FFFFFF"/>
          <w:lang w:val="zh-CN"/>
        </w:rPr>
        <w:t>采购管理。</w:t>
      </w:r>
      <w:r>
        <w:rPr>
          <w:rFonts w:eastAsia="仿宋_GB2312"/>
          <w:color w:val="000000"/>
          <w:kern w:val="0"/>
          <w:sz w:val="32"/>
          <w:szCs w:val="32"/>
          <w:shd w:val="clear" w:color="auto" w:fill="FFFFFF"/>
          <w:lang w:val="zh-CN"/>
        </w:rPr>
        <w:t>围绕</w:t>
      </w:r>
      <w:r>
        <w:rPr>
          <w:rFonts w:hint="eastAsia" w:eastAsia="仿宋_GB2312"/>
          <w:color w:val="000000"/>
          <w:kern w:val="0"/>
          <w:sz w:val="32"/>
          <w:szCs w:val="32"/>
          <w:shd w:val="clear" w:color="auto" w:fill="FFFFFF"/>
          <w:lang w:val="zh-CN"/>
        </w:rPr>
        <w:t>本单位政府采购运行规范，政策落实到位，执行效率较高，较好实现了支持中小企业发展和保障单位运行的绩效目标。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adjustRightInd w:val="0"/>
        <w:snapToGrid w:val="0"/>
        <w:spacing w:line="578" w:lineRule="exact"/>
        <w:ind w:firstLine="640" w:firstLineChars="200"/>
        <w:contextualSpacing/>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lang w:val="en-US" w:eastAsia="zh-CN"/>
        </w:rPr>
        <w:t>1</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lang w:val="en-US" w:eastAsia="zh-CN"/>
        </w:rPr>
        <w:t>20</w:t>
      </w:r>
      <w:r>
        <w:rPr>
          <w:rFonts w:eastAsia="仿宋_GB2312"/>
          <w:color w:val="000000"/>
          <w:kern w:val="0"/>
          <w:sz w:val="32"/>
          <w:szCs w:val="32"/>
          <w:shd w:val="clear" w:color="auto" w:fill="FFFFFF"/>
          <w:lang w:val="zh-CN"/>
        </w:rPr>
        <w:t>万元，1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lang w:val="en-US" w:eastAsia="zh-CN"/>
        </w:rPr>
        <w:t>100</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eastAsia="仿宋_GB2312"/>
          <w:color w:val="000000"/>
          <w:kern w:val="0"/>
          <w:sz w:val="32"/>
          <w:szCs w:val="32"/>
          <w:shd w:val="clear" w:color="auto" w:fill="FFFFFF"/>
          <w:lang w:val="en-US" w:eastAsia="zh-CN"/>
        </w:rPr>
        <w:t>0</w:t>
      </w:r>
      <w:r>
        <w:rPr>
          <w:rFonts w:eastAsia="仿宋_GB2312"/>
          <w:color w:val="000000"/>
          <w:kern w:val="0"/>
          <w:sz w:val="32"/>
          <w:szCs w:val="32"/>
          <w:shd w:val="clear" w:color="auto" w:fill="FFFFFF"/>
          <w:lang w:val="zh-CN"/>
        </w:rPr>
        <w:t>个。</w:t>
      </w:r>
    </w:p>
    <w:p>
      <w:pPr>
        <w:adjustRightInd w:val="0"/>
        <w:snapToGrid w:val="0"/>
        <w:spacing w:line="578" w:lineRule="exact"/>
        <w:ind w:firstLine="640" w:firstLineChars="200"/>
        <w:contextualSpacing/>
        <w:jc w:val="left"/>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阶段（</w:t>
      </w:r>
      <w:r>
        <w:rPr>
          <w:rFonts w:hint="eastAsia" w:eastAsia="仿宋_GB2312"/>
          <w:color w:val="000000"/>
          <w:kern w:val="0"/>
          <w:sz w:val="32"/>
          <w:szCs w:val="32"/>
          <w:shd w:val="clear" w:color="auto" w:fill="FFFFFF"/>
        </w:rPr>
        <w:t>含</w:t>
      </w:r>
      <w:r>
        <w:rPr>
          <w:rFonts w:eastAsia="仿宋_GB2312"/>
          <w:color w:val="000000"/>
          <w:kern w:val="0"/>
          <w:sz w:val="32"/>
          <w:szCs w:val="32"/>
          <w:shd w:val="clear" w:color="auto" w:fill="FFFFFF"/>
        </w:rPr>
        <w:t>一次性）项目绩效分析。</w:t>
      </w:r>
      <w:r>
        <w:rPr>
          <w:rFonts w:eastAsia="仿宋_GB2312"/>
          <w:color w:val="000000"/>
          <w:kern w:val="0"/>
          <w:sz w:val="32"/>
          <w:szCs w:val="32"/>
          <w:shd w:val="clear" w:color="auto" w:fill="FFFFFF"/>
          <w:lang w:val="zh-CN"/>
        </w:rPr>
        <w:t>该类项目总数</w:t>
      </w:r>
      <w:r>
        <w:rPr>
          <w:rFonts w:hint="eastAsia" w:eastAsia="仿宋_GB2312"/>
          <w:color w:val="000000"/>
          <w:kern w:val="0"/>
          <w:sz w:val="32"/>
          <w:szCs w:val="32"/>
          <w:shd w:val="clear" w:color="auto" w:fill="FFFFFF"/>
          <w:lang w:val="en-US" w:eastAsia="zh-CN"/>
        </w:rPr>
        <w:t>0</w:t>
      </w:r>
      <w:r>
        <w:rPr>
          <w:rFonts w:eastAsia="仿宋_GB2312"/>
          <w:color w:val="000000"/>
          <w:kern w:val="0"/>
          <w:sz w:val="32"/>
          <w:szCs w:val="32"/>
          <w:shd w:val="clear" w:color="auto" w:fill="FFFFFF"/>
          <w:lang w:val="zh-CN"/>
        </w:rPr>
        <w:t>个，涉及预算总金额</w:t>
      </w:r>
      <w:r>
        <w:rPr>
          <w:rFonts w:hint="eastAsia" w:eastAsia="仿宋_GB2312"/>
          <w:color w:val="000000"/>
          <w:kern w:val="0"/>
          <w:sz w:val="32"/>
          <w:szCs w:val="32"/>
          <w:shd w:val="clear" w:color="auto" w:fill="FFFFFF"/>
          <w:lang w:val="en-US" w:eastAsia="zh-CN"/>
        </w:rPr>
        <w:t>0</w:t>
      </w:r>
      <w:r>
        <w:rPr>
          <w:rFonts w:eastAsia="仿宋_GB2312"/>
          <w:color w:val="000000"/>
          <w:kern w:val="0"/>
          <w:sz w:val="32"/>
          <w:szCs w:val="32"/>
          <w:shd w:val="clear" w:color="auto" w:fill="FFFFFF"/>
          <w:lang w:val="zh-CN"/>
        </w:rPr>
        <w:t>万元，1</w:t>
      </w:r>
      <w:r>
        <w:rPr>
          <w:rFonts w:hint="eastAsia"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eastAsia="仿宋_GB2312"/>
          <w:color w:val="000000"/>
          <w:kern w:val="0"/>
          <w:sz w:val="32"/>
          <w:szCs w:val="32"/>
          <w:shd w:val="clear" w:color="auto" w:fill="FFFFFF"/>
          <w:lang w:val="en-US" w:eastAsia="zh-CN"/>
        </w:rPr>
        <w:t>0</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eastAsia="仿宋_GB2312"/>
          <w:color w:val="000000"/>
          <w:kern w:val="0"/>
          <w:sz w:val="32"/>
          <w:szCs w:val="32"/>
          <w:shd w:val="clear" w:color="auto" w:fill="FFFFFF"/>
          <w:lang w:val="en-US" w:eastAsia="zh-CN"/>
        </w:rPr>
        <w:t>0</w:t>
      </w:r>
      <w:r>
        <w:rPr>
          <w:rFonts w:eastAsia="仿宋_GB2312"/>
          <w:color w:val="000000"/>
          <w:kern w:val="0"/>
          <w:sz w:val="32"/>
          <w:szCs w:val="32"/>
          <w:shd w:val="clear" w:color="auto" w:fill="FFFFFF"/>
          <w:lang w:val="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outlineLvl w:val="9"/>
        <w:rPr>
          <w:rFonts w:hint="eastAsia" w:eastAsia="仿宋_GB2312"/>
          <w:color w:val="000000"/>
          <w:kern w:val="0"/>
          <w:sz w:val="32"/>
          <w:szCs w:val="32"/>
          <w:shd w:val="clear" w:color="auto" w:fill="FFFFFF"/>
          <w:lang w:val="zh-CN"/>
        </w:rPr>
      </w:pPr>
      <w:r>
        <w:rPr>
          <w:rFonts w:hint="eastAsia" w:eastAsia="楷体_GB2312"/>
          <w:color w:val="000000"/>
          <w:kern w:val="0"/>
          <w:sz w:val="32"/>
          <w:szCs w:val="32"/>
          <w:shd w:val="clear" w:color="auto" w:fill="FFFFFF"/>
          <w:lang w:val="en-US" w:eastAsia="zh-CN"/>
        </w:rPr>
        <w:t>1.</w:t>
      </w:r>
      <w:r>
        <w:rPr>
          <w:rFonts w:eastAsia="楷体_GB2312"/>
          <w:color w:val="000000"/>
          <w:kern w:val="0"/>
          <w:sz w:val="32"/>
          <w:szCs w:val="32"/>
          <w:shd w:val="clear" w:color="auto" w:fill="FFFFFF"/>
          <w:lang w:val="zh-CN"/>
        </w:rPr>
        <w:t>项目决策。</w:t>
      </w:r>
      <w:r>
        <w:rPr>
          <w:rFonts w:hint="eastAsia" w:eastAsia="仿宋_GB2312"/>
          <w:color w:val="000000"/>
          <w:kern w:val="0"/>
          <w:sz w:val="32"/>
          <w:szCs w:val="32"/>
          <w:shd w:val="clear" w:color="auto" w:fill="FFFFFF"/>
          <w:lang w:val="zh-CN"/>
        </w:rPr>
        <w:t>本单位严格规范项目管理流程，项目决策程序合规完善，坚持集体研究、科学论证、分级审批，确保项目立项有据程序规范。</w:t>
      </w:r>
      <w:r>
        <w:rPr>
          <w:rFonts w:hint="eastAsia" w:ascii="Times New Roman" w:hAnsi="Times New Roman" w:eastAsia="仿宋_GB2312" w:cs="Times New Roman"/>
          <w:b w:val="0"/>
          <w:bCs w:val="0"/>
          <w:color w:val="000000"/>
          <w:kern w:val="0"/>
          <w:sz w:val="32"/>
          <w:szCs w:val="32"/>
          <w:highlight w:val="none"/>
          <w:shd w:val="clear" w:color="auto" w:fill="FFFFFF"/>
          <w:lang w:val="zh-CN"/>
        </w:rPr>
        <w:t>符合实际需求，有助于推动部门工作目标实现。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color w:val="000000"/>
          <w:kern w:val="0"/>
          <w:sz w:val="32"/>
          <w:szCs w:val="32"/>
          <w:highlight w:val="none"/>
          <w:shd w:val="clear" w:color="auto" w:fill="FFFFFF"/>
          <w:lang w:val="zh-CN"/>
        </w:rPr>
      </w:pPr>
      <w:r>
        <w:rPr>
          <w:rFonts w:eastAsia="楷体_GB2312"/>
          <w:color w:val="000000"/>
          <w:kern w:val="0"/>
          <w:sz w:val="32"/>
          <w:szCs w:val="32"/>
          <w:shd w:val="clear" w:color="auto" w:fill="FFFFFF"/>
        </w:rPr>
        <w:t>2.项目执行</w:t>
      </w:r>
      <w:r>
        <w:rPr>
          <w:rFonts w:eastAsia="楷体_GB2312"/>
          <w:color w:val="000000"/>
          <w:kern w:val="0"/>
          <w:sz w:val="32"/>
          <w:szCs w:val="32"/>
          <w:shd w:val="clear" w:color="auto" w:fill="FFFFFF"/>
          <w:lang w:val="zh-CN"/>
        </w:rPr>
        <w:t>。</w:t>
      </w:r>
      <w:r>
        <w:rPr>
          <w:rFonts w:hint="eastAsia" w:eastAsia="仿宋_GB2312" w:cs="Times New Roman"/>
          <w:color w:val="000000"/>
          <w:kern w:val="0"/>
          <w:sz w:val="32"/>
          <w:szCs w:val="32"/>
          <w:highlight w:val="none"/>
          <w:shd w:val="clear" w:color="auto" w:fill="FFFFFF"/>
          <w:lang w:val="zh-CN"/>
        </w:rPr>
        <w:t>预算执行进度均衡，不存在预算调整随意、资金闲置或挪用等问题。</w:t>
      </w:r>
    </w:p>
    <w:p>
      <w:pPr>
        <w:snapToGrid w:val="0"/>
        <w:spacing w:line="578" w:lineRule="exact"/>
        <w:ind w:firstLine="640" w:firstLineChars="200"/>
        <w:jc w:val="left"/>
        <w:rPr>
          <w:rFonts w:hint="eastAsia" w:eastAsia="仿宋_GB2312" w:cs="Times New Roman"/>
          <w:color w:val="000000"/>
          <w:kern w:val="0"/>
          <w:sz w:val="32"/>
          <w:szCs w:val="32"/>
          <w:highlight w:val="none"/>
          <w:shd w:val="clear" w:color="auto" w:fill="FFFFFF"/>
          <w:lang w:val="en-US" w:eastAsia="zh-CN"/>
        </w:rPr>
      </w:pPr>
      <w:r>
        <w:rPr>
          <w:rFonts w:eastAsia="楷体_GB2312"/>
          <w:color w:val="000000"/>
          <w:kern w:val="0"/>
          <w:sz w:val="32"/>
          <w:szCs w:val="32"/>
          <w:shd w:val="clear" w:color="auto" w:fill="FFFFFF"/>
        </w:rPr>
        <w:t>3.</w:t>
      </w:r>
      <w:r>
        <w:rPr>
          <w:rFonts w:eastAsia="楷体_GB2312"/>
          <w:color w:val="000000"/>
          <w:kern w:val="0"/>
          <w:sz w:val="32"/>
          <w:szCs w:val="32"/>
          <w:shd w:val="clear" w:color="auto" w:fill="FFFFFF"/>
          <w:lang w:val="zh-CN"/>
        </w:rPr>
        <w:t>目标实现。</w:t>
      </w:r>
      <w:r>
        <w:rPr>
          <w:rFonts w:hint="eastAsia" w:eastAsia="仿宋_GB2312" w:cs="Times New Roman"/>
          <w:color w:val="000000"/>
          <w:kern w:val="0"/>
          <w:sz w:val="32"/>
          <w:szCs w:val="32"/>
          <w:highlight w:val="none"/>
          <w:shd w:val="clear" w:color="auto" w:fill="FFFFFF"/>
          <w:lang w:val="en-US" w:eastAsia="zh-CN"/>
        </w:rPr>
        <w:t>2025年度内完成壤塘县人民法院诉讼服务中心提升改造项目。</w:t>
      </w:r>
    </w:p>
    <w:p>
      <w:pPr>
        <w:snapToGrid w:val="0"/>
        <w:spacing w:line="578" w:lineRule="exact"/>
        <w:ind w:firstLine="642" w:firstLineChars="200"/>
        <w:jc w:val="left"/>
        <w:rPr>
          <w:rFonts w:eastAsia="仿宋_GB2312"/>
          <w:b/>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olor w:val="000000"/>
          <w:kern w:val="0"/>
          <w:sz w:val="32"/>
          <w:szCs w:val="32"/>
          <w:shd w:val="clear" w:color="auto" w:fill="FFFFFF"/>
          <w:lang w:val="zh-CN"/>
        </w:rPr>
        <w:t>本单位在内部应用、信息公开、整改反馈三个方面总体运行规范、落实有力，内部应用有序推进，支撑日常管理与业务运行较为高效；信息公开严格按照规定时限、内容和要求执行，公开及时、内容完整，程序合规；整改反馈机制较为完善，能够做到问题认领到位、整改推进及时，结果反馈规范。</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1"/>
        <w:rPr>
          <w:rFonts w:hint="default" w:ascii="Times New Roman" w:hAnsi="Times New Roman" w:eastAsia="黑体" w:cs="Times New Roman"/>
          <w:color w:val="000000"/>
          <w:kern w:val="0"/>
          <w:sz w:val="32"/>
          <w:szCs w:val="32"/>
          <w:highlight w:val="none"/>
          <w:shd w:val="clear" w:color="auto" w:fill="FFFFFF"/>
          <w:lang w:val="zh-CN"/>
        </w:rPr>
      </w:pPr>
      <w:bookmarkStart w:id="71" w:name="_Toc22857"/>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bookmarkEnd w:id="71"/>
    </w:p>
    <w:p>
      <w:pPr>
        <w:keepNext w:val="0"/>
        <w:keepLines w:val="0"/>
        <w:pageBreakBefore w:val="0"/>
        <w:widowControl w:val="0"/>
        <w:kinsoku/>
        <w:wordWrap/>
        <w:overflowPunct/>
        <w:topLinePunct w:val="0"/>
        <w:autoSpaceDE/>
        <w:autoSpaceDN/>
        <w:bidi w:val="0"/>
        <w:snapToGrid w:val="0"/>
        <w:spacing w:line="600" w:lineRule="exact"/>
        <w:ind w:firstLine="642"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color w:val="000000"/>
          <w:kern w:val="0"/>
          <w:sz w:val="32"/>
          <w:szCs w:val="32"/>
          <w:highlight w:val="none"/>
          <w:shd w:val="clear" w:color="auto" w:fill="FFFFFF"/>
          <w:lang w:val="zh-CN" w:eastAsia="zh-CN"/>
        </w:rPr>
        <w:t>我院高度重视绩效管理工作，安排专人负责，并指定财务的领导具体分管，对</w:t>
      </w:r>
      <w:r>
        <w:rPr>
          <w:rFonts w:hint="eastAsia" w:ascii="Times New Roman" w:hAnsi="Times New Roman" w:eastAsia="仿宋_GB2312" w:cs="Times New Roman"/>
          <w:color w:val="000000"/>
          <w:kern w:val="0"/>
          <w:sz w:val="32"/>
          <w:szCs w:val="32"/>
          <w:highlight w:val="none"/>
          <w:shd w:val="clear" w:color="auto" w:fill="FFFFFF"/>
          <w:lang w:val="en-US" w:eastAsia="zh-CN"/>
        </w:rPr>
        <w:t>202</w:t>
      </w:r>
      <w:r>
        <w:rPr>
          <w:rFonts w:hint="eastAsia" w:eastAsia="仿宋_GB2312" w:cs="Times New Roman"/>
          <w:color w:val="000000"/>
          <w:kern w:val="0"/>
          <w:sz w:val="32"/>
          <w:szCs w:val="32"/>
          <w:highlight w:val="none"/>
          <w:shd w:val="clear" w:color="auto" w:fill="FFFFFF"/>
          <w:lang w:val="en-US" w:eastAsia="zh-CN"/>
        </w:rPr>
        <w:t>5</w:t>
      </w:r>
      <w:r>
        <w:rPr>
          <w:rFonts w:hint="eastAsia" w:ascii="Times New Roman" w:hAnsi="Times New Roman" w:eastAsia="仿宋_GB2312" w:cs="Times New Roman"/>
          <w:color w:val="000000"/>
          <w:kern w:val="0"/>
          <w:sz w:val="32"/>
          <w:szCs w:val="32"/>
          <w:highlight w:val="none"/>
          <w:shd w:val="clear" w:color="auto" w:fill="FFFFFF"/>
          <w:lang w:val="en-US" w:eastAsia="zh-CN"/>
        </w:rPr>
        <w:t>年的财务绩效管理工作总体评价结果为</w:t>
      </w:r>
      <w:r>
        <w:rPr>
          <w:rFonts w:hint="eastAsia" w:eastAsia="仿宋_GB2312" w:cs="Times New Roman"/>
          <w:color w:val="000000"/>
          <w:kern w:val="0"/>
          <w:sz w:val="32"/>
          <w:szCs w:val="32"/>
          <w:highlight w:val="none"/>
          <w:shd w:val="clear" w:color="auto" w:fill="FFFFFF"/>
          <w:lang w:val="en-US" w:eastAsia="zh-CN"/>
        </w:rPr>
        <w:t>95</w:t>
      </w:r>
      <w:r>
        <w:rPr>
          <w:rFonts w:hint="eastAsia" w:ascii="Times New Roman" w:hAnsi="Times New Roman" w:eastAsia="仿宋_GB2312" w:cs="Times New Roman"/>
          <w:color w:val="000000"/>
          <w:kern w:val="0"/>
          <w:sz w:val="32"/>
          <w:szCs w:val="32"/>
          <w:highlight w:val="none"/>
          <w:shd w:val="clear" w:color="auto" w:fill="FFFFFF"/>
          <w:lang w:val="en-US" w:eastAsia="zh-CN"/>
        </w:rPr>
        <w:t>分</w:t>
      </w:r>
      <w:r>
        <w:rPr>
          <w:rFonts w:hint="eastAsia" w:eastAsia="仿宋_GB2312" w:cs="Times New Roman"/>
          <w:color w:val="000000"/>
          <w:kern w:val="0"/>
          <w:sz w:val="32"/>
          <w:szCs w:val="32"/>
          <w:highlight w:val="none"/>
          <w:shd w:val="clear" w:color="auto" w:fill="FFFFFF"/>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1.对于预决算的认识合相关专业能力需提高。</w:t>
      </w:r>
    </w:p>
    <w:p>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2.预决算需细化，提升编制的精确度</w:t>
      </w:r>
      <w:r>
        <w:rPr>
          <w:rFonts w:hint="default" w:ascii="Times New Roman" w:hAnsi="Times New Roman" w:eastAsia="仿宋_GB2312" w:cs="Times New Roman"/>
          <w:color w:val="000000"/>
          <w:kern w:val="0"/>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val="0"/>
          <w:bCs w:val="0"/>
          <w:kern w:val="0"/>
          <w:position w:val="0"/>
          <w:sz w:val="32"/>
          <w:szCs w:val="32"/>
          <w:highlight w:val="none"/>
          <w:lang w:val="en-US" w:eastAsia="zh-CN" w:bidi="ar-SA"/>
        </w:rPr>
        <w:t>1.加强学习，提高对预决算工作的重要性认识，积极参加相关培训，不断提高业务水平，保证工作有序开展。</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eastAsia="仿宋_GB2312" w:cs="Times New Roman"/>
          <w:b w:val="0"/>
          <w:bCs w:val="0"/>
          <w:kern w:val="0"/>
          <w:position w:val="0"/>
          <w:sz w:val="32"/>
          <w:szCs w:val="32"/>
          <w:highlight w:val="none"/>
          <w:lang w:val="en-US" w:eastAsia="zh-CN" w:bidi="ar-SA"/>
        </w:rPr>
        <w:t>2.细化预算，结合实际情况，对预算细化，合理使用资金。</w:t>
      </w:r>
    </w:p>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8"/>
        <w:tblW w:w="10912" w:type="dxa"/>
        <w:jc w:val="center"/>
        <w:tblLayout w:type="fixed"/>
        <w:tblCellMar>
          <w:top w:w="0" w:type="dxa"/>
          <w:left w:w="108" w:type="dxa"/>
          <w:bottom w:w="0" w:type="dxa"/>
          <w:right w:w="108" w:type="dxa"/>
        </w:tblCellMar>
      </w:tblPr>
      <w:tblGrid>
        <w:gridCol w:w="1097"/>
        <w:gridCol w:w="1201"/>
        <w:gridCol w:w="1929"/>
        <w:gridCol w:w="717"/>
        <w:gridCol w:w="4760"/>
        <w:gridCol w:w="885"/>
        <w:gridCol w:w="323"/>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885"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323"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885"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323"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ind w:firstLine="277" w:firstLineChars="0"/>
              <w:jc w:val="both"/>
              <w:textAlignment w:val="center"/>
              <w:rPr>
                <w:rFonts w:hint="default"/>
                <w:lang w:val="en-US" w:eastAsia="zh-CN"/>
              </w:rPr>
            </w:pPr>
            <w:r>
              <w:rPr>
                <w:rFonts w:hint="eastAsia" w:ascii="宋体" w:hAnsi="宋体" w:eastAsia="宋体" w:cs="宋体"/>
                <w:color w:val="000000"/>
                <w:kern w:val="0"/>
                <w:sz w:val="24"/>
                <w:lang w:val="en-US" w:eastAsia="zh-CN"/>
              </w:rPr>
              <w:t>13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4"/>
              </w:rPr>
            </w:pPr>
          </w:p>
        </w:tc>
        <w:tc>
          <w:tcPr>
            <w:tcW w:w="32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4"/>
              </w:rPr>
            </w:pPr>
          </w:p>
        </w:tc>
      </w:tr>
    </w:tbl>
    <w:p>
      <w:pPr>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2"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outlineLvl w:val="0"/>
        <w:rPr>
          <w:rFonts w:hint="eastAsia" w:ascii="Times New Roman" w:hAnsi="Times New Roman" w:eastAsia="仿宋"/>
          <w:b w:val="0"/>
          <w:color w:val="auto"/>
          <w:highlight w:val="none"/>
        </w:rPr>
      </w:pPr>
      <w:bookmarkStart w:id="73" w:name="_Toc1920"/>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3"/>
      <w:bookmarkEnd w:id="72"/>
      <w:bookmarkEnd w:id="73"/>
      <w:bookmarkStart w:id="74"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0"/>
      <w:r>
        <w:rPr>
          <w:rFonts w:hint="eastAsia" w:ascii="Times New Roman" w:hAnsi="Times New Roman" w:eastAsia="仿宋_GB2312" w:cs="仿宋_GB2312"/>
          <w:color w:val="auto"/>
          <w:sz w:val="32"/>
          <w:szCs w:val="32"/>
          <w:highlight w:val="none"/>
        </w:rPr>
        <w:t>二、收入决算表</w:t>
      </w:r>
      <w:bookmarkEnd w:id="7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1"/>
      <w:r>
        <w:rPr>
          <w:rFonts w:hint="eastAsia" w:ascii="Times New Roman" w:hAnsi="Times New Roman" w:eastAsia="仿宋_GB2312" w:cs="仿宋_GB2312"/>
          <w:color w:val="auto"/>
          <w:sz w:val="32"/>
          <w:szCs w:val="32"/>
          <w:highlight w:val="none"/>
        </w:rPr>
        <w:t>三、支出决算表</w:t>
      </w:r>
      <w:bookmarkEnd w:id="7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2"/>
      <w:r>
        <w:rPr>
          <w:rFonts w:hint="eastAsia" w:ascii="Times New Roman" w:hAnsi="Times New Roman" w:eastAsia="仿宋_GB2312" w:cs="仿宋_GB2312"/>
          <w:color w:val="auto"/>
          <w:sz w:val="32"/>
          <w:szCs w:val="32"/>
          <w:highlight w:val="none"/>
        </w:rPr>
        <w:t>四、财政拨款收入支出决算总表</w:t>
      </w:r>
      <w:bookmarkEnd w:id="7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3"/>
      <w:r>
        <w:rPr>
          <w:rFonts w:hint="eastAsia" w:ascii="Times New Roman" w:hAnsi="Times New Roman" w:eastAsia="仿宋_GB2312" w:cs="仿宋_GB2312"/>
          <w:color w:val="auto"/>
          <w:sz w:val="32"/>
          <w:szCs w:val="32"/>
          <w:highlight w:val="none"/>
        </w:rPr>
        <w:t>五、财政拨款支出决算明细表</w:t>
      </w:r>
      <w:bookmarkEnd w:id="78"/>
      <w:bookmarkStart w:id="79"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6"/>
      <w:r>
        <w:rPr>
          <w:rFonts w:hint="eastAsia" w:ascii="Times New Roman" w:hAnsi="Times New Roman" w:eastAsia="仿宋_GB2312" w:cs="仿宋_GB2312"/>
          <w:color w:val="auto"/>
          <w:sz w:val="32"/>
          <w:szCs w:val="32"/>
          <w:highlight w:val="none"/>
        </w:rPr>
        <w:t>八、一般公共预算财政拨款基本支出决算表</w:t>
      </w:r>
      <w:bookmarkEnd w:id="8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7"/>
      <w:r>
        <w:rPr>
          <w:rFonts w:hint="eastAsia" w:ascii="Times New Roman" w:hAnsi="Times New Roman" w:eastAsia="仿宋_GB2312" w:cs="仿宋_GB2312"/>
          <w:color w:val="auto"/>
          <w:sz w:val="32"/>
          <w:szCs w:val="32"/>
          <w:highlight w:val="none"/>
        </w:rPr>
        <w:t>九、一般公共预算财政拨款项目支出决算表</w:t>
      </w:r>
      <w:bookmarkEnd w:id="8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8"/>
      <w:r>
        <w:rPr>
          <w:rFonts w:hint="eastAsia" w:ascii="Times New Roman" w:hAnsi="Times New Roman" w:eastAsia="仿宋_GB2312" w:cs="仿宋_GB2312"/>
          <w:color w:val="auto"/>
          <w:sz w:val="32"/>
          <w:szCs w:val="32"/>
          <w:highlight w:val="none"/>
        </w:rPr>
        <w:t>十、</w:t>
      </w:r>
      <w:bookmarkEnd w:id="83"/>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9"/>
      <w:r>
        <w:rPr>
          <w:rFonts w:hint="eastAsia" w:ascii="Times New Roman" w:hAnsi="Times New Roman" w:eastAsia="仿宋_GB2312" w:cs="仿宋_GB2312"/>
          <w:color w:val="auto"/>
          <w:sz w:val="32"/>
          <w:szCs w:val="32"/>
          <w:highlight w:val="none"/>
        </w:rPr>
        <w:t>十一、</w:t>
      </w:r>
      <w:bookmarkEnd w:id="8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30"/>
      <w:r>
        <w:rPr>
          <w:rFonts w:hint="eastAsia" w:ascii="Times New Roman" w:hAnsi="Times New Roman" w:eastAsia="仿宋_GB2312" w:cs="仿宋_GB2312"/>
          <w:color w:val="auto"/>
          <w:sz w:val="32"/>
          <w:szCs w:val="32"/>
          <w:highlight w:val="none"/>
        </w:rPr>
        <w:t>十二、</w:t>
      </w:r>
      <w:bookmarkEnd w:id="85"/>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6" w:name="_Toc15396631"/>
      <w:r>
        <w:rPr>
          <w:rFonts w:hint="eastAsia" w:ascii="Times New Roman" w:hAnsi="Times New Roman" w:eastAsia="仿宋_GB2312" w:cs="仿宋_GB2312"/>
          <w:color w:val="auto"/>
          <w:sz w:val="32"/>
          <w:szCs w:val="32"/>
          <w:highlight w:val="none"/>
        </w:rPr>
        <w:t>十三、</w:t>
      </w:r>
      <w:bookmarkEnd w:id="86"/>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933B03"/>
    <w:multiLevelType w:val="singleLevel"/>
    <w:tmpl w:val="32933B0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EE5889"/>
    <w:rsid w:val="02156476"/>
    <w:rsid w:val="02317B1B"/>
    <w:rsid w:val="02FEBE30"/>
    <w:rsid w:val="061E35DE"/>
    <w:rsid w:val="066E0107"/>
    <w:rsid w:val="06815BC2"/>
    <w:rsid w:val="07996F6E"/>
    <w:rsid w:val="07DFD8BA"/>
    <w:rsid w:val="08DB07E4"/>
    <w:rsid w:val="09867E8F"/>
    <w:rsid w:val="0A2032A3"/>
    <w:rsid w:val="0A6726F2"/>
    <w:rsid w:val="0C6C4794"/>
    <w:rsid w:val="0CA8290A"/>
    <w:rsid w:val="0D35B1ED"/>
    <w:rsid w:val="0DE07E2B"/>
    <w:rsid w:val="0F98263C"/>
    <w:rsid w:val="101860EC"/>
    <w:rsid w:val="10963AAA"/>
    <w:rsid w:val="10C055FF"/>
    <w:rsid w:val="11772AA4"/>
    <w:rsid w:val="118107EC"/>
    <w:rsid w:val="13792CC8"/>
    <w:rsid w:val="13D50BC4"/>
    <w:rsid w:val="14022904"/>
    <w:rsid w:val="152F2A07"/>
    <w:rsid w:val="165E0673"/>
    <w:rsid w:val="16BB723D"/>
    <w:rsid w:val="170C4524"/>
    <w:rsid w:val="17600E83"/>
    <w:rsid w:val="186504BB"/>
    <w:rsid w:val="1938089F"/>
    <w:rsid w:val="19A445FC"/>
    <w:rsid w:val="1B457B38"/>
    <w:rsid w:val="1B7D550C"/>
    <w:rsid w:val="1BE8440E"/>
    <w:rsid w:val="1D155CEE"/>
    <w:rsid w:val="1E740ACF"/>
    <w:rsid w:val="1F62156A"/>
    <w:rsid w:val="1FF35744"/>
    <w:rsid w:val="1FF6BC77"/>
    <w:rsid w:val="21962A9E"/>
    <w:rsid w:val="21AE7C77"/>
    <w:rsid w:val="2232341D"/>
    <w:rsid w:val="22BC3C41"/>
    <w:rsid w:val="23860B96"/>
    <w:rsid w:val="240371BF"/>
    <w:rsid w:val="25D61CF8"/>
    <w:rsid w:val="260F557C"/>
    <w:rsid w:val="26F35D16"/>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AE27B7A"/>
    <w:rsid w:val="3B7EF35A"/>
    <w:rsid w:val="3B9FDB6C"/>
    <w:rsid w:val="3BF5BC2F"/>
    <w:rsid w:val="3CEBA265"/>
    <w:rsid w:val="3D98207C"/>
    <w:rsid w:val="3D9B0D99"/>
    <w:rsid w:val="3DEE7CF3"/>
    <w:rsid w:val="3DF02244"/>
    <w:rsid w:val="3E1E2457"/>
    <w:rsid w:val="3E78745D"/>
    <w:rsid w:val="3FF4CAE0"/>
    <w:rsid w:val="3FF7B227"/>
    <w:rsid w:val="40B02C96"/>
    <w:rsid w:val="40D22691"/>
    <w:rsid w:val="40E54C45"/>
    <w:rsid w:val="40E7132F"/>
    <w:rsid w:val="40F729F7"/>
    <w:rsid w:val="43A407DF"/>
    <w:rsid w:val="44515BEA"/>
    <w:rsid w:val="44E268DA"/>
    <w:rsid w:val="453F7E5B"/>
    <w:rsid w:val="4765672E"/>
    <w:rsid w:val="47840B57"/>
    <w:rsid w:val="486A6C7A"/>
    <w:rsid w:val="49176D9B"/>
    <w:rsid w:val="4A627F82"/>
    <w:rsid w:val="4B0E749A"/>
    <w:rsid w:val="4B4F25DA"/>
    <w:rsid w:val="4BDA0CFB"/>
    <w:rsid w:val="4BE068DB"/>
    <w:rsid w:val="4C614CC8"/>
    <w:rsid w:val="4D3C0CCC"/>
    <w:rsid w:val="4D577224"/>
    <w:rsid w:val="4DBF1CEB"/>
    <w:rsid w:val="4EAB630A"/>
    <w:rsid w:val="4ECE2238"/>
    <w:rsid w:val="4F833267"/>
    <w:rsid w:val="4FE9BD67"/>
    <w:rsid w:val="4FFB052F"/>
    <w:rsid w:val="51FED7AB"/>
    <w:rsid w:val="53083A92"/>
    <w:rsid w:val="537E6D0A"/>
    <w:rsid w:val="53AF27A2"/>
    <w:rsid w:val="53B87FCB"/>
    <w:rsid w:val="53F74C96"/>
    <w:rsid w:val="56E47B74"/>
    <w:rsid w:val="57BD3DD4"/>
    <w:rsid w:val="58B637BC"/>
    <w:rsid w:val="59C54E6A"/>
    <w:rsid w:val="5AF92295"/>
    <w:rsid w:val="5BD462C2"/>
    <w:rsid w:val="5BDD79E6"/>
    <w:rsid w:val="5BF561CA"/>
    <w:rsid w:val="5BFF5DFC"/>
    <w:rsid w:val="5CD71FC4"/>
    <w:rsid w:val="5D1F11B5"/>
    <w:rsid w:val="5D3FB618"/>
    <w:rsid w:val="5DAE1B18"/>
    <w:rsid w:val="5DE7D9E5"/>
    <w:rsid w:val="5E2C5B68"/>
    <w:rsid w:val="5ECEC941"/>
    <w:rsid w:val="5EFA7CCD"/>
    <w:rsid w:val="5F493CB7"/>
    <w:rsid w:val="5FBF9FF3"/>
    <w:rsid w:val="5FCD4E2C"/>
    <w:rsid w:val="5FD15F49"/>
    <w:rsid w:val="5FEF394A"/>
    <w:rsid w:val="5FF67715"/>
    <w:rsid w:val="61FF2FF5"/>
    <w:rsid w:val="62BF3928"/>
    <w:rsid w:val="647F5392"/>
    <w:rsid w:val="664B1D71"/>
    <w:rsid w:val="67225E90"/>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BB27F8"/>
    <w:rsid w:val="6FCE6052"/>
    <w:rsid w:val="6FD57C00"/>
    <w:rsid w:val="6FEFFFD8"/>
    <w:rsid w:val="6FF5CC65"/>
    <w:rsid w:val="6FFB47EC"/>
    <w:rsid w:val="6FFF034A"/>
    <w:rsid w:val="6FFF438D"/>
    <w:rsid w:val="70496804"/>
    <w:rsid w:val="712A28F1"/>
    <w:rsid w:val="715C0E4B"/>
    <w:rsid w:val="71E288B4"/>
    <w:rsid w:val="72233669"/>
    <w:rsid w:val="726626D2"/>
    <w:rsid w:val="72734D90"/>
    <w:rsid w:val="7332FE48"/>
    <w:rsid w:val="73AB61DA"/>
    <w:rsid w:val="73AD73D5"/>
    <w:rsid w:val="73B6EB34"/>
    <w:rsid w:val="73D93266"/>
    <w:rsid w:val="73FA497D"/>
    <w:rsid w:val="744731E5"/>
    <w:rsid w:val="74527205"/>
    <w:rsid w:val="74BBD01D"/>
    <w:rsid w:val="74ED5379"/>
    <w:rsid w:val="74FC2395"/>
    <w:rsid w:val="757DE146"/>
    <w:rsid w:val="75B066DD"/>
    <w:rsid w:val="75DEEEC2"/>
    <w:rsid w:val="76CF0CDE"/>
    <w:rsid w:val="76E3355F"/>
    <w:rsid w:val="76FF5125"/>
    <w:rsid w:val="776F6FFA"/>
    <w:rsid w:val="778769C8"/>
    <w:rsid w:val="77DC22F5"/>
    <w:rsid w:val="78555847"/>
    <w:rsid w:val="79086DAD"/>
    <w:rsid w:val="79974F09"/>
    <w:rsid w:val="79D7FD79"/>
    <w:rsid w:val="79EE5BA4"/>
    <w:rsid w:val="7A894339"/>
    <w:rsid w:val="7AFF7572"/>
    <w:rsid w:val="7B6C7DFB"/>
    <w:rsid w:val="7BBFBED0"/>
    <w:rsid w:val="7BC3E394"/>
    <w:rsid w:val="7C1F3737"/>
    <w:rsid w:val="7CBFC87B"/>
    <w:rsid w:val="7CFE0F48"/>
    <w:rsid w:val="7D7EC23E"/>
    <w:rsid w:val="7D833F4C"/>
    <w:rsid w:val="7D916348"/>
    <w:rsid w:val="7DFE5983"/>
    <w:rsid w:val="7E8ADEBF"/>
    <w:rsid w:val="7EEF11D3"/>
    <w:rsid w:val="7F0971A6"/>
    <w:rsid w:val="7F3F679B"/>
    <w:rsid w:val="7F4FC4EF"/>
    <w:rsid w:val="7F5E4D54"/>
    <w:rsid w:val="7F6E0135"/>
    <w:rsid w:val="7F7D58EC"/>
    <w:rsid w:val="7F954DBA"/>
    <w:rsid w:val="7FA30C79"/>
    <w:rsid w:val="7FAF8ABF"/>
    <w:rsid w:val="7FB7269E"/>
    <w:rsid w:val="7FC96657"/>
    <w:rsid w:val="7FDA9588"/>
    <w:rsid w:val="7FDF220F"/>
    <w:rsid w:val="7FEDC5F7"/>
    <w:rsid w:val="7FEDD9DE"/>
    <w:rsid w:val="7FF5890D"/>
    <w:rsid w:val="7FF93490"/>
    <w:rsid w:val="7FFF0344"/>
    <w:rsid w:val="99FF2014"/>
    <w:rsid w:val="9D4B5CFF"/>
    <w:rsid w:val="9DFF1143"/>
    <w:rsid w:val="A6DD0D7F"/>
    <w:rsid w:val="ADC6F725"/>
    <w:rsid w:val="B7CF06AB"/>
    <w:rsid w:val="B7CFA926"/>
    <w:rsid w:val="B7F8786B"/>
    <w:rsid w:val="BA7B23C6"/>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7E9E8"/>
    <w:rsid w:val="DFFFA9E8"/>
    <w:rsid w:val="E5F4E9DC"/>
    <w:rsid w:val="E5FF8757"/>
    <w:rsid w:val="E70FE695"/>
    <w:rsid w:val="E9F71EFB"/>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734873"/>
    <w:rsid w:val="FEDFDDC2"/>
    <w:rsid w:val="FEED32F6"/>
    <w:rsid w:val="FEF781DD"/>
    <w:rsid w:val="FF3F7E3F"/>
    <w:rsid w:val="FFBA12D7"/>
    <w:rsid w:val="FFDF2752"/>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caption"/>
    <w:basedOn w:val="1"/>
    <w:next w:val="1"/>
    <w:semiHidden/>
    <w:unhideWhenUsed/>
    <w:qFormat/>
    <w:uiPriority w:val="35"/>
    <w:rPr>
      <w:rFonts w:ascii="Arial" w:hAnsi="Arial" w:eastAsia="黑体"/>
      <w:sz w:val="20"/>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Theme="minorHAnsi" w:hAnsiTheme="minorHAnsi" w:eastAsiaTheme="minorEastAsia" w:cstheme="minorBidi"/>
      <w:sz w:val="20"/>
      <w:szCs w:val="20"/>
    </w:rPr>
  </w:style>
  <w:style w:type="paragraph" w:customStyle="1" w:styleId="38">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lgn="l">
              <a:defRPr lang="zh-CN" sz="1400" b="0" i="0" u="none" strike="noStrike" kern="1200" spc="0" baseline="0">
                <a:solidFill>
                  <a:schemeClr val="tx1">
                    <a:lumMod val="65000"/>
                    <a:lumOff val="35000"/>
                  </a:schemeClr>
                </a:solidFill>
                <a:latin typeface="+mn-lt"/>
                <a:ea typeface="+mn-ea"/>
                <a:cs typeface="+mn-cs"/>
              </a:defRPr>
            </a:pPr>
            <a:r>
              <a:t> </a:t>
            </a:r>
          </a:p>
        </c:rich>
      </c:tx>
      <c:layout/>
      <c:overlay val="false"/>
      <c:spPr>
        <a:noFill/>
        <a:ln>
          <a:noFill/>
        </a:ln>
        <a:effectLst/>
      </c:spPr>
    </c:title>
    <c:autoTitleDeleted val="false"/>
    <c:plotArea>
      <c:layout>
        <c:manualLayout>
          <c:layoutTarget val="inner"/>
          <c:xMode val="edge"/>
          <c:yMode val="edge"/>
          <c:x val="0.0828219376661029"/>
          <c:y val="0.155971100722482"/>
          <c:w val="0.908359507127325"/>
          <c:h val="0.63905652358691"/>
        </c:manualLayout>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2074.24</c:v>
                </c:pt>
                <c:pt idx="1">
                  <c:v>1996.51</c:v>
                </c:pt>
              </c:numCache>
            </c:numRef>
          </c:val>
        </c:ser>
        <c:ser>
          <c:idx val="1"/>
          <c:order val="1"/>
          <c:tx>
            <c:strRef>
              <c:f>Sheet1!$C$1</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2123.93</c:v>
                </c:pt>
                <c:pt idx="1">
                  <c:v>2128.51</c:v>
                </c:pt>
              </c:numCache>
            </c:numRef>
          </c:val>
        </c:ser>
        <c:dLbls>
          <c:showLegendKey val="false"/>
          <c:showVal val="true"/>
          <c:showCatName val="false"/>
          <c:showSerName val="false"/>
          <c:showPercent val="false"/>
          <c:showBubbleSize val="false"/>
        </c:dLbls>
        <c:gapWidth val="219"/>
        <c:overlap val="-27"/>
        <c:axId val="737576088"/>
        <c:axId val="755320494"/>
      </c:barChart>
      <c:catAx>
        <c:axId val="737576088"/>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55320494"/>
        <c:crosses val="autoZero"/>
        <c:auto val="true"/>
        <c:lblAlgn val="ctr"/>
        <c:lblOffset val="100"/>
        <c:noMultiLvlLbl val="false"/>
      </c:catAx>
      <c:valAx>
        <c:axId val="755320494"/>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37576088"/>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true"/>
          <a:lstStyle/>
          <a:p>
            <a:pPr algn="l">
              <a:defRPr lang="zh-CN" sz="1800" b="1" i="0" u="none" strike="noStrike" kern="1200" baseline="0">
                <a:solidFill>
                  <a:schemeClr val="tx1"/>
                </a:solidFill>
                <a:latin typeface="+mn-lt"/>
                <a:ea typeface="+mn-ea"/>
                <a:cs typeface="+mn-cs"/>
              </a:defRPr>
            </a:pPr>
            <a:r>
              <a:rPr lang="en-US"/>
              <a:t> </a:t>
            </a:r>
            <a:endParaRPr lang="en-US" sz="1100"/>
          </a:p>
        </c:rich>
      </c:tx>
      <c:layout/>
      <c:overlay val="false"/>
      <c:spPr>
        <a:noFill/>
        <a:ln>
          <a:noFill/>
        </a:ln>
        <a:effectLst/>
      </c:spPr>
    </c:title>
    <c:autoTitleDeleted val="false"/>
    <c:plotArea>
      <c:layout>
        <c:manualLayout>
          <c:layoutTarget val="inner"/>
          <c:xMode val="edge"/>
          <c:yMode val="edge"/>
          <c:x val="0.0633727953611984"/>
          <c:y val="0.159158521036974"/>
          <c:w val="0.908359507127325"/>
          <c:h val="0.63905652358691"/>
        </c:manualLayout>
      </c:layout>
      <c:pieChart>
        <c:varyColors val="true"/>
        <c:ser>
          <c:idx val="0"/>
          <c:order val="0"/>
          <c:tx>
            <c:strRef>
              <c:f>Sheet1!$B$1</c:f>
              <c:strCache>
                <c:ptCount val="1"/>
                <c:pt idx="0">
                  <c:v>收入</c:v>
                </c:pt>
              </c:strCache>
            </c:strRef>
          </c:tx>
          <c:spPr>
            <a:effectLst/>
          </c:spPr>
          <c:explosion val="0"/>
          <c:dPt>
            <c:idx val="0"/>
            <c:bubble3D val="false"/>
            <c:spPr>
              <a:solidFill>
                <a:schemeClr val="accent1"/>
              </a:solidFill>
              <a:ln>
                <a:noFill/>
              </a:ln>
              <a:effectLst/>
            </c:spPr>
          </c:dPt>
          <c:dPt>
            <c:idx val="1"/>
            <c:bubble3D val="false"/>
            <c:spPr>
              <a:solidFill>
                <a:schemeClr val="accent2"/>
              </a:solidFill>
              <a:ln>
                <a:noFill/>
              </a:ln>
              <a:effectLst/>
            </c:spPr>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0.81</c:v>
                </c:pt>
                <c:pt idx="1">
                  <c:v>0.19</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true"/>
          <a:lstStyle/>
          <a:p>
            <a:pPr algn="l">
              <a:defRPr lang="zh-CN" sz="1800" b="1" i="0" u="none" strike="noStrike" kern="1200" baseline="0">
                <a:solidFill>
                  <a:schemeClr val="tx1"/>
                </a:solidFill>
                <a:latin typeface="+mn-lt"/>
                <a:ea typeface="+mn-ea"/>
                <a:cs typeface="+mn-cs"/>
              </a:defRPr>
            </a:pPr>
            <a:r>
              <a:rPr lang="en-US"/>
              <a:t> </a:t>
            </a:r>
            <a:endParaRPr lang="en-US" sz="1100"/>
          </a:p>
        </c:rich>
      </c:tx>
      <c:layout/>
      <c:overlay val="false"/>
      <c:spPr>
        <a:noFill/>
        <a:ln>
          <a:noFill/>
        </a:ln>
        <a:effectLst/>
      </c:spPr>
    </c:title>
    <c:autoTitleDeleted val="false"/>
    <c:plotArea>
      <c:layout>
        <c:manualLayout>
          <c:layoutTarget val="inner"/>
          <c:xMode val="edge"/>
          <c:yMode val="edge"/>
          <c:x val="0.0633727953611984"/>
          <c:y val="0.159158521036974"/>
          <c:w val="0.908359507127325"/>
          <c:h val="0.63905652358691"/>
        </c:manualLayout>
      </c:layout>
      <c:pieChart>
        <c:varyColors val="true"/>
        <c:ser>
          <c:idx val="0"/>
          <c:order val="0"/>
          <c:tx>
            <c:strRef>
              <c:f>Sheet1!$B$1</c:f>
              <c:strCache>
                <c:ptCount val="1"/>
                <c:pt idx="0">
                  <c:v>支出</c:v>
                </c:pt>
              </c:strCache>
            </c:strRef>
          </c:tx>
          <c:spPr>
            <a:effectLst/>
          </c:spPr>
          <c:explosion val="0"/>
          <c:dPt>
            <c:idx val="0"/>
            <c:bubble3D val="false"/>
            <c:spPr>
              <a:solidFill>
                <a:schemeClr val="accent1"/>
              </a:solidFill>
              <a:ln>
                <a:noFill/>
              </a:ln>
              <a:effectLst/>
            </c:spPr>
          </c:dPt>
          <c:dPt>
            <c:idx val="1"/>
            <c:bubble3D val="false"/>
            <c:spPr>
              <a:solidFill>
                <a:schemeClr val="accent2"/>
              </a:solidFill>
              <a:ln>
                <a:noFill/>
              </a:ln>
              <a:effectLst/>
            </c:spPr>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基本支出</c:v>
                </c:pt>
                <c:pt idx="1">
                  <c:v>项目支出</c:v>
                </c:pt>
              </c:strCache>
            </c:strRef>
          </c:cat>
          <c:val>
            <c:numRef>
              <c:f>Sheet1!$B$2:$B$3</c:f>
              <c:numCache>
                <c:formatCode>0%</c:formatCode>
                <c:ptCount val="2"/>
                <c:pt idx="0">
                  <c:v>0.706</c:v>
                </c:pt>
                <c:pt idx="1" c:formatCode="0.00%">
                  <c:v>0.294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年度财政拨款收入、支出决算情况</a:t>
            </a:r>
            <a:endParaRPr altLang="en-US"/>
          </a:p>
        </c:rich>
      </c:tx>
      <c:layout>
        <c:manualLayout>
          <c:xMode val="edge"/>
          <c:yMode val="edge"/>
          <c:x val="0.196786663445277"/>
          <c:y val="0.0127496812579686"/>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delete val="true"/>
          </c:dLbls>
          <c:cat>
            <c:strRef>
              <c:f>Sheet1!$A$2:$A$3</c:f>
              <c:strCache>
                <c:ptCount val="2"/>
                <c:pt idx="0">
                  <c:v>收入</c:v>
                </c:pt>
                <c:pt idx="1">
                  <c:v>支出</c:v>
                </c:pt>
              </c:strCache>
            </c:strRef>
          </c:cat>
          <c:val>
            <c:numRef>
              <c:f>Sheet1!$B$2:$B$3</c:f>
              <c:numCache>
                <c:formatCode>General</c:formatCode>
                <c:ptCount val="2"/>
                <c:pt idx="0">
                  <c:v>1625.55</c:v>
                </c:pt>
                <c:pt idx="1">
                  <c:v>1625.55</c:v>
                </c:pt>
              </c:numCache>
            </c:numRef>
          </c:val>
        </c:ser>
        <c:ser>
          <c:idx val="1"/>
          <c:order val="1"/>
          <c:tx>
            <c:strRef>
              <c:f>Sheet1!$C$1</c:f>
              <c:strCache>
                <c:ptCount val="1"/>
                <c:pt idx="0">
                  <c:v>2025年</c:v>
                </c:pt>
              </c:strCache>
            </c:strRef>
          </c:tx>
          <c:spPr>
            <a:solidFill>
              <a:schemeClr val="accent2"/>
            </a:solidFill>
            <a:ln>
              <a:noFill/>
            </a:ln>
            <a:effectLst/>
          </c:spPr>
          <c:invertIfNegative val="false"/>
          <c:dLbls>
            <c:delete val="true"/>
          </c:dLbls>
          <c:cat>
            <c:strRef>
              <c:f>Sheet1!$A$2:$A$3</c:f>
              <c:strCache>
                <c:ptCount val="2"/>
                <c:pt idx="0">
                  <c:v>收入</c:v>
                </c:pt>
                <c:pt idx="1">
                  <c:v>支出</c:v>
                </c:pt>
              </c:strCache>
            </c:strRef>
          </c:cat>
          <c:val>
            <c:numRef>
              <c:f>Sheet1!$C$2:$C$3</c:f>
              <c:numCache>
                <c:formatCode>General</c:formatCode>
                <c:ptCount val="2"/>
                <c:pt idx="0">
                  <c:v>1720.37</c:v>
                </c:pt>
                <c:pt idx="1">
                  <c:v>1720.37</c:v>
                </c:pt>
              </c:numCache>
            </c:numRef>
          </c:val>
        </c:ser>
        <c:dLbls>
          <c:showLegendKey val="false"/>
          <c:showVal val="false"/>
          <c:showCatName val="false"/>
          <c:showSerName val="false"/>
          <c:showPercent val="false"/>
          <c:showBubbleSize val="false"/>
        </c:dLbls>
        <c:gapWidth val="246"/>
        <c:overlap val="-28"/>
        <c:axId val="926467595"/>
        <c:axId val="14029806"/>
      </c:barChart>
      <c:catAx>
        <c:axId val="926467595"/>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4029806"/>
        <c:crosses val="autoZero"/>
        <c:auto val="true"/>
        <c:lblAlgn val="ctr"/>
        <c:lblOffset val="100"/>
        <c:noMultiLvlLbl val="false"/>
      </c:catAx>
      <c:valAx>
        <c:axId val="14029806"/>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2646759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5495"/>
          <c:y val="0.00947567909033481"/>
          <c:w val="0.8938"/>
          <c:h val="0.717308907138345"/>
        </c:manualLayout>
      </c:layout>
      <c:barChart>
        <c:barDir val="col"/>
        <c:grouping val="clustered"/>
        <c:varyColors val="false"/>
        <c:ser>
          <c:idx val="0"/>
          <c:order val="0"/>
          <c:tx>
            <c:strRef>
              <c:f>Sheet1!$B$1</c:f>
              <c:strCache>
                <c:ptCount val="1"/>
                <c:pt idx="0">
                  <c:v>2024年一般公共预算财政拨款支出</c:v>
                </c:pt>
              </c:strCache>
            </c:strRef>
          </c:tx>
          <c:spPr>
            <a:solidFill>
              <a:schemeClr val="accent1"/>
            </a:solidFill>
            <a:ln>
              <a:noFill/>
            </a:ln>
            <a:effectLst/>
          </c:spPr>
          <c:invertIfNegative val="false"/>
          <c:dLbls>
            <c:delete val="true"/>
          </c:dLbls>
          <c:cat>
            <c:numRef>
              <c:f>Sheet1!$A$2:$A$5</c:f>
              <c:numCache>
                <c:formatCode>General</c:formatCode>
                <c:ptCount val="4"/>
              </c:numCache>
            </c:numRef>
          </c:cat>
          <c:val>
            <c:numRef>
              <c:f>Sheet1!$B$2:$B$5</c:f>
              <c:numCache>
                <c:formatCode>General</c:formatCode>
                <c:ptCount val="4"/>
                <c:pt idx="0">
                  <c:v>1625.55</c:v>
                </c:pt>
              </c:numCache>
            </c:numRef>
          </c:val>
        </c:ser>
        <c:ser>
          <c:idx val="1"/>
          <c:order val="1"/>
          <c:tx>
            <c:strRef>
              <c:f>Sheet1!$C$1</c:f>
              <c:strCache>
                <c:ptCount val="1"/>
                <c:pt idx="0">
                  <c:v>2025年一般公共预算财政拨款支出</c:v>
                </c:pt>
              </c:strCache>
            </c:strRef>
          </c:tx>
          <c:spPr>
            <a:solidFill>
              <a:schemeClr val="accent2"/>
            </a:solidFill>
            <a:ln>
              <a:noFill/>
            </a:ln>
            <a:effectLst/>
          </c:spPr>
          <c:invertIfNegative val="false"/>
          <c:dLbls>
            <c:delete val="true"/>
          </c:dLbls>
          <c:cat>
            <c:numRef>
              <c:f>Sheet1!$A$2:$A$5</c:f>
              <c:numCache>
                <c:formatCode>General</c:formatCode>
                <c:ptCount val="4"/>
              </c:numCache>
            </c:numRef>
          </c:cat>
          <c:val>
            <c:numRef>
              <c:f>Sheet1!$C$2:$C$5</c:f>
              <c:numCache>
                <c:formatCode>General</c:formatCode>
                <c:ptCount val="4"/>
                <c:pt idx="0">
                  <c:v>1730.37</c:v>
                </c:pt>
              </c:numCache>
            </c:numRef>
          </c:val>
        </c:ser>
        <c:dLbls>
          <c:showLegendKey val="false"/>
          <c:showVal val="false"/>
          <c:showCatName val="false"/>
          <c:showSerName val="false"/>
          <c:showPercent val="false"/>
          <c:showBubbleSize val="false"/>
        </c:dLbls>
        <c:gapWidth val="75"/>
        <c:overlap val="-25"/>
        <c:axId val="11185871"/>
        <c:axId val="455660267"/>
      </c:barChart>
      <c:catAx>
        <c:axId val="11185871"/>
        <c:scaling>
          <c:orientation val="minMax"/>
        </c:scaling>
        <c:delete val="true"/>
        <c:axPos val="b"/>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55660267"/>
        <c:crosses val="autoZero"/>
        <c:auto val="true"/>
        <c:lblAlgn val="ctr"/>
        <c:lblOffset val="100"/>
        <c:noMultiLvlLbl val="false"/>
      </c:catAx>
      <c:valAx>
        <c:axId val="455660267"/>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1185871"/>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true"/>
          <a:lstStyle/>
          <a:p>
            <a:pPr algn="l">
              <a:defRPr lang="zh-CN" sz="1800" b="1" i="0" u="none" strike="noStrike" kern="1200" baseline="0">
                <a:solidFill>
                  <a:schemeClr val="tx1"/>
                </a:solidFill>
                <a:latin typeface="+mn-lt"/>
                <a:ea typeface="+mn-ea"/>
                <a:cs typeface="+mn-cs"/>
              </a:defRPr>
            </a:pPr>
            <a:r>
              <a:rPr lang="en-US"/>
              <a:t> </a:t>
            </a:r>
            <a:endParaRPr lang="en-US" sz="1100"/>
          </a:p>
        </c:rich>
      </c:tx>
      <c:layout/>
      <c:overlay val="false"/>
      <c:spPr>
        <a:noFill/>
        <a:ln>
          <a:noFill/>
        </a:ln>
        <a:effectLst/>
      </c:spPr>
    </c:title>
    <c:autoTitleDeleted val="false"/>
    <c:plotArea>
      <c:layout>
        <c:manualLayout>
          <c:layoutTarget val="inner"/>
          <c:xMode val="edge"/>
          <c:yMode val="edge"/>
          <c:x val="0.0633727953611984"/>
          <c:y val="0.159158521036974"/>
          <c:w val="0.908359507127325"/>
          <c:h val="0.63905652358691"/>
        </c:manualLayout>
      </c:layout>
      <c:pieChart>
        <c:varyColors val="true"/>
        <c:ser>
          <c:idx val="0"/>
          <c:order val="0"/>
          <c:tx>
            <c:strRef>
              <c:f>Sheet1!$B$1</c:f>
              <c:strCache>
                <c:ptCount val="1"/>
                <c:pt idx="0">
                  <c:v>支出</c:v>
                </c:pt>
              </c:strCache>
            </c:strRef>
          </c:tx>
          <c:spPr>
            <a:effectLst/>
          </c:spPr>
          <c:explosion val="0"/>
          <c:dPt>
            <c:idx val="0"/>
            <c:bubble3D val="false"/>
            <c:spPr>
              <a:solidFill>
                <a:schemeClr val="accent1"/>
              </a:solidFill>
              <a:ln>
                <a:noFill/>
              </a:ln>
              <a:effectLst/>
            </c:spPr>
          </c:dPt>
          <c:dPt>
            <c:idx val="1"/>
            <c:bubble3D val="false"/>
            <c:spPr>
              <a:solidFill>
                <a:schemeClr val="accent2"/>
              </a:solidFill>
              <a:ln>
                <a:noFill/>
              </a:ln>
              <a:effectLst/>
            </c:spPr>
          </c:dPt>
          <c:dPt>
            <c:idx val="2"/>
            <c:bubble3D val="false"/>
            <c:spPr>
              <a:solidFill>
                <a:schemeClr val="accent3"/>
              </a:solidFill>
              <a:ln>
                <a:noFill/>
              </a:ln>
              <a:effectLst/>
            </c:spPr>
          </c:dPt>
          <c:dPt>
            <c:idx val="3"/>
            <c:bubble3D val="false"/>
            <c:spPr>
              <a:solidFill>
                <a:schemeClr val="accent4"/>
              </a:solidFill>
              <a:ln>
                <a:noFill/>
              </a:ln>
              <a:effectLst/>
            </c:spPr>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0%</c:formatCode>
                <c:ptCount val="4"/>
                <c:pt idx="0">
                  <c:v>0.81</c:v>
                </c:pt>
                <c:pt idx="1" c:formatCode="0.00%">
                  <c:v>0.098</c:v>
                </c:pt>
                <c:pt idx="2" c:formatCode="0.00%">
                  <c:v>0.038</c:v>
                </c:pt>
                <c:pt idx="3" c:formatCode="0.00%">
                  <c:v>0.054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false"/>
    <c:plotArea>
      <c:layout/>
      <c:pieChart>
        <c:varyColors val="true"/>
        <c:ser>
          <c:idx val="0"/>
          <c:order val="0"/>
          <c:tx>
            <c:strRef>
              <c:f>Sheet1!$B$1</c:f>
              <c:strCache>
                <c:ptCount val="1"/>
                <c:pt idx="0">
                  <c:v>金额</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c:v>
                </c:pt>
                <c:pt idx="1">
                  <c:v>公务接待费</c:v>
                </c:pt>
                <c:pt idx="2">
                  <c:v>因公出国（境）</c:v>
                </c:pt>
              </c:strCache>
            </c:strRef>
          </c:cat>
          <c:val>
            <c:numRef>
              <c:f>Sheet1!$B$2:$B$4</c:f>
              <c:numCache>
                <c:formatCode>General</c:formatCode>
                <c:ptCount val="3"/>
                <c:pt idx="0">
                  <c:v>0.28</c:v>
                </c:pt>
                <c:pt idx="1">
                  <c:v>0.49</c:v>
                </c:pt>
                <c:pt idx="2">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57</TotalTime>
  <ScaleCrop>false</ScaleCrop>
  <LinksUpToDate>false</LinksUpToDate>
  <CharactersWithSpaces>8692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吴澜</cp:lastModifiedBy>
  <cp:lastPrinted>2026-08-05T01:27:00Z</cp:lastPrinted>
  <dcterms:modified xsi:type="dcterms:W3CDTF">2026-09-17T16:24:49Z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