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F0107">
      <w:pPr>
        <w:spacing w:line="600" w:lineRule="exact"/>
        <w:jc w:val="center"/>
        <w:outlineLvl w:val="0"/>
        <w:rPr>
          <w:rFonts w:ascii="方正小标宋简体" w:hAnsi="宋体" w:eastAsia="方正小标宋简体"/>
          <w:sz w:val="72"/>
          <w:szCs w:val="72"/>
        </w:rPr>
      </w:pPr>
      <w:bookmarkStart w:id="0" w:name="_Toc15377193"/>
      <w:bookmarkStart w:id="1" w:name="_Toc15377425"/>
      <w:bookmarkStart w:id="2" w:name="_Toc15396475"/>
      <w:bookmarkStart w:id="3" w:name="_Toc15378441"/>
      <w:bookmarkStart w:id="4" w:name="_Toc15396597"/>
      <w:bookmarkStart w:id="5" w:name="_Toc15306267"/>
    </w:p>
    <w:p w14:paraId="2E5F3B91">
      <w:pPr>
        <w:pStyle w:val="6"/>
        <w:spacing w:before="93"/>
      </w:pPr>
    </w:p>
    <w:p w14:paraId="2FECCCAE">
      <w:pPr>
        <w:spacing w:line="600" w:lineRule="exact"/>
        <w:jc w:val="center"/>
        <w:outlineLvl w:val="0"/>
        <w:rPr>
          <w:rFonts w:ascii="方正小标宋简体" w:hAnsi="宋体" w:eastAsia="方正小标宋简体"/>
          <w:sz w:val="72"/>
          <w:szCs w:val="72"/>
        </w:rPr>
      </w:pPr>
    </w:p>
    <w:p w14:paraId="31086DD5">
      <w:pPr>
        <w:spacing w:line="600" w:lineRule="exact"/>
        <w:jc w:val="center"/>
        <w:outlineLvl w:val="0"/>
        <w:rPr>
          <w:rFonts w:ascii="方正小标宋简体" w:hAnsi="宋体" w:eastAsia="方正小标宋简体"/>
          <w:sz w:val="72"/>
          <w:szCs w:val="72"/>
        </w:rPr>
      </w:pPr>
    </w:p>
    <w:p w14:paraId="13B92750">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0"/>
      <w:bookmarkEnd w:id="1"/>
      <w:bookmarkEnd w:id="2"/>
      <w:bookmarkEnd w:id="3"/>
      <w:bookmarkEnd w:id="4"/>
    </w:p>
    <w:p w14:paraId="5DCB8D10">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6" w:name="_Toc15377426"/>
      <w:bookmarkStart w:id="7" w:name="_Toc15378442"/>
      <w:bookmarkStart w:id="8" w:name="_Toc15396598"/>
      <w:bookmarkStart w:id="9" w:name="_Toc15396476"/>
      <w:bookmarkStart w:id="10" w:name="_Toc15377194"/>
      <w:r>
        <w:rPr>
          <w:rFonts w:hint="eastAsia" w:ascii="方正小标宋简体" w:hAnsi="方正小标宋简体" w:eastAsia="方正小标宋简体" w:cs="方正小标宋简体"/>
          <w:sz w:val="72"/>
          <w:szCs w:val="72"/>
          <w:lang w:val="en-US" w:eastAsia="zh-CN"/>
        </w:rPr>
        <w:t>阿坝州汶川县人民检察院</w:t>
      </w:r>
      <w:bookmarkEnd w:id="5"/>
      <w:bookmarkStart w:id="11" w:name="_Toc15306268"/>
    </w:p>
    <w:p w14:paraId="0D6DC178">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bookmarkStart w:id="50" w:name="_GoBack"/>
      <w:bookmarkEnd w:id="50"/>
      <w:r>
        <w:rPr>
          <w:rFonts w:hint="eastAsia" w:ascii="方正小标宋简体" w:hAnsi="方正小标宋简体" w:eastAsia="方正小标宋简体" w:cs="方正小标宋简体"/>
          <w:sz w:val="72"/>
          <w:szCs w:val="72"/>
        </w:rPr>
        <w:t>部门决算</w:t>
      </w:r>
      <w:bookmarkEnd w:id="6"/>
      <w:bookmarkEnd w:id="7"/>
      <w:bookmarkEnd w:id="8"/>
      <w:bookmarkEnd w:id="9"/>
      <w:bookmarkEnd w:id="10"/>
      <w:bookmarkEnd w:id="11"/>
      <w:r>
        <w:rPr>
          <w:rFonts w:hint="eastAsia" w:ascii="方正小标宋简体" w:hAnsi="方正小标宋简体" w:eastAsia="方正小标宋简体" w:cs="方正小标宋简体"/>
          <w:sz w:val="72"/>
          <w:szCs w:val="72"/>
          <w:lang w:val="en-US" w:eastAsia="zh-CN"/>
        </w:rPr>
        <w:t>公开</w:t>
      </w:r>
    </w:p>
    <w:p w14:paraId="57CF06DB">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14:paraId="1A719ABC">
      <w:pPr>
        <w:widowControl/>
        <w:jc w:val="center"/>
        <w:rPr>
          <w:rFonts w:ascii="黑体" w:hAnsi="黑体" w:eastAsia="黑体" w:cstheme="minorBidi"/>
          <w:sz w:val="28"/>
          <w:szCs w:val="28"/>
        </w:rPr>
      </w:pPr>
    </w:p>
    <w:p w14:paraId="7A10427E">
      <w:pPr>
        <w:pStyle w:val="12"/>
      </w:pPr>
      <w:r>
        <w:rPr>
          <w:rFonts w:hint="eastAsia"/>
        </w:rPr>
        <w:t>公开时间：</w:t>
      </w:r>
      <w:r>
        <w:rPr>
          <w:rFonts w:hint="default" w:ascii="Times New Roman" w:hAnsi="Times New Roman" w:cs="Times New Roman"/>
        </w:rPr>
        <w:t>202</w:t>
      </w:r>
      <w:r>
        <w:rPr>
          <w:rFonts w:hint="eastAsia" w:ascii="Times New Roman" w:hAnsi="Times New Roman" w:cs="Times New Roman"/>
          <w:lang w:val="en-US" w:eastAsia="zh-CN"/>
        </w:rPr>
        <w:t>6</w:t>
      </w:r>
      <w:r>
        <w:rPr>
          <w:rFonts w:hint="default" w:ascii="Times New Roman" w:hAnsi="Times New Roman" w:cs="Times New Roman"/>
        </w:rPr>
        <w:t>年</w:t>
      </w:r>
      <w:r>
        <w:rPr>
          <w:rFonts w:hint="default" w:ascii="Times New Roman" w:hAnsi="Times New Roman" w:cs="Times New Roman"/>
          <w:lang w:val="en-US" w:eastAsia="zh-CN"/>
        </w:rPr>
        <w:t>9</w:t>
      </w:r>
      <w:r>
        <w:rPr>
          <w:rFonts w:hint="default" w:ascii="Times New Roman" w:hAnsi="Times New Roman" w:cs="Times New Roman"/>
        </w:rPr>
        <w:t>月</w:t>
      </w:r>
      <w:r>
        <w:rPr>
          <w:rFonts w:hint="default" w:ascii="Times New Roman" w:hAnsi="Times New Roman" w:cs="Times New Roman"/>
          <w:lang w:val="en-US" w:eastAsia="zh-CN"/>
        </w:rPr>
        <w:t>1</w:t>
      </w:r>
      <w:r>
        <w:rPr>
          <w:rFonts w:hint="eastAsia" w:ascii="Times New Roman" w:hAnsi="Times New Roman" w:cs="Times New Roman"/>
          <w:lang w:val="en-US" w:eastAsia="zh-CN"/>
        </w:rPr>
        <w:t>8</w:t>
      </w:r>
      <w:r>
        <w:rPr>
          <w:rFonts w:hint="eastAsia"/>
        </w:rPr>
        <w:t>日</w:t>
      </w:r>
    </w:p>
    <w:p w14:paraId="128751E1">
      <w:pPr>
        <w:outlineLvl w:val="1"/>
      </w:pPr>
    </w:p>
    <w:p w14:paraId="7B6569EB">
      <w:pPr>
        <w:pStyle w:val="12"/>
        <w:adjustRightInd w:val="0"/>
        <w:snapToGrid w:val="0"/>
        <w:spacing w:before="0" w:line="440" w:lineRule="exact"/>
        <w:jc w:val="left"/>
        <w:rPr>
          <w:rFonts w:hint="eastAsia" w:ascii="黑体" w:hAnsi="黑体" w:eastAsia="黑体" w:cs="黑体"/>
          <w:sz w:val="32"/>
          <w:szCs w:val="32"/>
        </w:rPr>
      </w:pPr>
      <w:r>
        <w:rPr>
          <w:rFonts w:hint="eastAsia" w:ascii="黑体" w:hAnsi="黑体" w:eastAsia="黑体" w:cs="黑体"/>
          <w:sz w:val="32"/>
          <w:szCs w:val="32"/>
        </w:rPr>
        <w:t>第一部分 部门概况</w:t>
      </w:r>
    </w:p>
    <w:p w14:paraId="0AC988F8">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一、部门职责</w:t>
      </w:r>
    </w:p>
    <w:p w14:paraId="20CD43AF">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二、机构设置</w:t>
      </w:r>
    </w:p>
    <w:p w14:paraId="16ABD600">
      <w:pPr>
        <w:pStyle w:val="12"/>
        <w:adjustRightInd w:val="0"/>
        <w:snapToGrid w:val="0"/>
        <w:spacing w:before="0" w:line="440" w:lineRule="exact"/>
        <w:jc w:val="left"/>
        <w:rPr>
          <w:rFonts w:hint="eastAsia" w:ascii="黑体" w:hAnsi="黑体" w:eastAsia="黑体" w:cs="黑体"/>
          <w:sz w:val="32"/>
          <w:szCs w:val="32"/>
        </w:rPr>
      </w:pPr>
      <w:r>
        <w:rPr>
          <w:rFonts w:hint="eastAsia" w:ascii="黑体" w:hAnsi="黑体" w:eastAsia="黑体" w:cs="黑体"/>
          <w:sz w:val="32"/>
          <w:szCs w:val="32"/>
        </w:rPr>
        <w:t>第二部分</w:t>
      </w:r>
      <w:r>
        <w:rPr>
          <w:rFonts w:hint="default" w:ascii="Times New Roman" w:hAnsi="Times New Roman" w:eastAsia="黑体" w:cs="Times New Roman"/>
          <w:sz w:val="32"/>
          <w:szCs w:val="32"/>
        </w:rPr>
        <w:t xml:space="preserve"> 202</w:t>
      </w:r>
      <w:r>
        <w:rPr>
          <w:rFonts w:hint="eastAsia" w:ascii="Times New Roman" w:hAnsi="Times New Roman" w:eastAsia="黑体" w:cs="Times New Roman"/>
          <w:sz w:val="32"/>
          <w:szCs w:val="32"/>
          <w:lang w:val="en-US" w:eastAsia="zh-CN"/>
        </w:rPr>
        <w:t>5</w:t>
      </w:r>
      <w:r>
        <w:rPr>
          <w:rFonts w:hint="eastAsia" w:ascii="黑体" w:hAnsi="黑体" w:eastAsia="黑体" w:cs="黑体"/>
          <w:sz w:val="32"/>
          <w:szCs w:val="32"/>
        </w:rPr>
        <w:t>年度部门决算情况说明</w:t>
      </w:r>
    </w:p>
    <w:p w14:paraId="396BAD9D">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一、收入支出决算总体情况说明</w:t>
      </w:r>
    </w:p>
    <w:p w14:paraId="1ADA23F5">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二、收入决算情况说明</w:t>
      </w:r>
    </w:p>
    <w:p w14:paraId="15580EB0">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三、支出决算情况说明</w:t>
      </w:r>
    </w:p>
    <w:p w14:paraId="51ACACA0">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四、财政拨款收入支出决算总体情况说明</w:t>
      </w:r>
    </w:p>
    <w:p w14:paraId="1D94EF02">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五、一般公共预算财政拨款支出决算情况说明</w:t>
      </w:r>
    </w:p>
    <w:p w14:paraId="42122394">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六、一般公共预算财政拨款基本支出决算情况说明</w:t>
      </w:r>
    </w:p>
    <w:p w14:paraId="5B763FF5">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七、财政拨款“三公”经费支出决算情况说明</w:t>
      </w:r>
    </w:p>
    <w:p w14:paraId="09434361">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八、政府性基金预算支出决算情况说明</w:t>
      </w:r>
    </w:p>
    <w:p w14:paraId="2B8E2515">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九、国有资本经营预算支出决算情况说明</w:t>
      </w:r>
    </w:p>
    <w:p w14:paraId="1DA0516A">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十、其他重要事项的情况说明</w:t>
      </w:r>
    </w:p>
    <w:p w14:paraId="114A9D76">
      <w:pPr>
        <w:pStyle w:val="12"/>
        <w:adjustRightInd w:val="0"/>
        <w:snapToGrid w:val="0"/>
        <w:spacing w:before="0" w:line="440" w:lineRule="exact"/>
        <w:jc w:val="left"/>
        <w:rPr>
          <w:rFonts w:hint="eastAsia" w:ascii="黑体" w:hAnsi="黑体" w:eastAsia="黑体" w:cs="黑体"/>
          <w:sz w:val="32"/>
          <w:szCs w:val="32"/>
        </w:rPr>
      </w:pPr>
      <w:r>
        <w:rPr>
          <w:rFonts w:hint="eastAsia" w:ascii="黑体" w:hAnsi="黑体" w:eastAsia="黑体" w:cs="黑体"/>
          <w:sz w:val="32"/>
          <w:szCs w:val="32"/>
        </w:rPr>
        <w:t>第三部分 名词解释</w:t>
      </w:r>
    </w:p>
    <w:p w14:paraId="1F98A9B1">
      <w:pPr>
        <w:pStyle w:val="12"/>
        <w:adjustRightInd w:val="0"/>
        <w:snapToGrid w:val="0"/>
        <w:spacing w:before="0" w:line="440" w:lineRule="exact"/>
        <w:jc w:val="left"/>
        <w:rPr>
          <w:rFonts w:hint="eastAsia" w:ascii="黑体" w:hAnsi="黑体" w:eastAsia="黑体" w:cs="黑体"/>
          <w:sz w:val="32"/>
          <w:szCs w:val="32"/>
        </w:rPr>
      </w:pPr>
      <w:r>
        <w:rPr>
          <w:rFonts w:hint="eastAsia" w:ascii="黑体" w:hAnsi="黑体" w:eastAsia="黑体" w:cs="黑体"/>
          <w:sz w:val="32"/>
          <w:szCs w:val="32"/>
        </w:rPr>
        <w:t>第四部分 附件</w:t>
      </w:r>
    </w:p>
    <w:p w14:paraId="7456CE3F">
      <w:pPr>
        <w:pStyle w:val="12"/>
        <w:adjustRightInd w:val="0"/>
        <w:snapToGrid w:val="0"/>
        <w:spacing w:before="0" w:line="440" w:lineRule="exact"/>
        <w:jc w:val="left"/>
        <w:rPr>
          <w:rFonts w:hint="eastAsia" w:ascii="黑体" w:hAnsi="黑体" w:eastAsia="黑体" w:cs="黑体"/>
          <w:sz w:val="32"/>
          <w:szCs w:val="32"/>
        </w:rPr>
      </w:pPr>
      <w:r>
        <w:rPr>
          <w:rFonts w:hint="eastAsia" w:ascii="黑体" w:hAnsi="黑体" w:eastAsia="黑体" w:cs="黑体"/>
          <w:sz w:val="32"/>
          <w:szCs w:val="32"/>
        </w:rPr>
        <w:t>第五部分 附表</w:t>
      </w:r>
    </w:p>
    <w:p w14:paraId="35CA2A89">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一、收入支出决算总表</w:t>
      </w:r>
    </w:p>
    <w:p w14:paraId="5024AC27">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二、收入决算表</w:t>
      </w:r>
    </w:p>
    <w:p w14:paraId="6C661C2D">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三、支出决算表</w:t>
      </w:r>
    </w:p>
    <w:p w14:paraId="45D30EEE">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四、财政拨款收入支出决算总表</w:t>
      </w:r>
    </w:p>
    <w:p w14:paraId="603192E6">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五、财政拨款支出决算明细表</w:t>
      </w:r>
    </w:p>
    <w:p w14:paraId="3DB29CD1">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六、一般公共预算财政拨款支出决算表</w:t>
      </w:r>
    </w:p>
    <w:p w14:paraId="4ABD94FD">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七、一般公共预算财政拨款支出决算明细表</w:t>
      </w:r>
    </w:p>
    <w:p w14:paraId="5605EDED">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八、一般公共预算财政拨款基本支出决算明细表</w:t>
      </w:r>
    </w:p>
    <w:p w14:paraId="1BCFE866">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九、一般公共预算财政拨款项目支出决算表</w:t>
      </w:r>
    </w:p>
    <w:p w14:paraId="2908B599">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十、政府性基金预算财政拨款收入支出决算表</w:t>
      </w:r>
    </w:p>
    <w:p w14:paraId="46028548">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十一、国有资本经营预算财政拨款收入支出决算表</w:t>
      </w:r>
    </w:p>
    <w:p w14:paraId="25FFD77D">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十二、国有资本经营预算财政拨款支出决算表</w:t>
      </w:r>
    </w:p>
    <w:p w14:paraId="72D1ED57">
      <w:pPr>
        <w:pStyle w:val="13"/>
        <w:adjustRightInd w:val="0"/>
        <w:snapToGrid w:val="0"/>
        <w:spacing w:line="440" w:lineRule="exact"/>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十三、财政拨款“三公”经费支出决算表</w:t>
      </w:r>
    </w:p>
    <w:p w14:paraId="5D7F4C83">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14:paraId="4F1AF427">
      <w:pPr>
        <w:pStyle w:val="2"/>
        <w:jc w:val="center"/>
        <w:rPr>
          <w:rStyle w:val="28"/>
          <w:rFonts w:hint="eastAsia" w:ascii="方正小标宋简体" w:hAnsi="方正小标宋简体" w:eastAsia="方正小标宋简体" w:cs="方正小标宋简体"/>
          <w:b/>
          <w:bCs w:val="0"/>
        </w:rPr>
      </w:pPr>
      <w:r>
        <w:rPr>
          <w:rFonts w:hint="eastAsia" w:ascii="方正小标宋简体" w:hAnsi="方正小标宋简体" w:eastAsia="方正小标宋简体" w:cs="方正小标宋简体"/>
          <w:b w:val="0"/>
        </w:rPr>
        <w:t xml:space="preserve">第一部分 </w:t>
      </w:r>
      <w:r>
        <w:rPr>
          <w:rStyle w:val="28"/>
          <w:rFonts w:hint="eastAsia" w:ascii="方正小标宋简体" w:hAnsi="方正小标宋简体" w:eastAsia="方正小标宋简体" w:cs="方正小标宋简体"/>
          <w:b w:val="0"/>
          <w:bCs w:val="0"/>
        </w:rPr>
        <w:t>部门概况</w:t>
      </w:r>
      <w:bookmarkEnd w:id="12"/>
      <w:bookmarkEnd w:id="13"/>
    </w:p>
    <w:p w14:paraId="4B81B1FC">
      <w:pPr>
        <w:widowControl/>
        <w:jc w:val="left"/>
        <w:rPr>
          <w:rFonts w:ascii="黑体" w:eastAsia="黑体"/>
          <w:sz w:val="32"/>
          <w:szCs w:val="32"/>
        </w:rPr>
      </w:pPr>
    </w:p>
    <w:p w14:paraId="519F5EF8">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一、部门职责</w:t>
      </w:r>
    </w:p>
    <w:p w14:paraId="7B718D90">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bookmarkStart w:id="14" w:name="_Toc15396601"/>
      <w:bookmarkStart w:id="15" w:name="_Toc15377200"/>
      <w:r>
        <w:rPr>
          <w:rFonts w:hint="default" w:ascii="Times New Roman" w:hAnsi="Times New Roman" w:eastAsia="仿宋_GB2312" w:cs="Times New Roman"/>
          <w:kern w:val="2"/>
          <w:sz w:val="32"/>
          <w:szCs w:val="32"/>
          <w:lang w:val="en-US" w:eastAsia="zh-CN" w:bidi="ar-SA"/>
        </w:rPr>
        <w:t>汶川县人民检察院是国家法律监督机关，负责辖区各项检察工作，接受</w:t>
      </w:r>
      <w:r>
        <w:rPr>
          <w:rFonts w:hint="eastAsia" w:ascii="Times New Roman" w:cs="Times New Roman"/>
          <w:kern w:val="2"/>
          <w:sz w:val="32"/>
          <w:szCs w:val="32"/>
          <w:lang w:val="en-US" w:eastAsia="zh-CN" w:bidi="ar-SA"/>
        </w:rPr>
        <w:t>中共</w:t>
      </w:r>
      <w:r>
        <w:rPr>
          <w:rFonts w:hint="default" w:ascii="Times New Roman" w:hAnsi="Times New Roman" w:eastAsia="仿宋_GB2312" w:cs="Times New Roman"/>
          <w:kern w:val="2"/>
          <w:sz w:val="32"/>
          <w:szCs w:val="32"/>
          <w:lang w:val="en-US" w:eastAsia="zh-CN" w:bidi="ar-SA"/>
        </w:rPr>
        <w:t>汶川县委和阿坝州人民检察院的领导，对汶川县人民代表大会及其常委会负责并报告工作，接受其监督，执行其决议。</w:t>
      </w:r>
    </w:p>
    <w:p w14:paraId="34FA241F">
      <w:pPr>
        <w:spacing w:line="600" w:lineRule="exact"/>
        <w:ind w:firstLine="640" w:firstLineChars="200"/>
        <w:outlineLvl w:val="1"/>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sz w:val="36"/>
          <w:szCs w:val="36"/>
          <w:lang w:val="en-US" w:eastAsia="zh-CN"/>
        </w:rPr>
        <w:t>、机构设置</w:t>
      </w:r>
      <w:bookmarkEnd w:id="14"/>
      <w:bookmarkEnd w:id="15"/>
    </w:p>
    <w:p w14:paraId="299C5F75">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四川省阿坝州汶川县人民检察院无下属二级预算单位。按照检察机关内设机构改革规范的要求，设内设机构5个。其中，业务部门3个</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第一检察部（主要行使审查逮捕、审查起诉、立案监督、侦查监督、审判监督、未成年人刑事检察等职能）、第二检察部（主要行使民事检察、行政检察、公益诉讼等职能）和第三检察部（主要行使案件管理、控告申诉、刑事执行监督等职能）；综合部门2个</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办公室和政治部。</w:t>
      </w:r>
    </w:p>
    <w:p w14:paraId="6CD83620">
      <w:pPr>
        <w:ind w:firstLine="800" w:firstLineChars="250"/>
        <w:rPr>
          <w:rFonts w:hint="default" w:ascii="Times New Roman" w:hAnsi="Times New Roman" w:eastAsia="仿宋" w:cs="Times New Roman"/>
          <w:sz w:val="32"/>
          <w:szCs w:val="32"/>
        </w:rPr>
      </w:pPr>
    </w:p>
    <w:p w14:paraId="650CDE5B">
      <w:pPr>
        <w:widowControl/>
        <w:jc w:val="left"/>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2B73E562">
      <w:pPr>
        <w:pStyle w:val="2"/>
        <w:jc w:val="center"/>
        <w:rPr>
          <w:rFonts w:hint="default" w:ascii="Times New Roman" w:hAnsi="Times New Roman" w:eastAsia="方正小标宋简体" w:cs="Times New Roman"/>
          <w:b w:val="0"/>
        </w:rPr>
      </w:pPr>
      <w:bookmarkStart w:id="16" w:name="_Toc15396602"/>
      <w:bookmarkStart w:id="17" w:name="_Toc15377204"/>
      <w:r>
        <w:rPr>
          <w:rFonts w:hint="default" w:ascii="Times New Roman" w:hAnsi="Times New Roman" w:eastAsia="方正小标宋简体" w:cs="Times New Roman"/>
          <w:b w:val="0"/>
        </w:rPr>
        <w:t>第二部分 202</w:t>
      </w:r>
      <w:r>
        <w:rPr>
          <w:rFonts w:hint="eastAsia" w:eastAsia="方正小标宋简体" w:cs="Times New Roman"/>
          <w:b w:val="0"/>
          <w:lang w:val="en-US" w:eastAsia="zh-CN"/>
        </w:rPr>
        <w:t>5</w:t>
      </w:r>
      <w:r>
        <w:rPr>
          <w:rFonts w:hint="default" w:ascii="Times New Roman" w:hAnsi="Times New Roman" w:eastAsia="方正小标宋简体" w:cs="Times New Roman"/>
          <w:b w:val="0"/>
        </w:rPr>
        <w:t>年度部门决算情况说明</w:t>
      </w:r>
      <w:bookmarkEnd w:id="16"/>
      <w:bookmarkEnd w:id="17"/>
    </w:p>
    <w:p w14:paraId="35F21621">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18" w:name="_Toc15377205"/>
      <w:bookmarkStart w:id="19" w:name="_Toc15396603"/>
      <w:r>
        <w:rPr>
          <w:rFonts w:hint="default" w:ascii="Times New Roman" w:hAnsi="Times New Roman" w:eastAsia="黑体" w:cs="Times New Roman"/>
          <w:sz w:val="32"/>
          <w:szCs w:val="32"/>
          <w:lang w:val="en-US" w:eastAsia="zh-CN"/>
        </w:rPr>
        <w:t>一、收入支出决算总体情况说明</w:t>
      </w:r>
      <w:bookmarkEnd w:id="18"/>
      <w:bookmarkEnd w:id="19"/>
    </w:p>
    <w:p w14:paraId="6D2D6169">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年度收、支总计均为1140.34万元。与202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年度相比，收、支总计各</w:t>
      </w:r>
      <w:r>
        <w:rPr>
          <w:rFonts w:hint="eastAsia" w:ascii="Times New Roman" w:cs="Times New Roman"/>
          <w:kern w:val="2"/>
          <w:sz w:val="32"/>
          <w:szCs w:val="32"/>
          <w:lang w:val="en-US" w:eastAsia="zh-CN" w:bidi="ar-SA"/>
        </w:rPr>
        <w:t>减少92.9</w:t>
      </w:r>
      <w:r>
        <w:rPr>
          <w:rFonts w:hint="default" w:ascii="Times New Roman" w:hAnsi="Times New Roman" w:eastAsia="仿宋_GB2312" w:cs="Times New Roman"/>
          <w:kern w:val="2"/>
          <w:sz w:val="32"/>
          <w:szCs w:val="32"/>
          <w:lang w:val="en-US" w:eastAsia="zh-CN" w:bidi="ar-SA"/>
        </w:rPr>
        <w:t>万元，</w:t>
      </w:r>
      <w:r>
        <w:rPr>
          <w:rFonts w:hint="eastAsia" w:ascii="Times New Roman" w:cs="Times New Roman"/>
          <w:kern w:val="2"/>
          <w:sz w:val="32"/>
          <w:szCs w:val="32"/>
          <w:lang w:val="en-US" w:eastAsia="zh-CN" w:bidi="ar-SA"/>
        </w:rPr>
        <w:t>下降7.</w:t>
      </w:r>
      <w:r>
        <w:rPr>
          <w:rFonts w:hint="eastAsia" w:ascii="Times New Roman"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。主要变动原因是本年</w:t>
      </w:r>
      <w:r>
        <w:rPr>
          <w:rFonts w:hint="eastAsia" w:ascii="Times New Roman" w:hAnsi="Times New Roman" w:eastAsia="仿宋_GB2312" w:cs="Times New Roman"/>
          <w:kern w:val="2"/>
          <w:sz w:val="32"/>
          <w:szCs w:val="32"/>
          <w:lang w:val="en-US" w:eastAsia="zh-CN" w:bidi="ar-SA"/>
        </w:rPr>
        <w:t>采购</w:t>
      </w:r>
      <w:r>
        <w:rPr>
          <w:rFonts w:hint="default" w:ascii="Times New Roman" w:hAnsi="Times New Roman" w:eastAsia="仿宋_GB2312" w:cs="Times New Roman"/>
          <w:kern w:val="2"/>
          <w:sz w:val="32"/>
          <w:szCs w:val="32"/>
          <w:lang w:val="en-US" w:eastAsia="zh-CN" w:bidi="ar-SA"/>
        </w:rPr>
        <w:t>项目支出较去年减少，</w:t>
      </w:r>
      <w:r>
        <w:rPr>
          <w:rFonts w:hint="eastAsia" w:ascii="Times New Roman" w:hAnsi="Times New Roman" w:eastAsia="仿宋_GB2312" w:cs="Times New Roman"/>
          <w:kern w:val="2"/>
          <w:sz w:val="32"/>
          <w:szCs w:val="32"/>
          <w:lang w:val="en-US" w:eastAsia="zh-CN" w:bidi="ar-SA"/>
        </w:rPr>
        <w:t>部分项目</w:t>
      </w:r>
      <w:r>
        <w:rPr>
          <w:rFonts w:hint="eastAsia" w:ascii="Times New Roman" w:hAnsi="Times New Roman" w:cs="Times New Roman"/>
          <w:kern w:val="2"/>
          <w:sz w:val="32"/>
          <w:szCs w:val="32"/>
          <w:lang w:val="en-US" w:eastAsia="zh-CN" w:bidi="ar-SA"/>
        </w:rPr>
        <w:t>跨年需于2026年支付</w:t>
      </w:r>
      <w:r>
        <w:rPr>
          <w:rFonts w:hint="default" w:ascii="Times New Roman" w:hAnsi="Times New Roman" w:eastAsia="仿宋_GB2312" w:cs="Times New Roman"/>
          <w:kern w:val="2"/>
          <w:sz w:val="32"/>
          <w:szCs w:val="32"/>
          <w:lang w:val="en-US" w:eastAsia="zh-CN" w:bidi="ar-SA"/>
        </w:rPr>
        <w:t>。</w:t>
      </w:r>
    </w:p>
    <w:p w14:paraId="7966F66F">
      <w:pPr>
        <w:spacing w:line="600" w:lineRule="exact"/>
        <w:ind w:firstLine="640" w:firstLineChars="200"/>
        <w:jc w:val="left"/>
        <w:rPr>
          <w:rFonts w:hint="default" w:ascii="Times New Roman" w:hAnsi="Times New Roman" w:eastAsia="仿宋" w:cs="Times New Roman"/>
          <w:sz w:val="32"/>
          <w:szCs w:val="32"/>
        </w:rPr>
      </w:pPr>
      <w:r>
        <w:rPr>
          <w:rFonts w:hint="default" w:ascii="Times New Roman" w:hAnsi="Times New Roman" w:eastAsia="仿宋" w:cs="Times New Roman"/>
          <w:sz w:val="32"/>
          <w:szCs w:val="32"/>
        </w:rPr>
        <w:pict>
          <v:shape id="Object 2" o:spid="_x0000_s1027" o:spt="75" type="#_x0000_t75" style="position:absolute;left:0pt;margin-left:57.7pt;margin-top:4.15pt;height:202.25pt;width:321.65pt;z-index:251659264;mso-width-relative:page;mso-height-relative:page;" o:ole="t" filled="f" o:preferrelative="t" stroked="f" coordsize="21600,21600">
            <v:path/>
            <v:fill on="f" focussize="0,0"/>
            <v:stroke on="f"/>
            <v:imagedata r:id="rId7" o:title=""/>
            <o:lock v:ext="edit" aspectratio="t"/>
          </v:shape>
          <o:OLEObject Type="Embed" ProgID="Excel.Chart.8" ShapeID="Object 2" DrawAspect="Content" ObjectID="_1468075725" r:id="rId6">
            <o:LockedField>false</o:LockedField>
          </o:OLEObject>
        </w:pict>
      </w:r>
    </w:p>
    <w:p w14:paraId="5384D374">
      <w:pPr>
        <w:spacing w:line="600" w:lineRule="exact"/>
        <w:ind w:firstLine="640" w:firstLineChars="200"/>
        <w:jc w:val="left"/>
        <w:rPr>
          <w:rFonts w:hint="default" w:ascii="Times New Roman" w:hAnsi="Times New Roman" w:eastAsia="仿宋" w:cs="Times New Roman"/>
          <w:sz w:val="32"/>
          <w:szCs w:val="32"/>
          <w:lang w:eastAsia="zh-CN"/>
        </w:rPr>
      </w:pPr>
    </w:p>
    <w:p w14:paraId="06A62C0D">
      <w:pPr>
        <w:spacing w:line="600" w:lineRule="exact"/>
        <w:ind w:firstLine="640" w:firstLineChars="200"/>
        <w:jc w:val="left"/>
        <w:rPr>
          <w:rFonts w:hint="default" w:ascii="Times New Roman" w:hAnsi="Times New Roman" w:eastAsia="仿宋" w:cs="Times New Roman"/>
          <w:sz w:val="32"/>
          <w:szCs w:val="32"/>
          <w:lang w:eastAsia="zh-CN"/>
        </w:rPr>
      </w:pPr>
    </w:p>
    <w:p w14:paraId="32D3B400">
      <w:pPr>
        <w:spacing w:line="600" w:lineRule="exact"/>
        <w:ind w:firstLine="640" w:firstLineChars="200"/>
        <w:jc w:val="left"/>
        <w:rPr>
          <w:rFonts w:hint="default" w:ascii="Times New Roman" w:hAnsi="Times New Roman" w:eastAsia="仿宋" w:cs="Times New Roman"/>
          <w:sz w:val="32"/>
          <w:szCs w:val="32"/>
        </w:rPr>
      </w:pPr>
    </w:p>
    <w:p w14:paraId="0883F41B">
      <w:pPr>
        <w:spacing w:line="600" w:lineRule="exact"/>
        <w:ind w:firstLine="640" w:firstLineChars="200"/>
        <w:jc w:val="left"/>
        <w:rPr>
          <w:rFonts w:hint="default" w:ascii="Times New Roman" w:hAnsi="Times New Roman" w:eastAsia="仿宋" w:cs="Times New Roman"/>
          <w:sz w:val="32"/>
          <w:szCs w:val="32"/>
        </w:rPr>
      </w:pPr>
    </w:p>
    <w:p w14:paraId="76180EA0">
      <w:pPr>
        <w:spacing w:line="600" w:lineRule="exact"/>
        <w:ind w:firstLine="640" w:firstLineChars="200"/>
        <w:jc w:val="left"/>
        <w:rPr>
          <w:rFonts w:hint="default" w:ascii="Times New Roman" w:hAnsi="Times New Roman" w:eastAsia="仿宋" w:cs="Times New Roman"/>
          <w:sz w:val="32"/>
          <w:szCs w:val="32"/>
        </w:rPr>
      </w:pPr>
    </w:p>
    <w:p w14:paraId="48ABB473">
      <w:pPr>
        <w:spacing w:line="600" w:lineRule="exact"/>
        <w:ind w:firstLine="640" w:firstLineChars="200"/>
        <w:jc w:val="left"/>
        <w:rPr>
          <w:rFonts w:hint="default" w:ascii="Times New Roman" w:hAnsi="Times New Roman" w:eastAsia="仿宋" w:cs="Times New Roman"/>
          <w:sz w:val="32"/>
          <w:szCs w:val="32"/>
        </w:rPr>
      </w:pPr>
    </w:p>
    <w:p w14:paraId="73A96153">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rPr>
        <w:t>收、支决算总计变动情况图）（柱状图）</w:t>
      </w:r>
    </w:p>
    <w:p w14:paraId="1DBE9328">
      <w:pPr>
        <w:spacing w:line="600" w:lineRule="exact"/>
        <w:ind w:firstLine="640" w:firstLineChars="200"/>
        <w:outlineLvl w:val="1"/>
        <w:rPr>
          <w:rFonts w:hint="default" w:ascii="Times New Roman" w:hAnsi="Times New Roman" w:eastAsia="黑体" w:cs="Times New Roman"/>
          <w:sz w:val="32"/>
          <w:szCs w:val="32"/>
        </w:rPr>
      </w:pPr>
    </w:p>
    <w:p w14:paraId="12599980">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20" w:name="_Toc15377206"/>
      <w:bookmarkStart w:id="21" w:name="_Toc15396604"/>
      <w:r>
        <w:rPr>
          <w:rFonts w:hint="default" w:ascii="Times New Roman" w:hAnsi="Times New Roman" w:eastAsia="黑体" w:cs="Times New Roman"/>
          <w:sz w:val="32"/>
          <w:szCs w:val="32"/>
          <w:lang w:val="en-US" w:eastAsia="zh-CN"/>
        </w:rPr>
        <w:t>二、收入决算情况说明</w:t>
      </w:r>
      <w:bookmarkEnd w:id="20"/>
      <w:bookmarkEnd w:id="21"/>
    </w:p>
    <w:p w14:paraId="34674778">
      <w:pPr>
        <w:spacing w:line="600" w:lineRule="exact"/>
        <w:ind w:firstLine="640" w:firstLineChars="200"/>
        <w:jc w:val="left"/>
        <w:outlineLvl w:val="1"/>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w:t>
      </w:r>
      <w:r>
        <w:rPr>
          <w:rFonts w:hint="eastAsia" w:eastAsia="仿宋_GB2312" w:cs="Times New Roman"/>
          <w:kern w:val="2"/>
          <w:sz w:val="32"/>
          <w:szCs w:val="32"/>
          <w:lang w:val="en-US" w:eastAsia="zh-CN" w:bidi="ar-SA"/>
        </w:rPr>
        <w:t>25</w:t>
      </w:r>
      <w:r>
        <w:rPr>
          <w:rFonts w:hint="default" w:ascii="Times New Roman" w:hAnsi="Times New Roman" w:eastAsia="仿宋_GB2312" w:cs="Times New Roman"/>
          <w:kern w:val="2"/>
          <w:sz w:val="32"/>
          <w:szCs w:val="32"/>
          <w:lang w:val="en-US" w:eastAsia="zh-CN" w:bidi="ar-SA"/>
        </w:rPr>
        <w:t>年度本年收入</w:t>
      </w:r>
      <w:r>
        <w:rPr>
          <w:rFonts w:hint="eastAsia" w:eastAsia="仿宋_GB2312" w:cs="Times New Roman"/>
          <w:kern w:val="2"/>
          <w:sz w:val="32"/>
          <w:szCs w:val="32"/>
          <w:lang w:val="en-US" w:eastAsia="zh-CN" w:bidi="ar-SA"/>
        </w:rPr>
        <w:t>总</w:t>
      </w:r>
      <w:r>
        <w:rPr>
          <w:rFonts w:hint="default" w:ascii="Times New Roman" w:hAnsi="Times New Roman" w:eastAsia="仿宋_GB2312" w:cs="Times New Roman"/>
          <w:kern w:val="2"/>
          <w:sz w:val="32"/>
          <w:szCs w:val="32"/>
          <w:lang w:val="en-US" w:eastAsia="zh-CN" w:bidi="ar-SA"/>
        </w:rPr>
        <w:t>计1140.34万元，其中：一般公共预算财政拨款收入835.37万元，占7</w:t>
      </w:r>
      <w:r>
        <w:rPr>
          <w:rFonts w:hint="eastAsia"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w:t>
      </w:r>
      <w:r>
        <w:rPr>
          <w:rFonts w:hint="eastAsia"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%；政府性基金预算财政拨款收入0万元，占0%；国有资本经营预算财政拨款收入0万元，占0%；上级补助收入0万元，占0%；事业收入0万元，</w:t>
      </w:r>
      <w:r>
        <w:rPr>
          <w:rFonts w:hint="default" w:ascii="Times New Roman" w:hAnsi="Times New Roman" w:eastAsia="仿宋" w:cs="Times New Roman"/>
          <w:sz w:val="32"/>
          <w:szCs w:val="32"/>
        </w:rPr>
        <w:t>占</w:t>
      </w:r>
      <w:r>
        <w:rPr>
          <w:rFonts w:hint="default" w:ascii="Times New Roman" w:hAnsi="Times New Roman" w:eastAsia="仿宋_GB2312" w:cs="Times New Roman"/>
          <w:kern w:val="2"/>
          <w:sz w:val="32"/>
          <w:szCs w:val="32"/>
          <w:lang w:val="en-US" w:eastAsia="zh-CN" w:bidi="ar-SA"/>
        </w:rPr>
        <w:t>0%；经营收入0万元，占0%；附属单位上缴收入0万元，占0%；其他收入278.36万元，占</w:t>
      </w:r>
      <w:r>
        <w:rPr>
          <w:rFonts w:hint="eastAsia" w:eastAsia="仿宋_GB2312" w:cs="Times New Roman"/>
          <w:kern w:val="2"/>
          <w:sz w:val="32"/>
          <w:szCs w:val="32"/>
          <w:lang w:val="en-US" w:eastAsia="zh-CN" w:bidi="ar-SA"/>
        </w:rPr>
        <w:t>24.4</w:t>
      </w:r>
      <w:r>
        <w:rPr>
          <w:rFonts w:hint="default" w:ascii="Times New Roman" w:hAnsi="Times New Roman" w:eastAsia="仿宋_GB2312" w:cs="Times New Roman"/>
          <w:kern w:val="2"/>
          <w:sz w:val="32"/>
          <w:szCs w:val="32"/>
          <w:lang w:val="en-US" w:eastAsia="zh-CN" w:bidi="ar-SA"/>
        </w:rPr>
        <w:t>%；年初结转和结余26.61万元，占2.</w:t>
      </w:r>
      <w:r>
        <w:rPr>
          <w:rFonts w:hint="eastAsia"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%。其它收入为县级财政保障的在职人员基础绩效、检察人员检察绩效及退休人员相关经费。年初结转和结余为代管资金。</w:t>
      </w:r>
    </w:p>
    <w:p w14:paraId="2EB143C7">
      <w:pPr>
        <w:spacing w:line="600" w:lineRule="exact"/>
        <w:jc w:val="center"/>
        <w:outlineLvl w:val="1"/>
        <w:rPr>
          <w:rFonts w:hint="default" w:ascii="Times New Roman" w:hAnsi="Times New Roman" w:eastAsia="仿宋" w:cs="Times New Roman"/>
          <w:sz w:val="32"/>
          <w:szCs w:val="32"/>
        </w:rPr>
      </w:pPr>
      <w:r>
        <w:rPr>
          <w:rFonts w:hint="default" w:ascii="Times New Roman" w:hAnsi="Times New Roman" w:eastAsia="仿宋_GB2312" w:cs="Times New Roman"/>
          <w:color w:val="000000"/>
          <w:sz w:val="32"/>
          <w:szCs w:val="32"/>
          <w:highlight w:val="none"/>
        </w:rPr>
        <w:pict>
          <v:shape id="_x0000_s1034" o:spid="_x0000_s1034" o:spt="75" type="#_x0000_t75" style="position:absolute;left:0pt;margin-left:49.6pt;margin-top:7.55pt;height:151.6pt;width:339.05pt;mso-wrap-distance-bottom:0pt;mso-wrap-distance-top:0pt;z-index:251664384;mso-width-relative:page;mso-height-relative:page;" o:ole="t" filled="f" o:preferrelative="t" stroked="f" coordsize="21600,21600">
            <v:path/>
            <v:fill on="f" focussize="0,0"/>
            <v:stroke on="f"/>
            <v:imagedata r:id="rId9" o:title=""/>
            <o:lock v:ext="edit" aspectratio="t"/>
            <w10:wrap type="topAndBottom"/>
          </v:shape>
          <o:OLEObject Type="Embed" ProgID="Excel.Chart.8" ShapeID="_x0000_s1034" DrawAspect="Content" ObjectID="_1468075726" r:id="rId8">
            <o:LockedField>false</o:LockedField>
          </o:OLEObject>
        </w:pict>
      </w: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2：</w:t>
      </w:r>
      <w:r>
        <w:rPr>
          <w:rFonts w:hint="default" w:ascii="Times New Roman" w:hAnsi="Times New Roman" w:eastAsia="仿宋" w:cs="Times New Roman"/>
          <w:sz w:val="32"/>
          <w:szCs w:val="32"/>
        </w:rPr>
        <w:t>收入决算结构图）（饼状图）</w:t>
      </w:r>
    </w:p>
    <w:p w14:paraId="1DD8D879">
      <w:pPr>
        <w:spacing w:line="600" w:lineRule="exact"/>
        <w:ind w:firstLine="640" w:firstLineChars="200"/>
        <w:outlineLvl w:val="1"/>
        <w:rPr>
          <w:rFonts w:hint="default" w:ascii="Times New Roman" w:hAnsi="Times New Roman" w:eastAsia="黑体" w:cs="Times New Roman"/>
          <w:sz w:val="32"/>
          <w:szCs w:val="32"/>
        </w:rPr>
      </w:pPr>
    </w:p>
    <w:p w14:paraId="631ED0F4">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22" w:name="_Toc15396605"/>
      <w:bookmarkStart w:id="23" w:name="_Toc15377207"/>
      <w:r>
        <w:rPr>
          <w:rFonts w:hint="default" w:ascii="Times New Roman" w:hAnsi="Times New Roman" w:eastAsia="黑体" w:cs="Times New Roman"/>
          <w:sz w:val="32"/>
          <w:szCs w:val="32"/>
          <w:lang w:val="en-US" w:eastAsia="zh-CN"/>
        </w:rPr>
        <w:t>三、支出决算情况说明</w:t>
      </w:r>
      <w:bookmarkEnd w:id="22"/>
      <w:bookmarkEnd w:id="23"/>
    </w:p>
    <w:p w14:paraId="5247A584">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年度本年支出</w:t>
      </w:r>
      <w:r>
        <w:rPr>
          <w:rFonts w:hint="eastAsia" w:eastAsia="仿宋_GB2312" w:cs="Times New Roman"/>
          <w:kern w:val="2"/>
          <w:sz w:val="32"/>
          <w:szCs w:val="32"/>
          <w:lang w:val="en-US" w:eastAsia="zh-CN" w:bidi="ar-SA"/>
        </w:rPr>
        <w:t>总</w:t>
      </w:r>
      <w:r>
        <w:rPr>
          <w:rFonts w:hint="default" w:ascii="Times New Roman" w:hAnsi="Times New Roman" w:eastAsia="仿宋_GB2312" w:cs="Times New Roman"/>
          <w:kern w:val="2"/>
          <w:sz w:val="32"/>
          <w:szCs w:val="32"/>
          <w:lang w:val="en-US" w:eastAsia="zh-CN" w:bidi="ar-SA"/>
        </w:rPr>
        <w:t>计1140.34万元，其中：基本支出954.1万元，占</w:t>
      </w:r>
      <w:r>
        <w:rPr>
          <w:rFonts w:hint="eastAsia" w:ascii="Times New Roman" w:cs="Times New Roman"/>
          <w:kern w:val="2"/>
          <w:sz w:val="32"/>
          <w:szCs w:val="32"/>
          <w:lang w:val="en-US" w:eastAsia="zh-CN" w:bidi="ar-SA"/>
        </w:rPr>
        <w:t>83.7</w:t>
      </w:r>
      <w:r>
        <w:rPr>
          <w:rFonts w:hint="default" w:ascii="Times New Roman" w:hAnsi="Times New Roman" w:eastAsia="仿宋_GB2312" w:cs="Times New Roman"/>
          <w:kern w:val="2"/>
          <w:sz w:val="32"/>
          <w:szCs w:val="32"/>
          <w:lang w:val="en-US" w:eastAsia="zh-CN" w:bidi="ar-SA"/>
        </w:rPr>
        <w:t>%；项目支出141.45万元，占</w:t>
      </w:r>
      <w:r>
        <w:rPr>
          <w:rFonts w:hint="eastAsia" w:ascii="Times New Roman" w:cs="Times New Roman"/>
          <w:kern w:val="2"/>
          <w:sz w:val="32"/>
          <w:szCs w:val="32"/>
          <w:lang w:val="en-US" w:eastAsia="zh-CN" w:bidi="ar-SA"/>
        </w:rPr>
        <w:t>12.4</w:t>
      </w:r>
      <w:r>
        <w:rPr>
          <w:rFonts w:hint="default" w:ascii="Times New Roman" w:hAnsi="Times New Roman" w:eastAsia="仿宋_GB2312" w:cs="Times New Roman"/>
          <w:kern w:val="2"/>
          <w:sz w:val="32"/>
          <w:szCs w:val="32"/>
          <w:lang w:val="en-US" w:eastAsia="zh-CN" w:bidi="ar-SA"/>
        </w:rPr>
        <w:t>%；上缴上级支出0万元，占0%；经营支出0万元，占0%；对附属单位补助支出0万元，占0%；年末结转和结余44.79万元，占</w:t>
      </w:r>
      <w:r>
        <w:rPr>
          <w:rFonts w:hint="eastAsia" w:ascii="Times New Roman" w:cs="Times New Roman"/>
          <w:kern w:val="2"/>
          <w:sz w:val="32"/>
          <w:szCs w:val="32"/>
          <w:lang w:val="en-US" w:eastAsia="zh-CN" w:bidi="ar-SA"/>
        </w:rPr>
        <w:t>3.9</w:t>
      </w:r>
      <w:r>
        <w:rPr>
          <w:rFonts w:hint="default" w:ascii="Times New Roman" w:hAnsi="Times New Roman" w:eastAsia="仿宋_GB2312" w:cs="Times New Roman"/>
          <w:kern w:val="2"/>
          <w:sz w:val="32"/>
          <w:szCs w:val="32"/>
          <w:lang w:val="en-US" w:eastAsia="zh-CN" w:bidi="ar-SA"/>
        </w:rPr>
        <w:t>%。</w:t>
      </w:r>
    </w:p>
    <w:p w14:paraId="100D5673">
      <w:pPr>
        <w:spacing w:line="600" w:lineRule="exact"/>
        <w:ind w:firstLine="640"/>
        <w:jc w:val="center"/>
        <w:rPr>
          <w:rFonts w:hint="default" w:ascii="Times New Roman" w:hAnsi="Times New Roman" w:eastAsia="仿宋" w:cs="Times New Roman"/>
          <w:sz w:val="32"/>
          <w:szCs w:val="32"/>
          <w:shd w:val="pct10" w:color="auto" w:fill="FFFFFF"/>
        </w:rPr>
      </w:pP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3：</w:t>
      </w:r>
      <w:r>
        <w:rPr>
          <w:rFonts w:hint="default" w:ascii="Times New Roman" w:hAnsi="Times New Roman" w:eastAsia="仿宋" w:cs="Times New Roman"/>
          <w:sz w:val="32"/>
          <w:szCs w:val="32"/>
        </w:rPr>
        <w:t>支出决算结构图）（饼状图）</w:t>
      </w:r>
      <w:r>
        <w:rPr>
          <w:rFonts w:hint="default" w:ascii="Times New Roman" w:hAnsi="Times New Roman" w:eastAsia="仿宋_GB2312" w:cs="Times New Roman"/>
          <w:color w:val="000000"/>
          <w:sz w:val="32"/>
          <w:szCs w:val="32"/>
          <w:highlight w:val="none"/>
        </w:rPr>
        <w:pict>
          <v:shape id="Object 4" o:spid="_x0000_s1029" o:spt="75" type="#_x0000_t75" style="position:absolute;left:0pt;margin-left:44.75pt;margin-top:27.9pt;height:151.6pt;width:339.05pt;mso-wrap-distance-bottom:0pt;mso-wrap-distance-top:0pt;z-index:251660288;mso-width-relative:page;mso-height-relative:page;" o:ole="t" filled="f" o:preferrelative="t" stroked="f" coordsize="21600,21600">
            <v:path/>
            <v:fill on="f" focussize="0,0"/>
            <v:stroke on="f"/>
            <v:imagedata r:id="rId11" o:title=""/>
            <o:lock v:ext="edit" aspectratio="t"/>
            <w10:wrap type="topAndBottom"/>
          </v:shape>
          <o:OLEObject Type="Embed" ProgID="Excel.Chart.8" ShapeID="Object 4" DrawAspect="Content" ObjectID="_1468075727" r:id="rId10">
            <o:LockedField>false</o:LockedField>
          </o:OLEObject>
        </w:pict>
      </w:r>
    </w:p>
    <w:p w14:paraId="26EE6804">
      <w:pPr>
        <w:spacing w:line="600" w:lineRule="exact"/>
        <w:rPr>
          <w:rFonts w:hint="default" w:ascii="Times New Roman" w:hAnsi="Times New Roman" w:eastAsia="仿宋_GB2312" w:cs="Times New Roman"/>
          <w:sz w:val="32"/>
          <w:szCs w:val="32"/>
        </w:rPr>
      </w:pPr>
    </w:p>
    <w:p w14:paraId="1AB6AFA6">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24" w:name="_Toc15377208"/>
      <w:bookmarkStart w:id="25" w:name="_Toc15396606"/>
      <w:r>
        <w:rPr>
          <w:rFonts w:hint="default" w:ascii="Times New Roman" w:hAnsi="Times New Roman" w:eastAsia="黑体" w:cs="Times New Roman"/>
          <w:sz w:val="32"/>
          <w:szCs w:val="32"/>
          <w:lang w:val="en-US" w:eastAsia="zh-CN"/>
        </w:rPr>
        <w:t>四、财政拨款收入支出决算总体情况说明</w:t>
      </w:r>
      <w:bookmarkEnd w:id="24"/>
      <w:bookmarkEnd w:id="25"/>
    </w:p>
    <w:p w14:paraId="16576291">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年度财政拨款收、支总计均为835.37万元。与202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年度相比，财政拨款收、支总计各</w:t>
      </w:r>
      <w:r>
        <w:rPr>
          <w:rFonts w:hint="eastAsia" w:ascii="Times New Roman" w:cs="Times New Roman"/>
          <w:kern w:val="2"/>
          <w:sz w:val="32"/>
          <w:szCs w:val="32"/>
          <w:lang w:val="en-US" w:eastAsia="zh-CN" w:bidi="ar-SA"/>
        </w:rPr>
        <w:t>减少116.08</w:t>
      </w:r>
      <w:r>
        <w:rPr>
          <w:rFonts w:hint="default" w:ascii="Times New Roman" w:hAnsi="Times New Roman" w:eastAsia="仿宋_GB2312" w:cs="Times New Roman"/>
          <w:kern w:val="2"/>
          <w:sz w:val="32"/>
          <w:szCs w:val="32"/>
          <w:lang w:val="en-US" w:eastAsia="zh-CN" w:bidi="ar-SA"/>
        </w:rPr>
        <w:t>万元，</w:t>
      </w:r>
      <w:r>
        <w:rPr>
          <w:rFonts w:hint="eastAsia" w:ascii="Times New Roman" w:cs="Times New Roman"/>
          <w:kern w:val="2"/>
          <w:sz w:val="32"/>
          <w:szCs w:val="32"/>
          <w:lang w:val="en-US" w:eastAsia="zh-CN" w:bidi="ar-SA"/>
        </w:rPr>
        <w:t>下降</w:t>
      </w:r>
      <w:r>
        <w:rPr>
          <w:rFonts w:hint="default" w:ascii="Times New Roman" w:hAnsi="Times New Roman" w:eastAsia="仿宋_GB2312" w:cs="Times New Roman"/>
          <w:kern w:val="2"/>
          <w:sz w:val="32"/>
          <w:szCs w:val="32"/>
          <w:lang w:val="en-US" w:eastAsia="zh-CN" w:bidi="ar-SA"/>
        </w:rPr>
        <w:t>1</w:t>
      </w:r>
      <w:r>
        <w:rPr>
          <w:rFonts w:hint="eastAsia" w:ascii="Times New Roman" w:cs="Times New Roman"/>
          <w:kern w:val="2"/>
          <w:sz w:val="32"/>
          <w:szCs w:val="32"/>
          <w:lang w:val="en-US" w:eastAsia="zh-CN" w:bidi="ar-SA"/>
        </w:rPr>
        <w:t>2.2</w:t>
      </w:r>
      <w:r>
        <w:rPr>
          <w:rFonts w:hint="default" w:ascii="Times New Roman" w:hAnsi="Times New Roman" w:eastAsia="仿宋_GB2312" w:cs="Times New Roman"/>
          <w:kern w:val="2"/>
          <w:sz w:val="32"/>
          <w:szCs w:val="32"/>
          <w:lang w:val="en-US" w:eastAsia="zh-CN" w:bidi="ar-SA"/>
        </w:rPr>
        <w:t>%。主要变动原因是本年</w:t>
      </w:r>
      <w:r>
        <w:rPr>
          <w:rFonts w:hint="eastAsia" w:ascii="Times New Roman" w:hAnsi="Times New Roman" w:eastAsia="仿宋_GB2312" w:cs="Times New Roman"/>
          <w:kern w:val="2"/>
          <w:sz w:val="32"/>
          <w:szCs w:val="32"/>
          <w:lang w:val="en-US" w:eastAsia="zh-CN" w:bidi="ar-SA"/>
        </w:rPr>
        <w:t>采购</w:t>
      </w:r>
      <w:r>
        <w:rPr>
          <w:rFonts w:hint="default" w:ascii="Times New Roman" w:hAnsi="Times New Roman" w:eastAsia="仿宋_GB2312" w:cs="Times New Roman"/>
          <w:kern w:val="2"/>
          <w:sz w:val="32"/>
          <w:szCs w:val="32"/>
          <w:lang w:val="en-US" w:eastAsia="zh-CN" w:bidi="ar-SA"/>
        </w:rPr>
        <w:t>项目支出较去年减少，</w:t>
      </w:r>
      <w:r>
        <w:rPr>
          <w:rFonts w:hint="eastAsia" w:ascii="Times New Roman" w:hAnsi="Times New Roman" w:eastAsia="仿宋_GB2312" w:cs="Times New Roman"/>
          <w:kern w:val="2"/>
          <w:sz w:val="32"/>
          <w:szCs w:val="32"/>
          <w:lang w:val="en-US" w:eastAsia="zh-CN" w:bidi="ar-SA"/>
        </w:rPr>
        <w:t>部分项目</w:t>
      </w:r>
      <w:r>
        <w:rPr>
          <w:rFonts w:hint="eastAsia" w:ascii="Times New Roman" w:hAnsi="Times New Roman" w:cs="Times New Roman"/>
          <w:kern w:val="2"/>
          <w:sz w:val="32"/>
          <w:szCs w:val="32"/>
          <w:lang w:val="en-US" w:eastAsia="zh-CN" w:bidi="ar-SA"/>
        </w:rPr>
        <w:t>跨年需于2026年支付</w:t>
      </w:r>
      <w:r>
        <w:rPr>
          <w:rFonts w:hint="default" w:ascii="Times New Roman" w:hAnsi="Times New Roman" w:eastAsia="仿宋_GB2312" w:cs="Times New Roman"/>
          <w:kern w:val="2"/>
          <w:sz w:val="32"/>
          <w:szCs w:val="32"/>
          <w:lang w:val="en-US" w:eastAsia="zh-CN" w:bidi="ar-SA"/>
        </w:rPr>
        <w:t>。</w:t>
      </w:r>
    </w:p>
    <w:p w14:paraId="3B21C7FA">
      <w:pPr>
        <w:spacing w:line="600" w:lineRule="exact"/>
        <w:rPr>
          <w:rFonts w:hint="default" w:ascii="Times New Roman" w:hAnsi="Times New Roman" w:eastAsia="仿宋" w:cs="Times New Roman"/>
          <w:sz w:val="32"/>
          <w:szCs w:val="32"/>
        </w:rPr>
      </w:pPr>
      <w:r>
        <w:rPr>
          <w:rFonts w:hint="default" w:ascii="Times New Roman" w:hAnsi="Times New Roman" w:eastAsia="仿宋_GB2312" w:cs="Times New Roman"/>
          <w:color w:val="000000"/>
          <w:sz w:val="30"/>
          <w:szCs w:val="30"/>
          <w:highlight w:val="none"/>
        </w:rPr>
        <w:pict>
          <v:shape id="Object 5" o:spid="_x0000_s1030" o:spt="75" type="#_x0000_t75" style="position:absolute;left:0pt;margin-left:76.4pt;margin-top:15.2pt;height:186.8pt;width:296.9pt;z-index:251661312;mso-width-relative:page;mso-height-relative:page;" o:ole="t" filled="f" o:preferrelative="t" stroked="f" coordsize="21600,21600">
            <v:path/>
            <v:fill on="f" focussize="0,0"/>
            <v:stroke on="f"/>
            <v:imagedata r:id="rId13" o:title=""/>
            <o:lock v:ext="edit" aspectratio="t"/>
          </v:shape>
          <o:OLEObject Type="Embed" ProgID="Excel.Chart.8" ShapeID="Object 5" DrawAspect="Content" ObjectID="_1468075728" r:id="rId12">
            <o:LockedField>false</o:LockedField>
          </o:OLEObject>
        </w:pict>
      </w:r>
    </w:p>
    <w:p w14:paraId="218D87B3">
      <w:pPr>
        <w:spacing w:line="600" w:lineRule="exact"/>
        <w:rPr>
          <w:rFonts w:hint="default" w:ascii="Times New Roman" w:hAnsi="Times New Roman" w:eastAsia="仿宋" w:cs="Times New Roman"/>
          <w:sz w:val="32"/>
          <w:szCs w:val="32"/>
        </w:rPr>
      </w:pPr>
    </w:p>
    <w:p w14:paraId="44F0048D">
      <w:pPr>
        <w:spacing w:line="600" w:lineRule="exact"/>
        <w:rPr>
          <w:rFonts w:hint="default" w:ascii="Times New Roman" w:hAnsi="Times New Roman" w:eastAsia="仿宋" w:cs="Times New Roman"/>
          <w:sz w:val="32"/>
          <w:szCs w:val="32"/>
        </w:rPr>
      </w:pPr>
    </w:p>
    <w:p w14:paraId="364B705F">
      <w:pPr>
        <w:spacing w:line="600" w:lineRule="exact"/>
        <w:rPr>
          <w:rFonts w:hint="default" w:ascii="Times New Roman" w:hAnsi="Times New Roman" w:eastAsia="仿宋" w:cs="Times New Roman"/>
          <w:sz w:val="32"/>
          <w:szCs w:val="32"/>
        </w:rPr>
      </w:pPr>
    </w:p>
    <w:p w14:paraId="40456420">
      <w:pPr>
        <w:spacing w:line="600" w:lineRule="exact"/>
        <w:rPr>
          <w:rFonts w:hint="default" w:ascii="Times New Roman" w:hAnsi="Times New Roman" w:eastAsia="仿宋" w:cs="Times New Roman"/>
          <w:sz w:val="32"/>
          <w:szCs w:val="32"/>
        </w:rPr>
      </w:pPr>
    </w:p>
    <w:p w14:paraId="1069DBFB">
      <w:pPr>
        <w:spacing w:line="600" w:lineRule="exact"/>
        <w:rPr>
          <w:rFonts w:hint="default" w:ascii="Times New Roman" w:hAnsi="Times New Roman" w:eastAsia="仿宋" w:cs="Times New Roman"/>
          <w:sz w:val="32"/>
          <w:szCs w:val="32"/>
        </w:rPr>
      </w:pPr>
    </w:p>
    <w:p w14:paraId="02C399E9">
      <w:pPr>
        <w:spacing w:line="600" w:lineRule="exact"/>
        <w:rPr>
          <w:rFonts w:hint="default" w:ascii="Times New Roman" w:hAnsi="Times New Roman" w:eastAsia="仿宋" w:cs="Times New Roman"/>
          <w:sz w:val="32"/>
          <w:szCs w:val="32"/>
        </w:rPr>
      </w:pPr>
    </w:p>
    <w:p w14:paraId="5E6625F6">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4：</w:t>
      </w:r>
      <w:r>
        <w:rPr>
          <w:rFonts w:hint="default" w:ascii="Times New Roman" w:hAnsi="Times New Roman" w:eastAsia="仿宋" w:cs="Times New Roman"/>
          <w:sz w:val="32"/>
          <w:szCs w:val="32"/>
        </w:rPr>
        <w:t>财政拨款收、支决算总计变动情况）（柱状图）</w:t>
      </w:r>
    </w:p>
    <w:p w14:paraId="68CE15D6">
      <w:pPr>
        <w:spacing w:line="600" w:lineRule="exact"/>
        <w:ind w:firstLine="640"/>
        <w:rPr>
          <w:rFonts w:hint="default" w:ascii="Times New Roman" w:hAnsi="Times New Roman" w:eastAsia="仿宋" w:cs="Times New Roman"/>
          <w:b/>
          <w:sz w:val="32"/>
          <w:szCs w:val="32"/>
        </w:rPr>
      </w:pPr>
    </w:p>
    <w:p w14:paraId="15313E90">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26" w:name="_Toc15377209"/>
      <w:bookmarkStart w:id="27" w:name="_Toc15396607"/>
      <w:r>
        <w:rPr>
          <w:rFonts w:hint="default" w:ascii="Times New Roman" w:hAnsi="Times New Roman" w:eastAsia="黑体" w:cs="Times New Roman"/>
          <w:sz w:val="32"/>
          <w:szCs w:val="32"/>
          <w:lang w:val="en-US" w:eastAsia="zh-CN"/>
        </w:rPr>
        <w:t>五、一般公共预算财政拨款支出决算情况说明</w:t>
      </w:r>
      <w:bookmarkEnd w:id="26"/>
      <w:bookmarkEnd w:id="27"/>
    </w:p>
    <w:p w14:paraId="44A88FE4">
      <w:pPr>
        <w:spacing w:line="600" w:lineRule="exact"/>
        <w:ind w:firstLine="643" w:firstLineChars="200"/>
        <w:outlineLvl w:val="2"/>
        <w:rPr>
          <w:rFonts w:hint="default" w:ascii="Times New Roman" w:hAnsi="Times New Roman" w:eastAsia="楷体_GB2312" w:cs="Times New Roman"/>
          <w:b/>
          <w:sz w:val="32"/>
          <w:szCs w:val="32"/>
        </w:rPr>
      </w:pPr>
      <w:bookmarkStart w:id="28" w:name="_Toc15377210"/>
      <w:r>
        <w:rPr>
          <w:rFonts w:hint="default" w:ascii="Times New Roman" w:hAnsi="Times New Roman" w:eastAsia="楷体_GB2312" w:cs="Times New Roman"/>
          <w:b/>
          <w:sz w:val="32"/>
          <w:szCs w:val="32"/>
        </w:rPr>
        <w:t>（一）一般公共预算财政拨款支出决算总体情况</w:t>
      </w:r>
      <w:bookmarkEnd w:id="28"/>
    </w:p>
    <w:p w14:paraId="39854C74">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年度一般公共预算财政拨款支出835.37万元，占本年支出合计的7</w:t>
      </w:r>
      <w:r>
        <w:rPr>
          <w:rFonts w:hint="eastAsia" w:ascii="Times New Roman" w:cs="Times New Roman"/>
          <w:kern w:val="2"/>
          <w:sz w:val="32"/>
          <w:szCs w:val="32"/>
          <w:lang w:val="en-US" w:eastAsia="zh-CN" w:bidi="ar-SA"/>
        </w:rPr>
        <w:t>3.3</w:t>
      </w:r>
      <w:r>
        <w:rPr>
          <w:rFonts w:hint="default" w:ascii="Times New Roman" w:hAnsi="Times New Roman" w:eastAsia="仿宋_GB2312" w:cs="Times New Roman"/>
          <w:kern w:val="2"/>
          <w:sz w:val="32"/>
          <w:szCs w:val="32"/>
          <w:lang w:val="en-US" w:eastAsia="zh-CN" w:bidi="ar-SA"/>
        </w:rPr>
        <w:t>%。与202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年度相比，一般公共预算财政拨款支出</w:t>
      </w:r>
      <w:r>
        <w:rPr>
          <w:rFonts w:hint="eastAsia" w:ascii="Times New Roman" w:cs="Times New Roman"/>
          <w:kern w:val="2"/>
          <w:sz w:val="32"/>
          <w:szCs w:val="32"/>
          <w:lang w:val="en-US" w:eastAsia="zh-CN" w:bidi="ar-SA"/>
        </w:rPr>
        <w:t>减少116.08</w:t>
      </w:r>
      <w:r>
        <w:rPr>
          <w:rFonts w:hint="default" w:ascii="Times New Roman" w:hAnsi="Times New Roman" w:eastAsia="仿宋_GB2312" w:cs="Times New Roman"/>
          <w:kern w:val="2"/>
          <w:sz w:val="32"/>
          <w:szCs w:val="32"/>
          <w:lang w:val="en-US" w:eastAsia="zh-CN" w:bidi="ar-SA"/>
        </w:rPr>
        <w:t>万元，</w:t>
      </w:r>
      <w:r>
        <w:rPr>
          <w:rFonts w:hint="eastAsia" w:ascii="Times New Roman" w:cs="Times New Roman"/>
          <w:kern w:val="2"/>
          <w:sz w:val="32"/>
          <w:szCs w:val="32"/>
          <w:lang w:val="en-US" w:eastAsia="zh-CN" w:bidi="ar-SA"/>
        </w:rPr>
        <w:t>下降</w:t>
      </w:r>
      <w:r>
        <w:rPr>
          <w:rFonts w:hint="default" w:ascii="Times New Roman" w:hAnsi="Times New Roman" w:eastAsia="仿宋_GB2312" w:cs="Times New Roman"/>
          <w:kern w:val="2"/>
          <w:sz w:val="32"/>
          <w:szCs w:val="32"/>
          <w:lang w:val="en-US" w:eastAsia="zh-CN" w:bidi="ar-SA"/>
        </w:rPr>
        <w:t>1</w:t>
      </w:r>
      <w:r>
        <w:rPr>
          <w:rFonts w:hint="eastAsia" w:ascii="Times New Roman" w:cs="Times New Roman"/>
          <w:kern w:val="2"/>
          <w:sz w:val="32"/>
          <w:szCs w:val="32"/>
          <w:lang w:val="en-US" w:eastAsia="zh-CN" w:bidi="ar-SA"/>
        </w:rPr>
        <w:t>2.2</w:t>
      </w:r>
      <w:r>
        <w:rPr>
          <w:rFonts w:hint="default" w:ascii="Times New Roman" w:hAnsi="Times New Roman" w:eastAsia="仿宋_GB2312" w:cs="Times New Roman"/>
          <w:kern w:val="2"/>
          <w:sz w:val="32"/>
          <w:szCs w:val="32"/>
          <w:lang w:val="en-US" w:eastAsia="zh-CN" w:bidi="ar-SA"/>
        </w:rPr>
        <w:t>%。主要变动原因是本年</w:t>
      </w:r>
      <w:r>
        <w:rPr>
          <w:rFonts w:hint="eastAsia" w:ascii="Times New Roman" w:hAnsi="Times New Roman" w:eastAsia="仿宋_GB2312" w:cs="Times New Roman"/>
          <w:kern w:val="2"/>
          <w:sz w:val="32"/>
          <w:szCs w:val="32"/>
          <w:lang w:val="en-US" w:eastAsia="zh-CN" w:bidi="ar-SA"/>
        </w:rPr>
        <w:t>采购</w:t>
      </w:r>
      <w:r>
        <w:rPr>
          <w:rFonts w:hint="default" w:ascii="Times New Roman" w:hAnsi="Times New Roman" w:eastAsia="仿宋_GB2312" w:cs="Times New Roman"/>
          <w:kern w:val="2"/>
          <w:sz w:val="32"/>
          <w:szCs w:val="32"/>
          <w:lang w:val="en-US" w:eastAsia="zh-CN" w:bidi="ar-SA"/>
        </w:rPr>
        <w:t>项目支出较去年减少，</w:t>
      </w:r>
      <w:r>
        <w:rPr>
          <w:rFonts w:hint="eastAsia" w:ascii="Times New Roman" w:hAnsi="Times New Roman" w:eastAsia="仿宋_GB2312" w:cs="Times New Roman"/>
          <w:kern w:val="2"/>
          <w:sz w:val="32"/>
          <w:szCs w:val="32"/>
          <w:lang w:val="en-US" w:eastAsia="zh-CN" w:bidi="ar-SA"/>
        </w:rPr>
        <w:t>部分项目</w:t>
      </w:r>
      <w:r>
        <w:rPr>
          <w:rFonts w:hint="eastAsia" w:ascii="Times New Roman" w:hAnsi="Times New Roman" w:cs="Times New Roman"/>
          <w:kern w:val="2"/>
          <w:sz w:val="32"/>
          <w:szCs w:val="32"/>
          <w:lang w:val="en-US" w:eastAsia="zh-CN" w:bidi="ar-SA"/>
        </w:rPr>
        <w:t>跨年需于2026年支付</w:t>
      </w:r>
      <w:r>
        <w:rPr>
          <w:rFonts w:hint="default" w:ascii="Times New Roman" w:hAnsi="Times New Roman" w:eastAsia="仿宋_GB2312" w:cs="Times New Roman"/>
          <w:kern w:val="2"/>
          <w:sz w:val="32"/>
          <w:szCs w:val="32"/>
          <w:lang w:val="en-US" w:eastAsia="zh-CN" w:bidi="ar-SA"/>
        </w:rPr>
        <w:t>。</w:t>
      </w:r>
    </w:p>
    <w:p w14:paraId="50ED7806">
      <w:pPr>
        <w:spacing w:line="600" w:lineRule="exact"/>
        <w:rPr>
          <w:rFonts w:hint="default" w:ascii="Times New Roman" w:hAnsi="Times New Roman" w:eastAsia="仿宋" w:cs="Times New Roman"/>
          <w:sz w:val="32"/>
          <w:szCs w:val="32"/>
        </w:rPr>
      </w:pPr>
    </w:p>
    <w:p w14:paraId="3ECBC781">
      <w:pPr>
        <w:spacing w:line="600" w:lineRule="exact"/>
        <w:ind w:firstLine="600" w:firstLineChars="200"/>
        <w:rPr>
          <w:rFonts w:hint="default" w:ascii="Times New Roman" w:hAnsi="Times New Roman" w:eastAsia="仿宋" w:cs="Times New Roman"/>
          <w:sz w:val="32"/>
          <w:szCs w:val="32"/>
        </w:rPr>
      </w:pPr>
      <w:r>
        <w:rPr>
          <w:rFonts w:hint="default" w:ascii="Times New Roman" w:hAnsi="Times New Roman" w:eastAsia="仿宋_GB2312" w:cs="Times New Roman"/>
          <w:color w:val="000000"/>
          <w:sz w:val="30"/>
          <w:szCs w:val="30"/>
          <w:highlight w:val="none"/>
        </w:rPr>
        <w:pict>
          <v:shape id="Object 6" o:spid="_x0000_s1031" o:spt="75" type="#_x0000_t75" style="position:absolute;left:0pt;margin-left:35.75pt;margin-top:-9.5pt;height:221.55pt;width:350.15pt;z-index:251662336;mso-width-relative:page;mso-height-relative:page;" o:ole="t" filled="f" o:preferrelative="t" stroked="f" coordsize="21600,21600">
            <v:path/>
            <v:fill on="f" focussize="0,0"/>
            <v:stroke on="f"/>
            <v:imagedata r:id="rId15" o:title=""/>
            <o:lock v:ext="edit" aspectratio="t"/>
          </v:shape>
          <o:OLEObject Type="Embed" ProgID="Excel.Chart.8" ShapeID="Object 6" DrawAspect="Content" ObjectID="_1468075729" r:id="rId14">
            <o:LockedField>false</o:LockedField>
          </o:OLEObject>
        </w:pict>
      </w:r>
    </w:p>
    <w:p w14:paraId="7DBD9399">
      <w:pPr>
        <w:spacing w:line="600" w:lineRule="exact"/>
        <w:ind w:firstLine="640" w:firstLineChars="200"/>
        <w:rPr>
          <w:rFonts w:hint="default" w:ascii="Times New Roman" w:hAnsi="Times New Roman" w:eastAsia="仿宋" w:cs="Times New Roman"/>
          <w:sz w:val="32"/>
          <w:szCs w:val="32"/>
        </w:rPr>
      </w:pPr>
    </w:p>
    <w:p w14:paraId="2FF4F0D5">
      <w:pPr>
        <w:spacing w:line="600" w:lineRule="exact"/>
        <w:ind w:firstLine="640" w:firstLineChars="200"/>
        <w:rPr>
          <w:rFonts w:hint="default" w:ascii="Times New Roman" w:hAnsi="Times New Roman" w:eastAsia="仿宋" w:cs="Times New Roman"/>
          <w:sz w:val="32"/>
          <w:szCs w:val="32"/>
        </w:rPr>
      </w:pPr>
    </w:p>
    <w:p w14:paraId="112E4B2A">
      <w:pPr>
        <w:spacing w:line="600" w:lineRule="exact"/>
        <w:ind w:firstLine="640" w:firstLineChars="200"/>
        <w:rPr>
          <w:rFonts w:hint="default" w:ascii="Times New Roman" w:hAnsi="Times New Roman" w:eastAsia="仿宋" w:cs="Times New Roman"/>
          <w:sz w:val="32"/>
          <w:szCs w:val="32"/>
        </w:rPr>
      </w:pPr>
    </w:p>
    <w:p w14:paraId="31F48EF6">
      <w:pPr>
        <w:spacing w:line="600" w:lineRule="exact"/>
        <w:ind w:firstLine="640" w:firstLineChars="200"/>
        <w:rPr>
          <w:rFonts w:hint="default" w:ascii="Times New Roman" w:hAnsi="Times New Roman" w:eastAsia="仿宋" w:cs="Times New Roman"/>
          <w:sz w:val="32"/>
          <w:szCs w:val="32"/>
        </w:rPr>
      </w:pPr>
    </w:p>
    <w:p w14:paraId="0BE74070">
      <w:pPr>
        <w:spacing w:line="600" w:lineRule="exact"/>
        <w:ind w:firstLine="640" w:firstLineChars="200"/>
        <w:rPr>
          <w:rFonts w:hint="default" w:ascii="Times New Roman" w:hAnsi="Times New Roman" w:eastAsia="仿宋" w:cs="Times New Roman"/>
          <w:sz w:val="32"/>
          <w:szCs w:val="32"/>
        </w:rPr>
      </w:pPr>
    </w:p>
    <w:p w14:paraId="5FF50B3B">
      <w:pPr>
        <w:spacing w:line="600" w:lineRule="exact"/>
        <w:ind w:firstLine="640" w:firstLineChars="200"/>
        <w:rPr>
          <w:rFonts w:hint="default" w:ascii="Times New Roman" w:hAnsi="Times New Roman" w:eastAsia="仿宋" w:cs="Times New Roman"/>
          <w:sz w:val="32"/>
          <w:szCs w:val="32"/>
        </w:rPr>
      </w:pPr>
    </w:p>
    <w:p w14:paraId="02713FBD">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5</w:t>
      </w:r>
      <w:r>
        <w:rPr>
          <w:rFonts w:hint="default" w:ascii="Times New Roman" w:hAnsi="Times New Roman" w:eastAsia="仿宋" w:cs="Times New Roman"/>
          <w:sz w:val="32"/>
          <w:szCs w:val="32"/>
        </w:rPr>
        <w:t>：一般公共预算财政拨款支出决算变动情况）（柱状图）</w:t>
      </w:r>
    </w:p>
    <w:p w14:paraId="4DB0BAD2">
      <w:pPr>
        <w:spacing w:line="600" w:lineRule="exact"/>
        <w:ind w:firstLine="640" w:firstLineChars="200"/>
        <w:rPr>
          <w:rFonts w:hint="default" w:ascii="Times New Roman" w:hAnsi="Times New Roman" w:eastAsia="仿宋" w:cs="Times New Roman"/>
          <w:sz w:val="32"/>
          <w:szCs w:val="32"/>
        </w:rPr>
      </w:pPr>
    </w:p>
    <w:p w14:paraId="04230D28">
      <w:pPr>
        <w:spacing w:line="600" w:lineRule="exact"/>
        <w:ind w:firstLine="643" w:firstLineChars="200"/>
        <w:outlineLvl w:val="2"/>
        <w:rPr>
          <w:rFonts w:hint="default" w:ascii="Times New Roman" w:hAnsi="Times New Roman" w:eastAsia="楷体_GB2312" w:cs="Times New Roman"/>
          <w:b/>
          <w:sz w:val="32"/>
          <w:szCs w:val="32"/>
        </w:rPr>
      </w:pPr>
      <w:bookmarkStart w:id="29" w:name="_Toc15377211"/>
      <w:r>
        <w:rPr>
          <w:rFonts w:hint="default" w:ascii="Times New Roman" w:hAnsi="Times New Roman" w:eastAsia="楷体_GB2312" w:cs="Times New Roman"/>
          <w:b/>
          <w:sz w:val="32"/>
          <w:szCs w:val="32"/>
        </w:rPr>
        <w:t>（二）一般公共预算财政拨款支出决算结构情况</w:t>
      </w:r>
      <w:bookmarkEnd w:id="29"/>
    </w:p>
    <w:p w14:paraId="34A9952B">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2024年度一般公共预算财政拨款支出835.37万元，主要用于以下方面</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一般公共服务支出0万元，占0%；公共安全支出631.97万元，占</w:t>
      </w:r>
      <w:r>
        <w:rPr>
          <w:rFonts w:hint="eastAsia" w:ascii="Times New Roman" w:cs="Times New Roman"/>
          <w:kern w:val="2"/>
          <w:sz w:val="32"/>
          <w:szCs w:val="32"/>
          <w:lang w:val="en-US" w:eastAsia="zh-CN" w:bidi="ar-SA"/>
        </w:rPr>
        <w:t>75.6</w:t>
      </w:r>
      <w:r>
        <w:rPr>
          <w:rFonts w:hint="default" w:ascii="Times New Roman" w:hAnsi="Times New Roman" w:eastAsia="仿宋_GB2312" w:cs="Times New Roman"/>
          <w:kern w:val="2"/>
          <w:sz w:val="32"/>
          <w:szCs w:val="32"/>
          <w:lang w:val="en-US" w:eastAsia="zh-CN" w:bidi="ar-SA"/>
        </w:rPr>
        <w:t>%；教育支出0万元，占0%；科学技术支出0万元，占0%；文化旅游体育与传媒支出0万元，占0%；社会保障和就业支出94.83万元，占</w:t>
      </w:r>
      <w:r>
        <w:rPr>
          <w:rFonts w:hint="eastAsia" w:ascii="Times New Roman" w:cs="Times New Roman"/>
          <w:kern w:val="2"/>
          <w:sz w:val="32"/>
          <w:szCs w:val="32"/>
          <w:lang w:val="en-US" w:eastAsia="zh-CN" w:bidi="ar-SA"/>
        </w:rPr>
        <w:t>11.4</w:t>
      </w:r>
      <w:r>
        <w:rPr>
          <w:rFonts w:hint="default" w:ascii="Times New Roman" w:hAnsi="Times New Roman" w:eastAsia="仿宋_GB2312" w:cs="Times New Roman"/>
          <w:kern w:val="2"/>
          <w:sz w:val="32"/>
          <w:szCs w:val="32"/>
          <w:lang w:val="en-US" w:eastAsia="zh-CN" w:bidi="ar-SA"/>
        </w:rPr>
        <w:t>%；卫生健康支出45.76万元，占</w:t>
      </w:r>
      <w:r>
        <w:rPr>
          <w:rFonts w:hint="eastAsia" w:ascii="Times New Roman" w:cs="Times New Roman"/>
          <w:kern w:val="2"/>
          <w:sz w:val="32"/>
          <w:szCs w:val="32"/>
          <w:lang w:val="en-US" w:eastAsia="zh-CN" w:bidi="ar-SA"/>
        </w:rPr>
        <w:t>5.5</w:t>
      </w:r>
      <w:r>
        <w:rPr>
          <w:rFonts w:hint="default" w:ascii="Times New Roman" w:hAnsi="Times New Roman" w:eastAsia="仿宋_GB2312" w:cs="Times New Roman"/>
          <w:kern w:val="2"/>
          <w:sz w:val="32"/>
          <w:szCs w:val="32"/>
          <w:lang w:val="en-US" w:eastAsia="zh-CN" w:bidi="ar-SA"/>
        </w:rPr>
        <w:t>%；住房保障支出62.81万元，占</w:t>
      </w:r>
      <w:r>
        <w:rPr>
          <w:rFonts w:hint="eastAsia" w:ascii="Times New Roman" w:cs="Times New Roman"/>
          <w:kern w:val="2"/>
          <w:sz w:val="32"/>
          <w:szCs w:val="32"/>
          <w:lang w:val="en-US" w:eastAsia="zh-CN" w:bidi="ar-SA"/>
        </w:rPr>
        <w:t>7.5</w:t>
      </w:r>
      <w:r>
        <w:rPr>
          <w:rFonts w:hint="default" w:ascii="Times New Roman" w:hAnsi="Times New Roman" w:eastAsia="仿宋_GB2312" w:cs="Times New Roman"/>
          <w:kern w:val="2"/>
          <w:sz w:val="32"/>
          <w:szCs w:val="32"/>
          <w:lang w:val="en-US" w:eastAsia="zh-CN" w:bidi="ar-SA"/>
        </w:rPr>
        <w:t>%。</w:t>
      </w:r>
    </w:p>
    <w:p w14:paraId="243B413F">
      <w:pPr>
        <w:spacing w:line="600" w:lineRule="exact"/>
        <w:rPr>
          <w:rFonts w:hint="default" w:ascii="Times New Roman" w:hAnsi="Times New Roman" w:eastAsia="仿宋" w:cs="Times New Roman"/>
          <w:sz w:val="32"/>
          <w:szCs w:val="32"/>
        </w:rPr>
      </w:pPr>
      <w:r>
        <w:rPr>
          <w:rFonts w:hint="default" w:ascii="Times New Roman" w:hAnsi="Times New Roman" w:eastAsia="仿宋_GB2312" w:cs="Times New Roman"/>
          <w:color w:val="000000"/>
          <w:sz w:val="32"/>
          <w:szCs w:val="32"/>
          <w:highlight w:val="none"/>
        </w:rPr>
        <w:pict>
          <v:shape id="_x0000_s1035" o:spid="_x0000_s1035" o:spt="75" type="#_x0000_t75" style="position:absolute;left:0pt;margin-left:47.6pt;margin-top:4.75pt;height:163.9pt;width:339.05pt;mso-wrap-distance-bottom:0pt;mso-wrap-distance-top:0pt;z-index:251665408;mso-width-relative:page;mso-height-relative:page;" o:ole="t" filled="f" o:preferrelative="t" stroked="f" coordsize="21600,21600">
            <v:path/>
            <v:fill on="f" focussize="0,0"/>
            <v:stroke on="f"/>
            <v:imagedata r:id="rId17" o:title=""/>
            <o:lock v:ext="edit" aspectratio="t"/>
            <w10:wrap type="topAndBottom"/>
          </v:shape>
          <o:OLEObject Type="Embed" ProgID="Excel.Chart.8" ShapeID="_x0000_s1035" DrawAspect="Content" ObjectID="_1468075730" r:id="rId16">
            <o:LockedField>false</o:LockedField>
          </o:OLEObject>
        </w:pict>
      </w:r>
      <w:r>
        <w:rPr>
          <w:rFonts w:hint="eastAsia" w:ascii="Times New Roman" w:hAnsi="Times New Roman" w:eastAsia="仿宋_GB2312" w:cs="Times New Roman"/>
          <w:color w:val="000000"/>
          <w:sz w:val="32"/>
          <w:szCs w:val="32"/>
          <w:highlight w:val="none"/>
          <w:lang w:val="en-US" w:eastAsia="zh-CN"/>
        </w:rPr>
        <w:t xml:space="preserve">  </w:t>
      </w:r>
      <w:r>
        <w:rPr>
          <w:rFonts w:hint="default" w:ascii="Times New Roman" w:hAnsi="Times New Roman" w:eastAsia="仿宋" w:cs="Times New Roman"/>
          <w:sz w:val="32"/>
          <w:szCs w:val="32"/>
        </w:rPr>
        <w:t>（图6：一般公共预算财政拨款支出决算结构）（饼状图）</w:t>
      </w:r>
    </w:p>
    <w:p w14:paraId="120272AE">
      <w:pPr>
        <w:spacing w:line="600" w:lineRule="exact"/>
        <w:ind w:firstLine="643" w:firstLineChars="200"/>
        <w:outlineLvl w:val="2"/>
        <w:rPr>
          <w:rFonts w:hint="default" w:ascii="Times New Roman" w:hAnsi="Times New Roman" w:eastAsia="楷体_GB2312" w:cs="Times New Roman"/>
          <w:b/>
          <w:sz w:val="32"/>
          <w:szCs w:val="32"/>
        </w:rPr>
      </w:pPr>
    </w:p>
    <w:p w14:paraId="3F5B2808">
      <w:pPr>
        <w:spacing w:line="600" w:lineRule="exact"/>
        <w:ind w:firstLine="643" w:firstLineChars="200"/>
        <w:outlineLvl w:val="2"/>
        <w:rPr>
          <w:rFonts w:hint="default" w:ascii="Times New Roman" w:hAnsi="Times New Roman" w:eastAsia="楷体_GB2312" w:cs="Times New Roman"/>
          <w:b/>
          <w:sz w:val="32"/>
          <w:szCs w:val="32"/>
        </w:rPr>
      </w:pPr>
      <w:bookmarkStart w:id="30" w:name="_Toc15377212"/>
      <w:r>
        <w:rPr>
          <w:rFonts w:hint="default" w:ascii="Times New Roman" w:hAnsi="Times New Roman" w:eastAsia="楷体_GB2312" w:cs="Times New Roman"/>
          <w:b/>
          <w:sz w:val="32"/>
          <w:szCs w:val="32"/>
        </w:rPr>
        <w:t>（三）一般公共预算财政拨款支出决算具体情况</w:t>
      </w:r>
      <w:bookmarkEnd w:id="30"/>
    </w:p>
    <w:p w14:paraId="30995B9F">
      <w:pPr>
        <w:spacing w:line="600" w:lineRule="exact"/>
        <w:ind w:firstLine="643" w:firstLineChars="200"/>
        <w:outlineLvl w:val="2"/>
        <w:rPr>
          <w:rFonts w:hint="default" w:ascii="Times New Roman" w:hAnsi="Times New Roman" w:eastAsia="仿宋" w:cs="Times New Roman"/>
          <w:sz w:val="32"/>
          <w:szCs w:val="32"/>
        </w:rPr>
      </w:pPr>
      <w:bookmarkStart w:id="31" w:name="_Toc15377444"/>
      <w:bookmarkStart w:id="32" w:name="_Toc15378460"/>
      <w:bookmarkStart w:id="33" w:name="_Toc15377213"/>
      <w:r>
        <w:rPr>
          <w:rFonts w:hint="default" w:ascii="Times New Roman" w:hAnsi="Times New Roman" w:eastAsia="仿宋" w:cs="Times New Roman"/>
          <w:b/>
          <w:sz w:val="32"/>
          <w:szCs w:val="32"/>
        </w:rPr>
        <w:t>202</w:t>
      </w:r>
      <w:r>
        <w:rPr>
          <w:rFonts w:hint="eastAsia" w:eastAsia="仿宋" w:cs="Times New Roman"/>
          <w:b/>
          <w:sz w:val="32"/>
          <w:szCs w:val="32"/>
          <w:lang w:val="en-US" w:eastAsia="zh-CN"/>
        </w:rPr>
        <w:t>5</w:t>
      </w:r>
      <w:r>
        <w:rPr>
          <w:rFonts w:hint="default" w:ascii="Times New Roman" w:hAnsi="Times New Roman" w:eastAsia="仿宋" w:cs="Times New Roman"/>
          <w:b/>
          <w:sz w:val="32"/>
          <w:szCs w:val="32"/>
        </w:rPr>
        <w:t>年度一般公共预算支出决算数为</w:t>
      </w:r>
      <w:r>
        <w:rPr>
          <w:rFonts w:hint="default" w:ascii="Times New Roman" w:hAnsi="Times New Roman" w:eastAsia="仿宋" w:cs="Times New Roman"/>
          <w:b/>
          <w:sz w:val="32"/>
          <w:szCs w:val="32"/>
          <w:lang w:val="en-US" w:eastAsia="zh-CN"/>
        </w:rPr>
        <w:t>835.37</w:t>
      </w:r>
      <w:r>
        <w:rPr>
          <w:rFonts w:hint="eastAsia" w:ascii="Times New Roman" w:hAnsi="Times New Roman" w:eastAsia="仿宋" w:cs="Times New Roman"/>
          <w:b/>
          <w:sz w:val="32"/>
          <w:szCs w:val="32"/>
          <w:lang w:val="en-US" w:eastAsia="zh-CN"/>
        </w:rPr>
        <w:t>万元</w:t>
      </w:r>
      <w:r>
        <w:rPr>
          <w:rFonts w:hint="default" w:ascii="Times New Roman" w:hAnsi="Times New Roman" w:eastAsia="仿宋" w:cs="Times New Roman"/>
          <w:sz w:val="32"/>
          <w:szCs w:val="32"/>
        </w:rPr>
        <w:t>，</w:t>
      </w:r>
      <w:r>
        <w:rPr>
          <w:rStyle w:val="17"/>
          <w:rFonts w:hint="default" w:ascii="Times New Roman" w:hAnsi="Times New Roman" w:eastAsia="仿宋" w:cs="Times New Roman"/>
          <w:bCs/>
          <w:sz w:val="32"/>
          <w:szCs w:val="32"/>
        </w:rPr>
        <w:t>完成预算</w:t>
      </w:r>
      <w:r>
        <w:rPr>
          <w:rStyle w:val="17"/>
          <w:rFonts w:hint="default" w:ascii="Times New Roman" w:hAnsi="Times New Roman" w:eastAsia="仿宋" w:cs="Times New Roman"/>
          <w:b w:val="0"/>
          <w:bCs w:val="0"/>
          <w:sz w:val="32"/>
          <w:szCs w:val="32"/>
          <w:lang w:val="en-US" w:eastAsia="zh-CN"/>
        </w:rPr>
        <w:t>100</w:t>
      </w:r>
      <w:r>
        <w:rPr>
          <w:rStyle w:val="17"/>
          <w:rFonts w:hint="default" w:ascii="Times New Roman" w:hAnsi="Times New Roman" w:eastAsia="仿宋" w:cs="Times New Roman"/>
          <w:b w:val="0"/>
          <w:bCs w:val="0"/>
          <w:sz w:val="32"/>
          <w:szCs w:val="32"/>
        </w:rPr>
        <w:t>%</w:t>
      </w:r>
      <w:r>
        <w:rPr>
          <w:rStyle w:val="17"/>
          <w:rFonts w:hint="default" w:ascii="Times New Roman" w:hAnsi="Times New Roman" w:eastAsia="仿宋" w:cs="Times New Roman"/>
          <w:bCs/>
          <w:sz w:val="32"/>
          <w:szCs w:val="32"/>
        </w:rPr>
        <w:t>。其中：</w:t>
      </w:r>
      <w:bookmarkEnd w:id="31"/>
      <w:bookmarkEnd w:id="32"/>
      <w:bookmarkEnd w:id="33"/>
    </w:p>
    <w:p w14:paraId="6325108B">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1.公共安全支出</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年支出决算为631.97万元，完成预算100%，其中：行政运行（2040401）支出决算数为503.93万元；一般行政管理事务（2040402）支出决算数为128.05万元</w:t>
      </w:r>
      <w:r>
        <w:rPr>
          <w:rFonts w:hint="eastAsia" w:ascii="Times New Roman" w:cs="Times New Roman"/>
          <w:kern w:val="2"/>
          <w:sz w:val="32"/>
          <w:szCs w:val="32"/>
          <w:lang w:val="en-US" w:eastAsia="zh-CN" w:bidi="ar-SA"/>
        </w:rPr>
        <w:t>。</w:t>
      </w:r>
    </w:p>
    <w:p w14:paraId="71C45472">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2.社会保障和就业支出</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支出决算为</w:t>
      </w:r>
      <w:r>
        <w:rPr>
          <w:rFonts w:hint="eastAsia" w:ascii="Times New Roman" w:cs="Times New Roman"/>
          <w:kern w:val="2"/>
          <w:sz w:val="32"/>
          <w:szCs w:val="32"/>
          <w:lang w:val="en-US" w:eastAsia="zh-CN" w:bidi="ar-SA"/>
        </w:rPr>
        <w:t>94.83</w:t>
      </w:r>
      <w:r>
        <w:rPr>
          <w:rFonts w:hint="default" w:ascii="Times New Roman" w:hAnsi="Times New Roman" w:eastAsia="仿宋_GB2312" w:cs="Times New Roman"/>
          <w:kern w:val="2"/>
          <w:sz w:val="32"/>
          <w:szCs w:val="32"/>
          <w:lang w:val="en-US" w:eastAsia="zh-CN" w:bidi="ar-SA"/>
        </w:rPr>
        <w:t>万元，完成预算100%，其中：机关事业单位基本养老保险缴费支出（2080505）决算数为63.22万元；机关事业单位职业年金缴费支出（2080506）决算数为31.61万元。</w:t>
      </w:r>
    </w:p>
    <w:p w14:paraId="3306276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3.卫生健康支出</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支出决算为</w:t>
      </w:r>
      <w:r>
        <w:rPr>
          <w:rFonts w:hint="eastAsia" w:ascii="Times New Roman" w:cs="Times New Roman"/>
          <w:kern w:val="2"/>
          <w:sz w:val="32"/>
          <w:szCs w:val="32"/>
          <w:lang w:val="en-US" w:eastAsia="zh-CN" w:bidi="ar-SA"/>
        </w:rPr>
        <w:t>45.76</w:t>
      </w:r>
      <w:r>
        <w:rPr>
          <w:rFonts w:hint="default" w:ascii="Times New Roman" w:hAnsi="Times New Roman" w:eastAsia="仿宋_GB2312" w:cs="Times New Roman"/>
          <w:kern w:val="2"/>
          <w:sz w:val="32"/>
          <w:szCs w:val="32"/>
          <w:lang w:val="en-US" w:eastAsia="zh-CN" w:bidi="ar-SA"/>
        </w:rPr>
        <w:t>万元，完成预算100%，其中</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行政单位医疗（2101101）支出决算数为35.15万元</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公务员医疗补助（2101103）支出决算数为10.6万元。</w:t>
      </w:r>
      <w:r>
        <w:rPr>
          <w:rFonts w:hint="default" w:ascii="Times New Roman" w:hAnsi="Times New Roman" w:eastAsia="仿宋_GB2312" w:cs="Times New Roman"/>
          <w:kern w:val="2"/>
          <w:sz w:val="32"/>
          <w:szCs w:val="32"/>
          <w:lang w:val="en-US" w:eastAsia="zh-CN" w:bidi="ar-SA"/>
        </w:rPr>
        <w:br w:type="textWrapping"/>
      </w:r>
      <w:r>
        <w:rPr>
          <w:rFonts w:hint="default" w:ascii="Times New Roman" w:hAnsi="Times New Roman" w:eastAsia="仿宋_GB2312" w:cs="Times New Roman"/>
          <w:kern w:val="2"/>
          <w:sz w:val="32"/>
          <w:szCs w:val="32"/>
          <w:lang w:val="en-US" w:eastAsia="zh-CN" w:bidi="ar-SA"/>
        </w:rPr>
        <w:t xml:space="preserve">    4.住房保障支出：支出决算为62.81万元，完成预算100%，其中</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住房公积金（2210201）支出决算数为62.81万元。</w:t>
      </w:r>
    </w:p>
    <w:p w14:paraId="31CE18EF">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34" w:name="_Toc15396608"/>
      <w:bookmarkStart w:id="35" w:name="_Toc15377214"/>
      <w:r>
        <w:rPr>
          <w:rFonts w:hint="default" w:ascii="Times New Roman" w:hAnsi="Times New Roman" w:eastAsia="黑体" w:cs="Times New Roman"/>
          <w:sz w:val="32"/>
          <w:szCs w:val="32"/>
          <w:lang w:val="en-US" w:eastAsia="zh-CN"/>
        </w:rPr>
        <w:t>六、一般公共预算财政拨款基本支出决算情况说明</w:t>
      </w:r>
      <w:bookmarkEnd w:id="34"/>
      <w:bookmarkEnd w:id="35"/>
      <w:r>
        <w:rPr>
          <w:rFonts w:hint="default" w:ascii="Times New Roman" w:hAnsi="Times New Roman" w:eastAsia="黑体" w:cs="Times New Roman"/>
          <w:sz w:val="32"/>
          <w:szCs w:val="32"/>
          <w:lang w:val="en-US" w:eastAsia="zh-CN"/>
        </w:rPr>
        <w:tab/>
      </w:r>
    </w:p>
    <w:p w14:paraId="730F7AA1">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年度一般公共预算财政拨款基本支出</w:t>
      </w:r>
      <w:r>
        <w:rPr>
          <w:rFonts w:hint="eastAsia" w:ascii="Times New Roman" w:cs="Times New Roman"/>
          <w:kern w:val="2"/>
          <w:sz w:val="32"/>
          <w:szCs w:val="32"/>
          <w:lang w:val="en-US" w:eastAsia="zh-CN" w:bidi="ar-SA"/>
        </w:rPr>
        <w:t>707.32</w:t>
      </w:r>
      <w:r>
        <w:rPr>
          <w:rFonts w:hint="default" w:ascii="Times New Roman" w:hAnsi="Times New Roman" w:eastAsia="仿宋_GB2312" w:cs="Times New Roman"/>
          <w:kern w:val="2"/>
          <w:sz w:val="32"/>
          <w:szCs w:val="32"/>
          <w:lang w:val="en-US" w:eastAsia="zh-CN" w:bidi="ar-SA"/>
        </w:rPr>
        <w:t>万元，其中人员经费629.16万元，主要包括：基本工资、津贴补贴、奖金、机关事业单位基本养老保险缴费、职业年金缴费、职工基本医疗保险缴费、公务员医疗补助缴费、住房公积金、其他社会保障缴费、其他工资福利支出、对个人和家庭的补助。</w:t>
      </w:r>
    </w:p>
    <w:p w14:paraId="7993F901">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公用经费78.16万元，主要包括：办公费、电费、邮电费、差旅费、维修（护）费、公务接待费、劳务费、委托业务费、福利费、公务用车运行维护费、其他商品和服务支出费。</w:t>
      </w:r>
    </w:p>
    <w:p w14:paraId="744D3E17">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36" w:name="_Toc15396609"/>
      <w:bookmarkStart w:id="37" w:name="_Toc15377215"/>
      <w:r>
        <w:rPr>
          <w:rFonts w:hint="default" w:ascii="Times New Roman" w:hAnsi="Times New Roman" w:eastAsia="黑体" w:cs="Times New Roman"/>
          <w:sz w:val="32"/>
          <w:szCs w:val="32"/>
          <w:lang w:val="en-US" w:eastAsia="zh-CN"/>
        </w:rPr>
        <w:t>七、财政拨款“三公”经费支出决算情况说明</w:t>
      </w:r>
      <w:bookmarkEnd w:id="36"/>
      <w:bookmarkEnd w:id="37"/>
    </w:p>
    <w:p w14:paraId="3463E069">
      <w:pPr>
        <w:spacing w:line="600" w:lineRule="exact"/>
        <w:ind w:firstLine="643" w:firstLineChars="200"/>
        <w:outlineLvl w:val="2"/>
        <w:rPr>
          <w:rFonts w:hint="default" w:ascii="Times New Roman" w:hAnsi="Times New Roman" w:eastAsia="楷体_GB2312" w:cs="Times New Roman"/>
          <w:b/>
          <w:sz w:val="32"/>
          <w:szCs w:val="32"/>
        </w:rPr>
      </w:pPr>
      <w:bookmarkStart w:id="38" w:name="_Toc15377216"/>
      <w:r>
        <w:rPr>
          <w:rFonts w:hint="default" w:ascii="Times New Roman" w:hAnsi="Times New Roman" w:eastAsia="楷体_GB2312" w:cs="Times New Roman"/>
          <w:b/>
          <w:sz w:val="32"/>
          <w:szCs w:val="32"/>
        </w:rPr>
        <w:t>（一）“三公”经费财政拨款支出决算总体情况说明</w:t>
      </w:r>
      <w:bookmarkEnd w:id="38"/>
    </w:p>
    <w:p w14:paraId="009B0D60">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年度“三公”经费财政拨款支出决算为</w:t>
      </w:r>
      <w:r>
        <w:rPr>
          <w:rFonts w:hint="eastAsia" w:ascii="Times New Roman" w:cs="Times New Roman"/>
          <w:kern w:val="2"/>
          <w:sz w:val="32"/>
          <w:szCs w:val="32"/>
          <w:lang w:val="en-US" w:eastAsia="zh-CN" w:bidi="ar-SA"/>
        </w:rPr>
        <w:t>7.06</w:t>
      </w:r>
      <w:r>
        <w:rPr>
          <w:rFonts w:hint="default" w:ascii="Times New Roman" w:hAnsi="Times New Roman" w:eastAsia="仿宋_GB2312" w:cs="Times New Roman"/>
          <w:kern w:val="2"/>
          <w:sz w:val="32"/>
          <w:szCs w:val="32"/>
          <w:lang w:val="en-US" w:eastAsia="zh-CN" w:bidi="ar-SA"/>
        </w:rPr>
        <w:t>万元，完成预算100%，较上年度减少</w:t>
      </w:r>
      <w:r>
        <w:rPr>
          <w:rFonts w:hint="eastAsia" w:ascii="Times New Roman" w:cs="Times New Roman"/>
          <w:kern w:val="2"/>
          <w:sz w:val="32"/>
          <w:szCs w:val="32"/>
          <w:lang w:val="en-US" w:eastAsia="zh-CN" w:bidi="ar-SA"/>
        </w:rPr>
        <w:t>1.11</w:t>
      </w:r>
      <w:r>
        <w:rPr>
          <w:rFonts w:hint="default" w:ascii="Times New Roman" w:hAnsi="Times New Roman" w:eastAsia="仿宋_GB2312" w:cs="Times New Roman"/>
          <w:kern w:val="2"/>
          <w:sz w:val="32"/>
          <w:szCs w:val="32"/>
          <w:lang w:val="en-US" w:eastAsia="zh-CN" w:bidi="ar-SA"/>
        </w:rPr>
        <w:t>万元，减少</w:t>
      </w:r>
      <w:r>
        <w:rPr>
          <w:rFonts w:hint="eastAsia" w:ascii="Times New Roman" w:cs="Times New Roman"/>
          <w:kern w:val="2"/>
          <w:sz w:val="32"/>
          <w:szCs w:val="32"/>
          <w:lang w:val="en-US" w:eastAsia="zh-CN" w:bidi="ar-SA"/>
        </w:rPr>
        <w:t>13.6</w:t>
      </w:r>
      <w:r>
        <w:rPr>
          <w:rFonts w:hint="default" w:ascii="Times New Roman" w:hAnsi="Times New Roman" w:eastAsia="仿宋_GB2312" w:cs="Times New Roman"/>
          <w:kern w:val="2"/>
          <w:sz w:val="32"/>
          <w:szCs w:val="32"/>
          <w:lang w:val="en-US" w:eastAsia="zh-CN" w:bidi="ar-SA"/>
        </w:rPr>
        <w:t>%。决算数与预算数持平。</w:t>
      </w:r>
    </w:p>
    <w:p w14:paraId="48E63257">
      <w:pPr>
        <w:spacing w:line="600" w:lineRule="exact"/>
        <w:ind w:firstLine="643" w:firstLineChars="200"/>
        <w:outlineLvl w:val="2"/>
        <w:rPr>
          <w:rFonts w:hint="default" w:ascii="Times New Roman" w:hAnsi="Times New Roman" w:eastAsia="楷体_GB2312" w:cs="Times New Roman"/>
          <w:b/>
          <w:sz w:val="32"/>
          <w:szCs w:val="32"/>
        </w:rPr>
      </w:pPr>
      <w:bookmarkStart w:id="39" w:name="_Toc15377217"/>
      <w:r>
        <w:rPr>
          <w:rFonts w:hint="default" w:ascii="Times New Roman" w:hAnsi="Times New Roman" w:eastAsia="楷体_GB2312" w:cs="Times New Roman"/>
          <w:b/>
          <w:sz w:val="32"/>
          <w:szCs w:val="32"/>
        </w:rPr>
        <w:t>（二）“三公”经费财政拨款支出决算具体情况说明</w:t>
      </w:r>
      <w:bookmarkEnd w:id="39"/>
    </w:p>
    <w:p w14:paraId="601A72C3">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年度“三公”经费财政拨款支出决算中，因公出国（境）费支出决算0万元，占0%；公务用车购置及运行维护费支出决算5.83万元，占8</w:t>
      </w:r>
      <w:r>
        <w:rPr>
          <w:rFonts w:hint="eastAsia" w:ascii="Times New Roman" w:cs="Times New Roman"/>
          <w:kern w:val="2"/>
          <w:sz w:val="32"/>
          <w:szCs w:val="32"/>
          <w:lang w:val="en-US" w:eastAsia="zh-CN" w:bidi="ar-SA"/>
        </w:rPr>
        <w:t>2.6</w:t>
      </w:r>
      <w:r>
        <w:rPr>
          <w:rFonts w:hint="default" w:ascii="Times New Roman" w:hAnsi="Times New Roman" w:eastAsia="仿宋_GB2312" w:cs="Times New Roman"/>
          <w:kern w:val="2"/>
          <w:sz w:val="32"/>
          <w:szCs w:val="32"/>
          <w:lang w:val="en-US" w:eastAsia="zh-CN" w:bidi="ar-SA"/>
        </w:rPr>
        <w:t>%；公务接待费支出决算1.23万元，占</w:t>
      </w:r>
      <w:r>
        <w:rPr>
          <w:rFonts w:hint="eastAsia" w:ascii="Times New Roman" w:cs="Times New Roman"/>
          <w:kern w:val="2"/>
          <w:sz w:val="32"/>
          <w:szCs w:val="32"/>
          <w:lang w:val="en-US" w:eastAsia="zh-CN" w:bidi="ar-SA"/>
        </w:rPr>
        <w:t>17.4</w:t>
      </w:r>
      <w:r>
        <w:rPr>
          <w:rFonts w:hint="default" w:ascii="Times New Roman" w:hAnsi="Times New Roman" w:eastAsia="仿宋_GB2312" w:cs="Times New Roman"/>
          <w:kern w:val="2"/>
          <w:sz w:val="32"/>
          <w:szCs w:val="32"/>
          <w:lang w:val="en-US" w:eastAsia="zh-CN" w:bidi="ar-SA"/>
        </w:rPr>
        <w:t>%。具体情况如下：</w:t>
      </w:r>
    </w:p>
    <w:p w14:paraId="6098EE80">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_GB2312" w:cs="Times New Roman"/>
          <w:color w:val="000000"/>
          <w:sz w:val="30"/>
          <w:szCs w:val="30"/>
        </w:rPr>
        <w:pict>
          <v:shape id="Object 8" o:spid="_x0000_s1033" o:spt="75" type="#_x0000_t75" style="position:absolute;left:0pt;margin-left:51.45pt;margin-top:4.05pt;height:201.7pt;width:330.9pt;z-index:251663360;mso-width-relative:page;mso-height-relative:page;" o:ole="t" filled="f" o:preferrelative="t" stroked="f" coordsize="21600,21600">
            <v:path/>
            <v:fill on="f" focussize="0,0"/>
            <v:stroke on="f"/>
            <v:imagedata r:id="rId19" o:title=""/>
            <o:lock v:ext="edit" aspectratio="t"/>
          </v:shape>
          <o:OLEObject Type="Embed" ProgID="Excel.Chart.8" ShapeID="Object 8" DrawAspect="Content" ObjectID="_1468075731" r:id="rId18">
            <o:LockedField>false</o:LockedField>
          </o:OLEObject>
        </w:pict>
      </w:r>
    </w:p>
    <w:p w14:paraId="6FD3D6CC">
      <w:pPr>
        <w:spacing w:line="600" w:lineRule="exact"/>
        <w:ind w:firstLine="640"/>
        <w:rPr>
          <w:rFonts w:hint="default" w:ascii="Times New Roman" w:hAnsi="Times New Roman" w:eastAsia="仿宋" w:cs="Times New Roman"/>
          <w:sz w:val="32"/>
          <w:szCs w:val="32"/>
        </w:rPr>
      </w:pPr>
    </w:p>
    <w:p w14:paraId="554A5477">
      <w:pPr>
        <w:spacing w:line="600" w:lineRule="exact"/>
        <w:ind w:firstLine="640"/>
        <w:rPr>
          <w:rFonts w:hint="default" w:ascii="Times New Roman" w:hAnsi="Times New Roman" w:eastAsia="仿宋" w:cs="Times New Roman"/>
          <w:sz w:val="32"/>
          <w:szCs w:val="32"/>
        </w:rPr>
      </w:pPr>
    </w:p>
    <w:p w14:paraId="4BE22277">
      <w:pPr>
        <w:spacing w:line="600" w:lineRule="exact"/>
        <w:ind w:firstLine="640"/>
        <w:rPr>
          <w:rFonts w:hint="default" w:ascii="Times New Roman" w:hAnsi="Times New Roman" w:eastAsia="仿宋" w:cs="Times New Roman"/>
          <w:sz w:val="32"/>
          <w:szCs w:val="32"/>
        </w:rPr>
      </w:pPr>
    </w:p>
    <w:p w14:paraId="23BD6691">
      <w:pPr>
        <w:spacing w:line="600" w:lineRule="exact"/>
        <w:ind w:firstLine="640"/>
        <w:rPr>
          <w:rFonts w:hint="default" w:ascii="Times New Roman" w:hAnsi="Times New Roman" w:eastAsia="仿宋" w:cs="Times New Roman"/>
          <w:sz w:val="32"/>
          <w:szCs w:val="32"/>
        </w:rPr>
      </w:pPr>
    </w:p>
    <w:p w14:paraId="241BD1F8">
      <w:pPr>
        <w:spacing w:line="600" w:lineRule="exact"/>
        <w:ind w:firstLine="640"/>
        <w:rPr>
          <w:rFonts w:hint="default" w:ascii="Times New Roman" w:hAnsi="Times New Roman" w:eastAsia="仿宋" w:cs="Times New Roman"/>
          <w:sz w:val="32"/>
          <w:szCs w:val="32"/>
        </w:rPr>
      </w:pPr>
    </w:p>
    <w:p w14:paraId="7CE0BBF6">
      <w:pPr>
        <w:spacing w:line="600" w:lineRule="exact"/>
        <w:rPr>
          <w:rFonts w:hint="default" w:ascii="Times New Roman" w:hAnsi="Times New Roman" w:eastAsia="仿宋" w:cs="Times New Roman"/>
          <w:sz w:val="32"/>
          <w:szCs w:val="32"/>
        </w:rPr>
      </w:pPr>
    </w:p>
    <w:p w14:paraId="566DFC1D">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w:t>
      </w: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“三公”经费财政拨款支出结构）（饼状图）</w:t>
      </w:r>
    </w:p>
    <w:p w14:paraId="44DC85D4">
      <w:pPr>
        <w:spacing w:line="600" w:lineRule="exact"/>
        <w:ind w:firstLine="640"/>
        <w:rPr>
          <w:rFonts w:hint="default" w:ascii="Times New Roman" w:hAnsi="Times New Roman" w:eastAsia="仿宋" w:cs="Times New Roman"/>
          <w:sz w:val="32"/>
          <w:szCs w:val="32"/>
        </w:rPr>
      </w:pPr>
    </w:p>
    <w:p w14:paraId="33D93D1A">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1.因公出国（境）经费支出0万元，完成预算0%。全年安排因公出国（境）团组0次，出国（境）0人。因公出国（境）支出决算与202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年一致。</w:t>
      </w:r>
    </w:p>
    <w:p w14:paraId="46C6F609">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2.公务用车购置及运行维护费支出</w:t>
      </w:r>
      <w:r>
        <w:rPr>
          <w:rFonts w:hint="eastAsia" w:ascii="Times New Roman" w:cs="Times New Roman"/>
          <w:kern w:val="2"/>
          <w:sz w:val="32"/>
          <w:szCs w:val="32"/>
          <w:lang w:val="en-US" w:eastAsia="zh-CN" w:bidi="ar-SA"/>
        </w:rPr>
        <w:t>5.83</w:t>
      </w:r>
      <w:r>
        <w:rPr>
          <w:rFonts w:hint="default" w:ascii="Times New Roman" w:hAnsi="Times New Roman" w:eastAsia="仿宋_GB2312" w:cs="Times New Roman"/>
          <w:kern w:val="2"/>
          <w:sz w:val="32"/>
          <w:szCs w:val="32"/>
          <w:lang w:val="en-US" w:eastAsia="zh-CN" w:bidi="ar-SA"/>
        </w:rPr>
        <w:t>万元</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完成预算100%。公务用车购置及运行维护费支出决算比202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年度减少</w:t>
      </w:r>
      <w:r>
        <w:rPr>
          <w:rFonts w:hint="eastAsia" w:ascii="Times New Roman" w:cs="Times New Roman"/>
          <w:kern w:val="2"/>
          <w:sz w:val="32"/>
          <w:szCs w:val="32"/>
          <w:lang w:val="en-US" w:eastAsia="zh-CN" w:bidi="ar-SA"/>
        </w:rPr>
        <w:t>1.11</w:t>
      </w:r>
      <w:r>
        <w:rPr>
          <w:rFonts w:hint="default" w:ascii="Times New Roman" w:hAnsi="Times New Roman" w:eastAsia="仿宋_GB2312" w:cs="Times New Roman"/>
          <w:kern w:val="2"/>
          <w:sz w:val="32"/>
          <w:szCs w:val="32"/>
          <w:lang w:val="en-US" w:eastAsia="zh-CN" w:bidi="ar-SA"/>
        </w:rPr>
        <w:t>万元，</w:t>
      </w:r>
      <w:r>
        <w:rPr>
          <w:rFonts w:hint="eastAsia" w:ascii="Times New Roman" w:cs="Times New Roman"/>
          <w:kern w:val="2"/>
          <w:sz w:val="32"/>
          <w:szCs w:val="32"/>
          <w:lang w:val="en-US" w:eastAsia="zh-CN" w:bidi="ar-SA"/>
        </w:rPr>
        <w:t>减少16</w:t>
      </w:r>
      <w:r>
        <w:rPr>
          <w:rFonts w:hint="default" w:ascii="Times New Roman" w:hAnsi="Times New Roman" w:eastAsia="仿宋_GB2312" w:cs="Times New Roman"/>
          <w:kern w:val="2"/>
          <w:sz w:val="32"/>
          <w:szCs w:val="32"/>
          <w:lang w:val="en-US" w:eastAsia="zh-CN" w:bidi="ar-SA"/>
        </w:rPr>
        <w:t>%。主要原因是202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年我院车辆运维大部分使用办案业务经费，</w:t>
      </w:r>
      <w:r>
        <w:rPr>
          <w:rFonts w:hint="eastAsia" w:ascii="Times New Roman" w:cs="Times New Roman"/>
          <w:kern w:val="2"/>
          <w:sz w:val="32"/>
          <w:szCs w:val="32"/>
          <w:lang w:val="en-US" w:eastAsia="zh-CN" w:bidi="ar-SA"/>
        </w:rPr>
        <w:t>其他交通</w:t>
      </w:r>
      <w:r>
        <w:rPr>
          <w:rFonts w:hint="default" w:ascii="Times New Roman" w:hAnsi="Times New Roman" w:eastAsia="仿宋_GB2312" w:cs="Times New Roman"/>
          <w:kern w:val="2"/>
          <w:sz w:val="32"/>
          <w:szCs w:val="32"/>
          <w:lang w:val="en-US" w:eastAsia="zh-CN" w:bidi="ar-SA"/>
        </w:rPr>
        <w:t>费用支出</w:t>
      </w:r>
      <w:r>
        <w:rPr>
          <w:rFonts w:hint="eastAsia" w:ascii="Times New Roman" w:cs="Times New Roman"/>
          <w:kern w:val="2"/>
          <w:sz w:val="32"/>
          <w:szCs w:val="32"/>
          <w:lang w:val="en-US" w:eastAsia="zh-CN" w:bidi="ar-SA"/>
        </w:rPr>
        <w:t>15.9</w:t>
      </w:r>
      <w:r>
        <w:rPr>
          <w:rFonts w:hint="default" w:ascii="Times New Roman" w:hAnsi="Times New Roman" w:eastAsia="仿宋_GB2312" w:cs="Times New Roman"/>
          <w:kern w:val="2"/>
          <w:sz w:val="32"/>
          <w:szCs w:val="32"/>
          <w:lang w:val="en-US" w:eastAsia="zh-CN" w:bidi="ar-SA"/>
        </w:rPr>
        <w:t>万元。</w:t>
      </w:r>
    </w:p>
    <w:p w14:paraId="3E58461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其中：公务用车购置支出0万元。全年按规定更新购置公务用车0辆。截至202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年12月31日，单位共有公务用车6辆，其中：轿车1辆、越野车4辆、小型载客汽车1辆。</w:t>
      </w:r>
    </w:p>
    <w:p w14:paraId="6FA7563D">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公务用车运行维护费支出</w:t>
      </w:r>
      <w:r>
        <w:rPr>
          <w:rFonts w:hint="eastAsia" w:ascii="Times New Roman" w:cs="Times New Roman"/>
          <w:kern w:val="2"/>
          <w:sz w:val="32"/>
          <w:szCs w:val="32"/>
          <w:lang w:val="en-US" w:eastAsia="zh-CN" w:bidi="ar-SA"/>
        </w:rPr>
        <w:t>5.83</w:t>
      </w:r>
      <w:r>
        <w:rPr>
          <w:rFonts w:hint="default" w:ascii="Times New Roman" w:hAnsi="Times New Roman" w:eastAsia="仿宋_GB2312" w:cs="Times New Roman"/>
          <w:kern w:val="2"/>
          <w:sz w:val="32"/>
          <w:szCs w:val="32"/>
          <w:lang w:val="en-US" w:eastAsia="zh-CN" w:bidi="ar-SA"/>
        </w:rPr>
        <w:t>万元。主要用于检察办案业务等所需的公务用车燃料费、维修费、过路过桥费、保险费等支出。</w:t>
      </w:r>
    </w:p>
    <w:p w14:paraId="65AFB07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3.公务接待费支出1.23万元，完成预算100%。公务接待费支出决算</w:t>
      </w:r>
      <w:r>
        <w:rPr>
          <w:rFonts w:hint="eastAsia" w:ascii="Times New Roman" w:cs="Times New Roman"/>
          <w:kern w:val="2"/>
          <w:sz w:val="32"/>
          <w:szCs w:val="32"/>
          <w:lang w:val="en-US" w:eastAsia="zh-CN" w:bidi="ar-SA"/>
        </w:rPr>
        <w:t>与</w:t>
      </w: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w:t>
      </w:r>
      <w:r>
        <w:rPr>
          <w:rFonts w:hint="eastAsia" w:ascii="Times New Roman" w:cs="Times New Roman"/>
          <w:kern w:val="2"/>
          <w:sz w:val="32"/>
          <w:szCs w:val="32"/>
          <w:lang w:val="en-US" w:eastAsia="zh-CN" w:bidi="ar-SA"/>
        </w:rPr>
        <w:t>无变化</w:t>
      </w:r>
      <w:r>
        <w:rPr>
          <w:rFonts w:hint="default" w:ascii="Times New Roman" w:hAnsi="Times New Roman" w:eastAsia="仿宋_GB2312" w:cs="Times New Roman"/>
          <w:kern w:val="2"/>
          <w:sz w:val="32"/>
          <w:szCs w:val="32"/>
          <w:lang w:val="en-US" w:eastAsia="zh-CN" w:bidi="ar-SA"/>
        </w:rPr>
        <w:t>。主要原因是公务接待费用</w:t>
      </w:r>
      <w:r>
        <w:rPr>
          <w:rFonts w:hint="eastAsia" w:ascii="Times New Roman" w:cs="Times New Roman"/>
          <w:kern w:val="2"/>
          <w:sz w:val="32"/>
          <w:szCs w:val="32"/>
          <w:lang w:val="en-US" w:eastAsia="zh-CN" w:bidi="ar-SA"/>
        </w:rPr>
        <w:t>支出无变化</w:t>
      </w:r>
      <w:r>
        <w:rPr>
          <w:rFonts w:hint="default" w:ascii="Times New Roman" w:hAnsi="Times New Roman" w:eastAsia="仿宋_GB2312" w:cs="Times New Roman"/>
          <w:kern w:val="2"/>
          <w:sz w:val="32"/>
          <w:szCs w:val="32"/>
          <w:lang w:val="en-US" w:eastAsia="zh-CN" w:bidi="ar-SA"/>
        </w:rPr>
        <w:t>。其中：</w:t>
      </w:r>
    </w:p>
    <w:p w14:paraId="0D3D01B6">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国内公务接待支出1.23万元，主要用于开展检察业务活动开支的用餐费。国内公务接待1</w:t>
      </w:r>
      <w:r>
        <w:rPr>
          <w:rFonts w:hint="eastAsia" w:ascii="Times New Roman" w:cs="Times New Roman"/>
          <w:color w:val="auto"/>
          <w:kern w:val="2"/>
          <w:sz w:val="32"/>
          <w:szCs w:val="32"/>
          <w:lang w:val="en-US" w:eastAsia="zh-CN" w:bidi="ar-SA"/>
        </w:rPr>
        <w:t>7</w:t>
      </w:r>
      <w:r>
        <w:rPr>
          <w:rFonts w:hint="default" w:ascii="Times New Roman" w:hAnsi="Times New Roman" w:eastAsia="仿宋_GB2312" w:cs="Times New Roman"/>
          <w:color w:val="auto"/>
          <w:kern w:val="2"/>
          <w:sz w:val="32"/>
          <w:szCs w:val="32"/>
          <w:lang w:val="en-US" w:eastAsia="zh-CN" w:bidi="ar-SA"/>
        </w:rPr>
        <w:t>批次，11</w:t>
      </w:r>
      <w:r>
        <w:rPr>
          <w:rFonts w:hint="eastAsia" w:ascii="Times New Roman"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人次（不包括陪同人员），共计支出1.23万元，具体内容包括：接待</w:t>
      </w:r>
      <w:r>
        <w:rPr>
          <w:rFonts w:hint="eastAsia" w:ascii="Times New Roman" w:cs="Times New Roman"/>
          <w:color w:val="auto"/>
          <w:kern w:val="2"/>
          <w:sz w:val="32"/>
          <w:szCs w:val="32"/>
          <w:lang w:val="en-US" w:eastAsia="zh-CN" w:bidi="ar-SA"/>
        </w:rPr>
        <w:t>省检察院专项督导工作组</w:t>
      </w:r>
      <w:r>
        <w:rPr>
          <w:rFonts w:hint="default" w:ascii="Times New Roman" w:hAnsi="Times New Roman" w:eastAsia="仿宋_GB2312" w:cs="Times New Roman"/>
          <w:color w:val="auto"/>
          <w:kern w:val="2"/>
          <w:sz w:val="32"/>
          <w:szCs w:val="32"/>
          <w:lang w:val="en-US" w:eastAsia="zh-CN" w:bidi="ar-SA"/>
        </w:rPr>
        <w:t>来汶调研一行金额</w:t>
      </w:r>
      <w:r>
        <w:rPr>
          <w:rFonts w:hint="eastAsia" w:ascii="Times New Roman" w:cs="Times New Roman"/>
          <w:color w:val="auto"/>
          <w:kern w:val="2"/>
          <w:sz w:val="32"/>
          <w:szCs w:val="32"/>
          <w:lang w:val="en-US" w:eastAsia="zh-CN" w:bidi="ar-SA"/>
        </w:rPr>
        <w:t>0.09</w:t>
      </w:r>
      <w:r>
        <w:rPr>
          <w:rFonts w:hint="default" w:ascii="Times New Roman" w:hAnsi="Times New Roman" w:eastAsia="仿宋_GB2312" w:cs="Times New Roman"/>
          <w:color w:val="auto"/>
          <w:kern w:val="2"/>
          <w:sz w:val="32"/>
          <w:szCs w:val="32"/>
          <w:lang w:val="en-US" w:eastAsia="zh-CN" w:bidi="ar-SA"/>
        </w:rPr>
        <w:t>万元；接待</w:t>
      </w:r>
      <w:r>
        <w:rPr>
          <w:rFonts w:hint="eastAsia" w:ascii="Times New Roman" w:cs="Times New Roman"/>
          <w:color w:val="auto"/>
          <w:kern w:val="2"/>
          <w:sz w:val="32"/>
          <w:szCs w:val="32"/>
          <w:lang w:val="en-US" w:eastAsia="zh-CN" w:bidi="ar-SA"/>
        </w:rPr>
        <w:t>内江市检察院</w:t>
      </w:r>
      <w:r>
        <w:rPr>
          <w:rFonts w:hint="default" w:ascii="Times New Roman" w:hAnsi="Times New Roman" w:eastAsia="仿宋_GB2312" w:cs="Times New Roman"/>
          <w:color w:val="auto"/>
          <w:kern w:val="2"/>
          <w:sz w:val="32"/>
          <w:szCs w:val="32"/>
          <w:lang w:val="en-US" w:eastAsia="zh-CN" w:bidi="ar-SA"/>
        </w:rPr>
        <w:t>来汶调研一行金额</w:t>
      </w:r>
      <w:r>
        <w:rPr>
          <w:rFonts w:hint="eastAsia" w:ascii="Times New Roman" w:cs="Times New Roman"/>
          <w:color w:val="auto"/>
          <w:kern w:val="2"/>
          <w:sz w:val="32"/>
          <w:szCs w:val="32"/>
          <w:lang w:val="en-US" w:eastAsia="zh-CN" w:bidi="ar-SA"/>
        </w:rPr>
        <w:t>0.06</w:t>
      </w:r>
      <w:r>
        <w:rPr>
          <w:rFonts w:hint="default" w:ascii="Times New Roman" w:hAnsi="Times New Roman" w:eastAsia="仿宋_GB2312" w:cs="Times New Roman"/>
          <w:color w:val="auto"/>
          <w:kern w:val="2"/>
          <w:sz w:val="32"/>
          <w:szCs w:val="32"/>
          <w:lang w:val="en-US" w:eastAsia="zh-CN" w:bidi="ar-SA"/>
        </w:rPr>
        <w:t>万元</w:t>
      </w:r>
      <w:r>
        <w:rPr>
          <w:rFonts w:hint="default" w:ascii="Times New Roman" w:hAnsi="Times New Roman" w:eastAsia="仿宋_GB2312" w:cs="Times New Roman"/>
          <w:color w:val="0000FF"/>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接待</w:t>
      </w:r>
      <w:r>
        <w:rPr>
          <w:rFonts w:hint="eastAsia" w:ascii="Times New Roman" w:cs="Times New Roman"/>
          <w:color w:val="auto"/>
          <w:kern w:val="2"/>
          <w:sz w:val="32"/>
          <w:szCs w:val="32"/>
          <w:lang w:val="en-US" w:eastAsia="zh-CN" w:bidi="ar-SA"/>
        </w:rPr>
        <w:t>眉山市检察院</w:t>
      </w:r>
      <w:r>
        <w:rPr>
          <w:rFonts w:hint="default" w:ascii="Times New Roman" w:hAnsi="Times New Roman" w:eastAsia="仿宋_GB2312" w:cs="Times New Roman"/>
          <w:color w:val="auto"/>
          <w:kern w:val="2"/>
          <w:sz w:val="32"/>
          <w:szCs w:val="32"/>
          <w:lang w:val="en-US" w:eastAsia="zh-CN" w:bidi="ar-SA"/>
        </w:rPr>
        <w:t>来汶调研一行金额</w:t>
      </w:r>
      <w:r>
        <w:rPr>
          <w:rFonts w:hint="eastAsia" w:ascii="Times New Roman" w:cs="Times New Roman"/>
          <w:color w:val="auto"/>
          <w:kern w:val="2"/>
          <w:sz w:val="32"/>
          <w:szCs w:val="32"/>
          <w:lang w:val="en-US" w:eastAsia="zh-CN" w:bidi="ar-SA"/>
        </w:rPr>
        <w:t>0.11</w:t>
      </w:r>
      <w:r>
        <w:rPr>
          <w:rFonts w:hint="default" w:ascii="Times New Roman" w:hAnsi="Times New Roman" w:eastAsia="仿宋_GB2312" w:cs="Times New Roman"/>
          <w:color w:val="auto"/>
          <w:kern w:val="2"/>
          <w:sz w:val="32"/>
          <w:szCs w:val="32"/>
          <w:lang w:val="en-US" w:eastAsia="zh-CN" w:bidi="ar-SA"/>
        </w:rPr>
        <w:t>万元；接待资阳</w:t>
      </w:r>
      <w:r>
        <w:rPr>
          <w:rFonts w:hint="eastAsia" w:ascii="Times New Roman" w:cs="Times New Roman"/>
          <w:color w:val="auto"/>
          <w:kern w:val="2"/>
          <w:sz w:val="32"/>
          <w:szCs w:val="32"/>
          <w:lang w:val="en-US" w:eastAsia="zh-CN" w:bidi="ar-SA"/>
        </w:rPr>
        <w:t>市</w:t>
      </w:r>
      <w:r>
        <w:rPr>
          <w:rFonts w:hint="default" w:ascii="Times New Roman" w:hAnsi="Times New Roman" w:eastAsia="仿宋_GB2312" w:cs="Times New Roman"/>
          <w:color w:val="auto"/>
          <w:kern w:val="2"/>
          <w:sz w:val="32"/>
          <w:szCs w:val="32"/>
          <w:lang w:val="en-US" w:eastAsia="zh-CN" w:bidi="ar-SA"/>
        </w:rPr>
        <w:t>援藏援彝交流组一行金额0.</w:t>
      </w:r>
      <w:r>
        <w:rPr>
          <w:rFonts w:hint="eastAsia" w:ascii="Times New Roman" w:cs="Times New Roman"/>
          <w:color w:val="auto"/>
          <w:kern w:val="2"/>
          <w:sz w:val="32"/>
          <w:szCs w:val="32"/>
          <w:lang w:val="en-US" w:eastAsia="zh-CN" w:bidi="ar-SA"/>
        </w:rPr>
        <w:t>09</w:t>
      </w:r>
      <w:r>
        <w:rPr>
          <w:rFonts w:hint="default" w:ascii="Times New Roman" w:hAnsi="Times New Roman" w:eastAsia="仿宋_GB2312" w:cs="Times New Roman"/>
          <w:color w:val="auto"/>
          <w:kern w:val="2"/>
          <w:sz w:val="32"/>
          <w:szCs w:val="32"/>
          <w:lang w:val="en-US" w:eastAsia="zh-CN" w:bidi="ar-SA"/>
        </w:rPr>
        <w:t>万元</w:t>
      </w:r>
      <w:r>
        <w:rPr>
          <w:rFonts w:hint="default" w:ascii="Times New Roman" w:hAnsi="Times New Roman" w:eastAsia="仿宋_GB2312" w:cs="Times New Roman"/>
          <w:color w:val="0000FF"/>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接待</w:t>
      </w:r>
      <w:r>
        <w:rPr>
          <w:rFonts w:hint="eastAsia" w:ascii="Times New Roman" w:cs="Times New Roman"/>
          <w:color w:val="auto"/>
          <w:kern w:val="2"/>
          <w:sz w:val="32"/>
          <w:szCs w:val="32"/>
          <w:lang w:val="en-US" w:eastAsia="zh-CN" w:bidi="ar-SA"/>
        </w:rPr>
        <w:t>阿坝州检察院监管场所检察室规范化检查组</w:t>
      </w:r>
      <w:r>
        <w:rPr>
          <w:rFonts w:hint="default" w:ascii="Times New Roman" w:hAnsi="Times New Roman" w:eastAsia="仿宋_GB2312" w:cs="Times New Roman"/>
          <w:color w:val="auto"/>
          <w:kern w:val="2"/>
          <w:sz w:val="32"/>
          <w:szCs w:val="32"/>
          <w:lang w:val="en-US" w:eastAsia="zh-CN" w:bidi="ar-SA"/>
        </w:rPr>
        <w:t>一行金额</w:t>
      </w:r>
      <w:r>
        <w:rPr>
          <w:rFonts w:hint="eastAsia" w:ascii="Times New Roman" w:cs="Times New Roman"/>
          <w:color w:val="auto"/>
          <w:kern w:val="2"/>
          <w:sz w:val="32"/>
          <w:szCs w:val="32"/>
          <w:lang w:val="en-US" w:eastAsia="zh-CN" w:bidi="ar-SA"/>
        </w:rPr>
        <w:t>0.06</w:t>
      </w:r>
      <w:r>
        <w:rPr>
          <w:rFonts w:hint="default" w:ascii="Times New Roman" w:hAnsi="Times New Roman" w:eastAsia="仿宋_GB2312" w:cs="Times New Roman"/>
          <w:color w:val="auto"/>
          <w:kern w:val="2"/>
          <w:sz w:val="32"/>
          <w:szCs w:val="32"/>
          <w:lang w:val="en-US" w:eastAsia="zh-CN" w:bidi="ar-SA"/>
        </w:rPr>
        <w:t>万元</w:t>
      </w:r>
      <w:r>
        <w:rPr>
          <w:rFonts w:hint="default" w:ascii="Times New Roman" w:hAnsi="Times New Roman" w:eastAsia="仿宋_GB2312" w:cs="Times New Roman"/>
          <w:color w:val="0000FF"/>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接待</w:t>
      </w:r>
      <w:r>
        <w:rPr>
          <w:rFonts w:hint="eastAsia" w:ascii="Times New Roman" w:cs="Times New Roman"/>
          <w:color w:val="auto"/>
          <w:kern w:val="2"/>
          <w:sz w:val="32"/>
          <w:szCs w:val="32"/>
          <w:lang w:val="en-US" w:eastAsia="zh-CN" w:bidi="ar-SA"/>
        </w:rPr>
        <w:t>阿坝州检察院巡回检察组</w:t>
      </w:r>
      <w:r>
        <w:rPr>
          <w:rFonts w:hint="default" w:ascii="Times New Roman" w:hAnsi="Times New Roman" w:eastAsia="仿宋_GB2312" w:cs="Times New Roman"/>
          <w:color w:val="auto"/>
          <w:kern w:val="2"/>
          <w:sz w:val="32"/>
          <w:szCs w:val="32"/>
          <w:lang w:val="en-US" w:eastAsia="zh-CN" w:bidi="ar-SA"/>
        </w:rPr>
        <w:t>一行金额0.</w:t>
      </w:r>
      <w:r>
        <w:rPr>
          <w:rFonts w:hint="eastAsia" w:ascii="Times New Roman" w:cs="Times New Roman"/>
          <w:color w:val="auto"/>
          <w:kern w:val="2"/>
          <w:sz w:val="32"/>
          <w:szCs w:val="32"/>
          <w:lang w:val="en-US" w:eastAsia="zh-CN" w:bidi="ar-SA"/>
        </w:rPr>
        <w:t>08</w:t>
      </w:r>
      <w:r>
        <w:rPr>
          <w:rFonts w:hint="default" w:ascii="Times New Roman" w:hAnsi="Times New Roman" w:eastAsia="仿宋_GB2312" w:cs="Times New Roman"/>
          <w:color w:val="auto"/>
          <w:kern w:val="2"/>
          <w:sz w:val="32"/>
          <w:szCs w:val="32"/>
          <w:lang w:val="en-US" w:eastAsia="zh-CN" w:bidi="ar-SA"/>
        </w:rPr>
        <w:t>万元</w:t>
      </w:r>
      <w:r>
        <w:rPr>
          <w:rFonts w:hint="default" w:ascii="Times New Roman" w:hAnsi="Times New Roman" w:eastAsia="仿宋_GB2312" w:cs="Times New Roman"/>
          <w:color w:val="0000FF"/>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接待</w:t>
      </w:r>
      <w:r>
        <w:rPr>
          <w:rFonts w:hint="eastAsia" w:ascii="Times New Roman" w:cs="Times New Roman"/>
          <w:color w:val="auto"/>
          <w:kern w:val="2"/>
          <w:sz w:val="32"/>
          <w:szCs w:val="32"/>
          <w:lang w:val="en-US" w:eastAsia="zh-CN" w:bidi="ar-SA"/>
        </w:rPr>
        <w:t>阿坝州检察院未成年人检察工作组</w:t>
      </w:r>
      <w:r>
        <w:rPr>
          <w:rFonts w:hint="default" w:ascii="Times New Roman" w:hAnsi="Times New Roman" w:eastAsia="仿宋_GB2312" w:cs="Times New Roman"/>
          <w:color w:val="auto"/>
          <w:kern w:val="2"/>
          <w:sz w:val="32"/>
          <w:szCs w:val="32"/>
          <w:lang w:val="en-US" w:eastAsia="zh-CN" w:bidi="ar-SA"/>
        </w:rPr>
        <w:t>一行金额0.</w:t>
      </w:r>
      <w:r>
        <w:rPr>
          <w:rFonts w:hint="eastAsia" w:ascii="Times New Roman" w:cs="Times New Roman"/>
          <w:color w:val="auto"/>
          <w:kern w:val="2"/>
          <w:sz w:val="32"/>
          <w:szCs w:val="32"/>
          <w:lang w:val="en-US" w:eastAsia="zh-CN" w:bidi="ar-SA"/>
        </w:rPr>
        <w:t>07</w:t>
      </w:r>
      <w:r>
        <w:rPr>
          <w:rFonts w:hint="default" w:ascii="Times New Roman" w:hAnsi="Times New Roman" w:eastAsia="仿宋_GB2312" w:cs="Times New Roman"/>
          <w:color w:val="auto"/>
          <w:kern w:val="2"/>
          <w:sz w:val="32"/>
          <w:szCs w:val="32"/>
          <w:lang w:val="en-US" w:eastAsia="zh-CN" w:bidi="ar-SA"/>
        </w:rPr>
        <w:t>万元</w:t>
      </w:r>
      <w:r>
        <w:rPr>
          <w:rFonts w:hint="default" w:ascii="Times New Roman" w:hAnsi="Times New Roman" w:eastAsia="仿宋_GB2312" w:cs="Times New Roman"/>
          <w:color w:val="0000FF"/>
          <w:kern w:val="2"/>
          <w:sz w:val="32"/>
          <w:szCs w:val="32"/>
          <w:lang w:val="en-US" w:eastAsia="zh-CN" w:bidi="ar-SA"/>
        </w:rPr>
        <w:t>；</w:t>
      </w:r>
      <w:r>
        <w:rPr>
          <w:rFonts w:hint="eastAsia" w:ascii="Times New Roman" w:cs="Times New Roman"/>
          <w:color w:val="auto"/>
          <w:kern w:val="2"/>
          <w:sz w:val="32"/>
          <w:szCs w:val="32"/>
          <w:lang w:val="en-US" w:eastAsia="zh-CN" w:bidi="ar-SA"/>
        </w:rPr>
        <w:t>阿坝州检察院公益诉讼宣传组及普法宣传组</w:t>
      </w:r>
      <w:r>
        <w:rPr>
          <w:rFonts w:hint="default" w:ascii="Times New Roman" w:hAnsi="Times New Roman" w:eastAsia="仿宋_GB2312" w:cs="Times New Roman"/>
          <w:color w:val="auto"/>
          <w:kern w:val="2"/>
          <w:sz w:val="32"/>
          <w:szCs w:val="32"/>
          <w:lang w:val="en-US" w:eastAsia="zh-CN" w:bidi="ar-SA"/>
        </w:rPr>
        <w:t>金额</w:t>
      </w:r>
      <w:r>
        <w:rPr>
          <w:rFonts w:hint="eastAsia" w:ascii="Times New Roman" w:cs="Times New Roman"/>
          <w:color w:val="auto"/>
          <w:kern w:val="2"/>
          <w:sz w:val="32"/>
          <w:szCs w:val="32"/>
          <w:lang w:val="en-US" w:eastAsia="zh-CN" w:bidi="ar-SA"/>
        </w:rPr>
        <w:t>共计</w:t>
      </w:r>
      <w:r>
        <w:rPr>
          <w:rFonts w:hint="default" w:ascii="Times New Roman" w:hAnsi="Times New Roman" w:eastAsia="仿宋_GB2312" w:cs="Times New Roman"/>
          <w:color w:val="auto"/>
          <w:kern w:val="2"/>
          <w:sz w:val="32"/>
          <w:szCs w:val="32"/>
          <w:lang w:val="en-US" w:eastAsia="zh-CN" w:bidi="ar-SA"/>
        </w:rPr>
        <w:t>0.</w:t>
      </w:r>
      <w:r>
        <w:rPr>
          <w:rFonts w:hint="eastAsia" w:ascii="Times New Roman" w:cs="Times New Roman"/>
          <w:color w:val="auto"/>
          <w:kern w:val="2"/>
          <w:sz w:val="32"/>
          <w:szCs w:val="32"/>
          <w:lang w:val="en-US" w:eastAsia="zh-CN" w:bidi="ar-SA"/>
        </w:rPr>
        <w:t>09</w:t>
      </w:r>
      <w:r>
        <w:rPr>
          <w:rFonts w:hint="default" w:ascii="Times New Roman" w:hAnsi="Times New Roman" w:eastAsia="仿宋_GB2312" w:cs="Times New Roman"/>
          <w:color w:val="auto"/>
          <w:kern w:val="2"/>
          <w:sz w:val="32"/>
          <w:szCs w:val="32"/>
          <w:lang w:val="en-US" w:eastAsia="zh-CN" w:bidi="ar-SA"/>
        </w:rPr>
        <w:t>万元；</w:t>
      </w:r>
      <w:r>
        <w:rPr>
          <w:rFonts w:hint="eastAsia" w:ascii="Times New Roman" w:cs="Times New Roman"/>
          <w:color w:val="auto"/>
          <w:kern w:val="2"/>
          <w:sz w:val="32"/>
          <w:szCs w:val="32"/>
          <w:lang w:val="en-US" w:eastAsia="zh-CN" w:bidi="ar-SA"/>
        </w:rPr>
        <w:t>阿坝州检察院干部考察工作组</w:t>
      </w:r>
      <w:r>
        <w:rPr>
          <w:rFonts w:hint="default" w:ascii="Times New Roman" w:cs="Times New Roman"/>
          <w:color w:val="auto"/>
          <w:kern w:val="2"/>
          <w:sz w:val="32"/>
          <w:szCs w:val="32"/>
          <w:lang w:val="en-US" w:eastAsia="zh-CN" w:bidi="ar-SA"/>
        </w:rPr>
        <w:t>一行金额0.</w:t>
      </w:r>
      <w:r>
        <w:rPr>
          <w:rFonts w:hint="eastAsia" w:ascii="Times New Roman" w:cs="Times New Roman"/>
          <w:color w:val="auto"/>
          <w:kern w:val="2"/>
          <w:sz w:val="32"/>
          <w:szCs w:val="32"/>
          <w:lang w:val="en-US" w:eastAsia="zh-CN" w:bidi="ar-SA"/>
        </w:rPr>
        <w:t>06</w:t>
      </w:r>
      <w:r>
        <w:rPr>
          <w:rFonts w:hint="default" w:ascii="Times New Roman" w:cs="Times New Roman"/>
          <w:color w:val="auto"/>
          <w:kern w:val="2"/>
          <w:sz w:val="32"/>
          <w:szCs w:val="32"/>
          <w:lang w:val="en-US" w:eastAsia="zh-CN" w:bidi="ar-SA"/>
        </w:rPr>
        <w:t>万元；接待</w:t>
      </w:r>
      <w:r>
        <w:rPr>
          <w:rFonts w:hint="eastAsia" w:ascii="Times New Roman" w:cs="Times New Roman"/>
          <w:color w:val="auto"/>
          <w:kern w:val="2"/>
          <w:sz w:val="32"/>
          <w:szCs w:val="32"/>
          <w:lang w:val="en-US" w:eastAsia="zh-CN" w:bidi="ar-SA"/>
        </w:rPr>
        <w:t>九寨沟县</w:t>
      </w:r>
      <w:r>
        <w:rPr>
          <w:rFonts w:hint="default" w:ascii="Times New Roman" w:cs="Times New Roman"/>
          <w:color w:val="auto"/>
          <w:kern w:val="2"/>
          <w:sz w:val="32"/>
          <w:szCs w:val="32"/>
          <w:lang w:val="en-US" w:eastAsia="zh-CN" w:bidi="ar-SA"/>
        </w:rPr>
        <w:t>人民检察院交流学习、</w:t>
      </w:r>
      <w:r>
        <w:rPr>
          <w:rFonts w:hint="eastAsia" w:ascii="Times New Roman" w:cs="Times New Roman"/>
          <w:color w:val="auto"/>
          <w:kern w:val="2"/>
          <w:sz w:val="32"/>
          <w:szCs w:val="32"/>
          <w:lang w:val="en-US" w:eastAsia="zh-CN" w:bidi="ar-SA"/>
        </w:rPr>
        <w:t>松潘</w:t>
      </w:r>
      <w:r>
        <w:rPr>
          <w:rFonts w:hint="default" w:ascii="Times New Roman" w:cs="Times New Roman"/>
          <w:color w:val="auto"/>
          <w:kern w:val="2"/>
          <w:sz w:val="32"/>
          <w:szCs w:val="32"/>
          <w:lang w:val="en-US" w:eastAsia="zh-CN" w:bidi="ar-SA"/>
        </w:rPr>
        <w:t>县人民检察院开展交流学习、</w:t>
      </w:r>
      <w:r>
        <w:rPr>
          <w:rFonts w:hint="eastAsia" w:ascii="Times New Roman" w:cs="Times New Roman"/>
          <w:color w:val="auto"/>
          <w:kern w:val="2"/>
          <w:sz w:val="32"/>
          <w:szCs w:val="32"/>
          <w:lang w:val="en-US" w:eastAsia="zh-CN" w:bidi="ar-SA"/>
        </w:rPr>
        <w:t>小金</w:t>
      </w:r>
      <w:r>
        <w:rPr>
          <w:rFonts w:hint="default" w:ascii="Times New Roman" w:cs="Times New Roman"/>
          <w:color w:val="auto"/>
          <w:kern w:val="2"/>
          <w:sz w:val="32"/>
          <w:szCs w:val="32"/>
          <w:lang w:val="en-US" w:eastAsia="zh-CN" w:bidi="ar-SA"/>
        </w:rPr>
        <w:t>县人民检察院开展交流学习</w:t>
      </w:r>
      <w:r>
        <w:rPr>
          <w:rFonts w:hint="eastAsia" w:ascii="Times New Roman" w:cs="Times New Roman"/>
          <w:color w:val="auto"/>
          <w:kern w:val="2"/>
          <w:sz w:val="32"/>
          <w:szCs w:val="32"/>
          <w:lang w:val="en-US" w:eastAsia="zh-CN" w:bidi="ar-SA"/>
        </w:rPr>
        <w:t>等</w:t>
      </w:r>
      <w:r>
        <w:rPr>
          <w:rFonts w:hint="default" w:ascii="Times New Roman" w:cs="Times New Roman"/>
          <w:color w:val="auto"/>
          <w:kern w:val="2"/>
          <w:sz w:val="32"/>
          <w:szCs w:val="32"/>
          <w:lang w:val="en-US" w:eastAsia="zh-CN" w:bidi="ar-SA"/>
        </w:rPr>
        <w:t>共计0.</w:t>
      </w:r>
      <w:r>
        <w:rPr>
          <w:rFonts w:hint="eastAsia" w:ascii="Times New Roman" w:cs="Times New Roman"/>
          <w:color w:val="auto"/>
          <w:kern w:val="2"/>
          <w:sz w:val="32"/>
          <w:szCs w:val="32"/>
          <w:lang w:val="en-US" w:eastAsia="zh-CN" w:bidi="ar-SA"/>
        </w:rPr>
        <w:t>52</w:t>
      </w:r>
      <w:r>
        <w:rPr>
          <w:rFonts w:hint="default" w:ascii="Times New Roman" w:cs="Times New Roman"/>
          <w:color w:val="auto"/>
          <w:kern w:val="2"/>
          <w:sz w:val="32"/>
          <w:szCs w:val="32"/>
          <w:lang w:val="en-US" w:eastAsia="zh-CN" w:bidi="ar-SA"/>
        </w:rPr>
        <w:t>万元</w:t>
      </w:r>
      <w:r>
        <w:rPr>
          <w:rFonts w:hint="eastAsia" w:ascii="Times New Roman" w:cs="Times New Roman"/>
          <w:color w:val="auto"/>
          <w:kern w:val="2"/>
          <w:sz w:val="32"/>
          <w:szCs w:val="32"/>
          <w:lang w:val="en-US" w:eastAsia="zh-CN" w:bidi="ar-SA"/>
        </w:rPr>
        <w:t>。</w:t>
      </w:r>
      <w:r>
        <w:rPr>
          <w:rFonts w:hint="default" w:ascii="Times New Roman" w:cs="Times New Roman"/>
          <w:color w:val="auto"/>
          <w:kern w:val="2"/>
          <w:sz w:val="32"/>
          <w:szCs w:val="32"/>
          <w:lang w:val="en-US" w:eastAsia="zh-CN" w:bidi="ar-SA"/>
        </w:rPr>
        <w:t>其中：外事接待0批次，0人，共计支出0万元。</w:t>
      </w:r>
    </w:p>
    <w:p w14:paraId="0A2BD030">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40" w:name="_Toc15377218"/>
      <w:bookmarkStart w:id="41" w:name="_Toc15396610"/>
      <w:r>
        <w:rPr>
          <w:rFonts w:hint="default" w:ascii="Times New Roman" w:hAnsi="Times New Roman" w:eastAsia="黑体" w:cs="Times New Roman"/>
          <w:sz w:val="32"/>
          <w:szCs w:val="32"/>
          <w:lang w:val="en-US" w:eastAsia="zh-CN"/>
        </w:rPr>
        <w:t>八、政府性基金预算支出决算情况说明</w:t>
      </w:r>
      <w:bookmarkEnd w:id="40"/>
      <w:bookmarkEnd w:id="41"/>
    </w:p>
    <w:p w14:paraId="447B5ED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年度政府性基金预算财政拨款支出0万元。与202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年相比无变化。</w:t>
      </w:r>
    </w:p>
    <w:p w14:paraId="08EB283A">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42" w:name="_Toc15377219"/>
      <w:bookmarkStart w:id="43" w:name="_Toc15396611"/>
      <w:r>
        <w:rPr>
          <w:rFonts w:hint="default" w:ascii="Times New Roman" w:hAnsi="Times New Roman" w:eastAsia="黑体" w:cs="Times New Roman"/>
          <w:sz w:val="32"/>
          <w:szCs w:val="32"/>
          <w:lang w:val="en-US" w:eastAsia="zh-CN"/>
        </w:rPr>
        <w:t>九、国有资本经营预算支出决算情况说明</w:t>
      </w:r>
      <w:bookmarkEnd w:id="42"/>
      <w:bookmarkEnd w:id="43"/>
    </w:p>
    <w:p w14:paraId="56C8A908">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年度国有资本经营预算财政拨款支出0万元。与202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年相比无变化。</w:t>
      </w:r>
    </w:p>
    <w:p w14:paraId="7B8E8993">
      <w:pPr>
        <w:spacing w:line="600" w:lineRule="exact"/>
        <w:ind w:firstLine="640" w:firstLineChars="200"/>
        <w:outlineLvl w:val="1"/>
        <w:rPr>
          <w:rFonts w:hint="default" w:ascii="Times New Roman" w:hAnsi="Times New Roman" w:eastAsia="黑体" w:cs="Times New Roman"/>
          <w:sz w:val="32"/>
          <w:szCs w:val="32"/>
          <w:lang w:val="en-US" w:eastAsia="zh-CN"/>
        </w:rPr>
      </w:pPr>
      <w:bookmarkStart w:id="44" w:name="_Toc15396612"/>
      <w:bookmarkStart w:id="45" w:name="_Toc15377221"/>
      <w:r>
        <w:rPr>
          <w:rFonts w:hint="default" w:ascii="Times New Roman" w:hAnsi="Times New Roman" w:eastAsia="黑体" w:cs="Times New Roman"/>
          <w:sz w:val="32"/>
          <w:szCs w:val="32"/>
          <w:lang w:val="en-US" w:eastAsia="zh-CN"/>
        </w:rPr>
        <w:t>十、其他重要事项的情况说明</w:t>
      </w:r>
      <w:bookmarkEnd w:id="44"/>
      <w:bookmarkEnd w:id="45"/>
    </w:p>
    <w:p w14:paraId="209382D6">
      <w:pPr>
        <w:spacing w:line="600" w:lineRule="exact"/>
        <w:ind w:firstLine="643" w:firstLineChars="200"/>
        <w:outlineLvl w:val="2"/>
        <w:rPr>
          <w:rFonts w:hint="default" w:ascii="Times New Roman" w:hAnsi="Times New Roman" w:eastAsia="楷体_GB2312" w:cs="Times New Roman"/>
          <w:b/>
          <w:sz w:val="32"/>
          <w:szCs w:val="32"/>
        </w:rPr>
      </w:pPr>
      <w:bookmarkStart w:id="46" w:name="_Toc15377222"/>
      <w:r>
        <w:rPr>
          <w:rFonts w:hint="default" w:ascii="Times New Roman" w:hAnsi="Times New Roman" w:eastAsia="楷体_GB2312" w:cs="Times New Roman"/>
          <w:b/>
          <w:sz w:val="32"/>
          <w:szCs w:val="32"/>
        </w:rPr>
        <w:t>（一）机关运行经费支出情况</w:t>
      </w:r>
      <w:bookmarkEnd w:id="46"/>
    </w:p>
    <w:p w14:paraId="3833CCEB">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年度，四川省阿坝州汶川县人民检察院机关运行经费支出</w:t>
      </w:r>
      <w:r>
        <w:rPr>
          <w:rFonts w:hint="eastAsia" w:ascii="Times New Roman" w:cs="Times New Roman"/>
          <w:kern w:val="2"/>
          <w:sz w:val="32"/>
          <w:szCs w:val="32"/>
          <w:lang w:val="en-US" w:eastAsia="zh-CN" w:bidi="ar-SA"/>
        </w:rPr>
        <w:t>78.16</w:t>
      </w:r>
      <w:r>
        <w:rPr>
          <w:rFonts w:hint="default" w:ascii="Times New Roman" w:hAnsi="Times New Roman" w:eastAsia="仿宋_GB2312" w:cs="Times New Roman"/>
          <w:kern w:val="2"/>
          <w:sz w:val="32"/>
          <w:szCs w:val="32"/>
          <w:lang w:val="en-US" w:eastAsia="zh-CN" w:bidi="ar-SA"/>
        </w:rPr>
        <w:t>万元，比202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年度减少</w:t>
      </w:r>
      <w:r>
        <w:rPr>
          <w:rFonts w:hint="eastAsia" w:ascii="Times New Roman" w:cs="Times New Roman"/>
          <w:kern w:val="2"/>
          <w:sz w:val="32"/>
          <w:szCs w:val="32"/>
          <w:lang w:val="en-US" w:eastAsia="zh-CN" w:bidi="ar-SA"/>
        </w:rPr>
        <w:t>5.81</w:t>
      </w:r>
      <w:r>
        <w:rPr>
          <w:rFonts w:hint="default" w:ascii="Times New Roman" w:hAnsi="Times New Roman" w:eastAsia="仿宋_GB2312" w:cs="Times New Roman"/>
          <w:kern w:val="2"/>
          <w:sz w:val="32"/>
          <w:szCs w:val="32"/>
          <w:lang w:val="en-US" w:eastAsia="zh-CN" w:bidi="ar-SA"/>
        </w:rPr>
        <w:t>万元，减少</w:t>
      </w:r>
      <w:r>
        <w:rPr>
          <w:rFonts w:hint="eastAsia" w:ascii="Times New Roman" w:cs="Times New Roman"/>
          <w:kern w:val="2"/>
          <w:sz w:val="32"/>
          <w:szCs w:val="32"/>
          <w:lang w:val="en-US" w:eastAsia="zh-CN" w:bidi="ar-SA"/>
        </w:rPr>
        <w:t>6.9</w:t>
      </w:r>
      <w:r>
        <w:rPr>
          <w:rFonts w:hint="default" w:ascii="Times New Roman" w:hAnsi="Times New Roman" w:eastAsia="仿宋_GB2312" w:cs="Times New Roman"/>
          <w:kern w:val="2"/>
          <w:sz w:val="32"/>
          <w:szCs w:val="32"/>
          <w:lang w:val="en-US" w:eastAsia="zh-CN" w:bidi="ar-SA"/>
        </w:rPr>
        <w:t>%。主要原</w:t>
      </w:r>
      <w:r>
        <w:rPr>
          <w:rFonts w:hint="eastAsia" w:ascii="Times New Roman" w:cs="Times New Roman"/>
          <w:kern w:val="2"/>
          <w:sz w:val="32"/>
          <w:szCs w:val="32"/>
          <w:lang w:val="en-US" w:eastAsia="zh-CN" w:bidi="ar-SA"/>
        </w:rPr>
        <w:t>因是全院</w:t>
      </w:r>
      <w:r>
        <w:rPr>
          <w:rFonts w:hint="default" w:ascii="Times New Roman" w:hAnsi="Times New Roman" w:eastAsia="仿宋_GB2312" w:cs="Times New Roman"/>
          <w:kern w:val="2"/>
          <w:sz w:val="32"/>
          <w:szCs w:val="32"/>
          <w:lang w:val="en-US" w:eastAsia="zh-CN" w:bidi="ar-SA"/>
        </w:rPr>
        <w:t>机关运行经费支出减少。</w:t>
      </w:r>
    </w:p>
    <w:p w14:paraId="2C82CD6A">
      <w:pPr>
        <w:spacing w:line="600" w:lineRule="exact"/>
        <w:ind w:firstLine="643" w:firstLineChars="200"/>
        <w:outlineLvl w:val="2"/>
        <w:rPr>
          <w:rFonts w:hint="default" w:ascii="Times New Roman" w:hAnsi="Times New Roman" w:eastAsia="楷体_GB2312" w:cs="Times New Roman"/>
          <w:b/>
          <w:sz w:val="32"/>
          <w:szCs w:val="32"/>
        </w:rPr>
      </w:pPr>
      <w:bookmarkStart w:id="47" w:name="_Toc15377223"/>
      <w:r>
        <w:rPr>
          <w:rFonts w:hint="default" w:ascii="Times New Roman" w:hAnsi="Times New Roman" w:eastAsia="楷体_GB2312" w:cs="Times New Roman"/>
          <w:b/>
          <w:sz w:val="32"/>
          <w:szCs w:val="32"/>
        </w:rPr>
        <w:t>（二）政府采购支出情况</w:t>
      </w:r>
      <w:bookmarkEnd w:id="47"/>
    </w:p>
    <w:p w14:paraId="4B4EB89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年度，四川省阿坝州汶川县人民检察院政府采购支出总额</w:t>
      </w:r>
      <w:r>
        <w:rPr>
          <w:rFonts w:hint="eastAsia" w:ascii="Times New Roman" w:cs="Times New Roman"/>
          <w:kern w:val="2"/>
          <w:sz w:val="32"/>
          <w:szCs w:val="32"/>
          <w:lang w:val="en-US" w:eastAsia="zh-CN" w:bidi="ar-SA"/>
        </w:rPr>
        <w:t>49.13</w:t>
      </w:r>
      <w:r>
        <w:rPr>
          <w:rFonts w:hint="default" w:ascii="Times New Roman" w:hAnsi="Times New Roman" w:eastAsia="仿宋_GB2312" w:cs="Times New Roman"/>
          <w:kern w:val="2"/>
          <w:sz w:val="32"/>
          <w:szCs w:val="32"/>
          <w:lang w:val="en-US" w:eastAsia="zh-CN" w:bidi="ar-SA"/>
        </w:rPr>
        <w:t>万元。其中：政府采购货物支出</w:t>
      </w:r>
      <w:r>
        <w:rPr>
          <w:rFonts w:hint="eastAsia" w:ascii="Times New Roman" w:cs="Times New Roman"/>
          <w:kern w:val="2"/>
          <w:sz w:val="32"/>
          <w:szCs w:val="32"/>
          <w:lang w:val="en-US" w:eastAsia="zh-CN" w:bidi="ar-SA"/>
        </w:rPr>
        <w:t>49.13</w:t>
      </w:r>
      <w:r>
        <w:rPr>
          <w:rFonts w:hint="default" w:ascii="Times New Roman" w:hAnsi="Times New Roman" w:eastAsia="仿宋_GB2312" w:cs="Times New Roman"/>
          <w:kern w:val="2"/>
          <w:sz w:val="32"/>
          <w:szCs w:val="32"/>
          <w:lang w:val="en-US" w:eastAsia="zh-CN" w:bidi="ar-SA"/>
        </w:rPr>
        <w:t>万元、政府采购工程支出0万元、政府采购服务支出0万元。主要用于</w:t>
      </w:r>
      <w:r>
        <w:rPr>
          <w:rFonts w:hint="eastAsia" w:ascii="Times New Roman" w:cs="Times New Roman"/>
          <w:kern w:val="2"/>
          <w:sz w:val="32"/>
          <w:szCs w:val="32"/>
          <w:lang w:val="en-US" w:eastAsia="zh-CN" w:bidi="ar-SA"/>
        </w:rPr>
        <w:t>信息化升级改造（一期）首笔款</w:t>
      </w:r>
      <w:r>
        <w:rPr>
          <w:rFonts w:hint="default" w:ascii="Times New Roman" w:hAnsi="Times New Roman" w:eastAsia="仿宋_GB2312" w:cs="Times New Roman"/>
          <w:kern w:val="2"/>
          <w:sz w:val="32"/>
          <w:szCs w:val="32"/>
          <w:lang w:val="en-US" w:eastAsia="zh-CN" w:bidi="ar-SA"/>
        </w:rPr>
        <w:t>、办案设备</w:t>
      </w:r>
      <w:r>
        <w:rPr>
          <w:rFonts w:hint="eastAsia" w:ascii="Times New Roman" w:cs="Times New Roman"/>
          <w:kern w:val="2"/>
          <w:sz w:val="32"/>
          <w:szCs w:val="32"/>
          <w:lang w:val="en-US" w:eastAsia="zh-CN" w:bidi="ar-SA"/>
        </w:rPr>
        <w:t>更新</w:t>
      </w:r>
      <w:r>
        <w:rPr>
          <w:rFonts w:hint="default" w:ascii="Times New Roman" w:hAnsi="Times New Roman" w:eastAsia="仿宋_GB2312" w:cs="Times New Roman"/>
          <w:kern w:val="2"/>
          <w:sz w:val="32"/>
          <w:szCs w:val="32"/>
          <w:lang w:val="en-US" w:eastAsia="zh-CN" w:bidi="ar-SA"/>
        </w:rPr>
        <w:t>购置</w:t>
      </w:r>
      <w:r>
        <w:rPr>
          <w:rFonts w:hint="eastAsia" w:ascii="Times New Roman" w:cs="Times New Roman"/>
          <w:kern w:val="2"/>
          <w:sz w:val="32"/>
          <w:szCs w:val="32"/>
          <w:lang w:val="en-US" w:eastAsia="zh-CN" w:bidi="ar-SA"/>
        </w:rPr>
        <w:t>和车辆维修维护、保险框架采购</w:t>
      </w:r>
      <w:r>
        <w:rPr>
          <w:rFonts w:hint="default" w:ascii="Times New Roman" w:hAnsi="Times New Roman" w:eastAsia="仿宋_GB2312" w:cs="Times New Roman"/>
          <w:kern w:val="2"/>
          <w:sz w:val="32"/>
          <w:szCs w:val="32"/>
          <w:lang w:val="en-US" w:eastAsia="zh-CN" w:bidi="ar-SA"/>
        </w:rPr>
        <w:t>。授予中小企业合同金额0万元，占政府采购支出总额的0%，其中：授予小微企业合同金额0万元，占政府采购支出总额的0%。</w:t>
      </w:r>
    </w:p>
    <w:p w14:paraId="25101F9B">
      <w:pPr>
        <w:spacing w:line="600" w:lineRule="exact"/>
        <w:ind w:firstLine="643" w:firstLineChars="200"/>
        <w:outlineLvl w:val="2"/>
        <w:rPr>
          <w:rFonts w:hint="default" w:ascii="Times New Roman" w:hAnsi="Times New Roman" w:eastAsia="楷体_GB2312" w:cs="Times New Roman"/>
          <w:b/>
          <w:sz w:val="32"/>
          <w:szCs w:val="32"/>
        </w:rPr>
      </w:pPr>
      <w:bookmarkStart w:id="48" w:name="_Toc15377224"/>
      <w:r>
        <w:rPr>
          <w:rFonts w:hint="default" w:ascii="Times New Roman" w:hAnsi="Times New Roman" w:eastAsia="楷体_GB2312" w:cs="Times New Roman"/>
          <w:b/>
          <w:sz w:val="32"/>
          <w:szCs w:val="32"/>
        </w:rPr>
        <w:t>（三）国有资产占有使用情况</w:t>
      </w:r>
      <w:bookmarkEnd w:id="48"/>
    </w:p>
    <w:p w14:paraId="5DAF7E46">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截至202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年12月31日，四川省阿坝州汶川县人民检察院共有车辆6辆，其中：执法执勤用车5辆</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特种专业技术用车1辆。单价50万元以上通用设备0台（套），单价100万元以上专用设备0台（套）。</w:t>
      </w:r>
    </w:p>
    <w:p w14:paraId="6F4419F3">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（四）预算绩效管理情况</w:t>
      </w:r>
    </w:p>
    <w:p w14:paraId="7D93C697">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根据预算绩效管理要求，本部门在202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年度预算编制阶段，组织对工资性支出、</w:t>
      </w:r>
      <w:r>
        <w:rPr>
          <w:rFonts w:hint="eastAsia" w:ascii="Times New Roman" w:cs="Times New Roman"/>
          <w:kern w:val="2"/>
          <w:sz w:val="32"/>
          <w:szCs w:val="32"/>
          <w:lang w:val="en-US" w:eastAsia="zh-CN" w:bidi="ar-SA"/>
        </w:rPr>
        <w:t>追加人员工资性支出、</w:t>
      </w:r>
      <w:r>
        <w:rPr>
          <w:rFonts w:hint="default" w:ascii="Times New Roman" w:hAnsi="Times New Roman" w:eastAsia="仿宋_GB2312" w:cs="Times New Roman"/>
          <w:kern w:val="2"/>
          <w:sz w:val="32"/>
          <w:szCs w:val="32"/>
          <w:lang w:val="en-US" w:eastAsia="zh-CN" w:bidi="ar-SA"/>
        </w:rPr>
        <w:t>单位缴费、聘用人员经费、日常公用经费、退休人员经费、其他支出、</w:t>
      </w:r>
      <w:r>
        <w:rPr>
          <w:rFonts w:hint="eastAsia" w:ascii="Times New Roman" w:cs="Times New Roman"/>
          <w:kern w:val="2"/>
          <w:sz w:val="32"/>
          <w:szCs w:val="32"/>
          <w:lang w:val="en-US" w:eastAsia="zh-CN" w:bidi="ar-SA"/>
        </w:rPr>
        <w:t>2024</w:t>
      </w:r>
      <w:r>
        <w:rPr>
          <w:rFonts w:hint="default" w:ascii="Times New Roman" w:hAnsi="Times New Roman" w:eastAsia="仿宋_GB2312" w:cs="Times New Roman"/>
          <w:kern w:val="2"/>
          <w:sz w:val="32"/>
          <w:szCs w:val="32"/>
          <w:lang w:val="en-US" w:eastAsia="zh-CN" w:bidi="ar-SA"/>
        </w:rPr>
        <w:t>年办案业务经费、202</w:t>
      </w:r>
      <w:r>
        <w:rPr>
          <w:rFonts w:hint="eastAsia" w:ascii="Times New Roman" w:cs="Times New Roman"/>
          <w:kern w:val="2"/>
          <w:sz w:val="32"/>
          <w:szCs w:val="32"/>
          <w:lang w:val="en-US" w:eastAsia="zh-CN" w:bidi="ar-SA"/>
        </w:rPr>
        <w:t>4</w:t>
      </w:r>
      <w:r>
        <w:rPr>
          <w:rFonts w:hint="default" w:ascii="Times New Roman" w:hAnsi="Times New Roman" w:eastAsia="仿宋_GB2312" w:cs="Times New Roman"/>
          <w:kern w:val="2"/>
          <w:sz w:val="32"/>
          <w:szCs w:val="32"/>
          <w:lang w:val="en-US" w:eastAsia="zh-CN" w:bidi="ar-SA"/>
        </w:rPr>
        <w:t>年业务装备经费、202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w:t>
      </w:r>
      <w:r>
        <w:rPr>
          <w:rFonts w:hint="eastAsia" w:ascii="Times New Roman" w:cs="Times New Roman"/>
          <w:kern w:val="2"/>
          <w:sz w:val="32"/>
          <w:szCs w:val="32"/>
          <w:lang w:val="en-US" w:eastAsia="zh-CN" w:bidi="ar-SA"/>
        </w:rPr>
        <w:t>提前下达zf资金</w:t>
      </w:r>
      <w:r>
        <w:rPr>
          <w:rFonts w:hint="default" w:ascii="Times New Roman" w:hAnsi="Times New Roman" w:eastAsia="仿宋_GB2312" w:cs="Times New Roman"/>
          <w:kern w:val="2"/>
          <w:sz w:val="32"/>
          <w:szCs w:val="32"/>
          <w:lang w:val="en-US" w:eastAsia="zh-CN" w:bidi="ar-SA"/>
        </w:rPr>
        <w:t>、</w:t>
      </w:r>
      <w:r>
        <w:rPr>
          <w:rFonts w:hint="eastAsia" w:ascii="Times New Roman" w:cs="Times New Roman"/>
          <w:kern w:val="2"/>
          <w:sz w:val="32"/>
          <w:szCs w:val="32"/>
          <w:lang w:val="en-US" w:eastAsia="zh-CN" w:bidi="ar-SA"/>
        </w:rPr>
        <w:t>代管资金</w:t>
      </w:r>
      <w:r>
        <w:rPr>
          <w:rFonts w:hint="default" w:ascii="Times New Roman" w:hAnsi="Times New Roman" w:eastAsia="仿宋_GB2312" w:cs="Times New Roman"/>
          <w:kern w:val="2"/>
          <w:sz w:val="32"/>
          <w:szCs w:val="32"/>
          <w:lang w:val="en-US" w:eastAsia="zh-CN" w:bidi="ar-SA"/>
        </w:rPr>
        <w:t>等13个项目开展了预算事前绩效评估，对13个项目编制了绩效目标，预算执行过程中，选取13个项目开展绩效监控。</w:t>
      </w:r>
    </w:p>
    <w:p w14:paraId="20A381D8">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组织对202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度一般公共预算、政府性基金预算、国有资本经营预算、社会保险基金预算以及资本资产、债券资金等全面开展绩效自评，形成汶川县人民检察院部门整体绩效自评报告，其中，汶川县人民检察院部门整体绩效自评得分为89.</w:t>
      </w:r>
      <w:r>
        <w:rPr>
          <w:rFonts w:hint="eastAsia" w:ascii="Times New Roman" w:cs="Times New Roman"/>
          <w:kern w:val="2"/>
          <w:sz w:val="32"/>
          <w:szCs w:val="32"/>
          <w:lang w:val="en-US" w:eastAsia="zh-CN" w:bidi="ar-SA"/>
        </w:rPr>
        <w:t>47</w:t>
      </w:r>
      <w:r>
        <w:rPr>
          <w:rFonts w:hint="default" w:ascii="Times New Roman" w:hAnsi="Times New Roman" w:eastAsia="仿宋_GB2312" w:cs="Times New Roman"/>
          <w:kern w:val="2"/>
          <w:sz w:val="32"/>
          <w:szCs w:val="32"/>
          <w:lang w:val="en-US" w:eastAsia="zh-CN" w:bidi="ar-SA"/>
        </w:rPr>
        <w:t>分，绩效自评综述：202</w:t>
      </w:r>
      <w:r>
        <w:rPr>
          <w:rFonts w:hint="eastAsia" w:ascii="Times New Roman"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我院不断改善绩效目标编制的规范性、专业性和量化水平。积极履行检察职能，加强单位预算管理，确保预算资金执行的准确性和高效性。严格按照财务管理制度规范单位资金使用情况，加强项目管理，推进项目执行，达到预期目标。绩效自评报告详见附件。</w:t>
      </w:r>
    </w:p>
    <w:p w14:paraId="507890CC">
      <w:pPr>
        <w:pStyle w:val="2"/>
        <w:jc w:val="center"/>
        <w:rPr>
          <w:rFonts w:hint="default" w:ascii="Times New Roman" w:hAnsi="Times New Roman" w:eastAsia="方正小标宋简体" w:cs="Times New Roman"/>
          <w:b w:val="0"/>
        </w:rPr>
      </w:pPr>
      <w:r>
        <w:rPr>
          <w:rFonts w:hint="default" w:ascii="Times New Roman" w:hAnsi="Times New Roman" w:eastAsia="方正小标宋简体" w:cs="Times New Roman"/>
          <w:b w:val="0"/>
        </w:rPr>
        <w:t>第三部分 名词解释</w:t>
      </w:r>
    </w:p>
    <w:p w14:paraId="7C62BC25">
      <w:pPr>
        <w:rPr>
          <w:rFonts w:hint="default" w:ascii="Times New Roman" w:hAnsi="Times New Roman" w:cs="Times New Roman"/>
        </w:rPr>
      </w:pPr>
    </w:p>
    <w:p w14:paraId="74588CB3">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1.财政拨款收入：指单位从同级财政部门取得的财政预算资金。</w:t>
      </w:r>
    </w:p>
    <w:p w14:paraId="031751DB">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 xml:space="preserve">2.年初结转和结余：指以前年度尚未完成、结转到本年按有关规定继续使用的资金。 </w:t>
      </w:r>
    </w:p>
    <w:p w14:paraId="1407EC56">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3.年末结转和结余：指单位按有关规定结转到下年或以后年度继续使用的资金。</w:t>
      </w:r>
    </w:p>
    <w:p w14:paraId="1252AE3D">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4.公共安全：2040401行政运行指用于指为保障机构正常运转、完成日常工作任务而发生的人员支出和公用支出。2040402一般行政管理事务指在基本支出之外为完成特定行政任务和事业发展目标所发生的支出。</w:t>
      </w:r>
    </w:p>
    <w:p w14:paraId="1E9A4D2C">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5.社会保障和就业：2080505机关事业单位基本养老保险缴费支出：指本单位职工应缴纳的基本养老保险缴费支出。2080506机关事业单位职业年金缴费支出：指本单位职工应缴纳的职业年金缴费支出。</w:t>
      </w:r>
    </w:p>
    <w:p w14:paraId="05DE0734">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6.卫生健康：2101101行政单位医疗指本单位职工应缴纳的机关医疗保险支出。</w:t>
      </w:r>
    </w:p>
    <w:p w14:paraId="771ED73B">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7.住房保障：2210201指本单位应缴纳的住房公积金。</w:t>
      </w:r>
    </w:p>
    <w:p w14:paraId="479F7713">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6157714">
      <w:pPr>
        <w:pStyle w:val="35"/>
        <w:keepNext w:val="0"/>
        <w:keepLines w:val="0"/>
        <w:pageBreakBefore w:val="0"/>
        <w:widowControl w:val="0"/>
        <w:kinsoku/>
        <w:wordWrap/>
        <w:overflowPunct/>
        <w:topLinePunct w:val="0"/>
        <w:autoSpaceDE/>
        <w:autoSpaceDN/>
        <w:bidi w:val="0"/>
        <w:adjustRightInd/>
        <w:snapToGrid/>
        <w:spacing w:before="0" w:line="556"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9.机关运行经费：为保障行政单位（含参照公务员法管理的事业单位）运行用于购买货物和服务的各项资金，包括办公及印刷费、邮电费、差旅费、会议费、日常维修费、专用材料及一般设备购置费、办公用房水电费、公务用车运行维护费以及其他费用。</w:t>
      </w:r>
    </w:p>
    <w:p w14:paraId="4DE355EF">
      <w:pPr>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br w:type="page"/>
      </w:r>
    </w:p>
    <w:p w14:paraId="1399DD5C">
      <w:pPr>
        <w:pStyle w:val="2"/>
        <w:jc w:val="center"/>
        <w:rPr>
          <w:rFonts w:hint="default" w:ascii="Times New Roman" w:hAnsi="Times New Roman" w:eastAsia="方正小标宋简体" w:cs="Times New Roman"/>
          <w:b w:val="0"/>
        </w:rPr>
      </w:pPr>
      <w:r>
        <w:rPr>
          <w:rFonts w:hint="default" w:ascii="Times New Roman" w:hAnsi="Times New Roman" w:eastAsia="方正小标宋简体" w:cs="Times New Roman"/>
          <w:b w:val="0"/>
        </w:rPr>
        <w:t>第四部分 附件</w:t>
      </w:r>
    </w:p>
    <w:p w14:paraId="67F74E92">
      <w:pPr>
        <w:rPr>
          <w:rFonts w:hint="default" w:ascii="Times New Roman" w:hAnsi="Times New Roman" w:cs="Times New Roman"/>
        </w:rPr>
      </w:pPr>
    </w:p>
    <w:p w14:paraId="0EEB7CC6">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附件1</w:t>
      </w:r>
    </w:p>
    <w:p w14:paraId="04F74FE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eastAsia="方正小标宋简体" w:cs="Times New Roman"/>
          <w:b w:val="0"/>
          <w:bCs/>
          <w:sz w:val="44"/>
          <w:szCs w:val="44"/>
          <w:highlight w:val="none"/>
          <w:shd w:val="clear" w:color="auto" w:fill="FFFFFF"/>
          <w:lang w:val="en-US" w:eastAsia="zh-CN"/>
        </w:rPr>
      </w:pPr>
      <w:r>
        <w:rPr>
          <w:rFonts w:hint="eastAsia" w:eastAsia="方正小标宋简体" w:cs="Times New Roman"/>
          <w:b w:val="0"/>
          <w:bCs/>
          <w:sz w:val="44"/>
          <w:szCs w:val="44"/>
          <w:highlight w:val="none"/>
          <w:shd w:val="clear" w:color="auto" w:fill="FFFFFF"/>
          <w:lang w:val="en-US" w:eastAsia="zh-CN"/>
        </w:rPr>
        <w:t>汶川县人民检察院</w:t>
      </w:r>
    </w:p>
    <w:p w14:paraId="022878F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eastAsia="方正小标宋简体" w:cs="Times New Roman"/>
          <w:b w:val="0"/>
          <w:bCs/>
          <w:sz w:val="44"/>
          <w:szCs w:val="44"/>
          <w:highlight w:val="none"/>
          <w:shd w:val="clear" w:color="auto" w:fill="FFFFFF"/>
          <w:lang w:eastAsia="zh-CN"/>
        </w:rPr>
        <w:t>自评</w:t>
      </w:r>
      <w:r>
        <w:rPr>
          <w:rFonts w:hint="default" w:ascii="Times New Roman" w:hAnsi="Times New Roman" w:eastAsia="方正小标宋简体" w:cs="Times New Roman"/>
          <w:b w:val="0"/>
          <w:bCs/>
          <w:sz w:val="44"/>
          <w:szCs w:val="44"/>
          <w:highlight w:val="none"/>
          <w:shd w:val="clear" w:color="auto" w:fill="FFFFFF"/>
        </w:rPr>
        <w:t>报告</w:t>
      </w:r>
    </w:p>
    <w:p w14:paraId="48B6C30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根据上级检察机关及财政部门关于加强财务管理、规范经费运行、提升资金使用效益的要求，我院对照财务管理相关制度、预算执行、内控建设、资产监管、经费保障等重点内容，全面开展自查自评。现将自评情况报告如下：</w:t>
      </w:r>
    </w:p>
    <w:p w14:paraId="0288237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t>一、部门（单位）基本情况</w:t>
      </w:r>
    </w:p>
    <w:p w14:paraId="1BBC1C9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仿宋_GB2312" w:hAnsi="仿宋_GB2312" w:eastAsia="仿宋_GB2312" w:cs="仿宋_GB2312"/>
          <w:color w:val="auto"/>
          <w:sz w:val="32"/>
          <w:szCs w:val="32"/>
          <w:lang w:val="zh-CN" w:eastAsia="zh-CN"/>
        </w:rPr>
        <w:t>按照检察机关内设机构改革规范的要求，设内设机构5个，其中业务部门3个，包括第一检察部（主要行使审查逮捕、审查起诉、立案监督、侦查监督、审判监督、未成年人刑事检察等职能）、第二检察部（主要行使民事检察、行政检察、公益诉讼等职能）和第三检察部（主要行使案件管理、控告申诉、刑事执行监督等职能），综合部门2个，包括办公室和政治部。</w:t>
      </w:r>
    </w:p>
    <w:p w14:paraId="6536FB7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仿宋_GB2312" w:hAnsi="仿宋_GB2312" w:eastAsia="仿宋_GB2312" w:cs="仿宋_GB2312"/>
          <w:color w:val="auto"/>
          <w:sz w:val="32"/>
          <w:szCs w:val="32"/>
          <w:lang w:val="zh-CN" w:eastAsia="zh-CN"/>
        </w:rPr>
        <w:t>汶川县人民检察院是国家的法律监督机关，接受</w:t>
      </w:r>
      <w:r>
        <w:rPr>
          <w:rFonts w:hint="eastAsia" w:ascii="仿宋_GB2312" w:hAnsi="仿宋_GB2312" w:eastAsia="仿宋_GB2312" w:cs="仿宋_GB2312"/>
          <w:color w:val="auto"/>
          <w:sz w:val="32"/>
          <w:szCs w:val="32"/>
          <w:lang w:val="en-US" w:eastAsia="zh-CN"/>
        </w:rPr>
        <w:t>党委及</w:t>
      </w:r>
      <w:r>
        <w:rPr>
          <w:rFonts w:hint="eastAsia" w:ascii="仿宋_GB2312" w:hAnsi="仿宋_GB2312" w:eastAsia="仿宋_GB2312" w:cs="仿宋_GB2312"/>
          <w:color w:val="auto"/>
          <w:sz w:val="32"/>
          <w:szCs w:val="32"/>
          <w:lang w:val="zh-CN" w:eastAsia="zh-CN"/>
        </w:rPr>
        <w:t>上级检察机关的领导，对汶川县人民代表大会及其常委会负责并报告工作。核心任务是：依托“四大检察”与“十大业务”开展，维护司法公正、保障群众权益、服务基层治理。</w:t>
      </w:r>
    </w:p>
    <w:p w14:paraId="0A80BC01">
      <w:pPr>
        <w:pStyle w:val="27"/>
        <w:keepNext w:val="0"/>
        <w:keepLines w:val="0"/>
        <w:pageBreakBefore w:val="0"/>
        <w:widowControl w:val="0"/>
        <w:kinsoku/>
        <w:wordWrap/>
        <w:overflowPunct/>
        <w:topLinePunct w:val="0"/>
        <w:autoSpaceDE/>
        <w:autoSpaceDN/>
        <w:bidi w:val="0"/>
        <w:adjustRightInd/>
        <w:snapToGrid/>
        <w:spacing w:line="560" w:lineRule="exact"/>
        <w:ind w:firstLine="581" w:firstLineChars="181"/>
        <w:textAlignment w:val="auto"/>
        <w:rPr>
          <w:rFonts w:hint="eastAsia" w:ascii="仿宋_GB2312" w:hAnsi="仿宋_GB2312" w:eastAsia="仿宋_GB2312" w:cs="仿宋_GB2312"/>
          <w:color w:val="auto"/>
          <w:kern w:val="2"/>
          <w:sz w:val="32"/>
          <w:szCs w:val="32"/>
          <w:lang w:val="zh-CN" w:eastAsia="zh-CN" w:bidi="ar-SA"/>
        </w:rPr>
      </w:pPr>
      <w:r>
        <w:rPr>
          <w:rFonts w:hint="eastAsia" w:ascii="仿宋_GB2312" w:hAnsi="Calibri" w:eastAsia="仿宋_GB2312" w:cs="Times New Roman"/>
          <w:b/>
          <w:color w:val="000000"/>
          <w:sz w:val="32"/>
          <w:szCs w:val="32"/>
        </w:rPr>
        <w:t>1.办公室。</w:t>
      </w:r>
      <w:r>
        <w:rPr>
          <w:rFonts w:hint="eastAsia" w:ascii="仿宋_GB2312" w:hAnsi="仿宋_GB2312" w:eastAsia="仿宋_GB2312" w:cs="仿宋_GB2312"/>
          <w:color w:val="auto"/>
          <w:kern w:val="2"/>
          <w:sz w:val="32"/>
          <w:szCs w:val="32"/>
          <w:lang w:val="en-US" w:eastAsia="zh-CN" w:bidi="ar-SA"/>
        </w:rPr>
        <w:t>办公室作为全院综合办事与服务保障中枢，主要承担全院综合文稿、工作报告、领导讲话起草及公文流转、机要保密、档案管理、印章管理等政务服务工作；负责院内各部门及对上对外联络协调，跟踪监督领导批办事项，承办人大代表、政协委员联络建议办理；统筹经费预算、财务报销、资产管理及车辆、基建、装备采购、后勤保障与信息化建设、网络安全保障；同时负责机关日常行政管理、安全保卫、值班安排及检务公开，全力服务检察业务开展，保障全院工作高效规范运行。</w:t>
      </w:r>
    </w:p>
    <w:p w14:paraId="38BC1E19">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color w:val="auto"/>
          <w:sz w:val="32"/>
          <w:szCs w:val="32"/>
          <w:lang w:val="zh-CN" w:eastAsia="zh-CN"/>
        </w:rPr>
      </w:pPr>
      <w:r>
        <w:rPr>
          <w:rFonts w:hint="eastAsia" w:ascii="仿宋_GB2312" w:hAnsi="Calibri" w:eastAsia="仿宋_GB2312" w:cs="Times New Roman"/>
          <w:b/>
          <w:color w:val="000000"/>
          <w:kern w:val="2"/>
          <w:sz w:val="32"/>
          <w:szCs w:val="32"/>
          <w:lang w:val="en-US" w:eastAsia="zh-CN" w:bidi="ar-SA"/>
        </w:rPr>
        <w:t>2.第一检察部（加挂未成年人刑事检察科）。</w:t>
      </w:r>
      <w:r>
        <w:rPr>
          <w:rFonts w:hint="eastAsia" w:ascii="仿宋_GB2312" w:hAnsi="仿宋_GB2312" w:eastAsia="仿宋_GB2312" w:cs="仿宋_GB2312"/>
          <w:color w:val="auto"/>
          <w:sz w:val="32"/>
          <w:szCs w:val="32"/>
        </w:rPr>
        <w:t>主要负责办理普通刑事、重大刑事犯罪案件的审查逮捕、审查起诉、出庭公诉，开展立案、侦查、审判监督，并统筹未成年人检察工作，办理涉未成年人案件，落实未成年人特殊保护、帮教矫治及犯罪预防等职责</w:t>
      </w:r>
      <w:r>
        <w:rPr>
          <w:rFonts w:hint="eastAsia" w:ascii="仿宋_GB2312" w:hAnsi="仿宋_GB2312" w:eastAsia="仿宋_GB2312" w:cs="仿宋_GB2312"/>
          <w:color w:val="auto"/>
          <w:sz w:val="32"/>
          <w:szCs w:val="32"/>
          <w:lang w:eastAsia="zh-CN"/>
        </w:rPr>
        <w:t>。同时负责</w:t>
      </w:r>
      <w:r>
        <w:rPr>
          <w:rFonts w:hint="eastAsia" w:ascii="仿宋_GB2312" w:hAnsi="仿宋_GB2312" w:eastAsia="仿宋_GB2312" w:cs="仿宋_GB2312"/>
          <w:color w:val="auto"/>
          <w:sz w:val="32"/>
          <w:szCs w:val="32"/>
          <w:lang w:val="zh-CN" w:eastAsia="zh-CN"/>
        </w:rPr>
        <w:t>行政执法与刑事司法衔接、社会治安综合治理、维护社会稳定、藏区依法常态化治理等专项工作的开展。</w:t>
      </w:r>
    </w:p>
    <w:p w14:paraId="1F845F8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Calibri" w:eastAsia="仿宋_GB2312" w:cs="Times New Roman"/>
          <w:b/>
          <w:color w:val="000000"/>
          <w:kern w:val="2"/>
          <w:sz w:val="32"/>
          <w:szCs w:val="32"/>
          <w:lang w:val="en-US" w:eastAsia="zh-CN" w:bidi="ar-SA"/>
        </w:rPr>
        <w:t>3.第二检察部。</w:t>
      </w:r>
      <w:r>
        <w:rPr>
          <w:rFonts w:hint="eastAsia" w:ascii="仿宋_GB2312" w:hAnsi="仿宋_GB2312" w:eastAsia="仿宋_GB2312" w:cs="仿宋_GB2312"/>
          <w:color w:val="auto"/>
          <w:sz w:val="32"/>
          <w:szCs w:val="32"/>
          <w:lang w:val="zh-CN" w:eastAsia="zh-CN"/>
        </w:rPr>
        <w:t>主要</w:t>
      </w:r>
      <w:r>
        <w:rPr>
          <w:rFonts w:hint="eastAsia" w:ascii="仿宋_GB2312" w:hAnsi="仿宋_GB2312" w:eastAsia="仿宋_GB2312" w:cs="仿宋_GB2312"/>
          <w:color w:val="auto"/>
          <w:sz w:val="32"/>
          <w:szCs w:val="32"/>
        </w:rPr>
        <w:t>负责开展民事、行政检察监督及生态环境、食品药品安全</w:t>
      </w:r>
      <w:r>
        <w:rPr>
          <w:rFonts w:hint="eastAsia" w:ascii="仿宋_GB2312" w:hAnsi="仿宋_GB2312" w:eastAsia="仿宋_GB2312" w:cs="仿宋_GB2312"/>
          <w:color w:val="auto"/>
          <w:sz w:val="32"/>
          <w:szCs w:val="32"/>
          <w:lang w:eastAsia="zh-CN"/>
        </w:rPr>
        <w:t>、国有财产保护</w:t>
      </w:r>
      <w:r>
        <w:rPr>
          <w:rFonts w:hint="eastAsia" w:ascii="仿宋_GB2312" w:hAnsi="仿宋_GB2312" w:eastAsia="仿宋_GB2312" w:cs="仿宋_GB2312"/>
          <w:color w:val="auto"/>
          <w:sz w:val="32"/>
          <w:szCs w:val="32"/>
        </w:rPr>
        <w:t>等领域公益诉讼工作，同时</w:t>
      </w:r>
      <w:r>
        <w:rPr>
          <w:rFonts w:hint="eastAsia" w:ascii="仿宋_GB2312" w:hAnsi="仿宋_GB2312" w:eastAsia="仿宋_GB2312" w:cs="仿宋_GB2312"/>
          <w:color w:val="auto"/>
          <w:sz w:val="32"/>
          <w:szCs w:val="32"/>
          <w:lang w:eastAsia="zh-CN"/>
        </w:rPr>
        <w:t>统筹</w:t>
      </w:r>
      <w:r>
        <w:rPr>
          <w:rFonts w:hint="eastAsia" w:ascii="仿宋_GB2312" w:hAnsi="仿宋_GB2312" w:eastAsia="仿宋_GB2312" w:cs="仿宋_GB2312"/>
          <w:color w:val="auto"/>
          <w:sz w:val="32"/>
          <w:szCs w:val="32"/>
        </w:rPr>
        <w:t>检察信息化建设、科学技术管理与技术协助保障。</w:t>
      </w:r>
    </w:p>
    <w:p w14:paraId="492B252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cs="Times New Roman"/>
          <w:color w:val="auto"/>
          <w:szCs w:val="32"/>
          <w:lang w:val="zh-CN" w:eastAsia="zh-CN"/>
        </w:rPr>
      </w:pPr>
      <w:r>
        <w:rPr>
          <w:rFonts w:hint="eastAsia" w:ascii="仿宋_GB2312" w:hAnsi="Calibri" w:eastAsia="仿宋_GB2312" w:cs="Times New Roman"/>
          <w:b/>
          <w:color w:val="000000"/>
          <w:kern w:val="2"/>
          <w:sz w:val="32"/>
          <w:szCs w:val="32"/>
          <w:lang w:val="en-US" w:eastAsia="zh-CN" w:bidi="ar-SA"/>
        </w:rPr>
        <w:t>4.第三检察部。</w:t>
      </w:r>
      <w:r>
        <w:rPr>
          <w:rFonts w:hint="eastAsia" w:ascii="仿宋_GB2312" w:hAnsi="仿宋_GB2312" w:eastAsia="仿宋_GB2312" w:cs="仿宋_GB2312"/>
          <w:color w:val="auto"/>
          <w:sz w:val="32"/>
          <w:szCs w:val="32"/>
        </w:rPr>
        <w:t>主要负责对看守所、社区矫正等刑事执行活动开展法律监督，统一受理控告申诉、办理国家赔偿与司法救助，统筹案件管理、流程监控、质量评查及法律政策研究、检委会日常事务</w:t>
      </w:r>
      <w:r>
        <w:rPr>
          <w:rFonts w:hint="eastAsia" w:ascii="仿宋_GB2312" w:hAnsi="仿宋_GB2312" w:eastAsia="仿宋_GB2312" w:cs="仿宋_GB2312"/>
          <w:color w:val="auto"/>
          <w:sz w:val="32"/>
          <w:szCs w:val="32"/>
          <w:lang w:eastAsia="zh-CN"/>
        </w:rPr>
        <w:t>。</w:t>
      </w:r>
    </w:p>
    <w:p w14:paraId="255BD879">
      <w:pPr>
        <w:keepNext w:val="0"/>
        <w:keepLines w:val="0"/>
        <w:pageBreakBefore w:val="0"/>
        <w:widowControl w:val="0"/>
        <w:kinsoku/>
        <w:wordWrap/>
        <w:overflowPunct/>
        <w:topLinePunct w:val="0"/>
        <w:autoSpaceDE/>
        <w:autoSpaceDN/>
        <w:bidi w:val="0"/>
        <w:spacing w:line="560" w:lineRule="exact"/>
        <w:ind w:firstLine="482" w:firstLineChars="150"/>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Calibri" w:eastAsia="仿宋_GB2312" w:cs="Times New Roman"/>
          <w:b/>
          <w:color w:val="000000"/>
          <w:kern w:val="2"/>
          <w:sz w:val="32"/>
          <w:szCs w:val="32"/>
          <w:lang w:val="en-US" w:eastAsia="zh-CN" w:bidi="ar-SA"/>
        </w:rPr>
        <w:t>5.政治部。</w:t>
      </w:r>
      <w:r>
        <w:rPr>
          <w:rFonts w:hint="eastAsia" w:ascii="仿宋_GB2312" w:hAnsi="仿宋_GB2312" w:eastAsia="仿宋_GB2312" w:cs="仿宋_GB2312"/>
          <w:color w:val="auto"/>
          <w:sz w:val="32"/>
          <w:szCs w:val="32"/>
        </w:rPr>
        <w:t>主要负责检察机关党的建设、思想政治、意识形态、组织人事、机构编制、干部管理、教育培训、考核奖惩、检察文化、宣传舆论、检务督察、纪律作风建设，并承担司法警察队伍管理、警务训练及履职保障等队伍建设相关工作。</w:t>
      </w:r>
    </w:p>
    <w:p w14:paraId="509262E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（三）人员概况。</w:t>
      </w:r>
      <w:r>
        <w:rPr>
          <w:rFonts w:hint="eastAsia" w:ascii="仿宋_GB2312" w:hAnsi="仿宋_GB2312" w:eastAsia="仿宋_GB2312" w:cs="仿宋_GB2312"/>
          <w:color w:val="auto"/>
          <w:sz w:val="32"/>
          <w:szCs w:val="32"/>
          <w:lang w:val="zh-CN" w:eastAsia="zh-CN"/>
        </w:rPr>
        <w:t>我院属于行政机关单位，行政人员及工勤人员实行编制管理，其编制由本级编制管理部门核定，截至</w:t>
      </w:r>
      <w:r>
        <w:rPr>
          <w:rFonts w:hint="eastAsia" w:ascii="仿宋_GB2312" w:hAnsi="仿宋_GB2312" w:eastAsia="仿宋_GB2312" w:cs="仿宋_GB2312"/>
          <w:color w:val="auto"/>
          <w:sz w:val="32"/>
          <w:szCs w:val="32"/>
          <w:lang w:val="en-US" w:eastAsia="zh-CN"/>
        </w:rPr>
        <w:t>2025年末</w:t>
      </w:r>
      <w:r>
        <w:rPr>
          <w:rFonts w:hint="eastAsia" w:ascii="仿宋_GB2312" w:hAnsi="仿宋_GB2312" w:eastAsia="仿宋_GB2312" w:cs="仿宋_GB2312"/>
          <w:color w:val="auto"/>
          <w:sz w:val="32"/>
          <w:szCs w:val="32"/>
          <w:lang w:val="zh-CN" w:eastAsia="zh-CN"/>
        </w:rPr>
        <w:t>我院行政编制</w:t>
      </w:r>
      <w:r>
        <w:rPr>
          <w:rFonts w:hint="eastAsia" w:ascii="仿宋_GB2312" w:hAnsi="仿宋_GB2312" w:eastAsia="仿宋_GB2312" w:cs="仿宋_GB2312"/>
          <w:color w:val="auto"/>
          <w:sz w:val="32"/>
          <w:szCs w:val="32"/>
          <w:lang w:val="en-US" w:eastAsia="zh-CN"/>
        </w:rPr>
        <w:t>29</w:t>
      </w:r>
      <w:r>
        <w:rPr>
          <w:rFonts w:hint="eastAsia" w:ascii="仿宋_GB2312" w:hAnsi="仿宋_GB2312" w:eastAsia="仿宋_GB2312" w:cs="仿宋_GB2312"/>
          <w:color w:val="auto"/>
          <w:sz w:val="32"/>
          <w:szCs w:val="32"/>
          <w:lang w:val="zh-CN" w:eastAsia="zh-CN"/>
        </w:rPr>
        <w:t>人，工勤编制2人，实有在职干警</w:t>
      </w:r>
      <w:r>
        <w:rPr>
          <w:rFonts w:hint="eastAsia" w:ascii="仿宋_GB2312" w:hAnsi="仿宋_GB2312" w:eastAsia="仿宋_GB2312" w:cs="仿宋_GB2312"/>
          <w:color w:val="auto"/>
          <w:sz w:val="32"/>
          <w:szCs w:val="32"/>
          <w:lang w:val="en-US" w:eastAsia="zh-CN"/>
        </w:rPr>
        <w:t>31</w:t>
      </w:r>
      <w:r>
        <w:rPr>
          <w:rFonts w:hint="eastAsia" w:ascii="仿宋_GB2312" w:hAnsi="仿宋_GB2312" w:eastAsia="仿宋_GB2312" w:cs="仿宋_GB2312"/>
          <w:color w:val="auto"/>
          <w:sz w:val="32"/>
          <w:szCs w:val="32"/>
          <w:lang w:val="zh-CN" w:eastAsia="zh-CN"/>
        </w:rPr>
        <w:t>人（其中行政人员</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lang w:val="zh-CN" w:eastAsia="zh-CN"/>
        </w:rPr>
        <w:t>人，工勤人员4人），退休干警1</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val="zh-CN" w:eastAsia="zh-CN"/>
        </w:rPr>
        <w:t>人。</w:t>
      </w:r>
    </w:p>
    <w:p w14:paraId="12A72FB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t>二、</w:t>
      </w:r>
      <w:r>
        <w:rPr>
          <w:rFonts w:hint="default" w:ascii="Times New Roman" w:hAnsi="Times New Roman" w:eastAsia="黑体" w:cs="Times New Roman"/>
          <w:color w:val="auto"/>
          <w:kern w:val="0"/>
          <w:sz w:val="32"/>
          <w:szCs w:val="32"/>
          <w:highlight w:val="none"/>
          <w:shd w:val="clear" w:color="auto" w:fill="FFFFFF"/>
          <w:lang w:val="zh-CN" w:eastAsia="zh-CN"/>
        </w:rPr>
        <w:t>部门</w:t>
      </w:r>
      <w:r>
        <w:rPr>
          <w:rFonts w:hint="default" w:ascii="Times New Roman" w:hAnsi="Times New Roman" w:eastAsia="黑体" w:cs="Times New Roman"/>
          <w:color w:val="auto"/>
          <w:kern w:val="0"/>
          <w:sz w:val="32"/>
          <w:szCs w:val="32"/>
          <w:highlight w:val="none"/>
          <w:shd w:val="clear" w:color="auto" w:fill="FFFFFF"/>
          <w:lang w:val="zh-CN"/>
        </w:rPr>
        <w:t>资金收支情况</w:t>
      </w:r>
    </w:p>
    <w:p w14:paraId="79C9695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仿宋_GB2312" w:hAnsi="仿宋_GB2312" w:eastAsia="仿宋_GB2312" w:cs="仿宋_GB2312"/>
          <w:color w:val="auto"/>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ascii="仿宋_GB2312" w:hAnsi="仿宋_GB2312" w:eastAsia="仿宋_GB2312" w:cs="仿宋_GB2312"/>
          <w:color w:val="auto"/>
          <w:sz w:val="32"/>
          <w:szCs w:val="32"/>
          <w:lang w:val="en-US" w:eastAsia="zh-CN"/>
        </w:rPr>
        <w:t>汶川县</w:t>
      </w:r>
      <w:r>
        <w:rPr>
          <w:rFonts w:hint="eastAsia" w:ascii="仿宋_GB2312" w:hAnsi="仿宋_GB2312" w:eastAsia="仿宋_GB2312" w:cs="仿宋_GB2312"/>
          <w:color w:val="auto"/>
          <w:sz w:val="32"/>
          <w:szCs w:val="32"/>
          <w:lang w:val="zh-CN" w:eastAsia="zh-CN"/>
        </w:rPr>
        <w:t>检察院</w:t>
      </w:r>
      <w:r>
        <w:rPr>
          <w:rFonts w:hint="eastAsia" w:ascii="仿宋_GB2312" w:hAnsi="仿宋_GB2312" w:eastAsia="仿宋_GB2312" w:cs="仿宋_GB2312"/>
          <w:color w:val="auto"/>
          <w:sz w:val="32"/>
          <w:szCs w:val="32"/>
          <w:lang w:val="en-US" w:eastAsia="zh-CN"/>
        </w:rPr>
        <w:t>2025年年初预算收入金额为649.96万元。决算报表</w:t>
      </w:r>
      <w:r>
        <w:rPr>
          <w:rFonts w:hint="eastAsia" w:ascii="仿宋_GB2312" w:hAnsi="仿宋_GB2312" w:eastAsia="仿宋_GB2312" w:cs="仿宋_GB2312"/>
          <w:color w:val="auto"/>
          <w:sz w:val="32"/>
          <w:szCs w:val="32"/>
          <w:lang w:val="zh-CN" w:eastAsia="zh-CN"/>
        </w:rPr>
        <w:t>收入总额为</w:t>
      </w:r>
      <w:r>
        <w:rPr>
          <w:rFonts w:hint="eastAsia" w:ascii="仿宋_GB2312" w:hAnsi="仿宋_GB2312" w:eastAsia="仿宋_GB2312" w:cs="仿宋_GB2312"/>
          <w:color w:val="auto"/>
          <w:sz w:val="32"/>
          <w:szCs w:val="32"/>
          <w:lang w:val="en-US" w:eastAsia="zh-CN"/>
        </w:rPr>
        <w:t>1140.34</w:t>
      </w:r>
      <w:r>
        <w:rPr>
          <w:rFonts w:hint="eastAsia" w:ascii="仿宋_GB2312" w:hAnsi="仿宋_GB2312" w:eastAsia="仿宋_GB2312" w:cs="仿宋_GB2312"/>
          <w:color w:val="auto"/>
          <w:sz w:val="32"/>
          <w:szCs w:val="32"/>
          <w:lang w:val="zh-CN" w:eastAsia="zh-CN"/>
        </w:rPr>
        <w:t>万元，其中：当年财政拨款收入</w:t>
      </w:r>
      <w:r>
        <w:rPr>
          <w:rFonts w:hint="eastAsia" w:ascii="仿宋_GB2312" w:hAnsi="仿宋_GB2312" w:eastAsia="仿宋_GB2312" w:cs="仿宋_GB2312"/>
          <w:color w:val="auto"/>
          <w:sz w:val="32"/>
          <w:szCs w:val="32"/>
          <w:lang w:val="en-US" w:eastAsia="zh-CN"/>
        </w:rPr>
        <w:t>835.37</w:t>
      </w:r>
      <w:r>
        <w:rPr>
          <w:rFonts w:hint="eastAsia" w:ascii="仿宋_GB2312" w:hAnsi="仿宋_GB2312" w:eastAsia="仿宋_GB2312" w:cs="仿宋_GB2312"/>
          <w:color w:val="auto"/>
          <w:sz w:val="32"/>
          <w:szCs w:val="32"/>
          <w:lang w:val="zh-CN" w:eastAsia="zh-CN"/>
        </w:rPr>
        <w:t>万元，</w:t>
      </w:r>
      <w:r>
        <w:rPr>
          <w:rFonts w:hint="eastAsia" w:ascii="仿宋_GB2312" w:hAnsi="仿宋_GB2312" w:eastAsia="仿宋_GB2312" w:cs="仿宋_GB2312"/>
          <w:color w:val="auto"/>
          <w:sz w:val="32"/>
          <w:szCs w:val="32"/>
          <w:lang w:val="en-US" w:eastAsia="zh-CN"/>
        </w:rPr>
        <w:t>其他</w:t>
      </w:r>
      <w:r>
        <w:rPr>
          <w:rFonts w:hint="eastAsia" w:ascii="仿宋_GB2312" w:hAnsi="仿宋_GB2312" w:eastAsia="仿宋_GB2312" w:cs="仿宋_GB2312"/>
          <w:color w:val="auto"/>
          <w:sz w:val="32"/>
          <w:szCs w:val="32"/>
          <w:lang w:val="zh-CN" w:eastAsia="zh-CN"/>
        </w:rPr>
        <w:t>收入</w:t>
      </w:r>
      <w:r>
        <w:rPr>
          <w:rFonts w:hint="eastAsia" w:ascii="仿宋_GB2312" w:hAnsi="仿宋_GB2312" w:eastAsia="仿宋_GB2312" w:cs="仿宋_GB2312"/>
          <w:color w:val="auto"/>
          <w:sz w:val="32"/>
          <w:szCs w:val="32"/>
          <w:lang w:val="en-US" w:eastAsia="zh-CN"/>
        </w:rPr>
        <w:t>278.36</w:t>
      </w:r>
      <w:r>
        <w:rPr>
          <w:rFonts w:hint="eastAsia" w:ascii="仿宋_GB2312" w:hAnsi="仿宋_GB2312" w:eastAsia="仿宋_GB2312" w:cs="仿宋_GB2312"/>
          <w:color w:val="auto"/>
          <w:sz w:val="32"/>
          <w:szCs w:val="32"/>
          <w:lang w:val="zh-CN" w:eastAsia="zh-CN"/>
        </w:rPr>
        <w:t>万元（</w:t>
      </w:r>
      <w:r>
        <w:rPr>
          <w:rFonts w:hint="eastAsia" w:ascii="仿宋_GB2312" w:hAnsi="仿宋_GB2312" w:eastAsia="仿宋_GB2312" w:cs="仿宋_GB2312"/>
          <w:color w:val="auto"/>
          <w:sz w:val="32"/>
          <w:szCs w:val="32"/>
          <w:lang w:val="en-US" w:eastAsia="zh-CN"/>
        </w:rPr>
        <w:t>其它收入为县级财政拨款</w:t>
      </w: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代管资金结转收入26.61万元</w:t>
      </w:r>
      <w:r>
        <w:rPr>
          <w:rFonts w:hint="eastAsia" w:ascii="仿宋_GB2312" w:hAnsi="仿宋_GB2312" w:eastAsia="仿宋_GB2312" w:cs="仿宋_GB2312"/>
          <w:color w:val="auto"/>
          <w:sz w:val="32"/>
          <w:szCs w:val="32"/>
          <w:lang w:val="zh-CN" w:eastAsia="zh-CN"/>
        </w:rPr>
        <w:t>。</w:t>
      </w:r>
    </w:p>
    <w:p w14:paraId="7FAC73A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cs="Times New Roman"/>
          <w:color w:val="auto"/>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ascii="仿宋_GB2312" w:hAnsi="仿宋_GB2312" w:eastAsia="仿宋_GB2312" w:cs="仿宋_GB2312"/>
          <w:color w:val="auto"/>
          <w:sz w:val="32"/>
          <w:szCs w:val="32"/>
          <w:lang w:val="zh-CN" w:eastAsia="zh-CN"/>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lang w:val="zh-CN" w:eastAsia="zh-CN"/>
        </w:rPr>
        <w:t>年</w:t>
      </w:r>
      <w:r>
        <w:rPr>
          <w:rFonts w:hint="eastAsia" w:ascii="仿宋_GB2312" w:hAnsi="仿宋_GB2312" w:eastAsia="仿宋_GB2312" w:cs="仿宋_GB2312"/>
          <w:color w:val="auto"/>
          <w:sz w:val="32"/>
          <w:szCs w:val="32"/>
          <w:lang w:val="en-US" w:eastAsia="zh-CN"/>
        </w:rPr>
        <w:t>汶川县</w:t>
      </w:r>
      <w:r>
        <w:rPr>
          <w:rFonts w:hint="eastAsia" w:ascii="仿宋_GB2312" w:hAnsi="仿宋_GB2312" w:eastAsia="仿宋_GB2312" w:cs="仿宋_GB2312"/>
          <w:color w:val="auto"/>
          <w:sz w:val="32"/>
          <w:szCs w:val="32"/>
          <w:lang w:val="zh-CN" w:eastAsia="zh-CN"/>
        </w:rPr>
        <w:t>检察院</w:t>
      </w:r>
      <w:r>
        <w:rPr>
          <w:rFonts w:hint="eastAsia" w:ascii="仿宋_GB2312" w:hAnsi="仿宋_GB2312" w:eastAsia="仿宋_GB2312" w:cs="仿宋_GB2312"/>
          <w:color w:val="auto"/>
          <w:sz w:val="32"/>
          <w:szCs w:val="32"/>
          <w:lang w:val="en-US" w:eastAsia="zh-CN"/>
        </w:rPr>
        <w:t>年初预算支出金额为649.96万元。2025年</w:t>
      </w:r>
      <w:r>
        <w:rPr>
          <w:rFonts w:hint="eastAsia" w:ascii="仿宋_GB2312" w:hAnsi="仿宋_GB2312" w:eastAsia="仿宋_GB2312" w:cs="仿宋_GB2312"/>
          <w:color w:val="auto"/>
          <w:sz w:val="32"/>
          <w:szCs w:val="32"/>
          <w:lang w:val="zh-CN" w:eastAsia="zh-CN"/>
        </w:rPr>
        <w:t>相应安排支出预算</w:t>
      </w:r>
      <w:r>
        <w:rPr>
          <w:rFonts w:hint="eastAsia" w:ascii="仿宋_GB2312" w:hAnsi="仿宋_GB2312" w:eastAsia="仿宋_GB2312" w:cs="仿宋_GB2312"/>
          <w:color w:val="auto"/>
          <w:sz w:val="32"/>
          <w:szCs w:val="32"/>
          <w:lang w:val="en-US" w:eastAsia="zh-CN"/>
        </w:rPr>
        <w:t>1140.34</w:t>
      </w:r>
      <w:r>
        <w:rPr>
          <w:rFonts w:hint="eastAsia" w:ascii="仿宋_GB2312" w:hAnsi="仿宋_GB2312" w:eastAsia="仿宋_GB2312" w:cs="仿宋_GB2312"/>
          <w:color w:val="auto"/>
          <w:sz w:val="32"/>
          <w:szCs w:val="32"/>
          <w:lang w:val="zh-CN" w:eastAsia="zh-CN"/>
        </w:rPr>
        <w:t>万元，其中：公共安全支出</w:t>
      </w:r>
      <w:r>
        <w:rPr>
          <w:rFonts w:hint="eastAsia" w:ascii="仿宋_GB2312" w:hAnsi="仿宋_GB2312" w:eastAsia="仿宋_GB2312" w:cs="仿宋_GB2312"/>
          <w:color w:val="auto"/>
          <w:sz w:val="32"/>
          <w:szCs w:val="32"/>
          <w:lang w:val="en-US" w:eastAsia="zh-CN"/>
        </w:rPr>
        <w:t>892.15</w:t>
      </w:r>
      <w:r>
        <w:rPr>
          <w:rFonts w:hint="eastAsia" w:ascii="仿宋_GB2312" w:hAnsi="仿宋_GB2312" w:eastAsia="仿宋_GB2312" w:cs="仿宋_GB2312"/>
          <w:color w:val="auto"/>
          <w:sz w:val="32"/>
          <w:szCs w:val="32"/>
          <w:lang w:val="zh-CN" w:eastAsia="zh-CN"/>
        </w:rPr>
        <w:t>万元，社会保障和就业支出</w:t>
      </w:r>
      <w:r>
        <w:rPr>
          <w:rFonts w:hint="eastAsia" w:ascii="仿宋_GB2312" w:hAnsi="仿宋_GB2312" w:eastAsia="仿宋_GB2312" w:cs="仿宋_GB2312"/>
          <w:color w:val="auto"/>
          <w:sz w:val="32"/>
          <w:szCs w:val="32"/>
          <w:lang w:val="en-US" w:eastAsia="zh-CN"/>
        </w:rPr>
        <w:t>94.83</w:t>
      </w:r>
      <w:r>
        <w:rPr>
          <w:rFonts w:hint="eastAsia" w:ascii="仿宋_GB2312" w:hAnsi="仿宋_GB2312" w:eastAsia="仿宋_GB2312" w:cs="仿宋_GB2312"/>
          <w:color w:val="auto"/>
          <w:sz w:val="32"/>
          <w:szCs w:val="32"/>
          <w:lang w:val="zh-CN" w:eastAsia="zh-CN"/>
        </w:rPr>
        <w:t>万元，卫生健康支出</w:t>
      </w:r>
      <w:r>
        <w:rPr>
          <w:rFonts w:hint="eastAsia" w:ascii="仿宋_GB2312" w:hAnsi="仿宋_GB2312" w:eastAsia="仿宋_GB2312" w:cs="仿宋_GB2312"/>
          <w:color w:val="auto"/>
          <w:sz w:val="32"/>
          <w:szCs w:val="32"/>
          <w:lang w:val="en-US" w:eastAsia="zh-CN"/>
        </w:rPr>
        <w:t>45.76万元</w:t>
      </w:r>
      <w:r>
        <w:rPr>
          <w:rFonts w:hint="eastAsia" w:ascii="仿宋_GB2312" w:hAnsi="仿宋_GB2312" w:eastAsia="仿宋_GB2312" w:cs="仿宋_GB2312"/>
          <w:color w:val="auto"/>
          <w:sz w:val="32"/>
          <w:szCs w:val="32"/>
          <w:lang w:val="zh-CN" w:eastAsia="zh-CN"/>
        </w:rPr>
        <w:t>，住房保障支出</w:t>
      </w:r>
      <w:r>
        <w:rPr>
          <w:rFonts w:hint="eastAsia" w:ascii="仿宋_GB2312" w:hAnsi="仿宋_GB2312" w:eastAsia="仿宋_GB2312" w:cs="仿宋_GB2312"/>
          <w:color w:val="auto"/>
          <w:sz w:val="32"/>
          <w:szCs w:val="32"/>
          <w:lang w:val="en-US" w:eastAsia="zh-CN"/>
        </w:rPr>
        <w:t>62.81</w:t>
      </w:r>
      <w:r>
        <w:rPr>
          <w:rFonts w:hint="eastAsia" w:ascii="仿宋_GB2312" w:hAnsi="仿宋_GB2312" w:eastAsia="仿宋_GB2312" w:cs="仿宋_GB2312"/>
          <w:color w:val="auto"/>
          <w:sz w:val="32"/>
          <w:szCs w:val="32"/>
          <w:lang w:val="zh-CN" w:eastAsia="zh-CN"/>
        </w:rPr>
        <w:t>万元。</w:t>
      </w:r>
    </w:p>
    <w:p w14:paraId="37B1FAF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（三）结余分配和结转结余情况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color w:val="auto"/>
          <w:sz w:val="32"/>
          <w:szCs w:val="32"/>
          <w:lang w:val="en-US" w:eastAsia="zh-CN"/>
        </w:rPr>
        <w:t>汶川县人民检察院</w:t>
      </w:r>
      <w:r>
        <w:rPr>
          <w:rFonts w:hint="default" w:ascii="仿宋_GB2312" w:hAnsi="仿宋_GB2312" w:eastAsia="仿宋_GB2312" w:cs="仿宋_GB2312"/>
          <w:color w:val="auto"/>
          <w:sz w:val="32"/>
          <w:szCs w:val="32"/>
          <w:lang w:val="en-US" w:eastAsia="zh-CN"/>
        </w:rPr>
        <w:t>202</w:t>
      </w: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val="en-US" w:eastAsia="zh-CN"/>
        </w:rPr>
        <w:t>年决算报表结转结余</w:t>
      </w:r>
      <w:r>
        <w:rPr>
          <w:rFonts w:hint="eastAsia" w:ascii="仿宋_GB2312" w:hAnsi="仿宋_GB2312" w:eastAsia="仿宋_GB2312" w:cs="仿宋_GB2312"/>
          <w:color w:val="auto"/>
          <w:sz w:val="32"/>
          <w:szCs w:val="32"/>
          <w:lang w:val="en-US" w:eastAsia="zh-CN"/>
        </w:rPr>
        <w:t>代管资金44.79万元</w:t>
      </w:r>
      <w:r>
        <w:rPr>
          <w:rFonts w:hint="default" w:ascii="仿宋_GB2312" w:hAnsi="仿宋_GB2312" w:eastAsia="仿宋_GB2312" w:cs="仿宋_GB2312"/>
          <w:color w:val="auto"/>
          <w:sz w:val="32"/>
          <w:szCs w:val="32"/>
          <w:lang w:val="en-US" w:eastAsia="zh-CN"/>
        </w:rPr>
        <w:t>。</w:t>
      </w:r>
    </w:p>
    <w:p w14:paraId="3B88A26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t>三、部门</w:t>
      </w:r>
      <w:r>
        <w:rPr>
          <w:rFonts w:hint="default" w:ascii="Times New Roman" w:hAnsi="Times New Roman" w:eastAsia="黑体" w:cs="Times New Roman"/>
          <w:color w:val="auto"/>
          <w:kern w:val="0"/>
          <w:sz w:val="32"/>
          <w:szCs w:val="32"/>
          <w:highlight w:val="none"/>
          <w:shd w:val="clear" w:color="auto" w:fill="FFFFFF"/>
          <w:lang w:val="zh-CN" w:eastAsia="zh-CN"/>
        </w:rPr>
        <w:t>预算</w:t>
      </w:r>
      <w:r>
        <w:rPr>
          <w:rFonts w:hint="default" w:ascii="Times New Roman" w:hAnsi="Times New Roman" w:eastAsia="黑体" w:cs="Times New Roman"/>
          <w:color w:val="auto"/>
          <w:kern w:val="0"/>
          <w:sz w:val="32"/>
          <w:szCs w:val="32"/>
          <w:highlight w:val="none"/>
          <w:shd w:val="clear" w:color="auto" w:fill="FFFFFF"/>
          <w:lang w:val="zh-CN"/>
        </w:rPr>
        <w:t>绩效</w:t>
      </w:r>
      <w:r>
        <w:rPr>
          <w:rFonts w:hint="default" w:ascii="Times New Roman" w:hAnsi="Times New Roman" w:eastAsia="黑体" w:cs="Times New Roman"/>
          <w:color w:val="auto"/>
          <w:kern w:val="0"/>
          <w:sz w:val="32"/>
          <w:szCs w:val="32"/>
          <w:highlight w:val="none"/>
          <w:shd w:val="clear" w:color="auto" w:fill="FFFFFF"/>
          <w:lang w:val="zh-CN" w:eastAsia="zh-CN"/>
        </w:rPr>
        <w:t>分析</w:t>
      </w:r>
    </w:p>
    <w:p w14:paraId="691C6209">
      <w:pPr>
        <w:keepNext w:val="0"/>
        <w:keepLines w:val="0"/>
        <w:pageBreakBefore w:val="0"/>
        <w:widowControl w:val="0"/>
        <w:kinsoku/>
        <w:wordWrap/>
        <w:overflowPunct/>
        <w:topLinePunct w:val="0"/>
        <w:autoSpaceDE/>
        <w:autoSpaceDN/>
        <w:bidi w:val="0"/>
        <w:adjustRightInd w:val="0"/>
        <w:snapToGrid w:val="0"/>
        <w:spacing w:line="560" w:lineRule="exact"/>
        <w:ind w:firstLine="720"/>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1B9B5C5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rPr>
      </w:pPr>
      <w:r>
        <w:rPr>
          <w:rFonts w:hint="default" w:ascii="仿宋_GB2312" w:hAnsi="Calibri" w:eastAsia="仿宋_GB2312" w:cs="Times New Roman"/>
          <w:b/>
          <w:color w:val="000000"/>
          <w:kern w:val="2"/>
          <w:sz w:val="32"/>
          <w:szCs w:val="32"/>
          <w:lang w:val="en-US" w:eastAsia="zh-CN" w:bidi="ar-SA"/>
        </w:rPr>
        <w:t>1.</w:t>
      </w:r>
      <w:r>
        <w:rPr>
          <w:rFonts w:hint="default" w:ascii="仿宋_GB2312" w:hAnsi="Calibri" w:eastAsia="仿宋_GB2312" w:cs="Times New Roman"/>
          <w:b/>
          <w:color w:val="000000"/>
          <w:kern w:val="2"/>
          <w:sz w:val="32"/>
          <w:szCs w:val="32"/>
          <w:lang w:val="zh-CN" w:eastAsia="zh-CN" w:bidi="ar-SA"/>
        </w:rPr>
        <w:t>履职效能。</w:t>
      </w:r>
      <w:r>
        <w:rPr>
          <w:rFonts w:hint="eastAsia" w:ascii="仿宋_GB2312" w:hAnsi="仿宋_GB2312" w:eastAsia="仿宋_GB2312" w:cs="仿宋_GB2312"/>
          <w:color w:val="auto"/>
          <w:sz w:val="32"/>
          <w:szCs w:val="32"/>
          <w:lang w:val="en-US" w:eastAsia="zh-CN"/>
        </w:rPr>
        <w:t>通过2025年度</w:t>
      </w:r>
      <w:r>
        <w:rPr>
          <w:rFonts w:hint="eastAsia" w:ascii="仿宋_GB2312" w:hAnsi="仿宋_GB2312" w:eastAsia="仿宋_GB2312" w:cs="仿宋_GB2312"/>
          <w:color w:val="auto"/>
          <w:sz w:val="32"/>
          <w:szCs w:val="32"/>
          <w:lang w:val="zh-CN" w:eastAsia="zh-CN"/>
        </w:rPr>
        <w:t>部门整体</w:t>
      </w:r>
      <w:r>
        <w:rPr>
          <w:rFonts w:hint="eastAsia" w:ascii="仿宋_GB2312" w:hAnsi="仿宋_GB2312" w:eastAsia="仿宋_GB2312" w:cs="仿宋_GB2312"/>
          <w:color w:val="auto"/>
          <w:sz w:val="32"/>
          <w:szCs w:val="32"/>
          <w:lang w:val="en-US" w:eastAsia="zh-CN"/>
        </w:rPr>
        <w:t>支出</w:t>
      </w:r>
      <w:r>
        <w:rPr>
          <w:rFonts w:hint="eastAsia" w:ascii="仿宋_GB2312" w:hAnsi="仿宋_GB2312" w:eastAsia="仿宋_GB2312" w:cs="仿宋_GB2312"/>
          <w:color w:val="auto"/>
          <w:sz w:val="32"/>
          <w:szCs w:val="32"/>
          <w:lang w:val="zh-CN" w:eastAsia="zh-CN"/>
        </w:rPr>
        <w:t>绩效目标</w:t>
      </w:r>
      <w:r>
        <w:rPr>
          <w:rFonts w:hint="eastAsia" w:ascii="仿宋_GB2312" w:hAnsi="仿宋_GB2312" w:eastAsia="仿宋_GB2312" w:cs="仿宋_GB2312"/>
          <w:color w:val="auto"/>
          <w:sz w:val="32"/>
          <w:szCs w:val="32"/>
          <w:lang w:val="en-US" w:eastAsia="zh-CN"/>
        </w:rPr>
        <w:t>表</w:t>
      </w: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选定3个核心职能指标，分别是刑事案件办理履职效果、打击犯罪维护社会稳定履职效果和县域公益诉讼检察监督履职效果。根据2025年度部门整体支出绩效目标表指标设定，定量设定我院刑事案件办理数≥120件和公益诉讼检察监督率100%、定性设定我院完成打击犯罪维护社会稳定。具体评分情况：完成刑事案件办理数</w:t>
      </w:r>
      <w:r>
        <w:rPr>
          <w:rFonts w:hint="default" w:ascii="仿宋_GB2312" w:hAnsi="仿宋_GB2312" w:eastAsia="仿宋_GB2312" w:cs="仿宋_GB2312"/>
          <w:color w:val="auto"/>
          <w:sz w:val="32"/>
          <w:szCs w:val="32"/>
        </w:rPr>
        <w:t>133</w:t>
      </w:r>
      <w:r>
        <w:rPr>
          <w:rFonts w:hint="eastAsia" w:ascii="仿宋_GB2312" w:hAnsi="仿宋_GB2312" w:eastAsia="仿宋_GB2312" w:cs="仿宋_GB2312"/>
          <w:color w:val="auto"/>
          <w:sz w:val="32"/>
          <w:szCs w:val="32"/>
          <w:lang w:val="en-US" w:eastAsia="zh-CN"/>
        </w:rPr>
        <w:t>件，</w:t>
      </w:r>
      <w:r>
        <w:rPr>
          <w:rFonts w:hint="default" w:ascii="仿宋_GB2312" w:hAnsi="仿宋_GB2312" w:eastAsia="仿宋_GB2312" w:cs="仿宋_GB2312"/>
          <w:color w:val="auto"/>
          <w:sz w:val="32"/>
          <w:szCs w:val="32"/>
          <w:lang w:val="en-US" w:eastAsia="zh-CN"/>
        </w:rPr>
        <w:t>全力维护国家安全和社会稳定</w:t>
      </w:r>
      <w:r>
        <w:rPr>
          <w:rFonts w:hint="eastAsia" w:ascii="仿宋_GB2312" w:hAnsi="仿宋_GB2312" w:eastAsia="仿宋_GB2312" w:cs="仿宋_GB2312"/>
          <w:color w:val="auto"/>
          <w:sz w:val="32"/>
          <w:szCs w:val="32"/>
          <w:lang w:val="en-US" w:eastAsia="zh-CN"/>
        </w:rPr>
        <w:t>，推进平安汶川建设和履行公共利益保护职能。完成履职效能，最终评定15分。</w:t>
      </w:r>
    </w:p>
    <w:p w14:paraId="12C05EF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Calibri" w:eastAsia="仿宋_GB2312" w:cs="Times New Roman"/>
          <w:b/>
          <w:color w:val="000000"/>
          <w:kern w:val="2"/>
          <w:sz w:val="32"/>
          <w:szCs w:val="32"/>
          <w:lang w:val="en-US" w:eastAsia="zh-CN" w:bidi="ar-SA"/>
        </w:rPr>
        <w:t>2.</w:t>
      </w:r>
      <w:r>
        <w:rPr>
          <w:rFonts w:hint="default" w:ascii="仿宋_GB2312" w:hAnsi="Calibri" w:eastAsia="仿宋_GB2312" w:cs="Times New Roman"/>
          <w:b/>
          <w:color w:val="000000"/>
          <w:kern w:val="2"/>
          <w:sz w:val="32"/>
          <w:szCs w:val="32"/>
          <w:lang w:val="zh-CN" w:eastAsia="zh-CN" w:bidi="ar-SA"/>
        </w:rPr>
        <w:t>预算管理。</w:t>
      </w:r>
      <w:r>
        <w:rPr>
          <w:rFonts w:hint="eastAsia" w:ascii="仿宋_GB2312" w:hAnsi="仿宋_GB2312" w:eastAsia="仿宋_GB2312" w:cs="仿宋_GB2312"/>
          <w:color w:val="auto"/>
          <w:sz w:val="32"/>
          <w:szCs w:val="32"/>
        </w:rPr>
        <w:t>严格按照财政部门要求科学编制年度预算，坚持“量入为出、统筹兼顾、保障重点”原则，优先保障办案业务、检察装备、信息化建设等刚性支出。</w:t>
      </w:r>
      <w:r>
        <w:rPr>
          <w:rFonts w:hint="eastAsia" w:ascii="仿宋_GB2312" w:hAnsi="仿宋_GB2312" w:eastAsia="仿宋_GB2312" w:cs="仿宋_GB2312"/>
          <w:color w:val="auto"/>
          <w:sz w:val="32"/>
          <w:szCs w:val="32"/>
          <w:lang w:val="en-US" w:eastAsia="zh-CN"/>
        </w:rPr>
        <w:t>确保了年初预算编制的科学性和准确性，我院不存在自有收入。</w:t>
      </w:r>
      <w:r>
        <w:rPr>
          <w:rFonts w:hint="eastAsia" w:ascii="仿宋_GB2312" w:hAnsi="仿宋_GB2312" w:eastAsia="仿宋_GB2312" w:cs="仿宋_GB2312"/>
          <w:color w:val="auto"/>
          <w:sz w:val="32"/>
          <w:szCs w:val="32"/>
        </w:rPr>
        <w:t>强化预算执行动态监控，定期分析执行进度，及时纠偏，确保预算执行合法合规、高效有序。</w:t>
      </w:r>
      <w:r>
        <w:rPr>
          <w:rFonts w:hint="eastAsia" w:ascii="仿宋_GB2312" w:hAnsi="仿宋_GB2312" w:eastAsia="仿宋_GB2312" w:cs="仿宋_GB2312"/>
          <w:color w:val="auto"/>
          <w:sz w:val="32"/>
          <w:szCs w:val="32"/>
          <w:lang w:val="en-US" w:eastAsia="zh-CN"/>
        </w:rPr>
        <w:t>分别在6月和10月监控单位资金支付进度，及时关注预算年终结余情况。严控“三公”经费、会议、培训、差旅、办公设备购置、信息网络及软件购置更新等一般性支出情况，</w:t>
      </w:r>
      <w:r>
        <w:rPr>
          <w:rFonts w:hint="eastAsia" w:ascii="仿宋_GB2312" w:hAnsi="仿宋_GB2312" w:eastAsia="仿宋_GB2312" w:cs="仿宋_GB2312"/>
          <w:color w:val="auto"/>
          <w:sz w:val="32"/>
          <w:szCs w:val="32"/>
        </w:rPr>
        <w:t>做到审批流程完整、票据真实合规、报销手续齐全。</w:t>
      </w:r>
      <w:r>
        <w:rPr>
          <w:rFonts w:hint="eastAsia" w:ascii="仿宋_GB2312" w:hAnsi="仿宋_GB2312" w:eastAsia="仿宋_GB2312" w:cs="仿宋_GB2312"/>
          <w:color w:val="auto"/>
          <w:sz w:val="32"/>
          <w:szCs w:val="32"/>
          <w:lang w:val="en-US" w:eastAsia="zh-CN"/>
        </w:rPr>
        <w:t>具体评分情况：财政拨款预算偏离度为0.03，资产配置预算偏离度和政府采购预算偏离度均为0，故预算编制质量和单位收入统筹合并计算得分11.89分。通过资金支付情况计算支出执行进度计算得分5.7分。通过预算年终结余情况计算得分1.93分。通过严控一般性支出计算得分3.4分。预算管理最终评定22.92分。</w:t>
      </w:r>
    </w:p>
    <w:p w14:paraId="699F97B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lang w:val="zh-CN" w:eastAsia="zh-CN"/>
        </w:rPr>
      </w:pPr>
      <w:r>
        <w:rPr>
          <w:rFonts w:hint="default" w:ascii="仿宋_GB2312" w:hAnsi="Calibri" w:eastAsia="仿宋_GB2312" w:cs="Times New Roman"/>
          <w:b/>
          <w:color w:val="000000"/>
          <w:kern w:val="2"/>
          <w:sz w:val="32"/>
          <w:szCs w:val="32"/>
          <w:lang w:val="en-US" w:eastAsia="zh-CN" w:bidi="ar-SA"/>
        </w:rPr>
        <w:t>3.</w:t>
      </w:r>
      <w:r>
        <w:rPr>
          <w:rFonts w:hint="default" w:ascii="仿宋_GB2312" w:hAnsi="Calibri" w:eastAsia="仿宋_GB2312" w:cs="Times New Roman"/>
          <w:b/>
          <w:color w:val="000000"/>
          <w:kern w:val="2"/>
          <w:sz w:val="32"/>
          <w:szCs w:val="32"/>
          <w:lang w:val="zh-CN" w:eastAsia="zh-CN" w:bidi="ar-SA"/>
        </w:rPr>
        <w:t>财务管理。</w:t>
      </w:r>
      <w:r>
        <w:rPr>
          <w:rFonts w:hint="eastAsia" w:ascii="仿宋_GB2312" w:hAnsi="仿宋_GB2312" w:eastAsia="仿宋_GB2312" w:cs="仿宋_GB2312"/>
          <w:color w:val="auto"/>
          <w:sz w:val="32"/>
          <w:szCs w:val="32"/>
          <w:lang w:val="zh-CN" w:eastAsia="zh-CN"/>
        </w:rPr>
        <w:t>进一步</w:t>
      </w:r>
      <w:r>
        <w:rPr>
          <w:rFonts w:hint="eastAsia" w:ascii="仿宋_GB2312" w:hAnsi="仿宋_GB2312" w:eastAsia="仿宋_GB2312" w:cs="仿宋_GB2312"/>
          <w:color w:val="auto"/>
          <w:sz w:val="32"/>
          <w:szCs w:val="32"/>
        </w:rPr>
        <w:t>完善财务管理制度体系，健全岗位分离、授权审批、票据管理、账务处理等内控流程。严格执行不相容岗位分离制度，做到会计、出纳、审核、审批相互制约、相互监督。定期开展财务自查、内部审计，及时发现并整改薄弱环节，有效防范财务风险。</w:t>
      </w:r>
      <w:r>
        <w:rPr>
          <w:rFonts w:hint="eastAsia" w:ascii="仿宋_GB2312" w:hAnsi="仿宋_GB2312" w:eastAsia="仿宋_GB2312" w:cs="仿宋_GB2312"/>
          <w:color w:val="auto"/>
          <w:sz w:val="32"/>
          <w:szCs w:val="32"/>
          <w:lang w:val="en-US" w:eastAsia="zh-CN"/>
        </w:rPr>
        <w:t>财务管理最终评定10分。</w:t>
      </w:r>
    </w:p>
    <w:p w14:paraId="59F4C79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default" w:ascii="仿宋_GB2312" w:hAnsi="Calibri" w:eastAsia="仿宋_GB2312" w:cs="Times New Roman"/>
          <w:b/>
          <w:color w:val="000000"/>
          <w:kern w:val="2"/>
          <w:sz w:val="32"/>
          <w:szCs w:val="32"/>
          <w:lang w:val="en-US" w:eastAsia="zh-CN" w:bidi="ar-SA"/>
        </w:rPr>
        <w:t>4.</w:t>
      </w:r>
      <w:r>
        <w:rPr>
          <w:rFonts w:hint="default" w:ascii="仿宋_GB2312" w:hAnsi="Calibri" w:eastAsia="仿宋_GB2312" w:cs="Times New Roman"/>
          <w:b/>
          <w:color w:val="000000"/>
          <w:kern w:val="2"/>
          <w:sz w:val="32"/>
          <w:szCs w:val="32"/>
          <w:lang w:val="zh-CN" w:eastAsia="zh-CN" w:bidi="ar-SA"/>
        </w:rPr>
        <w:t>资产管理。</w:t>
      </w:r>
      <w:r>
        <w:rPr>
          <w:rFonts w:hint="eastAsia" w:ascii="仿宋_GB2312" w:hAnsi="仿宋_GB2312" w:eastAsia="仿宋_GB2312" w:cs="仿宋_GB2312"/>
          <w:color w:val="auto"/>
          <w:sz w:val="32"/>
          <w:szCs w:val="32"/>
          <w:lang w:val="en-US" w:eastAsia="zh-CN"/>
        </w:rPr>
        <w:t>经计算，2025年我院人均资产变化率为0.65%高于州直行政事业单位人均资产变化率-3.49%。办公家具超最低使用年限资产利用率为28.18%，高于州直行政事业单位办公家具利用率12.93%。办公设备超最低使用年限资产利用率为31.62%，高于州直行政事业单位办公设备利用率53.14%。根据分级评分法，人均资产变化率得分0分，资产利用率得分1.8分。资产管理最终评定6分。</w:t>
      </w:r>
    </w:p>
    <w:p w14:paraId="4EB03A3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r>
        <w:rPr>
          <w:rFonts w:hint="eastAsia" w:ascii="仿宋_GB2312" w:hAnsi="Calibri" w:eastAsia="仿宋_GB2312" w:cs="Times New Roman"/>
          <w:b/>
          <w:color w:val="000000"/>
          <w:kern w:val="2"/>
          <w:sz w:val="32"/>
          <w:szCs w:val="32"/>
          <w:lang w:val="en-US" w:eastAsia="zh-CN" w:bidi="ar-SA"/>
        </w:rPr>
        <w:t>5.采购管理。</w:t>
      </w:r>
      <w:r>
        <w:rPr>
          <w:rFonts w:hint="eastAsia" w:ascii="仿宋_GB2312" w:hAnsi="仿宋_GB2312" w:eastAsia="仿宋_GB2312" w:cs="仿宋_GB2312"/>
          <w:color w:val="auto"/>
          <w:sz w:val="32"/>
          <w:szCs w:val="32"/>
          <w:lang w:val="en-US" w:eastAsia="zh-CN"/>
        </w:rPr>
        <w:t>严格执行政府采购促进中小企业发展相关管理办法，预留份额专门面向中小企业采购，部门年初预算没有政府采购预算，总体绩效最终评定6分。</w:t>
      </w:r>
    </w:p>
    <w:p w14:paraId="7D9E8E7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仿宋_GB2312" w:hAnsi="仿宋_GB2312" w:eastAsia="仿宋_GB2312" w:cs="仿宋_GB2312"/>
          <w:color w:val="auto"/>
          <w:sz w:val="32"/>
          <w:szCs w:val="32"/>
          <w:lang w:val="zh-CN"/>
        </w:rPr>
        <w:t>。</w:t>
      </w:r>
    </w:p>
    <w:p w14:paraId="3E5998E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Calibri" w:eastAsia="仿宋_GB2312" w:cs="Times New Roman"/>
          <w:b/>
          <w:color w:val="000000"/>
          <w:kern w:val="2"/>
          <w:sz w:val="32"/>
          <w:szCs w:val="32"/>
          <w:lang w:val="en-US" w:eastAsia="zh-CN" w:bidi="ar-SA"/>
        </w:rPr>
        <w:t>1.</w:t>
      </w:r>
      <w:r>
        <w:rPr>
          <w:rFonts w:hint="default" w:ascii="仿宋_GB2312" w:hAnsi="Calibri" w:eastAsia="仿宋_GB2312" w:cs="Times New Roman"/>
          <w:b/>
          <w:color w:val="000000"/>
          <w:kern w:val="2"/>
          <w:sz w:val="32"/>
          <w:szCs w:val="32"/>
          <w:lang w:val="zh-CN" w:eastAsia="zh-CN" w:bidi="ar-SA"/>
        </w:rPr>
        <w:t>项目决策。</w:t>
      </w:r>
      <w:r>
        <w:rPr>
          <w:rFonts w:hint="eastAsia" w:ascii="仿宋_GB2312" w:hAnsi="仿宋_GB2312" w:eastAsia="仿宋_GB2312" w:cs="仿宋_GB2312"/>
          <w:color w:val="auto"/>
          <w:sz w:val="32"/>
          <w:szCs w:val="32"/>
          <w:lang w:val="en-US" w:eastAsia="zh-CN"/>
        </w:rPr>
        <w:t>我院2025年项目主要涉及工资资金项目、单位资金项目、聘用人员经费项目、公用经费项目、退休人员项目、中央政法转移支付项目。以上项目均为日常办案保障经费和人员相关经费，项目均开展。项目目标为保障检察工作正常运转，不断提升检察工作水平，提高人民群众对司法满意度。项目设置科学合理、规范完整、量化细化、预算匹配。在规定时间内完成项目入库，保障资金执行。项目决策最终评定12分。</w:t>
      </w:r>
    </w:p>
    <w:p w14:paraId="25F1C58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Calibri" w:eastAsia="仿宋_GB2312" w:cs="Times New Roman"/>
          <w:b/>
          <w:color w:val="000000"/>
          <w:kern w:val="2"/>
          <w:sz w:val="32"/>
          <w:szCs w:val="32"/>
          <w:lang w:val="en-US" w:eastAsia="zh-CN" w:bidi="ar-SA"/>
        </w:rPr>
        <w:t>2.项目执行</w:t>
      </w:r>
      <w:r>
        <w:rPr>
          <w:rFonts w:hint="default" w:ascii="仿宋_GB2312" w:hAnsi="Calibri" w:eastAsia="仿宋_GB2312" w:cs="Times New Roman"/>
          <w:b/>
          <w:color w:val="000000"/>
          <w:kern w:val="2"/>
          <w:sz w:val="32"/>
          <w:szCs w:val="32"/>
          <w:lang w:val="zh-CN" w:eastAsia="zh-CN" w:bidi="ar-SA"/>
        </w:rPr>
        <w:t>。</w:t>
      </w:r>
      <w:r>
        <w:rPr>
          <w:rFonts w:hint="eastAsia" w:ascii="仿宋_GB2312" w:hAnsi="仿宋_GB2312" w:eastAsia="仿宋_GB2312" w:cs="仿宋_GB2312"/>
          <w:color w:val="auto"/>
          <w:sz w:val="32"/>
          <w:szCs w:val="32"/>
          <w:lang w:val="en-US" w:eastAsia="zh-CN"/>
        </w:rPr>
        <w:t>我院预算项目实际列支内容与绩效目标设置方向相符，采取相对应的项目调整措施，积极执行项目预算。</w:t>
      </w:r>
      <w:r>
        <w:rPr>
          <w:rFonts w:hint="default" w:ascii="仿宋_GB2312" w:hAnsi="仿宋_GB2312" w:eastAsia="仿宋_GB2312" w:cs="仿宋_GB2312"/>
          <w:color w:val="auto"/>
          <w:sz w:val="32"/>
          <w:szCs w:val="32"/>
          <w:lang w:val="zh-CN" w:eastAsia="zh-CN"/>
        </w:rPr>
        <w:t>1</w:t>
      </w:r>
      <w:r>
        <w:rPr>
          <w:rFonts w:hint="eastAsia" w:ascii="仿宋_GB2312" w:hAnsi="仿宋_GB2312" w:eastAsia="仿宋_GB2312" w:cs="仿宋_GB2312"/>
          <w:color w:val="auto"/>
          <w:sz w:val="32"/>
          <w:szCs w:val="32"/>
          <w:lang w:val="zh-CN" w:eastAsia="zh-CN"/>
        </w:rPr>
        <w:t>—</w:t>
      </w:r>
      <w:r>
        <w:rPr>
          <w:rFonts w:hint="default" w:ascii="仿宋_GB2312" w:hAnsi="仿宋_GB2312" w:eastAsia="仿宋_GB2312" w:cs="仿宋_GB2312"/>
          <w:color w:val="auto"/>
          <w:sz w:val="32"/>
          <w:szCs w:val="32"/>
          <w:lang w:val="zh-CN" w:eastAsia="zh-CN"/>
        </w:rPr>
        <w:t>1</w:t>
      </w:r>
      <w:r>
        <w:rPr>
          <w:rFonts w:hint="default"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zh-CN" w:eastAsia="zh-CN"/>
        </w:rPr>
        <w:t>月</w:t>
      </w:r>
      <w:r>
        <w:rPr>
          <w:rFonts w:hint="eastAsia" w:ascii="仿宋_GB2312" w:hAnsi="仿宋_GB2312" w:eastAsia="仿宋_GB2312" w:cs="仿宋_GB2312"/>
          <w:color w:val="auto"/>
          <w:sz w:val="32"/>
          <w:szCs w:val="32"/>
          <w:lang w:val="en-US" w:eastAsia="zh-CN"/>
        </w:rPr>
        <w:t>预算结余率小于10%的一次性项目数量为3项，部门预算一次性项目和阶段项目总数为8项。计算项目执行得分2.75分。项目执行最终评定10.75分。</w:t>
      </w:r>
    </w:p>
    <w:p w14:paraId="63733C3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r>
        <w:rPr>
          <w:rFonts w:hint="default" w:ascii="仿宋_GB2312" w:hAnsi="Calibri" w:eastAsia="仿宋_GB2312" w:cs="Times New Roman"/>
          <w:b/>
          <w:color w:val="000000"/>
          <w:kern w:val="2"/>
          <w:sz w:val="32"/>
          <w:szCs w:val="32"/>
          <w:lang w:val="en-US" w:eastAsia="zh-CN" w:bidi="ar-SA"/>
        </w:rPr>
        <w:t>3.</w:t>
      </w:r>
      <w:r>
        <w:rPr>
          <w:rFonts w:hint="default" w:ascii="仿宋_GB2312" w:hAnsi="Calibri" w:eastAsia="仿宋_GB2312" w:cs="Times New Roman"/>
          <w:b/>
          <w:color w:val="000000"/>
          <w:kern w:val="2"/>
          <w:sz w:val="32"/>
          <w:szCs w:val="32"/>
          <w:lang w:val="zh-CN" w:eastAsia="zh-CN" w:bidi="ar-SA"/>
        </w:rPr>
        <w:t>目标实现。</w:t>
      </w:r>
      <w:r>
        <w:rPr>
          <w:rFonts w:hint="eastAsia" w:ascii="仿宋_GB2312" w:hAnsi="仿宋_GB2312" w:eastAsia="仿宋_GB2312" w:cs="仿宋_GB2312"/>
          <w:color w:val="auto"/>
          <w:sz w:val="32"/>
          <w:szCs w:val="32"/>
          <w:lang w:val="en-US" w:eastAsia="zh-CN"/>
        </w:rPr>
        <w:t>我院8个预算项目均设置了产出指标和效益指标，其中8个项目设置的产出指标和效益指标均完成。实现了围绕党委中心工作，立足检察职能，进一步强化法律监督，维护公平正义，促进社会和谐，不断开创汶川检察工作新局面的部门整体绩效目标。目标实现最终评定11分。</w:t>
      </w:r>
    </w:p>
    <w:p w14:paraId="7B6D658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（三）绩效结果应用情况。</w:t>
      </w:r>
      <w:r>
        <w:rPr>
          <w:rFonts w:hint="eastAsia" w:ascii="仿宋_GB2312" w:hAnsi="仿宋_GB2312" w:eastAsia="仿宋_GB2312" w:cs="仿宋_GB2312"/>
          <w:color w:val="auto"/>
          <w:sz w:val="32"/>
          <w:szCs w:val="32"/>
          <w:lang w:val="en-US" w:eastAsia="zh-CN"/>
        </w:rPr>
        <w:t>2026年我院对2025年度部门整体绩效进行自评，对资金项目开展绩效考核，形成评价报告。对于自评存在的问题积极思考改进措施，成为编制下年度预算的重要依据。向单位党组汇报经费使用情况，并向党组请示单位资金使用计划，合理规划单位资金，确保资金及时准确支付，有力地促进单位各部门加强预算绩效管理。</w:t>
      </w:r>
    </w:p>
    <w:p w14:paraId="7C04169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eastAsia="zh-CN"/>
        </w:rPr>
        <w:t>四、</w:t>
      </w:r>
      <w:r>
        <w:rPr>
          <w:rFonts w:hint="default" w:ascii="Times New Roman" w:hAnsi="Times New Roman" w:eastAsia="黑体" w:cs="Times New Roman"/>
          <w:color w:val="auto"/>
          <w:kern w:val="0"/>
          <w:sz w:val="32"/>
          <w:szCs w:val="32"/>
          <w:highlight w:val="none"/>
          <w:shd w:val="clear" w:color="auto" w:fill="FFFFFF"/>
          <w:lang w:val="zh-CN"/>
        </w:rPr>
        <w:t>评价结论及建议</w:t>
      </w:r>
    </w:p>
    <w:p w14:paraId="07E21BA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仿宋_GB2312" w:hAnsi="仿宋_GB2312" w:eastAsia="仿宋_GB2312" w:cs="仿宋_GB2312"/>
          <w:color w:val="auto"/>
          <w:sz w:val="32"/>
          <w:szCs w:val="32"/>
          <w:lang w:val="en-US" w:eastAsia="zh-CN"/>
        </w:rPr>
        <w:t>2025年，我院不断改善绩效目标编制的规范性、专业性和量化水平。积极履行检察职能，加强单位预算管理，确保预算资金执行的准确性和高效性。严格按照财务管理制度规范单位资金使用情况，加强项目管理，推进项目执行，达到预期目标。总体得分为89.47分。</w:t>
      </w:r>
    </w:p>
    <w:p w14:paraId="128E087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仿宋_GB2312" w:hAnsi="仿宋_GB2312" w:eastAsia="仿宋_GB2312" w:cs="仿宋_GB2312"/>
          <w:color w:val="auto"/>
          <w:sz w:val="32"/>
          <w:szCs w:val="32"/>
          <w:lang w:val="en-US" w:eastAsia="zh-CN"/>
        </w:rPr>
        <w:t>一是</w:t>
      </w:r>
      <w:r>
        <w:rPr>
          <w:rFonts w:hint="eastAsia" w:ascii="仿宋_GB2312" w:hAnsi="仿宋_GB2312" w:eastAsia="仿宋_GB2312" w:cs="仿宋_GB2312"/>
          <w:color w:val="auto"/>
          <w:sz w:val="32"/>
          <w:szCs w:val="32"/>
        </w:rPr>
        <w:t>预算编制精细化程度仍需提升，部分项目预算与实际执行存在偏差。</w:t>
      </w:r>
      <w:r>
        <w:rPr>
          <w:rFonts w:hint="eastAsia" w:ascii="仿宋_GB2312" w:hAnsi="仿宋_GB2312" w:eastAsia="仿宋_GB2312" w:cs="仿宋_GB2312"/>
          <w:color w:val="auto"/>
          <w:sz w:val="32"/>
          <w:szCs w:val="32"/>
          <w:lang w:val="en-US" w:eastAsia="zh-CN"/>
        </w:rPr>
        <w:t>比如当年中央转移支付资金下达较晚并且上年结转资金仍在使用，导致年末本年度相关资金支付进度慢，资金拨付少，影响当年特定项目类资金绩效监控与评价二是</w:t>
      </w:r>
      <w:r>
        <w:rPr>
          <w:rFonts w:hint="eastAsia" w:ascii="仿宋_GB2312" w:hAnsi="仿宋_GB2312" w:eastAsia="仿宋_GB2312" w:cs="仿宋_GB2312"/>
          <w:color w:val="auto"/>
          <w:sz w:val="32"/>
          <w:szCs w:val="32"/>
        </w:rPr>
        <w:t>预算绩效管理意识有待加强，绩效目标设定、过程监控、结果运用需进一步完善。</w:t>
      </w:r>
      <w:r>
        <w:rPr>
          <w:rFonts w:hint="eastAsia" w:ascii="仿宋_GB2312" w:hAnsi="仿宋_GB2312" w:eastAsia="仿宋_GB2312" w:cs="仿宋_GB2312"/>
          <w:color w:val="auto"/>
          <w:sz w:val="32"/>
          <w:szCs w:val="32"/>
          <w:lang w:val="en-US" w:eastAsia="zh-CN"/>
        </w:rPr>
        <w:t>三是</w:t>
      </w:r>
      <w:r>
        <w:rPr>
          <w:rFonts w:hint="eastAsia" w:ascii="仿宋_GB2312" w:hAnsi="仿宋_GB2312" w:eastAsia="仿宋_GB2312" w:cs="仿宋_GB2312"/>
          <w:color w:val="auto"/>
          <w:sz w:val="32"/>
          <w:szCs w:val="32"/>
        </w:rPr>
        <w:t>信息化财务管理水平仍需提升，数据共享、动态监管能力有待加强。</w:t>
      </w:r>
      <w:r>
        <w:rPr>
          <w:rFonts w:hint="eastAsia" w:ascii="仿宋_GB2312" w:hAnsi="仿宋_GB2312" w:eastAsia="仿宋_GB2312" w:cs="仿宋_GB2312"/>
          <w:color w:val="auto"/>
          <w:sz w:val="32"/>
          <w:szCs w:val="32"/>
          <w:lang w:eastAsia="zh-CN"/>
        </w:rPr>
        <w:t>比如</w:t>
      </w:r>
      <w:r>
        <w:rPr>
          <w:rFonts w:hint="eastAsia" w:ascii="仿宋_GB2312" w:hAnsi="仿宋_GB2312" w:eastAsia="仿宋_GB2312" w:cs="仿宋_GB2312"/>
          <w:color w:val="auto"/>
          <w:sz w:val="32"/>
          <w:szCs w:val="32"/>
          <w:lang w:val="en-US" w:eastAsia="zh-CN"/>
        </w:rPr>
        <w:t>单位资产管理方面由于</w:t>
      </w:r>
      <w:r>
        <w:rPr>
          <w:rFonts w:hint="eastAsia" w:ascii="仿宋_GB2312" w:hAnsi="仿宋_GB2312" w:eastAsia="仿宋_GB2312" w:cs="仿宋_GB2312"/>
          <w:color w:val="auto"/>
          <w:sz w:val="32"/>
          <w:szCs w:val="32"/>
        </w:rPr>
        <w:t>信息化应用滞后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动态监管不到位</w:t>
      </w:r>
      <w:r>
        <w:rPr>
          <w:rFonts w:hint="eastAsia" w:ascii="仿宋_GB2312" w:hAnsi="仿宋_GB2312" w:eastAsia="仿宋_GB2312" w:cs="仿宋_GB2312"/>
          <w:color w:val="auto"/>
          <w:sz w:val="32"/>
          <w:szCs w:val="32"/>
          <w:lang w:eastAsia="zh-CN"/>
        </w:rPr>
        <w:t>，导致</w:t>
      </w:r>
      <w:r>
        <w:rPr>
          <w:rFonts w:hint="eastAsia" w:ascii="仿宋_GB2312" w:hAnsi="仿宋_GB2312" w:eastAsia="仿宋_GB2312" w:cs="仿宋_GB2312"/>
          <w:color w:val="auto"/>
          <w:sz w:val="32"/>
          <w:szCs w:val="32"/>
        </w:rPr>
        <w:t>资源配置不均，</w:t>
      </w:r>
      <w:r>
        <w:rPr>
          <w:rFonts w:hint="eastAsia" w:ascii="仿宋_GB2312" w:hAnsi="仿宋_GB2312" w:eastAsia="仿宋_GB2312" w:cs="仿宋_GB2312"/>
          <w:color w:val="auto"/>
          <w:sz w:val="32"/>
          <w:szCs w:val="32"/>
          <w:lang w:val="en-US" w:eastAsia="zh-CN"/>
        </w:rPr>
        <w:t>资产的利用和保护不足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对已完成折旧的资产也未及时盘点。</w:t>
      </w:r>
      <w:r>
        <w:rPr>
          <w:rFonts w:hint="eastAsia" w:ascii="仿宋_GB2312" w:hAnsi="仿宋_GB2312" w:eastAsia="仿宋_GB2312" w:cs="仿宋_GB2312"/>
          <w:color w:val="auto"/>
          <w:sz w:val="32"/>
          <w:szCs w:val="32"/>
          <w:lang w:eastAsia="zh-CN"/>
        </w:rPr>
        <w:t>四是</w:t>
      </w:r>
      <w:r>
        <w:rPr>
          <w:rFonts w:hint="eastAsia" w:ascii="仿宋_GB2312" w:hAnsi="仿宋_GB2312" w:eastAsia="仿宋_GB2312" w:cs="仿宋_GB2312"/>
          <w:color w:val="auto"/>
          <w:sz w:val="32"/>
          <w:szCs w:val="32"/>
        </w:rPr>
        <w:t>预算编制精细化程度仍需提升，部分项目预算与实际执行存在偏差。</w:t>
      </w:r>
    </w:p>
    <w:p w14:paraId="17DBD50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49" w:name="_Hlk110546638"/>
      <w:r>
        <w:rPr>
          <w:rFonts w:hint="eastAsia" w:ascii="仿宋_GB2312" w:hAnsi="仿宋_GB2312" w:eastAsia="仿宋_GB2312" w:cs="仿宋_GB2312"/>
          <w:color w:val="auto"/>
          <w:sz w:val="32"/>
          <w:szCs w:val="32"/>
          <w:lang w:val="en-US" w:eastAsia="zh-CN"/>
        </w:rPr>
        <w:t>一是充分认识全面实施预算绩效管理的重要意义，</w:t>
      </w:r>
      <w:r>
        <w:rPr>
          <w:rFonts w:hint="default" w:ascii="仿宋_GB2312" w:hAnsi="仿宋_GB2312" w:eastAsia="仿宋_GB2312" w:cs="仿宋_GB2312"/>
          <w:color w:val="auto"/>
          <w:sz w:val="32"/>
          <w:szCs w:val="32"/>
          <w:lang w:val="en-US" w:eastAsia="zh-CN"/>
        </w:rPr>
        <w:t>进一步提升预算编制科学性、精准性，强化预算执行刚性约束。</w:t>
      </w:r>
      <w:r>
        <w:rPr>
          <w:rFonts w:hint="eastAsia" w:ascii="仿宋_GB2312" w:hAnsi="仿宋_GB2312" w:eastAsia="仿宋_GB2312" w:cs="仿宋_GB2312"/>
          <w:color w:val="auto"/>
          <w:sz w:val="32"/>
          <w:szCs w:val="32"/>
          <w:lang w:val="en-US" w:eastAsia="zh-CN"/>
        </w:rPr>
        <w:t>二是</w:t>
      </w:r>
      <w:r>
        <w:rPr>
          <w:rFonts w:hint="default" w:ascii="仿宋_GB2312" w:hAnsi="仿宋_GB2312" w:eastAsia="仿宋_GB2312" w:cs="仿宋_GB2312"/>
          <w:color w:val="auto"/>
          <w:sz w:val="32"/>
          <w:szCs w:val="32"/>
          <w:lang w:val="en-US" w:eastAsia="zh-CN"/>
        </w:rPr>
        <w:t>健全预算绩效管理制度，</w:t>
      </w:r>
      <w:r>
        <w:rPr>
          <w:rFonts w:hint="eastAsia" w:ascii="仿宋_GB2312" w:hAnsi="仿宋_GB2312" w:eastAsia="仿宋_GB2312" w:cs="仿宋_GB2312"/>
          <w:color w:val="auto"/>
          <w:sz w:val="32"/>
          <w:szCs w:val="32"/>
          <w:lang w:val="en-US" w:eastAsia="zh-CN"/>
        </w:rPr>
        <w:t>积极</w:t>
      </w:r>
      <w:r>
        <w:rPr>
          <w:rFonts w:hint="default" w:ascii="仿宋_GB2312" w:hAnsi="仿宋_GB2312" w:eastAsia="仿宋_GB2312" w:cs="仿宋_GB2312"/>
          <w:color w:val="auto"/>
          <w:sz w:val="32"/>
          <w:szCs w:val="32"/>
          <w:lang w:val="en-US" w:eastAsia="zh-CN"/>
        </w:rPr>
        <w:t>推动绩效目标、绩效监控、绩效评价全链条管理。</w:t>
      </w:r>
      <w:r>
        <w:rPr>
          <w:rFonts w:hint="eastAsia" w:ascii="仿宋_GB2312" w:hAnsi="仿宋_GB2312" w:eastAsia="仿宋_GB2312" w:cs="仿宋_GB2312"/>
          <w:color w:val="auto"/>
          <w:sz w:val="32"/>
          <w:szCs w:val="32"/>
          <w:lang w:val="en-US" w:eastAsia="zh-CN"/>
        </w:rPr>
        <w:t>三是</w:t>
      </w:r>
      <w:r>
        <w:rPr>
          <w:rFonts w:hint="default" w:ascii="仿宋_GB2312" w:hAnsi="仿宋_GB2312" w:eastAsia="仿宋_GB2312" w:cs="仿宋_GB2312"/>
          <w:color w:val="auto"/>
          <w:sz w:val="32"/>
          <w:szCs w:val="32"/>
          <w:lang w:val="en-US" w:eastAsia="zh-CN"/>
        </w:rPr>
        <w:t>深化内控体系建设，完善风险防控机制，提升财务管理规范化水平。</w:t>
      </w:r>
      <w:r>
        <w:rPr>
          <w:rFonts w:hint="eastAsia" w:ascii="仿宋_GB2312" w:hAnsi="仿宋_GB2312" w:eastAsia="仿宋_GB2312" w:cs="仿宋_GB2312"/>
          <w:color w:val="auto"/>
          <w:sz w:val="32"/>
          <w:szCs w:val="32"/>
          <w:lang w:val="en-US" w:eastAsia="zh-CN"/>
        </w:rPr>
        <w:t>四是</w:t>
      </w:r>
      <w:r>
        <w:rPr>
          <w:rFonts w:hint="default" w:ascii="仿宋_GB2312" w:hAnsi="仿宋_GB2312" w:eastAsia="仿宋_GB2312" w:cs="仿宋_GB2312"/>
          <w:color w:val="auto"/>
          <w:sz w:val="32"/>
          <w:szCs w:val="32"/>
          <w:lang w:val="en-US" w:eastAsia="zh-CN"/>
        </w:rPr>
        <w:t>加强财务信息化建设，推进数据化、智能化管理，提高工作效率。</w:t>
      </w:r>
      <w:r>
        <w:rPr>
          <w:rFonts w:hint="eastAsia" w:ascii="仿宋_GB2312" w:hAnsi="仿宋_GB2312" w:eastAsia="仿宋_GB2312" w:cs="仿宋_GB2312"/>
          <w:color w:val="auto"/>
          <w:sz w:val="32"/>
          <w:szCs w:val="32"/>
          <w:lang w:val="en-US" w:eastAsia="zh-CN"/>
        </w:rPr>
        <w:t>五是</w:t>
      </w:r>
      <w:r>
        <w:rPr>
          <w:rFonts w:hint="default" w:ascii="仿宋_GB2312" w:hAnsi="仿宋_GB2312" w:eastAsia="仿宋_GB2312" w:cs="仿宋_GB2312"/>
          <w:color w:val="auto"/>
          <w:sz w:val="32"/>
          <w:szCs w:val="32"/>
          <w:lang w:val="en-US" w:eastAsia="zh-CN"/>
        </w:rPr>
        <w:t>持续加强财务队伍建设，提升专业素养和履职能力，确保财务管理工作高质量发展。</w:t>
      </w:r>
    </w:p>
    <w:p w14:paraId="27C645B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color w:val="auto"/>
          <w:sz w:val="32"/>
          <w:szCs w:val="32"/>
          <w:lang w:val="zh-CN" w:eastAsia="zh-CN"/>
        </w:rPr>
      </w:pPr>
    </w:p>
    <w:p w14:paraId="3AD729C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color w:val="auto"/>
          <w:sz w:val="32"/>
          <w:szCs w:val="32"/>
          <w:lang w:val="en" w:eastAsia="zh-CN"/>
        </w:rPr>
      </w:pPr>
    </w:p>
    <w:bookmarkEnd w:id="49"/>
    <w:p w14:paraId="631F1F9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仿宋_GB2312" w:hAnsi="仿宋_GB2312" w:eastAsia="仿宋_GB2312" w:cs="仿宋_GB2312"/>
          <w:color w:val="auto"/>
          <w:sz w:val="32"/>
          <w:szCs w:val="32"/>
          <w:lang w:val="en-US" w:eastAsia="zh-CN"/>
        </w:rPr>
      </w:pPr>
    </w:p>
    <w:p w14:paraId="1322A32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附表：</w:t>
      </w:r>
      <w:r>
        <w:rPr>
          <w:rFonts w:hint="eastAsia" w:ascii="仿宋_GB2312" w:hAnsi="仿宋_GB2312" w:eastAsia="仿宋_GB2312" w:cs="仿宋_GB2312"/>
          <w:color w:val="auto"/>
          <w:sz w:val="32"/>
          <w:szCs w:val="32"/>
          <w:lang w:val="en-US" w:eastAsia="zh-CN"/>
        </w:rPr>
        <w:t>1.部门预算绩效自评打分表</w:t>
      </w:r>
    </w:p>
    <w:p w14:paraId="4AA443DF">
      <w:pPr>
        <w:keepNext w:val="0"/>
        <w:keepLines w:val="0"/>
        <w:pageBreakBefore w:val="0"/>
        <w:widowControl/>
        <w:kinsoku/>
        <w:wordWrap/>
        <w:overflowPunct/>
        <w:topLinePunct w:val="0"/>
        <w:autoSpaceDE/>
        <w:autoSpaceDN/>
        <w:bidi w:val="0"/>
        <w:adjustRightInd w:val="0"/>
        <w:snapToGrid w:val="0"/>
        <w:spacing w:line="578" w:lineRule="exact"/>
        <w:ind w:firstLine="1600" w:firstLineChars="500"/>
        <w:contextualSpacing/>
        <w:jc w:val="left"/>
        <w:textAlignment w:val="auto"/>
        <w:outlineLvl w:val="9"/>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default" w:ascii="仿宋_GB2312" w:hAnsi="仿宋_GB2312" w:eastAsia="仿宋_GB2312" w:cs="仿宋_GB2312"/>
          <w:color w:val="auto"/>
          <w:sz w:val="32"/>
          <w:szCs w:val="32"/>
          <w:lang w:val="en-US" w:eastAsia="zh-CN"/>
        </w:rPr>
        <w:t>部门整体绩效目标完成情况自评表</w:t>
      </w:r>
    </w:p>
    <w:p w14:paraId="3E76AF26">
      <w:pPr>
        <w:keepNext w:val="0"/>
        <w:keepLines w:val="0"/>
        <w:pageBreakBefore w:val="0"/>
        <w:widowControl/>
        <w:kinsoku/>
        <w:wordWrap/>
        <w:overflowPunct/>
        <w:topLinePunct w:val="0"/>
        <w:autoSpaceDE/>
        <w:autoSpaceDN/>
        <w:bidi w:val="0"/>
        <w:adjustRightInd w:val="0"/>
        <w:snapToGrid w:val="0"/>
        <w:spacing w:line="578" w:lineRule="exact"/>
        <w:ind w:firstLine="1600" w:firstLineChars="500"/>
        <w:contextualSpacing/>
        <w:jc w:val="left"/>
        <w:textAlignment w:val="auto"/>
        <w:outlineLvl w:val="9"/>
        <w:rPr>
          <w:rFonts w:hint="default"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default" w:ascii="仿宋_GB2312" w:hAnsi="仿宋_GB2312" w:eastAsia="仿宋_GB2312" w:cs="仿宋_GB2312"/>
          <w:color w:val="auto"/>
          <w:sz w:val="32"/>
          <w:szCs w:val="32"/>
        </w:rPr>
        <w:t>部门预算项目支出绩效</w:t>
      </w:r>
      <w:r>
        <w:rPr>
          <w:rFonts w:hint="default" w:ascii="仿宋_GB2312" w:hAnsi="仿宋_GB2312" w:eastAsia="仿宋_GB2312" w:cs="仿宋_GB2312"/>
          <w:color w:val="auto"/>
          <w:sz w:val="32"/>
          <w:szCs w:val="32"/>
          <w:lang w:eastAsia="zh-CN"/>
        </w:rPr>
        <w:t>评价</w:t>
      </w:r>
      <w:r>
        <w:rPr>
          <w:rFonts w:hint="default" w:ascii="仿宋_GB2312" w:hAnsi="仿宋_GB2312" w:eastAsia="仿宋_GB2312" w:cs="仿宋_GB2312"/>
          <w:color w:val="auto"/>
          <w:sz w:val="32"/>
          <w:szCs w:val="32"/>
        </w:rPr>
        <w:t>表</w:t>
      </w:r>
      <w:r>
        <w:rPr>
          <w:rFonts w:hint="default"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5</w:t>
      </w:r>
      <w:r>
        <w:rPr>
          <w:rFonts w:hint="default" w:ascii="仿宋_GB2312" w:hAnsi="仿宋_GB2312" w:eastAsia="仿宋_GB2312" w:cs="仿宋_GB2312"/>
          <w:color w:val="auto"/>
          <w:sz w:val="32"/>
          <w:szCs w:val="32"/>
          <w:lang w:eastAsia="zh-CN"/>
        </w:rPr>
        <w:t>年度）</w:t>
      </w:r>
    </w:p>
    <w:p w14:paraId="1F86E660">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cs="Times New Roman"/>
          <w:color w:val="000000"/>
          <w:kern w:val="0"/>
          <w:szCs w:val="32"/>
          <w:highlight w:val="none"/>
          <w:shd w:val="clear" w:color="auto" w:fill="FFFFFF"/>
          <w:lang w:val="en-US" w:eastAsia="zh-CN"/>
        </w:rPr>
        <w:br w:type="page"/>
      </w: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14:paraId="49B56FA9">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Times New Roman" w:hAnsi="Times New Roman" w:eastAsia="方正小标宋简体" w:cs="Times New Roman"/>
          <w:i w:val="0"/>
          <w:color w:val="000000"/>
          <w:kern w:val="0"/>
          <w:sz w:val="44"/>
          <w:szCs w:val="44"/>
          <w:u w:val="none"/>
          <w:lang w:val="en-US" w:eastAsia="zh-CN" w:bidi="ar"/>
        </w:rPr>
      </w:pPr>
      <w:r>
        <w:rPr>
          <w:rFonts w:hint="eastAsia" w:ascii="Times New Roman" w:hAnsi="Times New Roman" w:eastAsia="方正小标宋简体" w:cs="Times New Roman"/>
          <w:i w:val="0"/>
          <w:color w:val="000000"/>
          <w:kern w:val="0"/>
          <w:sz w:val="44"/>
          <w:szCs w:val="44"/>
          <w:u w:val="none"/>
          <w:lang w:val="en-US" w:eastAsia="zh-CN" w:bidi="ar"/>
        </w:rPr>
        <w:t>部门预算绩效自评打分表</w:t>
      </w:r>
    </w:p>
    <w:tbl>
      <w:tblPr>
        <w:tblStyle w:val="15"/>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4"/>
        <w:gridCol w:w="1365"/>
        <w:gridCol w:w="1762"/>
        <w:gridCol w:w="720"/>
        <w:gridCol w:w="4734"/>
        <w:gridCol w:w="756"/>
        <w:gridCol w:w="478"/>
      </w:tblGrid>
      <w:tr w14:paraId="3A0E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21854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绩效评价指标分值</w:t>
            </w:r>
          </w:p>
        </w:tc>
        <w:tc>
          <w:tcPr>
            <w:tcW w:w="4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CAD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指标解释</w:t>
            </w:r>
          </w:p>
        </w:tc>
        <w:tc>
          <w:tcPr>
            <w:tcW w:w="756" w:type="dxa"/>
            <w:vMerge w:val="restart"/>
            <w:tcBorders>
              <w:top w:val="single" w:color="000000" w:sz="4" w:space="0"/>
              <w:left w:val="single" w:color="000000" w:sz="4" w:space="0"/>
              <w:right w:val="single" w:color="000000" w:sz="4" w:space="0"/>
            </w:tcBorders>
            <w:shd w:val="clear" w:color="auto" w:fill="auto"/>
            <w:vAlign w:val="center"/>
          </w:tcPr>
          <w:p w14:paraId="3C3CA9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1069F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58339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shd w:val="clear" w:color="auto" w:fill="auto"/>
            <w:vAlign w:val="center"/>
          </w:tcPr>
          <w:p w14:paraId="5D0270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一级指标</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42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二级指标</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9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三级指标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79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1"/>
                <w:szCs w:val="21"/>
                <w:u w:val="none"/>
              </w:rPr>
            </w:pPr>
            <w:r>
              <w:rPr>
                <w:rFonts w:hint="eastAsia" w:ascii="黑体" w:hAnsi="宋体" w:eastAsia="黑体" w:cs="黑体"/>
                <w:i w:val="0"/>
                <w:color w:val="000000"/>
                <w:kern w:val="0"/>
                <w:sz w:val="21"/>
                <w:szCs w:val="21"/>
                <w:u w:val="none"/>
                <w:lang w:val="en-US" w:eastAsia="zh-CN" w:bidi="ar"/>
              </w:rPr>
              <w:t>指标</w:t>
            </w:r>
            <w:r>
              <w:rPr>
                <w:rFonts w:hint="eastAsia" w:ascii="黑体" w:hAnsi="宋体" w:eastAsia="黑体" w:cs="黑体"/>
                <w:i w:val="0"/>
                <w:color w:val="000000"/>
                <w:kern w:val="0"/>
                <w:sz w:val="21"/>
                <w:szCs w:val="21"/>
                <w:u w:val="none"/>
                <w:lang w:val="en-US" w:eastAsia="zh-CN" w:bidi="ar"/>
              </w:rPr>
              <w:br w:type="textWrapping"/>
            </w:r>
            <w:r>
              <w:rPr>
                <w:rFonts w:hint="eastAsia" w:ascii="黑体" w:hAnsi="宋体" w:eastAsia="黑体" w:cs="黑体"/>
                <w:i w:val="0"/>
                <w:color w:val="000000"/>
                <w:kern w:val="0"/>
                <w:sz w:val="21"/>
                <w:szCs w:val="21"/>
                <w:u w:val="none"/>
                <w:lang w:val="en-US" w:eastAsia="zh-CN"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37C9F">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1"/>
                <w:szCs w:val="21"/>
                <w:u w:val="none"/>
              </w:rPr>
            </w:pPr>
          </w:p>
        </w:tc>
        <w:tc>
          <w:tcPr>
            <w:tcW w:w="756" w:type="dxa"/>
            <w:vMerge w:val="continue"/>
            <w:tcBorders>
              <w:left w:val="single" w:color="000000" w:sz="4" w:space="0"/>
              <w:bottom w:val="single" w:color="000000" w:sz="4" w:space="0"/>
              <w:right w:val="single" w:color="000000" w:sz="4" w:space="0"/>
            </w:tcBorders>
            <w:shd w:val="clear" w:color="auto" w:fill="auto"/>
            <w:vAlign w:val="center"/>
          </w:tcPr>
          <w:p w14:paraId="18A8AA13">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B597F30">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391D5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right w:val="single" w:color="000000" w:sz="4" w:space="0"/>
            </w:tcBorders>
            <w:shd w:val="clear" w:color="auto" w:fill="auto"/>
            <w:vAlign w:val="center"/>
          </w:tcPr>
          <w:p w14:paraId="78B5B2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总体绩效</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（65分）</w:t>
            </w:r>
          </w:p>
        </w:tc>
        <w:tc>
          <w:tcPr>
            <w:tcW w:w="1365" w:type="dxa"/>
            <w:vMerge w:val="restart"/>
            <w:tcBorders>
              <w:top w:val="single" w:color="000000" w:sz="4" w:space="0"/>
              <w:left w:val="single" w:color="000000" w:sz="4" w:space="0"/>
              <w:right w:val="single" w:color="000000" w:sz="4" w:space="0"/>
            </w:tcBorders>
            <w:shd w:val="clear" w:color="auto" w:fill="auto"/>
            <w:vAlign w:val="center"/>
          </w:tcPr>
          <w:p w14:paraId="72C15D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履职效能</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（15分）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83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刑事检察履职效果</w:t>
            </w:r>
          </w:p>
        </w:tc>
        <w:tc>
          <w:tcPr>
            <w:tcW w:w="720" w:type="dxa"/>
            <w:vMerge w:val="restart"/>
            <w:tcBorders>
              <w:top w:val="nil"/>
              <w:left w:val="single" w:color="000000" w:sz="4" w:space="0"/>
              <w:right w:val="single" w:color="000000" w:sz="4" w:space="0"/>
            </w:tcBorders>
            <w:shd w:val="clear" w:color="auto" w:fill="auto"/>
            <w:vAlign w:val="center"/>
          </w:tcPr>
          <w:p w14:paraId="755B2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15</w:t>
            </w:r>
          </w:p>
        </w:tc>
        <w:tc>
          <w:tcPr>
            <w:tcW w:w="4734" w:type="dxa"/>
            <w:vMerge w:val="restart"/>
            <w:tcBorders>
              <w:top w:val="single" w:color="000000" w:sz="4" w:space="0"/>
              <w:left w:val="single" w:color="000000" w:sz="4" w:space="0"/>
              <w:right w:val="single" w:color="000000" w:sz="4" w:space="0"/>
            </w:tcBorders>
            <w:shd w:val="clear" w:color="auto" w:fill="auto"/>
            <w:vAlign w:val="center"/>
          </w:tcPr>
          <w:p w14:paraId="740D8E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部门整体绩效目标中选定3</w:t>
            </w:r>
            <w:r>
              <w:rPr>
                <w:rFonts w:hint="eastAsia" w:ascii="宋体" w:hAnsi="宋体" w:cs="宋体"/>
                <w:i w:val="0"/>
                <w:color w:val="000000"/>
                <w:kern w:val="0"/>
                <w:sz w:val="21"/>
                <w:szCs w:val="21"/>
                <w:u w:val="none"/>
                <w:lang w:val="en-US" w:eastAsia="zh-CN" w:bidi="ar"/>
              </w:rPr>
              <w:t>—</w:t>
            </w:r>
            <w:r>
              <w:rPr>
                <w:rFonts w:hint="eastAsia" w:ascii="宋体" w:hAnsi="宋体" w:eastAsia="宋体" w:cs="宋体"/>
                <w:i w:val="0"/>
                <w:color w:val="000000"/>
                <w:kern w:val="0"/>
                <w:sz w:val="21"/>
                <w:szCs w:val="21"/>
                <w:u w:val="none"/>
                <w:lang w:val="en-US" w:eastAsia="zh-CN" w:bidi="ar"/>
              </w:rPr>
              <w:t>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BF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3F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0F06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764FB7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1"/>
                <w:szCs w:val="21"/>
                <w:u w:val="none"/>
                <w:lang w:val="en-US" w:eastAsia="zh-CN" w:bidi="ar"/>
              </w:rPr>
            </w:pPr>
          </w:p>
        </w:tc>
        <w:tc>
          <w:tcPr>
            <w:tcW w:w="1365" w:type="dxa"/>
            <w:vMerge w:val="continue"/>
            <w:tcBorders>
              <w:left w:val="single" w:color="000000" w:sz="4" w:space="0"/>
              <w:right w:val="single" w:color="000000" w:sz="4" w:space="0"/>
            </w:tcBorders>
            <w:shd w:val="clear" w:color="auto" w:fill="auto"/>
            <w:vAlign w:val="center"/>
          </w:tcPr>
          <w:p w14:paraId="1C6096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kern w:val="0"/>
                <w:sz w:val="21"/>
                <w:szCs w:val="21"/>
                <w:u w:val="none"/>
                <w:lang w:val="en-US" w:eastAsia="zh-CN" w:bidi="ar"/>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22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公益诉讼检察履职效果</w:t>
            </w:r>
          </w:p>
        </w:tc>
        <w:tc>
          <w:tcPr>
            <w:tcW w:w="720" w:type="dxa"/>
            <w:vMerge w:val="continue"/>
            <w:tcBorders>
              <w:left w:val="single" w:color="000000" w:sz="4" w:space="0"/>
              <w:right w:val="single" w:color="000000" w:sz="4" w:space="0"/>
            </w:tcBorders>
            <w:shd w:val="clear" w:color="auto" w:fill="auto"/>
            <w:vAlign w:val="center"/>
          </w:tcPr>
          <w:p w14:paraId="3BFC5E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21"/>
                <w:szCs w:val="21"/>
                <w:u w:val="none"/>
                <w:lang w:val="en-US" w:eastAsia="zh-CN" w:bidi="ar"/>
              </w:rPr>
            </w:pPr>
          </w:p>
        </w:tc>
        <w:tc>
          <w:tcPr>
            <w:tcW w:w="4734" w:type="dxa"/>
            <w:vMerge w:val="continue"/>
            <w:tcBorders>
              <w:left w:val="single" w:color="000000" w:sz="4" w:space="0"/>
              <w:right w:val="single" w:color="000000" w:sz="4" w:space="0"/>
            </w:tcBorders>
            <w:shd w:val="clear" w:color="auto" w:fill="auto"/>
            <w:vAlign w:val="center"/>
          </w:tcPr>
          <w:p w14:paraId="61608B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1"/>
                <w:szCs w:val="21"/>
                <w:u w:val="none"/>
                <w:lang w:val="en-US" w:eastAsia="zh-CN" w:bidi="ar"/>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7D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94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BDE4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left w:val="single" w:color="000000" w:sz="4" w:space="0"/>
              <w:right w:val="single" w:color="000000" w:sz="4" w:space="0"/>
            </w:tcBorders>
            <w:shd w:val="clear" w:color="auto" w:fill="auto"/>
            <w:vAlign w:val="center"/>
          </w:tcPr>
          <w:p w14:paraId="5C0E1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p>
        </w:tc>
        <w:tc>
          <w:tcPr>
            <w:tcW w:w="1365" w:type="dxa"/>
            <w:vMerge w:val="continue"/>
            <w:tcBorders>
              <w:left w:val="single" w:color="000000" w:sz="4" w:space="0"/>
              <w:bottom w:val="single" w:color="000000" w:sz="4" w:space="0"/>
              <w:right w:val="single" w:color="000000" w:sz="4" w:space="0"/>
            </w:tcBorders>
            <w:shd w:val="clear" w:color="auto" w:fill="auto"/>
            <w:vAlign w:val="center"/>
          </w:tcPr>
          <w:p w14:paraId="521B72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E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维护社会稳定履职效果</w:t>
            </w:r>
          </w:p>
        </w:tc>
        <w:tc>
          <w:tcPr>
            <w:tcW w:w="720" w:type="dxa"/>
            <w:vMerge w:val="continue"/>
            <w:tcBorders>
              <w:left w:val="single" w:color="000000" w:sz="4" w:space="0"/>
              <w:bottom w:val="single" w:color="000000" w:sz="4" w:space="0"/>
              <w:right w:val="single" w:color="000000" w:sz="4" w:space="0"/>
            </w:tcBorders>
            <w:shd w:val="clear" w:color="auto" w:fill="auto"/>
            <w:vAlign w:val="center"/>
          </w:tcPr>
          <w:p w14:paraId="1A0121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p>
        </w:tc>
        <w:tc>
          <w:tcPr>
            <w:tcW w:w="4734" w:type="dxa"/>
            <w:vMerge w:val="continue"/>
            <w:tcBorders>
              <w:left w:val="single" w:color="000000" w:sz="4" w:space="0"/>
              <w:bottom w:val="single" w:color="000000" w:sz="4" w:space="0"/>
              <w:right w:val="single" w:color="000000" w:sz="4" w:space="0"/>
            </w:tcBorders>
            <w:shd w:val="clear" w:color="auto" w:fill="auto"/>
            <w:vAlign w:val="center"/>
          </w:tcPr>
          <w:p w14:paraId="4C002E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C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61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DF9E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1004" w:type="dxa"/>
            <w:vMerge w:val="continue"/>
            <w:tcBorders>
              <w:left w:val="single" w:color="000000" w:sz="4" w:space="0"/>
              <w:right w:val="single" w:color="000000" w:sz="4" w:space="0"/>
            </w:tcBorders>
            <w:shd w:val="clear" w:color="auto" w:fill="auto"/>
            <w:vAlign w:val="center"/>
          </w:tcPr>
          <w:p w14:paraId="13ABA3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C6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预算管理</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（25分）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EE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预算编制质量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0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8</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F07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D6D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7.89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072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0B3B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3F91B5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38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6A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单位收入统筹</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5C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49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F8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12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2E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2ECFE3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CA6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ED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支出执行进度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37A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6</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D2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CE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D52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E286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4B971D6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7F1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F52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预算年终结余</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4E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FD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4C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1.93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5F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41C8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left w:val="single" w:color="000000" w:sz="4" w:space="0"/>
              <w:right w:val="single" w:color="000000" w:sz="4" w:space="0"/>
            </w:tcBorders>
            <w:shd w:val="clear" w:color="auto" w:fill="auto"/>
            <w:vAlign w:val="center"/>
          </w:tcPr>
          <w:p w14:paraId="03A61B9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B15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50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严控一般性支出</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E7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5</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249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B4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0C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7E5D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1D721D0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B49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财务管理</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（10分）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9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财务管理制度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18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71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76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1C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E81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1F93AA8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DC1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FA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财务岗位设置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30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2</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80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286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C27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8C3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6CFD8CD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875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3C5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资金使用规范</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3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91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CC0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07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8E42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left w:val="single" w:color="000000" w:sz="4" w:space="0"/>
              <w:right w:val="single" w:color="000000" w:sz="4" w:space="0"/>
            </w:tcBorders>
            <w:shd w:val="clear" w:color="auto" w:fill="auto"/>
            <w:vAlign w:val="center"/>
          </w:tcPr>
          <w:p w14:paraId="1D37C00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7A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资产管理</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（9分）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0E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人均资产变化率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C9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2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auto"/>
                <w:sz w:val="21"/>
                <w:szCs w:val="21"/>
                <w:u w:val="none"/>
              </w:rPr>
            </w:pPr>
            <w:r>
              <w:rPr>
                <w:rFonts w:hint="eastAsia" w:ascii="宋体" w:hAnsi="宋体" w:eastAsia="宋体" w:cs="宋体"/>
                <w:i w:val="0"/>
                <w:color w:val="auto"/>
                <w:kern w:val="0"/>
                <w:sz w:val="21"/>
                <w:szCs w:val="21"/>
                <w:u w:val="none"/>
                <w:lang w:val="en-US" w:eastAsia="zh-CN"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FB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0C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346A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left w:val="single" w:color="000000" w:sz="4" w:space="0"/>
              <w:bottom w:val="single" w:color="000000" w:sz="4" w:space="0"/>
              <w:right w:val="single" w:color="000000" w:sz="4" w:space="0"/>
            </w:tcBorders>
            <w:shd w:val="clear" w:color="auto" w:fill="auto"/>
            <w:vAlign w:val="center"/>
          </w:tcPr>
          <w:p w14:paraId="4B9999E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FA0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3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资产利用率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B2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8A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A9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F9E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89A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7FF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总体绩效</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（65分）</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1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资产管理</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（9分）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91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资产盘活率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C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6E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CC6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13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248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619B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A04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采购管理</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（6分）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D42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F5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73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33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89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A26F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8CC2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298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E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采购执行率</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3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5C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B23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EB8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2259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3D7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项目绩效</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（35分）</w:t>
            </w:r>
          </w:p>
        </w:tc>
        <w:tc>
          <w:tcPr>
            <w:tcW w:w="1365" w:type="dxa"/>
            <w:vMerge w:val="restart"/>
            <w:tcBorders>
              <w:top w:val="single" w:color="000000" w:sz="4" w:space="0"/>
              <w:left w:val="single" w:color="000000" w:sz="4" w:space="0"/>
              <w:bottom w:val="nil"/>
              <w:right w:val="single" w:color="000000" w:sz="4" w:space="0"/>
            </w:tcBorders>
            <w:shd w:val="clear" w:color="auto" w:fill="auto"/>
            <w:vAlign w:val="center"/>
          </w:tcPr>
          <w:p w14:paraId="1A70EF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项目决策</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（12分）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F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决策程序</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B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12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1E9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82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1549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334C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nil"/>
              <w:right w:val="single" w:color="000000" w:sz="4" w:space="0"/>
            </w:tcBorders>
            <w:shd w:val="clear" w:color="auto" w:fill="auto"/>
            <w:vAlign w:val="center"/>
          </w:tcPr>
          <w:p w14:paraId="235B2C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9B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目标设置</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D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84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C2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85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574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C84C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nil"/>
              <w:right w:val="single" w:color="000000" w:sz="4" w:space="0"/>
            </w:tcBorders>
            <w:shd w:val="clear" w:color="auto" w:fill="auto"/>
            <w:vAlign w:val="center"/>
          </w:tcPr>
          <w:p w14:paraId="381982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82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项目入库</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BA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5A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部门预算项目是否在规定时</w:t>
            </w:r>
            <w:r>
              <w:rPr>
                <w:rFonts w:hint="eastAsia" w:ascii="宋体" w:hAnsi="宋体" w:cs="宋体"/>
                <w:i w:val="0"/>
                <w:color w:val="000000"/>
                <w:kern w:val="0"/>
                <w:sz w:val="21"/>
                <w:szCs w:val="21"/>
                <w:u w:val="none"/>
                <w:lang w:val="en-US" w:eastAsia="zh-CN" w:bidi="ar"/>
              </w:rPr>
              <w:t>间内</w:t>
            </w:r>
            <w:r>
              <w:rPr>
                <w:rFonts w:hint="eastAsia" w:ascii="宋体" w:hAnsi="宋体" w:eastAsia="宋体" w:cs="宋体"/>
                <w:i w:val="0"/>
                <w:color w:val="000000"/>
                <w:kern w:val="0"/>
                <w:sz w:val="21"/>
                <w:szCs w:val="21"/>
                <w:u w:val="none"/>
                <w:lang w:val="en-US" w:eastAsia="zh-CN" w:bidi="ar"/>
              </w:rPr>
              <w:t>完成项目入库</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57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1B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273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9220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nil"/>
              <w:right w:val="single" w:color="000000" w:sz="4" w:space="0"/>
            </w:tcBorders>
            <w:shd w:val="clear" w:color="auto" w:fill="auto"/>
            <w:vAlign w:val="center"/>
          </w:tcPr>
          <w:p w14:paraId="37E6E0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项目执行</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（12分）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A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执行同向</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B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276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12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29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FB08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0478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nil"/>
              <w:right w:val="single" w:color="000000" w:sz="4" w:space="0"/>
            </w:tcBorders>
            <w:shd w:val="clear" w:color="auto" w:fill="auto"/>
            <w:vAlign w:val="center"/>
          </w:tcPr>
          <w:p w14:paraId="4D432F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nil"/>
              <w:right w:val="single" w:color="000000" w:sz="4" w:space="0"/>
            </w:tcBorders>
            <w:shd w:val="clear" w:color="auto" w:fill="auto"/>
            <w:vAlign w:val="center"/>
          </w:tcPr>
          <w:p w14:paraId="1BE98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项目调整</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C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A2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A7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047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64B5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77BF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nil"/>
              <w:right w:val="single" w:color="000000" w:sz="4" w:space="0"/>
            </w:tcBorders>
            <w:shd w:val="clear" w:color="auto" w:fill="auto"/>
            <w:vAlign w:val="center"/>
          </w:tcPr>
          <w:p w14:paraId="36A07AC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F1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执行结果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6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23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99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2.75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2A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C0E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B399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E8E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目标实现</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（11分）</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C3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目标完成</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C7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B1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56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FD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732B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A1D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30AD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6C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目标偏离</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4F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4</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A7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B9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8E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0A15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87F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01A8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1"/>
                <w:szCs w:val="21"/>
                <w:u w:val="none"/>
              </w:rPr>
            </w:pP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4A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实现效果</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5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3</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84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EF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9C1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532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09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1"/>
                <w:szCs w:val="21"/>
                <w:u w:val="none"/>
              </w:rPr>
            </w:pPr>
            <w:r>
              <w:rPr>
                <w:rFonts w:hint="eastAsia" w:ascii="宋体" w:hAnsi="宋体" w:eastAsia="宋体" w:cs="宋体"/>
                <w:b/>
                <w:i w:val="0"/>
                <w:color w:val="000000"/>
                <w:kern w:val="0"/>
                <w:sz w:val="21"/>
                <w:szCs w:val="21"/>
                <w:u w:val="none"/>
                <w:lang w:val="en-US" w:eastAsia="zh-CN" w:bidi="ar"/>
              </w:rPr>
              <w:t>扣分项</w:t>
            </w:r>
            <w:r>
              <w:rPr>
                <w:rFonts w:hint="eastAsia" w:ascii="宋体" w:hAnsi="宋体" w:eastAsia="宋体" w:cs="宋体"/>
                <w:b/>
                <w:i w:val="0"/>
                <w:color w:val="000000"/>
                <w:kern w:val="0"/>
                <w:sz w:val="21"/>
                <w:szCs w:val="21"/>
                <w:u w:val="none"/>
                <w:lang w:val="en-US" w:eastAsia="zh-CN" w:bidi="ar"/>
              </w:rPr>
              <w:br w:type="textWrapping"/>
            </w:r>
            <w:r>
              <w:rPr>
                <w:rFonts w:hint="eastAsia" w:ascii="宋体" w:hAnsi="宋体" w:eastAsia="宋体" w:cs="宋体"/>
                <w:b/>
                <w:i w:val="0"/>
                <w:color w:val="000000"/>
                <w:kern w:val="0"/>
                <w:sz w:val="21"/>
                <w:szCs w:val="21"/>
                <w:u w:val="none"/>
                <w:lang w:val="en-US" w:eastAsia="zh-CN" w:bidi="ar"/>
              </w:rPr>
              <w:t>（10分）</w:t>
            </w:r>
          </w:p>
        </w:tc>
        <w:tc>
          <w:tcPr>
            <w:tcW w:w="3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C7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EC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w:t>
            </w:r>
          </w:p>
        </w:tc>
        <w:tc>
          <w:tcPr>
            <w:tcW w:w="4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62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58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5CE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1E461B52">
      <w:pPr>
        <w:pStyle w:val="19"/>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14:paraId="67C37DA5">
      <w:pPr>
        <w:rPr>
          <w:rFonts w:hint="default" w:ascii="Times New Roman" w:hAnsi="Times New Roman" w:eastAsia="黑体" w:cs="Times New Roman"/>
          <w:kern w:val="2"/>
          <w:sz w:val="32"/>
          <w:szCs w:val="24"/>
          <w:highlight w:val="none"/>
          <w:lang w:val="en-US" w:eastAsia="zh-CN" w:bidi="ar-SA"/>
        </w:rPr>
      </w:pPr>
    </w:p>
    <w:p w14:paraId="2AE9E42E">
      <w:pPr>
        <w:keepNext w:val="0"/>
        <w:keepLines w:val="0"/>
        <w:pageBreakBefore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hint="default"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14:paraId="090C424C">
      <w:pPr>
        <w:widowControl/>
        <w:spacing w:line="578" w:lineRule="exact"/>
        <w:jc w:val="center"/>
        <w:textAlignment w:val="center"/>
        <w:rPr>
          <w:rFonts w:hint="default" w:ascii="Times New Roman" w:hAnsi="Times New Roman" w:eastAsia="黑体" w:cs="Times New Roman"/>
          <w:kern w:val="2"/>
          <w:sz w:val="32"/>
          <w:szCs w:val="24"/>
          <w:highlight w:val="none"/>
          <w:lang w:val="en-US" w:eastAsia="zh-CN" w:bidi="ar-SA"/>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056"/>
        <w:gridCol w:w="1338"/>
        <w:gridCol w:w="750"/>
        <w:gridCol w:w="1050"/>
        <w:gridCol w:w="1085"/>
        <w:gridCol w:w="1085"/>
        <w:gridCol w:w="1567"/>
      </w:tblGrid>
      <w:tr w14:paraId="3B417D18">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32C80837">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025CE8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val="en-US" w:eastAsia="zh-CN"/>
              </w:rPr>
              <w:t>汶川县人民检察院</w:t>
            </w:r>
          </w:p>
        </w:tc>
      </w:tr>
      <w:tr w14:paraId="620C6FC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A3892C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94" w:type="dxa"/>
            <w:gridSpan w:val="2"/>
            <w:tcBorders>
              <w:top w:val="single" w:color="000000" w:sz="4" w:space="0"/>
              <w:left w:val="single" w:color="auto" w:sz="4" w:space="0"/>
              <w:bottom w:val="single" w:color="000000" w:sz="4" w:space="0"/>
              <w:right w:val="single" w:color="auto" w:sz="4" w:space="0"/>
            </w:tcBorders>
            <w:noWrap/>
            <w:vAlign w:val="center"/>
          </w:tcPr>
          <w:p w14:paraId="26AE023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800" w:type="dxa"/>
            <w:gridSpan w:val="2"/>
            <w:tcBorders>
              <w:top w:val="single" w:color="auto" w:sz="4" w:space="0"/>
              <w:left w:val="single" w:color="auto" w:sz="4" w:space="0"/>
              <w:bottom w:val="single" w:color="auto" w:sz="4" w:space="0"/>
              <w:right w:val="single" w:color="auto" w:sz="4" w:space="0"/>
            </w:tcBorders>
            <w:noWrap/>
            <w:vAlign w:val="center"/>
          </w:tcPr>
          <w:p w14:paraId="4EE457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3737" w:type="dxa"/>
            <w:gridSpan w:val="3"/>
            <w:tcBorders>
              <w:top w:val="single" w:color="auto" w:sz="4" w:space="0"/>
              <w:left w:val="single" w:color="auto" w:sz="4" w:space="0"/>
              <w:bottom w:val="single" w:color="auto" w:sz="4" w:space="0"/>
              <w:right w:val="single" w:color="auto" w:sz="4" w:space="0"/>
            </w:tcBorders>
            <w:noWrap/>
            <w:vAlign w:val="center"/>
          </w:tcPr>
          <w:p w14:paraId="7FBF63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075BC6B0">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B3F9E4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94" w:type="dxa"/>
            <w:gridSpan w:val="2"/>
            <w:tcBorders>
              <w:top w:val="single" w:color="000000" w:sz="4" w:space="0"/>
              <w:left w:val="single" w:color="auto" w:sz="4" w:space="0"/>
              <w:bottom w:val="single" w:color="000000" w:sz="4" w:space="0"/>
              <w:right w:val="single" w:color="auto" w:sz="4" w:space="0"/>
            </w:tcBorders>
            <w:noWrap/>
            <w:vAlign w:val="center"/>
          </w:tcPr>
          <w:p w14:paraId="3C49247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6499628.75</w:t>
            </w:r>
          </w:p>
        </w:tc>
        <w:tc>
          <w:tcPr>
            <w:tcW w:w="1800" w:type="dxa"/>
            <w:gridSpan w:val="2"/>
            <w:tcBorders>
              <w:top w:val="single" w:color="auto" w:sz="4" w:space="0"/>
              <w:left w:val="single" w:color="auto" w:sz="4" w:space="0"/>
              <w:bottom w:val="single" w:color="auto" w:sz="4" w:space="0"/>
              <w:right w:val="single" w:color="auto" w:sz="4" w:space="0"/>
            </w:tcBorders>
            <w:noWrap/>
            <w:vAlign w:val="center"/>
          </w:tcPr>
          <w:p w14:paraId="5786A3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6499628.75</w:t>
            </w:r>
          </w:p>
        </w:tc>
        <w:tc>
          <w:tcPr>
            <w:tcW w:w="3737" w:type="dxa"/>
            <w:gridSpan w:val="3"/>
            <w:tcBorders>
              <w:top w:val="single" w:color="auto" w:sz="4" w:space="0"/>
              <w:left w:val="single" w:color="auto" w:sz="4" w:space="0"/>
              <w:bottom w:val="single" w:color="auto" w:sz="4" w:space="0"/>
              <w:right w:val="single" w:color="auto" w:sz="4" w:space="0"/>
            </w:tcBorders>
            <w:noWrap/>
            <w:vAlign w:val="center"/>
          </w:tcPr>
          <w:p w14:paraId="5C566AAA">
            <w:pPr>
              <w:widowControl/>
              <w:spacing w:line="240" w:lineRule="exact"/>
              <w:jc w:val="center"/>
              <w:textAlignment w:val="center"/>
              <w:rPr>
                <w:rFonts w:hint="eastAsia" w:ascii="宋体" w:hAnsi="宋体" w:eastAsia="宋体" w:cs="宋体"/>
                <w:color w:val="000000"/>
                <w:kern w:val="0"/>
                <w:sz w:val="24"/>
                <w:lang w:eastAsia="zh-CN"/>
              </w:rPr>
            </w:pPr>
          </w:p>
        </w:tc>
      </w:tr>
      <w:tr w14:paraId="30D03A31">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1251CC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94" w:type="dxa"/>
            <w:gridSpan w:val="2"/>
            <w:tcBorders>
              <w:top w:val="single" w:color="000000" w:sz="4" w:space="0"/>
              <w:left w:val="single" w:color="auto" w:sz="4" w:space="0"/>
              <w:bottom w:val="single" w:color="000000" w:sz="4" w:space="0"/>
              <w:right w:val="single" w:color="000000" w:sz="4" w:space="0"/>
            </w:tcBorders>
            <w:noWrap/>
            <w:vAlign w:val="center"/>
          </w:tcPr>
          <w:p w14:paraId="75E09C7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6499628.75</w:t>
            </w:r>
          </w:p>
        </w:tc>
        <w:tc>
          <w:tcPr>
            <w:tcW w:w="1800" w:type="dxa"/>
            <w:gridSpan w:val="2"/>
            <w:tcBorders>
              <w:top w:val="single" w:color="auto" w:sz="4" w:space="0"/>
              <w:left w:val="single" w:color="000000" w:sz="4" w:space="0"/>
              <w:bottom w:val="single" w:color="000000" w:sz="4" w:space="0"/>
              <w:right w:val="single" w:color="000000" w:sz="4" w:space="0"/>
            </w:tcBorders>
            <w:noWrap/>
            <w:vAlign w:val="center"/>
          </w:tcPr>
          <w:p w14:paraId="23862FF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6499628.75</w:t>
            </w:r>
          </w:p>
        </w:tc>
        <w:tc>
          <w:tcPr>
            <w:tcW w:w="3737" w:type="dxa"/>
            <w:gridSpan w:val="3"/>
            <w:tcBorders>
              <w:top w:val="single" w:color="auto" w:sz="4" w:space="0"/>
              <w:left w:val="single" w:color="000000" w:sz="4" w:space="0"/>
              <w:bottom w:val="single" w:color="000000" w:sz="4" w:space="0"/>
              <w:right w:val="single" w:color="000000" w:sz="4" w:space="0"/>
            </w:tcBorders>
            <w:noWrap/>
            <w:vAlign w:val="center"/>
          </w:tcPr>
          <w:p w14:paraId="38E89562">
            <w:pPr>
              <w:widowControl/>
              <w:spacing w:line="240" w:lineRule="exact"/>
              <w:jc w:val="center"/>
              <w:textAlignment w:val="center"/>
              <w:rPr>
                <w:rFonts w:ascii="宋体" w:hAnsi="宋体" w:eastAsia="宋体" w:cs="宋体"/>
                <w:color w:val="000000"/>
                <w:kern w:val="0"/>
                <w:sz w:val="24"/>
              </w:rPr>
            </w:pPr>
          </w:p>
        </w:tc>
      </w:tr>
      <w:tr w14:paraId="220E20DF">
        <w:tblPrEx>
          <w:tblCellMar>
            <w:top w:w="0" w:type="dxa"/>
            <w:left w:w="108" w:type="dxa"/>
            <w:bottom w:w="0" w:type="dxa"/>
            <w:right w:w="108" w:type="dxa"/>
          </w:tblCellMar>
        </w:tblPrEx>
        <w:trPr>
          <w:trHeight w:val="1990"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48EB421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7A759AD">
            <w:pPr>
              <w:keepNext w:val="0"/>
              <w:keepLines w:val="0"/>
              <w:pageBreakBefore w:val="0"/>
              <w:widowControl/>
              <w:kinsoku/>
              <w:wordWrap/>
              <w:overflowPunct/>
              <w:topLinePunct w:val="0"/>
              <w:autoSpaceDE/>
              <w:autoSpaceDN/>
              <w:bidi w:val="0"/>
              <w:adjustRightInd/>
              <w:snapToGrid/>
              <w:spacing w:line="240" w:lineRule="exact"/>
              <w:ind w:firstLine="480" w:firstLineChars="200"/>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年全院上下要坚持以习近平新时代中国特色社会主义思想为指导，深入学习贯彻党的二十大、二十届三中全会精神和习近平总书记对四川工作、政法工作、检察工作系列重要指示精神，全面落实省委十二届五次六次全会、州委十二届五次六次全会、县委十三届七次八次全会和各级政法工作会议、检察长会议决策部署，坚持党对检察工作的绝对领导，以突出政治、法治、质效、队伍“四项建设”为抓手，夯基础、转理念、提质效、育亮点，聚焦法律监督主责主业，高质效办好每一个案件，围绕阿坝检察“1355”工作思路，扛旗争先坚定走实汶川检察“1351”工作路径，为谱写中国式现代化汶川新篇章提供更加有力的法治保障。</w:t>
            </w:r>
          </w:p>
        </w:tc>
      </w:tr>
      <w:tr w14:paraId="56C896C9">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5E65AE1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76A43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8AB541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56" w:type="dxa"/>
            <w:vMerge w:val="restart"/>
            <w:tcBorders>
              <w:top w:val="single" w:color="000000" w:sz="4" w:space="0"/>
              <w:left w:val="single" w:color="000000" w:sz="4" w:space="0"/>
              <w:bottom w:val="single" w:color="000000" w:sz="4" w:space="0"/>
              <w:right w:val="single" w:color="000000" w:sz="4" w:space="0"/>
            </w:tcBorders>
            <w:noWrap/>
            <w:vAlign w:val="center"/>
          </w:tcPr>
          <w:p w14:paraId="1AFBE30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1338" w:type="dxa"/>
            <w:vMerge w:val="restart"/>
            <w:tcBorders>
              <w:top w:val="single" w:color="000000" w:sz="4" w:space="0"/>
              <w:left w:val="single" w:color="000000" w:sz="4" w:space="0"/>
              <w:bottom w:val="single" w:color="000000" w:sz="4" w:space="0"/>
              <w:right w:val="single" w:color="000000" w:sz="4" w:space="0"/>
            </w:tcBorders>
            <w:noWrap/>
            <w:vAlign w:val="center"/>
          </w:tcPr>
          <w:p w14:paraId="67DC0A9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970" w:type="dxa"/>
            <w:gridSpan w:val="4"/>
            <w:tcBorders>
              <w:top w:val="single" w:color="000000" w:sz="4" w:space="0"/>
              <w:left w:val="single" w:color="000000" w:sz="4" w:space="0"/>
              <w:bottom w:val="single" w:color="000000" w:sz="4" w:space="0"/>
              <w:right w:val="single" w:color="000000" w:sz="4" w:space="0"/>
            </w:tcBorders>
            <w:noWrap/>
            <w:vAlign w:val="center"/>
          </w:tcPr>
          <w:p w14:paraId="73095C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567" w:type="dxa"/>
            <w:vMerge w:val="restart"/>
            <w:tcBorders>
              <w:top w:val="single" w:color="000000" w:sz="4" w:space="0"/>
              <w:left w:val="single" w:color="000000" w:sz="4" w:space="0"/>
              <w:right w:val="single" w:color="000000" w:sz="4" w:space="0"/>
            </w:tcBorders>
            <w:noWrap/>
            <w:vAlign w:val="center"/>
          </w:tcPr>
          <w:p w14:paraId="77D398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372C2B8">
        <w:tblPrEx>
          <w:tblCellMar>
            <w:top w:w="0" w:type="dxa"/>
            <w:left w:w="108" w:type="dxa"/>
            <w:bottom w:w="0" w:type="dxa"/>
            <w:right w:w="108" w:type="dxa"/>
          </w:tblCellMar>
        </w:tblPrEx>
        <w:trPr>
          <w:trHeight w:val="54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4F74E9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D0110F3">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2C9019E">
            <w:pPr>
              <w:widowControl/>
              <w:spacing w:line="240" w:lineRule="exact"/>
              <w:jc w:val="center"/>
              <w:textAlignment w:val="center"/>
              <w:rPr>
                <w:rFonts w:ascii="宋体" w:hAnsi="宋体" w:eastAsia="宋体" w:cs="宋体"/>
                <w:color w:val="000000"/>
                <w:kern w:val="0"/>
                <w:sz w:val="24"/>
              </w:rPr>
            </w:pPr>
          </w:p>
        </w:tc>
        <w:tc>
          <w:tcPr>
            <w:tcW w:w="1056" w:type="dxa"/>
            <w:vMerge w:val="continue"/>
            <w:tcBorders>
              <w:top w:val="single" w:color="000000" w:sz="4" w:space="0"/>
              <w:left w:val="single" w:color="000000" w:sz="4" w:space="0"/>
              <w:bottom w:val="single" w:color="000000" w:sz="4" w:space="0"/>
              <w:right w:val="single" w:color="000000" w:sz="4" w:space="0"/>
            </w:tcBorders>
            <w:noWrap/>
            <w:vAlign w:val="center"/>
          </w:tcPr>
          <w:p w14:paraId="22B95D3D">
            <w:pPr>
              <w:widowControl/>
              <w:spacing w:line="240" w:lineRule="exact"/>
              <w:jc w:val="center"/>
              <w:textAlignment w:val="center"/>
              <w:rPr>
                <w:rFonts w:ascii="宋体" w:hAnsi="宋体" w:eastAsia="宋体" w:cs="宋体"/>
                <w:color w:val="000000"/>
                <w:kern w:val="0"/>
                <w:sz w:val="24"/>
              </w:rPr>
            </w:pPr>
          </w:p>
        </w:tc>
        <w:tc>
          <w:tcPr>
            <w:tcW w:w="1338" w:type="dxa"/>
            <w:vMerge w:val="continue"/>
            <w:tcBorders>
              <w:top w:val="single" w:color="000000" w:sz="4" w:space="0"/>
              <w:left w:val="single" w:color="000000" w:sz="4" w:space="0"/>
              <w:bottom w:val="single" w:color="000000" w:sz="4" w:space="0"/>
              <w:right w:val="single" w:color="000000" w:sz="4" w:space="0"/>
            </w:tcBorders>
            <w:noWrap/>
            <w:vAlign w:val="center"/>
          </w:tcPr>
          <w:p w14:paraId="1923F50A">
            <w:pPr>
              <w:widowControl/>
              <w:spacing w:line="240" w:lineRule="exact"/>
              <w:jc w:val="center"/>
              <w:textAlignment w:val="center"/>
              <w:rPr>
                <w:rFonts w:ascii="宋体" w:hAnsi="宋体" w:eastAsia="宋体" w:cs="宋体"/>
                <w:color w:val="000000"/>
                <w:kern w:val="0"/>
                <w:sz w:val="24"/>
              </w:rPr>
            </w:pPr>
          </w:p>
        </w:tc>
        <w:tc>
          <w:tcPr>
            <w:tcW w:w="750" w:type="dxa"/>
            <w:tcBorders>
              <w:top w:val="single" w:color="000000" w:sz="4" w:space="0"/>
              <w:left w:val="single" w:color="000000" w:sz="4" w:space="0"/>
              <w:right w:val="single" w:color="000000" w:sz="4" w:space="0"/>
            </w:tcBorders>
            <w:noWrap/>
            <w:vAlign w:val="center"/>
          </w:tcPr>
          <w:p w14:paraId="7ED697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69C012E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7D2180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ascii="宋体" w:hAnsi="宋体" w:eastAsia="宋体" w:cs="宋体"/>
                <w:color w:val="000000"/>
                <w:kern w:val="0"/>
                <w:sz w:val="24"/>
              </w:rPr>
              <w:t>年</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292443C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ascii="宋体" w:hAnsi="宋体" w:eastAsia="宋体" w:cs="宋体"/>
                <w:color w:val="000000"/>
                <w:kern w:val="0"/>
                <w:sz w:val="24"/>
              </w:rPr>
              <w:t>年</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37400F2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ascii="宋体" w:hAnsi="宋体" w:eastAsia="宋体" w:cs="宋体"/>
                <w:color w:val="000000"/>
                <w:kern w:val="0"/>
                <w:sz w:val="24"/>
              </w:rPr>
              <w:t>年</w:t>
            </w:r>
          </w:p>
        </w:tc>
        <w:tc>
          <w:tcPr>
            <w:tcW w:w="1567" w:type="dxa"/>
            <w:vMerge w:val="continue"/>
            <w:tcBorders>
              <w:left w:val="single" w:color="000000" w:sz="4" w:space="0"/>
              <w:right w:val="single" w:color="000000" w:sz="4" w:space="0"/>
            </w:tcBorders>
            <w:noWrap/>
            <w:vAlign w:val="center"/>
          </w:tcPr>
          <w:p w14:paraId="60014917">
            <w:pPr>
              <w:widowControl/>
              <w:spacing w:line="240" w:lineRule="exact"/>
              <w:jc w:val="center"/>
              <w:textAlignment w:val="center"/>
              <w:rPr>
                <w:rFonts w:ascii="宋体" w:hAnsi="宋体" w:eastAsia="宋体" w:cs="宋体"/>
                <w:color w:val="000000"/>
                <w:kern w:val="0"/>
                <w:sz w:val="24"/>
              </w:rPr>
            </w:pPr>
          </w:p>
        </w:tc>
      </w:tr>
      <w:tr w14:paraId="3500AE9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A32545D">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0F703D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101BE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218C19A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3CB0913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≤4.05%</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65A07B5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4.05%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32E05EE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6.13%</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5FF0B79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1.03%</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21D17D0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2C7FA4BB">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w:t>
            </w:r>
          </w:p>
        </w:tc>
      </w:tr>
      <w:tr w14:paraId="0F97E2FA">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A39B51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693FC0">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6890F8C">
            <w:pPr>
              <w:widowControl/>
              <w:spacing w:line="240" w:lineRule="exact"/>
              <w:jc w:val="center"/>
              <w:textAlignment w:val="center"/>
              <w:rPr>
                <w:rFonts w:ascii="宋体" w:hAnsi="宋体" w:eastAsia="宋体" w:cs="宋体"/>
                <w:color w:val="000000"/>
                <w:kern w:val="0"/>
                <w:sz w:val="24"/>
              </w:rPr>
            </w:pP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50BD9C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3AEF72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≤6.62%</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015C8AB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6.62%</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2EC5A0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13.84%</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6D9896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1.02%</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091A551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7130D622">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2.6%</w:t>
            </w:r>
          </w:p>
        </w:tc>
      </w:tr>
      <w:tr w14:paraId="6EE1E80B">
        <w:tblPrEx>
          <w:tblCellMar>
            <w:top w:w="0" w:type="dxa"/>
            <w:left w:w="108" w:type="dxa"/>
            <w:bottom w:w="0" w:type="dxa"/>
            <w:right w:w="108" w:type="dxa"/>
          </w:tblCellMar>
        </w:tblPrEx>
        <w:trPr>
          <w:trHeight w:val="52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2BFB7FC">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227C7B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AFB8EBF">
            <w:pPr>
              <w:widowControl/>
              <w:spacing w:line="240" w:lineRule="exact"/>
              <w:jc w:val="center"/>
              <w:textAlignment w:val="center"/>
              <w:rPr>
                <w:rFonts w:ascii="宋体" w:hAnsi="宋体" w:eastAsia="宋体" w:cs="宋体"/>
                <w:color w:val="000000"/>
                <w:kern w:val="0"/>
                <w:sz w:val="24"/>
              </w:rPr>
            </w:pP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8E3FD4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1FE1065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≤380,000元</w:t>
            </w:r>
          </w:p>
        </w:tc>
        <w:tc>
          <w:tcPr>
            <w:tcW w:w="3970" w:type="dxa"/>
            <w:gridSpan w:val="4"/>
            <w:tcBorders>
              <w:top w:val="single" w:color="000000" w:sz="4" w:space="0"/>
              <w:left w:val="single" w:color="000000" w:sz="4" w:space="0"/>
              <w:bottom w:val="single" w:color="000000" w:sz="4" w:space="0"/>
              <w:right w:val="single" w:color="000000" w:sz="4" w:space="0"/>
            </w:tcBorders>
            <w:noWrap/>
            <w:vAlign w:val="center"/>
          </w:tcPr>
          <w:p w14:paraId="292659D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393,439.79元</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219F34C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230093.89元</w:t>
            </w:r>
          </w:p>
        </w:tc>
      </w:tr>
      <w:tr w14:paraId="1FFAA35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4C4A80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58A7587">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19D5EF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73F5C4C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690023D4">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优</w:t>
            </w:r>
          </w:p>
        </w:tc>
        <w:tc>
          <w:tcPr>
            <w:tcW w:w="3970" w:type="dxa"/>
            <w:gridSpan w:val="4"/>
            <w:tcBorders>
              <w:top w:val="single" w:color="000000" w:sz="4" w:space="0"/>
              <w:left w:val="single" w:color="000000" w:sz="4" w:space="0"/>
              <w:bottom w:val="single" w:color="000000" w:sz="4" w:space="0"/>
              <w:right w:val="single" w:color="000000" w:sz="4" w:space="0"/>
            </w:tcBorders>
            <w:noWrap/>
            <w:vAlign w:val="center"/>
          </w:tcPr>
          <w:p w14:paraId="57760C9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val="en-US" w:eastAsia="zh-CN"/>
              </w:rPr>
              <w:t>优</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34FF90E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0F4C5E7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5A3B97E">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45EBE73">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FDA890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1F93F1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474B575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8EA935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115F7CC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43610FD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18B45E8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16D2733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r>
      <w:tr w14:paraId="7D58E4C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A3F0D41">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E07C59A">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6C42CF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EC00F2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1338" w:type="dxa"/>
            <w:tcBorders>
              <w:top w:val="single" w:color="000000" w:sz="4" w:space="0"/>
              <w:left w:val="single" w:color="000000" w:sz="4" w:space="0"/>
              <w:bottom w:val="single" w:color="000000" w:sz="4" w:space="0"/>
              <w:right w:val="single" w:color="000000" w:sz="4" w:space="0"/>
            </w:tcBorders>
            <w:noWrap/>
            <w:vAlign w:val="center"/>
          </w:tcPr>
          <w:p w14:paraId="5806D03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w:t>
            </w:r>
          </w:p>
        </w:tc>
        <w:tc>
          <w:tcPr>
            <w:tcW w:w="750" w:type="dxa"/>
            <w:tcBorders>
              <w:top w:val="single" w:color="000000" w:sz="4" w:space="0"/>
              <w:left w:val="single" w:color="000000" w:sz="4" w:space="0"/>
              <w:bottom w:val="single" w:color="000000" w:sz="4" w:space="0"/>
              <w:right w:val="single" w:color="000000" w:sz="4" w:space="0"/>
            </w:tcBorders>
            <w:noWrap/>
            <w:vAlign w:val="center"/>
          </w:tcPr>
          <w:p w14:paraId="47944F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0A28828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61DBEC6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w:t>
            </w:r>
          </w:p>
        </w:tc>
        <w:tc>
          <w:tcPr>
            <w:tcW w:w="1085" w:type="dxa"/>
            <w:tcBorders>
              <w:top w:val="single" w:color="000000" w:sz="4" w:space="0"/>
              <w:left w:val="single" w:color="000000" w:sz="4" w:space="0"/>
              <w:bottom w:val="single" w:color="000000" w:sz="4" w:space="0"/>
              <w:right w:val="single" w:color="000000" w:sz="4" w:space="0"/>
            </w:tcBorders>
            <w:noWrap/>
            <w:vAlign w:val="center"/>
          </w:tcPr>
          <w:p w14:paraId="4F979AB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95%</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2A2DFB2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0A068351">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6D56586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24CDE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0B4326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1611F0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48C093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275F2008">
            <w:pPr>
              <w:widowControl/>
              <w:spacing w:line="240" w:lineRule="exact"/>
              <w:jc w:val="center"/>
              <w:textAlignment w:val="center"/>
              <w:rPr>
                <w:rFonts w:ascii="宋体" w:hAnsi="宋体" w:eastAsia="宋体" w:cs="宋体"/>
                <w:color w:val="000000"/>
                <w:kern w:val="0"/>
                <w:sz w:val="24"/>
              </w:rPr>
            </w:pPr>
          </w:p>
        </w:tc>
      </w:tr>
      <w:tr w14:paraId="2D65DA93">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F9B63A5">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42C927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635A2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时效指标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55BFC63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经费支出及时性</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7B34CCB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及时</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231E442D">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及时</w:t>
            </w:r>
          </w:p>
        </w:tc>
      </w:tr>
      <w:tr w14:paraId="542989FA">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2C7EFC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0F3569B">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1EABA5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质量指标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E0ACC1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检察工作高</w:t>
            </w:r>
            <w:r>
              <w:rPr>
                <w:rFonts w:hint="eastAsia" w:ascii="宋体" w:hAnsi="宋体" w:cs="宋体"/>
                <w:color w:val="000000"/>
                <w:kern w:val="0"/>
                <w:sz w:val="24"/>
                <w:lang w:eastAsia="zh-CN"/>
              </w:rPr>
              <w:t>质量</w:t>
            </w:r>
            <w:r>
              <w:rPr>
                <w:rFonts w:hint="eastAsia" w:ascii="宋体" w:hAnsi="宋体" w:eastAsia="宋体" w:cs="宋体"/>
                <w:color w:val="000000"/>
                <w:kern w:val="0"/>
                <w:sz w:val="24"/>
              </w:rPr>
              <w:t>开展</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51AA88C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高</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588FB7CC">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r>
      <w:tr w14:paraId="3AC9F89B">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42BADE2">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176A4B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0FC0F3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数量指标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39488F5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刑事检察案件办理数</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0C96AD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≥120件</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66F806DA">
            <w:pPr>
              <w:widowControl/>
              <w:spacing w:line="240" w:lineRule="exact"/>
              <w:jc w:val="center"/>
              <w:textAlignment w:val="center"/>
              <w:rPr>
                <w:rFonts w:hint="eastAsia" w:ascii="宋体" w:hAnsi="宋体" w:eastAsia="宋体" w:cs="宋体"/>
                <w:color w:val="000000"/>
                <w:kern w:val="0"/>
                <w:sz w:val="24"/>
                <w:lang w:val="en-US" w:eastAsia="zh-CN"/>
              </w:rPr>
            </w:pPr>
            <w:r>
              <w:rPr>
                <w:rFonts w:hint="default" w:ascii="宋体" w:hAnsi="宋体" w:eastAsia="宋体" w:cs="宋体"/>
                <w:color w:val="000000"/>
                <w:kern w:val="0"/>
                <w:sz w:val="24"/>
              </w:rPr>
              <w:t>133</w:t>
            </w:r>
            <w:r>
              <w:rPr>
                <w:rFonts w:hint="eastAsia" w:ascii="宋体" w:hAnsi="宋体" w:eastAsia="宋体" w:cs="宋体"/>
                <w:color w:val="000000"/>
                <w:kern w:val="0"/>
                <w:sz w:val="24"/>
                <w:lang w:val="en-US" w:eastAsia="zh-CN"/>
              </w:rPr>
              <w:t>件</w:t>
            </w:r>
          </w:p>
        </w:tc>
      </w:tr>
      <w:tr w14:paraId="3D988FA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9A1ED8B">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80C992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290EF3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62A7FD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打击犯罪维护社会稳定</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4FBE5B4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优</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0D3CC507">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3E25BA7E">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0F6F688">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6C7AC55">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27DB4C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社会效益指标</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006B76B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公益诉讼检察监督率</w:t>
            </w:r>
          </w:p>
        </w:tc>
        <w:tc>
          <w:tcPr>
            <w:tcW w:w="5308" w:type="dxa"/>
            <w:gridSpan w:val="5"/>
            <w:tcBorders>
              <w:top w:val="single" w:color="000000" w:sz="4" w:space="0"/>
              <w:left w:val="single" w:color="000000" w:sz="4" w:space="0"/>
              <w:bottom w:val="single" w:color="000000" w:sz="4" w:space="0"/>
              <w:right w:val="single" w:color="000000" w:sz="4" w:space="0"/>
            </w:tcBorders>
            <w:noWrap/>
            <w:vAlign w:val="center"/>
          </w:tcPr>
          <w:p w14:paraId="2C06D0D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100%</w:t>
            </w:r>
          </w:p>
        </w:tc>
        <w:tc>
          <w:tcPr>
            <w:tcW w:w="1567" w:type="dxa"/>
            <w:tcBorders>
              <w:top w:val="single" w:color="000000" w:sz="4" w:space="0"/>
              <w:left w:val="single" w:color="000000" w:sz="4" w:space="0"/>
              <w:bottom w:val="single" w:color="000000" w:sz="4" w:space="0"/>
              <w:right w:val="single" w:color="000000" w:sz="4" w:space="0"/>
            </w:tcBorders>
            <w:noWrap/>
            <w:vAlign w:val="center"/>
          </w:tcPr>
          <w:p w14:paraId="55CA7F2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bl>
    <w:p w14:paraId="557A4035">
      <w:pPr>
        <w:rPr>
          <w:rFonts w:hint="default" w:ascii="Times New Roman" w:hAnsi="Times New Roman" w:eastAsia="方正小标宋简体" w:cs="Times New Roman"/>
          <w:i w:val="0"/>
          <w:color w:val="000000"/>
          <w:kern w:val="0"/>
          <w:sz w:val="32"/>
          <w:szCs w:val="32"/>
          <w:u w:val="none"/>
          <w:lang w:val="en-US" w:eastAsia="zh-CN" w:bidi="ar"/>
        </w:rPr>
      </w:pPr>
    </w:p>
    <w:p w14:paraId="241FFCCD">
      <w:pPr>
        <w:pStyle w:val="19"/>
        <w:keepNext/>
        <w:keepLines/>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p w14:paraId="0D3B39AC">
      <w:pPr>
        <w:rPr>
          <w:rFonts w:eastAsia="仿宋_GB2312"/>
          <w:sz w:val="32"/>
          <w:szCs w:val="32"/>
          <w:lang w:val="zh-CN"/>
        </w:rPr>
      </w:pPr>
      <w:r>
        <w:rPr>
          <w:rFonts w:hint="default" w:ascii="Times New Roman" w:hAnsi="Times New Roman" w:eastAsia="黑体" w:cs="Times New Roman"/>
          <w:kern w:val="2"/>
          <w:sz w:val="32"/>
          <w:szCs w:val="24"/>
          <w:highlight w:val="none"/>
          <w:lang w:val="en-US" w:eastAsia="zh-CN" w:bidi="ar-SA"/>
        </w:rPr>
        <w:br w:type="page"/>
      </w:r>
    </w:p>
    <w:p w14:paraId="2B4DAFE9">
      <w:pPr>
        <w:pStyle w:val="2"/>
        <w:jc w:val="center"/>
        <w:rPr>
          <w:rFonts w:hint="eastAsia" w:ascii="方正小标宋简体" w:hAnsi="方正小标宋简体" w:eastAsia="方正小标宋简体" w:cs="方正小标宋简体"/>
          <w:b w:val="0"/>
        </w:rPr>
      </w:pPr>
      <w:r>
        <w:rPr>
          <w:rFonts w:hint="eastAsia" w:ascii="方正小标宋简体" w:hAnsi="方正小标宋简体" w:eastAsia="方正小标宋简体" w:cs="方正小标宋简体"/>
          <w:b w:val="0"/>
        </w:rPr>
        <w:t>第五部分 附表</w:t>
      </w:r>
    </w:p>
    <w:p w14:paraId="4ECBCC22">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一、收入支出决算总表</w:t>
      </w:r>
    </w:p>
    <w:p w14:paraId="2C569F26">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二、收入决算表</w:t>
      </w:r>
    </w:p>
    <w:p w14:paraId="3CCAA860">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三、支出决算表</w:t>
      </w:r>
    </w:p>
    <w:p w14:paraId="27944F41">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四、财政拨款收入支出决算总表</w:t>
      </w:r>
    </w:p>
    <w:p w14:paraId="4C63783D">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五、财政拨款支出决算明细表</w:t>
      </w:r>
    </w:p>
    <w:p w14:paraId="1D877BB3">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六、一般公共预算财政拨款支出决算表</w:t>
      </w:r>
    </w:p>
    <w:p w14:paraId="5722E0A4">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七、一般公共预算财政拨款支出决算明细表</w:t>
      </w:r>
    </w:p>
    <w:p w14:paraId="26FFDCCC">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八、一般公共预算财政拨款基本支出决算表</w:t>
      </w:r>
    </w:p>
    <w:p w14:paraId="1E6AD20F">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九、一般公共预算财政拨款项目支出决算表</w:t>
      </w:r>
    </w:p>
    <w:p w14:paraId="5CCB62F9">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十、政府性基金预算财政拨款收入支出决算表</w:t>
      </w:r>
    </w:p>
    <w:p w14:paraId="495DB83C">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十一、国有资本经营预算财政拨款收入支出决算表</w:t>
      </w:r>
    </w:p>
    <w:p w14:paraId="6A203EDD">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十二、国有资本经营预算财政拨款支出决算表</w:t>
      </w:r>
    </w:p>
    <w:p w14:paraId="652D6612">
      <w:pPr>
        <w:spacing w:line="600" w:lineRule="exact"/>
        <w:ind w:firstLine="640" w:firstLineChars="200"/>
        <w:outlineLvl w:val="1"/>
        <w:rPr>
          <w:rFonts w:hint="eastAsia" w:ascii="黑体" w:hAnsi="黑体" w:eastAsia="黑体" w:cs="Times New Roman"/>
          <w:sz w:val="32"/>
          <w:szCs w:val="32"/>
          <w:lang w:val="en-US" w:eastAsia="zh-CN"/>
        </w:rPr>
      </w:pPr>
      <w:r>
        <w:rPr>
          <w:rFonts w:hint="eastAsia" w:ascii="黑体" w:hAnsi="黑体" w:eastAsia="黑体" w:cs="Times New Roman"/>
          <w:sz w:val="32"/>
          <w:szCs w:val="32"/>
          <w:lang w:val="en-US" w:eastAsia="zh-CN"/>
        </w:rPr>
        <w:t>十三、财政拨款“三公”经费支出决算表</w:t>
      </w:r>
    </w:p>
    <w:sectPr>
      <w:headerReference r:id="rId3" w:type="default"/>
      <w:footerReference r:id="rId4" w:type="default"/>
      <w:pgSz w:w="11906" w:h="16838"/>
      <w:pgMar w:top="2098" w:right="1474" w:bottom="1984" w:left="1587" w:header="851" w:footer="992" w:gutter="0"/>
      <w:pgNumType w:start="1"/>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5F66C8F6">
        <w:pPr>
          <w:pStyle w:val="10"/>
          <w:jc w:val="center"/>
        </w:pPr>
        <w:r>
          <w:fldChar w:fldCharType="begin"/>
        </w:r>
        <w:r>
          <w:instrText xml:space="preserve">PAGE   \* MERGEFORMAT</w:instrText>
        </w:r>
        <w:r>
          <w:fldChar w:fldCharType="separate"/>
        </w:r>
        <w:r>
          <w:rPr>
            <w:lang w:val="zh-CN"/>
          </w:rPr>
          <w:t>23</w:t>
        </w:r>
        <w:r>
          <w:fldChar w:fldCharType="end"/>
        </w:r>
      </w:p>
    </w:sdtContent>
  </w:sdt>
  <w:p w14:paraId="3AFEB6B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EF99C">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JjN2M3ZTk1ZTIxYjRiMDNmMTkzMGU5OGJhY2Y4NzAifQ=="/>
  </w:docVars>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1EDF"/>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C52BB"/>
    <w:rsid w:val="004D4AEB"/>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E6810"/>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07E5"/>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E2BB9"/>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7DA4"/>
    <w:rsid w:val="00FD3CC1"/>
    <w:rsid w:val="00FF1E02"/>
    <w:rsid w:val="00FF30B4"/>
    <w:rsid w:val="01284C10"/>
    <w:rsid w:val="01413ACA"/>
    <w:rsid w:val="015975B8"/>
    <w:rsid w:val="02367EEB"/>
    <w:rsid w:val="0243500A"/>
    <w:rsid w:val="026779BA"/>
    <w:rsid w:val="02FEBE30"/>
    <w:rsid w:val="03035935"/>
    <w:rsid w:val="03217B69"/>
    <w:rsid w:val="033E696D"/>
    <w:rsid w:val="036F8141"/>
    <w:rsid w:val="046A7F16"/>
    <w:rsid w:val="04D70E27"/>
    <w:rsid w:val="052F2A11"/>
    <w:rsid w:val="05880374"/>
    <w:rsid w:val="05B66112"/>
    <w:rsid w:val="06361B7E"/>
    <w:rsid w:val="06497B03"/>
    <w:rsid w:val="066E0107"/>
    <w:rsid w:val="06E45A7E"/>
    <w:rsid w:val="0742743C"/>
    <w:rsid w:val="07996F6E"/>
    <w:rsid w:val="07DFD8BA"/>
    <w:rsid w:val="07E7448A"/>
    <w:rsid w:val="07F20D61"/>
    <w:rsid w:val="07FD6DF7"/>
    <w:rsid w:val="08033CE1"/>
    <w:rsid w:val="086115F9"/>
    <w:rsid w:val="08711577"/>
    <w:rsid w:val="08986B20"/>
    <w:rsid w:val="08AF5DD8"/>
    <w:rsid w:val="08BB636A"/>
    <w:rsid w:val="0902043D"/>
    <w:rsid w:val="092109AD"/>
    <w:rsid w:val="09FA20EF"/>
    <w:rsid w:val="0A2032A3"/>
    <w:rsid w:val="0AD16319"/>
    <w:rsid w:val="0AD55E09"/>
    <w:rsid w:val="0B161F7E"/>
    <w:rsid w:val="0C78199D"/>
    <w:rsid w:val="0C8C699B"/>
    <w:rsid w:val="0CC2416B"/>
    <w:rsid w:val="0D35B1ED"/>
    <w:rsid w:val="0D4B2102"/>
    <w:rsid w:val="0D690A8B"/>
    <w:rsid w:val="0D710F59"/>
    <w:rsid w:val="0DC5584F"/>
    <w:rsid w:val="0DD34624"/>
    <w:rsid w:val="0DE1094B"/>
    <w:rsid w:val="0E401CB6"/>
    <w:rsid w:val="0E5B52DE"/>
    <w:rsid w:val="0E7ED1F5"/>
    <w:rsid w:val="0E9C09EC"/>
    <w:rsid w:val="0ECC26B5"/>
    <w:rsid w:val="0F592566"/>
    <w:rsid w:val="0F98263C"/>
    <w:rsid w:val="0F9D2256"/>
    <w:rsid w:val="0FC0256E"/>
    <w:rsid w:val="0FF860F6"/>
    <w:rsid w:val="10086339"/>
    <w:rsid w:val="101860EC"/>
    <w:rsid w:val="10801761"/>
    <w:rsid w:val="10A36062"/>
    <w:rsid w:val="10C055FF"/>
    <w:rsid w:val="10C44C21"/>
    <w:rsid w:val="10F1039A"/>
    <w:rsid w:val="118107EC"/>
    <w:rsid w:val="11904838"/>
    <w:rsid w:val="11944B11"/>
    <w:rsid w:val="121B7196"/>
    <w:rsid w:val="124334F4"/>
    <w:rsid w:val="12486EC1"/>
    <w:rsid w:val="12655F72"/>
    <w:rsid w:val="12687563"/>
    <w:rsid w:val="130B7EEE"/>
    <w:rsid w:val="135950FD"/>
    <w:rsid w:val="137E60F9"/>
    <w:rsid w:val="139879D4"/>
    <w:rsid w:val="13D50BC4"/>
    <w:rsid w:val="13F5616D"/>
    <w:rsid w:val="14011A1D"/>
    <w:rsid w:val="142B0848"/>
    <w:rsid w:val="143A4B78"/>
    <w:rsid w:val="14535FF1"/>
    <w:rsid w:val="146C0211"/>
    <w:rsid w:val="14733869"/>
    <w:rsid w:val="147C15B6"/>
    <w:rsid w:val="149A59CD"/>
    <w:rsid w:val="14A627F2"/>
    <w:rsid w:val="14DD6BBD"/>
    <w:rsid w:val="152662C1"/>
    <w:rsid w:val="1527592D"/>
    <w:rsid w:val="15A120AC"/>
    <w:rsid w:val="15E909BB"/>
    <w:rsid w:val="164A7926"/>
    <w:rsid w:val="16A00A11"/>
    <w:rsid w:val="16BB723D"/>
    <w:rsid w:val="170D692B"/>
    <w:rsid w:val="172B759D"/>
    <w:rsid w:val="17390337"/>
    <w:rsid w:val="174560C4"/>
    <w:rsid w:val="178766DD"/>
    <w:rsid w:val="178A7F7B"/>
    <w:rsid w:val="17DB234C"/>
    <w:rsid w:val="17F9714D"/>
    <w:rsid w:val="183323C1"/>
    <w:rsid w:val="184620F4"/>
    <w:rsid w:val="185D743E"/>
    <w:rsid w:val="187C5B16"/>
    <w:rsid w:val="188D4734"/>
    <w:rsid w:val="18A37444"/>
    <w:rsid w:val="18B36AFB"/>
    <w:rsid w:val="18BC23B6"/>
    <w:rsid w:val="18C82B09"/>
    <w:rsid w:val="18D80A41"/>
    <w:rsid w:val="1918F934"/>
    <w:rsid w:val="192817FA"/>
    <w:rsid w:val="19375EE1"/>
    <w:rsid w:val="19D35C0A"/>
    <w:rsid w:val="1A815666"/>
    <w:rsid w:val="1AB76DBD"/>
    <w:rsid w:val="1AB84DFF"/>
    <w:rsid w:val="1B8D1DE8"/>
    <w:rsid w:val="1BA3160C"/>
    <w:rsid w:val="1BAD4238"/>
    <w:rsid w:val="1BD619E1"/>
    <w:rsid w:val="1BE8440E"/>
    <w:rsid w:val="1BF754B3"/>
    <w:rsid w:val="1C6010F7"/>
    <w:rsid w:val="1CAC58FC"/>
    <w:rsid w:val="1CB15B83"/>
    <w:rsid w:val="1D155CEE"/>
    <w:rsid w:val="1D1A03AB"/>
    <w:rsid w:val="1D2E247E"/>
    <w:rsid w:val="1D3833BB"/>
    <w:rsid w:val="1D4A2936"/>
    <w:rsid w:val="1D76522A"/>
    <w:rsid w:val="1DBB0E8E"/>
    <w:rsid w:val="1DC11C20"/>
    <w:rsid w:val="1DFBC4B3"/>
    <w:rsid w:val="1DFD2D71"/>
    <w:rsid w:val="1E0565AE"/>
    <w:rsid w:val="1E560BB7"/>
    <w:rsid w:val="1E740ACF"/>
    <w:rsid w:val="1E8522FD"/>
    <w:rsid w:val="1ED65114"/>
    <w:rsid w:val="1F093E7B"/>
    <w:rsid w:val="1F19C781"/>
    <w:rsid w:val="1F33FCE5"/>
    <w:rsid w:val="1F7F7398"/>
    <w:rsid w:val="1FD2DB6F"/>
    <w:rsid w:val="1FE741BD"/>
    <w:rsid w:val="1FF35744"/>
    <w:rsid w:val="1FF6BC77"/>
    <w:rsid w:val="1FF9236D"/>
    <w:rsid w:val="20511636"/>
    <w:rsid w:val="20735A50"/>
    <w:rsid w:val="209D43AF"/>
    <w:rsid w:val="21162880"/>
    <w:rsid w:val="21604585"/>
    <w:rsid w:val="216C47A8"/>
    <w:rsid w:val="217952E8"/>
    <w:rsid w:val="22133EBF"/>
    <w:rsid w:val="225278E7"/>
    <w:rsid w:val="22C81958"/>
    <w:rsid w:val="22CC769A"/>
    <w:rsid w:val="22D12864"/>
    <w:rsid w:val="2329689A"/>
    <w:rsid w:val="2333840E"/>
    <w:rsid w:val="23533F4E"/>
    <w:rsid w:val="23860B96"/>
    <w:rsid w:val="23CE11F0"/>
    <w:rsid w:val="23E31A6C"/>
    <w:rsid w:val="23ED1282"/>
    <w:rsid w:val="240371BF"/>
    <w:rsid w:val="24DD5B8E"/>
    <w:rsid w:val="257C638F"/>
    <w:rsid w:val="25A91F14"/>
    <w:rsid w:val="25D126D6"/>
    <w:rsid w:val="25E46D6D"/>
    <w:rsid w:val="26343B7C"/>
    <w:rsid w:val="267C4F33"/>
    <w:rsid w:val="26826FA0"/>
    <w:rsid w:val="26DB60FD"/>
    <w:rsid w:val="26EF1BA9"/>
    <w:rsid w:val="26F44914"/>
    <w:rsid w:val="26FF6A0B"/>
    <w:rsid w:val="27093C7A"/>
    <w:rsid w:val="271B0BF0"/>
    <w:rsid w:val="27AF30E6"/>
    <w:rsid w:val="27B24862"/>
    <w:rsid w:val="27DF5779"/>
    <w:rsid w:val="27E04A80"/>
    <w:rsid w:val="27EB2370"/>
    <w:rsid w:val="283D5D23"/>
    <w:rsid w:val="288E170A"/>
    <w:rsid w:val="29093F63"/>
    <w:rsid w:val="295201CD"/>
    <w:rsid w:val="29580844"/>
    <w:rsid w:val="29A16A53"/>
    <w:rsid w:val="29C74208"/>
    <w:rsid w:val="29FD04D3"/>
    <w:rsid w:val="2A8059E3"/>
    <w:rsid w:val="2A8F792B"/>
    <w:rsid w:val="2B0F45C8"/>
    <w:rsid w:val="2B6568DD"/>
    <w:rsid w:val="2B8F21F0"/>
    <w:rsid w:val="2BFF7BC6"/>
    <w:rsid w:val="2C8A61B5"/>
    <w:rsid w:val="2CD59C95"/>
    <w:rsid w:val="2D343A16"/>
    <w:rsid w:val="2D7B158E"/>
    <w:rsid w:val="2DCE5470"/>
    <w:rsid w:val="2DF04E50"/>
    <w:rsid w:val="2EE67D35"/>
    <w:rsid w:val="2EFD05E5"/>
    <w:rsid w:val="2F040D46"/>
    <w:rsid w:val="2F4F95CE"/>
    <w:rsid w:val="2F880DEC"/>
    <w:rsid w:val="2FACAFDD"/>
    <w:rsid w:val="2FAE5751"/>
    <w:rsid w:val="2FB1A395"/>
    <w:rsid w:val="2FCF0B76"/>
    <w:rsid w:val="2FD25A98"/>
    <w:rsid w:val="2FD9A7D8"/>
    <w:rsid w:val="30181B72"/>
    <w:rsid w:val="30494DE6"/>
    <w:rsid w:val="3058256D"/>
    <w:rsid w:val="30753757"/>
    <w:rsid w:val="30B73737"/>
    <w:rsid w:val="319F7F4E"/>
    <w:rsid w:val="31B42060"/>
    <w:rsid w:val="32126FFE"/>
    <w:rsid w:val="326A4F9C"/>
    <w:rsid w:val="3304709D"/>
    <w:rsid w:val="3326781D"/>
    <w:rsid w:val="333467A8"/>
    <w:rsid w:val="33491B2B"/>
    <w:rsid w:val="33CA3782"/>
    <w:rsid w:val="341847E7"/>
    <w:rsid w:val="3504770B"/>
    <w:rsid w:val="355D14AF"/>
    <w:rsid w:val="360D204B"/>
    <w:rsid w:val="36323860"/>
    <w:rsid w:val="36877708"/>
    <w:rsid w:val="36AA5135"/>
    <w:rsid w:val="36BA1FE3"/>
    <w:rsid w:val="36BE0DA7"/>
    <w:rsid w:val="36DF5796"/>
    <w:rsid w:val="370D763D"/>
    <w:rsid w:val="376B6AA6"/>
    <w:rsid w:val="376D39B2"/>
    <w:rsid w:val="379F4F25"/>
    <w:rsid w:val="37E16F03"/>
    <w:rsid w:val="37F53A3B"/>
    <w:rsid w:val="382947EF"/>
    <w:rsid w:val="3833314B"/>
    <w:rsid w:val="384E1FFE"/>
    <w:rsid w:val="38D469F0"/>
    <w:rsid w:val="38F78389"/>
    <w:rsid w:val="39335925"/>
    <w:rsid w:val="39551D3F"/>
    <w:rsid w:val="397BAF1F"/>
    <w:rsid w:val="397D0CC6"/>
    <w:rsid w:val="398B30E0"/>
    <w:rsid w:val="39B11BBB"/>
    <w:rsid w:val="39BC4516"/>
    <w:rsid w:val="39C87740"/>
    <w:rsid w:val="39E7B272"/>
    <w:rsid w:val="39F7642F"/>
    <w:rsid w:val="39FD5F33"/>
    <w:rsid w:val="39FF7B37"/>
    <w:rsid w:val="3A2D142E"/>
    <w:rsid w:val="3A59585F"/>
    <w:rsid w:val="3A83468A"/>
    <w:rsid w:val="3A960861"/>
    <w:rsid w:val="3A992100"/>
    <w:rsid w:val="3AB79AF3"/>
    <w:rsid w:val="3AF72CB8"/>
    <w:rsid w:val="3AFDCB77"/>
    <w:rsid w:val="3B1C0999"/>
    <w:rsid w:val="3B33021C"/>
    <w:rsid w:val="3B7EF35A"/>
    <w:rsid w:val="3B9FDB6C"/>
    <w:rsid w:val="3BA24FE4"/>
    <w:rsid w:val="3BAC151A"/>
    <w:rsid w:val="3BF5BC2F"/>
    <w:rsid w:val="3BF7C23A"/>
    <w:rsid w:val="3BFF223E"/>
    <w:rsid w:val="3C092149"/>
    <w:rsid w:val="3C0D6901"/>
    <w:rsid w:val="3C6250A3"/>
    <w:rsid w:val="3C642299"/>
    <w:rsid w:val="3C6EC0A1"/>
    <w:rsid w:val="3CAD2FC8"/>
    <w:rsid w:val="3CDB07AE"/>
    <w:rsid w:val="3CDB0824"/>
    <w:rsid w:val="3CEBA265"/>
    <w:rsid w:val="3CF47AC1"/>
    <w:rsid w:val="3D347EBE"/>
    <w:rsid w:val="3D6A7F9F"/>
    <w:rsid w:val="3D7E7F4D"/>
    <w:rsid w:val="3D98207C"/>
    <w:rsid w:val="3D9CF30A"/>
    <w:rsid w:val="3DEE2762"/>
    <w:rsid w:val="3DFF5A3E"/>
    <w:rsid w:val="3E155F41"/>
    <w:rsid w:val="3E4329DB"/>
    <w:rsid w:val="3E78745D"/>
    <w:rsid w:val="3E8D1066"/>
    <w:rsid w:val="3EA90437"/>
    <w:rsid w:val="3ED63DA7"/>
    <w:rsid w:val="3EEE77E9"/>
    <w:rsid w:val="3F394AF5"/>
    <w:rsid w:val="3F5818F1"/>
    <w:rsid w:val="3FBE5714"/>
    <w:rsid w:val="3FCE5F35"/>
    <w:rsid w:val="3FDD8615"/>
    <w:rsid w:val="3FDFB2FF"/>
    <w:rsid w:val="3FF4CAE0"/>
    <w:rsid w:val="3FF75FAF"/>
    <w:rsid w:val="3FF7B227"/>
    <w:rsid w:val="40736CE4"/>
    <w:rsid w:val="408C19F2"/>
    <w:rsid w:val="41006A35"/>
    <w:rsid w:val="411C1395"/>
    <w:rsid w:val="413E2100"/>
    <w:rsid w:val="419302A8"/>
    <w:rsid w:val="42167DEC"/>
    <w:rsid w:val="425D30F6"/>
    <w:rsid w:val="43721740"/>
    <w:rsid w:val="43C024AB"/>
    <w:rsid w:val="43E3619A"/>
    <w:rsid w:val="440700DA"/>
    <w:rsid w:val="440D1DD8"/>
    <w:rsid w:val="4467501D"/>
    <w:rsid w:val="44E268DA"/>
    <w:rsid w:val="44EB79FC"/>
    <w:rsid w:val="45344EFF"/>
    <w:rsid w:val="454D0FFE"/>
    <w:rsid w:val="45575091"/>
    <w:rsid w:val="455E01CE"/>
    <w:rsid w:val="45717F01"/>
    <w:rsid w:val="457F4F6B"/>
    <w:rsid w:val="45F23667"/>
    <w:rsid w:val="45F35DD3"/>
    <w:rsid w:val="461F178B"/>
    <w:rsid w:val="461F5F7F"/>
    <w:rsid w:val="46C16C66"/>
    <w:rsid w:val="46C706EC"/>
    <w:rsid w:val="46EB442E"/>
    <w:rsid w:val="47040901"/>
    <w:rsid w:val="4737FB58"/>
    <w:rsid w:val="476725FC"/>
    <w:rsid w:val="47BF6F48"/>
    <w:rsid w:val="47E8408B"/>
    <w:rsid w:val="47EC7D13"/>
    <w:rsid w:val="47ECCB02"/>
    <w:rsid w:val="47FA6A3F"/>
    <w:rsid w:val="47FC782A"/>
    <w:rsid w:val="4847774B"/>
    <w:rsid w:val="48571DC5"/>
    <w:rsid w:val="485B09F4"/>
    <w:rsid w:val="488C32A4"/>
    <w:rsid w:val="48CB5B7A"/>
    <w:rsid w:val="490746D8"/>
    <w:rsid w:val="492D3C07"/>
    <w:rsid w:val="492F6511"/>
    <w:rsid w:val="49496A9F"/>
    <w:rsid w:val="498A77E3"/>
    <w:rsid w:val="49A34401"/>
    <w:rsid w:val="49D7AE48"/>
    <w:rsid w:val="49D96075"/>
    <w:rsid w:val="4A0155CC"/>
    <w:rsid w:val="4A3F6C7E"/>
    <w:rsid w:val="4A627F82"/>
    <w:rsid w:val="4A6873F9"/>
    <w:rsid w:val="4AC7411F"/>
    <w:rsid w:val="4ACC5BD9"/>
    <w:rsid w:val="4B0E749A"/>
    <w:rsid w:val="4B4F25DA"/>
    <w:rsid w:val="4B5A31E5"/>
    <w:rsid w:val="4B5B3B69"/>
    <w:rsid w:val="4BBB4781"/>
    <w:rsid w:val="4BD709A5"/>
    <w:rsid w:val="4BDD9BFF"/>
    <w:rsid w:val="4BE068DB"/>
    <w:rsid w:val="4C43160F"/>
    <w:rsid w:val="4C6F76ED"/>
    <w:rsid w:val="4CD07C03"/>
    <w:rsid w:val="4D0459AA"/>
    <w:rsid w:val="4D096C71"/>
    <w:rsid w:val="4D422183"/>
    <w:rsid w:val="4D577224"/>
    <w:rsid w:val="4D6A6A44"/>
    <w:rsid w:val="4DA93FB0"/>
    <w:rsid w:val="4DBF1CEB"/>
    <w:rsid w:val="4DBF6A6B"/>
    <w:rsid w:val="4DE33966"/>
    <w:rsid w:val="4DF6A672"/>
    <w:rsid w:val="4DF711BF"/>
    <w:rsid w:val="4EAB630A"/>
    <w:rsid w:val="4ECE2238"/>
    <w:rsid w:val="4F26716D"/>
    <w:rsid w:val="4F7EA413"/>
    <w:rsid w:val="4F8B1117"/>
    <w:rsid w:val="4FAB812F"/>
    <w:rsid w:val="4FC96B8B"/>
    <w:rsid w:val="4FE9BD67"/>
    <w:rsid w:val="4FEE4C07"/>
    <w:rsid w:val="4FF534DD"/>
    <w:rsid w:val="4FFB052F"/>
    <w:rsid w:val="50577CF3"/>
    <w:rsid w:val="507C775A"/>
    <w:rsid w:val="50B05655"/>
    <w:rsid w:val="514069D9"/>
    <w:rsid w:val="52462715"/>
    <w:rsid w:val="52662470"/>
    <w:rsid w:val="526731E3"/>
    <w:rsid w:val="528F5E6A"/>
    <w:rsid w:val="52C553E8"/>
    <w:rsid w:val="530530C9"/>
    <w:rsid w:val="5311687F"/>
    <w:rsid w:val="5317053D"/>
    <w:rsid w:val="53543018"/>
    <w:rsid w:val="537E6D0A"/>
    <w:rsid w:val="53916ACB"/>
    <w:rsid w:val="539A5FCF"/>
    <w:rsid w:val="53A56FC8"/>
    <w:rsid w:val="53AB6B88"/>
    <w:rsid w:val="53E775E0"/>
    <w:rsid w:val="53F74C96"/>
    <w:rsid w:val="54381A06"/>
    <w:rsid w:val="54594C92"/>
    <w:rsid w:val="545C7FCE"/>
    <w:rsid w:val="547F1F7A"/>
    <w:rsid w:val="54AB5BF1"/>
    <w:rsid w:val="54BC281B"/>
    <w:rsid w:val="55214D74"/>
    <w:rsid w:val="552B174F"/>
    <w:rsid w:val="5583522D"/>
    <w:rsid w:val="559B0682"/>
    <w:rsid w:val="55A7171D"/>
    <w:rsid w:val="566969D2"/>
    <w:rsid w:val="57521214"/>
    <w:rsid w:val="57596A47"/>
    <w:rsid w:val="577020BB"/>
    <w:rsid w:val="57BD3DD4"/>
    <w:rsid w:val="57F9CD1E"/>
    <w:rsid w:val="582C651D"/>
    <w:rsid w:val="583F0EA4"/>
    <w:rsid w:val="584C0804"/>
    <w:rsid w:val="58825949"/>
    <w:rsid w:val="589021C5"/>
    <w:rsid w:val="58CF7431"/>
    <w:rsid w:val="59875B74"/>
    <w:rsid w:val="59943D66"/>
    <w:rsid w:val="59A246D5"/>
    <w:rsid w:val="59A71CEC"/>
    <w:rsid w:val="59A87812"/>
    <w:rsid w:val="5A065CDE"/>
    <w:rsid w:val="5A640824"/>
    <w:rsid w:val="5A8F2268"/>
    <w:rsid w:val="5AD85ED5"/>
    <w:rsid w:val="5AF92295"/>
    <w:rsid w:val="5AF9D8E9"/>
    <w:rsid w:val="5B6065F6"/>
    <w:rsid w:val="5B694D7F"/>
    <w:rsid w:val="5B8B5D5F"/>
    <w:rsid w:val="5BDD38BD"/>
    <w:rsid w:val="5BDD79E6"/>
    <w:rsid w:val="5BE4354C"/>
    <w:rsid w:val="5BEFC772"/>
    <w:rsid w:val="5BFF5DFC"/>
    <w:rsid w:val="5C0E2FD3"/>
    <w:rsid w:val="5CAA564F"/>
    <w:rsid w:val="5CD03307"/>
    <w:rsid w:val="5CD71FC4"/>
    <w:rsid w:val="5CEE19DF"/>
    <w:rsid w:val="5D1F11B5"/>
    <w:rsid w:val="5D3647F9"/>
    <w:rsid w:val="5D694F7E"/>
    <w:rsid w:val="5D92352D"/>
    <w:rsid w:val="5DA644D4"/>
    <w:rsid w:val="5DAE1B18"/>
    <w:rsid w:val="5DB03139"/>
    <w:rsid w:val="5DBC388C"/>
    <w:rsid w:val="5DE7D9E5"/>
    <w:rsid w:val="5E3B2A02"/>
    <w:rsid w:val="5E5C49F5"/>
    <w:rsid w:val="5EAA238A"/>
    <w:rsid w:val="5ECEC941"/>
    <w:rsid w:val="5EDA046D"/>
    <w:rsid w:val="5EFF8FC6"/>
    <w:rsid w:val="5F1D25F2"/>
    <w:rsid w:val="5F5BA39A"/>
    <w:rsid w:val="5F7206A6"/>
    <w:rsid w:val="5F7D3B79"/>
    <w:rsid w:val="5F7F4610"/>
    <w:rsid w:val="5FBF9FF3"/>
    <w:rsid w:val="5FCD4E2C"/>
    <w:rsid w:val="5FEF394A"/>
    <w:rsid w:val="5FF67715"/>
    <w:rsid w:val="601856F1"/>
    <w:rsid w:val="60405A0D"/>
    <w:rsid w:val="6062071A"/>
    <w:rsid w:val="609E371C"/>
    <w:rsid w:val="60C969EB"/>
    <w:rsid w:val="60DB2F05"/>
    <w:rsid w:val="612E484D"/>
    <w:rsid w:val="6198016C"/>
    <w:rsid w:val="619D62BC"/>
    <w:rsid w:val="61BA6246"/>
    <w:rsid w:val="61CA71D5"/>
    <w:rsid w:val="624772E2"/>
    <w:rsid w:val="627EE9EA"/>
    <w:rsid w:val="62841B53"/>
    <w:rsid w:val="62856942"/>
    <w:rsid w:val="629848C7"/>
    <w:rsid w:val="62B4300E"/>
    <w:rsid w:val="63304B00"/>
    <w:rsid w:val="637202EB"/>
    <w:rsid w:val="63AB23D8"/>
    <w:rsid w:val="63B23AA5"/>
    <w:rsid w:val="63F24A31"/>
    <w:rsid w:val="63F86042"/>
    <w:rsid w:val="64275480"/>
    <w:rsid w:val="647F5392"/>
    <w:rsid w:val="64E322C4"/>
    <w:rsid w:val="65007F6E"/>
    <w:rsid w:val="65042DB8"/>
    <w:rsid w:val="65156226"/>
    <w:rsid w:val="65890608"/>
    <w:rsid w:val="65B35574"/>
    <w:rsid w:val="65FB93B9"/>
    <w:rsid w:val="6633C463"/>
    <w:rsid w:val="667D1DF3"/>
    <w:rsid w:val="66901A1C"/>
    <w:rsid w:val="66C1125A"/>
    <w:rsid w:val="670C5884"/>
    <w:rsid w:val="67240808"/>
    <w:rsid w:val="67387A63"/>
    <w:rsid w:val="67D0065F"/>
    <w:rsid w:val="67D55B77"/>
    <w:rsid w:val="67EE7F84"/>
    <w:rsid w:val="68541290"/>
    <w:rsid w:val="686F5F53"/>
    <w:rsid w:val="692658FB"/>
    <w:rsid w:val="69684B84"/>
    <w:rsid w:val="69CB37D4"/>
    <w:rsid w:val="69D3258F"/>
    <w:rsid w:val="69E403F2"/>
    <w:rsid w:val="6A222CC8"/>
    <w:rsid w:val="6A25348F"/>
    <w:rsid w:val="6A4D243B"/>
    <w:rsid w:val="6A9A4F55"/>
    <w:rsid w:val="6AB102D8"/>
    <w:rsid w:val="6AF844D3"/>
    <w:rsid w:val="6AFFCEAF"/>
    <w:rsid w:val="6B705559"/>
    <w:rsid w:val="6B96E9E6"/>
    <w:rsid w:val="6BCE57B5"/>
    <w:rsid w:val="6BF029D5"/>
    <w:rsid w:val="6BFEA4DB"/>
    <w:rsid w:val="6BFFB662"/>
    <w:rsid w:val="6C4A05C8"/>
    <w:rsid w:val="6C8B40D0"/>
    <w:rsid w:val="6C920FFF"/>
    <w:rsid w:val="6CB95D72"/>
    <w:rsid w:val="6CBF0CA2"/>
    <w:rsid w:val="6CFF4FB8"/>
    <w:rsid w:val="6D5E40EA"/>
    <w:rsid w:val="6D6BD6E0"/>
    <w:rsid w:val="6D77E73C"/>
    <w:rsid w:val="6D82752C"/>
    <w:rsid w:val="6DAA3701"/>
    <w:rsid w:val="6DB427D1"/>
    <w:rsid w:val="6DBF5E93"/>
    <w:rsid w:val="6DE45187"/>
    <w:rsid w:val="6DFF077E"/>
    <w:rsid w:val="6E012965"/>
    <w:rsid w:val="6E38587F"/>
    <w:rsid w:val="6E4B6A58"/>
    <w:rsid w:val="6E55366C"/>
    <w:rsid w:val="6E7E3605"/>
    <w:rsid w:val="6E7FDCC7"/>
    <w:rsid w:val="6E8729AA"/>
    <w:rsid w:val="6ED6A62E"/>
    <w:rsid w:val="6EE00B15"/>
    <w:rsid w:val="6EE737B2"/>
    <w:rsid w:val="6EEB2329"/>
    <w:rsid w:val="6EECE67A"/>
    <w:rsid w:val="6F6F90A8"/>
    <w:rsid w:val="6F6FB3EB"/>
    <w:rsid w:val="6F8731EA"/>
    <w:rsid w:val="6F8971C7"/>
    <w:rsid w:val="6FBC2ADD"/>
    <w:rsid w:val="6FC34354"/>
    <w:rsid w:val="6FD57C00"/>
    <w:rsid w:val="6FEFFFD8"/>
    <w:rsid w:val="6FF5CC65"/>
    <w:rsid w:val="6FFB47EC"/>
    <w:rsid w:val="6FFF034A"/>
    <w:rsid w:val="705067E1"/>
    <w:rsid w:val="71072C18"/>
    <w:rsid w:val="712A28F1"/>
    <w:rsid w:val="715C0E4B"/>
    <w:rsid w:val="716D6F1F"/>
    <w:rsid w:val="71A21572"/>
    <w:rsid w:val="71AA1F21"/>
    <w:rsid w:val="71BB412E"/>
    <w:rsid w:val="71D670BC"/>
    <w:rsid w:val="71FFD401"/>
    <w:rsid w:val="720158B9"/>
    <w:rsid w:val="72233669"/>
    <w:rsid w:val="725957A4"/>
    <w:rsid w:val="725F0F5E"/>
    <w:rsid w:val="72734D90"/>
    <w:rsid w:val="727A5D97"/>
    <w:rsid w:val="728B1D53"/>
    <w:rsid w:val="72935BA2"/>
    <w:rsid w:val="72A44BC2"/>
    <w:rsid w:val="72E3473E"/>
    <w:rsid w:val="73005B71"/>
    <w:rsid w:val="7327134F"/>
    <w:rsid w:val="7332FE48"/>
    <w:rsid w:val="73426FB5"/>
    <w:rsid w:val="7386251A"/>
    <w:rsid w:val="739E1612"/>
    <w:rsid w:val="73AD73D5"/>
    <w:rsid w:val="73B6EB34"/>
    <w:rsid w:val="73DC0680"/>
    <w:rsid w:val="73F456D6"/>
    <w:rsid w:val="73FA497D"/>
    <w:rsid w:val="74081181"/>
    <w:rsid w:val="74213FF1"/>
    <w:rsid w:val="743715A4"/>
    <w:rsid w:val="744731E5"/>
    <w:rsid w:val="744B5CF8"/>
    <w:rsid w:val="74BBD01D"/>
    <w:rsid w:val="74C701BB"/>
    <w:rsid w:val="74D6127F"/>
    <w:rsid w:val="74ED5379"/>
    <w:rsid w:val="753348CC"/>
    <w:rsid w:val="754F701B"/>
    <w:rsid w:val="755653B5"/>
    <w:rsid w:val="755C1784"/>
    <w:rsid w:val="75666069"/>
    <w:rsid w:val="75816DCA"/>
    <w:rsid w:val="759A04FF"/>
    <w:rsid w:val="75BF7F65"/>
    <w:rsid w:val="75DEEEC2"/>
    <w:rsid w:val="767F479D"/>
    <w:rsid w:val="76E3355F"/>
    <w:rsid w:val="76F36118"/>
    <w:rsid w:val="76F742AF"/>
    <w:rsid w:val="76F7BE7D"/>
    <w:rsid w:val="76FF5125"/>
    <w:rsid w:val="77130569"/>
    <w:rsid w:val="773570D3"/>
    <w:rsid w:val="77597F31"/>
    <w:rsid w:val="776F386D"/>
    <w:rsid w:val="776F6FFA"/>
    <w:rsid w:val="7777A522"/>
    <w:rsid w:val="77806D3F"/>
    <w:rsid w:val="77858688"/>
    <w:rsid w:val="778769C8"/>
    <w:rsid w:val="77CB741A"/>
    <w:rsid w:val="77D7BE3A"/>
    <w:rsid w:val="77DB72D8"/>
    <w:rsid w:val="77DC22F5"/>
    <w:rsid w:val="77DE145E"/>
    <w:rsid w:val="781A1483"/>
    <w:rsid w:val="781F4CEB"/>
    <w:rsid w:val="782E6BD6"/>
    <w:rsid w:val="783E7867"/>
    <w:rsid w:val="785B5D23"/>
    <w:rsid w:val="786B1CDE"/>
    <w:rsid w:val="786D5A56"/>
    <w:rsid w:val="794744F9"/>
    <w:rsid w:val="797E3A6C"/>
    <w:rsid w:val="79982FA7"/>
    <w:rsid w:val="79CF70E2"/>
    <w:rsid w:val="79D7FD79"/>
    <w:rsid w:val="79E75806"/>
    <w:rsid w:val="79EE5BA4"/>
    <w:rsid w:val="7A641148"/>
    <w:rsid w:val="7A6F8BF5"/>
    <w:rsid w:val="7A894339"/>
    <w:rsid w:val="7ACF82B5"/>
    <w:rsid w:val="7AEA338E"/>
    <w:rsid w:val="7AFF28C9"/>
    <w:rsid w:val="7AFF72A0"/>
    <w:rsid w:val="7AFF7572"/>
    <w:rsid w:val="7B14625F"/>
    <w:rsid w:val="7B2F5245"/>
    <w:rsid w:val="7B566C76"/>
    <w:rsid w:val="7B6C7DFB"/>
    <w:rsid w:val="7B7D76A7"/>
    <w:rsid w:val="7BAE2FE2"/>
    <w:rsid w:val="7BAF6951"/>
    <w:rsid w:val="7BB73057"/>
    <w:rsid w:val="7BBFBED0"/>
    <w:rsid w:val="7BC3E394"/>
    <w:rsid w:val="7BF3FE4C"/>
    <w:rsid w:val="7BFB5035"/>
    <w:rsid w:val="7BFDE17E"/>
    <w:rsid w:val="7C0E7550"/>
    <w:rsid w:val="7C3658C0"/>
    <w:rsid w:val="7CA53C3D"/>
    <w:rsid w:val="7CBFC87B"/>
    <w:rsid w:val="7CEF2EDE"/>
    <w:rsid w:val="7CFE0F48"/>
    <w:rsid w:val="7D3DE31C"/>
    <w:rsid w:val="7D7EC23E"/>
    <w:rsid w:val="7D7F8A13"/>
    <w:rsid w:val="7DA93E1D"/>
    <w:rsid w:val="7DB06B11"/>
    <w:rsid w:val="7DBBCB01"/>
    <w:rsid w:val="7DC765D0"/>
    <w:rsid w:val="7DDB0EE0"/>
    <w:rsid w:val="7DFF51D8"/>
    <w:rsid w:val="7E4920AC"/>
    <w:rsid w:val="7E56579B"/>
    <w:rsid w:val="7E634199"/>
    <w:rsid w:val="7E6A3164"/>
    <w:rsid w:val="7E8ADEBF"/>
    <w:rsid w:val="7E90598D"/>
    <w:rsid w:val="7E966803"/>
    <w:rsid w:val="7EEF11D3"/>
    <w:rsid w:val="7EF78C20"/>
    <w:rsid w:val="7F3F679B"/>
    <w:rsid w:val="7F4FC4EF"/>
    <w:rsid w:val="7F5E4D54"/>
    <w:rsid w:val="7F6B75FA"/>
    <w:rsid w:val="7F9F518D"/>
    <w:rsid w:val="7FA30C79"/>
    <w:rsid w:val="7FAF8ABF"/>
    <w:rsid w:val="7FB7269E"/>
    <w:rsid w:val="7FBD6753"/>
    <w:rsid w:val="7FBFABB4"/>
    <w:rsid w:val="7FC65084"/>
    <w:rsid w:val="7FC96657"/>
    <w:rsid w:val="7FD34D39"/>
    <w:rsid w:val="7FD72595"/>
    <w:rsid w:val="7FDA9588"/>
    <w:rsid w:val="7FDF220F"/>
    <w:rsid w:val="7FDF4542"/>
    <w:rsid w:val="7FDF5405"/>
    <w:rsid w:val="7FEDC251"/>
    <w:rsid w:val="7FEDC5F7"/>
    <w:rsid w:val="7FEDD9DE"/>
    <w:rsid w:val="7FEFCDB9"/>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toa heading"/>
    <w:basedOn w:val="1"/>
    <w:next w:val="1"/>
    <w:qFormat/>
    <w:uiPriority w:val="99"/>
    <w:pPr>
      <w:spacing w:before="120"/>
    </w:pPr>
    <w:rPr>
      <w:rFonts w:ascii="Cambria" w:hAnsi="Cambria" w:cs="Times New Roman"/>
      <w:sz w:val="24"/>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7"/>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2"/>
    <w:qFormat/>
    <w:uiPriority w:val="9"/>
    <w:rPr>
      <w:rFonts w:ascii="Times New Roman" w:hAnsi="Times New Roman"/>
      <w:b/>
      <w:bCs/>
      <w:kern w:val="44"/>
      <w:sz w:val="44"/>
      <w:szCs w:val="44"/>
    </w:rPr>
  </w:style>
  <w:style w:type="character" w:customStyle="1" w:styleId="29">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9"/>
    <w:semiHidden/>
    <w:qFormat/>
    <w:uiPriority w:val="99"/>
    <w:rPr>
      <w:rFonts w:ascii="Times New Roman" w:hAnsi="Times New Roman"/>
      <w:kern w:val="2"/>
      <w:sz w:val="18"/>
      <w:szCs w:val="18"/>
    </w:rPr>
  </w:style>
  <w:style w:type="character" w:customStyle="1" w:styleId="32">
    <w:name w:val="标题 3 字符"/>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正文文本1"/>
    <w:basedOn w:val="1"/>
    <w:qFormat/>
    <w:uiPriority w:val="0"/>
    <w:pPr>
      <w:spacing w:before="93"/>
    </w:pPr>
    <w:rPr>
      <w:rFonts w:ascii="仿宋_GB2312" w:eastAsia="仿宋_GB2312"/>
      <w:kern w:val="0"/>
      <w:sz w:val="3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oleObject" Target="embeddings/oleObject2.bin"/><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7.emf"/><Relationship Id="rId18" Type="http://schemas.openxmlformats.org/officeDocument/2006/relationships/oleObject" Target="embeddings/oleObject7.bin"/><Relationship Id="rId17" Type="http://schemas.openxmlformats.org/officeDocument/2006/relationships/image" Target="media/image6.emf"/><Relationship Id="rId16" Type="http://schemas.openxmlformats.org/officeDocument/2006/relationships/oleObject" Target="embeddings/oleObject6.bin"/><Relationship Id="rId15" Type="http://schemas.openxmlformats.org/officeDocument/2006/relationships/image" Target="media/image5.emf"/><Relationship Id="rId14" Type="http://schemas.openxmlformats.org/officeDocument/2006/relationships/oleObject" Target="embeddings/oleObject5.bin"/><Relationship Id="rId13" Type="http://schemas.openxmlformats.org/officeDocument/2006/relationships/image" Target="media/image4.emf"/><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customShpInfo spid="_x0000_s1034"/>
    <customShpInfo spid="_x0000_s1029"/>
    <customShpInfo spid="_x0000_s1030"/>
    <customShpInfo spid="_x0000_s1031"/>
    <customShpInfo spid="_x0000_s1035"/>
    <customShpInfo spid="_x0000_s1033"/>
  </customShpExts>
</s:customData>
</file>

<file path=customXml/item2.xml><?xml version="1.0" encoding="utf-8"?>
<contractReview xmlns="http://schemas.wps.cn/vas-ai-hub/contract-review">
  <reviewItems>
    <reviewItem>
      <errorID>9287be34-1c17-4ec4-b160-0f6b07a61dcd</errorID>
      <errorWord>:</errorWord>
      <group>L1_Format</group>
      <groupName>格式问题</groupName>
      <ability>L2_HalfPunc_CN</ability>
      <abilityName>全半角问题</abilityName>
      <candidateList>
        <item>：</item>
      </candidateList>
      <explain>文本全半角错误。</explain>
      <paraID>299C5F75</paraID>
      <start>59</start>
      <end>60</end>
      <status>modified</status>
      <modifiedWord>：</modifiedWord>
      <trackRevisions>false</trackRevisions>
    </reviewItem>
    <reviewItem>
      <errorID>68abd80e-8c9a-4c06-a637-02a741e37179</errorID>
      <errorWord>:</errorWord>
      <group>L1_Format</group>
      <groupName>格式问题</groupName>
      <ability>L2_HalfPunc_CN</ability>
      <abilityName>全半角问题</abilityName>
      <candidateList>
        <item>：</item>
      </candidateList>
      <explain>文本全半角错误。</explain>
      <paraID>299C5F75</paraID>
      <start>174</start>
      <end>175</end>
      <status>modified</status>
      <modifiedWord>：</modifiedWord>
      <trackRevisions>false</trackRevisions>
    </reviewItem>
    <reviewItem>
      <errorID>4d7e8294-60df-426b-bb78-e5af1e32c6bb</errorID>
      <errorWord>:</errorWord>
      <group>L1_Format</group>
      <groupName>格式问题</groupName>
      <ability>L2_HalfPunc_CN</ability>
      <abilityName>全半角问题</abilityName>
      <candidateList>
        <item>：</item>
      </candidateList>
      <explain>文本全半角错误。</explain>
      <paraID>34A9952B</paraID>
      <start>35</start>
      <end>36</end>
      <status>modified</status>
      <modifiedWord>：</modifiedWord>
      <trackRevisions>false</trackRevisions>
    </reviewItem>
    <reviewItem>
      <errorID>92d945f9-5d92-4a4a-b176-9e510f9c1256</errorID>
      <errorWord>:</errorWord>
      <group>L1_Format</group>
      <groupName>格式问题</groupName>
      <ability>L2_HalfPunc_CN</ability>
      <abilityName>全半角问题</abilityName>
      <candidateList>
        <item>：</item>
      </candidateList>
      <explain>文本全半角错误。</explain>
      <paraID>6325108B</paraID>
      <start>8</start>
      <end>9</end>
      <status>modified</status>
      <modifiedWord>：</modifiedWord>
      <trackRevisions>false</trackRevisions>
    </reviewItem>
    <reviewItem>
      <errorID>4cd5a923-897f-427d-9b7e-65f8718e8d36</errorID>
      <errorWord>:</errorWord>
      <group>L1_Format</group>
      <groupName>格式问题</groupName>
      <ability>L2_HalfPunc_CN</ability>
      <abilityName>全半角问题</abilityName>
      <candidateList>
        <item>：</item>
      </candidateList>
      <explain>文本全半角错误。</explain>
      <paraID>71C45472</paraID>
      <start>11</start>
      <end>12</end>
      <status>modified</status>
      <modifiedWord>：</modifiedWord>
      <trackRevisions>false</trackRevisions>
    </reviewItem>
    <reviewItem>
      <errorID>39054f0e-53b7-4715-8163-12fb7fd79598</errorID>
      <errorWord>:</errorWord>
      <group>L1_Format</group>
      <groupName>格式问题</groupName>
      <ability>L2_HalfPunc_CN</ability>
      <abilityName>全半角问题</abilityName>
      <candidateList>
        <item>：</item>
      </candidateList>
      <explain>文本全半角错误。</explain>
      <paraID>33062767</paraID>
      <start>8</start>
      <end>9</end>
      <status>modified</status>
      <modifiedWord>：</modifiedWord>
      <trackRevisions>false</trackRevisions>
    </reviewItem>
    <reviewItem>
      <errorID>b75e6ba4-1c93-452a-b443-923230550986</errorID>
      <errorWord>:</errorWord>
      <group>L1_Format</group>
      <groupName>格式问题</groupName>
      <ability>L2_HalfPunc_CN</ability>
      <abilityName>全半角问题</abilityName>
      <candidateList>
        <item>：</item>
      </candidateList>
      <explain>文本全半角错误。</explain>
      <paraID>33062767</paraID>
      <start>33</start>
      <end>34</end>
      <status>modified</status>
      <modifiedWord>：</modifiedWord>
      <trackRevisions>false</trackRevisions>
    </reviewItem>
    <reviewItem>
      <errorID>466bced1-c988-4246-88e7-21fb0ae004a9</errorID>
      <errorWord>;</errorWord>
      <group>L1_Format</group>
      <groupName>格式问题</groupName>
      <ability>L2_HalfPunc_CN</ability>
      <abilityName>全半角问题</abilityName>
      <candidateList>
        <item>；</item>
      </candidateList>
      <explain>文本全半角错误。</explain>
      <paraID>33062767</paraID>
      <start>62</start>
      <end>63</end>
      <status>modified</status>
      <modifiedWord>；</modifiedWord>
      <trackRevisions>false</trackRevisions>
    </reviewItem>
    <reviewItem>
      <errorID>ab8b7979-6316-4e3b-9290-09954286f629</errorID>
      <errorWord>:</errorWord>
      <group>L1_Format</group>
      <groupName>格式问题</groupName>
      <ability>L2_HalfPunc_CN</ability>
      <abilityName>全半角问题</abilityName>
      <candidateList>
        <item>：</item>
      </candidateList>
      <explain>文本全半角错误。</explain>
      <paraID>33062767</paraID>
      <start>130</start>
      <end>131</end>
      <status>modified</status>
      <modifiedWord>：</modifiedWord>
      <trackRevisions>false</trackRevisions>
    </reviewItem>
    <reviewItem>
      <errorID>bd7aed98-5218-4c7f-9c6a-8b60d8d443da</errorID>
      <errorWord>,</errorWord>
      <group>L1_Format</group>
      <groupName>格式问题</groupName>
      <ability>L2_HalfPunc_CN</ability>
      <abilityName>全半角问题</abilityName>
      <candidateList>
        <item>，</item>
      </candidateList>
      <explain>文本全半角错误。</explain>
      <paraID>46C6F609</paraID>
      <start>22</start>
      <end>23</end>
      <status>modified</status>
      <modifiedWord>，</modifiedWord>
      <trackRevisions>false</trackRevisions>
    </reviewItem>
    <reviewItem>
      <errorID>54142f58-fd1f-4a7a-ba33-f791943f29cc</errorID>
      <errorWord>其它交通</errorWord>
      <group>L1_Word</group>
      <groupName>字词问题</groupName>
      <ability>L2_Alias</ability>
      <abilityName>也作/曾用词</abilityName>
      <candidateList>
        <item>其他交通</item>
      </candidateList>
      <explain>词汇[其它交通]为不规范表述或旧称，其规范书面表述为[其他交通]。</explain>
      <paraID>46C6F609</paraID>
      <start>98</start>
      <end>102</end>
      <status>modified</status>
      <modifiedWord>其他交通</modifiedWord>
      <trackRevisions>false</trackRevisions>
    </reviewItem>
    <reviewItem>
      <errorID>7f2319d0-1189-4304-9885-cb3b572702ab</errorID>
      <errorWord>检查</errorWord>
      <group>L1_Word</group>
      <groupName>字词问题</groupName>
      <ability>L2_Typo</ability>
      <abilityName>字词错误</abilityName>
      <candidateList>
        <item>检察</item>
      </candidateList>
      <explain>存在发音相同字词的误用。</explain>
      <paraID> D3D01B6</paraID>
      <start>217</start>
      <end>219</end>
      <status>modified</status>
      <modifiedWord>检察</modifiedWord>
      <trackRevisions>false</trackRevisions>
    </reviewItem>
    <reviewItem>
      <errorID>bb5ea955-c268-4821-ae0c-9d5885c9e220</errorID>
      <errorWord>因</errorWord>
      <group>L1_Word</group>
      <groupName>字词问题</groupName>
      <ability>L2_Typo</ability>
      <abilityName>字词错误</abilityName>
      <candidateList>
        <item>因是</item>
      </candidateList>
      <explain/>
      <paraID>3833CCEB</paraID>
      <start>63</start>
      <end>65</end>
      <status>modified</status>
      <modifiedWord>因是</modifiedWord>
      <trackRevisions>false</trackRevisions>
    </reviewItem>
    <reviewItem>
      <errorID>ba4af383-4d22-4e0b-accf-7fa5163561b8</errorID>
      <errorWord>,</errorWord>
      <group>L1_Format</group>
      <groupName>格式问题</groupName>
      <ability>L2_HalfPunc_CN</ability>
      <abilityName>全半角问题</abilityName>
      <candidateList>
        <item>，</item>
      </candidateList>
      <explain>文本全半角错误。</explain>
      <paraID>5DAF7E46</paraID>
      <start>46</start>
      <end>47</end>
      <status>modified</status>
      <modifiedWord>，</modifiedWord>
      <trackRevisions>false</trackRevisions>
    </reviewItem>
    <reviewItem>
      <errorID>d6276dfd-eb5f-4184-b3c0-eaf1626c9e6e</errorID>
      <errorWord>踪</errorWord>
      <group>L1_Word</group>
      <groupName>字词问题</groupName>
      <ability>L2_Typo</ability>
      <abilityName>字词错误</abilityName>
      <candidateList>
        <item>踪监</item>
      </candidateList>
      <explain/>
      <paraID> A80BC01</paraID>
      <start>93</start>
      <end>95</end>
      <status>modified</status>
      <modifiedWord>踪监</modifiedWord>
      <trackRevisions>false</trackRevisions>
    </reviewItem>
    <reviewItem>
      <errorID>b9874281-4e90-4a93-a718-c8280036be34</errorID>
      <errorWord>(</errorWord>
      <group>L1_Format</group>
      <groupName>格式问题</groupName>
      <ability>L2_HalfPunc_CN</ability>
      <abilityName>全半角问题</abilityName>
      <candidateList>
        <item>（</item>
      </candidateList>
      <explain>文本全半角错误。</explain>
      <paraID>38BC1E19</paraID>
      <start>7</start>
      <end>8</end>
      <status>modified</status>
      <modifiedWord>（</modifiedWord>
      <trackRevisions>false</trackRevisions>
    </reviewItem>
    <reviewItem>
      <errorID>fbdbcfb7-cee9-4ffb-a4a1-c0a777a937b7</errorID>
      <errorWord>)</errorWord>
      <group>L1_Format</group>
      <groupName>格式问题</groupName>
      <ability>L2_HalfPunc_CN</ability>
      <abilityName>全半角问题</abilityName>
      <candidateList>
        <item>）</item>
      </candidateList>
      <explain>文本全半角错误。</explain>
      <paraID>38BC1E19</paraID>
      <start>19</start>
      <end>20</end>
      <status>modified</status>
      <modifiedWord>）</modifiedWord>
      <trackRevisions>false</trackRevisions>
    </reviewItem>
    <reviewItem>
      <errorID>ccb91d3b-bdab-40f5-b5db-9979609afc01</errorID>
      <errorWord>截止</errorWord>
      <group>L1_Word</group>
      <groupName>字词问题</groupName>
      <ability>L2_Typo</ability>
      <abilityName>字词错误</abilityName>
      <candidateList>
        <item>截至</item>
      </candidateList>
      <explain>存在发音相同字词的误用。</explain>
      <paraID>509262E8</paraID>
      <start>50</start>
      <end>52</end>
      <status>modified</status>
      <modifiedWord>截至</modifiedWord>
      <trackRevisions>false</trackRevisions>
    </reviewItem>
    <reviewItem>
      <errorID>7e9b34b4-26ed-4fe0-8813-561f08c81670</errorID>
      <errorWord>为为</errorWord>
      <group>L1_Word</group>
      <groupName>字词问题</groupName>
      <ability>L2_Typo</ability>
      <abilityName>字词错误</abilityName>
      <candidateList>
        <item>为</item>
      </candidateList>
      <explain/>
      <paraID>3E5998EA</paraID>
      <start>73</start>
      <end>74</end>
      <status>modified</status>
      <modifiedWord>为</modifiedWord>
      <trackRevisions>false</trackRevisions>
    </reviewItem>
    <reviewItem>
      <errorID>c3e8cdcf-7fb7-46f9-8c7e-3fa666891518</errorID>
      <errorWord>间</errorWord>
      <group>L1_Word</group>
      <groupName>字词问题</groupName>
      <ability>L2_Typo</ability>
      <abilityName>字词错误</abilityName>
      <candidateList>
        <item>间内</item>
      </candidateList>
      <explain/>
      <paraID>3E5998EA</paraID>
      <start>164</start>
      <end>166</end>
      <status>modified</status>
      <modifiedWord>间内</modifiedWord>
      <trackRevisions>false</trackRevisions>
    </reviewItem>
    <reviewItem>
      <errorID>f825714e-5562-4d38-b073-d1171b47ad22</errorID>
      <errorWord>内容是</errorWord>
      <group>L1_Word</group>
      <groupName>字词问题</groupName>
      <ability>L2_Typo</ability>
      <abilityName>字词错误</abilityName>
      <candidateList>
        <item>内容</item>
      </candidateList>
      <explain/>
      <paraID>25F1C588</paraID>
      <start>17</start>
      <end>19</end>
      <status>modified</status>
      <modifiedWord>内容</modifiedWord>
      <trackRevisions>false</trackRevisions>
    </reviewItem>
    <reviewItem>
      <errorID>b078e4d3-055b-4fcd-8376-59455a080edf</errorID>
      <errorWord>指标指标</errorWord>
      <group>L1_Word</group>
      <groupName>字词问题</groupName>
      <ability>L2_Typo</ability>
      <abilityName>字词错误</abilityName>
      <candidateList>
        <item>指标</item>
      </candidateList>
      <explain/>
      <paraID>221854AE</paraID>
      <start>4</start>
      <end>6</end>
      <status>modified</status>
      <modifiedWord>指标</modifiedWord>
      <trackRevisions>false</trackRevisions>
    </reviewItem>
    <reviewItem>
      <errorID>a1cec7de-12de-4b4a-81dd-8ae9f77620c2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740D8EDA</paraID>
      <start>12</start>
      <end>13</end>
      <status>modified</status>
      <modifiedWord>—</modifiedWord>
      <trackRevisions>false</trackRevisions>
    </reviewItem>
    <reviewItem>
      <errorID>e649ea33-9d0a-4589-9452-4f78e69ddc38</errorID>
      <errorWord>间</errorWord>
      <group>L1_Word</group>
      <groupName>字词问题</groupName>
      <ability>L2_Typo</ability>
      <abilityName>字词错误</abilityName>
      <candidateList>
        <item>间内</item>
      </candidateList>
      <explain/>
      <paraID>12FE5A2B</paraID>
      <start>12</start>
      <end>14</end>
      <status>modified</status>
      <modifiedWord>间内</modifiedWord>
      <trackRevisions>false</trackRevisions>
    </reviewItem>
    <reviewItem>
      <errorID>e93a75df-d62a-477b-9f3c-3f7fd12fc3e4</errorID>
      <errorWord>质</errorWord>
      <group>L1_Word</group>
      <groupName>字词问题</groupName>
      <ability>L2_Typo</ability>
      <abilityName>字词错误</abilityName>
      <candidateList>
        <item>质量</item>
      </candidateList>
      <explain/>
      <paraID>3E0ACC1D</paraID>
      <start>5</start>
      <end>7</end>
      <status>modified</status>
      <modifiedWord>质量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8361a2-0024-430f-b7f5-7f22a1efe3f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9584</Words>
  <Characters>10496</Characters>
  <Lines>72</Lines>
  <Paragraphs>20</Paragraphs>
  <TotalTime>9</TotalTime>
  <ScaleCrop>false</ScaleCrop>
  <LinksUpToDate>false</LinksUpToDate>
  <CharactersWithSpaces>10513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Lynn</cp:lastModifiedBy>
  <cp:lastPrinted>2023-08-03T10:35:00Z</cp:lastPrinted>
  <dcterms:modified xsi:type="dcterms:W3CDTF">2026-09-17T09:12:21Z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49C6C70233D541D38905AAF98CCEC4E1_12</vt:lpwstr>
  </property>
  <property fmtid="{D5CDD505-2E9C-101B-9397-08002B2CF9AE}" pid="4" name="KSOTemplateDocerSaveRecord">
    <vt:lpwstr>eyJoZGlkIjoiNDJjN2M3ZTk1ZTIxYjRiMDNmMTkzMGU5OGJhY2Y4NzAiLCJ1c2VySWQiOiI0MjA5MzY1NDMifQ==</vt:lpwstr>
  </property>
</Properties>
</file>