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D398">
      <w:pPr>
        <w:spacing w:line="600" w:lineRule="exact"/>
        <w:jc w:val="center"/>
        <w:outlineLvl w:val="0"/>
        <w:rPr>
          <w:rFonts w:ascii="方正小标宋简体" w:hAnsi="宋?" w:eastAsia="方正小标宋简体"/>
          <w:color w:val="000000"/>
          <w:sz w:val="72"/>
          <w:szCs w:val="72"/>
        </w:rPr>
      </w:pPr>
      <w:bookmarkStart w:id="0" w:name="_Toc15306267"/>
    </w:p>
    <w:p w14:paraId="4305D374">
      <w:pPr>
        <w:spacing w:line="600" w:lineRule="exact"/>
        <w:jc w:val="center"/>
        <w:outlineLvl w:val="0"/>
        <w:rPr>
          <w:rFonts w:ascii="方正小标宋简体" w:hAnsi="宋?" w:eastAsia="方正小标宋简体"/>
          <w:color w:val="000000"/>
          <w:sz w:val="72"/>
          <w:szCs w:val="72"/>
        </w:rPr>
      </w:pPr>
    </w:p>
    <w:p w14:paraId="1E231839">
      <w:pPr>
        <w:spacing w:line="600" w:lineRule="exact"/>
        <w:jc w:val="center"/>
        <w:outlineLvl w:val="0"/>
        <w:rPr>
          <w:rFonts w:ascii="方正小标宋简体" w:hAnsi="宋?" w:eastAsia="方正小标宋简体"/>
          <w:color w:val="000000"/>
          <w:sz w:val="72"/>
          <w:szCs w:val="72"/>
        </w:rPr>
      </w:pPr>
    </w:p>
    <w:p w14:paraId="49A9E456">
      <w:pPr>
        <w:spacing w:line="600" w:lineRule="exact"/>
        <w:jc w:val="center"/>
        <w:outlineLvl w:val="0"/>
        <w:rPr>
          <w:rFonts w:ascii="方正小标宋简体" w:hAnsi="宋?" w:eastAsia="方正小标宋简体"/>
          <w:color w:val="000000"/>
          <w:sz w:val="72"/>
          <w:szCs w:val="72"/>
        </w:rPr>
      </w:pPr>
    </w:p>
    <w:p w14:paraId="6D060BA8">
      <w:pPr>
        <w:adjustRightInd w:val="0"/>
        <w:snapToGrid w:val="0"/>
        <w:spacing w:line="360" w:lineRule="auto"/>
        <w:jc w:val="center"/>
        <w:outlineLvl w:val="0"/>
        <w:rPr>
          <w:rFonts w:ascii="方正小标宋简体" w:hAnsi="宋?" w:eastAsia="方正小标宋简体"/>
          <w:color w:val="000000"/>
          <w:sz w:val="72"/>
          <w:szCs w:val="72"/>
        </w:rPr>
      </w:pPr>
      <w:bookmarkStart w:id="1" w:name="_Toc15396475"/>
      <w:bookmarkStart w:id="2" w:name="_Toc15377425"/>
      <w:bookmarkStart w:id="3" w:name="_Toc15396597"/>
      <w:bookmarkStart w:id="4" w:name="_Toc15378441"/>
      <w:bookmarkStart w:id="5" w:name="_Toc15377193"/>
      <w:r>
        <w:rPr>
          <w:rFonts w:ascii="黑体" w:hAnsi="黑体" w:eastAsia="黑体" w:cs="黑体"/>
          <w:color w:val="000000"/>
          <w:sz w:val="72"/>
          <w:szCs w:val="72"/>
        </w:rPr>
        <w:t>202</w:t>
      </w:r>
      <w:r>
        <w:rPr>
          <w:rFonts w:hint="eastAsia" w:ascii="黑体" w:hAnsi="黑体" w:eastAsia="黑体" w:cs="黑体"/>
          <w:color w:val="000000"/>
          <w:sz w:val="72"/>
          <w:szCs w:val="72"/>
          <w:lang w:val="en-US" w:eastAsia="zh-CN"/>
        </w:rPr>
        <w:t>2</w:t>
      </w:r>
      <w:r>
        <w:rPr>
          <w:rFonts w:hint="eastAsia" w:ascii="方正小标宋简体" w:hAnsi="宋?" w:eastAsia="方正小标宋简体" w:cs="方正小标宋简体"/>
          <w:color w:val="000000"/>
          <w:sz w:val="72"/>
          <w:szCs w:val="72"/>
        </w:rPr>
        <w:t>年度</w:t>
      </w:r>
      <w:bookmarkEnd w:id="1"/>
      <w:bookmarkEnd w:id="2"/>
      <w:bookmarkEnd w:id="3"/>
      <w:bookmarkEnd w:id="4"/>
      <w:bookmarkEnd w:id="5"/>
    </w:p>
    <w:bookmarkEnd w:id="0"/>
    <w:p w14:paraId="52F273CC">
      <w:pPr>
        <w:adjustRightInd w:val="0"/>
        <w:snapToGrid w:val="0"/>
        <w:spacing w:line="360" w:lineRule="auto"/>
        <w:jc w:val="center"/>
        <w:outlineLvl w:val="0"/>
        <w:rPr>
          <w:rFonts w:ascii="方正小标宋简体" w:hAnsi="宋?" w:eastAsia="方正小标宋简体"/>
          <w:color w:val="000000"/>
          <w:sz w:val="72"/>
          <w:szCs w:val="72"/>
        </w:rPr>
      </w:pPr>
      <w:bookmarkStart w:id="6" w:name="_Toc15377426"/>
      <w:bookmarkStart w:id="7" w:name="_Toc15377194"/>
      <w:bookmarkStart w:id="8" w:name="_Toc15396598"/>
      <w:bookmarkStart w:id="9" w:name="_Toc15396476"/>
      <w:bookmarkStart w:id="10" w:name="_Toc15306268"/>
      <w:bookmarkStart w:id="11" w:name="_Toc15378442"/>
      <w:r>
        <w:rPr>
          <w:rFonts w:hint="eastAsia" w:ascii="方正小标宋简体" w:hAnsi="宋?" w:eastAsia="方正小标宋简体" w:cs="方正小标宋简体"/>
          <w:color w:val="000000"/>
          <w:sz w:val="72"/>
          <w:szCs w:val="72"/>
          <w:lang w:eastAsia="zh-CN"/>
        </w:rPr>
        <w:t>阿坝州</w:t>
      </w:r>
      <w:r>
        <w:rPr>
          <w:rFonts w:hint="eastAsia" w:ascii="方正小标宋简体" w:hAnsi="宋?" w:eastAsia="方正小标宋简体" w:cs="方正小标宋简体"/>
          <w:color w:val="000000"/>
          <w:sz w:val="72"/>
          <w:szCs w:val="72"/>
        </w:rPr>
        <w:t>汶川县人民法院</w:t>
      </w:r>
      <w:r>
        <w:rPr>
          <w:rFonts w:hint="eastAsia" w:ascii="方正小标宋简体" w:hAnsi="宋?" w:eastAsia="方正小标宋简体" w:cs="方正小标宋简体"/>
          <w:color w:val="000000"/>
          <w:sz w:val="72"/>
          <w:szCs w:val="72"/>
          <w:lang w:eastAsia="zh-CN"/>
        </w:rPr>
        <w:t>单位</w:t>
      </w:r>
      <w:r>
        <w:rPr>
          <w:rFonts w:hint="eastAsia" w:ascii="方正小标宋简体" w:hAnsi="宋?" w:eastAsia="方正小标宋简体" w:cs="方正小标宋简体"/>
          <w:color w:val="000000"/>
          <w:sz w:val="72"/>
          <w:szCs w:val="72"/>
        </w:rPr>
        <w:t>决算</w:t>
      </w:r>
      <w:bookmarkEnd w:id="6"/>
      <w:bookmarkEnd w:id="7"/>
      <w:bookmarkEnd w:id="8"/>
      <w:bookmarkEnd w:id="9"/>
      <w:bookmarkEnd w:id="10"/>
      <w:bookmarkEnd w:id="11"/>
      <w:r>
        <w:rPr>
          <w:rFonts w:hint="eastAsia" w:ascii="方正小标宋简体" w:hAnsi="宋?" w:eastAsia="方正小标宋简体" w:cs="方正小标宋简体"/>
          <w:color w:val="000000"/>
          <w:sz w:val="72"/>
          <w:szCs w:val="72"/>
        </w:rPr>
        <w:t>编制说明</w:t>
      </w:r>
    </w:p>
    <w:p w14:paraId="527E16E1">
      <w:pPr>
        <w:widowControl/>
        <w:jc w:val="center"/>
        <w:rPr>
          <w:rFonts w:ascii="方正小标宋简体" w:hAnsi="宋?" w:eastAsia="方正小标宋简体"/>
          <w:color w:val="000000"/>
          <w:sz w:val="36"/>
          <w:szCs w:val="36"/>
        </w:rPr>
      </w:pPr>
    </w:p>
    <w:p w14:paraId="3722EC68">
      <w:pPr>
        <w:rPr>
          <w:rFonts w:ascii="方正小标宋简体" w:hAnsi="宋?" w:eastAsia="方正小标宋简体"/>
          <w:sz w:val="36"/>
          <w:szCs w:val="36"/>
        </w:rPr>
      </w:pPr>
    </w:p>
    <w:p w14:paraId="29AD9B70">
      <w:pPr>
        <w:rPr>
          <w:rFonts w:ascii="方正小标宋简体" w:hAnsi="宋?" w:eastAsia="方正小标宋简体"/>
          <w:sz w:val="36"/>
          <w:szCs w:val="36"/>
        </w:rPr>
      </w:pPr>
    </w:p>
    <w:p w14:paraId="2CFA5981">
      <w:pPr>
        <w:rPr>
          <w:rFonts w:ascii="方正小标宋简体" w:hAnsi="宋?" w:eastAsia="方正小标宋简体"/>
          <w:sz w:val="36"/>
          <w:szCs w:val="36"/>
        </w:rPr>
      </w:pPr>
    </w:p>
    <w:p w14:paraId="130CB07B">
      <w:pPr>
        <w:rPr>
          <w:rFonts w:ascii="方正小标宋简体" w:hAnsi="宋?" w:eastAsia="方正小标宋简体"/>
          <w:sz w:val="36"/>
          <w:szCs w:val="36"/>
        </w:rPr>
      </w:pPr>
    </w:p>
    <w:p w14:paraId="128FDB25">
      <w:pPr>
        <w:rPr>
          <w:rFonts w:ascii="方正小标宋简体" w:hAnsi="宋?" w:eastAsia="方正小标宋简体"/>
          <w:sz w:val="36"/>
          <w:szCs w:val="36"/>
        </w:rPr>
      </w:pPr>
    </w:p>
    <w:p w14:paraId="03C18506">
      <w:pPr>
        <w:rPr>
          <w:rFonts w:ascii="方正小标宋简体" w:hAnsi="宋?" w:eastAsia="方正小标宋简体"/>
          <w:sz w:val="36"/>
          <w:szCs w:val="36"/>
        </w:rPr>
      </w:pPr>
    </w:p>
    <w:p w14:paraId="52E260D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93C708A">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F2AE792">
      <w:pPr>
        <w:widowControl/>
        <w:jc w:val="center"/>
        <w:rPr>
          <w:rFonts w:ascii="方正小标宋简体" w:hAnsi="宋?" w:eastAsia="方正小标宋简体"/>
          <w:sz w:val="36"/>
          <w:szCs w:val="36"/>
        </w:rPr>
      </w:pPr>
    </w:p>
    <w:p w14:paraId="4036F5F7">
      <w:pPr>
        <w:widowControl/>
        <w:jc w:val="center"/>
        <w:rPr>
          <w:rFonts w:ascii="黑体" w:hAnsi="黑体" w:eastAsia="黑体"/>
          <w:color w:val="000000"/>
          <w:sz w:val="48"/>
          <w:szCs w:val="48"/>
        </w:rPr>
      </w:pPr>
      <w:r>
        <w:rPr>
          <w:rFonts w:ascii="方正小标宋简体" w:hAnsi="宋?" w:eastAsia="方正小标宋简体"/>
          <w:sz w:val="36"/>
          <w:szCs w:val="36"/>
        </w:rPr>
        <w:br w:type="page"/>
      </w:r>
      <w:r>
        <w:rPr>
          <w:rFonts w:hint="eastAsia" w:ascii="黑体" w:hAnsi="黑体" w:eastAsia="黑体" w:cs="黑体"/>
          <w:color w:val="000000"/>
          <w:sz w:val="48"/>
          <w:szCs w:val="48"/>
        </w:rPr>
        <w:t>目录</w:t>
      </w:r>
    </w:p>
    <w:p w14:paraId="325E027D">
      <w:pPr>
        <w:widowControl/>
        <w:jc w:val="center"/>
        <w:rPr>
          <w:rFonts w:ascii="黑体" w:hAnsi="黑体" w:eastAsia="黑体"/>
          <w:sz w:val="28"/>
          <w:szCs w:val="28"/>
        </w:rPr>
      </w:pPr>
    </w:p>
    <w:p w14:paraId="5CABAF91">
      <w:pPr>
        <w:pStyle w:val="10"/>
        <w:rPr>
          <w:rFonts w:cs="Times New Roman"/>
        </w:rPr>
      </w:pPr>
      <w:r>
        <w:rPr>
          <w:rFonts w:hint="eastAsia"/>
        </w:rPr>
        <w:t>公开时间：</w:t>
      </w:r>
      <w:r>
        <w:t>202</w:t>
      </w:r>
      <w:r>
        <w:rPr>
          <w:rFonts w:hint="eastAsia"/>
          <w:lang w:val="en-US" w:eastAsia="zh-CN"/>
        </w:rPr>
        <w:t>3</w:t>
      </w:r>
      <w:r>
        <w:rPr>
          <w:rFonts w:hint="eastAsia"/>
        </w:rPr>
        <w:t>年</w:t>
      </w:r>
      <w:r>
        <w:t>9</w:t>
      </w:r>
      <w:r>
        <w:rPr>
          <w:rFonts w:hint="eastAsia"/>
        </w:rPr>
        <w:t>月</w:t>
      </w:r>
      <w:r>
        <w:rPr>
          <w:rFonts w:hint="eastAsia"/>
          <w:lang w:val="en-US" w:eastAsia="zh-CN"/>
        </w:rPr>
        <w:t>28</w:t>
      </w:r>
      <w:r>
        <w:rPr>
          <w:rFonts w:hint="eastAsia"/>
        </w:rPr>
        <w:t>日</w:t>
      </w:r>
    </w:p>
    <w:p w14:paraId="1134D41A"/>
    <w:p w14:paraId="1614F5B7">
      <w:pPr>
        <w:pStyle w:val="10"/>
        <w:adjustRightInd w:val="0"/>
        <w:snapToGrid w:val="0"/>
        <w:spacing w:before="0" w:line="440" w:lineRule="exact"/>
        <w:jc w:val="left"/>
      </w:pPr>
      <w:r>
        <w:rPr>
          <w:rFonts w:hint="eastAsia"/>
        </w:rPr>
        <w:t>第一部分</w:t>
      </w:r>
      <w:r>
        <w:t xml:space="preserve"> </w:t>
      </w:r>
      <w:r>
        <w:rPr>
          <w:rFonts w:hint="eastAsia"/>
        </w:rPr>
        <w:t>部门概况</w:t>
      </w:r>
      <w:r>
        <w:t>....................................4</w:t>
      </w:r>
    </w:p>
    <w:p w14:paraId="640DDE09">
      <w:pPr>
        <w:pStyle w:val="12"/>
        <w:adjustRightInd w:val="0"/>
        <w:snapToGrid w:val="0"/>
        <w:spacing w:line="440" w:lineRule="exact"/>
        <w:ind w:left="31680"/>
        <w:jc w:val="left"/>
        <w:rPr>
          <w:rFonts w:ascii="仿宋" w:hAnsi="仿宋" w:eastAsia="仿宋" w:cs="仿宋"/>
          <w:sz w:val="28"/>
          <w:szCs w:val="28"/>
        </w:rPr>
      </w:pPr>
      <w:r>
        <w:rPr>
          <w:rFonts w:hint="eastAsia" w:ascii="仿宋" w:hAnsi="仿宋" w:eastAsia="仿宋" w:cs="仿宋"/>
          <w:sz w:val="28"/>
          <w:szCs w:val="28"/>
        </w:rPr>
        <w:t>一、基本职能及主要工作</w:t>
      </w:r>
      <w:r>
        <w:rPr>
          <w:rFonts w:ascii="仿宋" w:hAnsi="仿宋" w:eastAsia="仿宋" w:cs="仿宋"/>
          <w:sz w:val="28"/>
          <w:szCs w:val="28"/>
        </w:rPr>
        <w:t>............................4</w:t>
      </w:r>
    </w:p>
    <w:p w14:paraId="5764668B">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二</w:t>
      </w:r>
      <w:r>
        <w:rPr>
          <w:rFonts w:hint="eastAsia" w:ascii="仿宋" w:hAnsi="仿宋" w:eastAsia="仿宋" w:cs="仿宋"/>
          <w:sz w:val="28"/>
          <w:szCs w:val="28"/>
        </w:rPr>
        <w:t>、</w:t>
      </w:r>
      <w:r>
        <w:rPr>
          <w:rFonts w:hint="eastAsia" w:ascii="仿宋" w:hAnsi="仿宋" w:eastAsia="仿宋" w:cs="仿宋"/>
          <w:sz w:val="28"/>
          <w:szCs w:val="28"/>
          <w:lang w:eastAsia="zh-CN"/>
        </w:rPr>
        <w:t>机构设置</w:t>
      </w:r>
      <w:r>
        <w:rPr>
          <w:rFonts w:hint="eastAsia" w:ascii="仿宋" w:hAnsi="仿宋" w:eastAsia="仿宋" w:cs="仿宋"/>
          <w:sz w:val="28"/>
          <w:szCs w:val="28"/>
          <w:lang w:val="en-US" w:eastAsia="zh-CN"/>
        </w:rPr>
        <w:t>..........</w:t>
      </w:r>
      <w:r>
        <w:rPr>
          <w:rFonts w:ascii="仿宋" w:hAnsi="仿宋" w:eastAsia="仿宋" w:cs="仿宋"/>
          <w:sz w:val="28"/>
          <w:szCs w:val="28"/>
        </w:rPr>
        <w:t>............................</w:t>
      </w:r>
      <w:r>
        <w:rPr>
          <w:rFonts w:hint="eastAsia" w:ascii="仿宋" w:hAnsi="仿宋" w:eastAsia="仿宋" w:cs="仿宋"/>
          <w:sz w:val="28"/>
          <w:szCs w:val="28"/>
          <w:lang w:val="en-US" w:eastAsia="zh-CN"/>
        </w:rPr>
        <w:t>9</w:t>
      </w:r>
    </w:p>
    <w:p w14:paraId="0D01E042">
      <w:pPr>
        <w:pStyle w:val="10"/>
        <w:adjustRightInd w:val="0"/>
        <w:snapToGrid w:val="0"/>
        <w:spacing w:before="0" w:line="440" w:lineRule="exact"/>
        <w:jc w:val="left"/>
        <w:rPr>
          <w:rFonts w:hint="eastAsia" w:eastAsia="仿宋"/>
          <w:lang w:val="en-US" w:eastAsia="zh-CN"/>
        </w:rPr>
      </w:pPr>
      <w:r>
        <w:rPr>
          <w:rFonts w:hint="eastAsia"/>
        </w:rPr>
        <w:t>第二部分度</w:t>
      </w:r>
      <w:r>
        <w:t xml:space="preserve"> </w:t>
      </w:r>
      <w:r>
        <w:rPr>
          <w:rFonts w:hint="eastAsia"/>
        </w:rPr>
        <w:t>部门决算情况说明</w:t>
      </w:r>
      <w:r>
        <w:t>..........................1</w:t>
      </w:r>
      <w:r>
        <w:rPr>
          <w:rFonts w:hint="eastAsia"/>
          <w:lang w:val="en-US" w:eastAsia="zh-CN"/>
        </w:rPr>
        <w:t>1</w:t>
      </w:r>
    </w:p>
    <w:p w14:paraId="5C423828">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一、收入支出决算总体情况说明</w:t>
      </w:r>
      <w:r>
        <w:rPr>
          <w:rFonts w:ascii="仿宋" w:hAnsi="仿宋" w:eastAsia="仿宋" w:cs="仿宋"/>
          <w:sz w:val="28"/>
          <w:szCs w:val="28"/>
        </w:rPr>
        <w:t>......................1</w:t>
      </w:r>
      <w:r>
        <w:rPr>
          <w:rFonts w:hint="eastAsia" w:ascii="仿宋" w:hAnsi="仿宋" w:eastAsia="仿宋" w:cs="仿宋"/>
          <w:sz w:val="28"/>
          <w:szCs w:val="28"/>
          <w:lang w:val="en-US" w:eastAsia="zh-CN"/>
        </w:rPr>
        <w:t>1</w:t>
      </w:r>
    </w:p>
    <w:p w14:paraId="0990563B">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二、收入决算情况说明</w:t>
      </w:r>
      <w:r>
        <w:rPr>
          <w:rFonts w:ascii="仿宋" w:hAnsi="仿宋" w:eastAsia="仿宋" w:cs="仿宋"/>
          <w:sz w:val="28"/>
          <w:szCs w:val="28"/>
        </w:rPr>
        <w:t>..............................1</w:t>
      </w:r>
      <w:r>
        <w:rPr>
          <w:rFonts w:hint="eastAsia" w:ascii="仿宋" w:hAnsi="仿宋" w:eastAsia="仿宋" w:cs="仿宋"/>
          <w:sz w:val="28"/>
          <w:szCs w:val="28"/>
          <w:lang w:val="en-US" w:eastAsia="zh-CN"/>
        </w:rPr>
        <w:t>1</w:t>
      </w:r>
    </w:p>
    <w:p w14:paraId="5EDCD5C0">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三、支出决算情况说明</w:t>
      </w:r>
      <w:r>
        <w:rPr>
          <w:rFonts w:ascii="仿宋" w:hAnsi="仿宋" w:eastAsia="仿宋" w:cs="仿宋"/>
          <w:sz w:val="28"/>
          <w:szCs w:val="28"/>
        </w:rPr>
        <w:t>..............................1</w:t>
      </w:r>
      <w:r>
        <w:rPr>
          <w:rFonts w:hint="eastAsia" w:ascii="仿宋" w:hAnsi="仿宋" w:eastAsia="仿宋" w:cs="仿宋"/>
          <w:sz w:val="28"/>
          <w:szCs w:val="28"/>
          <w:lang w:val="en-US" w:eastAsia="zh-CN"/>
        </w:rPr>
        <w:t>2</w:t>
      </w:r>
    </w:p>
    <w:p w14:paraId="0371AE65">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四、财政拨款收入支出决算总体情况说明</w:t>
      </w:r>
      <w:r>
        <w:rPr>
          <w:rFonts w:ascii="仿宋" w:hAnsi="仿宋" w:eastAsia="仿宋" w:cs="仿宋"/>
          <w:sz w:val="28"/>
          <w:szCs w:val="28"/>
        </w:rPr>
        <w:t>..............1</w:t>
      </w:r>
      <w:r>
        <w:rPr>
          <w:rFonts w:hint="eastAsia" w:ascii="仿宋" w:hAnsi="仿宋" w:eastAsia="仿宋" w:cs="仿宋"/>
          <w:sz w:val="28"/>
          <w:szCs w:val="28"/>
          <w:lang w:val="en-US" w:eastAsia="zh-CN"/>
        </w:rPr>
        <w:t>2</w:t>
      </w:r>
    </w:p>
    <w:p w14:paraId="30F67619">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五、一般公共预算财政拨款支出决算情况说明</w:t>
      </w:r>
      <w:r>
        <w:rPr>
          <w:rFonts w:ascii="仿宋" w:hAnsi="仿宋" w:eastAsia="仿宋" w:cs="仿宋"/>
          <w:sz w:val="28"/>
          <w:szCs w:val="28"/>
        </w:rPr>
        <w:t>..........1</w:t>
      </w:r>
      <w:r>
        <w:rPr>
          <w:rFonts w:hint="eastAsia" w:ascii="仿宋" w:hAnsi="仿宋" w:eastAsia="仿宋" w:cs="仿宋"/>
          <w:sz w:val="28"/>
          <w:szCs w:val="28"/>
          <w:lang w:val="en-US" w:eastAsia="zh-CN"/>
        </w:rPr>
        <w:t>3</w:t>
      </w:r>
    </w:p>
    <w:p w14:paraId="4AABE604">
      <w:pPr>
        <w:pStyle w:val="12"/>
        <w:adjustRightInd w:val="0"/>
        <w:snapToGrid w:val="0"/>
        <w:spacing w:line="440" w:lineRule="exact"/>
        <w:ind w:left="31680"/>
        <w:jc w:val="left"/>
        <w:rPr>
          <w:rFonts w:hint="eastAsia"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六、一般公共预算财政拨款基本支出决算情况说明</w:t>
      </w:r>
      <w:r>
        <w:rPr>
          <w:rFonts w:ascii="仿宋" w:hAnsi="仿宋" w:eastAsia="仿宋" w:cs="仿宋"/>
          <w:sz w:val="28"/>
          <w:szCs w:val="28"/>
        </w:rPr>
        <w:t>......1</w:t>
      </w:r>
      <w:r>
        <w:rPr>
          <w:rFonts w:hint="eastAsia" w:ascii="仿宋" w:hAnsi="仿宋" w:eastAsia="仿宋" w:cs="仿宋"/>
          <w:sz w:val="28"/>
          <w:szCs w:val="28"/>
          <w:lang w:val="en-US" w:eastAsia="zh-CN"/>
        </w:rPr>
        <w:t>3</w:t>
      </w:r>
    </w:p>
    <w:p w14:paraId="62C3EBFD">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七、“三公”经费财政拨款支出决算情况说明</w:t>
      </w:r>
      <w:r>
        <w:rPr>
          <w:rFonts w:ascii="仿宋" w:hAnsi="仿宋" w:eastAsia="仿宋" w:cs="仿宋"/>
          <w:sz w:val="28"/>
          <w:szCs w:val="28"/>
        </w:rPr>
        <w:t>..........</w:t>
      </w:r>
      <w:r>
        <w:rPr>
          <w:rFonts w:hint="eastAsia" w:ascii="仿宋" w:hAnsi="仿宋" w:eastAsia="仿宋" w:cs="仿宋"/>
          <w:sz w:val="28"/>
          <w:szCs w:val="28"/>
          <w:lang w:val="en-US" w:eastAsia="zh-CN"/>
        </w:rPr>
        <w:t>16</w:t>
      </w:r>
    </w:p>
    <w:p w14:paraId="754BE1DD">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八、政府性基金预算支出决算情况说明</w:t>
      </w:r>
      <w:r>
        <w:rPr>
          <w:rFonts w:ascii="仿宋" w:hAnsi="仿宋" w:eastAsia="仿宋" w:cs="仿宋"/>
          <w:sz w:val="28"/>
          <w:szCs w:val="28"/>
        </w:rPr>
        <w:t>................</w:t>
      </w:r>
      <w:r>
        <w:rPr>
          <w:rFonts w:hint="eastAsia" w:ascii="仿宋" w:hAnsi="仿宋" w:eastAsia="仿宋" w:cs="仿宋"/>
          <w:sz w:val="28"/>
          <w:szCs w:val="28"/>
          <w:lang w:val="en-US" w:eastAsia="zh-CN"/>
        </w:rPr>
        <w:t>17</w:t>
      </w:r>
    </w:p>
    <w:p w14:paraId="307CD490">
      <w:pPr>
        <w:pStyle w:val="12"/>
        <w:adjustRightInd w:val="0"/>
        <w:snapToGrid w:val="0"/>
        <w:spacing w:line="440" w:lineRule="exact"/>
        <w:ind w:leftChars="0"/>
        <w:jc w:val="left"/>
        <w:rPr>
          <w:rFonts w:hint="default" w:ascii="仿宋" w:hAnsi="仿宋" w:eastAsia="仿宋" w:cs="仿宋"/>
          <w:sz w:val="28"/>
          <w:szCs w:val="28"/>
          <w:lang w:val="en-US" w:eastAsia="zh-CN"/>
        </w:rPr>
      </w:pPr>
      <w:r>
        <w:rPr>
          <w:rFonts w:hint="eastAsia" w:ascii="仿宋" w:hAnsi="仿宋" w:eastAsia="仿宋" w:cs="仿宋"/>
          <w:sz w:val="28"/>
          <w:szCs w:val="28"/>
        </w:rPr>
        <w:t>九、</w:t>
      </w:r>
      <w:r>
        <w:rPr>
          <w:rFonts w:ascii="仿宋" w:hAnsi="仿宋" w:eastAsia="仿宋" w:cs="仿宋"/>
          <w:sz w:val="28"/>
          <w:szCs w:val="28"/>
        </w:rPr>
        <w:t xml:space="preserve"> </w:t>
      </w:r>
      <w:r>
        <w:rPr>
          <w:rFonts w:hint="eastAsia" w:ascii="仿宋" w:hAnsi="仿宋" w:eastAsia="仿宋" w:cs="仿宋"/>
          <w:sz w:val="28"/>
          <w:szCs w:val="28"/>
        </w:rPr>
        <w:t>国有资本经营预算支出决算情况说明</w:t>
      </w:r>
      <w:r>
        <w:rPr>
          <w:rFonts w:ascii="仿宋" w:hAnsi="仿宋" w:eastAsia="仿宋" w:cs="仿宋"/>
          <w:sz w:val="28"/>
          <w:szCs w:val="28"/>
        </w:rPr>
        <w:t>.............</w:t>
      </w:r>
      <w:r>
        <w:rPr>
          <w:rFonts w:hint="eastAsia" w:ascii="仿宋" w:hAnsi="仿宋" w:eastAsia="仿宋" w:cs="仿宋"/>
          <w:sz w:val="28"/>
          <w:szCs w:val="28"/>
          <w:lang w:val="en-US" w:eastAsia="zh-CN"/>
        </w:rPr>
        <w:t>17</w:t>
      </w:r>
    </w:p>
    <w:p w14:paraId="622C74CF">
      <w:pPr>
        <w:keepNext w:val="0"/>
        <w:keepLines w:val="0"/>
        <w:pageBreakBefore w:val="0"/>
        <w:widowControl w:val="0"/>
        <w:kinsoku/>
        <w:wordWrap/>
        <w:overflowPunct/>
        <w:topLinePunct w:val="0"/>
        <w:autoSpaceDE/>
        <w:autoSpaceDN/>
        <w:bidi w:val="0"/>
        <w:adjustRightInd w:val="0"/>
        <w:snapToGrid w:val="0"/>
        <w:spacing w:line="440" w:lineRule="exact"/>
        <w:ind w:left="376" w:leftChars="179" w:firstLine="0" w:firstLineChars="0"/>
        <w:jc w:val="left"/>
        <w:textAlignment w:val="auto"/>
        <w:rPr>
          <w:rFonts w:hint="default" w:eastAsia="仿宋"/>
          <w:lang w:val="en-US" w:eastAsia="zh-CN"/>
        </w:rPr>
      </w:pPr>
      <w:r>
        <w:rPr>
          <w:rStyle w:val="17"/>
          <w:rFonts w:hint="eastAsia" w:ascii="仿宋" w:hAnsi="仿宋" w:eastAsia="仿宋" w:cs="仿宋"/>
          <w:color w:val="000000"/>
          <w:sz w:val="28"/>
          <w:szCs w:val="28"/>
          <w:u w:val="none"/>
        </w:rPr>
        <w:t>十、</w:t>
      </w:r>
      <w:r>
        <w:rPr>
          <w:rFonts w:hint="eastAsia" w:ascii="仿宋" w:hAnsi="仿宋" w:eastAsia="仿宋" w:cs="仿宋"/>
          <w:sz w:val="28"/>
          <w:szCs w:val="28"/>
        </w:rPr>
        <w:t>其他重要事项的情况说明</w:t>
      </w:r>
      <w:r>
        <w:rPr>
          <w:rFonts w:ascii="仿宋" w:hAnsi="仿宋" w:eastAsia="仿宋" w:cs="仿宋"/>
          <w:sz w:val="28"/>
          <w:szCs w:val="28"/>
        </w:rPr>
        <w:t>............</w:t>
      </w:r>
      <w:r>
        <w:rPr>
          <w:rFonts w:hint="eastAsia" w:ascii="仿宋" w:hAnsi="仿宋" w:eastAsia="仿宋" w:cs="仿宋"/>
          <w:sz w:val="28"/>
          <w:szCs w:val="28"/>
          <w:lang w:val="en-US" w:eastAsia="zh-CN"/>
        </w:rPr>
        <w:t>.</w:t>
      </w:r>
      <w:r>
        <w:rPr>
          <w:rFonts w:ascii="仿宋" w:hAnsi="仿宋" w:eastAsia="仿宋" w:cs="仿宋"/>
          <w:sz w:val="28"/>
          <w:szCs w:val="28"/>
        </w:rPr>
        <w:t>...........</w:t>
      </w:r>
      <w:r>
        <w:rPr>
          <w:rFonts w:hint="eastAsia" w:ascii="仿宋" w:hAnsi="仿宋" w:eastAsia="仿宋" w:cs="仿宋"/>
          <w:sz w:val="28"/>
          <w:szCs w:val="28"/>
          <w:lang w:val="en-US" w:eastAsia="zh-CN"/>
        </w:rPr>
        <w:t>17</w:t>
      </w:r>
    </w:p>
    <w:p w14:paraId="02BE99D4">
      <w:pPr>
        <w:pStyle w:val="10"/>
        <w:adjustRightInd w:val="0"/>
        <w:snapToGrid w:val="0"/>
        <w:spacing w:before="0" w:line="440" w:lineRule="exact"/>
        <w:jc w:val="left"/>
        <w:rPr>
          <w:rFonts w:hint="default" w:eastAsia="仿宋"/>
          <w:lang w:val="en-US" w:eastAsia="zh-CN"/>
        </w:rPr>
      </w:pPr>
      <w:r>
        <w:rPr>
          <w:rFonts w:hint="eastAsia"/>
        </w:rPr>
        <w:t>第三部分</w:t>
      </w:r>
      <w:r>
        <w:t xml:space="preserve"> </w:t>
      </w:r>
      <w:r>
        <w:rPr>
          <w:rFonts w:hint="eastAsia"/>
        </w:rPr>
        <w:t>名词解释</w:t>
      </w:r>
      <w:r>
        <w:t>....................................</w:t>
      </w:r>
      <w:r>
        <w:rPr>
          <w:rFonts w:hint="eastAsia"/>
          <w:lang w:val="en-US" w:eastAsia="zh-CN"/>
        </w:rPr>
        <w:t>19</w:t>
      </w:r>
    </w:p>
    <w:p w14:paraId="384AB691">
      <w:pPr>
        <w:pStyle w:val="10"/>
        <w:adjustRightInd w:val="0"/>
        <w:snapToGrid w:val="0"/>
        <w:spacing w:before="0" w:line="440" w:lineRule="exact"/>
        <w:jc w:val="left"/>
        <w:rPr>
          <w:rFonts w:hint="default" w:eastAsia="仿宋"/>
          <w:lang w:val="en-US" w:eastAsia="zh-CN"/>
        </w:rPr>
      </w:pPr>
      <w:r>
        <w:rPr>
          <w:rFonts w:hint="eastAsia"/>
        </w:rPr>
        <w:t>第四部分</w:t>
      </w:r>
      <w:r>
        <w:t xml:space="preserve"> </w:t>
      </w:r>
      <w:r>
        <w:rPr>
          <w:rFonts w:hint="eastAsia"/>
        </w:rPr>
        <w:t>附件</w:t>
      </w:r>
      <w:r>
        <w:t>........................................</w:t>
      </w:r>
      <w:r>
        <w:rPr>
          <w:rFonts w:hint="eastAsia"/>
          <w:lang w:val="en-US" w:eastAsia="zh-CN"/>
        </w:rPr>
        <w:t>22</w:t>
      </w:r>
    </w:p>
    <w:p w14:paraId="782F22C6">
      <w:pPr>
        <w:pStyle w:val="10"/>
        <w:adjustRightInd w:val="0"/>
        <w:snapToGrid w:val="0"/>
        <w:spacing w:before="0" w:line="440" w:lineRule="exact"/>
        <w:jc w:val="left"/>
        <w:rPr>
          <w:rFonts w:hint="default" w:eastAsia="仿宋"/>
          <w:lang w:val="en-US" w:eastAsia="zh-CN"/>
        </w:rPr>
      </w:pPr>
      <w:r>
        <w:rPr>
          <w:rFonts w:hint="eastAsia"/>
        </w:rPr>
        <w:t>第五部分</w:t>
      </w:r>
      <w:r>
        <w:t xml:space="preserve"> </w:t>
      </w:r>
      <w:r>
        <w:rPr>
          <w:rFonts w:hint="eastAsia"/>
        </w:rPr>
        <w:t>附表</w:t>
      </w:r>
      <w:r>
        <w:t>........................................</w:t>
      </w:r>
      <w:r>
        <w:rPr>
          <w:rFonts w:hint="eastAsia"/>
          <w:lang w:val="en-US" w:eastAsia="zh-CN"/>
        </w:rPr>
        <w:t>26</w:t>
      </w:r>
    </w:p>
    <w:p w14:paraId="7218D442">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一、收入支出决算总表</w:t>
      </w:r>
      <w:r>
        <w:rPr>
          <w:rFonts w:ascii="仿宋" w:hAnsi="仿宋" w:eastAsia="仿宋" w:cs="仿宋"/>
          <w:sz w:val="28"/>
          <w:szCs w:val="28"/>
        </w:rPr>
        <w:t>..............................</w:t>
      </w:r>
      <w:r>
        <w:rPr>
          <w:rFonts w:hint="eastAsia" w:ascii="仿宋" w:hAnsi="仿宋" w:eastAsia="仿宋" w:cs="仿宋"/>
          <w:sz w:val="28"/>
          <w:szCs w:val="28"/>
          <w:lang w:val="en-US" w:eastAsia="zh-CN"/>
        </w:rPr>
        <w:t>26</w:t>
      </w:r>
    </w:p>
    <w:p w14:paraId="02254E59">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二、收入决算表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3E449AF4">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三、支出决算表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4967274A">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四、财政拨款收入支出决算总表</w:t>
      </w:r>
      <w:r>
        <w:rPr>
          <w:rFonts w:ascii="仿宋" w:hAnsi="仿宋" w:eastAsia="仿宋" w:cs="仿宋"/>
          <w:sz w:val="28"/>
          <w:szCs w:val="28"/>
        </w:rPr>
        <w:t>......................</w:t>
      </w:r>
      <w:r>
        <w:rPr>
          <w:rFonts w:hint="eastAsia" w:ascii="仿宋" w:hAnsi="仿宋" w:eastAsia="仿宋" w:cs="仿宋"/>
          <w:sz w:val="28"/>
          <w:szCs w:val="28"/>
          <w:lang w:val="en-US" w:eastAsia="zh-CN"/>
        </w:rPr>
        <w:t>26</w:t>
      </w:r>
    </w:p>
    <w:p w14:paraId="3B28299A">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五、财政拨款支出决算明细表</w:t>
      </w:r>
      <w:r>
        <w:rPr>
          <w:rFonts w:ascii="仿宋" w:hAnsi="仿宋" w:eastAsia="仿宋" w:cs="仿宋"/>
          <w:sz w:val="28"/>
          <w:szCs w:val="28"/>
        </w:rPr>
        <w:t>........................</w:t>
      </w:r>
      <w:r>
        <w:rPr>
          <w:rFonts w:hint="eastAsia" w:ascii="仿宋" w:hAnsi="仿宋" w:eastAsia="仿宋" w:cs="仿宋"/>
          <w:sz w:val="28"/>
          <w:szCs w:val="28"/>
          <w:lang w:val="en-US" w:eastAsia="zh-CN"/>
        </w:rPr>
        <w:t>26</w:t>
      </w:r>
    </w:p>
    <w:p w14:paraId="61A46D75">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六、一般公共预算财政拨款支出决算表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6C8F3182">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七、一般公共预算财政拨款支出决算明细表</w:t>
      </w:r>
      <w:r>
        <w:rPr>
          <w:rFonts w:ascii="仿宋" w:hAnsi="仿宋" w:eastAsia="仿宋" w:cs="仿宋"/>
          <w:sz w:val="28"/>
          <w:szCs w:val="28"/>
        </w:rPr>
        <w:t>............</w:t>
      </w:r>
      <w:r>
        <w:rPr>
          <w:rFonts w:hint="eastAsia" w:ascii="仿宋" w:hAnsi="仿宋" w:eastAsia="仿宋" w:cs="仿宋"/>
          <w:sz w:val="28"/>
          <w:szCs w:val="28"/>
          <w:lang w:val="en-US" w:eastAsia="zh-CN"/>
        </w:rPr>
        <w:t>26</w:t>
      </w:r>
    </w:p>
    <w:p w14:paraId="1580C76A">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八、一般公共预算财政拨款基本支出决算表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14333345">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九、一般公共预算财政拨款项目支出决算表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201170CB">
      <w:pPr>
        <w:pStyle w:val="12"/>
        <w:adjustRightInd w:val="0"/>
        <w:snapToGrid w:val="0"/>
        <w:spacing w:line="440" w:lineRule="exact"/>
        <w:ind w:left="31680"/>
        <w:jc w:val="left"/>
        <w:rPr>
          <w:rFonts w:hint="default"/>
          <w:lang w:val="en-US" w:eastAsia="zh-CN"/>
        </w:rPr>
      </w:pPr>
      <w:r>
        <w:rPr>
          <w:rFonts w:hint="eastAsia" w:ascii="仿宋" w:hAnsi="仿宋" w:eastAsia="仿宋" w:cs="仿宋"/>
          <w:sz w:val="28"/>
          <w:szCs w:val="28"/>
        </w:rPr>
        <w:t>十、一般公共预算财政拨款“三公”经费支出决算表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276B3E1F">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十一、政府性基金预算财政拨款收入支出决算表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244533CF">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十二、政府性基金预算财政拨款“三公”经费支出决算表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3E6D721C">
      <w:pPr>
        <w:pStyle w:val="12"/>
        <w:adjustRightInd w:val="0"/>
        <w:snapToGrid w:val="0"/>
        <w:spacing w:line="440" w:lineRule="exact"/>
        <w:ind w:left="31680"/>
        <w:jc w:val="left"/>
        <w:rPr>
          <w:rFonts w:hint="default" w:ascii="仿宋" w:hAnsi="仿宋" w:eastAsia="仿宋" w:cs="仿宋"/>
          <w:sz w:val="28"/>
          <w:szCs w:val="28"/>
          <w:lang w:val="en-US" w:eastAsia="zh-CN"/>
        </w:rPr>
      </w:pPr>
      <w:r>
        <w:rPr>
          <w:rFonts w:hint="eastAsia" w:ascii="仿宋" w:hAnsi="仿宋" w:eastAsia="仿宋" w:cs="仿宋"/>
          <w:sz w:val="28"/>
          <w:szCs w:val="28"/>
        </w:rPr>
        <w:t>十三、国有资本经营预算支出决算表</w:t>
      </w:r>
      <w:r>
        <w:rPr>
          <w:rFonts w:ascii="仿宋" w:hAnsi="仿宋" w:eastAsia="仿宋" w:cs="仿宋"/>
          <w:sz w:val="28"/>
          <w:szCs w:val="28"/>
        </w:rPr>
        <w:t>...................</w:t>
      </w:r>
      <w:r>
        <w:rPr>
          <w:rFonts w:hint="eastAsia" w:ascii="仿宋" w:hAnsi="仿宋" w:eastAsia="仿宋" w:cs="仿宋"/>
          <w:sz w:val="28"/>
          <w:szCs w:val="28"/>
          <w:lang w:val="en-US" w:eastAsia="zh-CN"/>
        </w:rPr>
        <w:t>26</w:t>
      </w:r>
    </w:p>
    <w:p w14:paraId="4F0CE13C">
      <w:pPr>
        <w:widowControl/>
        <w:adjustRightInd w:val="0"/>
        <w:snapToGrid w:val="0"/>
        <w:spacing w:line="440" w:lineRule="exact"/>
        <w:ind w:firstLine="1325" w:firstLineChars="550"/>
        <w:jc w:val="left"/>
        <w:rPr>
          <w:rFonts w:ascii="仿宋" w:hAnsi="仿宋" w:eastAsia="仿宋"/>
          <w:kern w:val="44"/>
          <w:sz w:val="24"/>
          <w:szCs w:val="24"/>
        </w:rPr>
      </w:pPr>
      <w:bookmarkStart w:id="12" w:name="_Toc15377196"/>
      <w:bookmarkStart w:id="13" w:name="_Toc15396599"/>
      <w:r>
        <w:rPr>
          <w:rFonts w:ascii="仿宋" w:hAnsi="仿宋" w:eastAsia="仿宋"/>
          <w:b/>
          <w:bCs/>
          <w:sz w:val="24"/>
          <w:szCs w:val="24"/>
        </w:rPr>
        <w:br w:type="page"/>
      </w:r>
    </w:p>
    <w:p w14:paraId="55903F09">
      <w:pPr>
        <w:pStyle w:val="3"/>
        <w:jc w:val="center"/>
        <w:rPr>
          <w:rFonts w:ascii="黑体" w:eastAsia="黑体"/>
          <w:color w:val="000000"/>
          <w:sz w:val="32"/>
          <w:szCs w:val="32"/>
        </w:rPr>
      </w:pPr>
      <w:r>
        <w:rPr>
          <w:rFonts w:hint="eastAsia" w:ascii="黑体" w:hAnsi="黑体" w:eastAsia="黑体" w:cs="黑体"/>
          <w:b w:val="0"/>
          <w:bCs w:val="0"/>
        </w:rPr>
        <w:t>第一部分</w:t>
      </w:r>
      <w:r>
        <w:rPr>
          <w:rFonts w:ascii="黑体" w:hAnsi="黑体" w:eastAsia="黑体" w:cs="黑体"/>
          <w:b w:val="0"/>
          <w:bCs w:val="0"/>
        </w:rPr>
        <w:t xml:space="preserve"> </w:t>
      </w:r>
      <w:r>
        <w:rPr>
          <w:rStyle w:val="18"/>
          <w:rFonts w:hint="eastAsia" w:ascii="黑体" w:hAnsi="黑体" w:eastAsia="黑体" w:cs="黑体"/>
          <w:b w:val="0"/>
          <w:bCs w:val="0"/>
        </w:rPr>
        <w:t>部门概况</w:t>
      </w:r>
      <w:bookmarkEnd w:id="12"/>
      <w:bookmarkEnd w:id="13"/>
    </w:p>
    <w:p w14:paraId="295A847B">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19"/>
          <w:rFonts w:ascii="黑体" w:hAnsi="黑体" w:eastAsia="黑体" w:cs="Times New Roman"/>
          <w:b w:val="0"/>
          <w:bCs w:val="0"/>
        </w:rPr>
      </w:pPr>
      <w:bookmarkStart w:id="14" w:name="_Toc15396600"/>
      <w:bookmarkStart w:id="15" w:name="_Toc15377197"/>
      <w:r>
        <w:rPr>
          <w:rFonts w:hint="eastAsia" w:ascii="黑体" w:hAnsi="黑体" w:eastAsia="黑体" w:cs="黑体"/>
          <w:b w:val="0"/>
          <w:bCs w:val="0"/>
          <w:color w:val="000000"/>
        </w:rPr>
        <w:t>一、基</w:t>
      </w:r>
      <w:r>
        <w:rPr>
          <w:rStyle w:val="19"/>
          <w:rFonts w:hint="eastAsia" w:ascii="黑体" w:hAnsi="黑体" w:eastAsia="黑体" w:cs="黑体"/>
          <w:b w:val="0"/>
          <w:bCs w:val="0"/>
        </w:rPr>
        <w:t>本职能及主要工作</w:t>
      </w:r>
      <w:bookmarkEnd w:id="14"/>
      <w:bookmarkEnd w:id="15"/>
      <w:bookmarkStart w:id="16" w:name="_Toc15378445"/>
      <w:bookmarkStart w:id="17" w:name="_Toc15377198"/>
    </w:p>
    <w:p w14:paraId="3335FF44">
      <w:pPr>
        <w:pStyle w:val="4"/>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b/>
          <w:bCs/>
          <w:color w:val="000000"/>
          <w:spacing w:val="0"/>
          <w:kern w:val="2"/>
          <w:sz w:val="32"/>
          <w:szCs w:val="32"/>
          <w:lang w:val="en-US" w:eastAsia="zh-CN" w:bidi="ar-SA"/>
        </w:rPr>
      </w:pPr>
      <w:r>
        <w:rPr>
          <w:rFonts w:hint="eastAsia" w:ascii="楷体" w:hAnsi="楷体" w:eastAsia="楷体" w:cs="楷体"/>
          <w:b/>
          <w:bCs/>
          <w:color w:val="000000"/>
          <w:spacing w:val="0"/>
          <w:kern w:val="2"/>
          <w:sz w:val="32"/>
          <w:szCs w:val="32"/>
          <w:lang w:val="en-US" w:eastAsia="zh-CN" w:bidi="ar-SA"/>
        </w:rPr>
        <w:t>（一）主要职能。（职能参照省政府批准的三定方案）</w:t>
      </w:r>
      <w:bookmarkEnd w:id="16"/>
      <w:bookmarkEnd w:id="17"/>
    </w:p>
    <w:p w14:paraId="275EDAFF">
      <w:pPr>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县人民法院是国家审判机关，依法独立行使审判权，接受上级人民法院的监督和指导，对县人民代表大会及其常务委员会负责并报告工作。其主要职责是：</w:t>
      </w:r>
      <w:r>
        <w:rPr>
          <w:rFonts w:ascii="仿宋_GB2312" w:eastAsia="仿宋_GB2312" w:cs="仿宋_GB2312"/>
          <w:sz w:val="32"/>
          <w:szCs w:val="32"/>
        </w:rPr>
        <w:t xml:space="preserve">                    </w:t>
      </w:r>
    </w:p>
    <w:p w14:paraId="51430AF2">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审判法律规定、上级人民法院指定由县法院管辖以及县法院认为应当由自己审判的刑事、民事、行政等第一审案件。</w:t>
      </w:r>
    </w:p>
    <w:p w14:paraId="3772717E">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审查处理不服本院判决各类申诉案件。</w:t>
      </w:r>
    </w:p>
    <w:p w14:paraId="1ADF16BA">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监督、指导人民法庭的审判工作。</w:t>
      </w:r>
    </w:p>
    <w:p w14:paraId="24F3E558">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依法行使司法执行权和司法决定权。</w:t>
      </w:r>
    </w:p>
    <w:p w14:paraId="715A64A7">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依法决定国家赔偿。</w:t>
      </w:r>
    </w:p>
    <w:p w14:paraId="49E0DCB9">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管理、协调本院的审判和执行工作。</w:t>
      </w:r>
    </w:p>
    <w:p w14:paraId="008FD5C5">
      <w:pPr>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负责全院思想政治、教育培训工作；按照权限管理法官和其他人员；主管本法院的监察工作；领导院直属单位和群团工作。</w:t>
      </w:r>
    </w:p>
    <w:p w14:paraId="50265083">
      <w:pPr>
        <w:pageBreakBefore w:val="0"/>
        <w:kinsoku/>
        <w:wordWrap/>
        <w:overflowPunct/>
        <w:topLinePunct w:val="0"/>
        <w:autoSpaceDE/>
        <w:autoSpaceDN/>
        <w:bidi w:val="0"/>
        <w:spacing w:line="560" w:lineRule="exact"/>
        <w:ind w:firstLine="800" w:firstLineChars="250"/>
        <w:textAlignment w:val="auto"/>
        <w:rPr>
          <w:rFonts w:ascii="仿宋_GB2312" w:hAnsi="宋?" w:eastAsia="仿宋_GB2312"/>
          <w:sz w:val="32"/>
          <w:szCs w:val="32"/>
        </w:rPr>
      </w:pPr>
      <w:r>
        <w:rPr>
          <w:rFonts w:ascii="仿宋_GB2312" w:hAnsi="宋?" w:eastAsia="仿宋_GB2312" w:cs="仿宋_GB2312"/>
          <w:sz w:val="32"/>
          <w:szCs w:val="32"/>
        </w:rPr>
        <w:t>8.</w:t>
      </w:r>
      <w:r>
        <w:rPr>
          <w:rFonts w:hint="eastAsia" w:ascii="仿宋_GB2312" w:hAnsi="宋?" w:eastAsia="仿宋_GB2312" w:cs="仿宋_GB2312"/>
          <w:sz w:val="32"/>
          <w:szCs w:val="32"/>
        </w:rPr>
        <w:t>管理本法院的有关经费和物资装备。</w:t>
      </w:r>
    </w:p>
    <w:p w14:paraId="0F5B190D">
      <w:pPr>
        <w:pageBreakBefore w:val="0"/>
        <w:kinsoku/>
        <w:wordWrap/>
        <w:overflowPunct/>
        <w:topLinePunct w:val="0"/>
        <w:autoSpaceDE/>
        <w:autoSpaceDN/>
        <w:bidi w:val="0"/>
        <w:spacing w:line="560" w:lineRule="exact"/>
        <w:ind w:firstLine="800" w:firstLineChars="250"/>
        <w:textAlignment w:val="auto"/>
        <w:rPr>
          <w:rFonts w:ascii="仿宋_GB2312" w:hAnsi="宋?" w:eastAsia="仿宋_GB2312"/>
          <w:sz w:val="32"/>
          <w:szCs w:val="32"/>
        </w:rPr>
      </w:pPr>
      <w:r>
        <w:rPr>
          <w:rFonts w:ascii="仿宋_GB2312" w:hAnsi="宋?" w:eastAsia="仿宋_GB2312" w:cs="仿宋_GB2312"/>
          <w:sz w:val="32"/>
          <w:szCs w:val="32"/>
        </w:rPr>
        <w:t>9.</w:t>
      </w:r>
      <w:r>
        <w:rPr>
          <w:rFonts w:hint="eastAsia" w:ascii="仿宋_GB2312" w:hAnsi="宋?" w:eastAsia="仿宋_GB2312" w:cs="仿宋_GB2312"/>
          <w:sz w:val="32"/>
          <w:szCs w:val="32"/>
        </w:rPr>
        <w:t>结合审判工作宣传法制，教育公民遵守宪法和法律。</w:t>
      </w:r>
    </w:p>
    <w:p w14:paraId="761F08F8">
      <w:pPr>
        <w:pageBreakBefore w:val="0"/>
        <w:kinsoku/>
        <w:wordWrap/>
        <w:overflowPunct/>
        <w:topLinePunct w:val="0"/>
        <w:autoSpaceDE/>
        <w:autoSpaceDN/>
        <w:bidi w:val="0"/>
        <w:spacing w:line="560" w:lineRule="exact"/>
        <w:ind w:firstLine="800" w:firstLineChars="250"/>
        <w:textAlignment w:val="auto"/>
        <w:rPr>
          <w:rFonts w:ascii="仿宋_GB2312" w:hAnsi="宋?" w:eastAsia="仿宋_GB2312"/>
          <w:sz w:val="32"/>
          <w:szCs w:val="32"/>
        </w:rPr>
      </w:pPr>
      <w:r>
        <w:rPr>
          <w:rFonts w:ascii="仿宋_GB2312" w:hAnsi="宋?" w:eastAsia="仿宋_GB2312" w:cs="仿宋_GB2312"/>
          <w:sz w:val="32"/>
          <w:szCs w:val="32"/>
        </w:rPr>
        <w:t>10.</w:t>
      </w:r>
      <w:r>
        <w:rPr>
          <w:rFonts w:hint="eastAsia" w:ascii="仿宋_GB2312" w:hAnsi="宋?" w:eastAsia="仿宋_GB2312" w:cs="仿宋_GB2312"/>
          <w:sz w:val="32"/>
          <w:szCs w:val="32"/>
        </w:rPr>
        <w:t>承办其他应由本院负责的工作。</w:t>
      </w:r>
    </w:p>
    <w:p w14:paraId="30CF27E3">
      <w:pPr>
        <w:pageBreakBefore w:val="0"/>
        <w:kinsoku/>
        <w:wordWrap/>
        <w:overflowPunct/>
        <w:topLinePunct w:val="0"/>
        <w:autoSpaceDE/>
        <w:autoSpaceDN/>
        <w:bidi w:val="0"/>
        <w:spacing w:line="560" w:lineRule="exact"/>
        <w:ind w:firstLine="800" w:firstLineChars="250"/>
        <w:textAlignment w:val="auto"/>
        <w:rPr>
          <w:rFonts w:ascii="仿宋_GB2312" w:hAnsi="宋?" w:eastAsia="仿宋_GB2312"/>
          <w:sz w:val="32"/>
          <w:szCs w:val="32"/>
        </w:rPr>
      </w:pPr>
      <w:r>
        <w:rPr>
          <w:rFonts w:ascii="仿宋_GB2312" w:hAnsi="宋?" w:eastAsia="仿宋_GB2312" w:cs="仿宋_GB2312"/>
          <w:sz w:val="32"/>
          <w:szCs w:val="32"/>
        </w:rPr>
        <w:t>11.</w:t>
      </w:r>
      <w:r>
        <w:rPr>
          <w:rFonts w:hint="eastAsia" w:ascii="仿宋_GB2312" w:hAnsi="宋?" w:eastAsia="仿宋_GB2312" w:cs="仿宋_GB2312"/>
          <w:sz w:val="32"/>
          <w:szCs w:val="32"/>
        </w:rPr>
        <w:t>派出机构及职责。派出法庭设绵虒、映秀</w:t>
      </w:r>
      <w:r>
        <w:rPr>
          <w:rFonts w:hint="eastAsia" w:ascii="仿宋_GB2312" w:hAnsi="宋?" w:eastAsia="仿宋_GB2312" w:cs="仿宋_GB2312"/>
          <w:sz w:val="32"/>
          <w:szCs w:val="32"/>
          <w:lang w:eastAsia="zh-CN"/>
        </w:rPr>
        <w:t>（卧龙）</w:t>
      </w:r>
      <w:r>
        <w:rPr>
          <w:rFonts w:hint="eastAsia" w:ascii="仿宋_GB2312" w:hAnsi="宋?" w:eastAsia="仿宋_GB2312" w:cs="仿宋_GB2312"/>
          <w:sz w:val="32"/>
          <w:szCs w:val="32"/>
        </w:rPr>
        <w:t>、漩口、</w:t>
      </w:r>
      <w:r>
        <w:rPr>
          <w:rFonts w:hint="eastAsia" w:ascii="仿宋_GB2312" w:hAnsi="宋?" w:eastAsia="仿宋_GB2312" w:cs="仿宋_GB2312"/>
          <w:sz w:val="32"/>
          <w:szCs w:val="32"/>
          <w:lang w:eastAsia="zh-CN"/>
        </w:rPr>
        <w:t>威州</w:t>
      </w:r>
      <w:r>
        <w:rPr>
          <w:rFonts w:hint="eastAsia" w:ascii="仿宋_GB2312" w:hAnsi="宋?" w:eastAsia="仿宋_GB2312" w:cs="仿宋_GB2312"/>
          <w:sz w:val="32"/>
          <w:szCs w:val="32"/>
          <w:lang w:val="en-US" w:eastAsia="zh-CN"/>
        </w:rPr>
        <w:t>5</w:t>
      </w:r>
      <w:r>
        <w:rPr>
          <w:rFonts w:hint="eastAsia" w:ascii="仿宋_GB2312" w:hAnsi="宋?" w:eastAsia="仿宋_GB2312" w:cs="仿宋_GB2312"/>
          <w:sz w:val="32"/>
          <w:szCs w:val="32"/>
        </w:rPr>
        <w:t>个人民法庭，依法审理和执行辖区内一般的民事案件，指导人民调解委员会工作及办理法庭审判工作有关的其他事项。</w:t>
      </w:r>
    </w:p>
    <w:p w14:paraId="625409EF">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hint="eastAsia" w:ascii="楷体" w:hAnsi="楷体" w:eastAsia="楷体" w:cs="楷体"/>
          <w:b/>
          <w:bCs/>
          <w:color w:val="000000"/>
          <w:spacing w:val="0"/>
          <w:kern w:val="2"/>
          <w:sz w:val="32"/>
          <w:szCs w:val="32"/>
          <w:lang w:val="en-US" w:eastAsia="zh-CN" w:bidi="ar-SA"/>
        </w:rPr>
      </w:pPr>
      <w:bookmarkStart w:id="18" w:name="_Toc15377199"/>
      <w:bookmarkStart w:id="19" w:name="_Toc15378446"/>
      <w:r>
        <w:rPr>
          <w:rFonts w:hint="eastAsia" w:ascii="楷体" w:hAnsi="楷体" w:eastAsia="楷体" w:cs="楷体"/>
          <w:b/>
          <w:bCs/>
          <w:color w:val="000000"/>
          <w:spacing w:val="0"/>
          <w:kern w:val="2"/>
          <w:sz w:val="32"/>
          <w:szCs w:val="32"/>
          <w:lang w:val="en-US" w:eastAsia="zh-CN" w:bidi="ar-SA"/>
        </w:rPr>
        <w:t>（二）2022年重点工作完成情况。</w:t>
      </w:r>
      <w:bookmarkEnd w:id="18"/>
      <w:bookmarkEnd w:id="19"/>
    </w:p>
    <w:p w14:paraId="5B3E4A50">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olor w:val="auto"/>
          <w:sz w:val="32"/>
          <w:szCs w:val="32"/>
          <w:lang w:val="zh-CN"/>
        </w:rPr>
      </w:pPr>
      <w:r>
        <w:rPr>
          <w:rStyle w:val="20"/>
          <w:rFonts w:hint="eastAsia" w:ascii="仿宋_GB2312" w:hAnsi="宋体" w:eastAsia="仿宋_GB2312"/>
          <w:color w:val="auto"/>
          <w:spacing w:val="0"/>
          <w:sz w:val="32"/>
          <w:szCs w:val="32"/>
          <w:shd w:val="clear" w:color="auto" w:fill="FFFFFF"/>
          <w:lang w:val="en-US" w:eastAsia="zh-CN"/>
        </w:rPr>
        <w:t>2022年，</w:t>
      </w:r>
      <w:r>
        <w:rPr>
          <w:rStyle w:val="20"/>
          <w:rFonts w:hint="eastAsia" w:ascii="仿宋_GB2312" w:hAnsi="宋体" w:eastAsia="仿宋_GB2312"/>
          <w:color w:val="auto"/>
          <w:spacing w:val="0"/>
          <w:sz w:val="32"/>
          <w:szCs w:val="32"/>
          <w:shd w:val="clear" w:color="auto" w:fill="FFFFFF"/>
        </w:rPr>
        <w:t>汶川县人民法院在县委的坚强领导、</w:t>
      </w:r>
      <w:r>
        <w:rPr>
          <w:rStyle w:val="20"/>
          <w:rFonts w:hint="eastAsia" w:ascii="仿宋_GB2312" w:hAnsi="宋体" w:eastAsia="仿宋_GB2312"/>
          <w:color w:val="auto"/>
          <w:spacing w:val="0"/>
          <w:sz w:val="32"/>
          <w:szCs w:val="32"/>
          <w:shd w:val="clear" w:color="auto" w:fill="FFFFFF"/>
          <w:lang w:eastAsia="zh-CN"/>
        </w:rPr>
        <w:t>县委政法委的有力指导下，</w:t>
      </w:r>
      <w:r>
        <w:rPr>
          <w:rFonts w:hint="eastAsia" w:ascii="仿宋_GB2312" w:hAnsi="仿宋_GB2312" w:eastAsia="仿宋_GB2312" w:cs="仿宋_GB2312"/>
          <w:color w:val="auto"/>
          <w:spacing w:val="0"/>
          <w:sz w:val="32"/>
          <w:szCs w:val="32"/>
          <w:lang w:val="zh-CN"/>
        </w:rPr>
        <w:t>坚持以习近平新时代中国特色社会主义思想为指导，深入学习贯彻党的二十大精神</w:t>
      </w:r>
      <w:r>
        <w:rPr>
          <w:rStyle w:val="20"/>
          <w:rFonts w:hint="eastAsia" w:ascii="仿宋_GB2312" w:hAnsi="宋体" w:eastAsia="仿宋_GB2312"/>
          <w:color w:val="auto"/>
          <w:spacing w:val="0"/>
          <w:sz w:val="32"/>
          <w:szCs w:val="32"/>
          <w:shd w:val="clear" w:color="auto" w:fill="FFFFFF"/>
        </w:rPr>
        <w:t>，忠实履行宪法和法律赋予的职责，大力推进司法公开，有效提供司法服务，不断提升司法公信</w:t>
      </w:r>
      <w:r>
        <w:rPr>
          <w:rStyle w:val="20"/>
          <w:rFonts w:hint="eastAsia" w:ascii="仿宋_GB2312" w:hAnsi="宋体" w:eastAsia="仿宋_GB2312"/>
          <w:color w:val="auto"/>
          <w:spacing w:val="0"/>
          <w:sz w:val="32"/>
          <w:szCs w:val="32"/>
          <w:shd w:val="clear" w:color="auto" w:fill="FFFFFF"/>
          <w:lang w:eastAsia="zh-CN"/>
        </w:rPr>
        <w:t>力</w:t>
      </w:r>
      <w:r>
        <w:rPr>
          <w:rFonts w:hint="eastAsia" w:ascii="仿宋_GB2312" w:hAnsi="仿宋_GB2312" w:eastAsia="仿宋_GB2312" w:cs="仿宋_GB2312"/>
          <w:color w:val="auto"/>
          <w:sz w:val="32"/>
          <w:szCs w:val="32"/>
          <w:lang w:val="zh-CN"/>
        </w:rPr>
        <w:t>。</w:t>
      </w:r>
    </w:p>
    <w:p w14:paraId="592DC7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color w:val="000000"/>
          <w:spacing w:val="0"/>
          <w:kern w:val="2"/>
          <w:sz w:val="32"/>
          <w:szCs w:val="32"/>
          <w:lang w:val="en-US" w:eastAsia="zh-CN" w:bidi="ar-SA"/>
        </w:rPr>
        <w:t>1.聚焦审判工作，不断推进法治汶川建设</w:t>
      </w:r>
    </w:p>
    <w:p w14:paraId="22F9C653">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pPr>
      <w:r>
        <w:rPr>
          <w:rFonts w:hint="eastAsia" w:ascii="仿宋_GB2312" w:hAnsi="仿宋_GB2312" w:eastAsia="仿宋_GB2312" w:cs="仿宋_GB2312"/>
          <w:color w:val="000000"/>
          <w:spacing w:val="0"/>
          <w:kern w:val="2"/>
          <w:sz w:val="32"/>
          <w:szCs w:val="32"/>
          <w:lang w:val="en-US" w:eastAsia="zh-CN" w:bidi="ar-SA"/>
        </w:rPr>
        <w:t>2022年，共受理各类案件1263件，审执结1249件，结案率98.9%。</w:t>
      </w:r>
      <w:r>
        <w:rPr>
          <w:rFonts w:hint="eastAsia" w:ascii="楷体" w:hAnsi="楷体" w:eastAsia="楷体" w:cs="楷体"/>
          <w:b/>
          <w:bCs/>
          <w:sz w:val="32"/>
          <w:szCs w:val="32"/>
          <w:lang w:val="en-US" w:eastAsia="zh-CN"/>
        </w:rPr>
        <w:t>一是依法严惩刑事</w:t>
      </w:r>
      <w:bookmarkStart w:id="71" w:name="_GoBack"/>
      <w:bookmarkEnd w:id="71"/>
      <w:r>
        <w:rPr>
          <w:rFonts w:hint="eastAsia" w:ascii="楷体" w:hAnsi="楷体" w:eastAsia="楷体" w:cs="楷体"/>
          <w:b/>
          <w:bCs/>
          <w:sz w:val="32"/>
          <w:szCs w:val="32"/>
          <w:lang w:val="en-US" w:eastAsia="zh-CN"/>
        </w:rPr>
        <w:t>犯罪。</w:t>
      </w:r>
      <w:r>
        <w:rPr>
          <w:rFonts w:hint="eastAsia" w:ascii="仿宋_GB2312" w:hAnsi="仿宋_GB2312" w:eastAsia="仿宋_GB2312" w:cs="仿宋_GB2312"/>
          <w:sz w:val="32"/>
          <w:szCs w:val="32"/>
          <w:lang w:val="en-US" w:eastAsia="zh-CN"/>
        </w:rPr>
        <w:t>共受理各类刑事案件50件，审结46件，结案率92%。纵深推进扫黑除恶专项斗争，深入群众宣传《中华人民共和国犯有组织犯罪法》，为扫黑除恶专项斗争常态化斗争开展营造良好的社会氛围。持续保持对电信网络诈骗犯罪高压严打态势，办理电信网络诈骗类案件1件5人，为帮助信息网络犯罪活动罪，其中判处三年以下有期徒刑1人，缓刑4人，共判处罚金56000元。严打食品安全违法犯罪，守护百姓“舌尖上的安全”，受理有关食品、药品安全犯罪案件1件2人。深入推进庭审实质化，落实证人出庭作证，刘某盗窃一案6名证人出庭作证。纵深推进反腐败斗争，坚持行贿受贿一起查，审结串通投标罪、行贿罪、受贿罪5件6人。依法保护国家自然资源，严格落实森林防火各项指示精神，审结非法采矿罪1件3人，盗伐林木罪2件2人，依法严惩魏某放火罪一案，判处有期徒刑四年。对重大影响的案件主动向院领导、及同级检察机关、政法委等部门进行协调沟通，依法提升缓刑适用率，刘某2人犯虚开发票罪一案，在县委政法委的牵头协调下，对认罪认罚从宽制度落实及相关案件办理进行了讨论并形成意见，2人均被判处缓刑。</w:t>
      </w:r>
      <w:r>
        <w:rPr>
          <w:rFonts w:hint="eastAsia" w:ascii="楷体" w:hAnsi="楷体" w:eastAsia="楷体" w:cs="楷体"/>
          <w:b/>
          <w:bCs/>
          <w:kern w:val="0"/>
          <w:sz w:val="32"/>
          <w:szCs w:val="32"/>
          <w:lang w:val="en-US" w:eastAsia="zh-CN" w:bidi="ar"/>
        </w:rPr>
        <w:t>二是持续强化民生司法保障。</w:t>
      </w:r>
      <w:r>
        <w:rPr>
          <w:rFonts w:hint="eastAsia" w:ascii="仿宋_GB2312" w:hAnsi="仿宋_GB2312" w:eastAsia="仿宋_GB2312" w:cs="仿宋_GB2312"/>
          <w:color w:val="auto"/>
          <w:sz w:val="32"/>
          <w:szCs w:val="32"/>
        </w:rPr>
        <w:t>受理各类民商事案件</w:t>
      </w:r>
      <w:r>
        <w:rPr>
          <w:rFonts w:hint="eastAsia" w:ascii="仿宋_GB2312" w:hAnsi="仿宋_GB2312" w:eastAsia="仿宋_GB2312" w:cs="仿宋_GB2312"/>
          <w:color w:val="auto"/>
          <w:sz w:val="32"/>
          <w:szCs w:val="32"/>
          <w:lang w:val="en-US" w:eastAsia="zh-CN"/>
        </w:rPr>
        <w:t>789</w:t>
      </w:r>
      <w:r>
        <w:rPr>
          <w:rFonts w:hint="eastAsia" w:ascii="仿宋_GB2312" w:hAnsi="仿宋_GB2312" w:eastAsia="仿宋_GB2312" w:cs="仿宋_GB2312"/>
          <w:color w:val="auto"/>
          <w:sz w:val="32"/>
          <w:szCs w:val="32"/>
        </w:rPr>
        <w:t>件，审结件</w:t>
      </w:r>
      <w:r>
        <w:rPr>
          <w:rFonts w:hint="eastAsia" w:ascii="仿宋_GB2312" w:hAnsi="仿宋_GB2312" w:eastAsia="仿宋_GB2312" w:cs="仿宋_GB2312"/>
          <w:color w:val="auto"/>
          <w:sz w:val="32"/>
          <w:szCs w:val="32"/>
          <w:lang w:val="en-US" w:eastAsia="zh-CN"/>
        </w:rPr>
        <w:t>777件</w:t>
      </w:r>
      <w:r>
        <w:rPr>
          <w:rFonts w:hint="eastAsia" w:ascii="仿宋_GB2312" w:hAnsi="仿宋_GB2312" w:eastAsia="仿宋_GB2312" w:cs="仿宋_GB2312"/>
          <w:color w:val="auto"/>
          <w:sz w:val="32"/>
          <w:szCs w:val="32"/>
        </w:rPr>
        <w:t>，审结率</w:t>
      </w:r>
      <w:r>
        <w:rPr>
          <w:rFonts w:hint="eastAsia" w:ascii="仿宋_GB2312" w:hAnsi="仿宋_GB2312" w:eastAsia="仿宋_GB2312" w:cs="仿宋_GB2312"/>
          <w:color w:val="auto"/>
          <w:sz w:val="32"/>
          <w:szCs w:val="32"/>
          <w:lang w:val="en-US" w:eastAsia="zh-CN"/>
        </w:rPr>
        <w:t>98.5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000000"/>
          <w:spacing w:val="0"/>
          <w:kern w:val="2"/>
          <w:sz w:val="32"/>
          <w:szCs w:val="32"/>
          <w:lang w:val="en-US" w:eastAsia="zh-CN"/>
        </w:rPr>
        <w:t>坚决维护市场规则，积极营造良好</w:t>
      </w:r>
      <w:r>
        <w:rPr>
          <w:rFonts w:hint="eastAsia" w:ascii="仿宋_GB2312" w:hAnsi="仿宋_GB2312" w:eastAsia="仿宋_GB2312" w:cs="仿宋_GB2312"/>
          <w:color w:val="000000"/>
          <w:spacing w:val="0"/>
          <w:sz w:val="32"/>
          <w:szCs w:val="32"/>
          <w:shd w:val="clear" w:color="auto" w:fill="auto"/>
          <w:lang w:val="en-US" w:eastAsia="zh-CN"/>
        </w:rPr>
        <w:t>营商环境</w:t>
      </w:r>
      <w:r>
        <w:rPr>
          <w:rFonts w:hint="eastAsia" w:ascii="仿宋_GB2312" w:hAnsi="仿宋_GB2312" w:eastAsia="仿宋_GB2312" w:cs="仿宋_GB2312"/>
          <w:bCs/>
          <w:color w:val="000000"/>
          <w:spacing w:val="0"/>
          <w:kern w:val="2"/>
          <w:sz w:val="32"/>
          <w:szCs w:val="32"/>
          <w:lang w:val="en-US" w:eastAsia="zh-CN"/>
        </w:rPr>
        <w:t>，审结各类合同纠纷64件</w:t>
      </w:r>
      <w:r>
        <w:rPr>
          <w:rFonts w:hint="eastAsia" w:ascii="仿宋_GB2312" w:hAnsi="仿宋_GB2312" w:eastAsia="仿宋_GB2312" w:cs="仿宋_GB2312"/>
          <w:color w:val="000000"/>
          <w:spacing w:val="0"/>
          <w:sz w:val="32"/>
          <w:szCs w:val="32"/>
          <w:shd w:val="clear" w:color="auto" w:fill="auto"/>
          <w:lang w:val="en-US" w:eastAsia="zh-CN"/>
        </w:rPr>
        <w:t>。</w:t>
      </w:r>
      <w:r>
        <w:rPr>
          <w:rStyle w:val="20"/>
          <w:rFonts w:hint="eastAsia" w:ascii="仿宋_GB2312" w:hAnsi="仿宋_GB2312" w:eastAsia="仿宋_GB2312" w:cs="仿宋_GB2312"/>
          <w:color w:val="000000"/>
          <w:spacing w:val="0"/>
          <w:sz w:val="32"/>
          <w:szCs w:val="32"/>
          <w:shd w:val="clear" w:color="auto" w:fill="FFFFFF"/>
          <w:lang w:eastAsia="zh-CN"/>
        </w:rPr>
        <w:t>依法保障劳动者合法权益，</w:t>
      </w:r>
      <w:r>
        <w:rPr>
          <w:rStyle w:val="20"/>
          <w:rFonts w:hint="eastAsia" w:ascii="仿宋_GB2312" w:hAnsi="仿宋_GB2312" w:eastAsia="仿宋_GB2312" w:cs="仿宋_GB2312"/>
          <w:color w:val="000000"/>
          <w:spacing w:val="0"/>
          <w:sz w:val="32"/>
          <w:szCs w:val="32"/>
          <w:shd w:val="clear" w:color="auto" w:fill="FFFFFF"/>
        </w:rPr>
        <w:t>审理</w:t>
      </w:r>
      <w:r>
        <w:rPr>
          <w:rStyle w:val="20"/>
          <w:rFonts w:hint="eastAsia" w:ascii="仿宋_GB2312" w:hAnsi="仿宋_GB2312" w:eastAsia="仿宋_GB2312" w:cs="仿宋_GB2312"/>
          <w:color w:val="000000"/>
          <w:spacing w:val="0"/>
          <w:sz w:val="32"/>
          <w:szCs w:val="32"/>
          <w:shd w:val="clear" w:color="auto" w:fill="FFFFFF"/>
          <w:lang w:val="en-US" w:eastAsia="zh-CN"/>
        </w:rPr>
        <w:t>劳动</w:t>
      </w:r>
      <w:r>
        <w:rPr>
          <w:rStyle w:val="20"/>
          <w:rFonts w:hint="eastAsia" w:ascii="仿宋_GB2312" w:hAnsi="仿宋_GB2312" w:eastAsia="仿宋_GB2312" w:cs="仿宋_GB2312"/>
          <w:color w:val="000000"/>
          <w:spacing w:val="0"/>
          <w:sz w:val="32"/>
          <w:szCs w:val="32"/>
          <w:shd w:val="clear" w:color="auto" w:fill="FFFFFF"/>
        </w:rPr>
        <w:t>纠纷</w:t>
      </w:r>
      <w:r>
        <w:rPr>
          <w:rStyle w:val="20"/>
          <w:rFonts w:hint="eastAsia" w:ascii="仿宋_GB2312" w:hAnsi="仿宋_GB2312" w:eastAsia="仿宋_GB2312" w:cs="仿宋_GB2312"/>
          <w:color w:val="000000"/>
          <w:spacing w:val="0"/>
          <w:sz w:val="32"/>
          <w:szCs w:val="32"/>
          <w:shd w:val="clear" w:color="auto" w:fill="FFFFFF"/>
          <w:lang w:eastAsia="zh-CN"/>
        </w:rPr>
        <w:t>类</w:t>
      </w:r>
      <w:r>
        <w:rPr>
          <w:rStyle w:val="20"/>
          <w:rFonts w:hint="eastAsia" w:ascii="仿宋_GB2312" w:hAnsi="仿宋_GB2312" w:eastAsia="仿宋_GB2312" w:cs="仿宋_GB2312"/>
          <w:color w:val="000000"/>
          <w:spacing w:val="0"/>
          <w:sz w:val="32"/>
          <w:szCs w:val="32"/>
          <w:shd w:val="clear" w:color="auto" w:fill="FFFFFF"/>
        </w:rPr>
        <w:t>案件</w:t>
      </w:r>
      <w:r>
        <w:rPr>
          <w:rStyle w:val="20"/>
          <w:rFonts w:hint="eastAsia" w:ascii="仿宋_GB2312" w:hAnsi="仿宋_GB2312" w:eastAsia="仿宋_GB2312" w:cs="仿宋_GB2312"/>
          <w:color w:val="000000"/>
          <w:spacing w:val="0"/>
          <w:sz w:val="32"/>
          <w:szCs w:val="32"/>
          <w:shd w:val="clear" w:color="auto" w:fill="FFFFFF"/>
          <w:lang w:val="en-US" w:eastAsia="zh-CN"/>
        </w:rPr>
        <w:t>10</w:t>
      </w:r>
      <w:r>
        <w:rPr>
          <w:rStyle w:val="20"/>
          <w:rFonts w:hint="eastAsia" w:ascii="仿宋_GB2312" w:hAnsi="仿宋_GB2312" w:eastAsia="仿宋_GB2312" w:cs="仿宋_GB2312"/>
          <w:color w:val="000000"/>
          <w:spacing w:val="0"/>
          <w:sz w:val="32"/>
          <w:szCs w:val="32"/>
          <w:shd w:val="clear" w:color="auto" w:fill="FFFFFF"/>
        </w:rPr>
        <w:t>件</w:t>
      </w:r>
      <w:r>
        <w:rPr>
          <w:rStyle w:val="20"/>
          <w:rFonts w:hint="eastAsia" w:ascii="仿宋_GB2312" w:hAnsi="仿宋_GB2312" w:eastAsia="仿宋_GB2312" w:cs="仿宋_GB2312"/>
          <w:color w:val="000000"/>
          <w:spacing w:val="0"/>
          <w:sz w:val="32"/>
          <w:szCs w:val="32"/>
          <w:shd w:val="clear" w:color="auto" w:fill="FFFFFF"/>
          <w:lang w:eastAsia="zh-CN"/>
        </w:rPr>
        <w:t>，</w:t>
      </w:r>
      <w:r>
        <w:rPr>
          <w:rFonts w:hint="eastAsia" w:ascii="仿宋_GB2312" w:hAnsi="仿宋_GB2312" w:eastAsia="仿宋_GB2312" w:cs="仿宋_GB2312"/>
          <w:color w:val="000000"/>
          <w:spacing w:val="0"/>
          <w:kern w:val="2"/>
          <w:sz w:val="32"/>
          <w:szCs w:val="32"/>
        </w:rPr>
        <w:t>企业破产案件</w:t>
      </w:r>
      <w:r>
        <w:rPr>
          <w:rFonts w:hint="eastAsia" w:ascii="仿宋_GB2312" w:hAnsi="仿宋_GB2312" w:eastAsia="仿宋_GB2312" w:cs="仿宋_GB2312"/>
          <w:color w:val="000000"/>
          <w:spacing w:val="0"/>
          <w:kern w:val="2"/>
          <w:sz w:val="32"/>
          <w:szCs w:val="32"/>
          <w:lang w:val="en-US" w:eastAsia="zh-CN"/>
        </w:rPr>
        <w:t>5件</w:t>
      </w:r>
      <w:r>
        <w:rPr>
          <w:rFonts w:hint="eastAsia" w:ascii="仿宋_GB2312" w:hAnsi="仿宋_GB2312" w:eastAsia="仿宋_GB2312" w:cs="仿宋_GB2312"/>
          <w:color w:val="000000"/>
          <w:spacing w:val="0"/>
          <w:kern w:val="2"/>
          <w:sz w:val="32"/>
          <w:szCs w:val="32"/>
        </w:rPr>
        <w:t>，</w:t>
      </w:r>
      <w:r>
        <w:rPr>
          <w:rStyle w:val="20"/>
          <w:rFonts w:hint="eastAsia" w:ascii="仿宋_GB2312" w:hAnsi="仿宋_GB2312" w:eastAsia="仿宋_GB2312" w:cs="仿宋_GB2312"/>
          <w:color w:val="000000"/>
          <w:spacing w:val="0"/>
          <w:sz w:val="32"/>
          <w:szCs w:val="32"/>
          <w:shd w:val="clear" w:color="auto" w:fill="FFFFFF"/>
          <w:lang w:eastAsia="zh-CN"/>
        </w:rPr>
        <w:t>推动构建和谐稳定的劳资关系</w:t>
      </w:r>
      <w:r>
        <w:rPr>
          <w:rFonts w:hint="eastAsia" w:ascii="仿宋_GB2312" w:hAnsi="仿宋_GB2312" w:eastAsia="仿宋_GB2312" w:cs="仿宋_GB2312"/>
          <w:bCs/>
          <w:i w:val="0"/>
          <w:iCs w:val="0"/>
          <w:caps w:val="0"/>
          <w:color w:val="000000"/>
          <w:spacing w:val="0"/>
          <w:sz w:val="32"/>
          <w:szCs w:val="32"/>
          <w:shd w:val="clear" w:color="auto" w:fill="auto"/>
          <w:lang w:eastAsia="zh-CN"/>
        </w:rPr>
        <w:t>。</w:t>
      </w:r>
      <w:r>
        <w:rPr>
          <w:rFonts w:hint="eastAsia" w:ascii="仿宋_GB2312" w:hAnsi="仿宋_GB2312" w:eastAsia="仿宋_GB2312" w:cs="仿宋_GB2312"/>
          <w:b w:val="0"/>
          <w:bCs/>
          <w:i w:val="0"/>
          <w:iCs w:val="0"/>
          <w:caps w:val="0"/>
          <w:color w:val="000000"/>
          <w:spacing w:val="0"/>
          <w:sz w:val="32"/>
          <w:szCs w:val="32"/>
          <w:shd w:val="clear" w:color="auto" w:fill="auto"/>
          <w:lang w:val="en-US" w:eastAsia="zh-CN"/>
        </w:rPr>
        <w:t>将“调解优先、亲情修复、倾斜保护”理念贯穿于家事审判中，</w:t>
      </w:r>
      <w:r>
        <w:rPr>
          <w:rStyle w:val="20"/>
          <w:rFonts w:hint="eastAsia" w:ascii="仿宋_GB2312" w:hAnsi="仿宋_GB2312" w:eastAsia="仿宋_GB2312" w:cs="仿宋_GB2312"/>
          <w:color w:val="000000"/>
          <w:spacing w:val="0"/>
          <w:sz w:val="32"/>
          <w:szCs w:val="32"/>
          <w:shd w:val="clear" w:color="auto" w:fill="FFFFFF"/>
        </w:rPr>
        <w:t>稳妥审理婚姻家庭、抚养继承</w:t>
      </w:r>
      <w:r>
        <w:rPr>
          <w:rStyle w:val="20"/>
          <w:rFonts w:hint="eastAsia" w:ascii="仿宋_GB2312" w:hAnsi="仿宋_GB2312" w:eastAsia="仿宋_GB2312" w:cs="仿宋_GB2312"/>
          <w:color w:val="000000"/>
          <w:spacing w:val="0"/>
          <w:sz w:val="32"/>
          <w:szCs w:val="32"/>
          <w:shd w:val="clear" w:color="auto" w:fill="FFFFFF"/>
          <w:lang w:val="en-US" w:eastAsia="zh-CN"/>
        </w:rPr>
        <w:t>等家事</w:t>
      </w:r>
      <w:r>
        <w:rPr>
          <w:rStyle w:val="20"/>
          <w:rFonts w:hint="eastAsia" w:ascii="仿宋_GB2312" w:hAnsi="仿宋_GB2312" w:eastAsia="仿宋_GB2312" w:cs="仿宋_GB2312"/>
          <w:color w:val="000000"/>
          <w:spacing w:val="0"/>
          <w:sz w:val="32"/>
          <w:szCs w:val="32"/>
          <w:shd w:val="clear" w:color="auto" w:fill="FFFFFF"/>
        </w:rPr>
        <w:t>案件</w:t>
      </w:r>
      <w:r>
        <w:rPr>
          <w:rStyle w:val="20"/>
          <w:rFonts w:hint="eastAsia" w:ascii="仿宋_GB2312" w:hAnsi="仿宋_GB2312" w:eastAsia="仿宋_GB2312" w:cs="仿宋_GB2312"/>
          <w:color w:val="000000"/>
          <w:spacing w:val="0"/>
          <w:sz w:val="32"/>
          <w:szCs w:val="32"/>
          <w:shd w:val="clear" w:color="auto" w:fill="FFFFFF"/>
          <w:lang w:val="en-US" w:eastAsia="zh-CN"/>
        </w:rPr>
        <w:t>66</w:t>
      </w:r>
      <w:r>
        <w:rPr>
          <w:rStyle w:val="20"/>
          <w:rFonts w:hint="eastAsia" w:ascii="仿宋_GB2312" w:hAnsi="仿宋_GB2312" w:eastAsia="仿宋_GB2312" w:cs="仿宋_GB2312"/>
          <w:color w:val="000000"/>
          <w:spacing w:val="0"/>
          <w:sz w:val="32"/>
          <w:szCs w:val="32"/>
          <w:shd w:val="clear" w:color="auto" w:fill="FFFFFF"/>
        </w:rPr>
        <w:t>件</w:t>
      </w:r>
      <w:r>
        <w:rPr>
          <w:rFonts w:hint="eastAsia" w:ascii="仿宋_GB2312" w:hAnsi="仿宋_GB2312" w:eastAsia="仿宋_GB2312" w:cs="仿宋_GB2312"/>
          <w:b w:val="0"/>
          <w:bCs/>
          <w:i w:val="0"/>
          <w:iCs w:val="0"/>
          <w:caps w:val="0"/>
          <w:color w:val="000000"/>
          <w:spacing w:val="0"/>
          <w:sz w:val="32"/>
          <w:szCs w:val="32"/>
          <w:shd w:val="clear" w:color="auto" w:fill="auto"/>
          <w:lang w:val="en-US" w:eastAsia="zh-CN"/>
        </w:rPr>
        <w:t>，</w:t>
      </w:r>
      <w:r>
        <w:rPr>
          <w:rStyle w:val="20"/>
          <w:rFonts w:hint="eastAsia" w:ascii="仿宋_GB2312" w:hAnsi="仿宋_GB2312" w:eastAsia="仿宋_GB2312" w:cs="仿宋_GB2312"/>
          <w:color w:val="000000"/>
          <w:spacing w:val="0"/>
          <w:sz w:val="32"/>
          <w:szCs w:val="32"/>
          <w:shd w:val="clear" w:color="auto" w:fill="FFFFFF"/>
          <w:lang w:val="en-US" w:eastAsia="zh-CN"/>
        </w:rPr>
        <w:t>力致</w:t>
      </w:r>
      <w:r>
        <w:rPr>
          <w:rStyle w:val="20"/>
          <w:rFonts w:hint="eastAsia" w:ascii="仿宋_GB2312" w:hAnsi="仿宋_GB2312" w:eastAsia="仿宋_GB2312" w:cs="仿宋_GB2312"/>
          <w:color w:val="000000"/>
          <w:spacing w:val="0"/>
          <w:sz w:val="32"/>
          <w:szCs w:val="32"/>
          <w:shd w:val="clear" w:color="auto" w:fill="FFFFFF"/>
        </w:rPr>
        <w:t>修复情感、弥合亲情</w:t>
      </w:r>
      <w:r>
        <w:rPr>
          <w:rFonts w:hint="eastAsia" w:ascii="仿宋_GB2312" w:hAnsi="仿宋_GB2312" w:eastAsia="仿宋_GB2312" w:cs="仿宋_GB2312"/>
          <w:b w:val="0"/>
          <w:bCs/>
          <w:i w:val="0"/>
          <w:iCs w:val="0"/>
          <w:caps w:val="0"/>
          <w:color w:val="000000"/>
          <w:spacing w:val="0"/>
          <w:sz w:val="32"/>
          <w:szCs w:val="32"/>
          <w:shd w:val="clear" w:color="auto" w:fill="auto"/>
          <w:lang w:val="en-US" w:eastAsia="zh-CN"/>
        </w:rPr>
        <w:t>、保障弱势群体利益</w:t>
      </w:r>
      <w:r>
        <w:rPr>
          <w:rStyle w:val="20"/>
          <w:rFonts w:hint="eastAsia" w:ascii="仿宋_GB2312" w:hAnsi="仿宋_GB2312" w:eastAsia="仿宋_GB2312" w:cs="仿宋_GB2312"/>
          <w:color w:val="000000"/>
          <w:spacing w:val="0"/>
          <w:sz w:val="32"/>
          <w:szCs w:val="32"/>
          <w:shd w:val="clear" w:color="auto" w:fill="FFFFFF"/>
          <w:lang w:val="en-US" w:eastAsia="zh-CN"/>
        </w:rPr>
        <w:t>。维护社会稳定，保障民生，促进民族团结，依法审理侵权责任案件7件。</w:t>
      </w:r>
      <w:r>
        <w:rPr>
          <w:rFonts w:hint="eastAsia" w:ascii="楷体" w:hAnsi="楷体" w:eastAsia="楷体" w:cs="楷体"/>
          <w:b/>
          <w:bCs/>
          <w:kern w:val="0"/>
          <w:sz w:val="32"/>
          <w:szCs w:val="32"/>
          <w:lang w:val="en-US" w:eastAsia="zh-CN" w:bidi="ar"/>
        </w:rPr>
        <w:t>三是推进法治政府建设。</w:t>
      </w:r>
      <w:r>
        <w:rPr>
          <w:rFonts w:hint="eastAsia" w:ascii="仿宋_GB2312" w:hAnsi="仿宋_GB2312" w:eastAsia="仿宋_GB2312" w:cs="仿宋_GB2312"/>
          <w:sz w:val="32"/>
          <w:szCs w:val="32"/>
          <w:lang w:val="en-US" w:eastAsia="zh-CN"/>
        </w:rPr>
        <w:t>受理行政案件15件，审结14件，结案率</w:t>
      </w:r>
      <w:r>
        <w:rPr>
          <w:rFonts w:hint="eastAsia" w:ascii="仿宋_GB2312" w:hAnsi="仿宋_GB2312" w:cs="仿宋_GB2312"/>
          <w:sz w:val="32"/>
          <w:szCs w:val="32"/>
          <w:lang w:val="en-US" w:eastAsia="zh-CN"/>
        </w:rPr>
        <w:t>93.3%。</w:t>
      </w:r>
      <w:r>
        <w:rPr>
          <w:rFonts w:hint="eastAsia" w:ascii="仿宋_GB2312" w:hAnsi="仿宋_GB2312" w:eastAsia="仿宋_GB2312" w:cs="仿宋_GB2312"/>
          <w:color w:val="000000"/>
          <w:sz w:val="32"/>
          <w:szCs w:val="32"/>
          <w:highlight w:val="none"/>
          <w:lang w:val="en-US" w:eastAsia="zh-CN"/>
        </w:rPr>
        <w:t>行政审判质效呈现“两升两降”良好态势。</w:t>
      </w:r>
      <w:r>
        <w:rPr>
          <w:rFonts w:hint="eastAsia" w:ascii="仿宋_GB2312" w:hAnsi="仿宋_GB2312" w:eastAsia="仿宋_GB2312" w:cs="仿宋_GB2312"/>
          <w:b w:val="0"/>
          <w:bCs w:val="0"/>
          <w:color w:val="000000"/>
          <w:sz w:val="32"/>
          <w:szCs w:val="32"/>
          <w:highlight w:val="none"/>
          <w:lang w:val="en-US" w:eastAsia="zh-CN"/>
        </w:rPr>
        <w:t>制发《</w:t>
      </w:r>
      <w:r>
        <w:rPr>
          <w:rFonts w:hint="eastAsia" w:ascii="仿宋_GB2312" w:hAnsi="仿宋_GB2312" w:eastAsia="仿宋_GB2312" w:cs="仿宋_GB2312"/>
          <w:color w:val="000000"/>
          <w:spacing w:val="0"/>
          <w:sz w:val="32"/>
          <w:szCs w:val="32"/>
          <w:highlight w:val="none"/>
        </w:rPr>
        <w:t>关于进一步坚定信仰 务实创新 为全面建设社会主义现代化汶川提供强力司法保障的意见</w:t>
      </w:r>
      <w:r>
        <w:rPr>
          <w:rFonts w:hint="eastAsia" w:ascii="仿宋_GB2312" w:hAnsi="仿宋_GB2312" w:eastAsia="仿宋_GB2312" w:cs="仿宋_GB2312"/>
          <w:b w:val="0"/>
          <w:bCs w:val="0"/>
          <w:color w:val="000000"/>
          <w:sz w:val="32"/>
          <w:szCs w:val="32"/>
          <w:highlight w:val="none"/>
          <w:lang w:val="en-US" w:eastAsia="zh-CN"/>
        </w:rPr>
        <w:t>》，确保县委各项决策部署落实落地</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sz w:val="32"/>
          <w:szCs w:val="32"/>
          <w:lang w:val="en-US" w:eastAsia="zh-CN"/>
        </w:rPr>
        <w:t>扎实推进行政机关负责人出庭应诉工作，回应群众司法新期待。</w:t>
      </w:r>
      <w:r>
        <w:rPr>
          <w:rFonts w:hint="eastAsia" w:ascii="仿宋_GB2312" w:hAnsi="仿宋_GB2312" w:eastAsia="仿宋_GB2312" w:cs="仿宋_GB2312"/>
          <w:color w:val="000000"/>
          <w:sz w:val="32"/>
          <w:szCs w:val="32"/>
          <w:lang w:val="en-US" w:eastAsia="zh-CN"/>
        </w:rPr>
        <w:t>落实一案一函告制度，建立“法院函告-司法局督促-行政机关出庭应诉”联络机制，</w:t>
      </w:r>
      <w:r>
        <w:rPr>
          <w:rFonts w:hint="eastAsia" w:ascii="仿宋_GB2312" w:hAnsi="仿宋_GB2312" w:eastAsia="仿宋_GB2312" w:cs="仿宋_GB2312"/>
          <w:color w:val="000000"/>
          <w:sz w:val="32"/>
          <w:szCs w:val="32"/>
          <w:highlight w:val="none"/>
          <w:lang w:val="en-US" w:eastAsia="zh-CN"/>
        </w:rPr>
        <w:t>确保行政机关负责人每案必到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i w:val="0"/>
          <w:caps w:val="0"/>
          <w:color w:val="222222"/>
          <w:spacing w:val="0"/>
          <w:sz w:val="32"/>
          <w:szCs w:val="32"/>
          <w:shd w:val="clear" w:color="auto" w:fill="FFFFFF"/>
          <w:lang w:eastAsia="zh-CN"/>
        </w:rPr>
        <w:t>在成都因明凯撒管材公司诉县财政局罚款案中，</w:t>
      </w:r>
      <w:r>
        <w:rPr>
          <w:rFonts w:hint="eastAsia" w:ascii="仿宋_GB2312" w:hAnsi="仿宋_GB2312" w:eastAsia="仿宋_GB2312" w:cs="仿宋_GB2312"/>
          <w:i w:val="0"/>
          <w:caps w:val="0"/>
          <w:color w:val="222222"/>
          <w:spacing w:val="0"/>
          <w:sz w:val="32"/>
          <w:szCs w:val="32"/>
          <w:shd w:val="clear" w:color="auto" w:fill="FFFFFF"/>
          <w:lang w:val="en-US" w:eastAsia="zh-CN"/>
        </w:rPr>
        <w:t>分管副县长出庭应诉</w:t>
      </w:r>
      <w:r>
        <w:rPr>
          <w:rFonts w:hint="eastAsia" w:ascii="仿宋_GB2312" w:hAnsi="仿宋_GB2312" w:eastAsia="仿宋_GB2312" w:cs="仿宋_GB2312"/>
          <w:i w:val="0"/>
          <w:caps w:val="0"/>
          <w:color w:val="222222"/>
          <w:spacing w:val="0"/>
          <w:sz w:val="32"/>
          <w:szCs w:val="32"/>
          <w:shd w:val="clear" w:color="auto" w:fill="FFFFFF"/>
          <w:lang w:eastAsia="zh-CN"/>
        </w:rPr>
        <w:t>。</w:t>
      </w:r>
      <w:r>
        <w:rPr>
          <w:rFonts w:hint="eastAsia" w:ascii="仿宋_GB2312" w:hAnsi="仿宋_GB2312" w:eastAsia="仿宋_GB2312" w:cs="仿宋_GB2312"/>
          <w:b w:val="0"/>
          <w:bCs w:val="0"/>
          <w:color w:val="000000"/>
          <w:sz w:val="32"/>
          <w:szCs w:val="32"/>
          <w:lang w:val="en-US" w:eastAsia="zh-CN"/>
        </w:rPr>
        <w:t>纵深推动</w:t>
      </w:r>
      <w:r>
        <w:rPr>
          <w:rFonts w:hint="eastAsia" w:ascii="仿宋_GB2312" w:hAnsi="仿宋_GB2312" w:eastAsia="仿宋_GB2312" w:cs="仿宋_GB2312"/>
          <w:color w:val="000000"/>
          <w:sz w:val="32"/>
          <w:szCs w:val="32"/>
          <w:lang w:val="en-US" w:eastAsia="zh-CN"/>
        </w:rPr>
        <w:t>府院联席会议常态化，与县人民政府联合印发</w:t>
      </w:r>
      <w:r>
        <w:rPr>
          <w:rFonts w:hint="eastAsia" w:ascii="仿宋_GB2312" w:hAnsi="仿宋_GB2312" w:eastAsia="仿宋_GB2312" w:cs="仿宋_GB2312"/>
          <w:b w:val="0"/>
          <w:bCs w:val="0"/>
          <w:color w:val="000000"/>
          <w:sz w:val="32"/>
          <w:szCs w:val="32"/>
          <w:lang w:val="en-US" w:eastAsia="zh-CN"/>
        </w:rPr>
        <w:t>《关于建立府院联动机制实施意见》，</w:t>
      </w:r>
      <w:r>
        <w:rPr>
          <w:rFonts w:hint="eastAsia" w:ascii="仿宋_GB2312" w:hAnsi="仿宋_GB2312" w:eastAsia="仿宋_GB2312" w:cs="仿宋_GB2312"/>
          <w:color w:val="000000"/>
          <w:sz w:val="32"/>
          <w:szCs w:val="32"/>
          <w:lang w:val="en-US" w:eastAsia="zh-CN"/>
        </w:rPr>
        <w:t>坚持每年至少召开1次府院联席会；加大发布行政白皮书、典型案例、司法建议指导作用，</w:t>
      </w:r>
      <w:r>
        <w:rPr>
          <w:rFonts w:hint="eastAsia" w:ascii="仿宋_GB2312" w:hAnsi="仿宋_GB2312" w:eastAsia="仿宋_GB2312" w:cs="仿宋_GB2312"/>
          <w:color w:val="000000"/>
          <w:sz w:val="32"/>
          <w:szCs w:val="32"/>
          <w:lang w:val="en-US" w:eastAsia="zh-Hans"/>
        </w:rPr>
        <w:t>推动行政机关规范公权力行使</w:t>
      </w:r>
      <w:r>
        <w:rPr>
          <w:rFonts w:hint="eastAsia" w:ascii="仿宋_GB2312" w:hAnsi="仿宋_GB2312" w:eastAsia="仿宋_GB2312" w:cs="仿宋_GB2312"/>
          <w:color w:val="000000"/>
          <w:sz w:val="32"/>
          <w:szCs w:val="32"/>
          <w:lang w:val="en-US" w:eastAsia="zh-CN"/>
        </w:rPr>
        <w:t>。</w:t>
      </w:r>
      <w:r>
        <w:rPr>
          <w:rFonts w:hint="eastAsia" w:ascii="楷体" w:hAnsi="楷体" w:eastAsia="楷体" w:cs="楷体"/>
          <w:b/>
          <w:bCs/>
          <w:sz w:val="32"/>
          <w:szCs w:val="32"/>
          <w:lang w:val="en-US" w:eastAsia="zh-CN"/>
        </w:rPr>
        <w:t>四是增强当事人胜诉获得感。</w:t>
      </w:r>
      <w:r>
        <w:rPr>
          <w:rFonts w:hint="eastAsia" w:ascii="仿宋_GB2312" w:hAnsi="仿宋_GB2312" w:eastAsia="仿宋_GB2312" w:cs="仿宋_GB2312"/>
          <w:color w:val="000000"/>
          <w:sz w:val="32"/>
          <w:szCs w:val="32"/>
          <w:highlight w:val="none"/>
          <w:lang w:val="en-US" w:eastAsia="zh-CN"/>
        </w:rPr>
        <w:t>受理执行案件317件，执结282件，执结率88.95%。</w:t>
      </w:r>
      <w:r>
        <w:rPr>
          <w:rFonts w:hint="eastAsia" w:ascii="仿宋_GB2312" w:hAnsi="仿宋_GB2312" w:eastAsia="仿宋_GB2312" w:cs="仿宋_GB2312"/>
          <w:sz w:val="32"/>
          <w:szCs w:val="32"/>
          <w:lang w:val="en-US" w:eastAsia="zh-CN"/>
        </w:rPr>
        <w:t>申请执行标的额72646万元，执行到位2272.5万元，首执案件到位率3.71%。受理执恢案件71件，已结71件，恢复执行案件到位率25.62%。受理保全案件80件，已结80件。执行指挥中心受托办理事项575件，办结575件，平均用时1.43天。</w:t>
      </w:r>
      <w:r>
        <w:rPr>
          <w:rFonts w:hint="eastAsia" w:ascii="仿宋_GB2312" w:hAnsi="仿宋_GB2312" w:eastAsia="仿宋_GB2312" w:cs="仿宋_GB2312"/>
          <w:i w:val="0"/>
          <w:iCs w:val="0"/>
          <w:caps w:val="0"/>
          <w:color w:val="000000"/>
          <w:spacing w:val="0"/>
          <w:sz w:val="32"/>
          <w:szCs w:val="32"/>
          <w:shd w:val="clear" w:color="auto" w:fill="FFFFFF"/>
        </w:rPr>
        <w:t>充分运用限制高消费、纳入失信被执行人名单、拘传、罚款、拘留、追究拒执罪刑事责任等强制措施，加大对拒不申报、虚假申报财产等规避执行、抗拒执行、阻碍执行、暴力抗法行为的惩治力度。</w:t>
      </w:r>
      <w:r>
        <w:rPr>
          <w:rFonts w:hint="eastAsia" w:ascii="仿宋_GB2312" w:hAnsi="仿宋_GB2312" w:eastAsia="仿宋_GB2312" w:cs="仿宋_GB2312"/>
          <w:sz w:val="32"/>
          <w:szCs w:val="32"/>
          <w:lang w:val="en-US" w:eastAsia="zh-CN"/>
        </w:rPr>
        <w:t>今年，采取拘留措施4件4人，罚款2人，限制高消费126人，列为失信人员21人，移送公安打击拒执罪2件2人。</w:t>
      </w:r>
    </w:p>
    <w:p w14:paraId="3B4D4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pacing w:val="0"/>
          <w:kern w:val="2"/>
          <w:sz w:val="32"/>
          <w:szCs w:val="32"/>
          <w:lang w:val="en-US" w:eastAsia="zh-CN" w:bidi="ar-SA"/>
        </w:rPr>
      </w:pPr>
      <w:r>
        <w:rPr>
          <w:rFonts w:hint="eastAsia" w:ascii="楷体" w:hAnsi="楷体" w:eastAsia="楷体" w:cs="楷体"/>
          <w:b/>
          <w:bCs/>
          <w:color w:val="000000"/>
          <w:spacing w:val="0"/>
          <w:kern w:val="2"/>
          <w:sz w:val="32"/>
          <w:szCs w:val="32"/>
          <w:lang w:val="en-US" w:eastAsia="zh-CN" w:bidi="ar-SA"/>
        </w:rPr>
        <w:t>2.践行为民宗旨，不断提升司法服务水平</w:t>
      </w:r>
    </w:p>
    <w:p w14:paraId="6FB170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000000"/>
          <w:kern w:val="2"/>
          <w:sz w:val="32"/>
          <w:szCs w:val="32"/>
          <w:highlight w:val="none"/>
          <w:lang w:val="en-US" w:eastAsia="zh-CN" w:bidi="ar-SA"/>
        </w:rPr>
        <w:t>一是加快完善诉讼服务体系建设。</w:t>
      </w:r>
      <w:r>
        <w:rPr>
          <w:rFonts w:hint="eastAsia" w:ascii="仿宋_GB2312" w:hAnsi="仿宋_GB2312" w:eastAsia="仿宋_GB2312" w:cs="仿宋_GB2312"/>
          <w:color w:val="000000"/>
          <w:kern w:val="2"/>
          <w:sz w:val="32"/>
          <w:szCs w:val="32"/>
          <w:highlight w:val="none"/>
          <w:lang w:val="en-US" w:eastAsia="zh-CN" w:bidi="ar-SA"/>
        </w:rPr>
        <w:t>依托一站式诉讼服务中心，加强诉讼服务集成建设，推广跨域立、当场立、自助立、网上立等多途径立案服务，在诉讼服务中心建立调解、速裁、快审一站式解纷机制，为实现公平正义提速。</w:t>
      </w:r>
      <w:r>
        <w:rPr>
          <w:rFonts w:hint="eastAsia" w:ascii="仿宋_GB2312" w:hAnsi="仿宋_GB2312" w:eastAsia="仿宋_GB2312" w:cs="仿宋_GB2312"/>
          <w:color w:val="000000"/>
          <w:sz w:val="32"/>
          <w:szCs w:val="32"/>
          <w:lang w:val="en-US" w:eastAsia="zh-CN"/>
        </w:rPr>
        <w:t>大力</w:t>
      </w:r>
      <w:r>
        <w:rPr>
          <w:rFonts w:hint="eastAsia" w:ascii="仿宋_GB2312" w:hAnsi="仿宋_GB2312" w:eastAsia="仿宋_GB2312" w:cs="仿宋_GB2312"/>
          <w:b w:val="0"/>
          <w:bCs w:val="0"/>
          <w:color w:val="000000"/>
          <w:sz w:val="32"/>
          <w:szCs w:val="32"/>
          <w:lang w:val="en-US" w:eastAsia="zh-CN"/>
        </w:rPr>
        <w:t>推行在线诉讼服务</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sz w:val="32"/>
          <w:szCs w:val="32"/>
          <w:highlight w:val="none"/>
          <w:lang w:val="en-US" w:eastAsia="zh-CN"/>
        </w:rPr>
        <w:t>率先启用集约送达“电子送达平台”，法律文书、证据材料等平台送达、交换</w:t>
      </w:r>
      <w:r>
        <w:rPr>
          <w:rFonts w:hint="eastAsia" w:ascii="仿宋_GB2312" w:hAnsi="仿宋_GB2312" w:eastAsia="仿宋_GB2312" w:cs="仿宋_GB2312"/>
          <w:color w:val="000000"/>
          <w:sz w:val="32"/>
          <w:szCs w:val="32"/>
          <w:lang w:val="en-US" w:eastAsia="zh-CN"/>
        </w:rPr>
        <w:t>，实现诉前“零距离”。自2022年正式启动行政诉讼文书电子送达以来，通过电子平台送达各类诉讼文书</w:t>
      </w:r>
      <w:r>
        <w:rPr>
          <w:rFonts w:hint="eastAsia" w:ascii="仿宋_GB2312" w:hAnsi="仿宋_GB2312" w:eastAsia="仿宋_GB2312" w:cs="仿宋_GB2312"/>
          <w:color w:val="000000"/>
          <w:sz w:val="32"/>
          <w:szCs w:val="32"/>
          <w:highlight w:val="none"/>
          <w:lang w:val="en-US" w:eastAsia="zh-CN"/>
        </w:rPr>
        <w:t>120件</w:t>
      </w:r>
      <w:r>
        <w:rPr>
          <w:rFonts w:hint="eastAsia" w:ascii="仿宋_GB2312" w:hAnsi="仿宋_GB2312" w:eastAsia="仿宋_GB2312" w:cs="仿宋_GB2312"/>
          <w:color w:val="000000"/>
          <w:sz w:val="32"/>
          <w:szCs w:val="32"/>
          <w:lang w:val="en-US" w:eastAsia="zh-CN"/>
        </w:rPr>
        <w:t>次，平均每案节约送达时间7个工作日，实现送达工作的流程化、网络化、电子化。</w:t>
      </w:r>
      <w:r>
        <w:rPr>
          <w:rFonts w:hint="eastAsia" w:ascii="楷体" w:hAnsi="楷体" w:eastAsia="楷体" w:cs="楷体"/>
          <w:b/>
          <w:bCs/>
          <w:color w:val="000000"/>
          <w:kern w:val="2"/>
          <w:sz w:val="32"/>
          <w:szCs w:val="32"/>
          <w:highlight w:val="none"/>
          <w:lang w:val="en-US" w:eastAsia="zh-CN" w:bidi="ar-SA"/>
        </w:rPr>
        <w:t>二是构建便民高效纠纷化解机制。</w:t>
      </w:r>
      <w:r>
        <w:rPr>
          <w:rFonts w:hint="eastAsia" w:ascii="仿宋_GB2312" w:hAnsi="仿宋_GB2312" w:eastAsia="仿宋_GB2312" w:cs="仿宋_GB2312"/>
          <w:color w:val="000000"/>
          <w:sz w:val="32"/>
          <w:szCs w:val="32"/>
          <w:lang w:val="en-US" w:eastAsia="zh-CN"/>
        </w:rPr>
        <w:t>前移司法服务阵地，深挖法治护航员潜能、深化石榴籽调解室职能、深度应用无忧法治苑，以“一员一室一中心”推进复议、自纠、调解、诉讼各项程序开展有力、衔接有序，以多元化解新格局推动源头预防、前端化解。</w:t>
      </w:r>
      <w:r>
        <w:rPr>
          <w:rFonts w:hint="eastAsia" w:ascii="仿宋_GB2312" w:hAnsi="仿宋_GB2312" w:eastAsia="仿宋_GB2312" w:cs="仿宋_GB2312"/>
          <w:color w:val="000000"/>
          <w:kern w:val="2"/>
          <w:sz w:val="32"/>
          <w:szCs w:val="32"/>
          <w:highlight w:val="none"/>
          <w:lang w:val="en-US" w:eastAsia="zh-CN" w:bidi="ar-SA"/>
        </w:rPr>
        <w:t>坚持把非诉讼纠纷解决机制挺在前面，深入推进“诉源治理”。</w:t>
      </w:r>
      <w:r>
        <w:rPr>
          <w:rFonts w:hint="eastAsia" w:ascii="楷体" w:hAnsi="楷体" w:eastAsia="楷体" w:cs="楷体"/>
          <w:b/>
          <w:bCs/>
          <w:color w:val="000000"/>
          <w:kern w:val="2"/>
          <w:sz w:val="32"/>
          <w:szCs w:val="32"/>
          <w:highlight w:val="none"/>
          <w:lang w:val="en-US" w:eastAsia="zh-CN" w:bidi="ar-SA"/>
        </w:rPr>
        <w:t>三是</w:t>
      </w:r>
      <w:r>
        <w:rPr>
          <w:rFonts w:hint="eastAsia" w:ascii="楷体" w:hAnsi="楷体" w:eastAsia="楷体" w:cs="楷体"/>
          <w:b/>
          <w:bCs/>
          <w:color w:val="000000"/>
          <w:kern w:val="2"/>
          <w:sz w:val="32"/>
          <w:szCs w:val="32"/>
          <w:highlight w:val="none"/>
          <w:lang w:val="en-US" w:eastAsia="zh-Hans" w:bidi="ar-SA"/>
        </w:rPr>
        <w:t>加速“</w:t>
      </w:r>
      <w:r>
        <w:rPr>
          <w:rFonts w:hint="eastAsia" w:ascii="楷体" w:hAnsi="楷体" w:eastAsia="楷体" w:cs="楷体"/>
          <w:b/>
          <w:bCs/>
          <w:color w:val="000000"/>
          <w:kern w:val="2"/>
          <w:sz w:val="32"/>
          <w:szCs w:val="32"/>
          <w:highlight w:val="none"/>
          <w:lang w:val="en-US" w:eastAsia="zh-CN" w:bidi="ar-SA"/>
        </w:rPr>
        <w:t>智慧法庭</w:t>
      </w:r>
      <w:r>
        <w:rPr>
          <w:rFonts w:hint="eastAsia" w:ascii="楷体" w:hAnsi="楷体" w:eastAsia="楷体" w:cs="楷体"/>
          <w:b/>
          <w:bCs/>
          <w:color w:val="000000"/>
          <w:kern w:val="2"/>
          <w:sz w:val="32"/>
          <w:szCs w:val="32"/>
          <w:highlight w:val="none"/>
          <w:lang w:val="en-US" w:eastAsia="zh-Hans" w:bidi="ar-SA"/>
        </w:rPr>
        <w:t>”</w:t>
      </w:r>
      <w:r>
        <w:rPr>
          <w:rFonts w:hint="eastAsia" w:ascii="楷体" w:hAnsi="楷体" w:eastAsia="楷体" w:cs="楷体"/>
          <w:b/>
          <w:bCs/>
          <w:color w:val="000000"/>
          <w:kern w:val="2"/>
          <w:sz w:val="32"/>
          <w:szCs w:val="32"/>
          <w:highlight w:val="none"/>
          <w:lang w:val="en-US" w:eastAsia="zh-CN" w:bidi="ar-SA"/>
        </w:rPr>
        <w:t>审判模式探索应用。</w:t>
      </w:r>
      <w:r>
        <w:rPr>
          <w:rFonts w:hint="eastAsia" w:ascii="仿宋_GB2312" w:hAnsi="仿宋_GB2312" w:eastAsia="仿宋_GB2312" w:cs="仿宋_GB2312"/>
          <w:color w:val="000000"/>
          <w:sz w:val="32"/>
          <w:szCs w:val="32"/>
          <w:lang w:val="en-US" w:eastAsia="zh-CN"/>
        </w:rPr>
        <w:t>积极运用智慧法院科技赋能司法的建设成果，通过科技法庭、人民法院调解平台实现实现“线上+线下”审判模式，有力确保</w:t>
      </w:r>
      <w:r>
        <w:rPr>
          <w:rFonts w:hint="eastAsia" w:ascii="仿宋_GB2312" w:hAnsi="仿宋_GB2312" w:eastAsia="仿宋_GB2312" w:cs="仿宋_GB2312"/>
          <w:color w:val="000000"/>
          <w:sz w:val="32"/>
          <w:szCs w:val="32"/>
          <w:lang w:val="en-US" w:eastAsia="zh-Hans"/>
        </w:rPr>
        <w:t>高效便利办事、降低司法成本</w:t>
      </w:r>
      <w:r>
        <w:rPr>
          <w:rFonts w:hint="eastAsia" w:ascii="仿宋_GB2312" w:hAnsi="仿宋_GB2312" w:eastAsia="仿宋_GB2312" w:cs="仿宋_GB2312"/>
          <w:color w:val="000000"/>
          <w:sz w:val="32"/>
          <w:szCs w:val="32"/>
          <w:lang w:val="en-US" w:eastAsia="zh-CN"/>
        </w:rPr>
        <w:t>，切实解决人民群众急难愁盼问题。</w:t>
      </w:r>
      <w:r>
        <w:rPr>
          <w:rFonts w:hint="eastAsia" w:ascii="仿宋_GB2312" w:hAnsi="仿宋_GB2312" w:eastAsia="仿宋_GB2312" w:cs="仿宋_GB2312"/>
          <w:sz w:val="32"/>
          <w:szCs w:val="32"/>
          <w:highlight w:val="none"/>
        </w:rPr>
        <w:t>疫情防控期间，大力推广数字化、网络化、智能化“非接触式”诉讼服务</w:t>
      </w:r>
      <w:r>
        <w:rPr>
          <w:rFonts w:hint="eastAsia" w:ascii="仿宋_GB2312" w:hAnsi="仿宋_GB2312" w:eastAsia="仿宋_GB2312" w:cs="仿宋_GB2312"/>
          <w:b w:val="0"/>
          <w:bCs w:val="0"/>
          <w:sz w:val="32"/>
          <w:szCs w:val="32"/>
          <w:highlight w:val="none"/>
          <w:lang w:eastAsia="zh-CN"/>
        </w:rPr>
        <w:t>，倡导</w:t>
      </w:r>
      <w:r>
        <w:rPr>
          <w:rFonts w:hint="eastAsia" w:ascii="仿宋_GB2312" w:hAnsi="仿宋_GB2312" w:eastAsia="仿宋_GB2312" w:cs="仿宋_GB2312"/>
          <w:sz w:val="32"/>
          <w:szCs w:val="32"/>
          <w:highlight w:val="none"/>
        </w:rPr>
        <w:t>诉讼</w:t>
      </w:r>
      <w:r>
        <w:rPr>
          <w:rFonts w:hint="eastAsia" w:ascii="仿宋_GB2312" w:hAnsi="仿宋_GB2312" w:eastAsia="仿宋_GB2312" w:cs="仿宋_GB2312"/>
          <w:sz w:val="32"/>
          <w:szCs w:val="32"/>
          <w:highlight w:val="none"/>
          <w:lang w:eastAsia="zh-CN"/>
        </w:rPr>
        <w:t>过程</w:t>
      </w:r>
      <w:r>
        <w:rPr>
          <w:rFonts w:hint="eastAsia" w:ascii="仿宋_GB2312" w:hAnsi="仿宋_GB2312" w:eastAsia="仿宋_GB2312" w:cs="仿宋_GB2312"/>
          <w:sz w:val="32"/>
          <w:szCs w:val="32"/>
          <w:highlight w:val="none"/>
        </w:rPr>
        <w:t>中调解、立案、材料收转、联络法官、庭审过程、文书送达、案件执行、答疑信访等诉讼活动八个阶段“不接触”。</w:t>
      </w:r>
      <w:r>
        <w:rPr>
          <w:rFonts w:hint="eastAsia" w:ascii="楷体" w:hAnsi="楷体" w:eastAsia="楷体" w:cs="楷体"/>
          <w:b/>
          <w:bCs/>
          <w:color w:val="000000"/>
          <w:kern w:val="2"/>
          <w:sz w:val="32"/>
          <w:szCs w:val="32"/>
          <w:highlight w:val="none"/>
          <w:lang w:val="en-US" w:eastAsia="zh-CN" w:bidi="ar-SA"/>
        </w:rPr>
        <w:t>四是法治护航阻击疫情防控。</w:t>
      </w:r>
      <w:r>
        <w:rPr>
          <w:rFonts w:hint="eastAsia" w:ascii="仿宋_GB2312" w:hAnsi="仿宋_GB2312" w:eastAsia="仿宋_GB2312" w:cs="仿宋_GB2312"/>
          <w:kern w:val="2"/>
          <w:sz w:val="32"/>
          <w:szCs w:val="32"/>
          <w:lang w:val="en-US" w:eastAsia="zh-CN" w:bidi="ar-SA"/>
        </w:rPr>
        <w:t>根据疫情防控要求，常态化召开疫情防控专题会议，制定《汶川县人民法院新冠疫情预防和突发事件预案》。组织30余名党员干警成立5组1队，即工作领导小组、疫情防控组、执法办案组、后勤保障组、信息宣传组、党员防疫突击队。协助卡点对来访人员进行排查。通过劝导和广播的方式宣传疫情防控工作达20次，入户进行宣传，对疫情可能性进行排查达400余次，协助开展全民核酸30余次，对国道沿线过境货车进项管控已达60个日夜。</w:t>
      </w:r>
      <w:r>
        <w:rPr>
          <w:rFonts w:hint="eastAsia" w:ascii="楷体" w:hAnsi="楷体" w:eastAsia="楷体" w:cs="楷体"/>
          <w:b/>
          <w:bCs/>
          <w:color w:val="000000"/>
          <w:kern w:val="2"/>
          <w:sz w:val="32"/>
          <w:szCs w:val="32"/>
          <w:highlight w:val="none"/>
          <w:lang w:val="en-US" w:eastAsia="zh-CN" w:bidi="ar-SA"/>
        </w:rPr>
        <w:t>五是助力脱贫攻坚到乡村振兴。</w:t>
      </w:r>
      <w:r>
        <w:rPr>
          <w:rFonts w:hint="eastAsia" w:ascii="仿宋_GB2312" w:hAnsi="仿宋_GB2312" w:eastAsia="仿宋_GB2312" w:cs="仿宋_GB2312"/>
          <w:color w:val="auto"/>
          <w:kern w:val="2"/>
          <w:sz w:val="32"/>
          <w:szCs w:val="32"/>
          <w:lang w:val="en-US" w:eastAsia="zh-CN" w:bidi="ar-SA"/>
        </w:rPr>
        <w:t>为进一步巩固拓展脱贫攻坚成果，确保平稳有序实现乡村振兴，我院紧紧围绕“精准扶贫、精准脱贫”要求，第一书记、驻村工作队员、全院干警“一对一”结对帮扶群众，与联系村各帮扶力量、当地群众形成合力。结合工作要求和法治宣传，开展入户走访工作。投入援助资金37000余元，用于便民选果棚地面硬化、保坎修复和农产品助销。</w:t>
      </w:r>
    </w:p>
    <w:p w14:paraId="70C06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pacing w:val="0"/>
          <w:kern w:val="2"/>
          <w:sz w:val="32"/>
          <w:szCs w:val="32"/>
          <w:lang w:val="en-US" w:eastAsia="zh-CN" w:bidi="ar-SA"/>
        </w:rPr>
      </w:pPr>
      <w:r>
        <w:rPr>
          <w:rFonts w:hint="eastAsia" w:ascii="楷体" w:hAnsi="楷体" w:eastAsia="楷体" w:cs="楷体"/>
          <w:b/>
          <w:bCs/>
          <w:color w:val="000000"/>
          <w:spacing w:val="0"/>
          <w:kern w:val="2"/>
          <w:sz w:val="32"/>
          <w:szCs w:val="32"/>
          <w:lang w:val="en-US" w:eastAsia="zh-CN" w:bidi="ar-SA"/>
        </w:rPr>
        <w:t>3.提升战斗力，倾力锻造新时代法院铁军</w:t>
      </w:r>
    </w:p>
    <w:p w14:paraId="1AEE5EB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2"/>
          <w:sz w:val="32"/>
          <w:szCs w:val="32"/>
          <w:highlight w:val="none"/>
          <w:lang w:val="zh-CN" w:eastAsia="zh-CN" w:bidi="ar-SA"/>
        </w:rPr>
      </w:pPr>
      <w:r>
        <w:rPr>
          <w:rFonts w:hint="eastAsia" w:ascii="楷体" w:hAnsi="楷体" w:eastAsia="楷体" w:cs="楷体"/>
          <w:b/>
          <w:bCs/>
          <w:color w:val="000000"/>
          <w:kern w:val="2"/>
          <w:sz w:val="32"/>
          <w:szCs w:val="32"/>
          <w:highlight w:val="none"/>
          <w:lang w:val="en-US" w:eastAsia="zh-CN" w:bidi="ar-SA"/>
        </w:rPr>
        <w:t>一是坚持政治建院。</w:t>
      </w:r>
      <w:r>
        <w:rPr>
          <w:rFonts w:hint="eastAsia" w:ascii="仿宋_GB2312" w:hAnsi="仿宋_GB2312" w:eastAsia="仿宋_GB2312" w:cs="仿宋_GB2312"/>
          <w:sz w:val="32"/>
          <w:szCs w:val="32"/>
        </w:rPr>
        <w:t>始终把政治建设摆在首位，牢牢坚持党对法</w:t>
      </w:r>
      <w:r>
        <w:rPr>
          <w:rFonts w:hint="eastAsia" w:ascii="仿宋_GB2312" w:hAnsi="仿宋_GB2312" w:eastAsia="仿宋_GB2312" w:cs="仿宋_GB2312"/>
          <w:color w:val="000000"/>
          <w:kern w:val="2"/>
          <w:sz w:val="32"/>
          <w:szCs w:val="32"/>
          <w:highlight w:val="none"/>
          <w:lang w:val="en-US" w:eastAsia="zh-CN" w:bidi="ar-SA"/>
        </w:rPr>
        <w:t>院工作的绝对领导，牢固树立“四个意识”，增强“四个自信”，切实做到“两个维护”，掀起持续学习宣传贯彻十九届五中、六中、七中全会和二十大会议精神热潮。坚持抓党建带队建促审判，落实党员政治生日制度，打造党建品牌，一支部一特色，努力创建让党放心、让人民满意的模范司法机关。</w:t>
      </w:r>
      <w:r>
        <w:rPr>
          <w:rFonts w:hint="eastAsia" w:ascii="楷体" w:hAnsi="楷体" w:eastAsia="楷体" w:cs="楷体"/>
          <w:b/>
          <w:bCs/>
          <w:color w:val="000000"/>
          <w:kern w:val="2"/>
          <w:sz w:val="32"/>
          <w:szCs w:val="32"/>
          <w:highlight w:val="none"/>
          <w:lang w:val="en-US" w:eastAsia="zh-CN" w:bidi="ar-SA"/>
        </w:rPr>
        <w:t>二是坚持从严治院。</w:t>
      </w:r>
      <w:r>
        <w:rPr>
          <w:rFonts w:hint="eastAsia" w:ascii="仿宋_GB2312" w:hAnsi="仿宋_GB2312" w:eastAsia="仿宋_GB2312" w:cs="仿宋_GB2312"/>
          <w:color w:val="000000"/>
          <w:kern w:val="2"/>
          <w:sz w:val="32"/>
          <w:szCs w:val="32"/>
          <w:highlight w:val="none"/>
          <w:lang w:val="en-US" w:eastAsia="zh-CN" w:bidi="ar-SA"/>
        </w:rPr>
        <w:t>扎实开展政治建设年、转作风提升精气神，政治巡查，严肃查纠司法作风和执行不力方面的问题，认真落实整改。严格贯彻“十个严禁”和防止干预司法“三个规定”铁规禁令，常态化做好廉政风险防控排查，筑起全员、全面、全程“防火墙”。</w:t>
      </w:r>
      <w:r>
        <w:rPr>
          <w:rFonts w:hint="eastAsia" w:ascii="楷体" w:hAnsi="楷体" w:eastAsia="楷体" w:cs="楷体"/>
          <w:b/>
          <w:bCs/>
          <w:color w:val="000000"/>
          <w:kern w:val="2"/>
          <w:sz w:val="32"/>
          <w:szCs w:val="32"/>
          <w:highlight w:val="none"/>
          <w:lang w:val="en-US" w:eastAsia="zh-CN" w:bidi="ar-SA"/>
        </w:rPr>
        <w:t>三是坚持文化塑院。</w:t>
      </w:r>
      <w:r>
        <w:rPr>
          <w:rFonts w:hint="eastAsia" w:ascii="仿宋_GB2312" w:hAnsi="仿宋_GB2312" w:eastAsia="仿宋_GB2312" w:cs="仿宋_GB2312"/>
          <w:color w:val="000000"/>
          <w:kern w:val="2"/>
          <w:sz w:val="32"/>
          <w:szCs w:val="32"/>
          <w:highlight w:val="none"/>
          <w:lang w:val="zh-CN" w:eastAsia="zh-CN" w:bidi="ar-SA"/>
        </w:rPr>
        <w:t>坚持以文化培育精神、以文化塑造形象，扎实稳步推进法院文化建设。开展丰富多彩的法院文化活动，进一步坚定公正司法、司法为民的信心和决心。成立党员志愿服务队积极投入到</w:t>
      </w:r>
      <w:r>
        <w:rPr>
          <w:rFonts w:hint="eastAsia" w:ascii="仿宋_GB2312" w:hAnsi="仿宋_GB2312" w:eastAsia="仿宋_GB2312" w:cs="仿宋_GB2312"/>
          <w:color w:val="000000"/>
          <w:kern w:val="2"/>
          <w:sz w:val="32"/>
          <w:szCs w:val="32"/>
          <w:highlight w:val="none"/>
          <w:lang w:val="en-US" w:eastAsia="zh-CN" w:bidi="ar-SA"/>
        </w:rPr>
        <w:t>疫情防控</w:t>
      </w:r>
      <w:r>
        <w:rPr>
          <w:rFonts w:hint="eastAsia" w:ascii="仿宋_GB2312" w:hAnsi="仿宋_GB2312" w:eastAsia="仿宋_GB2312" w:cs="仿宋_GB2312"/>
          <w:color w:val="000000"/>
          <w:kern w:val="2"/>
          <w:sz w:val="32"/>
          <w:szCs w:val="32"/>
          <w:highlight w:val="none"/>
          <w:lang w:val="zh-CN" w:eastAsia="zh-CN" w:bidi="ar-SA"/>
        </w:rPr>
        <w:t>工作中，成立文明志愿服务队开展</w:t>
      </w:r>
      <w:r>
        <w:rPr>
          <w:rFonts w:hint="eastAsia" w:ascii="仿宋_GB2312" w:hAnsi="仿宋_GB2312" w:eastAsia="仿宋_GB2312" w:cs="仿宋_GB2312"/>
          <w:color w:val="000000"/>
          <w:kern w:val="2"/>
          <w:sz w:val="32"/>
          <w:szCs w:val="32"/>
          <w:highlight w:val="none"/>
          <w:lang w:val="en-US" w:eastAsia="zh-CN" w:bidi="ar-SA"/>
        </w:rPr>
        <w:t>20余</w:t>
      </w:r>
      <w:r>
        <w:rPr>
          <w:rFonts w:hint="eastAsia" w:ascii="仿宋_GB2312" w:hAnsi="仿宋_GB2312" w:eastAsia="仿宋_GB2312" w:cs="仿宋_GB2312"/>
          <w:color w:val="000000"/>
          <w:kern w:val="2"/>
          <w:sz w:val="32"/>
          <w:szCs w:val="32"/>
          <w:highlight w:val="none"/>
          <w:lang w:val="zh-CN" w:eastAsia="zh-CN" w:bidi="ar-SA"/>
        </w:rPr>
        <w:t>次环境卫生大整治活动。</w:t>
      </w:r>
    </w:p>
    <w:p w14:paraId="57F70091">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000000"/>
          <w:lang w:val="zh-CN" w:eastAsia="zh-CN"/>
        </w:rPr>
      </w:pPr>
      <w:r>
        <w:rPr>
          <w:rFonts w:hint="eastAsia" w:ascii="黑体" w:hAnsi="黑体" w:eastAsia="黑体" w:cs="黑体"/>
          <w:b w:val="0"/>
          <w:bCs w:val="0"/>
          <w:color w:val="000000"/>
          <w:lang w:val="zh-CN" w:eastAsia="zh-CN"/>
        </w:rPr>
        <w:t>二、机构设置</w:t>
      </w:r>
    </w:p>
    <w:p w14:paraId="2AAD62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 w:hAnsi="仿宋" w:eastAsia="仿宋"/>
          <w:color w:val="000000"/>
          <w:kern w:val="0"/>
          <w:sz w:val="32"/>
          <w:szCs w:val="32"/>
        </w:rPr>
      </w:pPr>
      <w:r>
        <w:rPr>
          <w:rFonts w:hint="eastAsia" w:ascii="仿宋_GB2312" w:eastAsia="仿宋_GB2312"/>
          <w:sz w:val="32"/>
          <w:szCs w:val="32"/>
        </w:rPr>
        <w:t>汶川县人民法院属一级预算单位，无下属二级预算单位，根据三定方案，我院下</w:t>
      </w:r>
      <w:r>
        <w:rPr>
          <w:rFonts w:hint="eastAsia" w:ascii="仿宋_GB2312" w:eastAsia="仿宋_GB2312"/>
          <w:sz w:val="32"/>
          <w:szCs w:val="32"/>
          <w:lang w:eastAsia="zh-CN"/>
        </w:rPr>
        <w:t>设综合</w:t>
      </w:r>
      <w:r>
        <w:rPr>
          <w:rFonts w:hint="eastAsia" w:ascii="仿宋_GB2312" w:eastAsia="仿宋_GB2312"/>
          <w:sz w:val="32"/>
          <w:szCs w:val="32"/>
        </w:rPr>
        <w:t>办公室、政治处、立案庭、刑事审判庭、民事审判庭、行政庭、执行局、审管办、法警队，共</w:t>
      </w:r>
      <w:r>
        <w:rPr>
          <w:rFonts w:hint="eastAsia" w:ascii="仿宋_GB2312" w:eastAsia="仿宋_GB2312"/>
          <w:sz w:val="32"/>
          <w:szCs w:val="32"/>
          <w:lang w:val="en-US" w:eastAsia="zh-CN"/>
        </w:rPr>
        <w:t>9</w:t>
      </w:r>
      <w:r>
        <w:rPr>
          <w:rFonts w:hint="eastAsia" w:ascii="仿宋_GB2312" w:eastAsia="仿宋_GB2312"/>
          <w:sz w:val="32"/>
          <w:szCs w:val="32"/>
        </w:rPr>
        <w:t>个庭室和</w:t>
      </w:r>
      <w:r>
        <w:rPr>
          <w:rFonts w:hint="eastAsia" w:ascii="仿宋_GB2312" w:eastAsia="仿宋_GB2312"/>
          <w:sz w:val="32"/>
          <w:szCs w:val="32"/>
          <w:lang w:val="en-US" w:eastAsia="zh-CN"/>
        </w:rPr>
        <w:t>5</w:t>
      </w:r>
      <w:r>
        <w:rPr>
          <w:rFonts w:hint="eastAsia" w:ascii="仿宋_GB2312" w:eastAsia="仿宋_GB2312"/>
          <w:sz w:val="32"/>
          <w:szCs w:val="32"/>
        </w:rPr>
        <w:t>个基层法庭，院机关行政编制</w:t>
      </w:r>
      <w:r>
        <w:rPr>
          <w:rFonts w:hint="eastAsia" w:ascii="仿宋_GB2312" w:eastAsia="仿宋_GB2312"/>
          <w:sz w:val="32"/>
          <w:szCs w:val="32"/>
          <w:lang w:val="en-US" w:eastAsia="zh-CN"/>
        </w:rPr>
        <w:t>70</w:t>
      </w:r>
      <w:r>
        <w:rPr>
          <w:rFonts w:hint="eastAsia" w:ascii="仿宋_GB2312" w:eastAsia="仿宋_GB2312"/>
          <w:sz w:val="32"/>
          <w:szCs w:val="32"/>
        </w:rPr>
        <w:t>名。其中：院长</w:t>
      </w:r>
      <w:r>
        <w:rPr>
          <w:rFonts w:ascii="仿宋_GB2312" w:eastAsia="仿宋_GB2312"/>
          <w:sz w:val="32"/>
          <w:szCs w:val="32"/>
        </w:rPr>
        <w:t>1</w:t>
      </w:r>
      <w:r>
        <w:rPr>
          <w:rFonts w:hint="eastAsia" w:ascii="仿宋_GB2312" w:eastAsia="仿宋_GB2312"/>
          <w:sz w:val="32"/>
          <w:szCs w:val="32"/>
        </w:rPr>
        <w:t>名、副院长</w:t>
      </w:r>
      <w:r>
        <w:rPr>
          <w:rFonts w:hint="eastAsia" w:ascii="仿宋_GB2312" w:eastAsia="仿宋_GB2312"/>
          <w:sz w:val="32"/>
          <w:szCs w:val="32"/>
          <w:lang w:val="en-US" w:eastAsia="zh-CN"/>
        </w:rPr>
        <w:t>2</w:t>
      </w:r>
      <w:r>
        <w:rPr>
          <w:rFonts w:hint="eastAsia" w:ascii="仿宋_GB2312" w:eastAsia="仿宋_GB2312"/>
          <w:sz w:val="32"/>
          <w:szCs w:val="32"/>
        </w:rPr>
        <w:t>名；</w:t>
      </w:r>
      <w:r>
        <w:rPr>
          <w:rFonts w:hint="eastAsia" w:ascii="仿宋_GB2312" w:hAnsi="仿宋_GB2312" w:eastAsia="仿宋_GB2312"/>
          <w:sz w:val="32"/>
        </w:rPr>
        <w:t>党组负责人和纪检组长按县委规定配备；</w:t>
      </w:r>
      <w:r>
        <w:rPr>
          <w:rFonts w:hint="eastAsia" w:ascii="仿宋_GB2312" w:eastAsia="仿宋_GB2312"/>
          <w:sz w:val="32"/>
          <w:szCs w:val="32"/>
        </w:rPr>
        <w:t>机关工勤人员行政编制</w:t>
      </w:r>
      <w:r>
        <w:rPr>
          <w:rFonts w:ascii="仿宋_GB2312" w:eastAsia="仿宋_GB2312"/>
          <w:sz w:val="32"/>
          <w:szCs w:val="32"/>
        </w:rPr>
        <w:t>2</w:t>
      </w:r>
      <w:r>
        <w:rPr>
          <w:rFonts w:hint="eastAsia" w:ascii="仿宋_GB2312" w:eastAsia="仿宋_GB2312"/>
          <w:sz w:val="32"/>
          <w:szCs w:val="32"/>
        </w:rPr>
        <w:t>名。</w:t>
      </w:r>
      <w:r>
        <w:rPr>
          <w:rFonts w:ascii="仿宋" w:hAnsi="仿宋" w:eastAsia="仿宋"/>
          <w:color w:val="000000"/>
          <w:sz w:val="32"/>
          <w:szCs w:val="32"/>
        </w:rPr>
        <w:br w:type="page"/>
      </w:r>
    </w:p>
    <w:p w14:paraId="4675C3E2">
      <w:pPr>
        <w:pStyle w:val="3"/>
        <w:ind w:right="440"/>
        <w:jc w:val="center"/>
      </w:pPr>
      <w:bookmarkStart w:id="20" w:name="_Toc15377204"/>
      <w:bookmarkStart w:id="21" w:name="_Toc15396602"/>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18"/>
          <w:rFonts w:ascii="黑体" w:hAnsi="黑体" w:eastAsia="黑体" w:cs="黑体"/>
          <w:b w:val="0"/>
          <w:bCs w:val="0"/>
        </w:rPr>
        <w:t>202</w:t>
      </w:r>
      <w:r>
        <w:rPr>
          <w:rStyle w:val="18"/>
          <w:rFonts w:hint="eastAsia" w:ascii="黑体" w:hAnsi="黑体" w:eastAsia="黑体" w:cs="黑体"/>
          <w:b w:val="0"/>
          <w:bCs w:val="0"/>
          <w:lang w:val="en-US" w:eastAsia="zh-CN"/>
        </w:rPr>
        <w:t>2</w:t>
      </w:r>
      <w:r>
        <w:rPr>
          <w:rStyle w:val="18"/>
          <w:rFonts w:hint="eastAsia" w:ascii="黑体" w:hAnsi="黑体" w:eastAsia="黑体" w:cs="黑体"/>
          <w:b w:val="0"/>
          <w:bCs w:val="0"/>
        </w:rPr>
        <w:t>年度部门决算情况说明</w:t>
      </w:r>
      <w:bookmarkEnd w:id="20"/>
      <w:bookmarkEnd w:id="21"/>
    </w:p>
    <w:p w14:paraId="000B1D3E">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000000"/>
          <w:lang w:val="zh-CN" w:eastAsia="zh-CN"/>
        </w:rPr>
      </w:pPr>
      <w:bookmarkStart w:id="22" w:name="_Toc15377205"/>
      <w:bookmarkStart w:id="23" w:name="_Toc15396603"/>
      <w:r>
        <w:rPr>
          <w:rFonts w:hint="eastAsia" w:ascii="黑体" w:hAnsi="黑体" w:eastAsia="黑体" w:cs="黑体"/>
          <w:b w:val="0"/>
          <w:bCs w:val="0"/>
          <w:color w:val="000000"/>
          <w:lang w:val="zh-CN" w:eastAsia="zh-CN"/>
        </w:rPr>
        <w:t>一、收入支出决算总体情况说明</w:t>
      </w:r>
      <w:bookmarkEnd w:id="22"/>
      <w:bookmarkEnd w:id="23"/>
    </w:p>
    <w:p w14:paraId="4F7505D9">
      <w:pPr>
        <w:pStyle w:val="7"/>
        <w:keepNext w:val="0"/>
        <w:keepLines w:val="0"/>
        <w:pageBreakBefore w:val="0"/>
        <w:kinsoku/>
        <w:wordWrap/>
        <w:overflowPunct/>
        <w:topLinePunct w:val="0"/>
        <w:bidi w:val="0"/>
        <w:spacing w:beforeAutospacing="0" w:after="0" w:afterAutospacing="0" w:line="560" w:lineRule="exact"/>
        <w:ind w:left="0" w:leftChars="0" w:firstLine="3168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年度收入总计</w:t>
      </w:r>
      <w:r>
        <w:rPr>
          <w:rFonts w:hint="eastAsia" w:ascii="仿宋_GB2312" w:hAnsi="仿宋_GB2312" w:eastAsia="仿宋_GB2312" w:cs="仿宋_GB2312"/>
          <w:color w:val="000000"/>
          <w:sz w:val="32"/>
          <w:szCs w:val="32"/>
          <w:lang w:val="en-US" w:eastAsia="zh-CN"/>
        </w:rPr>
        <w:t>1936.57</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1936.57</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年相比，收入总计</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372.34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16.1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，支出总计</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622.80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24.3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。主要变动原因是人员</w:t>
      </w:r>
      <w:r>
        <w:rPr>
          <w:rFonts w:hint="eastAsia" w:ascii="仿宋_GB2312" w:hAnsi="仿宋_GB2312" w:eastAsia="仿宋_GB2312" w:cs="仿宋_GB2312"/>
          <w:color w:val="000000"/>
          <w:sz w:val="32"/>
          <w:szCs w:val="32"/>
          <w:lang w:eastAsia="zh-CN"/>
        </w:rPr>
        <w:t>调出导致工资减少和项目支出减少</w:t>
      </w:r>
      <w:r>
        <w:rPr>
          <w:rFonts w:hint="eastAsia" w:ascii="仿宋_GB2312" w:hAnsi="仿宋_GB2312" w:eastAsia="仿宋_GB2312" w:cs="仿宋_GB2312"/>
          <w:color w:val="000000"/>
          <w:sz w:val="32"/>
          <w:szCs w:val="32"/>
        </w:rPr>
        <w:t>。</w:t>
      </w:r>
    </w:p>
    <w:p w14:paraId="1B366FAD">
      <w:pPr>
        <w:jc w:val="center"/>
        <w:rPr>
          <w:rFonts w:eastAsia="宋体"/>
        </w:rPr>
      </w:pPr>
      <w:r>
        <w:drawing>
          <wp:inline distT="0" distB="0" distL="114300" distR="114300">
            <wp:extent cx="4505325" cy="2714625"/>
            <wp:effectExtent l="4445" t="4445" r="508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5E4024">
      <w:pPr>
        <w:keepNext w:val="0"/>
        <w:keepLines w:val="0"/>
        <w:pageBreakBefore w:val="0"/>
        <w:kinsoku/>
        <w:wordWrap/>
        <w:overflowPunct/>
        <w:topLinePunct w:val="0"/>
        <w:bidi w:val="0"/>
        <w:spacing w:beforeAutospacing="0" w:afterAutospacing="0" w:line="560" w:lineRule="exact"/>
        <w:ind w:left="0" w:leftChars="0" w:firstLine="640" w:firstLineChars="200"/>
        <w:jc w:val="cente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：收、支决算总计变动情况图</w:t>
      </w:r>
    </w:p>
    <w:p w14:paraId="57FFCBBF">
      <w:pPr>
        <w:pStyle w:val="2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1"/>
        <w:rPr>
          <w:rStyle w:val="19"/>
          <w:rFonts w:ascii="黑体" w:hAnsi="黑体" w:eastAsia="黑体" w:cs="Times New Roman"/>
          <w:b w:val="0"/>
          <w:bCs w:val="0"/>
        </w:rPr>
      </w:pPr>
      <w:bookmarkStart w:id="24" w:name="_Toc15396604"/>
      <w:bookmarkStart w:id="25" w:name="_Toc15377206"/>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收</w:t>
      </w:r>
      <w:r>
        <w:rPr>
          <w:rStyle w:val="19"/>
          <w:rFonts w:hint="eastAsia" w:ascii="黑体" w:hAnsi="黑体" w:eastAsia="黑体" w:cs="黑体"/>
          <w:b w:val="0"/>
          <w:bCs w:val="0"/>
        </w:rPr>
        <w:t>入决算情况说明</w:t>
      </w:r>
      <w:bookmarkEnd w:id="24"/>
      <w:bookmarkEnd w:id="25"/>
    </w:p>
    <w:p w14:paraId="79FF9FA1">
      <w:pPr>
        <w:keepNext w:val="0"/>
        <w:keepLines w:val="0"/>
        <w:pageBreakBefore w:val="0"/>
        <w:kinsoku/>
        <w:wordWrap/>
        <w:overflowPunct/>
        <w:topLinePunct w:val="0"/>
        <w:bidi w:val="0"/>
        <w:spacing w:beforeAutospacing="0" w:afterAutospacing="0" w:line="560" w:lineRule="exact"/>
        <w:ind w:left="0" w:leftChars="0" w:firstLine="640" w:firstLineChars="200"/>
        <w:outlineLvl w:val="1"/>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1936.57</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1360.03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70.2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；上级补助收入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576.54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29.8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14:paraId="1A721616">
      <w:pPr>
        <w:pStyle w:val="5"/>
        <w:rPr>
          <w:rFonts w:hint="eastAsia" w:ascii="仿宋_GB2312" w:hAnsi="仿宋_GB2312" w:eastAsia="仿宋_GB2312" w:cs="仿宋_GB2312"/>
          <w:color w:val="000000"/>
          <w:sz w:val="32"/>
          <w:szCs w:val="32"/>
        </w:rPr>
      </w:pPr>
    </w:p>
    <w:p w14:paraId="15DF673C">
      <w:pPr>
        <w:rPr>
          <w:rFonts w:hint="eastAsia" w:ascii="仿宋_GB2312" w:hAnsi="仿宋_GB2312" w:eastAsia="仿宋_GB2312" w:cs="仿宋_GB2312"/>
          <w:color w:val="000000"/>
          <w:sz w:val="32"/>
          <w:szCs w:val="32"/>
        </w:rPr>
      </w:pPr>
    </w:p>
    <w:p w14:paraId="05EA48A3">
      <w:pPr>
        <w:pStyle w:val="5"/>
        <w:jc w:val="center"/>
        <w:rPr>
          <w:rFonts w:hint="eastAsia" w:ascii="仿宋_GB2312" w:hAnsi="仿宋_GB2312" w:eastAsia="仿宋_GB2312" w:cs="仿宋_GB2312"/>
          <w:color w:val="000000"/>
          <w:sz w:val="32"/>
          <w:szCs w:val="32"/>
        </w:rPr>
      </w:pPr>
      <w:r>
        <w:drawing>
          <wp:inline distT="0" distB="0" distL="114300" distR="114300">
            <wp:extent cx="4201160" cy="2428875"/>
            <wp:effectExtent l="4445" t="5080" r="23495" b="444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1441EF">
      <w:pPr>
        <w:pStyle w:val="11"/>
        <w:keepNext w:val="0"/>
        <w:keepLines w:val="0"/>
        <w:pageBreakBefore w:val="0"/>
        <w:kinsoku/>
        <w:wordWrap/>
        <w:overflowPunct/>
        <w:topLinePunct w:val="0"/>
        <w:bidi w:val="0"/>
        <w:spacing w:beforeAutospacing="0" w:afterAutospacing="0" w:line="560" w:lineRule="exact"/>
        <w:ind w:left="0" w:leftChars="0" w:firstLine="0" w:firstLineChars="0"/>
        <w:jc w:val="center"/>
        <w:rPr>
          <w:rFonts w:ascii="仿宋_GB2312" w:eastAsia="仿宋_GB2312"/>
          <w:color w:val="FF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2</w:t>
      </w:r>
      <w:r>
        <w:rPr>
          <w:rFonts w:hint="eastAsia" w:ascii="仿宋" w:hAnsi="仿宋" w:eastAsia="仿宋" w:cs="仿宋"/>
          <w:color w:val="000000"/>
          <w:sz w:val="32"/>
          <w:szCs w:val="32"/>
        </w:rPr>
        <w:t>：收入决算结构图</w:t>
      </w:r>
    </w:p>
    <w:p w14:paraId="6C666EE5">
      <w:pPr>
        <w:pStyle w:val="2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1"/>
        <w:rPr>
          <w:rStyle w:val="19"/>
          <w:rFonts w:ascii="黑体" w:hAnsi="黑体" w:eastAsia="黑体" w:cs="Times New Roman"/>
          <w:b w:val="0"/>
          <w:bCs w:val="0"/>
        </w:rPr>
      </w:pPr>
      <w:bookmarkStart w:id="26" w:name="_Toc15396605"/>
      <w:bookmarkStart w:id="27" w:name="_Toc15377207"/>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19"/>
          <w:rFonts w:hint="eastAsia" w:ascii="黑体" w:hAnsi="黑体" w:eastAsia="黑体" w:cs="黑体"/>
          <w:b w:val="0"/>
          <w:bCs w:val="0"/>
        </w:rPr>
        <w:t>出决算情况说明</w:t>
      </w:r>
      <w:bookmarkEnd w:id="26"/>
      <w:bookmarkEnd w:id="27"/>
    </w:p>
    <w:p w14:paraId="21D3A135">
      <w:pPr>
        <w:keepNext w:val="0"/>
        <w:keepLines w:val="0"/>
        <w:pageBreakBefore w:val="0"/>
        <w:kinsoku/>
        <w:wordWrap/>
        <w:overflowPunct/>
        <w:topLinePunct w:val="0"/>
        <w:bidi w:val="0"/>
        <w:spacing w:beforeAutospacing="0" w:afterAutospacing="0" w:line="560" w:lineRule="exact"/>
        <w:ind w:left="0" w:leftChars="0" w:firstLine="640" w:firstLineChars="200"/>
        <w:outlineLvl w:val="1"/>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1936.57</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lang w:val="en-US" w:eastAsia="zh-CN"/>
        </w:rPr>
        <w:t>37.18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94.9</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99.39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；上缴上级支出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56094971">
      <w:pPr>
        <w:pStyle w:val="5"/>
        <w:jc w:val="center"/>
        <w:rPr>
          <w:rFonts w:hint="eastAsia" w:ascii="仿宋_GB2312" w:hAnsi="仿宋_GB2312" w:eastAsia="仿宋_GB2312" w:cs="仿宋_GB2312"/>
          <w:color w:val="000000"/>
          <w:sz w:val="32"/>
          <w:szCs w:val="32"/>
        </w:rPr>
      </w:pPr>
      <w: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BD861C">
      <w:pPr>
        <w:pStyle w:val="7"/>
        <w:keepNext w:val="0"/>
        <w:keepLines w:val="0"/>
        <w:pageBreakBefore w:val="0"/>
        <w:kinsoku/>
        <w:wordWrap/>
        <w:overflowPunct/>
        <w:topLinePunct w:val="0"/>
        <w:bidi w:val="0"/>
        <w:spacing w:beforeAutospacing="0" w:after="0" w:afterAutospacing="0" w:line="560" w:lineRule="exact"/>
        <w:ind w:left="0" w:leftChars="0" w:firstLine="0" w:firstLineChars="0"/>
        <w:jc w:val="center"/>
        <w:rPr>
          <w:rFonts w:ascii="仿宋_GB2312" w:eastAsia="仿宋_GB2312"/>
          <w:color w:val="FF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p>
    <w:p w14:paraId="2D79D2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Style w:val="19"/>
          <w:rFonts w:ascii="黑体" w:hAnsi="黑体" w:eastAsia="黑体" w:cs="Times New Roman"/>
          <w:b w:val="0"/>
          <w:bCs w:val="0"/>
        </w:rPr>
      </w:pPr>
      <w:bookmarkStart w:id="28" w:name="_Toc15396606"/>
      <w:bookmarkStart w:id="29" w:name="_Toc15377208"/>
      <w:r>
        <w:rPr>
          <w:rFonts w:hint="eastAsia" w:ascii="黑体" w:hAnsi="黑体" w:eastAsia="黑体" w:cs="黑体"/>
          <w:color w:val="000000"/>
          <w:sz w:val="32"/>
          <w:szCs w:val="32"/>
        </w:rPr>
        <w:t>四、财</w:t>
      </w:r>
      <w:r>
        <w:rPr>
          <w:rStyle w:val="19"/>
          <w:rFonts w:hint="eastAsia" w:ascii="黑体" w:hAnsi="黑体" w:eastAsia="黑体" w:cs="黑体"/>
          <w:b w:val="0"/>
          <w:bCs w:val="0"/>
        </w:rPr>
        <w:t>政拨款收入支出决算总体情况说明</w:t>
      </w:r>
      <w:bookmarkEnd w:id="28"/>
      <w:bookmarkEnd w:id="29"/>
    </w:p>
    <w:p w14:paraId="134DD1C8">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3168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年财政拨款收入</w:t>
      </w:r>
      <w:r>
        <w:rPr>
          <w:rFonts w:hint="eastAsia" w:ascii="仿宋_GB2312" w:hAnsi="仿宋_GB2312" w:eastAsia="仿宋_GB2312" w:cs="仿宋_GB2312"/>
          <w:color w:val="000000"/>
          <w:sz w:val="32"/>
          <w:szCs w:val="32"/>
          <w:lang w:val="en-US" w:eastAsia="zh-CN"/>
        </w:rPr>
        <w:t>1360.03</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1360.03</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年相比，财政拨款收入总计</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948.88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41.1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，支出总计</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1199.34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46.9</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。主要变动原因是人员</w:t>
      </w:r>
      <w:r>
        <w:rPr>
          <w:rFonts w:hint="eastAsia" w:ascii="仿宋_GB2312" w:hAnsi="仿宋_GB2312" w:eastAsia="仿宋_GB2312" w:cs="仿宋_GB2312"/>
          <w:color w:val="000000"/>
          <w:sz w:val="32"/>
          <w:szCs w:val="32"/>
          <w:lang w:eastAsia="zh-CN"/>
        </w:rPr>
        <w:t>调出导致工资减少和项目支出减少</w:t>
      </w:r>
      <w:r>
        <w:rPr>
          <w:rFonts w:hint="eastAsia" w:ascii="仿宋_GB2312" w:hAnsi="仿宋_GB2312" w:eastAsia="仿宋_GB2312" w:cs="仿宋_GB2312"/>
          <w:color w:val="000000"/>
          <w:sz w:val="32"/>
          <w:szCs w:val="32"/>
        </w:rPr>
        <w:t>。</w:t>
      </w:r>
    </w:p>
    <w:p w14:paraId="6D45E613">
      <w:pPr>
        <w:jc w:val="center"/>
        <w:rPr>
          <w:rFonts w:hint="eastAsia" w:ascii="仿宋_GB2312" w:hAnsi="仿宋_GB2312" w:eastAsia="仿宋_GB2312" w:cs="仿宋_GB2312"/>
          <w:color w:val="000000"/>
          <w:sz w:val="32"/>
          <w:szCs w:val="32"/>
        </w:rPr>
      </w:pPr>
      <w:r>
        <w:drawing>
          <wp:inline distT="0" distB="0" distL="114300" distR="114300">
            <wp:extent cx="4505325" cy="2714625"/>
            <wp:effectExtent l="4445" t="4445" r="508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DE43D3">
      <w:pPr>
        <w:pStyle w:val="7"/>
        <w:keepNext w:val="0"/>
        <w:keepLines w:val="0"/>
        <w:pageBreakBefore w:val="0"/>
        <w:kinsoku/>
        <w:wordWrap/>
        <w:overflowPunct/>
        <w:topLinePunct w:val="0"/>
        <w:bidi w:val="0"/>
        <w:spacing w:beforeAutospacing="0" w:after="0" w:afterAutospacing="0" w:line="560" w:lineRule="exact"/>
        <w:ind w:left="0" w:leftChars="0" w:firstLine="0" w:firstLineChars="0"/>
        <w:jc w:val="center"/>
        <w:rPr>
          <w:rFonts w:ascii="仿宋" w:hAnsi="仿宋" w:eastAsia="仿宋"/>
          <w:b/>
          <w:bCs/>
          <w:color w:val="00B05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w:t>
      </w:r>
    </w:p>
    <w:p w14:paraId="18920517">
      <w:pPr>
        <w:keepNext w:val="0"/>
        <w:keepLines w:val="0"/>
        <w:pageBreakBefore w:val="0"/>
        <w:kinsoku/>
        <w:wordWrap/>
        <w:overflowPunct/>
        <w:topLinePunct w:val="0"/>
        <w:bidi w:val="0"/>
        <w:spacing w:beforeAutospacing="0" w:afterAutospacing="0" w:line="560" w:lineRule="exact"/>
        <w:ind w:left="0" w:leftChars="0" w:firstLine="640" w:firstLineChars="200"/>
        <w:outlineLvl w:val="1"/>
        <w:rPr>
          <w:rStyle w:val="19"/>
          <w:rFonts w:ascii="黑体" w:hAnsi="黑体" w:eastAsia="黑体" w:cs="Times New Roman"/>
          <w:b w:val="0"/>
          <w:bCs w:val="0"/>
        </w:rPr>
      </w:pPr>
      <w:bookmarkStart w:id="30" w:name="_Toc15377209"/>
      <w:bookmarkStart w:id="31" w:name="_Toc15396607"/>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19"/>
          <w:rFonts w:hint="eastAsia" w:ascii="黑体" w:hAnsi="黑体" w:eastAsia="黑体" w:cs="黑体"/>
          <w:b w:val="0"/>
          <w:bCs w:val="0"/>
        </w:rPr>
        <w:t>般公共预算财政拨款支出决算情况说明</w:t>
      </w:r>
      <w:bookmarkEnd w:id="30"/>
      <w:bookmarkEnd w:id="31"/>
    </w:p>
    <w:p w14:paraId="07D7302B">
      <w:pPr>
        <w:keepNext w:val="0"/>
        <w:keepLines w:val="0"/>
        <w:pageBreakBefore w:val="0"/>
        <w:kinsoku/>
        <w:wordWrap/>
        <w:overflowPunct/>
        <w:topLinePunct w:val="0"/>
        <w:bidi w:val="0"/>
        <w:spacing w:beforeAutospacing="0" w:afterAutospacing="0" w:line="560" w:lineRule="exact"/>
        <w:ind w:left="0" w:leftChars="0" w:firstLine="643" w:firstLineChars="200"/>
        <w:outlineLvl w:val="2"/>
        <w:rPr>
          <w:rFonts w:ascii="仿宋_GB2312" w:hAnsi="仿宋_GB2312" w:eastAsia="仿宋_GB2312"/>
          <w:b/>
          <w:bCs/>
          <w:color w:val="000000"/>
          <w:sz w:val="32"/>
          <w:szCs w:val="32"/>
        </w:rPr>
      </w:pPr>
      <w:bookmarkStart w:id="32" w:name="_Toc15377210"/>
      <w:r>
        <w:rPr>
          <w:rFonts w:hint="eastAsia" w:ascii="仿宋_GB2312" w:hAnsi="仿宋_GB2312" w:eastAsia="仿宋_GB2312" w:cs="仿宋_GB2312"/>
          <w:b/>
          <w:bCs/>
          <w:color w:val="000000"/>
          <w:sz w:val="32"/>
          <w:szCs w:val="32"/>
        </w:rPr>
        <w:t>（一）一般公共预算财政拨款支出决算总体情况</w:t>
      </w:r>
      <w:bookmarkEnd w:id="32"/>
    </w:p>
    <w:p w14:paraId="7891EFA5">
      <w:pPr>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一般公共预算财政拨款支出1360.03万元，占本年支出合计的70.2%。与2021年相比，一般公共预算财政拨款减少1199.37万元，下降46.9%。主要变动原因是项目支出减少、人员调出导致工资减少以及部分支出来源于县级财政返还收入，这部分支出未体现在一般公共预算财政拨款支出。</w:t>
      </w:r>
    </w:p>
    <w:p w14:paraId="2366B4CF">
      <w:pPr>
        <w:pStyle w:val="5"/>
        <w:rPr>
          <w:rFonts w:hint="eastAsia" w:ascii="仿宋_GB2312" w:hAnsi="仿宋_GB2312" w:eastAsia="仿宋_GB2312" w:cs="仿宋_GB2312"/>
          <w:color w:val="000000"/>
          <w:kern w:val="2"/>
          <w:sz w:val="32"/>
          <w:szCs w:val="32"/>
          <w:lang w:val="en-US" w:eastAsia="zh-CN" w:bidi="ar-SA"/>
        </w:rPr>
      </w:pPr>
    </w:p>
    <w:p w14:paraId="67480B37">
      <w:pPr>
        <w:rPr>
          <w:rFonts w:hint="eastAsia" w:ascii="仿宋_GB2312" w:hAnsi="仿宋_GB2312" w:eastAsia="仿宋_GB2312" w:cs="仿宋_GB2312"/>
          <w:color w:val="000000"/>
          <w:kern w:val="2"/>
          <w:sz w:val="32"/>
          <w:szCs w:val="32"/>
          <w:lang w:val="en-US" w:eastAsia="zh-CN" w:bidi="ar-SA"/>
        </w:rPr>
      </w:pPr>
    </w:p>
    <w:p w14:paraId="0EF8D9E9">
      <w:pPr>
        <w:pStyle w:val="5"/>
        <w:rPr>
          <w:rFonts w:hint="eastAsia" w:ascii="仿宋_GB2312" w:hAnsi="仿宋_GB2312" w:eastAsia="仿宋_GB2312" w:cs="仿宋_GB2312"/>
          <w:color w:val="000000"/>
          <w:kern w:val="2"/>
          <w:sz w:val="32"/>
          <w:szCs w:val="32"/>
          <w:lang w:val="en-US" w:eastAsia="zh-CN" w:bidi="ar-SA"/>
        </w:rPr>
      </w:pPr>
    </w:p>
    <w:p w14:paraId="66CE3819">
      <w:pPr>
        <w:rPr>
          <w:rFonts w:hint="eastAsia" w:ascii="仿宋_GB2312" w:hAnsi="仿宋_GB2312" w:eastAsia="仿宋_GB2312" w:cs="仿宋_GB2312"/>
          <w:color w:val="000000"/>
          <w:kern w:val="2"/>
          <w:sz w:val="32"/>
          <w:szCs w:val="32"/>
          <w:lang w:val="en-US" w:eastAsia="zh-CN" w:bidi="ar-SA"/>
        </w:rPr>
      </w:pPr>
    </w:p>
    <w:p w14:paraId="74C7EFE0">
      <w:pPr>
        <w:pStyle w:val="5"/>
        <w:jc w:val="center"/>
        <w:rPr>
          <w:rFonts w:hint="eastAsia" w:ascii="仿宋_GB2312" w:hAnsi="仿宋_GB2312" w:eastAsia="仿宋_GB2312" w:cs="仿宋_GB2312"/>
          <w:color w:val="000000"/>
          <w:kern w:val="2"/>
          <w:sz w:val="32"/>
          <w:szCs w:val="32"/>
          <w:lang w:val="en-US" w:eastAsia="zh-CN" w:bidi="ar-SA"/>
        </w:rPr>
      </w:pPr>
      <w:r>
        <w:drawing>
          <wp:inline distT="0" distB="0" distL="114300" distR="114300">
            <wp:extent cx="4401185" cy="2295525"/>
            <wp:effectExtent l="4445" t="4445" r="13970" b="508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79F806">
      <w:pPr>
        <w:keepNext w:val="0"/>
        <w:keepLines w:val="0"/>
        <w:pageBreakBefore w:val="0"/>
        <w:kinsoku/>
        <w:wordWrap/>
        <w:overflowPunct/>
        <w:topLinePunct w:val="0"/>
        <w:bidi w:val="0"/>
        <w:spacing w:beforeAutospacing="0" w:afterAutospacing="0" w:line="560" w:lineRule="exact"/>
        <w:ind w:left="0" w:leftChars="0"/>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w:t>
      </w:r>
    </w:p>
    <w:p w14:paraId="2EDB9308">
      <w:pPr>
        <w:keepNext w:val="0"/>
        <w:keepLines w:val="0"/>
        <w:pageBreakBefore w:val="0"/>
        <w:kinsoku/>
        <w:wordWrap/>
        <w:overflowPunct/>
        <w:topLinePunct w:val="0"/>
        <w:bidi w:val="0"/>
        <w:spacing w:beforeAutospacing="0" w:afterAutospacing="0" w:line="560" w:lineRule="exact"/>
        <w:ind w:left="0" w:leftChars="0" w:firstLine="643" w:firstLineChars="200"/>
        <w:outlineLvl w:val="2"/>
        <w:rPr>
          <w:rFonts w:ascii="仿宋" w:hAnsi="仿宋" w:eastAsia="仿宋"/>
          <w:b/>
          <w:bCs/>
          <w:color w:val="000000"/>
          <w:sz w:val="32"/>
          <w:szCs w:val="32"/>
        </w:rPr>
      </w:pPr>
      <w:bookmarkStart w:id="33" w:name="_Toc15377211"/>
      <w:r>
        <w:rPr>
          <w:rFonts w:hint="eastAsia" w:ascii="仿宋" w:hAnsi="仿宋" w:eastAsia="仿宋" w:cs="仿宋"/>
          <w:b/>
          <w:bCs/>
          <w:color w:val="000000"/>
          <w:sz w:val="32"/>
          <w:szCs w:val="32"/>
        </w:rPr>
        <w:t>（二）一般公共预算财政拨款支出决算结构情况</w:t>
      </w:r>
      <w:bookmarkEnd w:id="33"/>
    </w:p>
    <w:p w14:paraId="1FD4097F">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1360.03</w:t>
      </w:r>
      <w:r>
        <w:rPr>
          <w:rFonts w:hint="eastAsia" w:ascii="仿宋_GB2312" w:hAnsi="仿宋_GB2312" w:eastAsia="仿宋_GB2312" w:cs="仿宋_GB2312"/>
          <w:color w:val="000000"/>
          <w:sz w:val="32"/>
          <w:szCs w:val="32"/>
        </w:rPr>
        <w:t>万元，主要用于以下方面</w:t>
      </w:r>
      <w:r>
        <w:rPr>
          <w:rFonts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一般公共服务（类）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996.29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73.3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教育支出（类）</w:t>
      </w:r>
      <w:r>
        <w:rPr>
          <w:rFonts w:ascii="仿宋_GB2312" w:hAnsi="仿宋_GB2312" w:eastAsia="仿宋_GB2312" w:cs="仿宋_GB2312"/>
          <w:b/>
          <w:bCs/>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科学技术（类）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文化旅游体育与传媒（类）支出</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万元，占</w:t>
      </w:r>
      <w:r>
        <w:rPr>
          <w:rFonts w:ascii="仿宋_GB2312" w:hAnsi="仿宋_GB2312" w:eastAsia="仿宋_GB2312" w:cs="仿宋_GB2312"/>
          <w:b/>
          <w:bCs/>
          <w:color w:val="000000"/>
          <w:sz w:val="32"/>
          <w:szCs w:val="32"/>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社会保障和就业（类）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166.47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76.8</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120.41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14:paraId="2D20E3A5">
      <w:pPr>
        <w:pStyle w:val="5"/>
        <w:jc w:val="center"/>
        <w:rPr>
          <w:rFonts w:hint="eastAsia" w:ascii="仿宋_GB2312" w:hAnsi="仿宋_GB2312" w:eastAsia="仿宋_GB2312" w:cs="仿宋_GB2312"/>
          <w:color w:val="000000"/>
          <w:sz w:val="32"/>
          <w:szCs w:val="32"/>
        </w:rPr>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24F9F4">
      <w:pPr>
        <w:keepNext w:val="0"/>
        <w:keepLines w:val="0"/>
        <w:pageBreakBefore w:val="0"/>
        <w:kinsoku/>
        <w:wordWrap/>
        <w:overflowPunct/>
        <w:topLinePunct w:val="0"/>
        <w:bidi w:val="0"/>
        <w:spacing w:beforeAutospacing="0" w:afterAutospacing="0" w:line="560" w:lineRule="exact"/>
        <w:jc w:val="center"/>
        <w:rPr>
          <w:rFonts w:hint="eastAsia" w:ascii="仿宋" w:hAnsi="仿宋" w:eastAsia="仿宋"/>
          <w:b/>
          <w:bCs/>
          <w:color w:val="000000"/>
          <w:sz w:val="32"/>
          <w:szCs w:val="32"/>
          <w:lang w:eastAsia="zh-CN"/>
        </w:rPr>
      </w:pPr>
      <w:r>
        <w:rPr>
          <w:rFonts w:hint="eastAsia" w:ascii="仿宋" w:hAnsi="仿宋" w:eastAsia="仿宋" w:cs="仿宋"/>
          <w:color w:val="000000"/>
          <w:sz w:val="32"/>
          <w:szCs w:val="32"/>
          <w:lang w:eastAsia="zh-CN"/>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w:t>
      </w:r>
      <w:bookmarkStart w:id="34" w:name="_Toc15377212"/>
      <w:r>
        <w:rPr>
          <w:rFonts w:hint="eastAsia" w:ascii="仿宋" w:hAnsi="仿宋" w:eastAsia="仿宋" w:cs="仿宋"/>
          <w:color w:val="000000"/>
          <w:sz w:val="32"/>
          <w:szCs w:val="32"/>
          <w:lang w:eastAsia="zh-CN"/>
        </w:rPr>
        <w:t>构</w:t>
      </w:r>
    </w:p>
    <w:p w14:paraId="0B6EFE9F">
      <w:pPr>
        <w:keepNext w:val="0"/>
        <w:keepLines w:val="0"/>
        <w:pageBreakBefore w:val="0"/>
        <w:kinsoku/>
        <w:wordWrap/>
        <w:overflowPunct/>
        <w:topLinePunct w:val="0"/>
        <w:bidi w:val="0"/>
        <w:spacing w:beforeAutospacing="0" w:afterAutospacing="0" w:line="560" w:lineRule="exact"/>
        <w:ind w:left="0" w:leftChars="0" w:firstLine="321" w:firstLineChars="100"/>
        <w:outlineLvl w:val="2"/>
        <w:rPr>
          <w:rFonts w:ascii="仿宋" w:hAnsi="仿宋" w:eastAsia="仿宋"/>
          <w:b/>
          <w:bCs/>
          <w:color w:val="000000"/>
          <w:sz w:val="32"/>
          <w:szCs w:val="32"/>
        </w:rPr>
      </w:pPr>
      <w:r>
        <w:rPr>
          <w:rFonts w:hint="eastAsia" w:ascii="仿宋" w:hAnsi="仿宋" w:eastAsia="仿宋" w:cs="仿宋"/>
          <w:b/>
          <w:bCs/>
          <w:color w:val="000000"/>
          <w:sz w:val="32"/>
          <w:szCs w:val="32"/>
        </w:rPr>
        <w:t>（三）一般公共预算财政拨款支出决算具体情况</w:t>
      </w:r>
      <w:bookmarkEnd w:id="34"/>
    </w:p>
    <w:p w14:paraId="236CB0D8">
      <w:pPr>
        <w:keepNext w:val="0"/>
        <w:keepLines w:val="0"/>
        <w:pageBreakBefore w:val="0"/>
        <w:kinsoku/>
        <w:wordWrap/>
        <w:overflowPunct/>
        <w:topLinePunct w:val="0"/>
        <w:bidi w:val="0"/>
        <w:spacing w:beforeAutospacing="0" w:afterAutospacing="0" w:line="560" w:lineRule="exact"/>
        <w:ind w:left="0" w:leftChars="0" w:firstLine="640" w:firstLineChars="200"/>
        <w:outlineLvl w:val="2"/>
        <w:rPr>
          <w:rFonts w:ascii="仿宋_GB2312" w:hAnsi="仿宋_GB2312" w:eastAsia="仿宋_GB2312"/>
          <w:b w:val="0"/>
          <w:bCs w:val="0"/>
          <w:color w:val="FF0000"/>
          <w:sz w:val="32"/>
          <w:szCs w:val="32"/>
        </w:rPr>
      </w:pPr>
      <w:bookmarkStart w:id="35" w:name="_Toc15377213"/>
      <w:bookmarkStart w:id="36" w:name="_Toc15378460"/>
      <w:bookmarkStart w:id="37" w:name="_Toc15377444"/>
      <w:r>
        <w:rPr>
          <w:rFonts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年一般公共预算支出决算数为</w:t>
      </w:r>
      <w:r>
        <w:rPr>
          <w:rFonts w:hint="eastAsia" w:ascii="仿宋_GB2312" w:hAnsi="仿宋_GB2312" w:eastAsia="仿宋_GB2312" w:cs="仿宋_GB2312"/>
          <w:b w:val="0"/>
          <w:bCs w:val="0"/>
          <w:color w:val="000000"/>
          <w:sz w:val="32"/>
          <w:szCs w:val="32"/>
          <w:lang w:val="en-US" w:eastAsia="zh-CN"/>
        </w:rPr>
        <w:t>1360.03</w:t>
      </w:r>
      <w:r>
        <w:rPr>
          <w:rFonts w:hint="eastAsia" w:ascii="仿宋_GB2312" w:hAnsi="仿宋_GB2312" w:eastAsia="仿宋_GB2312" w:cs="仿宋_GB2312"/>
          <w:b w:val="0"/>
          <w:bCs w:val="0"/>
          <w:color w:val="000000"/>
          <w:sz w:val="32"/>
          <w:szCs w:val="32"/>
        </w:rPr>
        <w:t>万元，</w:t>
      </w:r>
      <w:r>
        <w:rPr>
          <w:rStyle w:val="16"/>
          <w:rFonts w:hint="eastAsia" w:ascii="仿宋_GB2312" w:hAnsi="仿宋_GB2312" w:eastAsia="仿宋_GB2312" w:cs="仿宋_GB2312"/>
          <w:b w:val="0"/>
          <w:bCs w:val="0"/>
          <w:color w:val="000000"/>
          <w:sz w:val="32"/>
          <w:szCs w:val="32"/>
        </w:rPr>
        <w:t>完成预算</w:t>
      </w:r>
      <w:r>
        <w:rPr>
          <w:rStyle w:val="16"/>
          <w:rFonts w:ascii="仿宋_GB2312" w:hAnsi="仿宋_GB2312" w:eastAsia="仿宋_GB2312" w:cs="仿宋_GB2312"/>
          <w:b w:val="0"/>
          <w:bCs w:val="0"/>
          <w:color w:val="000000"/>
          <w:sz w:val="32"/>
          <w:szCs w:val="32"/>
        </w:rPr>
        <w:t>100%</w:t>
      </w:r>
      <w:r>
        <w:rPr>
          <w:rStyle w:val="16"/>
          <w:rFonts w:hint="eastAsia" w:ascii="仿宋_GB2312" w:hAnsi="仿宋_GB2312" w:eastAsia="仿宋_GB2312" w:cs="仿宋_GB2312"/>
          <w:b w:val="0"/>
          <w:bCs w:val="0"/>
          <w:color w:val="000000"/>
          <w:sz w:val="32"/>
          <w:szCs w:val="32"/>
        </w:rPr>
        <w:t>。其中：</w:t>
      </w:r>
      <w:bookmarkEnd w:id="35"/>
      <w:bookmarkEnd w:id="36"/>
      <w:bookmarkEnd w:id="37"/>
    </w:p>
    <w:p w14:paraId="5BCF426E">
      <w:pPr>
        <w:keepNext w:val="0"/>
        <w:keepLines w:val="0"/>
        <w:pageBreakBefore w:val="0"/>
        <w:kinsoku/>
        <w:wordWrap/>
        <w:overflowPunct/>
        <w:topLinePunct w:val="0"/>
        <w:bidi w:val="0"/>
        <w:spacing w:beforeAutospacing="0" w:afterAutospacing="0" w:line="560" w:lineRule="exact"/>
        <w:ind w:left="0" w:leftChars="0" w:firstLine="643" w:firstLineChars="200"/>
        <w:rPr>
          <w:rFonts w:ascii="仿宋_GB2312" w:hAnsi="仿宋_GB2312" w:eastAsia="仿宋_GB2312"/>
          <w:b/>
          <w:bCs/>
          <w:color w:val="000000"/>
          <w:sz w:val="32"/>
          <w:szCs w:val="32"/>
        </w:rPr>
      </w:pPr>
      <w:r>
        <w:rPr>
          <w:rStyle w:val="16"/>
          <w:rFonts w:ascii="仿宋_GB2312" w:hAnsi="仿宋_GB2312" w:eastAsia="仿宋_GB2312" w:cs="仿宋_GB2312"/>
          <w:color w:val="000000"/>
          <w:sz w:val="32"/>
          <w:szCs w:val="32"/>
        </w:rPr>
        <w:t>1.</w:t>
      </w:r>
      <w:r>
        <w:rPr>
          <w:rStyle w:val="16"/>
          <w:rFonts w:hint="eastAsia" w:ascii="仿宋_GB2312" w:hAnsi="仿宋_GB2312" w:eastAsia="仿宋_GB2312" w:cs="仿宋_GB2312"/>
          <w:color w:val="000000"/>
          <w:sz w:val="32"/>
          <w:szCs w:val="32"/>
        </w:rPr>
        <w:t>一般公共安全支出</w:t>
      </w:r>
      <w:r>
        <w:rPr>
          <w:rStyle w:val="16"/>
          <w:rFonts w:ascii="仿宋_GB2312" w:hAnsi="仿宋_GB2312" w:eastAsia="仿宋_GB2312" w:cs="仿宋_GB2312"/>
          <w:color w:val="000000"/>
          <w:sz w:val="32"/>
          <w:szCs w:val="32"/>
        </w:rPr>
        <w:t>:</w:t>
      </w:r>
      <w:r>
        <w:rPr>
          <w:rStyle w:val="16"/>
          <w:rFonts w:ascii="仿宋_GB2312" w:hAnsi="仿宋_GB2312" w:eastAsia="仿宋_GB2312" w:cs="仿宋_GB2312"/>
          <w:b w:val="0"/>
          <w:bCs w:val="0"/>
          <w:color w:val="000000"/>
          <w:sz w:val="32"/>
          <w:szCs w:val="32"/>
        </w:rPr>
        <w:t xml:space="preserve"> </w:t>
      </w:r>
      <w:r>
        <w:rPr>
          <w:rStyle w:val="16"/>
          <w:rFonts w:hint="eastAsia" w:ascii="仿宋_GB2312" w:hAnsi="仿宋_GB2312" w:eastAsia="仿宋_GB2312" w:cs="仿宋_GB2312"/>
          <w:b w:val="0"/>
          <w:bCs w:val="0"/>
          <w:color w:val="000000"/>
          <w:sz w:val="32"/>
          <w:szCs w:val="32"/>
        </w:rPr>
        <w:t>支出决算为</w:t>
      </w:r>
      <w:r>
        <w:rPr>
          <w:rStyle w:val="16"/>
          <w:rFonts w:hint="eastAsia" w:ascii="仿宋_GB2312" w:hAnsi="仿宋_GB2312" w:eastAsia="仿宋_GB2312" w:cs="仿宋_GB2312"/>
          <w:b w:val="0"/>
          <w:bCs w:val="0"/>
          <w:color w:val="000000"/>
          <w:sz w:val="32"/>
          <w:szCs w:val="32"/>
          <w:lang w:val="en-US" w:eastAsia="zh-CN"/>
        </w:rPr>
        <w:t>996.29</w:t>
      </w:r>
      <w:r>
        <w:rPr>
          <w:rStyle w:val="16"/>
          <w:rFonts w:hint="eastAsia" w:ascii="仿宋_GB2312" w:hAnsi="仿宋_GB2312" w:eastAsia="仿宋_GB2312" w:cs="仿宋_GB2312"/>
          <w:b w:val="0"/>
          <w:bCs w:val="0"/>
          <w:color w:val="000000"/>
          <w:sz w:val="32"/>
          <w:szCs w:val="32"/>
        </w:rPr>
        <w:t>万元，完成预算</w:t>
      </w:r>
      <w:r>
        <w:rPr>
          <w:rStyle w:val="16"/>
          <w:rFonts w:ascii="仿宋_GB2312" w:hAnsi="仿宋_GB2312" w:eastAsia="仿宋_GB2312" w:cs="仿宋_GB2312"/>
          <w:b w:val="0"/>
          <w:bCs w:val="0"/>
          <w:color w:val="000000"/>
          <w:sz w:val="32"/>
          <w:szCs w:val="32"/>
        </w:rPr>
        <w:t>100%</w:t>
      </w:r>
      <w:r>
        <w:rPr>
          <w:rStyle w:val="16"/>
          <w:rFonts w:hint="eastAsia" w:ascii="仿宋_GB2312" w:hAnsi="仿宋_GB2312" w:eastAsia="仿宋_GB2312" w:cs="仿宋_GB2312"/>
          <w:b w:val="0"/>
          <w:bCs w:val="0"/>
          <w:color w:val="000000"/>
          <w:sz w:val="32"/>
          <w:szCs w:val="32"/>
        </w:rPr>
        <w:t>，决算数等于预算数。</w:t>
      </w:r>
    </w:p>
    <w:p w14:paraId="17B62FEA">
      <w:pPr>
        <w:keepNext w:val="0"/>
        <w:keepLines w:val="0"/>
        <w:pageBreakBefore w:val="0"/>
        <w:kinsoku/>
        <w:wordWrap/>
        <w:overflowPunct/>
        <w:topLinePunct w:val="0"/>
        <w:bidi w:val="0"/>
        <w:spacing w:beforeAutospacing="0" w:afterAutospacing="0" w:line="560" w:lineRule="exact"/>
        <w:ind w:left="0" w:leftChars="0" w:firstLine="643" w:firstLineChars="200"/>
        <w:rPr>
          <w:rFonts w:ascii="仿宋_GB2312" w:hAnsi="仿宋_GB2312" w:eastAsia="仿宋_GB2312"/>
          <w:b/>
          <w:bCs/>
          <w:color w:val="000000"/>
          <w:sz w:val="32"/>
          <w:szCs w:val="32"/>
        </w:rPr>
      </w:pPr>
      <w:r>
        <w:rPr>
          <w:rStyle w:val="16"/>
          <w:rFonts w:ascii="仿宋_GB2312" w:hAnsi="仿宋_GB2312" w:eastAsia="仿宋_GB2312" w:cs="仿宋_GB2312"/>
          <w:color w:val="000000"/>
          <w:sz w:val="32"/>
          <w:szCs w:val="32"/>
        </w:rPr>
        <w:t>2.</w:t>
      </w:r>
      <w:r>
        <w:rPr>
          <w:rStyle w:val="16"/>
          <w:rFonts w:hint="eastAsia" w:ascii="仿宋_GB2312" w:eastAsia="仿宋_GB2312" w:cs="仿宋_GB2312"/>
          <w:color w:val="000000"/>
          <w:sz w:val="32"/>
          <w:szCs w:val="32"/>
        </w:rPr>
        <w:t>社会保障和就业支出</w:t>
      </w:r>
      <w:r>
        <w:rPr>
          <w:rStyle w:val="16"/>
          <w:rFonts w:ascii="仿宋_GB2312" w:hAnsi="仿宋_GB2312" w:eastAsia="仿宋_GB2312" w:cs="仿宋_GB2312"/>
          <w:color w:val="000000"/>
          <w:sz w:val="32"/>
          <w:szCs w:val="32"/>
        </w:rPr>
        <w:t>:</w:t>
      </w:r>
      <w:r>
        <w:rPr>
          <w:rStyle w:val="16"/>
          <w:rFonts w:ascii="仿宋_GB2312" w:hAnsi="仿宋_GB2312" w:eastAsia="仿宋_GB2312" w:cs="仿宋_GB2312"/>
          <w:b w:val="0"/>
          <w:bCs w:val="0"/>
          <w:color w:val="000000"/>
          <w:sz w:val="32"/>
          <w:szCs w:val="32"/>
        </w:rPr>
        <w:t xml:space="preserve"> </w:t>
      </w:r>
      <w:r>
        <w:rPr>
          <w:rStyle w:val="16"/>
          <w:rFonts w:hint="eastAsia" w:ascii="仿宋_GB2312" w:hAnsi="仿宋_GB2312" w:eastAsia="仿宋_GB2312" w:cs="仿宋_GB2312"/>
          <w:b w:val="0"/>
          <w:bCs w:val="0"/>
          <w:color w:val="000000"/>
          <w:sz w:val="32"/>
          <w:szCs w:val="32"/>
        </w:rPr>
        <w:t>支出决算为</w:t>
      </w:r>
      <w:r>
        <w:rPr>
          <w:rStyle w:val="16"/>
          <w:rFonts w:hint="eastAsia" w:ascii="仿宋_GB2312" w:hAnsi="仿宋_GB2312" w:eastAsia="仿宋_GB2312" w:cs="仿宋_GB2312"/>
          <w:b w:val="0"/>
          <w:bCs w:val="0"/>
          <w:color w:val="000000"/>
          <w:sz w:val="32"/>
          <w:szCs w:val="32"/>
          <w:lang w:val="en-US" w:eastAsia="zh-CN"/>
        </w:rPr>
        <w:t>166.47</w:t>
      </w:r>
      <w:r>
        <w:rPr>
          <w:rStyle w:val="16"/>
          <w:rFonts w:hint="eastAsia" w:ascii="仿宋_GB2312" w:hAnsi="仿宋_GB2312" w:eastAsia="仿宋_GB2312" w:cs="仿宋_GB2312"/>
          <w:b w:val="0"/>
          <w:bCs w:val="0"/>
          <w:color w:val="000000"/>
          <w:sz w:val="32"/>
          <w:szCs w:val="32"/>
        </w:rPr>
        <w:t>万元，完成预算</w:t>
      </w:r>
      <w:r>
        <w:rPr>
          <w:rStyle w:val="16"/>
          <w:rFonts w:ascii="仿宋_GB2312" w:hAnsi="仿宋_GB2312" w:eastAsia="仿宋_GB2312" w:cs="仿宋_GB2312"/>
          <w:b w:val="0"/>
          <w:bCs w:val="0"/>
          <w:color w:val="000000"/>
          <w:sz w:val="32"/>
          <w:szCs w:val="32"/>
        </w:rPr>
        <w:t>100%</w:t>
      </w:r>
      <w:r>
        <w:rPr>
          <w:rStyle w:val="16"/>
          <w:rFonts w:hint="eastAsia" w:ascii="仿宋_GB2312" w:hAnsi="仿宋_GB2312" w:eastAsia="仿宋_GB2312" w:cs="仿宋_GB2312"/>
          <w:b w:val="0"/>
          <w:bCs w:val="0"/>
          <w:color w:val="000000"/>
          <w:sz w:val="32"/>
          <w:szCs w:val="32"/>
        </w:rPr>
        <w:t>，决算数等于预算数。</w:t>
      </w:r>
    </w:p>
    <w:p w14:paraId="618F2CF3">
      <w:pPr>
        <w:keepNext w:val="0"/>
        <w:keepLines w:val="0"/>
        <w:pageBreakBefore w:val="0"/>
        <w:kinsoku/>
        <w:wordWrap/>
        <w:overflowPunct/>
        <w:topLinePunct w:val="0"/>
        <w:bidi w:val="0"/>
        <w:spacing w:beforeAutospacing="0" w:afterAutospacing="0" w:line="560" w:lineRule="exact"/>
        <w:ind w:left="0" w:leftChars="0" w:firstLine="643" w:firstLineChars="200"/>
        <w:rPr>
          <w:rFonts w:ascii="仿宋_GB2312" w:hAnsi="仿宋_GB2312" w:eastAsia="仿宋_GB2312"/>
          <w:b/>
          <w:bCs/>
          <w:color w:val="000000"/>
          <w:sz w:val="32"/>
          <w:szCs w:val="32"/>
        </w:rPr>
      </w:pPr>
      <w:r>
        <w:rPr>
          <w:rStyle w:val="16"/>
          <w:rFonts w:ascii="仿宋_GB2312" w:hAnsi="仿宋_GB2312" w:eastAsia="仿宋_GB2312" w:cs="仿宋_GB2312"/>
          <w:color w:val="000000"/>
          <w:sz w:val="32"/>
          <w:szCs w:val="32"/>
        </w:rPr>
        <w:t>3.</w:t>
      </w:r>
      <w:r>
        <w:rPr>
          <w:rStyle w:val="16"/>
          <w:rFonts w:hint="eastAsia" w:ascii="仿宋_GB2312" w:eastAsia="仿宋_GB2312" w:cs="仿宋_GB2312"/>
          <w:color w:val="000000"/>
          <w:sz w:val="32"/>
          <w:szCs w:val="32"/>
        </w:rPr>
        <w:t>医疗卫生与计划生育支出</w:t>
      </w:r>
      <w:r>
        <w:rPr>
          <w:rStyle w:val="16"/>
          <w:rFonts w:ascii="仿宋_GB2312" w:hAnsi="仿宋_GB2312" w:eastAsia="仿宋_GB2312" w:cs="仿宋_GB2312"/>
          <w:color w:val="000000"/>
          <w:sz w:val="32"/>
          <w:szCs w:val="32"/>
        </w:rPr>
        <w:t>:</w:t>
      </w:r>
      <w:r>
        <w:rPr>
          <w:rStyle w:val="16"/>
          <w:rFonts w:hint="eastAsia" w:ascii="仿宋_GB2312" w:hAnsi="仿宋_GB2312" w:eastAsia="仿宋_GB2312" w:cs="仿宋_GB2312"/>
          <w:b w:val="0"/>
          <w:bCs w:val="0"/>
          <w:color w:val="000000"/>
          <w:sz w:val="32"/>
          <w:szCs w:val="32"/>
        </w:rPr>
        <w:t>支出决算为</w:t>
      </w:r>
      <w:r>
        <w:rPr>
          <w:rStyle w:val="16"/>
          <w:rFonts w:hint="eastAsia" w:ascii="仿宋_GB2312" w:hAnsi="仿宋_GB2312" w:eastAsia="仿宋_GB2312" w:cs="仿宋_GB2312"/>
          <w:b w:val="0"/>
          <w:bCs w:val="0"/>
          <w:color w:val="000000"/>
          <w:sz w:val="32"/>
          <w:szCs w:val="32"/>
          <w:lang w:val="en-US" w:eastAsia="zh-CN"/>
        </w:rPr>
        <w:t>76.86</w:t>
      </w:r>
      <w:r>
        <w:rPr>
          <w:rStyle w:val="16"/>
          <w:rFonts w:hint="eastAsia" w:ascii="仿宋_GB2312" w:hAnsi="仿宋_GB2312" w:eastAsia="仿宋_GB2312" w:cs="仿宋_GB2312"/>
          <w:b w:val="0"/>
          <w:bCs w:val="0"/>
          <w:color w:val="000000"/>
          <w:sz w:val="32"/>
          <w:szCs w:val="32"/>
        </w:rPr>
        <w:t>万元，完成预算</w:t>
      </w:r>
      <w:r>
        <w:rPr>
          <w:rStyle w:val="16"/>
          <w:rFonts w:ascii="仿宋_GB2312" w:hAnsi="仿宋_GB2312" w:eastAsia="仿宋_GB2312" w:cs="仿宋_GB2312"/>
          <w:b w:val="0"/>
          <w:bCs w:val="0"/>
          <w:color w:val="000000"/>
          <w:sz w:val="32"/>
          <w:szCs w:val="32"/>
        </w:rPr>
        <w:t>100%</w:t>
      </w:r>
      <w:r>
        <w:rPr>
          <w:rStyle w:val="16"/>
          <w:rFonts w:hint="eastAsia" w:ascii="仿宋_GB2312" w:hAnsi="仿宋_GB2312" w:eastAsia="仿宋_GB2312" w:cs="仿宋_GB2312"/>
          <w:b w:val="0"/>
          <w:bCs w:val="0"/>
          <w:color w:val="000000"/>
          <w:sz w:val="32"/>
          <w:szCs w:val="32"/>
        </w:rPr>
        <w:t>，决算数等于预算数。</w:t>
      </w:r>
    </w:p>
    <w:p w14:paraId="3D714BFC">
      <w:pPr>
        <w:keepNext w:val="0"/>
        <w:keepLines w:val="0"/>
        <w:pageBreakBefore w:val="0"/>
        <w:kinsoku/>
        <w:wordWrap/>
        <w:overflowPunct/>
        <w:topLinePunct w:val="0"/>
        <w:bidi w:val="0"/>
        <w:spacing w:beforeAutospacing="0" w:afterAutospacing="0" w:line="560" w:lineRule="exact"/>
        <w:ind w:left="0" w:leftChars="0" w:firstLine="640"/>
        <w:rPr>
          <w:rStyle w:val="16"/>
          <w:rFonts w:ascii="仿宋_GB2312" w:hAnsi="仿宋_GB2312" w:eastAsia="仿宋_GB2312"/>
          <w:b w:val="0"/>
          <w:bCs w:val="0"/>
          <w:color w:val="000000"/>
          <w:sz w:val="32"/>
          <w:szCs w:val="32"/>
        </w:rPr>
      </w:pPr>
      <w:r>
        <w:rPr>
          <w:rFonts w:ascii="仿宋_GB2312" w:hAnsi="仿宋_GB2312" w:eastAsia="仿宋_GB2312" w:cs="仿宋_GB2312"/>
          <w:b/>
          <w:bCs/>
          <w:color w:val="000000"/>
          <w:sz w:val="32"/>
          <w:szCs w:val="32"/>
        </w:rPr>
        <w:t>4.</w:t>
      </w:r>
      <w:r>
        <w:rPr>
          <w:rStyle w:val="16"/>
          <w:rFonts w:hint="eastAsia" w:ascii="仿宋_GB2312" w:eastAsia="仿宋_GB2312" w:cs="仿宋_GB2312"/>
          <w:color w:val="000000"/>
          <w:sz w:val="32"/>
          <w:szCs w:val="32"/>
        </w:rPr>
        <w:t>住房保障支出：</w:t>
      </w:r>
      <w:r>
        <w:rPr>
          <w:rStyle w:val="16"/>
          <w:rFonts w:hint="eastAsia" w:ascii="仿宋_GB2312" w:hAnsi="仿宋_GB2312" w:eastAsia="仿宋_GB2312" w:cs="仿宋_GB2312"/>
          <w:b w:val="0"/>
          <w:bCs w:val="0"/>
          <w:color w:val="000000"/>
          <w:sz w:val="32"/>
          <w:szCs w:val="32"/>
        </w:rPr>
        <w:t>支出决算数为</w:t>
      </w:r>
      <w:r>
        <w:rPr>
          <w:rStyle w:val="16"/>
          <w:rFonts w:hint="eastAsia" w:ascii="仿宋_GB2312" w:hAnsi="仿宋_GB2312" w:eastAsia="仿宋_GB2312" w:cs="仿宋_GB2312"/>
          <w:b w:val="0"/>
          <w:bCs w:val="0"/>
          <w:color w:val="000000"/>
          <w:sz w:val="32"/>
          <w:szCs w:val="32"/>
          <w:lang w:val="en-US" w:eastAsia="zh-CN"/>
        </w:rPr>
        <w:t>120.41</w:t>
      </w:r>
      <w:r>
        <w:rPr>
          <w:rFonts w:hint="eastAsia" w:ascii="仿宋_GB2312" w:hAnsi="仿宋_GB2312" w:eastAsia="仿宋_GB2312" w:cs="仿宋_GB2312"/>
          <w:color w:val="000000"/>
          <w:sz w:val="32"/>
          <w:szCs w:val="32"/>
        </w:rPr>
        <w:t>万元，</w:t>
      </w:r>
      <w:r>
        <w:rPr>
          <w:rStyle w:val="16"/>
          <w:rFonts w:hint="eastAsia" w:ascii="仿宋_GB2312" w:hAnsi="仿宋_GB2312" w:eastAsia="仿宋_GB2312" w:cs="仿宋_GB2312"/>
          <w:b w:val="0"/>
          <w:bCs w:val="0"/>
          <w:color w:val="000000"/>
          <w:sz w:val="32"/>
          <w:szCs w:val="32"/>
        </w:rPr>
        <w:t>完成预算</w:t>
      </w:r>
      <w:r>
        <w:rPr>
          <w:rStyle w:val="16"/>
          <w:rFonts w:ascii="仿宋_GB2312" w:hAnsi="仿宋_GB2312" w:eastAsia="仿宋_GB2312" w:cs="仿宋_GB2312"/>
          <w:b w:val="0"/>
          <w:bCs w:val="0"/>
          <w:color w:val="000000"/>
          <w:sz w:val="32"/>
          <w:szCs w:val="32"/>
        </w:rPr>
        <w:t>100%</w:t>
      </w:r>
      <w:r>
        <w:rPr>
          <w:rStyle w:val="16"/>
          <w:rFonts w:hint="eastAsia" w:ascii="仿宋_GB2312" w:hAnsi="仿宋_GB2312" w:eastAsia="仿宋_GB2312" w:cs="仿宋_GB2312"/>
          <w:b w:val="0"/>
          <w:bCs w:val="0"/>
          <w:color w:val="000000"/>
          <w:sz w:val="32"/>
          <w:szCs w:val="32"/>
        </w:rPr>
        <w:t>，决算数等于预算数。</w:t>
      </w:r>
    </w:p>
    <w:p w14:paraId="1B23D914">
      <w:pPr>
        <w:keepNext w:val="0"/>
        <w:keepLines w:val="0"/>
        <w:pageBreakBefore w:val="0"/>
        <w:tabs>
          <w:tab w:val="right" w:pos="8306"/>
        </w:tabs>
        <w:kinsoku/>
        <w:wordWrap/>
        <w:overflowPunct/>
        <w:topLinePunct w:val="0"/>
        <w:bidi w:val="0"/>
        <w:spacing w:beforeAutospacing="0" w:afterAutospacing="0" w:line="560" w:lineRule="exact"/>
        <w:ind w:left="0" w:leftChars="0" w:firstLine="640"/>
        <w:outlineLvl w:val="1"/>
        <w:rPr>
          <w:rStyle w:val="19"/>
        </w:rPr>
      </w:pPr>
      <w:bookmarkStart w:id="38" w:name="_Toc15396608"/>
      <w:bookmarkStart w:id="39" w:name="_Toc15377214"/>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9"/>
          <w:rFonts w:hint="eastAsia" w:ascii="黑体" w:hAnsi="黑体" w:eastAsia="黑体" w:cs="黑体"/>
          <w:b w:val="0"/>
          <w:bCs w:val="0"/>
        </w:rPr>
        <w:t>般公共预算财政拨款基本支出决算情况说明</w:t>
      </w:r>
      <w:bookmarkEnd w:id="38"/>
      <w:bookmarkEnd w:id="39"/>
      <w:r>
        <w:rPr>
          <w:rStyle w:val="19"/>
          <w:rFonts w:ascii="黑体" w:hAnsi="黑体" w:eastAsia="黑体" w:cs="Times New Roman"/>
          <w:b w:val="0"/>
          <w:bCs w:val="0"/>
        </w:rPr>
        <w:tab/>
      </w:r>
    </w:p>
    <w:p w14:paraId="7052309B">
      <w:pPr>
        <w:keepNext w:val="0"/>
        <w:keepLines w:val="0"/>
        <w:pageBreakBefore w:val="0"/>
        <w:kinsoku/>
        <w:wordWrap/>
        <w:overflowPunct/>
        <w:topLinePunct w:val="0"/>
        <w:bidi w:val="0"/>
        <w:spacing w:beforeAutospacing="0" w:afterAutospacing="0" w:line="560" w:lineRule="exact"/>
        <w:ind w:left="0" w:leftChars="0" w:firstLine="645"/>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1260.64</w:t>
      </w:r>
      <w:r>
        <w:rPr>
          <w:rFonts w:hint="eastAsia" w:ascii="仿宋_GB2312" w:hAnsi="仿宋_GB2312" w:eastAsia="仿宋_GB2312" w:cs="仿宋_GB2312"/>
          <w:color w:val="000000"/>
          <w:sz w:val="32"/>
          <w:szCs w:val="32"/>
        </w:rPr>
        <w:t>万元，其中：</w:t>
      </w:r>
    </w:p>
    <w:p w14:paraId="3536C84C">
      <w:pPr>
        <w:keepNext w:val="0"/>
        <w:keepLines w:val="0"/>
        <w:pageBreakBefore w:val="0"/>
        <w:kinsoku/>
        <w:wordWrap/>
        <w:overflowPunct/>
        <w:topLinePunct w:val="0"/>
        <w:bidi w:val="0"/>
        <w:spacing w:beforeAutospacing="0" w:afterAutospacing="0" w:line="560" w:lineRule="exact"/>
        <w:ind w:left="0" w:leftChars="0" w:firstLine="645"/>
        <w:rPr>
          <w:rFonts w:ascii="仿宋_GB2312" w:hAnsi="仿宋_GB2312" w:eastAsia="仿宋_GB2312"/>
          <w:color w:val="0070C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1124.70</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hAnsi="仿宋_GB2312" w:eastAsia="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135.94</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646208A">
      <w:pPr>
        <w:keepNext w:val="0"/>
        <w:keepLines w:val="0"/>
        <w:pageBreakBefore w:val="0"/>
        <w:kinsoku/>
        <w:wordWrap/>
        <w:overflowPunct/>
        <w:topLinePunct w:val="0"/>
        <w:bidi w:val="0"/>
        <w:spacing w:beforeAutospacing="0" w:afterAutospacing="0" w:line="560" w:lineRule="exact"/>
        <w:ind w:left="0" w:leftChars="0" w:firstLine="640"/>
        <w:outlineLvl w:val="1"/>
        <w:rPr>
          <w:rStyle w:val="19"/>
          <w:rFonts w:ascii="黑体" w:hAnsi="黑体" w:eastAsia="黑体" w:cs="Times New Roman"/>
          <w:b w:val="0"/>
          <w:bCs w:val="0"/>
        </w:rPr>
      </w:pPr>
      <w:bookmarkStart w:id="40" w:name="_Toc15396609"/>
      <w:bookmarkStart w:id="41" w:name="_Toc15377215"/>
      <w:r>
        <w:rPr>
          <w:rFonts w:hint="eastAsia" w:ascii="黑体" w:eastAsia="黑体" w:cs="黑体"/>
          <w:color w:val="000000"/>
          <w:sz w:val="32"/>
          <w:szCs w:val="32"/>
        </w:rPr>
        <w:t>七、</w:t>
      </w:r>
      <w:r>
        <w:rPr>
          <w:rStyle w:val="19"/>
          <w:rFonts w:hint="eastAsia" w:ascii="黑体" w:hAnsi="黑体" w:eastAsia="黑体" w:cs="黑体"/>
        </w:rPr>
        <w:t>“</w:t>
      </w:r>
      <w:r>
        <w:rPr>
          <w:rStyle w:val="19"/>
          <w:rFonts w:hint="eastAsia" w:ascii="黑体" w:hAnsi="黑体" w:eastAsia="黑体" w:cs="黑体"/>
          <w:b w:val="0"/>
          <w:bCs w:val="0"/>
        </w:rPr>
        <w:t>三公”经费财政拨款支出决算情况说明</w:t>
      </w:r>
      <w:bookmarkEnd w:id="40"/>
      <w:bookmarkEnd w:id="41"/>
    </w:p>
    <w:p w14:paraId="4EEC4AD6">
      <w:pPr>
        <w:keepNext w:val="0"/>
        <w:keepLines w:val="0"/>
        <w:pageBreakBefore w:val="0"/>
        <w:kinsoku/>
        <w:wordWrap/>
        <w:overflowPunct/>
        <w:topLinePunct w:val="0"/>
        <w:bidi w:val="0"/>
        <w:spacing w:beforeAutospacing="0" w:afterAutospacing="0" w:line="560" w:lineRule="exact"/>
        <w:ind w:left="0" w:leftChars="0" w:firstLine="640"/>
        <w:outlineLvl w:val="2"/>
        <w:rPr>
          <w:rFonts w:ascii="仿宋_GB2312" w:hAnsi="仿宋_GB2312" w:eastAsia="仿宋_GB2312"/>
          <w:b/>
          <w:bCs/>
          <w:color w:val="000000"/>
          <w:sz w:val="32"/>
          <w:szCs w:val="32"/>
        </w:rPr>
      </w:pPr>
      <w:bookmarkStart w:id="42" w:name="_Toc15377216"/>
      <w:r>
        <w:rPr>
          <w:rFonts w:hint="eastAsia" w:ascii="仿宋_GB2312" w:hAnsi="仿宋_GB2312" w:eastAsia="仿宋_GB2312" w:cs="仿宋_GB2312"/>
          <w:b/>
          <w:bCs/>
          <w:color w:val="000000"/>
          <w:sz w:val="32"/>
          <w:szCs w:val="32"/>
        </w:rPr>
        <w:t>（一）“三公”经费财政拨款支出决算总体情况说明</w:t>
      </w:r>
      <w:bookmarkEnd w:id="42"/>
    </w:p>
    <w:p w14:paraId="3C510A21">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42.81</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7A9DE0CD">
      <w:pPr>
        <w:keepNext w:val="0"/>
        <w:keepLines w:val="0"/>
        <w:pageBreakBefore w:val="0"/>
        <w:kinsoku/>
        <w:wordWrap/>
        <w:overflowPunct/>
        <w:topLinePunct w:val="0"/>
        <w:bidi w:val="0"/>
        <w:spacing w:beforeAutospacing="0" w:afterAutospacing="0" w:line="560" w:lineRule="exact"/>
        <w:ind w:left="0" w:leftChars="0" w:firstLine="640"/>
        <w:outlineLvl w:val="2"/>
        <w:rPr>
          <w:rFonts w:ascii="仿宋" w:hAnsi="仿宋" w:eastAsia="仿宋"/>
          <w:b/>
          <w:bCs/>
          <w:color w:val="000000"/>
          <w:sz w:val="32"/>
          <w:szCs w:val="32"/>
        </w:rPr>
      </w:pPr>
      <w:bookmarkStart w:id="43" w:name="_Toc15377217"/>
      <w:r>
        <w:rPr>
          <w:rFonts w:hint="eastAsia" w:ascii="仿宋" w:hAnsi="仿宋" w:eastAsia="仿宋" w:cs="仿宋"/>
          <w:b/>
          <w:bCs/>
          <w:color w:val="000000"/>
          <w:sz w:val="32"/>
          <w:szCs w:val="32"/>
        </w:rPr>
        <w:t>（二）“三公”经费财政拨款支出决算具体情况说明</w:t>
      </w:r>
      <w:bookmarkEnd w:id="43"/>
    </w:p>
    <w:p w14:paraId="25F002A6">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42.81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。具体情况如下：</w:t>
      </w:r>
    </w:p>
    <w:p w14:paraId="4978CFD1">
      <w:pPr>
        <w:pStyle w:val="5"/>
        <w:jc w:val="center"/>
        <w:rPr>
          <w:rFonts w:hint="eastAsia" w:ascii="仿宋_GB2312" w:hAnsi="仿宋_GB2312" w:eastAsia="仿宋_GB2312" w:cs="仿宋_GB2312"/>
          <w:color w:val="000000"/>
          <w:sz w:val="32"/>
          <w:szCs w:val="32"/>
        </w:rPr>
      </w:pPr>
      <w:r>
        <w:drawing>
          <wp:inline distT="0" distB="0" distL="114300" distR="114300">
            <wp:extent cx="4629785" cy="2658110"/>
            <wp:effectExtent l="4445" t="4445" r="13970" b="2349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AC2FB6">
      <w:pPr>
        <w:keepNext w:val="0"/>
        <w:keepLines w:val="0"/>
        <w:pageBreakBefore w:val="0"/>
        <w:kinsoku/>
        <w:wordWrap/>
        <w:overflowPunct/>
        <w:topLinePunct w:val="0"/>
        <w:bidi w:val="0"/>
        <w:spacing w:beforeAutospacing="0" w:afterAutospacing="0" w:line="560" w:lineRule="exact"/>
        <w:jc w:val="center"/>
      </w:pPr>
      <w:r>
        <w:rPr>
          <w:rFonts w:hint="eastAsia" w:ascii="仿宋" w:hAnsi="仿宋" w:eastAsia="仿宋" w:cs="仿宋"/>
          <w:color w:val="000000"/>
          <w:sz w:val="32"/>
          <w:szCs w:val="32"/>
        </w:rPr>
        <w:t>图</w:t>
      </w:r>
      <w:r>
        <w:rPr>
          <w:rFonts w:ascii="仿宋" w:hAnsi="仿宋" w:eastAsia="仿宋" w:cs="仿宋"/>
          <w:color w:val="000000"/>
          <w:sz w:val="32"/>
          <w:szCs w:val="32"/>
        </w:rPr>
        <w:t>7</w:t>
      </w:r>
      <w:r>
        <w:rPr>
          <w:rFonts w:hint="eastAsia" w:ascii="仿宋" w:hAnsi="仿宋" w:eastAsia="仿宋" w:cs="仿宋"/>
          <w:color w:val="000000"/>
          <w:sz w:val="32"/>
          <w:szCs w:val="32"/>
        </w:rPr>
        <w:t>：“三公”经费财政拨款支出结构</w:t>
      </w:r>
    </w:p>
    <w:p w14:paraId="32BD1466">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因公出国（境）经费支出0万元，完成预算0%。全年安排因公出国（境）团组0次，出国（境）0人。因公出国（境）支出决算比202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年增加/减少0万元，增长/下降0%</w:t>
      </w:r>
    </w:p>
    <w:p w14:paraId="25DCD412">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公务用车购置及运行维护费支出</w:t>
      </w:r>
      <w:r>
        <w:rPr>
          <w:rFonts w:hint="eastAsia" w:ascii="仿宋_GB2312" w:hAnsi="仿宋_GB2312" w:eastAsia="仿宋_GB2312" w:cs="仿宋_GB2312"/>
          <w:color w:val="000000"/>
          <w:sz w:val="32"/>
          <w:szCs w:val="32"/>
          <w:lang w:val="en-US" w:eastAsia="zh-CN"/>
        </w:rPr>
        <w:t>42.81</w:t>
      </w:r>
      <w:r>
        <w:rPr>
          <w:rFonts w:hint="eastAsia" w:ascii="仿宋_GB2312" w:hAnsi="仿宋_GB2312" w:eastAsia="仿宋_GB2312" w:cs="仿宋_GB2312"/>
          <w:color w:val="000000"/>
          <w:sz w:val="32"/>
          <w:szCs w:val="32"/>
        </w:rPr>
        <w:t>万元,完成预算100%。公务用车购置及运行维护费支出决算比202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9.51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5.6</w:t>
      </w:r>
      <w:r>
        <w:rPr>
          <w:rFonts w:hint="eastAsia" w:ascii="仿宋_GB2312" w:hAnsi="仿宋_GB2312" w:eastAsia="仿宋_GB2312" w:cs="仿宋_GB2312"/>
          <w:color w:val="000000"/>
          <w:sz w:val="32"/>
          <w:szCs w:val="32"/>
        </w:rPr>
        <w:t>%。主要原因是202</w:t>
      </w:r>
      <w:r>
        <w:rPr>
          <w:rFonts w:hint="eastAsia" w:ascii="仿宋_GB2312" w:hAnsi="仿宋_GB2312" w:eastAsia="仿宋_GB2312" w:cs="仿宋_GB2312"/>
          <w:color w:val="000000"/>
          <w:sz w:val="32"/>
          <w:szCs w:val="32"/>
          <w:lang w:val="en-US" w:eastAsia="zh-CN"/>
        </w:rPr>
        <w:t>2年案件有所增长，出差增加，费用相应增加</w:t>
      </w:r>
      <w:r>
        <w:rPr>
          <w:rFonts w:hint="eastAsia" w:ascii="仿宋_GB2312" w:hAnsi="仿宋_GB2312" w:eastAsia="仿宋_GB2312" w:cs="仿宋_GB2312"/>
          <w:color w:val="000000"/>
          <w:sz w:val="32"/>
          <w:szCs w:val="32"/>
        </w:rPr>
        <w:t>。</w:t>
      </w:r>
    </w:p>
    <w:p w14:paraId="61896604">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其中：公务用车购置支出0万元。全年按规定更新购置公务用车0辆，金额0万元。截至20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月底，单位共有公务用车</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辆，其中：主要领导干部用车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辆、机要通信用车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辆、应急保障用车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执法执勤用车</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辆。</w:t>
      </w:r>
    </w:p>
    <w:p w14:paraId="039ABAC0">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42.81</w:t>
      </w:r>
      <w:r>
        <w:rPr>
          <w:rFonts w:hint="eastAsia" w:ascii="仿宋_GB2312" w:hAnsi="仿宋_GB2312" w:eastAsia="仿宋_GB2312" w:cs="仿宋_GB2312"/>
          <w:color w:val="000000"/>
          <w:sz w:val="32"/>
          <w:szCs w:val="32"/>
        </w:rPr>
        <w:t>万元。主要用于办理案件等所需的公务用车燃料费、维修费、过路过桥费、保险费等支出。</w:t>
      </w:r>
    </w:p>
    <w:p w14:paraId="1AD0F809">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万元。公务接待费支出决算比</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2.25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。主要原因是按照规定厉行节约。</w:t>
      </w:r>
    </w:p>
    <w:p w14:paraId="7EB95C59">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14:paraId="28660939">
      <w:pPr>
        <w:keepNext w:val="0"/>
        <w:keepLines w:val="0"/>
        <w:pageBreakBefore w:val="0"/>
        <w:kinsoku/>
        <w:wordWrap/>
        <w:overflowPunct/>
        <w:topLinePunct w:val="0"/>
        <w:bidi w:val="0"/>
        <w:spacing w:beforeAutospacing="0" w:afterAutospacing="0" w:line="56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万元，外事接待</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批次，</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人，共计支出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元。</w:t>
      </w:r>
    </w:p>
    <w:p w14:paraId="6F2F8FB3">
      <w:pPr>
        <w:keepNext w:val="0"/>
        <w:keepLines w:val="0"/>
        <w:pageBreakBefore w:val="0"/>
        <w:kinsoku/>
        <w:wordWrap/>
        <w:overflowPunct/>
        <w:topLinePunct w:val="0"/>
        <w:bidi w:val="0"/>
        <w:spacing w:beforeAutospacing="0" w:afterAutospacing="0" w:line="560" w:lineRule="exact"/>
        <w:ind w:left="0" w:leftChars="0" w:firstLine="640"/>
        <w:outlineLvl w:val="1"/>
        <w:rPr>
          <w:rStyle w:val="19"/>
          <w:rFonts w:ascii="黑体" w:hAnsi="黑体" w:eastAsia="黑体" w:cs="Times New Roman"/>
        </w:rPr>
      </w:pPr>
      <w:bookmarkStart w:id="44" w:name="_Toc15396610"/>
      <w:bookmarkStart w:id="45" w:name="_Toc15377218"/>
      <w:r>
        <w:rPr>
          <w:rFonts w:hint="eastAsia" w:ascii="黑体" w:eastAsia="黑体" w:cs="黑体"/>
          <w:color w:val="000000"/>
          <w:sz w:val="32"/>
          <w:szCs w:val="32"/>
        </w:rPr>
        <w:t>八、</w:t>
      </w:r>
      <w:r>
        <w:rPr>
          <w:rStyle w:val="19"/>
          <w:rFonts w:hint="eastAsia" w:ascii="黑体" w:hAnsi="黑体" w:eastAsia="黑体" w:cs="黑体"/>
          <w:b w:val="0"/>
          <w:bCs w:val="0"/>
        </w:rPr>
        <w:t>政府性基金预算支出决算情况说明</w:t>
      </w:r>
      <w:bookmarkEnd w:id="44"/>
      <w:bookmarkEnd w:id="45"/>
    </w:p>
    <w:p w14:paraId="5B99992B">
      <w:pPr>
        <w:keepNext w:val="0"/>
        <w:keepLines w:val="0"/>
        <w:pageBreakBefore w:val="0"/>
        <w:kinsoku/>
        <w:wordWrap/>
        <w:overflowPunct/>
        <w:topLinePunct w:val="0"/>
        <w:bidi w:val="0"/>
        <w:spacing w:beforeAutospacing="0" w:afterAutospacing="0" w:line="560" w:lineRule="exact"/>
        <w:ind w:left="0" w:leftChars="0"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53431033">
      <w:pPr>
        <w:keepNext w:val="0"/>
        <w:keepLines w:val="0"/>
        <w:pageBreakBefore w:val="0"/>
        <w:numPr>
          <w:ilvl w:val="0"/>
          <w:numId w:val="1"/>
        </w:numPr>
        <w:kinsoku/>
        <w:wordWrap/>
        <w:overflowPunct/>
        <w:topLinePunct w:val="0"/>
        <w:bidi w:val="0"/>
        <w:spacing w:beforeAutospacing="0" w:afterAutospacing="0" w:line="560" w:lineRule="exact"/>
        <w:ind w:left="0" w:leftChars="0" w:firstLine="640"/>
        <w:outlineLvl w:val="1"/>
        <w:rPr>
          <w:rStyle w:val="19"/>
          <w:rFonts w:ascii="黑体" w:hAnsi="黑体" w:eastAsia="黑体" w:cs="Times New Roman"/>
          <w:b w:val="0"/>
          <w:bCs w:val="0"/>
        </w:rPr>
      </w:pPr>
      <w:bookmarkStart w:id="46" w:name="_Toc15377219"/>
      <w:bookmarkStart w:id="47" w:name="_Toc15396611"/>
      <w:r>
        <w:rPr>
          <w:rStyle w:val="19"/>
          <w:rFonts w:hint="eastAsia" w:ascii="黑体" w:hAnsi="黑体" w:eastAsia="黑体" w:cs="黑体"/>
          <w:b w:val="0"/>
          <w:bCs w:val="0"/>
        </w:rPr>
        <w:t>国有资本经营预算支出决算情况说明</w:t>
      </w:r>
      <w:bookmarkEnd w:id="46"/>
      <w:bookmarkEnd w:id="47"/>
    </w:p>
    <w:p w14:paraId="6F31BC14">
      <w:pPr>
        <w:keepNext w:val="0"/>
        <w:keepLines w:val="0"/>
        <w:pageBreakBefore w:val="0"/>
        <w:kinsoku/>
        <w:wordWrap/>
        <w:overflowPunct/>
        <w:topLinePunct w:val="0"/>
        <w:bidi w:val="0"/>
        <w:spacing w:beforeAutospacing="0" w:afterAutospacing="0" w:line="560" w:lineRule="exact"/>
        <w:ind w:left="0" w:leftChars="0" w:firstLine="640"/>
        <w:rPr>
          <w:rFonts w:ascii="方正小标宋简体" w:hAnsi="方正小标宋简体" w:eastAsia="方正小标宋简体"/>
          <w:sz w:val="44"/>
          <w:szCs w:val="44"/>
        </w:rPr>
      </w:pP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03443CE8">
      <w:pPr>
        <w:keepNext w:val="0"/>
        <w:keepLines w:val="0"/>
        <w:pageBreakBefore w:val="0"/>
        <w:kinsoku/>
        <w:wordWrap/>
        <w:overflowPunct/>
        <w:topLinePunct w:val="0"/>
        <w:bidi w:val="0"/>
        <w:spacing w:beforeAutospacing="0" w:afterAutospacing="0" w:line="560" w:lineRule="exact"/>
        <w:ind w:left="0" w:leftChars="0" w:firstLine="800" w:firstLineChars="250"/>
        <w:outlineLvl w:val="1"/>
        <w:rPr>
          <w:rStyle w:val="19"/>
          <w:rFonts w:ascii="黑体" w:hAnsi="黑体" w:eastAsia="黑体" w:cs="Times New Roman"/>
        </w:rPr>
      </w:pPr>
      <w:bookmarkStart w:id="48" w:name="_Toc15377221"/>
      <w:bookmarkStart w:id="49" w:name="_Toc15396612"/>
      <w:r>
        <w:rPr>
          <w:rFonts w:hint="eastAsia" w:ascii="黑体" w:hAnsi="黑体" w:eastAsia="黑体" w:cs="黑体"/>
          <w:color w:val="000000"/>
          <w:sz w:val="32"/>
          <w:szCs w:val="32"/>
        </w:rPr>
        <w:t>十</w:t>
      </w:r>
      <w:r>
        <w:rPr>
          <w:rStyle w:val="19"/>
          <w:rFonts w:hint="eastAsia" w:ascii="黑体" w:hAnsi="黑体" w:eastAsia="黑体" w:cs="黑体"/>
        </w:rPr>
        <w:t>、</w:t>
      </w:r>
      <w:r>
        <w:rPr>
          <w:rStyle w:val="19"/>
          <w:rFonts w:hint="eastAsia" w:ascii="黑体" w:hAnsi="黑体" w:eastAsia="黑体" w:cs="黑体"/>
          <w:b w:val="0"/>
          <w:bCs w:val="0"/>
        </w:rPr>
        <w:t>其他重要事项的情况说明</w:t>
      </w:r>
      <w:bookmarkEnd w:id="48"/>
      <w:bookmarkEnd w:id="49"/>
    </w:p>
    <w:p w14:paraId="329679D7">
      <w:pPr>
        <w:keepNext w:val="0"/>
        <w:keepLines w:val="0"/>
        <w:pageBreakBefore w:val="0"/>
        <w:kinsoku/>
        <w:wordWrap/>
        <w:overflowPunct/>
        <w:topLinePunct w:val="0"/>
        <w:bidi w:val="0"/>
        <w:spacing w:beforeAutospacing="0" w:afterAutospacing="0" w:line="560" w:lineRule="exact"/>
        <w:ind w:left="0" w:leftChars="0" w:firstLine="643" w:firstLineChars="200"/>
        <w:outlineLvl w:val="2"/>
        <w:rPr>
          <w:rFonts w:ascii="仿宋" w:hAnsi="仿宋" w:eastAsia="仿宋"/>
          <w:color w:val="000000"/>
          <w:sz w:val="32"/>
          <w:szCs w:val="32"/>
        </w:rPr>
      </w:pPr>
      <w:bookmarkStart w:id="50" w:name="_Toc15377222"/>
      <w:r>
        <w:rPr>
          <w:rFonts w:hint="eastAsia" w:ascii="仿宋" w:hAnsi="仿宋" w:eastAsia="仿宋" w:cs="仿宋"/>
          <w:b/>
          <w:bCs/>
          <w:color w:val="000000"/>
          <w:sz w:val="32"/>
          <w:szCs w:val="32"/>
        </w:rPr>
        <w:t>（一）机关运行经费支出情况</w:t>
      </w:r>
      <w:bookmarkEnd w:id="50"/>
    </w:p>
    <w:p w14:paraId="63CB374F">
      <w:pPr>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仿宋_GB2312" w:eastAsia="仿宋_GB2312" w:cs="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年，机关运行经费支出</w:t>
      </w:r>
      <w:r>
        <w:rPr>
          <w:rFonts w:hint="eastAsia" w:ascii="仿宋_GB2312" w:eastAsia="仿宋_GB2312" w:cs="仿宋_GB2312"/>
          <w:color w:val="000000"/>
          <w:sz w:val="32"/>
          <w:szCs w:val="32"/>
          <w:lang w:val="en-US" w:eastAsia="zh-CN"/>
        </w:rPr>
        <w:t>135.94</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年机关运行经费支出</w:t>
      </w:r>
      <w:r>
        <w:rPr>
          <w:rFonts w:ascii="仿宋_GB2312" w:eastAsia="仿宋_GB2312" w:cs="仿宋_GB2312"/>
          <w:color w:val="000000"/>
          <w:sz w:val="32"/>
          <w:szCs w:val="32"/>
        </w:rPr>
        <w:t>13</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w:t>
      </w:r>
      <w:r>
        <w:rPr>
          <w:rFonts w:hint="eastAsia" w:ascii="仿宋_GB2312" w:eastAsia="仿宋_GB2312" w:cs="仿宋_GB2312"/>
          <w:color w:val="000000"/>
          <w:sz w:val="32"/>
          <w:szCs w:val="32"/>
          <w:lang w:val="en-US" w:eastAsia="zh-CN"/>
        </w:rPr>
        <w:t>4.94</w:t>
      </w:r>
      <w:r>
        <w:rPr>
          <w:rFonts w:hint="eastAsia" w:ascii="仿宋_GB2312" w:eastAsia="仿宋_GB2312" w:cs="仿宋_GB2312"/>
          <w:color w:val="000000"/>
          <w:sz w:val="32"/>
          <w:szCs w:val="32"/>
        </w:rPr>
        <w:t>万元。</w:t>
      </w:r>
    </w:p>
    <w:p w14:paraId="254E36C2">
      <w:pPr>
        <w:keepNext w:val="0"/>
        <w:keepLines w:val="0"/>
        <w:pageBreakBefore w:val="0"/>
        <w:kinsoku/>
        <w:wordWrap/>
        <w:overflowPunct/>
        <w:topLinePunct w:val="0"/>
        <w:autoSpaceDE w:val="0"/>
        <w:autoSpaceDN w:val="0"/>
        <w:bidi w:val="0"/>
        <w:adjustRightInd w:val="0"/>
        <w:spacing w:beforeAutospacing="0" w:afterAutospacing="0" w:line="560" w:lineRule="exact"/>
        <w:ind w:left="0" w:leftChars="0" w:firstLine="643" w:firstLineChars="200"/>
        <w:jc w:val="left"/>
        <w:outlineLvl w:val="2"/>
        <w:rPr>
          <w:rFonts w:ascii="仿宋" w:hAnsi="仿宋" w:eastAsia="仿宋"/>
          <w:b/>
          <w:bCs/>
          <w:color w:val="000000"/>
          <w:sz w:val="32"/>
          <w:szCs w:val="32"/>
        </w:rPr>
      </w:pPr>
      <w:bookmarkStart w:id="51" w:name="_Toc15377223"/>
      <w:r>
        <w:rPr>
          <w:rFonts w:hint="eastAsia" w:ascii="仿宋" w:hAnsi="仿宋" w:eastAsia="仿宋" w:cs="仿宋"/>
          <w:b/>
          <w:bCs/>
          <w:color w:val="000000"/>
          <w:sz w:val="32"/>
          <w:szCs w:val="32"/>
        </w:rPr>
        <w:t>（二）政府采购支出情况</w:t>
      </w:r>
      <w:bookmarkEnd w:id="51"/>
    </w:p>
    <w:p w14:paraId="6B76BCAD">
      <w:pPr>
        <w:keepNext w:val="0"/>
        <w:keepLines w:val="0"/>
        <w:pageBreakBefore w:val="0"/>
        <w:kinsoku/>
        <w:wordWrap/>
        <w:overflowPunct/>
        <w:topLinePunct w:val="0"/>
        <w:bidi w:val="0"/>
        <w:spacing w:beforeAutospacing="0" w:afterAutospacing="0" w:line="560" w:lineRule="exact"/>
        <w:ind w:left="0" w:leftChars="0" w:firstLine="640" w:firstLineChars="20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年，政府采购支出总额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万元。主要用于购买办公设备及家具用具。授予中小企业合同金额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14:paraId="41626721">
      <w:pPr>
        <w:keepNext w:val="0"/>
        <w:keepLines w:val="0"/>
        <w:pageBreakBefore w:val="0"/>
        <w:kinsoku/>
        <w:wordWrap/>
        <w:overflowPunct/>
        <w:topLinePunct w:val="0"/>
        <w:autoSpaceDE w:val="0"/>
        <w:autoSpaceDN w:val="0"/>
        <w:bidi w:val="0"/>
        <w:adjustRightInd w:val="0"/>
        <w:spacing w:beforeAutospacing="0" w:afterAutospacing="0" w:line="560" w:lineRule="exact"/>
        <w:ind w:left="0" w:leftChars="0" w:firstLine="643" w:firstLineChars="200"/>
        <w:jc w:val="left"/>
        <w:outlineLvl w:val="2"/>
        <w:rPr>
          <w:rFonts w:ascii="仿宋" w:hAnsi="仿宋" w:eastAsia="仿宋"/>
          <w:b/>
          <w:bCs/>
          <w:color w:val="000000"/>
          <w:sz w:val="32"/>
          <w:szCs w:val="32"/>
        </w:rPr>
      </w:pPr>
      <w:bookmarkStart w:id="52" w:name="_Toc15377224"/>
      <w:r>
        <w:rPr>
          <w:rFonts w:hint="eastAsia" w:ascii="仿宋" w:hAnsi="仿宋" w:eastAsia="仿宋" w:cs="仿宋"/>
          <w:b/>
          <w:bCs/>
          <w:color w:val="000000"/>
          <w:sz w:val="32"/>
          <w:szCs w:val="32"/>
        </w:rPr>
        <w:t>（三）国有资产占有使用情况</w:t>
      </w:r>
      <w:bookmarkEnd w:id="52"/>
    </w:p>
    <w:p w14:paraId="14F11DB8">
      <w:pPr>
        <w:keepNext w:val="0"/>
        <w:keepLines w:val="0"/>
        <w:pageBreakBefore w:val="0"/>
        <w:kinsoku/>
        <w:wordWrap/>
        <w:overflowPunct/>
        <w:topLinePunct w:val="0"/>
        <w:autoSpaceDE w:val="0"/>
        <w:autoSpaceDN w:val="0"/>
        <w:bidi w:val="0"/>
        <w:adjustRightInd w:val="0"/>
        <w:spacing w:beforeAutospacing="0" w:afterAutospacing="0" w:line="560" w:lineRule="exact"/>
        <w:ind w:left="0" w:leftChars="0"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日，共有车辆</w:t>
      </w:r>
      <w:r>
        <w:rPr>
          <w:rFonts w:ascii="仿宋_GB2312" w:eastAsia="仿宋_GB2312" w:cs="仿宋_GB2312"/>
          <w:color w:val="000000"/>
          <w:sz w:val="32"/>
          <w:szCs w:val="32"/>
        </w:rPr>
        <w:t>15</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辆、一般执法执勤车辆</w:t>
      </w:r>
      <w:r>
        <w:rPr>
          <w:rFonts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14:paraId="7CDAEF95">
      <w:pPr>
        <w:keepNext w:val="0"/>
        <w:keepLines w:val="0"/>
        <w:pageBreakBefore w:val="0"/>
        <w:kinsoku/>
        <w:wordWrap/>
        <w:overflowPunct/>
        <w:topLinePunct w:val="0"/>
        <w:autoSpaceDE w:val="0"/>
        <w:autoSpaceDN w:val="0"/>
        <w:bidi w:val="0"/>
        <w:adjustRightInd w:val="0"/>
        <w:spacing w:beforeAutospacing="0" w:afterAutospacing="0" w:line="560" w:lineRule="exact"/>
        <w:ind w:left="0" w:leftChars="0"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（四）预算绩效管理情况。</w:t>
      </w:r>
    </w:p>
    <w:p w14:paraId="0E16AEEB">
      <w:pPr>
        <w:pStyle w:val="2"/>
        <w:ind w:firstLine="640" w:firstLineChars="200"/>
        <w:rPr>
          <w:color w:val="auto"/>
          <w:highlight w:val="yellow"/>
        </w:rPr>
      </w:pPr>
      <w:r>
        <w:rPr>
          <w:rFonts w:hint="eastAsia" w:ascii="仿宋_GB2312" w:eastAsia="仿宋_GB2312" w:cs="仿宋_GB2312"/>
          <w:color w:val="auto"/>
          <w:sz w:val="32"/>
          <w:szCs w:val="32"/>
          <w:highlight w:val="none"/>
        </w:rPr>
        <w:t>根据预算绩效管理要求，本单位在202</w:t>
      </w:r>
      <w:r>
        <w:rPr>
          <w:rFonts w:hint="eastAsia" w:cs="仿宋_GB2312"/>
          <w:color w:val="auto"/>
          <w:sz w:val="32"/>
          <w:szCs w:val="32"/>
          <w:highlight w:val="none"/>
          <w:lang w:val="en-US" w:eastAsia="zh-CN"/>
        </w:rPr>
        <w:t>2</w:t>
      </w:r>
      <w:r>
        <w:rPr>
          <w:rFonts w:hint="eastAsia" w:ascii="仿宋_GB2312" w:eastAsia="仿宋_GB2312" w:cs="仿宋_GB2312"/>
          <w:color w:val="auto"/>
          <w:sz w:val="32"/>
          <w:szCs w:val="32"/>
          <w:highlight w:val="none"/>
        </w:rPr>
        <w:t>年度预算编制阶段，组织对</w:t>
      </w:r>
      <w:r>
        <w:rPr>
          <w:rFonts w:hint="eastAsia" w:cs="仿宋_GB2312"/>
          <w:color w:val="auto"/>
          <w:sz w:val="32"/>
          <w:szCs w:val="32"/>
          <w:highlight w:val="none"/>
          <w:lang w:eastAsia="zh-CN"/>
        </w:rPr>
        <w:t>聘用人员经费</w:t>
      </w:r>
      <w:r>
        <w:rPr>
          <w:rFonts w:hint="eastAsia" w:ascii="仿宋_GB2312" w:eastAsia="仿宋_GB2312" w:cs="仿宋_GB2312"/>
          <w:color w:val="auto"/>
          <w:sz w:val="32"/>
          <w:szCs w:val="32"/>
          <w:highlight w:val="none"/>
        </w:rPr>
        <w:t>项</w:t>
      </w:r>
      <w:r>
        <w:rPr>
          <w:rFonts w:hint="eastAsia" w:cs="仿宋_GB2312"/>
          <w:color w:val="auto"/>
          <w:sz w:val="32"/>
          <w:szCs w:val="32"/>
          <w:highlight w:val="none"/>
          <w:lang w:eastAsia="zh-CN"/>
        </w:rPr>
        <w:t>目</w:t>
      </w:r>
      <w:r>
        <w:rPr>
          <w:rFonts w:hint="eastAsia" w:ascii="仿宋_GB2312" w:eastAsia="仿宋_GB2312" w:cs="仿宋_GB2312"/>
          <w:color w:val="auto"/>
          <w:sz w:val="32"/>
          <w:szCs w:val="32"/>
          <w:highlight w:val="none"/>
        </w:rPr>
        <w:t>等</w:t>
      </w:r>
      <w:r>
        <w:rPr>
          <w:rFonts w:hint="eastAsia" w:cs="仿宋_GB2312"/>
          <w:color w:val="auto"/>
          <w:sz w:val="32"/>
          <w:szCs w:val="32"/>
          <w:highlight w:val="none"/>
          <w:lang w:val="en-US" w:eastAsia="zh-CN"/>
        </w:rPr>
        <w:t>4</w:t>
      </w:r>
      <w:r>
        <w:rPr>
          <w:rFonts w:hint="eastAsia" w:ascii="仿宋_GB2312" w:eastAsia="仿宋_GB2312" w:cs="仿宋_GB2312"/>
          <w:color w:val="auto"/>
          <w:sz w:val="32"/>
          <w:szCs w:val="32"/>
          <w:highlight w:val="none"/>
        </w:rPr>
        <w:t>个项目开展了预算事前绩效评估，对</w:t>
      </w:r>
      <w:r>
        <w:rPr>
          <w:rFonts w:hint="eastAsia" w:cs="仿宋_GB2312"/>
          <w:color w:val="auto"/>
          <w:sz w:val="32"/>
          <w:szCs w:val="32"/>
          <w:highlight w:val="none"/>
          <w:lang w:val="en-US" w:eastAsia="zh-CN"/>
        </w:rPr>
        <w:t>4</w:t>
      </w:r>
      <w:r>
        <w:rPr>
          <w:rFonts w:hint="eastAsia" w:ascii="仿宋_GB2312" w:eastAsia="仿宋_GB2312" w:cs="仿宋_GB2312"/>
          <w:color w:val="auto"/>
          <w:sz w:val="32"/>
          <w:szCs w:val="32"/>
          <w:highlight w:val="none"/>
        </w:rPr>
        <w:t>个项目编制了绩效目标，预算执行过程中，选取</w:t>
      </w:r>
      <w:r>
        <w:rPr>
          <w:rFonts w:hint="eastAsia" w:cs="仿宋_GB2312"/>
          <w:color w:val="auto"/>
          <w:sz w:val="32"/>
          <w:szCs w:val="32"/>
          <w:highlight w:val="none"/>
          <w:lang w:val="en-US" w:eastAsia="zh-CN"/>
        </w:rPr>
        <w:t>4</w:t>
      </w:r>
      <w:r>
        <w:rPr>
          <w:rFonts w:hint="eastAsia" w:ascii="仿宋_GB2312" w:eastAsia="仿宋_GB2312" w:cs="仿宋_GB2312"/>
          <w:color w:val="auto"/>
          <w:sz w:val="32"/>
          <w:szCs w:val="32"/>
          <w:highlight w:val="none"/>
        </w:rPr>
        <w:t>个项目开展绩效监控，组织对</w:t>
      </w:r>
      <w:r>
        <w:rPr>
          <w:rFonts w:hint="eastAsia" w:cs="仿宋_GB2312"/>
          <w:color w:val="auto"/>
          <w:sz w:val="32"/>
          <w:szCs w:val="32"/>
          <w:highlight w:val="none"/>
          <w:lang w:val="en-US" w:eastAsia="zh-CN"/>
        </w:rPr>
        <w:t>4</w:t>
      </w:r>
      <w:r>
        <w:rPr>
          <w:rFonts w:hint="eastAsia" w:ascii="仿宋_GB2312" w:eastAsia="仿宋_GB2312" w:cs="仿宋_GB2312"/>
          <w:color w:val="auto"/>
          <w:sz w:val="32"/>
          <w:szCs w:val="32"/>
          <w:highlight w:val="none"/>
        </w:rPr>
        <w:t>个项目开展绩效自评，绩效自评表详见</w:t>
      </w:r>
      <w:r>
        <w:rPr>
          <w:rFonts w:hint="eastAsia" w:cs="仿宋_GB2312"/>
          <w:color w:val="auto"/>
          <w:sz w:val="32"/>
          <w:szCs w:val="32"/>
          <w:highlight w:val="none"/>
          <w:lang w:eastAsia="zh-CN"/>
        </w:rPr>
        <w:t>第四部分</w:t>
      </w:r>
      <w:r>
        <w:rPr>
          <w:rFonts w:hint="eastAsia" w:ascii="仿宋_GB2312" w:eastAsia="仿宋_GB2312" w:cs="仿宋_GB2312"/>
          <w:color w:val="auto"/>
          <w:sz w:val="32"/>
          <w:szCs w:val="32"/>
          <w:highlight w:val="none"/>
        </w:rPr>
        <w:t>附件。</w:t>
      </w:r>
    </w:p>
    <w:p w14:paraId="6C3B34AF">
      <w:pPr>
        <w:keepNext w:val="0"/>
        <w:keepLines w:val="0"/>
        <w:pageBreakBefore w:val="0"/>
        <w:kinsoku/>
        <w:wordWrap/>
        <w:overflowPunct/>
        <w:topLinePunct w:val="0"/>
        <w:bidi w:val="0"/>
        <w:spacing w:beforeAutospacing="0" w:afterAutospacing="0" w:line="560" w:lineRule="exact"/>
        <w:ind w:left="0" w:leftChars="0" w:firstLine="640" w:firstLineChars="200"/>
        <w:rPr>
          <w:rFonts w:ascii="仿宋_GB2312" w:hAnsi="仿宋_GB2312" w:eastAsia="仿宋_GB2312"/>
          <w:sz w:val="32"/>
          <w:szCs w:val="32"/>
        </w:rPr>
      </w:pPr>
    </w:p>
    <w:p w14:paraId="07612B9A">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14:paraId="74FCAA21">
      <w:pPr>
        <w:numPr>
          <w:ilvl w:val="0"/>
          <w:numId w:val="2"/>
        </w:numPr>
        <w:spacing w:line="600" w:lineRule="exact"/>
        <w:ind w:firstLine="660" w:firstLineChars="150"/>
        <w:jc w:val="center"/>
        <w:outlineLvl w:val="0"/>
        <w:rPr>
          <w:rStyle w:val="18"/>
          <w:rFonts w:ascii="黑体" w:hAnsi="黑体" w:eastAsia="黑体"/>
          <w:b w:val="0"/>
          <w:bCs w:val="0"/>
        </w:rPr>
      </w:pPr>
      <w:bookmarkStart w:id="53" w:name="_Toc15377225"/>
      <w:bookmarkStart w:id="54" w:name="_Toc15396613"/>
      <w:r>
        <w:rPr>
          <w:rFonts w:hint="eastAsia" w:ascii="黑体" w:hAnsi="黑体" w:eastAsia="黑体" w:cs="黑体"/>
          <w:color w:val="000000"/>
          <w:sz w:val="44"/>
          <w:szCs w:val="44"/>
        </w:rPr>
        <w:t>名</w:t>
      </w:r>
      <w:r>
        <w:rPr>
          <w:rStyle w:val="18"/>
          <w:rFonts w:hint="eastAsia" w:ascii="黑体" w:hAnsi="黑体" w:eastAsia="黑体" w:cs="黑体"/>
          <w:b w:val="0"/>
          <w:bCs w:val="0"/>
        </w:rPr>
        <w:t>词解释</w:t>
      </w:r>
      <w:bookmarkEnd w:id="53"/>
      <w:bookmarkEnd w:id="54"/>
    </w:p>
    <w:p w14:paraId="44719A0C">
      <w:pPr>
        <w:spacing w:line="600" w:lineRule="exact"/>
        <w:jc w:val="left"/>
        <w:rPr>
          <w:rFonts w:ascii="宋?"/>
          <w:b/>
          <w:bCs/>
          <w:color w:val="000000"/>
          <w:sz w:val="44"/>
          <w:szCs w:val="44"/>
        </w:rPr>
      </w:pPr>
    </w:p>
    <w:p w14:paraId="7808A43B">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14:paraId="173FBDCC">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14:paraId="03CABAEB">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14:paraId="4C82B730">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14:paraId="16C62864">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14:paraId="01511463">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14:paraId="19A2F7D1">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14:paraId="35F0601F">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14:paraId="486363D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一般公共服务</w:t>
      </w:r>
      <w:r>
        <w:rPr>
          <w:rFonts w:ascii="仿宋_GB2312" w:eastAsia="仿宋_GB2312" w:cs="仿宋_GB2312"/>
          <w:color w:val="000000"/>
          <w:sz w:val="32"/>
          <w:szCs w:val="32"/>
        </w:rPr>
        <w:t>2040501</w:t>
      </w:r>
      <w:r>
        <w:rPr>
          <w:rFonts w:hint="eastAsia" w:ascii="仿宋_GB2312" w:eastAsia="仿宋_GB2312" w:cs="仿宋_GB2312"/>
          <w:color w:val="000000"/>
          <w:sz w:val="32"/>
          <w:szCs w:val="32"/>
        </w:rPr>
        <w:t>行政运行：指用于职工工资、办公费等维持日常工作开展的开支。</w:t>
      </w:r>
    </w:p>
    <w:p w14:paraId="56E4F3A1">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w:t>
      </w:r>
      <w:r>
        <w:rPr>
          <w:rFonts w:ascii="仿宋_GB2312" w:eastAsia="仿宋_GB2312" w:cs="仿宋_GB2312"/>
          <w:color w:val="000000"/>
          <w:sz w:val="32"/>
          <w:szCs w:val="32"/>
        </w:rPr>
        <w:t>2080505</w:t>
      </w:r>
      <w:r>
        <w:rPr>
          <w:rFonts w:hint="eastAsia" w:ascii="仿宋_GB2312" w:eastAsia="仿宋_GB2312" w:cs="仿宋_GB2312"/>
          <w:color w:val="000000"/>
          <w:sz w:val="32"/>
          <w:szCs w:val="32"/>
        </w:rPr>
        <w:t>机关事业单位基本养老保险缴费支出：指本单位职工应缴纳的基本养老保险缴费支出。</w:t>
      </w:r>
      <w:r>
        <w:rPr>
          <w:rFonts w:ascii="仿宋_GB2312" w:eastAsia="仿宋_GB2312" w:cs="仿宋_GB2312"/>
          <w:color w:val="000000"/>
          <w:sz w:val="32"/>
          <w:szCs w:val="32"/>
        </w:rPr>
        <w:t>2080506</w:t>
      </w:r>
      <w:r>
        <w:rPr>
          <w:rFonts w:hint="eastAsia" w:ascii="仿宋_GB2312" w:eastAsia="仿宋_GB2312" w:cs="仿宋_GB2312"/>
          <w:color w:val="000000"/>
          <w:sz w:val="32"/>
          <w:szCs w:val="32"/>
        </w:rPr>
        <w:t>机关事业单位职业年金缴费支出：指本单位职工应缴纳的职业年金缴费支出。</w:t>
      </w:r>
    </w:p>
    <w:p w14:paraId="77D791D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医疗卫生和计划生育</w:t>
      </w:r>
      <w:r>
        <w:rPr>
          <w:rFonts w:ascii="仿宋_GB2312" w:eastAsia="仿宋_GB2312" w:cs="仿宋_GB2312"/>
          <w:color w:val="000000"/>
          <w:sz w:val="32"/>
          <w:szCs w:val="32"/>
        </w:rPr>
        <w:t>2100501</w:t>
      </w:r>
      <w:r>
        <w:rPr>
          <w:rFonts w:hint="eastAsia" w:ascii="仿宋_GB2312" w:eastAsia="仿宋_GB2312" w:cs="仿宋_GB2312"/>
          <w:color w:val="000000"/>
          <w:sz w:val="32"/>
          <w:szCs w:val="32"/>
        </w:rPr>
        <w:t>行政单位医疗：指本单位职工应缴纳的机关医疗保险支出。</w:t>
      </w:r>
    </w:p>
    <w:p w14:paraId="4A66B779">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b/>
          <w:bCs/>
          <w:i/>
          <w:iCs/>
          <w:color w:val="40404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2210201</w:t>
      </w:r>
      <w:r>
        <w:rPr>
          <w:rFonts w:hint="eastAsia" w:ascii="仿宋_GB2312" w:eastAsia="仿宋_GB2312" w:cs="仿宋_GB2312"/>
          <w:color w:val="000000"/>
          <w:sz w:val="32"/>
          <w:szCs w:val="32"/>
        </w:rPr>
        <w:t>住房公积金：指本单位应缴纳的住房公积金。</w:t>
      </w:r>
    </w:p>
    <w:p w14:paraId="58E5659D">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结余分配：指事业单位按规定提取的职工福利基金、事业基金和缴纳的所得税，以及建设单位按规定应交回的基本建设竣工项目结余资金。</w:t>
      </w:r>
    </w:p>
    <w:p w14:paraId="022C499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14.</w:t>
      </w:r>
      <w:r>
        <w:rPr>
          <w:rFonts w:hint="eastAsia" w:ascii="仿宋_GB2312" w:eastAsia="仿宋_GB2312" w:cs="仿宋_GB2312"/>
          <w:color w:val="000000"/>
          <w:sz w:val="32"/>
          <w:szCs w:val="32"/>
        </w:rPr>
        <w:t>年末结转和结余：指本年度或以前年度预算安排、因客观条件发生变化无法按原计划实施，需延迟到以后年度按有关规定继续使用的资金。</w:t>
      </w:r>
    </w:p>
    <w:p w14:paraId="054186F4">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14:paraId="191BFB1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14:paraId="728CC98E">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14:paraId="2CD1233D">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E928F7">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9A55DE">
      <w:pPr>
        <w:spacing w:line="600" w:lineRule="exact"/>
        <w:jc w:val="center"/>
        <w:outlineLvl w:val="0"/>
        <w:rPr>
          <w:rStyle w:val="18"/>
          <w:rFonts w:ascii="黑体" w:hAnsi="黑体" w:eastAsia="黑体"/>
          <w:b w:val="0"/>
          <w:bCs w:val="0"/>
        </w:rPr>
      </w:pPr>
      <w:bookmarkStart w:id="55" w:name="_Toc15377226"/>
      <w:r>
        <w:rPr>
          <w:rFonts w:ascii="宋?"/>
          <w:b/>
          <w:bCs/>
          <w:color w:val="000000"/>
          <w:sz w:val="44"/>
          <w:szCs w:val="44"/>
        </w:rPr>
        <w:br w:type="page"/>
      </w:r>
      <w:bookmarkStart w:id="56" w:name="_Toc15396614"/>
      <w:r>
        <w:rPr>
          <w:rFonts w:hint="eastAsia" w:ascii="黑体" w:hAnsi="黑体" w:eastAsia="黑体" w:cs="黑体"/>
          <w:color w:val="000000"/>
          <w:sz w:val="44"/>
          <w:szCs w:val="44"/>
        </w:rPr>
        <w:t>第</w:t>
      </w:r>
      <w:r>
        <w:rPr>
          <w:rStyle w:val="18"/>
          <w:rFonts w:hint="eastAsia" w:ascii="黑体" w:hAnsi="黑体" w:eastAsia="黑体" w:cs="黑体"/>
          <w:b w:val="0"/>
          <w:bCs w:val="0"/>
        </w:rPr>
        <w:t>四部分</w:t>
      </w:r>
      <w:r>
        <w:rPr>
          <w:rStyle w:val="18"/>
          <w:rFonts w:ascii="黑体" w:hAnsi="黑体" w:eastAsia="黑体" w:cs="黑体"/>
          <w:b w:val="0"/>
          <w:bCs w:val="0"/>
        </w:rPr>
        <w:t xml:space="preserve"> </w:t>
      </w:r>
      <w:r>
        <w:rPr>
          <w:rStyle w:val="18"/>
          <w:rFonts w:hint="eastAsia" w:ascii="黑体" w:hAnsi="黑体" w:eastAsia="黑体" w:cs="黑体"/>
          <w:b w:val="0"/>
          <w:bCs w:val="0"/>
        </w:rPr>
        <w:t>附件</w:t>
      </w:r>
      <w:bookmarkEnd w:id="56"/>
    </w:p>
    <w:tbl>
      <w:tblPr>
        <w:tblStyle w:val="14"/>
        <w:tblW w:w="11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1FD6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103EE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464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747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B5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51000021R000000019954-聘用人员经费</w:t>
            </w:r>
          </w:p>
        </w:tc>
      </w:tr>
      <w:tr w14:paraId="504C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D26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8E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汶川县人民法院部门</w:t>
            </w:r>
          </w:p>
        </w:tc>
        <w:tc>
          <w:tcPr>
            <w:tcW w:w="1080" w:type="dxa"/>
            <w:tcBorders>
              <w:top w:val="nil"/>
              <w:left w:val="nil"/>
              <w:bottom w:val="nil"/>
              <w:right w:val="nil"/>
            </w:tcBorders>
            <w:shd w:val="clear" w:color="auto" w:fill="auto"/>
            <w:vAlign w:val="center"/>
          </w:tcPr>
          <w:p w14:paraId="6DA787A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A0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w:t>
            </w:r>
          </w:p>
        </w:tc>
      </w:tr>
      <w:tr w14:paraId="0912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3D4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82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55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ADB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5A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EEB4">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77CB">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0D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A40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严格执行了相关政策，保障工资及时发放、足额发放。</w:t>
            </w:r>
          </w:p>
        </w:tc>
      </w:tr>
      <w:tr w14:paraId="2E8B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C622">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E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BCF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用于聘用人员工资发放。</w:t>
            </w:r>
          </w:p>
        </w:tc>
      </w:tr>
      <w:tr w14:paraId="20A4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92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B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05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A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8A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76B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4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89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FA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88395">
            <w:pPr>
              <w:rPr>
                <w:rFonts w:hint="eastAsia" w:ascii="黑体" w:hAnsi="黑体" w:eastAsia="黑体" w:cs="黑体"/>
                <w:i/>
                <w:iCs/>
                <w:color w:val="000000"/>
                <w:sz w:val="18"/>
                <w:szCs w:val="18"/>
                <w:u w:val="none"/>
              </w:rPr>
            </w:pPr>
          </w:p>
        </w:tc>
      </w:tr>
      <w:tr w14:paraId="4F01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799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60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B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757C">
            <w:pPr>
              <w:rPr>
                <w:rFonts w:hint="eastAsia" w:ascii="黑体" w:hAnsi="黑体" w:eastAsia="黑体" w:cs="黑体"/>
                <w:i/>
                <w:iCs/>
                <w:color w:val="000000"/>
                <w:sz w:val="18"/>
                <w:szCs w:val="18"/>
                <w:u w:val="none"/>
              </w:rPr>
            </w:pPr>
          </w:p>
        </w:tc>
      </w:tr>
      <w:tr w14:paraId="7B0C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680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F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06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B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9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18F4">
            <w:pPr>
              <w:rPr>
                <w:rFonts w:hint="eastAsia" w:ascii="黑体" w:hAnsi="黑体" w:eastAsia="黑体" w:cs="黑体"/>
                <w:i/>
                <w:iCs/>
                <w:color w:val="000000"/>
                <w:sz w:val="18"/>
                <w:szCs w:val="18"/>
                <w:u w:val="none"/>
              </w:rPr>
            </w:pPr>
          </w:p>
        </w:tc>
      </w:tr>
      <w:tr w14:paraId="242C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AA3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B1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C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C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0B39">
            <w:pPr>
              <w:rPr>
                <w:rFonts w:hint="eastAsia" w:ascii="黑体" w:hAnsi="黑体" w:eastAsia="黑体" w:cs="黑体"/>
                <w:i/>
                <w:iCs/>
                <w:color w:val="000000"/>
                <w:sz w:val="18"/>
                <w:szCs w:val="18"/>
                <w:u w:val="none"/>
              </w:rPr>
            </w:pPr>
          </w:p>
        </w:tc>
      </w:tr>
      <w:tr w14:paraId="5C90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5E9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733">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468A">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470BA">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4063">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0947">
            <w:pPr>
              <w:rPr>
                <w:rFonts w:hint="eastAsia" w:ascii="黑体" w:hAnsi="黑体" w:eastAsia="黑体" w:cs="黑体"/>
                <w:i/>
                <w:iCs/>
                <w:color w:val="000000"/>
                <w:sz w:val="18"/>
                <w:szCs w:val="18"/>
                <w:u w:val="none"/>
              </w:rPr>
            </w:pPr>
          </w:p>
        </w:tc>
      </w:tr>
      <w:tr w14:paraId="2A5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03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8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F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6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F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06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C6E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18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A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1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4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F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C4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FA60">
            <w:pPr>
              <w:jc w:val="center"/>
              <w:rPr>
                <w:rFonts w:hint="eastAsia" w:ascii="微软雅黑" w:hAnsi="微软雅黑" w:eastAsia="微软雅黑" w:cs="微软雅黑"/>
                <w:i/>
                <w:iCs/>
                <w:color w:val="000000"/>
                <w:sz w:val="16"/>
                <w:szCs w:val="16"/>
                <w:u w:val="none"/>
              </w:rPr>
            </w:pPr>
          </w:p>
        </w:tc>
      </w:tr>
      <w:tr w14:paraId="4ACD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BE0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C19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619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A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F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82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3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748">
            <w:pPr>
              <w:jc w:val="center"/>
              <w:rPr>
                <w:rFonts w:hint="eastAsia" w:ascii="微软雅黑" w:hAnsi="微软雅黑" w:eastAsia="微软雅黑" w:cs="微软雅黑"/>
                <w:i/>
                <w:iCs/>
                <w:color w:val="000000"/>
                <w:sz w:val="16"/>
                <w:szCs w:val="16"/>
                <w:u w:val="none"/>
              </w:rPr>
            </w:pPr>
          </w:p>
        </w:tc>
      </w:tr>
      <w:tr w14:paraId="0A5D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A2B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D378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8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7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4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9D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6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5827">
            <w:pPr>
              <w:jc w:val="center"/>
              <w:rPr>
                <w:rFonts w:hint="eastAsia" w:ascii="微软雅黑" w:hAnsi="微软雅黑" w:eastAsia="微软雅黑" w:cs="微软雅黑"/>
                <w:i/>
                <w:iCs/>
                <w:color w:val="000000"/>
                <w:sz w:val="16"/>
                <w:szCs w:val="16"/>
                <w:u w:val="none"/>
              </w:rPr>
            </w:pPr>
          </w:p>
        </w:tc>
      </w:tr>
      <w:tr w14:paraId="3B5A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C64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7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1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D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9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A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05D3">
            <w:pPr>
              <w:jc w:val="center"/>
              <w:rPr>
                <w:rFonts w:hint="eastAsia" w:ascii="微软雅黑" w:hAnsi="微软雅黑" w:eastAsia="微软雅黑" w:cs="微软雅黑"/>
                <w:i/>
                <w:iCs/>
                <w:color w:val="000000"/>
                <w:sz w:val="16"/>
                <w:szCs w:val="16"/>
                <w:u w:val="none"/>
              </w:rPr>
            </w:pPr>
          </w:p>
        </w:tc>
      </w:tr>
      <w:tr w14:paraId="5407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A02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6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F54">
            <w:pPr>
              <w:rPr>
                <w:rFonts w:hint="eastAsia" w:ascii="宋体" w:hAnsi="宋体" w:eastAsia="宋体" w:cs="宋体"/>
                <w:i w:val="0"/>
                <w:iCs w:val="0"/>
                <w:color w:val="000000"/>
                <w:sz w:val="18"/>
                <w:szCs w:val="18"/>
                <w:u w:val="none"/>
              </w:rPr>
            </w:pPr>
          </w:p>
        </w:tc>
      </w:tr>
      <w:tr w14:paraId="35CE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04E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自评总分100分，总体评价结论合格。</w:t>
            </w:r>
          </w:p>
        </w:tc>
      </w:tr>
      <w:tr w14:paraId="039C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DEBB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09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6773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DB7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F66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C628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财务负责人：胡勇</w:t>
            </w:r>
          </w:p>
        </w:tc>
      </w:tr>
    </w:tbl>
    <w:p w14:paraId="22345737">
      <w:r>
        <w:br w:type="page"/>
      </w:r>
    </w:p>
    <w:tbl>
      <w:tblPr>
        <w:tblStyle w:val="14"/>
        <w:tblW w:w="11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633A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D0DC2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2B6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7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F4B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64F2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C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AB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汶川县人民法院部门</w:t>
            </w:r>
          </w:p>
        </w:tc>
        <w:tc>
          <w:tcPr>
            <w:tcW w:w="1080" w:type="dxa"/>
            <w:tcBorders>
              <w:top w:val="nil"/>
              <w:left w:val="nil"/>
              <w:bottom w:val="nil"/>
              <w:right w:val="nil"/>
            </w:tcBorders>
            <w:shd w:val="clear" w:color="auto" w:fill="auto"/>
            <w:vAlign w:val="center"/>
          </w:tcPr>
          <w:p w14:paraId="3471725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D5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w:t>
            </w:r>
          </w:p>
        </w:tc>
      </w:tr>
      <w:tr w14:paraId="0D29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AE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20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CA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1EB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BF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7692">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E413">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79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6B5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严格执行相关政策，保障工资及时发放、足额发放。</w:t>
            </w:r>
          </w:p>
        </w:tc>
      </w:tr>
      <w:tr w14:paraId="64F2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5701">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0A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495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用于职工工资发放。</w:t>
            </w:r>
          </w:p>
        </w:tc>
      </w:tr>
      <w:tr w14:paraId="5B01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CB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5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F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9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7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4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52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CFA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713.19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06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F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873E1">
            <w:pPr>
              <w:rPr>
                <w:rFonts w:hint="eastAsia" w:ascii="黑体" w:hAnsi="黑体" w:eastAsia="黑体" w:cs="黑体"/>
                <w:i/>
                <w:iCs/>
                <w:color w:val="000000"/>
                <w:sz w:val="18"/>
                <w:szCs w:val="18"/>
                <w:u w:val="none"/>
              </w:rPr>
            </w:pPr>
          </w:p>
        </w:tc>
      </w:tr>
      <w:tr w14:paraId="20E5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239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7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9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713.19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B5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B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75A5">
            <w:pPr>
              <w:rPr>
                <w:rFonts w:hint="eastAsia" w:ascii="黑体" w:hAnsi="黑体" w:eastAsia="黑体" w:cs="黑体"/>
                <w:i/>
                <w:iCs/>
                <w:color w:val="000000"/>
                <w:sz w:val="18"/>
                <w:szCs w:val="18"/>
                <w:u w:val="none"/>
              </w:rPr>
            </w:pPr>
          </w:p>
        </w:tc>
      </w:tr>
      <w:tr w14:paraId="7167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E82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5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B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E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9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C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F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E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E820">
            <w:pPr>
              <w:rPr>
                <w:rFonts w:hint="eastAsia" w:ascii="黑体" w:hAnsi="黑体" w:eastAsia="黑体" w:cs="黑体"/>
                <w:i/>
                <w:iCs/>
                <w:color w:val="000000"/>
                <w:sz w:val="18"/>
                <w:szCs w:val="18"/>
                <w:u w:val="none"/>
              </w:rPr>
            </w:pPr>
          </w:p>
        </w:tc>
      </w:tr>
      <w:tr w14:paraId="4C89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15F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F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F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EE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F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3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83F3">
            <w:pPr>
              <w:rPr>
                <w:rFonts w:hint="eastAsia" w:ascii="黑体" w:hAnsi="黑体" w:eastAsia="黑体" w:cs="黑体"/>
                <w:i/>
                <w:iCs/>
                <w:color w:val="000000"/>
                <w:sz w:val="18"/>
                <w:szCs w:val="18"/>
                <w:u w:val="none"/>
              </w:rPr>
            </w:pPr>
          </w:p>
        </w:tc>
      </w:tr>
      <w:tr w14:paraId="7D06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605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80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B727">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B991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D81">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E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AA49">
            <w:pPr>
              <w:rPr>
                <w:rFonts w:hint="eastAsia" w:ascii="黑体" w:hAnsi="黑体" w:eastAsia="黑体" w:cs="黑体"/>
                <w:i/>
                <w:iCs/>
                <w:color w:val="000000"/>
                <w:sz w:val="18"/>
                <w:szCs w:val="18"/>
                <w:u w:val="none"/>
              </w:rPr>
            </w:pPr>
          </w:p>
        </w:tc>
      </w:tr>
      <w:tr w14:paraId="21E8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0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B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3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6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A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18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EA2B">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F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CC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0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B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A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DE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9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6614">
            <w:pPr>
              <w:jc w:val="center"/>
              <w:rPr>
                <w:rFonts w:hint="eastAsia" w:ascii="微软雅黑" w:hAnsi="微软雅黑" w:eastAsia="微软雅黑" w:cs="微软雅黑"/>
                <w:i/>
                <w:iCs/>
                <w:color w:val="000000"/>
                <w:sz w:val="16"/>
                <w:szCs w:val="16"/>
                <w:u w:val="none"/>
              </w:rPr>
            </w:pPr>
          </w:p>
        </w:tc>
      </w:tr>
      <w:tr w14:paraId="31AA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4C8F">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2E0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4B5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A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7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E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A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2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E40F">
            <w:pPr>
              <w:jc w:val="center"/>
              <w:rPr>
                <w:rFonts w:hint="eastAsia" w:ascii="微软雅黑" w:hAnsi="微软雅黑" w:eastAsia="微软雅黑" w:cs="微软雅黑"/>
                <w:i/>
                <w:iCs/>
                <w:color w:val="000000"/>
                <w:sz w:val="16"/>
                <w:szCs w:val="16"/>
                <w:u w:val="none"/>
              </w:rPr>
            </w:pPr>
          </w:p>
        </w:tc>
      </w:tr>
      <w:tr w14:paraId="4491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81B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692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1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B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E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C3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D79">
            <w:pPr>
              <w:jc w:val="center"/>
              <w:rPr>
                <w:rFonts w:hint="eastAsia" w:ascii="微软雅黑" w:hAnsi="微软雅黑" w:eastAsia="微软雅黑" w:cs="微软雅黑"/>
                <w:i/>
                <w:iCs/>
                <w:color w:val="000000"/>
                <w:sz w:val="16"/>
                <w:szCs w:val="16"/>
                <w:u w:val="none"/>
              </w:rPr>
            </w:pPr>
          </w:p>
        </w:tc>
      </w:tr>
      <w:tr w14:paraId="741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0D6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A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2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F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8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C4B">
            <w:pPr>
              <w:jc w:val="center"/>
              <w:rPr>
                <w:rFonts w:hint="eastAsia" w:ascii="微软雅黑" w:hAnsi="微软雅黑" w:eastAsia="微软雅黑" w:cs="微软雅黑"/>
                <w:i/>
                <w:iCs/>
                <w:color w:val="000000"/>
                <w:sz w:val="16"/>
                <w:szCs w:val="16"/>
                <w:u w:val="none"/>
              </w:rPr>
            </w:pPr>
          </w:p>
        </w:tc>
      </w:tr>
      <w:tr w14:paraId="1036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249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0314">
            <w:pPr>
              <w:rPr>
                <w:rFonts w:hint="eastAsia" w:ascii="宋体" w:hAnsi="宋体" w:eastAsia="宋体" w:cs="宋体"/>
                <w:i w:val="0"/>
                <w:iCs w:val="0"/>
                <w:color w:val="000000"/>
                <w:sz w:val="18"/>
                <w:szCs w:val="18"/>
                <w:u w:val="none"/>
              </w:rPr>
            </w:pPr>
          </w:p>
        </w:tc>
      </w:tr>
      <w:tr w14:paraId="77F0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F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4BD9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自评总分100分，总体评价结论合格。</w:t>
            </w:r>
          </w:p>
        </w:tc>
      </w:tr>
      <w:tr w14:paraId="23CA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AFAC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16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880F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84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4AD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64E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财务负责人：胡勇</w:t>
            </w:r>
          </w:p>
        </w:tc>
      </w:tr>
    </w:tbl>
    <w:p w14:paraId="1CF26597">
      <w:r>
        <w:br w:type="page"/>
      </w:r>
    </w:p>
    <w:tbl>
      <w:tblPr>
        <w:tblStyle w:val="14"/>
        <w:tblW w:w="12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20"/>
        <w:gridCol w:w="1080"/>
        <w:gridCol w:w="1080"/>
        <w:gridCol w:w="1080"/>
        <w:gridCol w:w="1080"/>
        <w:gridCol w:w="1080"/>
        <w:gridCol w:w="1080"/>
        <w:gridCol w:w="1080"/>
      </w:tblGrid>
      <w:tr w14:paraId="2AF0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967D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190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B83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74F6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51000021Y000000011490-定额公用经费</w:t>
            </w:r>
          </w:p>
        </w:tc>
      </w:tr>
      <w:tr w14:paraId="0BC8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6394">
            <w:pPr>
              <w:rPr>
                <w:rFonts w:hint="eastAsia" w:ascii="宋体" w:hAnsi="宋体" w:eastAsia="宋体" w:cs="宋体"/>
                <w:i w:val="0"/>
                <w:iCs w:val="0"/>
                <w:color w:val="000000"/>
                <w:sz w:val="18"/>
                <w:szCs w:val="18"/>
                <w:u w:val="none"/>
              </w:rPr>
            </w:pPr>
          </w:p>
        </w:tc>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60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51000021Y000000011490-日常公用经费</w:t>
            </w:r>
          </w:p>
        </w:tc>
      </w:tr>
      <w:tr w14:paraId="4BF1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CA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8C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汶川县人民法院部门</w:t>
            </w:r>
          </w:p>
        </w:tc>
        <w:tc>
          <w:tcPr>
            <w:tcW w:w="1080" w:type="dxa"/>
            <w:tcBorders>
              <w:top w:val="nil"/>
              <w:left w:val="nil"/>
              <w:bottom w:val="nil"/>
              <w:right w:val="nil"/>
            </w:tcBorders>
            <w:shd w:val="clear" w:color="auto" w:fill="auto"/>
            <w:vAlign w:val="center"/>
          </w:tcPr>
          <w:p w14:paraId="6FD0F55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24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w:t>
            </w:r>
          </w:p>
        </w:tc>
      </w:tr>
      <w:tr w14:paraId="4F24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C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78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16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EDDE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7A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840D">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9135">
            <w:pPr>
              <w:rPr>
                <w:rFonts w:hint="eastAsia" w:ascii="宋体" w:hAnsi="宋体" w:eastAsia="宋体" w:cs="宋体"/>
                <w:i w:val="0"/>
                <w:iCs w:val="0"/>
                <w:color w:val="000000"/>
                <w:sz w:val="18"/>
                <w:szCs w:val="18"/>
                <w:u w:val="none"/>
              </w:rPr>
            </w:pP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D4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A47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保障单位日常运转，提高预算编制质量，严格执行预算</w:t>
            </w:r>
          </w:p>
        </w:tc>
      </w:tr>
      <w:tr w14:paraId="7005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C0F7">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5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ED8C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用于保障单位日常运转。</w:t>
            </w:r>
          </w:p>
        </w:tc>
      </w:tr>
      <w:tr w14:paraId="6F7D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62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B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8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8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1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9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C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8DF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6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4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F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F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B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8103">
            <w:pPr>
              <w:rPr>
                <w:rFonts w:hint="eastAsia" w:ascii="黑体" w:hAnsi="黑体" w:eastAsia="黑体" w:cs="黑体"/>
                <w:i/>
                <w:iCs/>
                <w:color w:val="000000"/>
                <w:sz w:val="18"/>
                <w:szCs w:val="18"/>
                <w:u w:val="none"/>
              </w:rPr>
            </w:pPr>
          </w:p>
        </w:tc>
      </w:tr>
      <w:tr w14:paraId="5C51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E72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A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5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98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C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0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D903">
            <w:pPr>
              <w:rPr>
                <w:rFonts w:hint="eastAsia" w:ascii="黑体" w:hAnsi="黑体" w:eastAsia="黑体" w:cs="黑体"/>
                <w:i/>
                <w:iCs/>
                <w:color w:val="000000"/>
                <w:sz w:val="18"/>
                <w:szCs w:val="18"/>
                <w:u w:val="none"/>
              </w:rPr>
            </w:pPr>
          </w:p>
        </w:tc>
      </w:tr>
      <w:tr w14:paraId="7C0F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3CE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3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3D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3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1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ABAA">
            <w:pPr>
              <w:rPr>
                <w:rFonts w:hint="eastAsia" w:ascii="黑体" w:hAnsi="黑体" w:eastAsia="黑体" w:cs="黑体"/>
                <w:i/>
                <w:iCs/>
                <w:color w:val="000000"/>
                <w:sz w:val="18"/>
                <w:szCs w:val="18"/>
                <w:u w:val="none"/>
              </w:rPr>
            </w:pPr>
          </w:p>
        </w:tc>
      </w:tr>
      <w:tr w14:paraId="0242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36B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78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3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6381">
            <w:pPr>
              <w:rPr>
                <w:rFonts w:hint="eastAsia" w:ascii="黑体" w:hAnsi="黑体" w:eastAsia="黑体" w:cs="黑体"/>
                <w:i/>
                <w:iCs/>
                <w:color w:val="000000"/>
                <w:sz w:val="18"/>
                <w:szCs w:val="18"/>
                <w:u w:val="none"/>
              </w:rPr>
            </w:pPr>
          </w:p>
        </w:tc>
      </w:tr>
      <w:tr w14:paraId="7B2A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845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E15">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8BB">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7156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E68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12CB">
            <w:pPr>
              <w:rPr>
                <w:rFonts w:hint="eastAsia" w:ascii="黑体" w:hAnsi="黑体" w:eastAsia="黑体" w:cs="黑体"/>
                <w:i/>
                <w:iCs/>
                <w:color w:val="000000"/>
                <w:sz w:val="18"/>
                <w:szCs w:val="18"/>
                <w:u w:val="none"/>
              </w:rPr>
            </w:pPr>
          </w:p>
        </w:tc>
      </w:tr>
      <w:tr w14:paraId="2795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C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3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D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7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1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1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E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30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1A2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7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A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C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C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5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5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D75">
            <w:pPr>
              <w:jc w:val="center"/>
              <w:rPr>
                <w:rFonts w:hint="eastAsia" w:ascii="微软雅黑" w:hAnsi="微软雅黑" w:eastAsia="微软雅黑" w:cs="微软雅黑"/>
                <w:i/>
                <w:iCs/>
                <w:color w:val="000000"/>
                <w:sz w:val="16"/>
                <w:szCs w:val="16"/>
                <w:u w:val="none"/>
              </w:rPr>
            </w:pPr>
          </w:p>
        </w:tc>
      </w:tr>
      <w:tr w14:paraId="562A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534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ABD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3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1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3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34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9895">
            <w:pPr>
              <w:jc w:val="center"/>
              <w:rPr>
                <w:rFonts w:hint="eastAsia" w:ascii="微软雅黑" w:hAnsi="微软雅黑" w:eastAsia="微软雅黑" w:cs="微软雅黑"/>
                <w:i/>
                <w:iCs/>
                <w:color w:val="000000"/>
                <w:sz w:val="16"/>
                <w:szCs w:val="16"/>
                <w:u w:val="none"/>
              </w:rPr>
            </w:pPr>
          </w:p>
        </w:tc>
      </w:tr>
      <w:tr w14:paraId="0013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1C1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A6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16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5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5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C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0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14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1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538">
            <w:pPr>
              <w:jc w:val="center"/>
              <w:rPr>
                <w:rFonts w:hint="eastAsia" w:ascii="微软雅黑" w:hAnsi="微软雅黑" w:eastAsia="微软雅黑" w:cs="微软雅黑"/>
                <w:i/>
                <w:iCs/>
                <w:color w:val="000000"/>
                <w:sz w:val="16"/>
                <w:szCs w:val="16"/>
                <w:u w:val="none"/>
              </w:rPr>
            </w:pPr>
          </w:p>
        </w:tc>
      </w:tr>
      <w:tr w14:paraId="4B7B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6A1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CB8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005D">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7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EB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5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AA0E">
            <w:pPr>
              <w:jc w:val="center"/>
              <w:rPr>
                <w:rFonts w:hint="eastAsia" w:ascii="微软雅黑" w:hAnsi="微软雅黑" w:eastAsia="微软雅黑" w:cs="微软雅黑"/>
                <w:i/>
                <w:iCs/>
                <w:color w:val="000000"/>
                <w:sz w:val="16"/>
                <w:szCs w:val="16"/>
                <w:u w:val="none"/>
              </w:rPr>
            </w:pPr>
          </w:p>
        </w:tc>
      </w:tr>
      <w:tr w14:paraId="0CCB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21B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7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F755">
            <w:pPr>
              <w:rPr>
                <w:rFonts w:hint="eastAsia" w:ascii="宋体" w:hAnsi="宋体" w:eastAsia="宋体" w:cs="宋体"/>
                <w:i w:val="0"/>
                <w:iCs w:val="0"/>
                <w:color w:val="000000"/>
                <w:sz w:val="18"/>
                <w:szCs w:val="18"/>
                <w:u w:val="none"/>
              </w:rPr>
            </w:pPr>
          </w:p>
        </w:tc>
      </w:tr>
      <w:tr w14:paraId="1434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9849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自评总分100分，总体评价结论合格。</w:t>
            </w:r>
          </w:p>
        </w:tc>
      </w:tr>
      <w:tr w14:paraId="011A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2318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17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C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AC7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0F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1A5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17D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财务负责人：胡勇</w:t>
            </w:r>
          </w:p>
        </w:tc>
      </w:tr>
    </w:tbl>
    <w:p w14:paraId="630D60EC">
      <w:r>
        <w:br w:type="page"/>
      </w:r>
    </w:p>
    <w:tbl>
      <w:tblPr>
        <w:tblStyle w:val="14"/>
        <w:tblW w:w="12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20"/>
        <w:gridCol w:w="1080"/>
        <w:gridCol w:w="1080"/>
        <w:gridCol w:w="1080"/>
        <w:gridCol w:w="1080"/>
        <w:gridCol w:w="1080"/>
        <w:gridCol w:w="1080"/>
        <w:gridCol w:w="1080"/>
      </w:tblGrid>
      <w:tr w14:paraId="2ABE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817B0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0B4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9F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22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51320022T000007103195-2022年办案业务经费</w:t>
            </w:r>
          </w:p>
        </w:tc>
      </w:tr>
      <w:tr w14:paraId="7238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48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74C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汶川县人民法院部门</w:t>
            </w:r>
          </w:p>
        </w:tc>
        <w:tc>
          <w:tcPr>
            <w:tcW w:w="1080" w:type="dxa"/>
            <w:tcBorders>
              <w:top w:val="nil"/>
              <w:left w:val="nil"/>
              <w:bottom w:val="nil"/>
              <w:right w:val="nil"/>
            </w:tcBorders>
            <w:shd w:val="clear" w:color="auto" w:fill="auto"/>
            <w:vAlign w:val="center"/>
          </w:tcPr>
          <w:p w14:paraId="08374FE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48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汶川县人民法院</w:t>
            </w:r>
          </w:p>
        </w:tc>
      </w:tr>
      <w:tr w14:paraId="3A89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86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3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25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C97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C3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4012">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E5C4">
            <w:pPr>
              <w:rPr>
                <w:rFonts w:hint="eastAsia" w:ascii="宋体" w:hAnsi="宋体" w:eastAsia="宋体" w:cs="宋体"/>
                <w:i w:val="0"/>
                <w:iCs w:val="0"/>
                <w:color w:val="000000"/>
                <w:sz w:val="18"/>
                <w:szCs w:val="18"/>
                <w:u w:val="none"/>
              </w:rPr>
            </w:pP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33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履行宪法和法律赋予的职责，大力推进司法公开，有效提供司法服务，不断提升司法公信力。</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75C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履行宪法和法律赋予的职责，大力推进司法公开，有效提供司法服务，不断提升司法公信力。</w:t>
            </w:r>
          </w:p>
        </w:tc>
      </w:tr>
      <w:tr w14:paraId="7306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71A4">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C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F5440D">
            <w:pPr>
              <w:rPr>
                <w:rFonts w:hint="eastAsia" w:ascii="宋体" w:hAnsi="宋体" w:eastAsia="宋体" w:cs="宋体"/>
                <w:i w:val="0"/>
                <w:iCs w:val="0"/>
                <w:color w:val="000000"/>
                <w:sz w:val="18"/>
                <w:szCs w:val="18"/>
                <w:u w:val="none"/>
              </w:rPr>
            </w:pPr>
          </w:p>
        </w:tc>
      </w:tr>
      <w:tr w14:paraId="5B19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E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5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3A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D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DC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A79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B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3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48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B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2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0EC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61476">
            <w:pPr>
              <w:rPr>
                <w:rFonts w:hint="eastAsia" w:ascii="黑体" w:hAnsi="黑体" w:eastAsia="黑体" w:cs="黑体"/>
                <w:i/>
                <w:iCs/>
                <w:color w:val="000000"/>
                <w:sz w:val="18"/>
                <w:szCs w:val="18"/>
                <w:u w:val="none"/>
              </w:rPr>
            </w:pPr>
          </w:p>
        </w:tc>
      </w:tr>
      <w:tr w14:paraId="0A1C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565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7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2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73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8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473B">
            <w:pPr>
              <w:rPr>
                <w:rFonts w:hint="eastAsia" w:ascii="黑体" w:hAnsi="黑体" w:eastAsia="黑体" w:cs="黑体"/>
                <w:i/>
                <w:iCs/>
                <w:color w:val="000000"/>
                <w:sz w:val="18"/>
                <w:szCs w:val="18"/>
                <w:u w:val="none"/>
              </w:rPr>
            </w:pPr>
          </w:p>
        </w:tc>
      </w:tr>
      <w:tr w14:paraId="1ABF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9C1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4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62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7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0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CD38">
            <w:pPr>
              <w:rPr>
                <w:rFonts w:hint="eastAsia" w:ascii="黑体" w:hAnsi="黑体" w:eastAsia="黑体" w:cs="黑体"/>
                <w:i/>
                <w:iCs/>
                <w:color w:val="000000"/>
                <w:sz w:val="18"/>
                <w:szCs w:val="18"/>
                <w:u w:val="none"/>
              </w:rPr>
            </w:pPr>
          </w:p>
        </w:tc>
      </w:tr>
      <w:tr w14:paraId="1359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D6E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31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D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52EC">
            <w:pPr>
              <w:rPr>
                <w:rFonts w:hint="eastAsia" w:ascii="黑体" w:hAnsi="黑体" w:eastAsia="黑体" w:cs="黑体"/>
                <w:i/>
                <w:iCs/>
                <w:color w:val="000000"/>
                <w:sz w:val="18"/>
                <w:szCs w:val="18"/>
                <w:u w:val="none"/>
              </w:rPr>
            </w:pPr>
          </w:p>
        </w:tc>
      </w:tr>
      <w:tr w14:paraId="5171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2D6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5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AF0">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C9F7">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3A5A0">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4E8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A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5B3D">
            <w:pPr>
              <w:rPr>
                <w:rFonts w:hint="eastAsia" w:ascii="黑体" w:hAnsi="黑体" w:eastAsia="黑体" w:cs="黑体"/>
                <w:i/>
                <w:iCs/>
                <w:color w:val="000000"/>
                <w:sz w:val="18"/>
                <w:szCs w:val="18"/>
                <w:u w:val="none"/>
              </w:rPr>
            </w:pPr>
          </w:p>
        </w:tc>
      </w:tr>
      <w:tr w14:paraId="03F1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7E0CE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C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1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8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8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55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9C3FF66">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67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A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A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民事、刑事等案件受理数量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96E9">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8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31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7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65DF">
            <w:pPr>
              <w:jc w:val="center"/>
              <w:rPr>
                <w:rFonts w:hint="eastAsia" w:ascii="微软雅黑" w:hAnsi="微软雅黑" w:eastAsia="微软雅黑" w:cs="微软雅黑"/>
                <w:i/>
                <w:iCs/>
                <w:color w:val="000000"/>
                <w:sz w:val="16"/>
                <w:szCs w:val="16"/>
                <w:u w:val="none"/>
              </w:rPr>
            </w:pPr>
          </w:p>
        </w:tc>
      </w:tr>
      <w:tr w14:paraId="6015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A905FE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68E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7"/>
                <w:lang w:val="en-US" w:eastAsia="zh-CN" w:bidi="ar"/>
              </w:rPr>
              <w:t>均衡结案度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E8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CE8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4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18C">
            <w:pPr>
              <w:rPr>
                <w:rFonts w:hint="eastAsia" w:ascii="宋体" w:hAnsi="宋体" w:eastAsia="宋体" w:cs="宋体"/>
                <w:i w:val="0"/>
                <w:iCs w:val="0"/>
                <w:color w:val="000000"/>
                <w:sz w:val="18"/>
                <w:szCs w:val="18"/>
                <w:u w:val="none"/>
              </w:rPr>
            </w:pPr>
          </w:p>
        </w:tc>
      </w:tr>
      <w:tr w14:paraId="3D32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AA4EBF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B48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E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案件平均受理时间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3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0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6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C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0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1EFF">
            <w:pPr>
              <w:rPr>
                <w:rFonts w:hint="eastAsia" w:ascii="宋体" w:hAnsi="宋体" w:eastAsia="宋体" w:cs="宋体"/>
                <w:i w:val="0"/>
                <w:iCs w:val="0"/>
                <w:color w:val="000000"/>
                <w:sz w:val="18"/>
                <w:szCs w:val="18"/>
                <w:u w:val="none"/>
              </w:rPr>
            </w:pPr>
          </w:p>
        </w:tc>
      </w:tr>
      <w:tr w14:paraId="5117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C60AEB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A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E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1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立案便捷度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26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0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1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设立法官便民服务点12个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7F36">
            <w:pPr>
              <w:rPr>
                <w:rFonts w:hint="eastAsia" w:ascii="宋体" w:hAnsi="宋体" w:eastAsia="宋体" w:cs="宋体"/>
                <w:i w:val="0"/>
                <w:iCs w:val="0"/>
                <w:color w:val="000000"/>
                <w:sz w:val="18"/>
                <w:szCs w:val="18"/>
                <w:u w:val="none"/>
              </w:rPr>
            </w:pPr>
          </w:p>
        </w:tc>
      </w:tr>
      <w:tr w14:paraId="3471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0E4BB4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F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7B7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A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7D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1EB">
            <w:pPr>
              <w:rPr>
                <w:rFonts w:hint="eastAsia" w:ascii="宋体" w:hAnsi="宋体" w:eastAsia="宋体" w:cs="宋体"/>
                <w:i w:val="0"/>
                <w:iCs w:val="0"/>
                <w:color w:val="000000"/>
                <w:sz w:val="18"/>
                <w:szCs w:val="18"/>
                <w:u w:val="none"/>
              </w:rPr>
            </w:pPr>
          </w:p>
        </w:tc>
      </w:tr>
      <w:tr w14:paraId="7401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C33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8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F0A">
            <w:pPr>
              <w:rPr>
                <w:rFonts w:hint="eastAsia" w:ascii="宋体" w:hAnsi="宋体" w:eastAsia="宋体" w:cs="宋体"/>
                <w:i w:val="0"/>
                <w:iCs w:val="0"/>
                <w:color w:val="000000"/>
                <w:sz w:val="18"/>
                <w:szCs w:val="18"/>
                <w:u w:val="none"/>
              </w:rPr>
            </w:pPr>
          </w:p>
        </w:tc>
      </w:tr>
      <w:tr w14:paraId="7862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4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E547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自评总分100分，总体评价结论合格。</w:t>
            </w:r>
          </w:p>
        </w:tc>
      </w:tr>
      <w:tr w14:paraId="5520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1F6A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F8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1E2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1E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9AA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59B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财务负责人：胡勇</w:t>
            </w:r>
          </w:p>
        </w:tc>
      </w:tr>
    </w:tbl>
    <w:p w14:paraId="7E74022C">
      <w:r>
        <w:br w:type="page"/>
      </w:r>
    </w:p>
    <w:p w14:paraId="7D2019EC">
      <w:pPr>
        <w:spacing w:line="600" w:lineRule="exact"/>
        <w:jc w:val="center"/>
        <w:outlineLvl w:val="0"/>
        <w:rPr>
          <w:rStyle w:val="18"/>
          <w:rFonts w:ascii="黑体" w:hAnsi="黑体" w:eastAsia="黑体"/>
          <w:b w:val="0"/>
          <w:bCs w:val="0"/>
        </w:rPr>
      </w:pPr>
      <w:bookmarkStart w:id="57" w:name="_Toc15396618"/>
      <w:r>
        <w:rPr>
          <w:rFonts w:hint="eastAsia" w:ascii="黑体" w:hAnsi="黑体" w:eastAsia="黑体" w:cs="黑体"/>
          <w:color w:val="000000"/>
          <w:sz w:val="44"/>
          <w:szCs w:val="44"/>
        </w:rPr>
        <w:t>第</w:t>
      </w:r>
      <w:r>
        <w:rPr>
          <w:rStyle w:val="18"/>
          <w:rFonts w:hint="eastAsia" w:ascii="黑体" w:hAnsi="黑体" w:eastAsia="黑体" w:cs="黑体"/>
          <w:b w:val="0"/>
          <w:bCs w:val="0"/>
        </w:rPr>
        <w:t>五部分</w:t>
      </w:r>
      <w:r>
        <w:rPr>
          <w:rStyle w:val="18"/>
          <w:rFonts w:ascii="黑体" w:hAnsi="黑体" w:eastAsia="黑体" w:cs="黑体"/>
          <w:b w:val="0"/>
          <w:bCs w:val="0"/>
        </w:rPr>
        <w:t xml:space="preserve"> </w:t>
      </w:r>
      <w:r>
        <w:rPr>
          <w:rStyle w:val="18"/>
          <w:rFonts w:hint="eastAsia" w:ascii="黑体" w:hAnsi="黑体" w:eastAsia="黑体" w:cs="黑体"/>
          <w:b w:val="0"/>
          <w:bCs w:val="0"/>
        </w:rPr>
        <w:t>附表</w:t>
      </w:r>
      <w:bookmarkEnd w:id="55"/>
      <w:bookmarkEnd w:id="57"/>
    </w:p>
    <w:p w14:paraId="39BF22F6">
      <w:pPr>
        <w:spacing w:line="600" w:lineRule="exact"/>
        <w:jc w:val="center"/>
        <w:outlineLvl w:val="0"/>
        <w:rPr>
          <w:rFonts w:ascii="仿宋" w:hAnsi="仿宋" w:eastAsia="仿宋"/>
          <w:b/>
          <w:bCs/>
          <w:color w:val="000000"/>
          <w:sz w:val="44"/>
          <w:szCs w:val="44"/>
        </w:rPr>
      </w:pPr>
    </w:p>
    <w:p w14:paraId="5DD9A724">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58" w:name="_Toc15396619"/>
      <w:r>
        <w:rPr>
          <w:rFonts w:hint="eastAsia" w:ascii="仿宋_GB2312" w:hAnsi="仿宋_GB2312" w:eastAsia="仿宋_GB2312" w:cs="仿宋_GB2312"/>
          <w:b w:val="0"/>
          <w:bCs w:val="0"/>
          <w:color w:val="000000"/>
        </w:rPr>
        <w:t>一、收</w:t>
      </w:r>
      <w:r>
        <w:rPr>
          <w:rStyle w:val="19"/>
          <w:rFonts w:hint="eastAsia" w:ascii="仿宋_GB2312" w:hAnsi="仿宋_GB2312" w:eastAsia="仿宋_GB2312" w:cs="仿宋_GB2312"/>
          <w:b w:val="0"/>
          <w:bCs w:val="0"/>
        </w:rPr>
        <w:t>入支出决算总表</w:t>
      </w:r>
      <w:bookmarkEnd w:id="58"/>
    </w:p>
    <w:p w14:paraId="0626115D">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59" w:name="_Toc15396620"/>
      <w:r>
        <w:rPr>
          <w:rFonts w:hint="eastAsia" w:ascii="仿宋_GB2312" w:hAnsi="仿宋_GB2312" w:eastAsia="仿宋_GB2312" w:cs="仿宋_GB2312"/>
          <w:b w:val="0"/>
          <w:bCs w:val="0"/>
          <w:color w:val="000000"/>
        </w:rPr>
        <w:t>二、收</w:t>
      </w:r>
      <w:r>
        <w:rPr>
          <w:rStyle w:val="19"/>
          <w:rFonts w:hint="eastAsia" w:ascii="仿宋_GB2312" w:hAnsi="仿宋_GB2312" w:eastAsia="仿宋_GB2312" w:cs="仿宋_GB2312"/>
          <w:b w:val="0"/>
          <w:bCs w:val="0"/>
        </w:rPr>
        <w:t>入决算表</w:t>
      </w:r>
      <w:bookmarkEnd w:id="59"/>
    </w:p>
    <w:p w14:paraId="27602DD0">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0" w:name="_Toc15396621"/>
      <w:r>
        <w:rPr>
          <w:rStyle w:val="19"/>
          <w:rFonts w:hint="eastAsia" w:ascii="仿宋_GB2312" w:hAnsi="仿宋_GB2312" w:eastAsia="仿宋_GB2312" w:cs="仿宋_GB2312"/>
          <w:b w:val="0"/>
          <w:bCs w:val="0"/>
        </w:rPr>
        <w:t>三、</w:t>
      </w:r>
      <w:r>
        <w:rPr>
          <w:rFonts w:hint="eastAsia" w:ascii="仿宋_GB2312" w:hAnsi="仿宋_GB2312" w:eastAsia="仿宋_GB2312" w:cs="仿宋_GB2312"/>
          <w:b w:val="0"/>
          <w:bCs w:val="0"/>
          <w:color w:val="000000"/>
        </w:rPr>
        <w:t>支</w:t>
      </w:r>
      <w:r>
        <w:rPr>
          <w:rStyle w:val="19"/>
          <w:rFonts w:hint="eastAsia" w:ascii="仿宋_GB2312" w:hAnsi="仿宋_GB2312" w:eastAsia="仿宋_GB2312" w:cs="仿宋_GB2312"/>
          <w:b w:val="0"/>
          <w:bCs w:val="0"/>
        </w:rPr>
        <w:t>出决算表</w:t>
      </w:r>
      <w:bookmarkEnd w:id="60"/>
    </w:p>
    <w:p w14:paraId="60D82ECA">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color w:val="000000"/>
        </w:rPr>
      </w:pPr>
      <w:bookmarkStart w:id="61" w:name="_Toc15396622"/>
      <w:r>
        <w:rPr>
          <w:rStyle w:val="19"/>
          <w:rFonts w:hint="eastAsia" w:ascii="仿宋_GB2312" w:hAnsi="仿宋_GB2312" w:eastAsia="仿宋_GB2312" w:cs="仿宋_GB2312"/>
          <w:b w:val="0"/>
          <w:bCs w:val="0"/>
        </w:rPr>
        <w:t>四、</w:t>
      </w:r>
      <w:r>
        <w:rPr>
          <w:rFonts w:hint="eastAsia" w:ascii="仿宋_GB2312" w:hAnsi="仿宋_GB2312" w:eastAsia="仿宋_GB2312" w:cs="仿宋_GB2312"/>
          <w:b w:val="0"/>
          <w:bCs w:val="0"/>
          <w:color w:val="000000"/>
        </w:rPr>
        <w:t>财</w:t>
      </w:r>
      <w:r>
        <w:rPr>
          <w:rStyle w:val="19"/>
          <w:rFonts w:hint="eastAsia" w:ascii="仿宋_GB2312" w:hAnsi="仿宋_GB2312" w:eastAsia="仿宋_GB2312" w:cs="仿宋_GB2312"/>
          <w:b w:val="0"/>
          <w:bCs w:val="0"/>
        </w:rPr>
        <w:t>政拨款收入支出决算总表</w:t>
      </w:r>
      <w:bookmarkEnd w:id="61"/>
    </w:p>
    <w:p w14:paraId="15F394B1">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Style w:val="19"/>
          <w:rFonts w:hint="eastAsia" w:ascii="仿宋_GB2312" w:hAnsi="仿宋_GB2312" w:eastAsia="仿宋_GB2312" w:cs="仿宋_GB2312"/>
          <w:b w:val="0"/>
          <w:bCs w:val="0"/>
        </w:rPr>
      </w:pPr>
      <w:bookmarkStart w:id="62" w:name="_Toc15396623"/>
      <w:r>
        <w:rPr>
          <w:rStyle w:val="19"/>
          <w:rFonts w:hint="eastAsia" w:ascii="仿宋_GB2312" w:hAnsi="仿宋_GB2312" w:eastAsia="仿宋_GB2312" w:cs="仿宋_GB2312"/>
          <w:b w:val="0"/>
          <w:bCs w:val="0"/>
        </w:rPr>
        <w:t>五、</w:t>
      </w:r>
      <w:r>
        <w:rPr>
          <w:rFonts w:hint="eastAsia" w:ascii="仿宋_GB2312" w:hAnsi="仿宋_GB2312" w:eastAsia="仿宋_GB2312" w:cs="仿宋_GB2312"/>
          <w:b w:val="0"/>
          <w:bCs w:val="0"/>
          <w:color w:val="000000"/>
        </w:rPr>
        <w:t>财</w:t>
      </w:r>
      <w:r>
        <w:rPr>
          <w:rStyle w:val="19"/>
          <w:rFonts w:hint="eastAsia" w:ascii="仿宋_GB2312" w:hAnsi="仿宋_GB2312" w:eastAsia="仿宋_GB2312" w:cs="仿宋_GB2312"/>
          <w:b w:val="0"/>
          <w:bCs w:val="0"/>
        </w:rPr>
        <w:t>政拨款支出决算明细表</w:t>
      </w:r>
      <w:bookmarkEnd w:id="62"/>
      <w:bookmarkStart w:id="63" w:name="_Toc15396624"/>
    </w:p>
    <w:p w14:paraId="78D616F9">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r>
        <w:rPr>
          <w:rStyle w:val="19"/>
          <w:rFonts w:hint="eastAsia" w:ascii="仿宋_GB2312" w:hAnsi="仿宋_GB2312" w:eastAsia="仿宋_GB2312" w:cs="仿宋_GB2312"/>
          <w:b w:val="0"/>
          <w:bCs w:val="0"/>
        </w:rPr>
        <w:t>六、</w:t>
      </w:r>
      <w:r>
        <w:rPr>
          <w:rFonts w:hint="eastAsia" w:ascii="仿宋_GB2312" w:hAnsi="仿宋_GB2312" w:eastAsia="仿宋_GB2312" w:cs="仿宋_GB2312"/>
          <w:b w:val="0"/>
          <w:bCs w:val="0"/>
          <w:color w:val="000000"/>
        </w:rPr>
        <w:t>一</w:t>
      </w:r>
      <w:r>
        <w:rPr>
          <w:rStyle w:val="19"/>
          <w:rFonts w:hint="eastAsia" w:ascii="仿宋_GB2312" w:hAnsi="仿宋_GB2312" w:eastAsia="仿宋_GB2312" w:cs="仿宋_GB2312"/>
          <w:b w:val="0"/>
          <w:bCs w:val="0"/>
        </w:rPr>
        <w:t>般公共预算财政拨款支出决算表</w:t>
      </w:r>
      <w:bookmarkEnd w:id="63"/>
    </w:p>
    <w:p w14:paraId="3BA58DD4">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4" w:name="_Toc15396625"/>
      <w:r>
        <w:rPr>
          <w:rStyle w:val="19"/>
          <w:rFonts w:hint="eastAsia" w:ascii="仿宋_GB2312" w:hAnsi="仿宋_GB2312" w:eastAsia="仿宋_GB2312" w:cs="仿宋_GB2312"/>
          <w:b w:val="0"/>
          <w:bCs w:val="0"/>
        </w:rPr>
        <w:t>七、</w:t>
      </w:r>
      <w:r>
        <w:rPr>
          <w:rFonts w:hint="eastAsia" w:ascii="仿宋_GB2312" w:hAnsi="仿宋_GB2312" w:eastAsia="仿宋_GB2312" w:cs="仿宋_GB2312"/>
          <w:b w:val="0"/>
          <w:bCs w:val="0"/>
          <w:color w:val="000000"/>
        </w:rPr>
        <w:t>一</w:t>
      </w:r>
      <w:r>
        <w:rPr>
          <w:rStyle w:val="19"/>
          <w:rFonts w:hint="eastAsia" w:ascii="仿宋_GB2312" w:hAnsi="仿宋_GB2312" w:eastAsia="仿宋_GB2312" w:cs="仿宋_GB2312"/>
          <w:b w:val="0"/>
          <w:bCs w:val="0"/>
        </w:rPr>
        <w:t>般公共预算财政拨款支出决算明细表</w:t>
      </w:r>
      <w:bookmarkEnd w:id="64"/>
    </w:p>
    <w:p w14:paraId="5D25CDFD">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5" w:name="_Toc15396626"/>
      <w:r>
        <w:rPr>
          <w:rStyle w:val="19"/>
          <w:rFonts w:hint="eastAsia" w:ascii="仿宋_GB2312" w:hAnsi="仿宋_GB2312" w:eastAsia="仿宋_GB2312" w:cs="仿宋_GB2312"/>
          <w:b w:val="0"/>
          <w:bCs w:val="0"/>
        </w:rPr>
        <w:t>八、</w:t>
      </w:r>
      <w:r>
        <w:rPr>
          <w:rFonts w:hint="eastAsia" w:ascii="仿宋_GB2312" w:hAnsi="仿宋_GB2312" w:eastAsia="仿宋_GB2312" w:cs="仿宋_GB2312"/>
          <w:b w:val="0"/>
          <w:bCs w:val="0"/>
          <w:color w:val="000000"/>
        </w:rPr>
        <w:t>一</w:t>
      </w:r>
      <w:r>
        <w:rPr>
          <w:rStyle w:val="19"/>
          <w:rFonts w:hint="eastAsia" w:ascii="仿宋_GB2312" w:hAnsi="仿宋_GB2312" w:eastAsia="仿宋_GB2312" w:cs="仿宋_GB2312"/>
          <w:b w:val="0"/>
          <w:bCs w:val="0"/>
        </w:rPr>
        <w:t>般公共预算财政拨款基本支出决算表</w:t>
      </w:r>
      <w:bookmarkEnd w:id="65"/>
    </w:p>
    <w:p w14:paraId="4B8A0818">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6" w:name="_Toc15396627"/>
      <w:r>
        <w:rPr>
          <w:rStyle w:val="19"/>
          <w:rFonts w:hint="eastAsia" w:ascii="仿宋_GB2312" w:hAnsi="仿宋_GB2312" w:eastAsia="仿宋_GB2312" w:cs="仿宋_GB2312"/>
          <w:b w:val="0"/>
          <w:bCs w:val="0"/>
        </w:rPr>
        <w:t>九、</w:t>
      </w:r>
      <w:r>
        <w:rPr>
          <w:rFonts w:hint="eastAsia" w:ascii="仿宋_GB2312" w:hAnsi="仿宋_GB2312" w:eastAsia="仿宋_GB2312" w:cs="仿宋_GB2312"/>
          <w:b w:val="0"/>
          <w:bCs w:val="0"/>
          <w:color w:val="000000"/>
        </w:rPr>
        <w:t>一</w:t>
      </w:r>
      <w:r>
        <w:rPr>
          <w:rStyle w:val="19"/>
          <w:rFonts w:hint="eastAsia" w:ascii="仿宋_GB2312" w:hAnsi="仿宋_GB2312" w:eastAsia="仿宋_GB2312" w:cs="仿宋_GB2312"/>
          <w:b w:val="0"/>
          <w:bCs w:val="0"/>
        </w:rPr>
        <w:t>般公共预算财政拨款项目支出决算表</w:t>
      </w:r>
      <w:bookmarkEnd w:id="66"/>
    </w:p>
    <w:p w14:paraId="4C89CBA3">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7" w:name="_Toc15396628"/>
      <w:r>
        <w:rPr>
          <w:rStyle w:val="19"/>
          <w:rFonts w:hint="eastAsia" w:ascii="仿宋_GB2312" w:hAnsi="仿宋_GB2312" w:eastAsia="仿宋_GB2312" w:cs="仿宋_GB2312"/>
          <w:b w:val="0"/>
          <w:bCs w:val="0"/>
        </w:rPr>
        <w:t>十、</w:t>
      </w:r>
      <w:r>
        <w:rPr>
          <w:rFonts w:hint="eastAsia" w:ascii="仿宋_GB2312" w:hAnsi="仿宋_GB2312" w:eastAsia="仿宋_GB2312" w:cs="仿宋_GB2312"/>
          <w:b w:val="0"/>
          <w:bCs w:val="0"/>
          <w:color w:val="000000"/>
        </w:rPr>
        <w:t>一</w:t>
      </w:r>
      <w:r>
        <w:rPr>
          <w:rStyle w:val="19"/>
          <w:rFonts w:hint="eastAsia" w:ascii="仿宋_GB2312" w:hAnsi="仿宋_GB2312" w:eastAsia="仿宋_GB2312" w:cs="仿宋_GB2312"/>
          <w:b w:val="0"/>
          <w:bCs w:val="0"/>
        </w:rPr>
        <w:t>般公共预算财政拨款“三公”经费支出决算表</w:t>
      </w:r>
      <w:bookmarkEnd w:id="67"/>
    </w:p>
    <w:p w14:paraId="2200D424">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8" w:name="_Toc15396629"/>
      <w:r>
        <w:rPr>
          <w:rStyle w:val="19"/>
          <w:rFonts w:hint="eastAsia" w:ascii="仿宋_GB2312" w:hAnsi="仿宋_GB2312" w:eastAsia="仿宋_GB2312" w:cs="仿宋_GB2312"/>
          <w:b w:val="0"/>
          <w:bCs w:val="0"/>
        </w:rPr>
        <w:t>十一、</w:t>
      </w:r>
      <w:r>
        <w:rPr>
          <w:rFonts w:hint="eastAsia" w:ascii="仿宋_GB2312" w:hAnsi="仿宋_GB2312" w:eastAsia="仿宋_GB2312" w:cs="仿宋_GB2312"/>
          <w:b w:val="0"/>
          <w:bCs w:val="0"/>
          <w:color w:val="000000"/>
        </w:rPr>
        <w:t>政</w:t>
      </w:r>
      <w:r>
        <w:rPr>
          <w:rStyle w:val="19"/>
          <w:rFonts w:hint="eastAsia" w:ascii="仿宋_GB2312" w:hAnsi="仿宋_GB2312" w:eastAsia="仿宋_GB2312" w:cs="仿宋_GB2312"/>
          <w:b w:val="0"/>
          <w:bCs w:val="0"/>
        </w:rPr>
        <w:t>府性基金预算财政拨款收入支出决算表</w:t>
      </w:r>
      <w:bookmarkEnd w:id="68"/>
    </w:p>
    <w:p w14:paraId="0168795D">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69" w:name="_Toc15396630"/>
      <w:r>
        <w:rPr>
          <w:rStyle w:val="19"/>
          <w:rFonts w:hint="eastAsia" w:ascii="仿宋_GB2312" w:hAnsi="仿宋_GB2312" w:eastAsia="仿宋_GB2312" w:cs="仿宋_GB2312"/>
          <w:b w:val="0"/>
          <w:bCs w:val="0"/>
        </w:rPr>
        <w:t>十二、</w:t>
      </w:r>
      <w:r>
        <w:rPr>
          <w:rFonts w:hint="eastAsia" w:ascii="仿宋_GB2312" w:hAnsi="仿宋_GB2312" w:eastAsia="仿宋_GB2312" w:cs="仿宋_GB2312"/>
          <w:b w:val="0"/>
          <w:bCs w:val="0"/>
          <w:color w:val="000000"/>
        </w:rPr>
        <w:t>政</w:t>
      </w:r>
      <w:r>
        <w:rPr>
          <w:rStyle w:val="19"/>
          <w:rFonts w:hint="eastAsia" w:ascii="仿宋_GB2312" w:hAnsi="仿宋_GB2312" w:eastAsia="仿宋_GB2312" w:cs="仿宋_GB2312"/>
          <w:b w:val="0"/>
          <w:bCs w:val="0"/>
        </w:rPr>
        <w:t>府性基金预算财政拨款“三公”经费支出决算表</w:t>
      </w:r>
      <w:bookmarkEnd w:id="69"/>
    </w:p>
    <w:p w14:paraId="2743E9BE">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000000"/>
        </w:rPr>
      </w:pPr>
      <w:bookmarkStart w:id="70" w:name="_Toc15396631"/>
      <w:r>
        <w:rPr>
          <w:rStyle w:val="19"/>
          <w:rFonts w:hint="eastAsia" w:ascii="仿宋_GB2312" w:hAnsi="仿宋_GB2312" w:eastAsia="仿宋_GB2312" w:cs="仿宋_GB2312"/>
          <w:b w:val="0"/>
          <w:bCs w:val="0"/>
        </w:rPr>
        <w:t>十三、</w:t>
      </w:r>
      <w:r>
        <w:rPr>
          <w:rFonts w:hint="eastAsia" w:ascii="仿宋_GB2312" w:hAnsi="仿宋_GB2312" w:eastAsia="仿宋_GB2312" w:cs="仿宋_GB2312"/>
          <w:b w:val="0"/>
          <w:bCs w:val="0"/>
          <w:color w:val="000000"/>
        </w:rPr>
        <w:t>国</w:t>
      </w:r>
      <w:r>
        <w:rPr>
          <w:rStyle w:val="19"/>
          <w:rFonts w:hint="eastAsia" w:ascii="仿宋_GB2312" w:hAnsi="仿宋_GB2312" w:eastAsia="仿宋_GB2312" w:cs="仿宋_GB2312"/>
          <w:b w:val="0"/>
          <w:bCs w:val="0"/>
        </w:rPr>
        <w:t>有资本经营预算支出决算表</w:t>
      </w:r>
      <w:bookmarkEnd w:id="70"/>
    </w:p>
    <w:p w14:paraId="1C69EFB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654C">
    <w:pPr>
      <w:pStyle w:val="8"/>
      <w:jc w:val="center"/>
    </w:pPr>
    <w:r>
      <w:fldChar w:fldCharType="begin"/>
    </w:r>
    <w:r>
      <w:instrText xml:space="preserve">PAGE   \* MERGEFORMAT</w:instrText>
    </w:r>
    <w:r>
      <w:fldChar w:fldCharType="separate"/>
    </w:r>
    <w:r>
      <w:rPr>
        <w:lang w:val="zh-CN"/>
      </w:rPr>
      <w:t>15</w:t>
    </w:r>
    <w:r>
      <w:rPr>
        <w:lang w:val="zh-CN"/>
      </w:rPr>
      <w:fldChar w:fldCharType="end"/>
    </w:r>
  </w:p>
  <w:p w14:paraId="290AF8C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DDC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YzYxNjg5MTJiMGFkYWVmMDlkYWE4YTc1ZWIzM2EifQ=="/>
  </w:docVars>
  <w:rsids>
    <w:rsidRoot w:val="75223962"/>
    <w:rsid w:val="0267542D"/>
    <w:rsid w:val="076F1207"/>
    <w:rsid w:val="10260F74"/>
    <w:rsid w:val="113774D5"/>
    <w:rsid w:val="192876E1"/>
    <w:rsid w:val="2D401EC7"/>
    <w:rsid w:val="2E532EBF"/>
    <w:rsid w:val="354B7968"/>
    <w:rsid w:val="48F61CC2"/>
    <w:rsid w:val="4E750101"/>
    <w:rsid w:val="4EF15325"/>
    <w:rsid w:val="5CA979CD"/>
    <w:rsid w:val="5FC84E35"/>
    <w:rsid w:val="6BE269B8"/>
    <w:rsid w:val="71BC0499"/>
    <w:rsid w:val="75223962"/>
    <w:rsid w:val="7DC5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 w:cs="Times New Roman"/>
      <w:kern w:val="2"/>
      <w:sz w:val="21"/>
      <w:szCs w:val="21"/>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cs="仿宋_GB2312"/>
      <w:kern w:val="0"/>
      <w:sz w:val="24"/>
      <w:szCs w:val="24"/>
    </w:rPr>
  </w:style>
  <w:style w:type="paragraph" w:styleId="5">
    <w:name w:val="toa heading"/>
    <w:basedOn w:val="1"/>
    <w:next w:val="1"/>
    <w:semiHidden/>
    <w:qFormat/>
    <w:uiPriority w:val="99"/>
    <w:pPr>
      <w:spacing w:before="120"/>
    </w:pPr>
    <w:rPr>
      <w:rFonts w:ascii="Cambria" w:hAnsi="Cambria" w:cs="Cambria"/>
      <w:sz w:val="24"/>
      <w:szCs w:val="24"/>
    </w:rPr>
  </w:style>
  <w:style w:type="paragraph" w:styleId="6">
    <w:name w:val="Body Text Indent"/>
    <w:basedOn w:val="1"/>
    <w:next w:val="7"/>
    <w:qFormat/>
    <w:uiPriority w:val="99"/>
    <w:pPr>
      <w:spacing w:after="120"/>
      <w:ind w:left="420" w:leftChars="200"/>
    </w:pPr>
  </w:style>
  <w:style w:type="paragraph" w:styleId="7">
    <w:name w:val="Body Text First Indent 2"/>
    <w:basedOn w:val="6"/>
    <w:next w:val="1"/>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able of figures"/>
    <w:basedOn w:val="1"/>
    <w:next w:val="1"/>
    <w:qFormat/>
    <w:uiPriority w:val="0"/>
    <w:pPr>
      <w:spacing w:beforeAutospacing="1" w:afterAutospacing="1"/>
      <w:ind w:left="400" w:leftChars="200" w:hanging="200" w:hangingChars="200"/>
    </w:pPr>
    <w:rPr>
      <w:rFonts w:ascii="Times New Roman" w:hAnsi="Times New Roman"/>
      <w:sz w:val="20"/>
      <w:szCs w:val="20"/>
    </w:rPr>
  </w:style>
  <w:style w:type="paragraph" w:styleId="12">
    <w:name w:val="toc 2"/>
    <w:basedOn w:val="1"/>
    <w:next w:val="1"/>
    <w:semiHidden/>
    <w:qFormat/>
    <w:uiPriority w:val="99"/>
    <w:pPr>
      <w:tabs>
        <w:tab w:val="right" w:leader="dot" w:pos="8296"/>
      </w:tabs>
      <w:ind w:left="420" w:leftChars="200"/>
    </w:pPr>
  </w:style>
  <w:style w:type="paragraph" w:styleId="13">
    <w:name w:val="Normal (Web)"/>
    <w:basedOn w:val="1"/>
    <w:qFormat/>
    <w:uiPriority w:val="99"/>
    <w:pPr>
      <w:spacing w:before="100" w:beforeAutospacing="1" w:after="100" w:afterAutospacing="1"/>
      <w:jc w:val="left"/>
    </w:pPr>
    <w:rPr>
      <w:rFonts w:ascii="Calibri" w:hAnsi="Calibri" w:cs="Calibri"/>
      <w:kern w:val="0"/>
      <w:sz w:val="24"/>
      <w:szCs w:val="24"/>
    </w:r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customStyle="1" w:styleId="18">
    <w:name w:val="Heading 1 Char"/>
    <w:basedOn w:val="15"/>
    <w:link w:val="3"/>
    <w:qFormat/>
    <w:locked/>
    <w:uiPriority w:val="99"/>
    <w:rPr>
      <w:b/>
      <w:bCs/>
      <w:kern w:val="44"/>
      <w:sz w:val="44"/>
      <w:szCs w:val="44"/>
    </w:rPr>
  </w:style>
  <w:style w:type="character" w:customStyle="1" w:styleId="19">
    <w:name w:val="Heading 2 Char"/>
    <w:basedOn w:val="15"/>
    <w:link w:val="4"/>
    <w:qFormat/>
    <w:locked/>
    <w:uiPriority w:val="99"/>
    <w:rPr>
      <w:rFonts w:ascii="Cambria" w:hAnsi="Cambria" w:cs="Cambria"/>
      <w:b/>
      <w:bCs/>
      <w:sz w:val="32"/>
      <w:szCs w:val="32"/>
    </w:rPr>
  </w:style>
  <w:style w:type="character" w:customStyle="1" w:styleId="20">
    <w:name w:val="ca-1"/>
    <w:basedOn w:val="15"/>
    <w:qFormat/>
    <w:uiPriority w:val="99"/>
  </w:style>
  <w:style w:type="paragraph" w:styleId="21">
    <w:name w:val="List Paragraph"/>
    <w:basedOn w:val="1"/>
    <w:qFormat/>
    <w:uiPriority w:val="99"/>
    <w:pPr>
      <w:ind w:firstLine="420" w:firstLineChars="200"/>
    </w:pPr>
  </w:style>
  <w:style w:type="character" w:customStyle="1" w:styleId="22">
    <w:name w:val="font11"/>
    <w:basedOn w:val="15"/>
    <w:qFormat/>
    <w:uiPriority w:val="0"/>
    <w:rPr>
      <w:rFonts w:hint="eastAsia" w:ascii="宋体" w:hAnsi="宋体" w:eastAsia="宋体" w:cs="宋体"/>
      <w:color w:val="000000"/>
      <w:sz w:val="24"/>
      <w:szCs w:val="24"/>
      <w:u w:val="none"/>
    </w:rPr>
  </w:style>
  <w:style w:type="character" w:customStyle="1" w:styleId="23">
    <w:name w:val="font31"/>
    <w:basedOn w:val="15"/>
    <w:qFormat/>
    <w:uiPriority w:val="0"/>
    <w:rPr>
      <w:rFonts w:hint="eastAsia" w:ascii="宋体" w:hAnsi="宋体" w:eastAsia="宋体" w:cs="宋体"/>
      <w:color w:val="000000"/>
      <w:sz w:val="20"/>
      <w:szCs w:val="20"/>
      <w:u w:val="none"/>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5">
    <w:name w:val=" Char Char1 Char Char Char Char Char Char"/>
    <w:basedOn w:val="1"/>
    <w:qFormat/>
    <w:uiPriority w:val="0"/>
    <w:pPr>
      <w:widowControl/>
      <w:spacing w:after="160" w:line="240" w:lineRule="exact"/>
      <w:jc w:val="left"/>
    </w:pPr>
    <w:rPr>
      <w:rFonts w:eastAsia="仿宋_GB2312" w:cs="仿宋_GB2312"/>
      <w:sz w:val="32"/>
      <w:szCs w:val="32"/>
    </w:rPr>
  </w:style>
  <w:style w:type="character" w:customStyle="1" w:styleId="26">
    <w:name w:val="23"/>
    <w:basedOn w:val="15"/>
    <w:qFormat/>
    <w:uiPriority w:val="0"/>
    <w:rPr>
      <w:rFonts w:hint="default" w:ascii="Times New Roman" w:hAnsi="Times New Roman" w:cs="Times New Roman"/>
      <w:b/>
    </w:rPr>
  </w:style>
  <w:style w:type="character" w:customStyle="1" w:styleId="27">
    <w:name w:val="font71"/>
    <w:basedOn w:val="15"/>
    <w:uiPriority w:val="0"/>
    <w:rPr>
      <w:rFonts w:ascii="宋?" w:hAnsi="宋?" w:eastAsia="宋?" w:cs="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年和</a:t>
            </a:r>
            <a:r>
              <a:rPr lang="en-US" altLang="zh-CN"/>
              <a:t>2021</a:t>
            </a:r>
            <a:r>
              <a:rPr altLang="en-US"/>
              <a:t>年收入和支出总额</a:t>
            </a:r>
            <a:endParaRPr altLang="en-US"/>
          </a:p>
        </c:rich>
      </c:tx>
      <c:layout>
        <c:manualLayout>
          <c:xMode val="edge"/>
          <c:yMode val="edge"/>
          <c:x val="0.254027777777778"/>
          <c:y val="0.0555555555555556"/>
        </c:manualLayout>
      </c:layout>
      <c:overlay val="0"/>
      <c:spPr>
        <a:noFill/>
        <a:ln>
          <a:noFill/>
        </a:ln>
        <a:effectLst/>
      </c:spPr>
    </c:title>
    <c:autoTitleDeleted val="0"/>
    <c:plotArea>
      <c:layout/>
      <c:barChart>
        <c:barDir val="col"/>
        <c:grouping val="clustered"/>
        <c:varyColors val="0"/>
        <c:ser>
          <c:idx val="0"/>
          <c:order val="0"/>
          <c:tx>
            <c:strRef>
              <c:f>[工作簿1]Sheet1!$D$14</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[工作簿1]Sheet1!$E$13:$F$13</c:f>
              <c:strCache>
                <c:ptCount val="2"/>
                <c:pt idx="0">
                  <c:v>2021年</c:v>
                </c:pt>
                <c:pt idx="1">
                  <c:v>2022年</c:v>
                </c:pt>
              </c:strCache>
            </c:strRef>
          </c:cat>
          <c:val>
            <c:numRef>
              <c:f>[工作簿1]Sheet1!$E$14:$F$14</c:f>
              <c:numCache>
                <c:formatCode>General</c:formatCode>
                <c:ptCount val="2"/>
                <c:pt idx="0">
                  <c:v>2308.91</c:v>
                </c:pt>
                <c:pt idx="1">
                  <c:v>1936.57</c:v>
                </c:pt>
              </c:numCache>
            </c:numRef>
          </c:val>
        </c:ser>
        <c:ser>
          <c:idx val="1"/>
          <c:order val="1"/>
          <c:tx>
            <c:strRef>
              <c:f>[工作簿1]Sheet1!$D$15</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[工作簿1]Sheet1!$E$13:$F$13</c:f>
              <c:strCache>
                <c:ptCount val="2"/>
                <c:pt idx="0">
                  <c:v>2021年</c:v>
                </c:pt>
                <c:pt idx="1">
                  <c:v>2022年</c:v>
                </c:pt>
              </c:strCache>
            </c:strRef>
          </c:cat>
          <c:val>
            <c:numRef>
              <c:f>[工作簿1]Sheet1!$E$15:$F$15</c:f>
              <c:numCache>
                <c:formatCode>General</c:formatCode>
                <c:ptCount val="2"/>
                <c:pt idx="0">
                  <c:v>2559.37</c:v>
                </c:pt>
                <c:pt idx="1">
                  <c:v>1936.57</c:v>
                </c:pt>
              </c:numCache>
            </c:numRef>
          </c:val>
        </c:ser>
        <c:dLbls>
          <c:showLegendKey val="0"/>
          <c:showVal val="1"/>
          <c:showCatName val="0"/>
          <c:showSerName val="0"/>
          <c:showPercent val="0"/>
          <c:showBubbleSize val="0"/>
        </c:dLbls>
        <c:gapWidth val="219"/>
        <c:overlap val="-27"/>
        <c:axId val="524446762"/>
        <c:axId val="627553039"/>
      </c:barChart>
      <c:catAx>
        <c:axId val="5244467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7553039"/>
        <c:crosses val="autoZero"/>
        <c:auto val="1"/>
        <c:lblAlgn val="ctr"/>
        <c:lblOffset val="100"/>
        <c:noMultiLvlLbl val="0"/>
      </c:catAx>
      <c:valAx>
        <c:axId val="62755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44467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633ed8-2bb7-4828-99e7-4172c36fe9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年收入构成</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[工作簿1]Sheet1!$J$20:$K$20</c:f>
              <c:strCache>
                <c:ptCount val="2"/>
                <c:pt idx="0">
                  <c:v>一般公共预算收入</c:v>
                </c:pt>
                <c:pt idx="1">
                  <c:v>其他收入</c:v>
                </c:pt>
              </c:strCache>
            </c:strRef>
          </c:cat>
          <c:val>
            <c:numRef>
              <c:f>[工作簿1]Sheet1!$J$21:$K$21</c:f>
              <c:numCache>
                <c:formatCode>General</c:formatCode>
                <c:ptCount val="2"/>
                <c:pt idx="0">
                  <c:v>1360.03</c:v>
                </c:pt>
                <c:pt idx="1">
                  <c:v>576.54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7ef1ab-24ed-406c-91c2-45fe6a182a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年支出决算结构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工作表.xls]Sheet1'!$D$37:$D$38</c:f>
              <c:strCache>
                <c:ptCount val="2"/>
                <c:pt idx="0">
                  <c:v>基本支出</c:v>
                </c:pt>
                <c:pt idx="1">
                  <c:v>项目支出</c:v>
                </c:pt>
              </c:strCache>
            </c:strRef>
          </c:cat>
          <c:val>
            <c:numRef>
              <c:f>'[新建 XLS 工作表.xls]Sheet1'!$E$37:$E$38</c:f>
              <c:numCache>
                <c:formatCode>General</c:formatCode>
                <c:ptCount val="2"/>
                <c:pt idx="0">
                  <c:v>1837.18</c:v>
                </c:pt>
                <c:pt idx="1">
                  <c:v>99.39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fc6456-415c-48f4-a36f-29b3da44d5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年和</a:t>
            </a:r>
            <a:r>
              <a:rPr lang="en-US" altLang="zh-CN"/>
              <a:t>2022</a:t>
            </a:r>
            <a:r>
              <a:rPr altLang="en-US"/>
              <a:t>年收入和支出决算数</a:t>
            </a:r>
            <a:endParaRPr lang="en-US" altLang="zh-CN"/>
          </a:p>
        </c:rich>
      </c:tx>
      <c:layout>
        <c:manualLayout>
          <c:xMode val="edge"/>
          <c:yMode val="edge"/>
          <c:x val="0.203287820061076"/>
          <c:y val="0.0555555555555556"/>
        </c:manualLayout>
      </c:layout>
      <c:overlay val="0"/>
      <c:spPr>
        <a:noFill/>
        <a:ln>
          <a:noFill/>
        </a:ln>
        <a:effectLst/>
      </c:spPr>
    </c:title>
    <c:autoTitleDeleted val="0"/>
    <c:plotArea>
      <c:layout/>
      <c:barChart>
        <c:barDir val="col"/>
        <c:grouping val="clustered"/>
        <c:varyColors val="0"/>
        <c:ser>
          <c:idx val="0"/>
          <c:order val="0"/>
          <c:tx>
            <c:strRef>
              <c:f>[工作簿1]Sheet1!$D$14</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[工作簿1]Sheet1!$E$13:$F$13</c:f>
              <c:strCache>
                <c:ptCount val="2"/>
                <c:pt idx="0">
                  <c:v>2021年</c:v>
                </c:pt>
                <c:pt idx="1">
                  <c:v>2022年</c:v>
                </c:pt>
              </c:strCache>
            </c:strRef>
          </c:cat>
          <c:val>
            <c:numRef>
              <c:f>[工作簿1]Sheet1!$E$14:$F$14</c:f>
              <c:numCache>
                <c:formatCode>General</c:formatCode>
                <c:ptCount val="2"/>
                <c:pt idx="0">
                  <c:v>2308.91</c:v>
                </c:pt>
                <c:pt idx="1">
                  <c:v>1936.57</c:v>
                </c:pt>
              </c:numCache>
            </c:numRef>
          </c:val>
        </c:ser>
        <c:ser>
          <c:idx val="1"/>
          <c:order val="1"/>
          <c:tx>
            <c:strRef>
              <c:f>[工作簿1]Sheet1!$D$15</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[工作簿1]Sheet1!$E$13:$F$13</c:f>
              <c:strCache>
                <c:ptCount val="2"/>
                <c:pt idx="0">
                  <c:v>2021年</c:v>
                </c:pt>
                <c:pt idx="1">
                  <c:v>2022年</c:v>
                </c:pt>
              </c:strCache>
            </c:strRef>
          </c:cat>
          <c:val>
            <c:numRef>
              <c:f>[工作簿1]Sheet1!$E$15:$F$15</c:f>
              <c:numCache>
                <c:formatCode>General</c:formatCode>
                <c:ptCount val="2"/>
                <c:pt idx="0">
                  <c:v>2559.37</c:v>
                </c:pt>
                <c:pt idx="1">
                  <c:v>1936.57</c:v>
                </c:pt>
              </c:numCache>
            </c:numRef>
          </c:val>
        </c:ser>
        <c:dLbls>
          <c:showLegendKey val="0"/>
          <c:showVal val="1"/>
          <c:showCatName val="0"/>
          <c:showSerName val="0"/>
          <c:showPercent val="0"/>
          <c:showBubbleSize val="0"/>
        </c:dLbls>
        <c:gapWidth val="219"/>
        <c:overlap val="-27"/>
        <c:axId val="524446762"/>
        <c:axId val="627553039"/>
      </c:barChart>
      <c:catAx>
        <c:axId val="5244467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7553039"/>
        <c:crosses val="autoZero"/>
        <c:auto val="1"/>
        <c:lblAlgn val="ctr"/>
        <c:lblOffset val="100"/>
        <c:noMultiLvlLbl val="0"/>
      </c:catAx>
      <c:valAx>
        <c:axId val="62755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44467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14d320-fef1-4e16-a50c-54c125f3f1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a:t>
            </a:r>
            <a:endParaRPr altLang="en-US"/>
          </a:p>
        </c:rich>
      </c:tx>
      <c:layout/>
      <c:overlay val="0"/>
      <c:spPr>
        <a:noFill/>
        <a:ln>
          <a:noFill/>
        </a:ln>
        <a:effectLst/>
      </c:spPr>
    </c:title>
    <c:autoTitleDeleted val="0"/>
    <c:plotArea>
      <c:layout/>
      <c:barChart>
        <c:barDir val="col"/>
        <c:grouping val="clustered"/>
        <c:varyColors val="0"/>
        <c:ser>
          <c:idx val="0"/>
          <c:order val="0"/>
          <c:tx>
            <c:strRef>
              <c:f>'[新建 XLS 工作表.xls]Sheet1'!$B$11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工作表.xls]Sheet1'!$C$10:$D$10</c:f>
              <c:strCache>
                <c:ptCount val="2"/>
                <c:pt idx="0">
                  <c:v>2021年</c:v>
                </c:pt>
                <c:pt idx="1">
                  <c:v>2022年</c:v>
                </c:pt>
              </c:strCache>
            </c:strRef>
          </c:cat>
          <c:val>
            <c:numRef>
              <c:f>'[新建 XLS 工作表.xls]Sheet1'!$C$11:$D$11</c:f>
              <c:numCache>
                <c:formatCode>General</c:formatCode>
                <c:ptCount val="2"/>
                <c:pt idx="0">
                  <c:v>2559.37</c:v>
                </c:pt>
                <c:pt idx="1">
                  <c:v>1360.03</c:v>
                </c:pt>
              </c:numCache>
            </c:numRef>
          </c:val>
        </c:ser>
        <c:dLbls>
          <c:showLegendKey val="0"/>
          <c:showVal val="1"/>
          <c:showCatName val="0"/>
          <c:showSerName val="0"/>
          <c:showPercent val="0"/>
          <c:showBubbleSize val="0"/>
        </c:dLbls>
        <c:gapWidth val="219"/>
        <c:overlap val="-27"/>
        <c:axId val="453696202"/>
        <c:axId val="568174458"/>
      </c:barChart>
      <c:catAx>
        <c:axId val="4536962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8174458"/>
        <c:crosses val="autoZero"/>
        <c:auto val="1"/>
        <c:lblAlgn val="ctr"/>
        <c:lblOffset val="100"/>
        <c:noMultiLvlLbl val="0"/>
      </c:catAx>
      <c:valAx>
        <c:axId val="5681744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6962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507e6a-337d-42c5-92f2-3c3533d9d13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工作表.xls]Sheet1'!$D$37:$D$40</c:f>
              <c:strCache>
                <c:ptCount val="4"/>
                <c:pt idx="0">
                  <c:v>一般公共服务支出</c:v>
                </c:pt>
                <c:pt idx="1">
                  <c:v>社会保障和就业支出</c:v>
                </c:pt>
                <c:pt idx="2">
                  <c:v>医疗卫生支出</c:v>
                </c:pt>
                <c:pt idx="3">
                  <c:v>住房保障支出</c:v>
                </c:pt>
              </c:strCache>
            </c:strRef>
          </c:cat>
          <c:val>
            <c:numRef>
              <c:f>'[新建 XLS 工作表.xls]Sheet1'!$E$37:$E$40</c:f>
              <c:numCache>
                <c:formatCode>General</c:formatCode>
                <c:ptCount val="4"/>
                <c:pt idx="0">
                  <c:v>996.29</c:v>
                </c:pt>
                <c:pt idx="1">
                  <c:v>166.47</c:v>
                </c:pt>
                <c:pt idx="2">
                  <c:v>76.86</c:v>
                </c:pt>
                <c:pt idx="3">
                  <c:v>120.41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6041666666667"/>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60ef9c-ed4b-438e-9458-38dc6e9679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工作表.xls]Sheet1'!$D$37</c:f>
              <c:strCache>
                <c:ptCount val="1"/>
                <c:pt idx="0">
                  <c:v>公务用车购置及运行维护费支出</c:v>
                </c:pt>
              </c:strCache>
            </c:strRef>
          </c:cat>
          <c:val>
            <c:numRef>
              <c:f>'[新建 XLS 工作表.xls]Sheet1'!$E$37</c:f>
              <c:numCache>
                <c:formatCode>General</c:formatCode>
                <c:ptCount val="1"/>
                <c:pt idx="0">
                  <c:v>42.81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7d5e86-9614-4906-881b-6fb784dfbc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4956</Words>
  <Characters>6017</Characters>
  <Lines>0</Lines>
  <Paragraphs>0</Paragraphs>
  <TotalTime>57</TotalTime>
  <ScaleCrop>false</ScaleCrop>
  <LinksUpToDate>false</LinksUpToDate>
  <CharactersWithSpaces>6050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2023-09-07T07:10:00Z</dcterms:created>
  <dc:creator>Administrator</dc:creator>
  <cp:lastModifiedBy>一个笨蛋</cp:lastModifiedBy>
  <cp:lastPrinted>2023-09-14T07:25:00Z</cp:lastPrinted>
  <dcterms:modified xsi:type="dcterms:W3CDTF">2025-11-17T07:46:02Z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E1FF4F41E67D477599044937651D3359_11</vt:lpwstr>
  </property>
  <property fmtid="{D5CDD505-2E9C-101B-9397-08002B2CF9AE}" pid="4" name="KSOTemplateDocerSaveRecord">
    <vt:lpwstr>eyJoZGlkIjoiYjllZGNkZWEzYjg0NDNmNTQ5MjkzNjk0ODlhNmVkYzAiLCJ1c2VySWQiOiI0MTAxMDQ4MDkifQ==</vt:lpwstr>
  </property>
</Properties>
</file>