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rPr>
          <w:rFonts w:ascii="Times New Roman" w:eastAsia="方正小标宋简体"/>
          <w:kern w:val="2"/>
          <w:sz w:val="72"/>
          <w:szCs w:val="72"/>
        </w:rPr>
      </w:pPr>
      <w:bookmarkStart w:id="0" w:name="_Toc15396475"/>
      <w:bookmarkStart w:id="1" w:name="_Toc15306267"/>
      <w:bookmarkStart w:id="2" w:name="_Toc15377425"/>
      <w:bookmarkStart w:id="3" w:name="_Toc15377193"/>
      <w:bookmarkStart w:id="4" w:name="_Toc15396597"/>
      <w:bookmarkStart w:id="5" w:name="_Toc15378441"/>
    </w:p>
    <w:p>
      <w:pPr>
        <w:pStyle w:val="2"/>
        <w:spacing w:before="93"/>
        <w:rPr>
          <w:rFonts w:ascii="Times New Roman" w:eastAsia="方正小标宋简体"/>
          <w:kern w:val="2"/>
          <w:sz w:val="72"/>
          <w:szCs w:val="72"/>
        </w:rPr>
      </w:pPr>
    </w:p>
    <w:p>
      <w:pPr>
        <w:pStyle w:val="2"/>
        <w:spacing w:before="93"/>
        <w:rPr>
          <w:rFonts w:ascii="Times New Roman" w:eastAsia="方正小标宋简体"/>
          <w:kern w:val="2"/>
          <w:sz w:val="72"/>
          <w:szCs w:val="72"/>
        </w:rPr>
      </w:pPr>
    </w:p>
    <w:p>
      <w:pPr>
        <w:pStyle w:val="2"/>
        <w:spacing w:before="93"/>
        <w:jc w:val="center"/>
        <w:rPr>
          <w:rFonts w:hint="eastAsia" w:ascii="Times New Roman" w:hAnsi="Times New Roman" w:eastAsia="方正小标宋简体"/>
          <w:lang w:val="en" w:eastAsia="zh-C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eastAsia="方正小标宋简体"/>
          <w:kern w:val="2"/>
          <w:sz w:val="44"/>
          <w:szCs w:val="44"/>
        </w:rPr>
        <w:t>2024年度</w:t>
      </w:r>
      <w:r>
        <w:rPr>
          <w:rFonts w:hint="eastAsia" w:ascii="Times New Roman" w:eastAsia="方正小标宋简体"/>
          <w:kern w:val="2"/>
          <w:sz w:val="44"/>
          <w:szCs w:val="44"/>
          <w:lang w:eastAsia="zh-CN"/>
        </w:rPr>
        <w:t>阿坝州汶川县人民法院</w:t>
      </w:r>
      <w:r>
        <w:rPr>
          <w:rFonts w:hint="eastAsia" w:ascii="Times New Roman" w:eastAsia="方正小标宋简体"/>
          <w:kern w:val="2"/>
          <w:sz w:val="44"/>
          <w:szCs w:val="44"/>
        </w:rPr>
        <w:t>决</w:t>
      </w:r>
      <w:r>
        <w:rPr>
          <w:rFonts w:hint="eastAsia" w:ascii="Times New Roman" w:eastAsia="方正小标宋简体"/>
          <w:kern w:val="2"/>
          <w:sz w:val="44"/>
          <w:szCs w:val="44"/>
          <w:lang w:eastAsia="zh-CN"/>
        </w:rPr>
        <w:t>算公开</w:t>
      </w:r>
      <w:bookmarkStart w:id="62" w:name="_GoBack"/>
      <w:bookmarkEnd w:id="62"/>
    </w:p>
    <w:bookmarkEnd w:id="0"/>
    <w:bookmarkEnd w:id="1"/>
    <w:bookmarkEnd w:id="2"/>
    <w:bookmarkEnd w:id="3"/>
    <w:bookmarkEnd w:id="4"/>
    <w:bookmarkEnd w:id="5"/>
    <w:p>
      <w:pPr>
        <w:widowControl/>
        <w:jc w:val="both"/>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18</w:t>
      </w:r>
      <w:r>
        <w:rPr>
          <w:rFonts w:hint="eastAsia" w:ascii="Times New Roman" w:hAnsi="Times New Roman" w:eastAsia="仿宋_GB2312" w:cs="仿宋_GB2312"/>
          <w:sz w:val="32"/>
          <w:szCs w:val="32"/>
        </w:rPr>
        <w:t>日</w:t>
      </w:r>
    </w:p>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p>
    <w:p>
      <w:pPr>
        <w:pStyle w:val="15"/>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一、部门职责</w:t>
      </w:r>
      <w:r>
        <w:t>....................................</w:t>
      </w:r>
      <w:r>
        <w:rPr>
          <w:rFonts w:hint="eastAsia"/>
          <w:lang w:val="en-US" w:eastAsia="zh-CN"/>
        </w:rPr>
        <w:t>..........</w:t>
      </w:r>
      <w:r>
        <w:t>............................................................</w:t>
      </w:r>
      <w:r>
        <w:rPr>
          <w:rFonts w:hint="eastAsia"/>
          <w:lang w:val="en-US" w:eastAsia="zh-CN"/>
        </w:rPr>
        <w:t>1</w:t>
      </w:r>
    </w:p>
    <w:p>
      <w:pPr>
        <w:pStyle w:val="15"/>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二、机构设置</w:t>
      </w:r>
      <w:r>
        <w:t>....................................</w:t>
      </w:r>
      <w:r>
        <w:rPr>
          <w:rFonts w:hint="eastAsia"/>
          <w:lang w:val="en-US" w:eastAsia="zh-CN"/>
        </w:rPr>
        <w:t>..........</w:t>
      </w:r>
      <w:r>
        <w:t>............................................................</w:t>
      </w:r>
      <w:r>
        <w:rPr>
          <w:rFonts w:hint="eastAsia"/>
          <w:lang w:val="en-US" w:eastAsia="zh-CN"/>
        </w:rPr>
        <w:t>2</w:t>
      </w:r>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p>
    <w:p>
      <w:pPr>
        <w:pStyle w:val="15"/>
        <w:adjustRightInd w:val="0"/>
        <w:snapToGrid w:val="0"/>
        <w:spacing w:line="560" w:lineRule="exact"/>
        <w:ind w:left="0" w:leftChars="0" w:firstLine="640" w:firstLineChars="200"/>
        <w:jc w:val="left"/>
        <w:rPr>
          <w:rFonts w:hint="eastAsia" w:eastAsia="宋体"/>
          <w:lang w:val="en-US" w:eastAsia="zh-CN"/>
        </w:rPr>
      </w:pPr>
      <w:r>
        <w:rPr>
          <w:rFonts w:hint="eastAsia" w:eastAsia="仿宋_GB2312" w:cs="仿宋_GB2312"/>
          <w:sz w:val="32"/>
          <w:szCs w:val="32"/>
        </w:rPr>
        <w:t>一、收入支出决算总体情况说明</w:t>
      </w:r>
      <w:r>
        <w:t>.........................................................</w:t>
      </w:r>
      <w:r>
        <w:rPr>
          <w:rFonts w:hint="eastAsia"/>
          <w:lang w:val="en-US" w:eastAsia="zh-CN"/>
        </w:rPr>
        <w:t>3</w:t>
      </w:r>
    </w:p>
    <w:p>
      <w:pPr>
        <w:pStyle w:val="15"/>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二、收入决算情况说明</w:t>
      </w:r>
      <w:r>
        <w:t>..................................................................................</w:t>
      </w:r>
      <w:r>
        <w:rPr>
          <w:rFonts w:hint="eastAsia"/>
          <w:lang w:val="en-US" w:eastAsia="zh-CN"/>
        </w:rPr>
        <w:t>3</w:t>
      </w:r>
    </w:p>
    <w:p>
      <w:pPr>
        <w:pStyle w:val="15"/>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三、支出决算情况说明</w:t>
      </w:r>
      <w:r>
        <w:t>..................................................................................</w:t>
      </w:r>
      <w:r>
        <w:rPr>
          <w:rFonts w:hint="eastAsia"/>
          <w:lang w:val="en-US" w:eastAsia="zh-CN"/>
        </w:rPr>
        <w:t>4</w:t>
      </w:r>
    </w:p>
    <w:p>
      <w:pPr>
        <w:pStyle w:val="15"/>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四、财政拨款收入支出决算总体情况说明</w:t>
      </w:r>
      <w:r>
        <w:t>..................................</w:t>
      </w:r>
      <w:r>
        <w:rPr>
          <w:rFonts w:hint="eastAsia"/>
          <w:lang w:val="en-US" w:eastAsia="zh-CN"/>
        </w:rPr>
        <w:t>4</w:t>
      </w:r>
    </w:p>
    <w:p>
      <w:pPr>
        <w:pStyle w:val="15"/>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五、一般公共预算财政拨款支出决算情况说明</w:t>
      </w:r>
      <w:r>
        <w:t>......................</w:t>
      </w:r>
      <w:r>
        <w:rPr>
          <w:rFonts w:hint="eastAsia"/>
          <w:lang w:val="en-US" w:eastAsia="zh-CN"/>
        </w:rPr>
        <w:t>5</w:t>
      </w:r>
    </w:p>
    <w:p>
      <w:pPr>
        <w:pStyle w:val="15"/>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六、一般公共预算财政拨款基本支出决算情况说明</w:t>
      </w:r>
      <w:r>
        <w:t>...........</w:t>
      </w:r>
      <w:r>
        <w:rPr>
          <w:rFonts w:hint="eastAsia"/>
          <w:lang w:val="en-US" w:eastAsia="zh-CN"/>
        </w:rPr>
        <w:t>7</w:t>
      </w:r>
    </w:p>
    <w:p>
      <w:pPr>
        <w:pStyle w:val="15"/>
        <w:adjustRightInd w:val="0"/>
        <w:snapToGrid w:val="0"/>
        <w:spacing w:line="560" w:lineRule="exact"/>
        <w:ind w:left="0" w:leftChars="0" w:firstLine="640" w:firstLineChars="200"/>
        <w:jc w:val="left"/>
        <w:rPr>
          <w:rFonts w:hint="default" w:eastAsia="仿宋_GB2312" w:cs="仿宋_GB2312"/>
          <w:sz w:val="32"/>
          <w:szCs w:val="32"/>
          <w:lang w:val="en"/>
        </w:rPr>
      </w:pPr>
      <w:r>
        <w:rPr>
          <w:rFonts w:hint="eastAsia" w:eastAsia="仿宋_GB2312" w:cs="仿宋_GB2312"/>
          <w:sz w:val="32"/>
          <w:szCs w:val="32"/>
        </w:rPr>
        <w:t>七、财政拨款“三公”经费支出决算情况说明</w:t>
      </w:r>
      <w:r>
        <w:t>.......................</w:t>
      </w:r>
      <w:r>
        <w:rPr>
          <w:rFonts w:hint="default"/>
          <w:lang w:val="en" w:eastAsia="zh-CN"/>
        </w:rPr>
        <w:t>8</w:t>
      </w:r>
    </w:p>
    <w:p>
      <w:pPr>
        <w:pStyle w:val="15"/>
        <w:adjustRightInd w:val="0"/>
        <w:snapToGrid w:val="0"/>
        <w:spacing w:line="560" w:lineRule="exact"/>
        <w:ind w:left="0" w:leftChars="0" w:firstLine="640" w:firstLineChars="200"/>
        <w:jc w:val="left"/>
        <w:rPr>
          <w:rFonts w:hint="default" w:eastAsia="仿宋_GB2312" w:cs="仿宋_GB2312"/>
          <w:sz w:val="32"/>
          <w:szCs w:val="32"/>
          <w:lang w:val="en"/>
        </w:rPr>
      </w:pPr>
      <w:r>
        <w:rPr>
          <w:rFonts w:hint="eastAsia" w:eastAsia="仿宋_GB2312" w:cs="仿宋_GB2312"/>
          <w:sz w:val="32"/>
          <w:szCs w:val="32"/>
        </w:rPr>
        <w:t>八、政府性基金预算支出决算情况说明</w:t>
      </w:r>
      <w:r>
        <w:t>........................................</w:t>
      </w:r>
      <w:r>
        <w:rPr>
          <w:rFonts w:hint="default"/>
          <w:lang w:val="en" w:eastAsia="zh-CN"/>
        </w:rPr>
        <w:t>10</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t>..................................</w:t>
      </w:r>
      <w:r>
        <w:rPr>
          <w:rFonts w:hint="default"/>
          <w:lang w:val="en" w:eastAsia="zh-CN"/>
        </w:rPr>
        <w:t>10</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t>................................................................</w:t>
      </w:r>
      <w:r>
        <w:rPr>
          <w:rFonts w:hint="default"/>
          <w:lang w:val="en" w:eastAsia="zh-CN"/>
        </w:rPr>
        <w:t>10</w:t>
      </w:r>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第三部分 名词解释</w:t>
      </w:r>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第五部分 附表</w:t>
      </w:r>
    </w:p>
    <w:p>
      <w:pPr>
        <w:pStyle w:val="15"/>
        <w:adjustRightInd w:val="0"/>
        <w:snapToGrid w:val="0"/>
        <w:spacing w:line="560" w:lineRule="exact"/>
        <w:ind w:left="0" w:leftChars="0" w:firstLine="640" w:firstLineChars="200"/>
        <w:jc w:val="left"/>
        <w:rPr>
          <w:rFonts w:hint="default" w:eastAsia="仿宋_GB2312" w:cs="仿宋_GB2312"/>
          <w:sz w:val="32"/>
          <w:szCs w:val="32"/>
          <w:lang w:val="en"/>
        </w:rPr>
      </w:pPr>
      <w:r>
        <w:rPr>
          <w:rFonts w:hint="eastAsia" w:eastAsia="仿宋_GB2312" w:cs="仿宋_GB2312"/>
          <w:sz w:val="32"/>
          <w:szCs w:val="32"/>
        </w:rPr>
        <w:t>一、收入支出决算总表</w:t>
      </w:r>
      <w:r>
        <w:t>..................................................................................</w:t>
      </w:r>
      <w:r>
        <w:rPr>
          <w:rFonts w:hint="default"/>
          <w:lang w:val="en"/>
        </w:rPr>
        <w:t>22</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r>
        <w:t>...................................................................................................</w:t>
      </w:r>
      <w:r>
        <w:rPr>
          <w:rFonts w:hint="default"/>
          <w:lang w:val="en"/>
        </w:rPr>
        <w:t>22</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r>
        <w:t>...................................................................................................</w:t>
      </w:r>
      <w:r>
        <w:rPr>
          <w:rFonts w:hint="default"/>
          <w:lang w:val="en"/>
        </w:rPr>
        <w:t>22</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r>
        <w:t>.......................................................</w:t>
      </w:r>
      <w:r>
        <w:rPr>
          <w:rFonts w:hint="default"/>
          <w:lang w:val="en"/>
        </w:rPr>
        <w:t>22</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r>
        <w:t>.............................................................</w:t>
      </w:r>
      <w:r>
        <w:rPr>
          <w:rFonts w:hint="default"/>
          <w:lang w:val="en"/>
        </w:rPr>
        <w:t>22</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r>
        <w:t>.....................................</w:t>
      </w:r>
      <w:r>
        <w:rPr>
          <w:rFonts w:hint="default"/>
          <w:lang w:val="en"/>
        </w:rPr>
        <w:t>22</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r>
        <w:t>.........................</w:t>
      </w:r>
      <w:r>
        <w:rPr>
          <w:rFonts w:hint="default"/>
          <w:lang w:val="en"/>
        </w:rPr>
        <w:t>22</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r>
        <w:t>.............</w:t>
      </w:r>
      <w:r>
        <w:rPr>
          <w:rFonts w:hint="default"/>
          <w:lang w:val="en"/>
        </w:rPr>
        <w:t>22</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t>.........................</w:t>
      </w:r>
      <w:r>
        <w:rPr>
          <w:rFonts w:hint="default"/>
          <w:lang w:val="en"/>
        </w:rPr>
        <w:t>22</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t>...................</w:t>
      </w:r>
      <w:r>
        <w:rPr>
          <w:rFonts w:hint="default"/>
          <w:lang w:val="en"/>
        </w:rPr>
        <w:t>22</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t>........</w:t>
      </w:r>
      <w:r>
        <w:rPr>
          <w:rFonts w:hint="default"/>
          <w:lang w:val="en"/>
        </w:rPr>
        <w:t>22</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t>.....................</w:t>
      </w:r>
      <w:r>
        <w:rPr>
          <w:rFonts w:hint="default"/>
          <w:lang w:val="en"/>
        </w:rPr>
        <w:t>22</w:t>
      </w:r>
    </w:p>
    <w:p>
      <w:pPr>
        <w:pStyle w:val="15"/>
        <w:adjustRightInd w:val="0"/>
        <w:snapToGrid w:val="0"/>
        <w:spacing w:line="560" w:lineRule="exact"/>
        <w:ind w:left="0" w:leftChars="0" w:firstLine="640" w:firstLineChars="200"/>
        <w:jc w:val="left"/>
        <w:rPr>
          <w:rFonts w:hint="eastAsia" w:eastAsia="方正小标宋简体" w:cs="方正小标宋简体"/>
          <w:b w:val="0"/>
          <w:bCs w:val="0"/>
          <w:sz w:val="21"/>
          <w:szCs w:val="21"/>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r>
        <w:rPr>
          <w:rFonts w:hint="eastAsia" w:eastAsia="仿宋_GB2312" w:cs="仿宋_GB2312"/>
          <w:sz w:val="32"/>
          <w:szCs w:val="32"/>
        </w:rPr>
        <w:t>十三、财政拨款“三公”经费支出决算表</w:t>
      </w:r>
      <w:bookmarkStart w:id="6" w:name="_Toc15377196"/>
      <w:bookmarkStart w:id="7" w:name="_Toc15396599"/>
      <w:r>
        <w:rPr>
          <w:b w:val="0"/>
          <w:bCs w:val="0"/>
          <w:sz w:val="21"/>
          <w:szCs w:val="21"/>
        </w:rPr>
        <w:t>................................</w:t>
      </w:r>
      <w:r>
        <w:rPr>
          <w:rFonts w:hint="default"/>
          <w:b w:val="0"/>
          <w:bCs w:val="0"/>
          <w:sz w:val="21"/>
          <w:szCs w:val="21"/>
          <w:lang w:val="en"/>
        </w:rPr>
        <w:t>22</w:t>
      </w:r>
    </w:p>
    <w:p>
      <w:pPr>
        <w:pStyle w:val="3"/>
        <w:jc w:val="center"/>
        <w:rPr>
          <w:rFonts w:eastAsia="黑体"/>
          <w:sz w:val="32"/>
          <w:szCs w:val="32"/>
        </w:rPr>
      </w:pPr>
      <w:r>
        <w:rPr>
          <w:rFonts w:hint="eastAsia" w:eastAsia="方正小标宋简体" w:cs="方正小标宋简体"/>
          <w:b w:val="0"/>
        </w:rPr>
        <w:t xml:space="preserve">第一部分  </w:t>
      </w:r>
      <w:r>
        <w:rPr>
          <w:rStyle w:val="30"/>
          <w:rFonts w:hint="eastAsia" w:eastAsia="方正小标宋简体" w:cs="方正小标宋简体"/>
          <w:b w:val="0"/>
          <w:bCs w:val="0"/>
        </w:rPr>
        <w:t>部门概况</w:t>
      </w:r>
      <w:bookmarkEnd w:id="6"/>
      <w:bookmarkEnd w:id="7"/>
    </w:p>
    <w:p>
      <w:pPr>
        <w:pStyle w:val="4"/>
        <w:pageBreakBefore w:val="0"/>
        <w:numPr>
          <w:ilvl w:val="0"/>
          <w:numId w:val="1"/>
        </w:numPr>
        <w:kinsoku/>
        <w:wordWrap/>
        <w:overflowPunct/>
        <w:topLinePunct w:val="0"/>
        <w:autoSpaceDN/>
        <w:bidi w:val="0"/>
        <w:adjustRightInd/>
        <w:snapToGrid/>
        <w:spacing w:line="240" w:lineRule="auto"/>
        <w:textAlignment w:val="auto"/>
        <w:rPr>
          <w:rFonts w:hint="eastAsia" w:ascii="Times New Roman" w:hAnsi="Times New Roman" w:eastAsia="黑体"/>
          <w:b w:val="0"/>
        </w:rPr>
      </w:pPr>
      <w:r>
        <w:rPr>
          <w:rFonts w:hint="eastAsia" w:ascii="Times New Roman" w:hAnsi="Times New Roman" w:eastAsia="黑体"/>
          <w:b w:val="0"/>
        </w:rPr>
        <w:t>部门职责</w:t>
      </w:r>
    </w:p>
    <w:p>
      <w:pPr>
        <w:pStyle w:val="16"/>
        <w:keepNext w:val="0"/>
        <w:keepLines w:val="0"/>
        <w:pageBreakBefore w:val="0"/>
        <w:widowControl/>
        <w:shd w:val="clear" w:fill="FFFFFF"/>
        <w:kinsoku/>
        <w:wordWrap/>
        <w:overflowPunct/>
        <w:topLinePunct w:val="0"/>
        <w:autoSpaceDE w:val="0"/>
        <w:autoSpaceDN/>
        <w:bidi w:val="0"/>
        <w:adjustRightInd/>
        <w:snapToGrid/>
        <w:spacing w:line="360" w:lineRule="auto"/>
        <w:textAlignment w:val="auto"/>
        <w:rPr>
          <w:rFonts w:hint="eastAsia" w:ascii="仿宋_GB2312" w:hAnsi="仿宋_GB2312" w:eastAsia="仿宋_GB2312" w:cs="仿宋_GB2312"/>
          <w:sz w:val="32"/>
          <w:szCs w:val="32"/>
          <w:shd w:val="clear" w:fill="FFFFFF"/>
          <w:lang w:eastAsia="zh-CN"/>
        </w:rPr>
      </w:pPr>
      <w:r>
        <w:rPr>
          <w:shd w:val="clear" w:fill="FFFFFF"/>
          <w:lang w:val="en-US"/>
        </w:rPr>
        <w:t xml:space="preserve">   </w:t>
      </w:r>
      <w:r>
        <w:rPr>
          <w:rFonts w:hint="eastAsia" w:ascii="仿宋_GB2312" w:hAnsi="仿宋_GB2312" w:eastAsia="仿宋_GB2312" w:cs="仿宋_GB2312"/>
          <w:sz w:val="32"/>
          <w:szCs w:val="32"/>
          <w:shd w:val="clear" w:fill="FFFFFF"/>
          <w:lang w:val="en-US"/>
        </w:rPr>
        <w:t xml:space="preserve"> </w:t>
      </w:r>
      <w:r>
        <w:rPr>
          <w:rFonts w:hint="eastAsia" w:ascii="仿宋_GB2312" w:hAnsi="仿宋_GB2312" w:eastAsia="仿宋_GB2312" w:cs="仿宋_GB2312"/>
          <w:sz w:val="32"/>
          <w:szCs w:val="32"/>
          <w:shd w:val="clear" w:fill="FFFFFF"/>
          <w:lang w:eastAsia="zh-CN"/>
        </w:rPr>
        <w:t xml:space="preserve">县人民法院是国家审判机关，依法独立行使审判权，接受上级人民法院的监督和指导，对县人民代表大会及其常务委员会负责并报告工作。其主要职责是：                    </w:t>
      </w:r>
    </w:p>
    <w:p>
      <w:pPr>
        <w:pStyle w:val="16"/>
        <w:keepNext w:val="0"/>
        <w:keepLines w:val="0"/>
        <w:pageBreakBefore w:val="0"/>
        <w:widowControl/>
        <w:shd w:val="clear" w:fill="FFFFFF"/>
        <w:kinsoku/>
        <w:wordWrap/>
        <w:overflowPunct/>
        <w:topLinePunct w:val="0"/>
        <w:autoSpaceDE w:val="0"/>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1.审判法律规定、上级人民法院指定由县法院管辖以及县法院认为应当由自己审判的刑事、民事、行政等第一审案件。</w:t>
      </w:r>
    </w:p>
    <w:p>
      <w:pPr>
        <w:pStyle w:val="16"/>
        <w:keepNext w:val="0"/>
        <w:keepLines w:val="0"/>
        <w:pageBreakBefore w:val="0"/>
        <w:widowControl/>
        <w:shd w:val="clear" w:fill="FFFFFF"/>
        <w:kinsoku/>
        <w:wordWrap/>
        <w:overflowPunct/>
        <w:topLinePunct w:val="0"/>
        <w:autoSpaceDE w:val="0"/>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2.审查处理不服本院判决各类申诉案件。</w:t>
      </w:r>
    </w:p>
    <w:p>
      <w:pPr>
        <w:pStyle w:val="16"/>
        <w:keepNext w:val="0"/>
        <w:keepLines w:val="0"/>
        <w:pageBreakBefore w:val="0"/>
        <w:widowControl/>
        <w:shd w:val="clear" w:fill="FFFFFF"/>
        <w:kinsoku/>
        <w:wordWrap/>
        <w:overflowPunct/>
        <w:topLinePunct w:val="0"/>
        <w:autoSpaceDE w:val="0"/>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3.监督、指导人民法庭的审判工作。</w:t>
      </w:r>
    </w:p>
    <w:p>
      <w:pPr>
        <w:pStyle w:val="16"/>
        <w:keepNext w:val="0"/>
        <w:keepLines w:val="0"/>
        <w:pageBreakBefore w:val="0"/>
        <w:widowControl/>
        <w:shd w:val="clear" w:fill="FFFFFF"/>
        <w:kinsoku/>
        <w:wordWrap/>
        <w:overflowPunct/>
        <w:topLinePunct w:val="0"/>
        <w:autoSpaceDE w:val="0"/>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4.依法行使司法执行权和司法决定权。</w:t>
      </w:r>
    </w:p>
    <w:p>
      <w:pPr>
        <w:pStyle w:val="16"/>
        <w:keepNext w:val="0"/>
        <w:keepLines w:val="0"/>
        <w:pageBreakBefore w:val="0"/>
        <w:shd w:val="clear" w:fill="FFFFFF"/>
        <w:kinsoku/>
        <w:wordWrap/>
        <w:overflowPunct/>
        <w:topLinePunct w:val="0"/>
        <w:autoSpaceDE w:val="0"/>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5.依法决定国家赔偿。</w:t>
      </w:r>
    </w:p>
    <w:p>
      <w:pPr>
        <w:pStyle w:val="16"/>
        <w:keepNext w:val="0"/>
        <w:keepLines w:val="0"/>
        <w:pageBreakBefore w:val="0"/>
        <w:shd w:val="clear" w:fill="FFFFFF"/>
        <w:kinsoku/>
        <w:wordWrap/>
        <w:overflowPunct/>
        <w:topLinePunct w:val="0"/>
        <w:autoSpaceDE w:val="0"/>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6.管理、协调本院的审判和执行工作。</w:t>
      </w:r>
    </w:p>
    <w:p>
      <w:pPr>
        <w:pStyle w:val="16"/>
        <w:keepNext w:val="0"/>
        <w:keepLines w:val="0"/>
        <w:pageBreakBefore w:val="0"/>
        <w:shd w:val="clear" w:fill="FFFFFF"/>
        <w:kinsoku/>
        <w:wordWrap/>
        <w:overflowPunct/>
        <w:topLinePunct w:val="0"/>
        <w:autoSpaceDE w:val="0"/>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7.负责全院思想政治、教育培训工作；按照权限管理法官和其他人员；主管本法院的监察工作；领导院直属单位和群团工作。</w:t>
      </w:r>
    </w:p>
    <w:p>
      <w:pPr>
        <w:pStyle w:val="16"/>
        <w:keepNext w:val="0"/>
        <w:keepLines w:val="0"/>
        <w:pageBreakBefore w:val="0"/>
        <w:shd w:val="clear" w:fill="FFFFFF"/>
        <w:kinsoku/>
        <w:wordWrap/>
        <w:overflowPunct/>
        <w:topLinePunct w:val="0"/>
        <w:autoSpaceDE w:val="0"/>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8.管理本法院的有关经费和物资装备。</w:t>
      </w:r>
    </w:p>
    <w:p>
      <w:pPr>
        <w:pStyle w:val="16"/>
        <w:keepNext w:val="0"/>
        <w:keepLines w:val="0"/>
        <w:pageBreakBefore w:val="0"/>
        <w:shd w:val="clear" w:fill="FFFFFF"/>
        <w:kinsoku/>
        <w:wordWrap/>
        <w:overflowPunct/>
        <w:topLinePunct w:val="0"/>
        <w:autoSpaceDE w:val="0"/>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9.结合审判工作宣传法制，教育公民遵守宪法和法律。</w:t>
      </w:r>
    </w:p>
    <w:p>
      <w:pPr>
        <w:pStyle w:val="16"/>
        <w:keepNext w:val="0"/>
        <w:keepLines w:val="0"/>
        <w:pageBreakBefore w:val="0"/>
        <w:shd w:val="clear" w:fill="FFFFFF"/>
        <w:kinsoku/>
        <w:wordWrap/>
        <w:overflowPunct/>
        <w:topLinePunct w:val="0"/>
        <w:autoSpaceDE w:val="0"/>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10.承办其他应由本院负责的工作。</w:t>
      </w:r>
    </w:p>
    <w:p>
      <w:pPr>
        <w:keepNext w:val="0"/>
        <w:keepLines w:val="0"/>
        <w:pageBreakBefore w:val="0"/>
        <w:numPr>
          <w:ilvl w:val="0"/>
          <w:numId w:val="0"/>
        </w:numPr>
        <w:kinsoku/>
        <w:wordWrap/>
        <w:overflowPunct/>
        <w:topLinePunct w:val="0"/>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shd w:val="clear" w:fill="FFFFFF"/>
          <w:lang w:eastAsia="zh-CN"/>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hAnsi="仿宋_GB2312" w:eastAsia="仿宋_GB2312" w:cs="仿宋_GB2312"/>
          <w:sz w:val="32"/>
          <w:szCs w:val="32"/>
          <w:shd w:val="clear" w:fill="FFFFFF"/>
          <w:lang w:eastAsia="zh-CN"/>
        </w:rPr>
        <w:t>11.派出机构及职责。派出法庭设绵虒、映秀、漩口、</w:t>
      </w:r>
    </w:p>
    <w:p>
      <w:pPr>
        <w:keepNext w:val="0"/>
        <w:keepLines w:val="0"/>
        <w:pageBreakBefore w:val="0"/>
        <w:numPr>
          <w:ilvl w:val="0"/>
          <w:numId w:val="0"/>
        </w:numPr>
        <w:kinsoku/>
        <w:wordWrap/>
        <w:overflowPunct/>
        <w:topLinePunct w:val="0"/>
        <w:autoSpaceDN/>
        <w:bidi w:val="0"/>
        <w:adjustRightInd/>
        <w:snapToGrid/>
        <w:spacing w:beforeAutospacing="0" w:afterAutospacing="0" w:line="240" w:lineRule="auto"/>
        <w:ind w:firstLine="640" w:firstLineChars="200"/>
        <w:textAlignment w:val="auto"/>
      </w:pPr>
      <w:r>
        <w:rPr>
          <w:rFonts w:hint="eastAsia" w:ascii="仿宋_GB2312" w:hAnsi="仿宋_GB2312" w:eastAsia="仿宋_GB2312" w:cs="仿宋_GB2312"/>
          <w:sz w:val="32"/>
          <w:szCs w:val="32"/>
          <w:shd w:val="clear" w:fill="FFFFFF"/>
          <w:lang w:eastAsia="zh-CN"/>
        </w:rPr>
        <w:t>威州4个人民法庭，依法审理和执行辖区内一般的民事案件，指导人民调解委员会工作及办理法庭审判工作有关的其他事项。</w:t>
      </w:r>
    </w:p>
    <w:p>
      <w:pPr>
        <w:pStyle w:val="4"/>
        <w:rPr>
          <w:rStyle w:val="31"/>
          <w:rFonts w:ascii="Times New Roman" w:hAnsi="Times New Roman"/>
          <w:b w:val="0"/>
          <w:bCs w:val="0"/>
        </w:rPr>
      </w:pPr>
      <w:bookmarkStart w:id="8" w:name="_Toc15396601"/>
      <w:bookmarkStart w:id="9" w:name="_Toc15377200"/>
      <w:r>
        <w:rPr>
          <w:rFonts w:hint="eastAsia" w:ascii="Times New Roman" w:hAnsi="Times New Roman" w:eastAsia="黑体"/>
          <w:b w:val="0"/>
        </w:rPr>
        <w:t>二、机</w:t>
      </w:r>
      <w:r>
        <w:rPr>
          <w:rStyle w:val="31"/>
          <w:rFonts w:hint="eastAsia" w:ascii="Times New Roman" w:hAnsi="Times New Roman" w:eastAsia="黑体"/>
          <w:b w:val="0"/>
          <w:bCs w:val="0"/>
        </w:rPr>
        <w:t>构设置</w:t>
      </w:r>
      <w:bookmarkEnd w:id="8"/>
      <w:bookmarkEnd w:id="9"/>
    </w:p>
    <w:p>
      <w:pPr>
        <w:pStyle w:val="4"/>
        <w:keepNext w:val="0"/>
        <w:keepLines w:val="0"/>
        <w:pageBreakBefore w:val="0"/>
        <w:widowControl/>
        <w:numPr>
          <w:ilvl w:val="0"/>
          <w:numId w:val="0"/>
        </w:numPr>
        <w:shd w:val="clear" w:fill="FFFFFF"/>
        <w:kinsoku/>
        <w:wordWrap/>
        <w:overflowPunct/>
        <w:topLinePunct w:val="0"/>
        <w:autoSpaceDE w:val="0"/>
        <w:autoSpaceDN/>
        <w:bidi w:val="0"/>
        <w:adjustRightInd/>
        <w:snapToGrid/>
        <w:spacing w:line="560" w:lineRule="exact"/>
        <w:ind w:right="0" w:rightChars="0" w:firstLine="640" w:firstLineChars="200"/>
        <w:textAlignment w:val="auto"/>
        <w:rPr>
          <w:rFonts w:hint="eastAsia" w:ascii="Times New Roman" w:hAnsi="Times New Roman" w:eastAsia="方正仿宋_GB2312" w:cs="Times New Roman"/>
          <w:b w:val="0"/>
          <w:bCs w:val="0"/>
          <w:color w:val="auto"/>
          <w:spacing w:val="0"/>
          <w:kern w:val="2"/>
          <w:sz w:val="32"/>
          <w:szCs w:val="24"/>
          <w:lang w:val="en-US" w:eastAsia="zh-CN" w:bidi="ar-SA"/>
        </w:rPr>
      </w:pPr>
      <w:r>
        <w:rPr>
          <w:rFonts w:hint="eastAsia" w:ascii="Times New Roman" w:hAnsi="Times New Roman" w:eastAsia="方正仿宋_GB2312" w:cs="Times New Roman"/>
          <w:b w:val="0"/>
          <w:bCs w:val="0"/>
          <w:color w:val="auto"/>
          <w:spacing w:val="0"/>
          <w:kern w:val="2"/>
          <w:sz w:val="32"/>
          <w:szCs w:val="24"/>
          <w:lang w:val="en-US" w:eastAsia="zh-CN" w:bidi="ar-SA"/>
        </w:rPr>
        <w:t>阿坝州汶川县人民法院无下属单位。</w:t>
      </w:r>
    </w:p>
    <w:p>
      <w:pPr>
        <w:ind w:firstLine="800" w:firstLineChars="250"/>
        <w:rPr>
          <w:rFonts w:ascii="Times New Roman" w:cs="仿宋_GB2312"/>
          <w:sz w:val="32"/>
          <w:szCs w:val="32"/>
        </w:rPr>
      </w:pPr>
    </w:p>
    <w:p>
      <w:pPr>
        <w:widowControl/>
        <w:jc w:val="left"/>
        <w:rPr>
          <w:rFonts w:eastAsia="仿宋"/>
          <w:kern w:val="0"/>
          <w:sz w:val="32"/>
          <w:szCs w:val="32"/>
        </w:rPr>
      </w:pPr>
      <w:r>
        <w:rPr>
          <w:rFonts w:eastAsia="仿宋"/>
          <w:sz w:val="32"/>
          <w:szCs w:val="32"/>
        </w:rPr>
        <w:br w:type="page"/>
      </w:r>
    </w:p>
    <w:p>
      <w:pPr>
        <w:pStyle w:val="3"/>
        <w:jc w:val="center"/>
        <w:rPr>
          <w:rFonts w:eastAsia="方正小标宋简体" w:cs="方正小标宋简体"/>
          <w:b w:val="0"/>
        </w:rPr>
      </w:pPr>
      <w:bookmarkStart w:id="10" w:name="_Toc15377204"/>
      <w:bookmarkStart w:id="11" w:name="_Toc15396602"/>
      <w:r>
        <w:rPr>
          <w:rFonts w:hint="eastAsia" w:eastAsia="方正小标宋简体" w:cs="方正小标宋简体"/>
          <w:b w:val="0"/>
        </w:rPr>
        <w:t>第二部分  2024年度部门决算情况说明</w:t>
      </w:r>
      <w:bookmarkEnd w:id="10"/>
      <w:bookmarkEnd w:id="11"/>
    </w:p>
    <w:p/>
    <w:p>
      <w:pPr>
        <w:pStyle w:val="29"/>
        <w:spacing w:line="600" w:lineRule="exact"/>
        <w:ind w:firstLine="640"/>
        <w:outlineLvl w:val="1"/>
        <w:rPr>
          <w:rStyle w:val="31"/>
          <w:rFonts w:ascii="Times New Roman" w:hAnsi="Times New Roman" w:eastAsia="黑体"/>
          <w:b w:val="0"/>
        </w:rPr>
      </w:pPr>
      <w:bookmarkStart w:id="12" w:name="_Toc15396603"/>
      <w:bookmarkStart w:id="13" w:name="_Toc15377205"/>
      <w:r>
        <w:rPr>
          <w:rFonts w:hint="eastAsia" w:eastAsia="黑体"/>
          <w:sz w:val="32"/>
          <w:szCs w:val="32"/>
        </w:rPr>
        <w:t>一、收</w:t>
      </w:r>
      <w:r>
        <w:rPr>
          <w:rStyle w:val="31"/>
          <w:rFonts w:hint="eastAsia" w:ascii="Times New Roman" w:hAnsi="Times New Roman" w:eastAsia="黑体"/>
          <w:b w:val="0"/>
        </w:rPr>
        <w:t>入支出决算总体情况说明</w:t>
      </w:r>
      <w:bookmarkEnd w:id="12"/>
      <w:bookmarkEnd w:id="13"/>
    </w:p>
    <w:p>
      <w:pPr>
        <w:pStyle w:val="29"/>
        <w:spacing w:line="600" w:lineRule="exact"/>
        <w:ind w:firstLine="640"/>
        <w:outlineLvl w:val="1"/>
        <w:rPr>
          <w:rFonts w:hint="eastAsia" w:eastAsia="仿宋_GB2312" w:cs="仿宋_GB2312"/>
          <w:sz w:val="32"/>
          <w:szCs w:val="32"/>
          <w:lang w:val="en-US" w:eastAsia="zh-CN"/>
        </w:rPr>
      </w:pPr>
      <w:r>
        <w:rPr>
          <w:rFonts w:hint="eastAsia" w:eastAsia="仿宋_GB2312" w:cs="仿宋_GB2312"/>
          <w:sz w:val="32"/>
          <w:szCs w:val="32"/>
        </w:rPr>
        <w:t>2024年度收入</w:t>
      </w:r>
      <w:r>
        <w:rPr>
          <w:rFonts w:hint="eastAsia" w:eastAsia="仿宋_GB2312" w:cs="仿宋_GB2312"/>
          <w:sz w:val="32"/>
          <w:szCs w:val="32"/>
          <w:lang w:val="en-US" w:eastAsia="zh-CN"/>
        </w:rPr>
        <w:t>2743.37万元</w:t>
      </w:r>
      <w:r>
        <w:rPr>
          <w:rFonts w:hint="eastAsia" w:eastAsia="仿宋_GB2312" w:cs="仿宋_GB2312"/>
          <w:sz w:val="32"/>
          <w:szCs w:val="32"/>
          <w:lang w:eastAsia="zh-CN"/>
        </w:rPr>
        <w:t>，支出</w:t>
      </w:r>
      <w:r>
        <w:rPr>
          <w:rFonts w:hint="eastAsia" w:eastAsia="仿宋_GB2312" w:cs="仿宋_GB2312"/>
          <w:sz w:val="32"/>
          <w:szCs w:val="32"/>
          <w:lang w:val="en-US" w:eastAsia="zh-CN"/>
        </w:rPr>
        <w:t>2664.64万元</w:t>
      </w:r>
      <w:r>
        <w:rPr>
          <w:rFonts w:hint="eastAsia" w:eastAsia="仿宋_GB2312" w:cs="仿宋_GB2312"/>
          <w:sz w:val="32"/>
          <w:szCs w:val="32"/>
        </w:rPr>
        <w:t>。与2023年度相比，收入、支出总计各增加</w:t>
      </w:r>
      <w:r>
        <w:rPr>
          <w:rFonts w:hint="eastAsia" w:eastAsia="仿宋_GB2312" w:cs="仿宋_GB2312"/>
          <w:sz w:val="32"/>
          <w:szCs w:val="32"/>
          <w:lang w:val="en-US" w:eastAsia="zh-CN"/>
        </w:rPr>
        <w:t>390.84</w:t>
      </w:r>
      <w:r>
        <w:rPr>
          <w:rFonts w:hint="eastAsia" w:eastAsia="仿宋_GB2312" w:cs="仿宋_GB2312"/>
          <w:sz w:val="32"/>
          <w:szCs w:val="32"/>
        </w:rPr>
        <w:t>万元</w:t>
      </w:r>
      <w:r>
        <w:rPr>
          <w:rFonts w:hint="eastAsia" w:eastAsia="仿宋_GB2312" w:cs="仿宋_GB2312"/>
          <w:sz w:val="32"/>
          <w:szCs w:val="32"/>
          <w:lang w:eastAsia="zh-CN"/>
        </w:rPr>
        <w:t>、</w:t>
      </w:r>
      <w:r>
        <w:rPr>
          <w:rFonts w:hint="eastAsia" w:eastAsia="仿宋_GB2312" w:cs="仿宋_GB2312"/>
          <w:sz w:val="32"/>
          <w:szCs w:val="32"/>
          <w:lang w:val="en-US" w:eastAsia="zh-CN"/>
        </w:rPr>
        <w:t>312.11万元</w:t>
      </w:r>
      <w:r>
        <w:rPr>
          <w:rFonts w:hint="eastAsia" w:eastAsia="仿宋_GB2312" w:cs="仿宋_GB2312"/>
          <w:sz w:val="32"/>
          <w:szCs w:val="32"/>
        </w:rPr>
        <w:t>，增长</w:t>
      </w:r>
      <w:r>
        <w:rPr>
          <w:rFonts w:hint="eastAsia" w:eastAsia="仿宋_GB2312" w:cs="仿宋_GB2312"/>
          <w:sz w:val="32"/>
          <w:szCs w:val="32"/>
          <w:lang w:val="en-US" w:eastAsia="zh-CN"/>
        </w:rPr>
        <w:t>16.6</w:t>
      </w:r>
      <w:r>
        <w:rPr>
          <w:rFonts w:hint="eastAsia" w:eastAsia="仿宋_GB2312" w:cs="仿宋_GB2312"/>
          <w:sz w:val="32"/>
          <w:szCs w:val="32"/>
        </w:rPr>
        <w:t>%</w:t>
      </w:r>
      <w:r>
        <w:rPr>
          <w:rFonts w:hint="eastAsia" w:eastAsia="仿宋_GB2312" w:cs="仿宋_GB2312"/>
          <w:sz w:val="32"/>
          <w:szCs w:val="32"/>
          <w:lang w:eastAsia="zh-CN"/>
        </w:rPr>
        <w:t>、</w:t>
      </w:r>
      <w:r>
        <w:rPr>
          <w:rFonts w:hint="eastAsia" w:eastAsia="仿宋_GB2312" w:cs="仿宋_GB2312"/>
          <w:sz w:val="32"/>
          <w:szCs w:val="32"/>
          <w:lang w:val="en-US" w:eastAsia="zh-CN"/>
        </w:rPr>
        <w:t>13.3%</w:t>
      </w:r>
      <w:r>
        <w:rPr>
          <w:rFonts w:hint="eastAsia" w:eastAsia="仿宋_GB2312" w:cs="仿宋_GB2312"/>
          <w:sz w:val="32"/>
          <w:szCs w:val="32"/>
        </w:rPr>
        <w:t>。主要变动原因是</w:t>
      </w:r>
      <w:r>
        <w:rPr>
          <w:rFonts w:hint="eastAsia" w:eastAsia="仿宋_GB2312" w:cs="仿宋_GB2312"/>
          <w:sz w:val="32"/>
          <w:szCs w:val="32"/>
          <w:lang w:val="en-US" w:eastAsia="zh-CN"/>
        </w:rPr>
        <w:t>2024年购买计算机等设备。</w:t>
      </w:r>
    </w:p>
    <w:p>
      <w:pPr>
        <w:pStyle w:val="29"/>
        <w:spacing w:line="600" w:lineRule="exact"/>
        <w:ind w:firstLine="640"/>
        <w:outlineLvl w:val="1"/>
        <w:rPr>
          <w:rFonts w:hint="default" w:eastAsia="仿宋_GB2312" w:cs="仿宋_GB2312"/>
          <w:sz w:val="32"/>
          <w:szCs w:val="32"/>
          <w:lang w:val="en-US" w:eastAsia="zh-CN"/>
        </w:rPr>
      </w:pPr>
    </w:p>
    <w:p>
      <w:pPr>
        <w:ind w:firstLine="420" w:firstLineChars="200"/>
        <w:rPr>
          <w:rFonts w:hint="eastAsia" w:eastAsia="仿宋_GB2312" w:cs="仿宋_GB2312"/>
          <w:sz w:val="32"/>
          <w:szCs w:val="32"/>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center"/>
        <w:rPr>
          <w:rFonts w:eastAsia="仿宋_GB2312" w:cs="仿宋_GB2312"/>
          <w:sz w:val="32"/>
          <w:szCs w:val="32"/>
        </w:rPr>
      </w:pPr>
      <w:r>
        <w:rPr>
          <w:rFonts w:hint="eastAsia" w:eastAsia="仿宋_GB2312" w:cs="仿宋_GB2312"/>
          <w:sz w:val="32"/>
          <w:szCs w:val="32"/>
        </w:rPr>
        <w:t>图1：收入、支出决算总计变动情况图</w:t>
      </w:r>
    </w:p>
    <w:p>
      <w:pPr>
        <w:pStyle w:val="29"/>
        <w:spacing w:line="600" w:lineRule="exact"/>
        <w:ind w:left="0" w:leftChars="0" w:firstLine="640" w:firstLineChars="200"/>
        <w:outlineLvl w:val="1"/>
        <w:rPr>
          <w:rFonts w:eastAsia="黑体"/>
          <w:sz w:val="32"/>
          <w:szCs w:val="32"/>
        </w:rPr>
      </w:pPr>
      <w:bookmarkStart w:id="14" w:name="_Toc15377206"/>
      <w:bookmarkStart w:id="15" w:name="_Toc15396604"/>
      <w:r>
        <w:rPr>
          <w:rFonts w:hint="eastAsia" w:eastAsia="黑体"/>
          <w:sz w:val="32"/>
          <w:szCs w:val="32"/>
        </w:rPr>
        <w:t>二、收入决算情况说明</w:t>
      </w:r>
      <w:bookmarkEnd w:id="14"/>
      <w:bookmarkEnd w:id="15"/>
    </w:p>
    <w:p>
      <w:pPr>
        <w:pStyle w:val="29"/>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2743.37</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2190.32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79.9</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553.05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w:t>
      </w:r>
    </w:p>
    <w:p>
      <w:pPr>
        <w:pStyle w:val="29"/>
        <w:spacing w:line="600" w:lineRule="exact"/>
        <w:ind w:firstLine="640"/>
        <w:jc w:val="left"/>
        <w:outlineLvl w:val="1"/>
        <w:rPr>
          <w:rFonts w:hint="eastAsia" w:ascii="仿宋_GB2312" w:hAnsi="仿宋_GB2312" w:eastAsia="仿宋_GB2312" w:cs="仿宋_GB2312"/>
          <w:sz w:val="32"/>
          <w:szCs w:val="32"/>
        </w:rPr>
      </w:pPr>
    </w:p>
    <w:p>
      <w:pPr>
        <w:ind w:firstLine="525" w:firstLineChars="250"/>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800" w:firstLineChars="250"/>
        <w:jc w:val="center"/>
      </w:pPr>
      <w:r>
        <w:rPr>
          <w:rFonts w:hint="eastAsia" w:eastAsia="仿宋_GB2312" w:cs="仿宋_GB2312"/>
          <w:sz w:val="32"/>
          <w:szCs w:val="32"/>
        </w:rPr>
        <w:t>图2：收入决算结构图</w:t>
      </w:r>
    </w:p>
    <w:p>
      <w:pPr>
        <w:pStyle w:val="29"/>
        <w:spacing w:line="600" w:lineRule="exact"/>
        <w:ind w:firstLine="640"/>
        <w:outlineLvl w:val="1"/>
        <w:rPr>
          <w:rStyle w:val="31"/>
          <w:rFonts w:ascii="Times New Roman" w:hAnsi="Times New Roman" w:eastAsia="黑体"/>
          <w:b w:val="0"/>
        </w:rPr>
      </w:pPr>
      <w:bookmarkStart w:id="16" w:name="_Toc15396605"/>
      <w:bookmarkStart w:id="17" w:name="_Toc15377207"/>
      <w:r>
        <w:rPr>
          <w:rFonts w:hint="eastAsia" w:eastAsia="黑体"/>
          <w:sz w:val="32"/>
          <w:szCs w:val="32"/>
        </w:rPr>
        <w:t>三、支</w:t>
      </w:r>
      <w:r>
        <w:rPr>
          <w:rStyle w:val="31"/>
          <w:rFonts w:hint="eastAsia" w:ascii="Times New Roman" w:hAnsi="Times New Roman" w:eastAsia="黑体"/>
          <w:b w:val="0"/>
        </w:rPr>
        <w:t>出决算情况说明</w:t>
      </w:r>
      <w:bookmarkEnd w:id="16"/>
      <w:bookmarkEnd w:id="17"/>
    </w:p>
    <w:p>
      <w:pPr>
        <w:pStyle w:val="29"/>
        <w:spacing w:line="600" w:lineRule="exact"/>
        <w:ind w:firstLine="640"/>
        <w:jc w:val="left"/>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2664.64</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1860.31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69.8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804.34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30.2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29"/>
        <w:spacing w:line="600" w:lineRule="exact"/>
        <w:ind w:firstLine="640"/>
        <w:jc w:val="left"/>
        <w:outlineLvl w:val="1"/>
        <w:rPr>
          <w:rFonts w:hint="eastAsia" w:ascii="仿宋_GB2312" w:hAnsi="仿宋_GB2312" w:eastAsia="仿宋_GB2312" w:cs="仿宋_GB2312"/>
          <w:sz w:val="32"/>
          <w:szCs w:val="32"/>
          <w:lang w:eastAsia="zh-CN"/>
        </w:rPr>
      </w:pPr>
    </w:p>
    <w:p>
      <w:pPr>
        <w:ind w:firstLine="525" w:firstLineChars="250"/>
        <w:rPr>
          <w:rFonts w:hint="eastAsia" w:eastAsia="仿宋_GB2312" w:cs="仿宋_GB2312"/>
          <w:sz w:val="32"/>
          <w:szCs w:val="32"/>
        </w:rPr>
      </w:pPr>
      <w:r>
        <w:drawing>
          <wp:inline distT="0" distB="0" distL="114300" distR="114300">
            <wp:extent cx="4572000" cy="2641600"/>
            <wp:effectExtent l="4445" t="4445" r="14605" b="2095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center"/>
        <w:rPr>
          <w:rFonts w:eastAsia="仿宋_GB2312" w:cs="仿宋_GB2312"/>
          <w:sz w:val="32"/>
          <w:szCs w:val="32"/>
        </w:rPr>
      </w:pPr>
      <w:r>
        <w:rPr>
          <w:rFonts w:hint="eastAsia" w:eastAsia="仿宋_GB2312" w:cs="仿宋_GB2312"/>
          <w:sz w:val="32"/>
          <w:szCs w:val="32"/>
        </w:rPr>
        <w:t>图3：支出决算结构图</w:t>
      </w:r>
    </w:p>
    <w:p>
      <w:pPr>
        <w:spacing w:line="600" w:lineRule="exact"/>
        <w:ind w:firstLine="640" w:firstLineChars="200"/>
        <w:outlineLvl w:val="1"/>
        <w:rPr>
          <w:rStyle w:val="31"/>
          <w:rFonts w:ascii="Times New Roman" w:hAnsi="Times New Roman" w:eastAsia="黑体"/>
          <w:b w:val="0"/>
        </w:rPr>
      </w:pPr>
      <w:bookmarkStart w:id="18" w:name="_Toc15377208"/>
      <w:bookmarkStart w:id="19" w:name="_Toc15396606"/>
      <w:r>
        <w:rPr>
          <w:rFonts w:hint="eastAsia" w:eastAsia="黑体"/>
          <w:sz w:val="32"/>
          <w:szCs w:val="32"/>
        </w:rPr>
        <w:t>四、财</w:t>
      </w:r>
      <w:r>
        <w:rPr>
          <w:rStyle w:val="31"/>
          <w:rFonts w:hint="eastAsia" w:ascii="Times New Roman" w:hAnsi="Times New Roman" w:eastAsia="黑体"/>
          <w:b w:val="0"/>
        </w:rPr>
        <w:t>政拨款收入支出决算总体情况说明</w:t>
      </w:r>
      <w:bookmarkEnd w:id="18"/>
      <w:bookmarkEnd w:id="19"/>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2190.32</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324.41</w:t>
      </w:r>
      <w:r>
        <w:rPr>
          <w:rFonts w:hint="eastAsia" w:eastAsia="仿宋_GB2312" w:cs="仿宋_GB2312"/>
          <w:sz w:val="32"/>
          <w:szCs w:val="32"/>
        </w:rPr>
        <w:t>万元，增长</w:t>
      </w:r>
      <w:r>
        <w:rPr>
          <w:rFonts w:hint="eastAsia" w:eastAsia="仿宋_GB2312" w:cs="仿宋_GB2312"/>
          <w:sz w:val="32"/>
          <w:szCs w:val="32"/>
          <w:lang w:val="en-US" w:eastAsia="zh-CN"/>
        </w:rPr>
        <w:t>17.4</w:t>
      </w:r>
      <w:r>
        <w:rPr>
          <w:rFonts w:hint="eastAsia" w:eastAsia="仿宋_GB2312" w:cs="仿宋_GB2312"/>
          <w:sz w:val="32"/>
          <w:szCs w:val="32"/>
        </w:rPr>
        <w:t>%。主要变动原因是</w:t>
      </w:r>
      <w:r>
        <w:rPr>
          <w:rFonts w:hint="eastAsia" w:eastAsia="仿宋_GB2312" w:cs="仿宋_GB2312"/>
          <w:sz w:val="32"/>
          <w:szCs w:val="32"/>
          <w:lang w:val="en-US" w:eastAsia="zh-CN"/>
        </w:rPr>
        <w:t>2024年购买计算机等设备。</w:t>
      </w:r>
    </w:p>
    <w:p>
      <w:pPr>
        <w:pStyle w:val="6"/>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jc w:val="center"/>
        <w:rPr>
          <w:rFonts w:eastAsia="仿宋_GB2312" w:cs="仿宋_GB2312"/>
          <w:sz w:val="32"/>
          <w:szCs w:val="32"/>
        </w:rPr>
      </w:pPr>
      <w:r>
        <w:rPr>
          <w:rFonts w:hint="eastAsia" w:eastAsia="仿宋_GB2312" w:cs="仿宋_GB2312"/>
          <w:sz w:val="32"/>
          <w:szCs w:val="32"/>
        </w:rPr>
        <w:t>图4：财政拨款收、支决算总计变动情况</w:t>
      </w:r>
    </w:p>
    <w:p>
      <w:pPr>
        <w:spacing w:line="600" w:lineRule="exact"/>
        <w:ind w:firstLine="640"/>
        <w:rPr>
          <w:rFonts w:eastAsia="仿宋_GB2312" w:cs="仿宋_GB2312"/>
          <w:sz w:val="32"/>
          <w:szCs w:val="32"/>
        </w:rPr>
      </w:pPr>
    </w:p>
    <w:p>
      <w:pPr>
        <w:spacing w:line="600" w:lineRule="exact"/>
        <w:ind w:firstLine="640" w:firstLineChars="200"/>
        <w:outlineLvl w:val="1"/>
        <w:rPr>
          <w:rStyle w:val="31"/>
          <w:rFonts w:ascii="Times New Roman" w:hAnsi="Times New Roman" w:eastAsia="黑体"/>
          <w:b w:val="0"/>
        </w:rPr>
      </w:pPr>
      <w:bookmarkStart w:id="20" w:name="_Toc15377209"/>
      <w:bookmarkStart w:id="21" w:name="_Toc15396607"/>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20"/>
      <w:bookmarkEnd w:id="21"/>
    </w:p>
    <w:p>
      <w:pPr>
        <w:spacing w:line="600" w:lineRule="exact"/>
        <w:ind w:firstLine="642"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p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2190.32</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82.2</w:t>
      </w:r>
      <w:r>
        <w:rPr>
          <w:rFonts w:hint="eastAsia" w:ascii="仿宋_GB2312" w:hAnsi="仿宋_GB2312" w:eastAsia="仿宋_GB2312" w:cs="仿宋_GB2312"/>
          <w:sz w:val="32"/>
          <w:szCs w:val="32"/>
        </w:rPr>
        <w:t>%。与2023年度相比，一般公共预算财政拨款支出减少</w:t>
      </w:r>
      <w:r>
        <w:rPr>
          <w:rFonts w:hint="eastAsia" w:ascii="仿宋_GB2312" w:hAnsi="仿宋_GB2312" w:eastAsia="仿宋_GB2312" w:cs="仿宋_GB2312"/>
          <w:sz w:val="32"/>
          <w:szCs w:val="32"/>
          <w:lang w:val="en-US" w:eastAsia="zh-CN"/>
        </w:rPr>
        <w:t>324.41</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17.4</w:t>
      </w:r>
      <w:r>
        <w:rPr>
          <w:rFonts w:hint="eastAsia" w:ascii="仿宋_GB2312" w:hAnsi="仿宋_GB2312" w:eastAsia="仿宋_GB2312" w:cs="仿宋_GB2312"/>
          <w:sz w:val="32"/>
          <w:szCs w:val="32"/>
        </w:rPr>
        <w:t>%。主要变动原因</w:t>
      </w:r>
      <w:r>
        <w:rPr>
          <w:rFonts w:hint="eastAsia" w:ascii="仿宋_GB2312" w:hAnsi="仿宋_GB2312" w:eastAsia="仿宋_GB2312" w:cs="仿宋_GB2312"/>
          <w:sz w:val="32"/>
          <w:szCs w:val="32"/>
          <w:lang w:val="en-US" w:eastAsia="zh-CN"/>
        </w:rPr>
        <w:t>2024年购买计算机等设备。</w:t>
      </w:r>
    </w:p>
    <w:p>
      <w:pPr>
        <w:pStyle w:val="6"/>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drawing>
          <wp:inline distT="0" distB="0" distL="114300" distR="114300">
            <wp:extent cx="4810125" cy="2714625"/>
            <wp:effectExtent l="4445" t="4445" r="5080" b="508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jc w:val="center"/>
        <w:rPr>
          <w:rFonts w:eastAsia="仿宋_GB2312" w:cs="仿宋_GB2312"/>
          <w:sz w:val="32"/>
          <w:szCs w:val="32"/>
        </w:rPr>
      </w:pPr>
      <w:r>
        <w:rPr>
          <w:rFonts w:hint="eastAsia" w:eastAsia="仿宋_GB2312" w:cs="仿宋_GB2312"/>
          <w:sz w:val="32"/>
          <w:szCs w:val="32"/>
        </w:rPr>
        <w:t>图5：一般公共预算财政拨款支出决算变动情况</w:t>
      </w:r>
    </w:p>
    <w:p>
      <w:pPr>
        <w:spacing w:line="600" w:lineRule="exact"/>
        <w:ind w:firstLine="642"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2190.32</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w:t>
      </w:r>
      <w:r>
        <w:rPr>
          <w:rFonts w:hint="eastAsia" w:eastAsia="仿宋_GB2312" w:cs="仿宋_GB2312"/>
          <w:sz w:val="32"/>
          <w:szCs w:val="32"/>
          <w:lang w:eastAsia="zh-CN"/>
        </w:rPr>
        <w:t>公共安全</w:t>
      </w:r>
      <w:r>
        <w:rPr>
          <w:rFonts w:hint="eastAsia" w:eastAsia="仿宋_GB2312" w:cs="仿宋_GB2312"/>
          <w:sz w:val="32"/>
          <w:szCs w:val="32"/>
        </w:rPr>
        <w:t>支出</w:t>
      </w:r>
      <w:r>
        <w:rPr>
          <w:rFonts w:hint="eastAsia" w:eastAsia="仿宋_GB2312" w:cs="仿宋_GB2312"/>
          <w:sz w:val="32"/>
          <w:szCs w:val="32"/>
          <w:lang w:val="en-US" w:eastAsia="zh-CN"/>
        </w:rPr>
        <w:t>1011.24</w:t>
      </w:r>
      <w:r>
        <w:rPr>
          <w:rFonts w:hint="eastAsia" w:eastAsia="仿宋_GB2312" w:cs="仿宋_GB2312"/>
          <w:sz w:val="32"/>
          <w:szCs w:val="32"/>
        </w:rPr>
        <w:t>万元，占</w:t>
      </w:r>
      <w:r>
        <w:rPr>
          <w:rFonts w:hint="eastAsia" w:eastAsia="仿宋_GB2312" w:cs="仿宋_GB2312"/>
          <w:sz w:val="32"/>
          <w:szCs w:val="32"/>
          <w:lang w:val="en-US" w:eastAsia="zh-CN"/>
        </w:rPr>
        <w:t>46.2</w:t>
      </w:r>
      <w:r>
        <w:rPr>
          <w:rFonts w:hint="eastAsia" w:eastAsia="仿宋_GB2312" w:cs="仿宋_GB2312"/>
          <w:sz w:val="32"/>
          <w:szCs w:val="32"/>
        </w:rPr>
        <w:t>%；社会保障和就业支出</w:t>
      </w:r>
      <w:r>
        <w:rPr>
          <w:rFonts w:hint="eastAsia" w:eastAsia="仿宋_GB2312" w:cs="仿宋_GB2312"/>
          <w:sz w:val="32"/>
          <w:szCs w:val="32"/>
          <w:lang w:val="en-US" w:eastAsia="zh-CN"/>
        </w:rPr>
        <w:t>184.26</w:t>
      </w:r>
      <w:r>
        <w:rPr>
          <w:rFonts w:hint="eastAsia" w:eastAsia="仿宋_GB2312" w:cs="仿宋_GB2312"/>
          <w:sz w:val="32"/>
          <w:szCs w:val="32"/>
        </w:rPr>
        <w:t>万元，占</w:t>
      </w:r>
      <w:r>
        <w:rPr>
          <w:rFonts w:hint="eastAsia" w:eastAsia="仿宋_GB2312" w:cs="仿宋_GB2312"/>
          <w:sz w:val="32"/>
          <w:szCs w:val="32"/>
          <w:lang w:val="en-US" w:eastAsia="zh-CN"/>
        </w:rPr>
        <w:t>8.4</w:t>
      </w:r>
      <w:r>
        <w:rPr>
          <w:rFonts w:hint="eastAsia" w:eastAsia="仿宋_GB2312" w:cs="仿宋_GB2312"/>
          <w:sz w:val="32"/>
          <w:szCs w:val="32"/>
        </w:rPr>
        <w:t>%；卫生健康支出</w:t>
      </w:r>
      <w:r>
        <w:rPr>
          <w:rFonts w:hint="eastAsia" w:eastAsia="仿宋_GB2312" w:cs="仿宋_GB2312"/>
          <w:sz w:val="32"/>
          <w:szCs w:val="32"/>
          <w:lang w:val="en-US" w:eastAsia="zh-CN"/>
        </w:rPr>
        <w:t>76.17</w:t>
      </w:r>
      <w:r>
        <w:rPr>
          <w:rFonts w:hint="eastAsia" w:eastAsia="仿宋_GB2312" w:cs="仿宋_GB2312"/>
          <w:sz w:val="32"/>
          <w:szCs w:val="32"/>
        </w:rPr>
        <w:t>万元，占</w:t>
      </w:r>
      <w:r>
        <w:rPr>
          <w:rFonts w:hint="eastAsia" w:eastAsia="仿宋_GB2312" w:cs="仿宋_GB2312"/>
          <w:sz w:val="32"/>
          <w:szCs w:val="32"/>
          <w:lang w:val="en-US" w:eastAsia="zh-CN"/>
        </w:rPr>
        <w:t>3.5</w:t>
      </w:r>
      <w:r>
        <w:rPr>
          <w:rFonts w:hint="eastAsia" w:eastAsia="仿宋_GB2312" w:cs="仿宋_GB2312"/>
          <w:sz w:val="32"/>
          <w:szCs w:val="32"/>
        </w:rPr>
        <w:t>%；住房保障支出</w:t>
      </w:r>
      <w:r>
        <w:rPr>
          <w:rFonts w:hint="eastAsia" w:eastAsia="仿宋_GB2312" w:cs="仿宋_GB2312"/>
          <w:sz w:val="32"/>
          <w:szCs w:val="32"/>
          <w:lang w:val="en-US" w:eastAsia="zh-CN"/>
        </w:rPr>
        <w:t>114.32</w:t>
      </w:r>
      <w:r>
        <w:rPr>
          <w:rFonts w:hint="eastAsia" w:eastAsia="仿宋_GB2312" w:cs="仿宋_GB2312"/>
          <w:sz w:val="32"/>
          <w:szCs w:val="32"/>
        </w:rPr>
        <w:t>万元，占</w:t>
      </w:r>
      <w:r>
        <w:rPr>
          <w:rFonts w:hint="eastAsia" w:eastAsia="仿宋_GB2312" w:cs="仿宋_GB2312"/>
          <w:sz w:val="32"/>
          <w:szCs w:val="32"/>
          <w:lang w:val="en-US" w:eastAsia="zh-CN"/>
        </w:rPr>
        <w:t>5.2</w:t>
      </w:r>
      <w:r>
        <w:rPr>
          <w:rFonts w:hint="eastAsia" w:eastAsia="仿宋_GB2312" w:cs="仿宋_GB2312"/>
          <w:sz w:val="32"/>
          <w:szCs w:val="32"/>
        </w:rPr>
        <w:t>%</w:t>
      </w:r>
      <w:r>
        <w:rPr>
          <w:rFonts w:hint="eastAsia" w:eastAsia="仿宋_GB2312" w:cs="仿宋_GB2312"/>
          <w:sz w:val="32"/>
          <w:szCs w:val="32"/>
          <w:lang w:eastAsia="zh-CN"/>
        </w:rPr>
        <w:t>。</w:t>
      </w:r>
    </w:p>
    <w:p>
      <w:r>
        <w:drawing>
          <wp:inline distT="0" distB="0" distL="114300" distR="114300">
            <wp:extent cx="4572000" cy="2743200"/>
            <wp:effectExtent l="4445" t="4445" r="14605" b="14605"/>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jc w:val="left"/>
        <w:rPr>
          <w:rFonts w:eastAsia="仿宋_GB2312" w:cs="仿宋_GB2312"/>
          <w:sz w:val="32"/>
          <w:szCs w:val="32"/>
        </w:rPr>
      </w:pPr>
      <w:r>
        <w:rPr>
          <w:rFonts w:hint="eastAsia" w:eastAsia="仿宋_GB2312" w:cs="仿宋_GB2312"/>
          <w:sz w:val="32"/>
          <w:szCs w:val="32"/>
        </w:rPr>
        <w:t>图6：一般公共预算财政拨款支出决算结构</w:t>
      </w:r>
    </w:p>
    <w:p>
      <w:pPr>
        <w:spacing w:line="600" w:lineRule="exact"/>
        <w:ind w:firstLine="640"/>
        <w:rPr>
          <w:rFonts w:eastAsia="仿宋_GB2312" w:cs="仿宋_GB2312"/>
          <w:sz w:val="32"/>
          <w:szCs w:val="32"/>
        </w:rPr>
      </w:pPr>
    </w:p>
    <w:p>
      <w:pPr>
        <w:spacing w:line="600" w:lineRule="exact"/>
        <w:ind w:firstLine="642"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pPr>
        <w:spacing w:line="600" w:lineRule="exact"/>
        <w:ind w:firstLine="640"/>
        <w:rPr>
          <w:rFonts w:eastAsia="仿宋_GB2312" w:cs="仿宋_GB2312"/>
          <w:sz w:val="32"/>
          <w:szCs w:val="32"/>
        </w:rPr>
      </w:pPr>
      <w:bookmarkStart w:id="25" w:name="_Toc15377444"/>
      <w:bookmarkStart w:id="26" w:name="_Toc15378460"/>
      <w:bookmarkStart w:id="27"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2190.32万元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pPr>
        <w:spacing w:line="600" w:lineRule="exact"/>
        <w:ind w:firstLine="640"/>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1.公共安全支出</w:t>
      </w:r>
      <w:r>
        <w:rPr>
          <w:rFonts w:hint="eastAsia" w:ascii="仿宋_GB2312" w:hAnsi="仿宋_GB2312" w:eastAsia="仿宋_GB2312" w:cs="仿宋_GB2312"/>
          <w:sz w:val="32"/>
          <w:szCs w:val="32"/>
          <w:shd w:val="clear" w:fill="FFFFFF"/>
          <w:lang w:val="en-US" w:eastAsia="zh-CN"/>
        </w:rPr>
        <w:t>2040501</w:t>
      </w:r>
      <w:r>
        <w:rPr>
          <w:rFonts w:hint="eastAsia" w:ascii="仿宋_GB2312" w:hAnsi="仿宋_GB2312" w:eastAsia="仿宋_GB2312" w:cs="仿宋_GB2312"/>
          <w:sz w:val="32"/>
          <w:szCs w:val="32"/>
          <w:shd w:val="clear" w:fill="FFFFFF"/>
          <w:lang w:eastAsia="zh-CN"/>
        </w:rPr>
        <w:t>：支出决算为</w:t>
      </w:r>
      <w:r>
        <w:rPr>
          <w:rFonts w:hint="eastAsia" w:ascii="仿宋_GB2312" w:hAnsi="仿宋_GB2312" w:eastAsia="仿宋_GB2312" w:cs="仿宋_GB2312"/>
          <w:sz w:val="32"/>
          <w:szCs w:val="32"/>
          <w:shd w:val="clear" w:fill="FFFFFF"/>
          <w:lang w:val="en-US" w:eastAsia="zh-CN"/>
        </w:rPr>
        <w:t>1011.24</w:t>
      </w:r>
      <w:r>
        <w:rPr>
          <w:rFonts w:hint="eastAsia" w:ascii="仿宋_GB2312" w:hAnsi="仿宋_GB2312" w:eastAsia="仿宋_GB2312" w:cs="仿宋_GB2312"/>
          <w:sz w:val="32"/>
          <w:szCs w:val="32"/>
          <w:shd w:val="clear" w:fill="FFFFFF"/>
          <w:lang w:eastAsia="zh-CN"/>
        </w:rPr>
        <w:t>万元，完成预算</w:t>
      </w:r>
      <w:r>
        <w:rPr>
          <w:rFonts w:hint="eastAsia" w:ascii="仿宋_GB2312" w:hAnsi="仿宋_GB2312" w:eastAsia="仿宋_GB2312" w:cs="仿宋_GB2312"/>
          <w:sz w:val="32"/>
          <w:szCs w:val="32"/>
          <w:shd w:val="clear" w:fill="FFFFFF"/>
          <w:lang w:val="en-US" w:eastAsia="zh-CN"/>
        </w:rPr>
        <w:t>100</w:t>
      </w:r>
      <w:r>
        <w:rPr>
          <w:rFonts w:hint="eastAsia" w:ascii="仿宋_GB2312" w:hAnsi="仿宋_GB2312" w:eastAsia="仿宋_GB2312" w:cs="仿宋_GB2312"/>
          <w:sz w:val="32"/>
          <w:szCs w:val="32"/>
          <w:shd w:val="clear" w:fill="FFFFFF"/>
          <w:lang w:eastAsia="zh-CN"/>
        </w:rPr>
        <w:t>%，决算数等于预算数。</w:t>
      </w:r>
    </w:p>
    <w:p>
      <w:pPr>
        <w:spacing w:line="600" w:lineRule="exact"/>
        <w:ind w:firstLine="640"/>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2.公共安全支出</w:t>
      </w:r>
      <w:r>
        <w:rPr>
          <w:rFonts w:hint="eastAsia" w:ascii="仿宋_GB2312" w:hAnsi="仿宋_GB2312" w:eastAsia="仿宋_GB2312" w:cs="仿宋_GB2312"/>
          <w:sz w:val="32"/>
          <w:szCs w:val="32"/>
          <w:shd w:val="clear" w:fill="FFFFFF"/>
          <w:lang w:val="en-US" w:eastAsia="zh-CN"/>
        </w:rPr>
        <w:t>2040502</w:t>
      </w:r>
      <w:r>
        <w:rPr>
          <w:rFonts w:hint="eastAsia" w:ascii="仿宋_GB2312" w:hAnsi="仿宋_GB2312" w:eastAsia="仿宋_GB2312" w:cs="仿宋_GB2312"/>
          <w:sz w:val="32"/>
          <w:szCs w:val="32"/>
          <w:shd w:val="clear" w:fill="FFFFFF"/>
          <w:lang w:eastAsia="zh-CN"/>
        </w:rPr>
        <w:t>：支出决算为</w:t>
      </w:r>
      <w:r>
        <w:rPr>
          <w:rFonts w:hint="eastAsia" w:ascii="仿宋_GB2312" w:hAnsi="仿宋_GB2312" w:eastAsia="仿宋_GB2312" w:cs="仿宋_GB2312"/>
          <w:sz w:val="32"/>
          <w:szCs w:val="32"/>
          <w:shd w:val="clear" w:fill="FFFFFF"/>
          <w:lang w:val="en-US" w:eastAsia="zh-CN"/>
        </w:rPr>
        <w:t>804.34</w:t>
      </w:r>
      <w:r>
        <w:rPr>
          <w:rFonts w:hint="eastAsia" w:ascii="仿宋_GB2312" w:hAnsi="仿宋_GB2312" w:eastAsia="仿宋_GB2312" w:cs="仿宋_GB2312"/>
          <w:sz w:val="32"/>
          <w:szCs w:val="32"/>
          <w:shd w:val="clear" w:fill="FFFFFF"/>
          <w:lang w:eastAsia="zh-CN"/>
        </w:rPr>
        <w:t>万元，完成预算</w:t>
      </w:r>
      <w:r>
        <w:rPr>
          <w:rFonts w:hint="eastAsia" w:ascii="仿宋_GB2312" w:hAnsi="仿宋_GB2312" w:eastAsia="仿宋_GB2312" w:cs="仿宋_GB2312"/>
          <w:sz w:val="32"/>
          <w:szCs w:val="32"/>
          <w:shd w:val="clear" w:fill="FFFFFF"/>
          <w:lang w:val="en-US" w:eastAsia="zh-CN"/>
        </w:rPr>
        <w:t>100</w:t>
      </w:r>
      <w:r>
        <w:rPr>
          <w:rFonts w:hint="eastAsia" w:ascii="仿宋_GB2312" w:hAnsi="仿宋_GB2312" w:eastAsia="仿宋_GB2312" w:cs="仿宋_GB2312"/>
          <w:sz w:val="32"/>
          <w:szCs w:val="32"/>
          <w:shd w:val="clear" w:fill="FFFFFF"/>
          <w:lang w:eastAsia="zh-CN"/>
        </w:rPr>
        <w:t>%，决算数等于预算数。</w:t>
      </w:r>
    </w:p>
    <w:p>
      <w:pPr>
        <w:spacing w:line="600" w:lineRule="exact"/>
        <w:ind w:firstLine="640"/>
        <w:rPr>
          <w:rFonts w:eastAsia="仿宋_GB2312" w:cs="仿宋_GB2312"/>
          <w:sz w:val="32"/>
          <w:szCs w:val="32"/>
        </w:rPr>
      </w:pPr>
      <w:r>
        <w:rPr>
          <w:rFonts w:hint="eastAsia" w:eastAsia="仿宋_GB2312" w:cs="仿宋_GB2312"/>
          <w:sz w:val="32"/>
          <w:szCs w:val="32"/>
        </w:rPr>
        <w:t>3.</w:t>
      </w:r>
      <w:r>
        <w:rPr>
          <w:rFonts w:hint="eastAsia" w:ascii="仿宋_GB2312" w:hAnsi="仿宋_GB2312" w:eastAsia="仿宋_GB2312" w:cs="仿宋_GB2312"/>
          <w:sz w:val="32"/>
          <w:szCs w:val="32"/>
          <w:shd w:val="clear" w:fill="FFFFFF"/>
          <w:lang w:eastAsia="zh-CN"/>
        </w:rPr>
        <w:t>社会保障和就业</w:t>
      </w:r>
      <w:r>
        <w:rPr>
          <w:rFonts w:hint="eastAsia" w:ascii="仿宋_GB2312" w:hAnsi="仿宋_GB2312" w:eastAsia="仿宋_GB2312" w:cs="仿宋_GB2312"/>
          <w:sz w:val="32"/>
          <w:szCs w:val="32"/>
          <w:shd w:val="clear" w:fill="FFFFFF"/>
          <w:lang w:val="en-US"/>
        </w:rPr>
        <w:t>20</w:t>
      </w:r>
      <w:r>
        <w:rPr>
          <w:rFonts w:hint="eastAsia" w:ascii="仿宋_GB2312" w:hAnsi="仿宋_GB2312" w:eastAsia="仿宋_GB2312" w:cs="仿宋_GB2312"/>
          <w:sz w:val="32"/>
          <w:szCs w:val="32"/>
          <w:shd w:val="clear" w:fill="FFFFFF"/>
          <w:lang w:val="en-US" w:eastAsia="zh-CN"/>
        </w:rPr>
        <w:t>8</w:t>
      </w:r>
      <w:r>
        <w:rPr>
          <w:rFonts w:hint="eastAsia" w:ascii="仿宋_GB2312" w:hAnsi="仿宋_GB2312" w:eastAsia="仿宋_GB2312" w:cs="仿宋_GB2312"/>
          <w:sz w:val="32"/>
          <w:szCs w:val="32"/>
          <w:shd w:val="clear" w:fill="FFFFFF"/>
          <w:lang w:val="en-US"/>
        </w:rPr>
        <w:t>0</w:t>
      </w:r>
      <w:r>
        <w:rPr>
          <w:rFonts w:hint="eastAsia" w:ascii="仿宋_GB2312" w:hAnsi="仿宋_GB2312" w:eastAsia="仿宋_GB2312" w:cs="仿宋_GB2312"/>
          <w:sz w:val="32"/>
          <w:szCs w:val="32"/>
          <w:shd w:val="clear" w:fill="FFFFFF"/>
          <w:lang w:val="en-US" w:eastAsia="zh-CN"/>
        </w:rPr>
        <w:t>5</w:t>
      </w:r>
      <w:r>
        <w:rPr>
          <w:rFonts w:hint="eastAsia" w:ascii="仿宋_GB2312" w:hAnsi="仿宋_GB2312" w:eastAsia="仿宋_GB2312" w:cs="仿宋_GB2312"/>
          <w:sz w:val="32"/>
          <w:szCs w:val="32"/>
          <w:shd w:val="clear" w:fill="FFFFFF"/>
          <w:lang w:val="en-US"/>
        </w:rPr>
        <w:t xml:space="preserve">05: </w:t>
      </w:r>
      <w:r>
        <w:rPr>
          <w:rFonts w:hint="eastAsia" w:ascii="仿宋_GB2312" w:hAnsi="仿宋_GB2312" w:eastAsia="仿宋_GB2312" w:cs="仿宋_GB2312"/>
          <w:sz w:val="32"/>
          <w:szCs w:val="32"/>
          <w:shd w:val="clear" w:fill="FFFFFF"/>
          <w:lang w:eastAsia="zh-CN"/>
        </w:rPr>
        <w:t>支出决算为</w:t>
      </w:r>
      <w:r>
        <w:rPr>
          <w:rFonts w:hint="eastAsia" w:ascii="仿宋_GB2312" w:hAnsi="仿宋_GB2312" w:eastAsia="仿宋_GB2312" w:cs="仿宋_GB2312"/>
          <w:sz w:val="32"/>
          <w:szCs w:val="32"/>
          <w:shd w:val="clear" w:fill="FFFFFF"/>
          <w:lang w:val="en-US" w:eastAsia="zh-CN"/>
        </w:rPr>
        <w:t>122.84</w:t>
      </w:r>
      <w:r>
        <w:rPr>
          <w:rFonts w:hint="eastAsia" w:ascii="仿宋_GB2312" w:hAnsi="仿宋_GB2312" w:eastAsia="仿宋_GB2312" w:cs="仿宋_GB2312"/>
          <w:sz w:val="32"/>
          <w:szCs w:val="32"/>
          <w:shd w:val="clear" w:fill="FFFFFF"/>
          <w:lang w:eastAsia="zh-CN"/>
        </w:rPr>
        <w:t>万元，完成预算</w:t>
      </w:r>
      <w:r>
        <w:rPr>
          <w:rFonts w:hint="eastAsia" w:ascii="仿宋_GB2312" w:hAnsi="仿宋_GB2312" w:eastAsia="仿宋_GB2312" w:cs="仿宋_GB2312"/>
          <w:sz w:val="32"/>
          <w:szCs w:val="32"/>
          <w:shd w:val="clear" w:fill="FFFFFF"/>
          <w:lang w:val="en-US"/>
        </w:rPr>
        <w:t>100%</w:t>
      </w:r>
      <w:r>
        <w:rPr>
          <w:rFonts w:hint="eastAsia" w:ascii="仿宋_GB2312" w:hAnsi="仿宋_GB2312" w:eastAsia="仿宋_GB2312" w:cs="仿宋_GB2312"/>
          <w:sz w:val="32"/>
          <w:szCs w:val="32"/>
          <w:shd w:val="clear" w:fill="FFFFFF"/>
          <w:lang w:eastAsia="zh-CN"/>
        </w:rPr>
        <w:t>，决算数与预算数持平。</w:t>
      </w:r>
    </w:p>
    <w:p>
      <w:pPr>
        <w:spacing w:line="600" w:lineRule="exact"/>
        <w:ind w:firstLine="640"/>
        <w:rPr>
          <w:rFonts w:eastAsia="仿宋_GB2312" w:cs="仿宋_GB2312"/>
          <w:sz w:val="32"/>
          <w:szCs w:val="32"/>
        </w:rPr>
      </w:pPr>
      <w:r>
        <w:rPr>
          <w:rFonts w:hint="eastAsia" w:eastAsia="仿宋_GB2312" w:cs="仿宋_GB2312"/>
          <w:sz w:val="32"/>
          <w:szCs w:val="32"/>
        </w:rPr>
        <w:t>4.</w:t>
      </w:r>
      <w:r>
        <w:rPr>
          <w:rFonts w:hint="eastAsia" w:ascii="仿宋_GB2312" w:hAnsi="仿宋_GB2312" w:eastAsia="仿宋_GB2312" w:cs="仿宋_GB2312"/>
          <w:sz w:val="32"/>
          <w:szCs w:val="32"/>
          <w:shd w:val="clear" w:fill="FFFFFF"/>
          <w:lang w:eastAsia="zh-CN"/>
        </w:rPr>
        <w:t>社会保障和就业</w:t>
      </w:r>
      <w:r>
        <w:rPr>
          <w:rFonts w:hint="eastAsia" w:ascii="仿宋_GB2312" w:hAnsi="仿宋_GB2312" w:eastAsia="仿宋_GB2312" w:cs="仿宋_GB2312"/>
          <w:sz w:val="32"/>
          <w:szCs w:val="32"/>
          <w:shd w:val="clear" w:fill="FFFFFF"/>
          <w:lang w:val="en-US"/>
        </w:rPr>
        <w:t>208050</w:t>
      </w:r>
      <w:r>
        <w:rPr>
          <w:rFonts w:hint="eastAsia" w:ascii="仿宋_GB2312" w:hAnsi="仿宋_GB2312" w:eastAsia="仿宋_GB2312" w:cs="仿宋_GB2312"/>
          <w:sz w:val="32"/>
          <w:szCs w:val="32"/>
          <w:shd w:val="clear" w:fill="FFFFFF"/>
          <w:lang w:val="en-US" w:eastAsia="zh-CN"/>
        </w:rPr>
        <w:t>6</w:t>
      </w:r>
      <w:r>
        <w:rPr>
          <w:rFonts w:hint="eastAsia" w:ascii="仿宋_GB2312" w:hAnsi="仿宋_GB2312" w:eastAsia="仿宋_GB2312" w:cs="仿宋_GB2312"/>
          <w:sz w:val="32"/>
          <w:szCs w:val="32"/>
          <w:shd w:val="clear" w:fill="FFFFFF"/>
          <w:lang w:val="en-US"/>
        </w:rPr>
        <w:t xml:space="preserve">: </w:t>
      </w:r>
      <w:r>
        <w:rPr>
          <w:rFonts w:hint="eastAsia" w:ascii="仿宋_GB2312" w:hAnsi="仿宋_GB2312" w:eastAsia="仿宋_GB2312" w:cs="仿宋_GB2312"/>
          <w:sz w:val="32"/>
          <w:szCs w:val="32"/>
          <w:shd w:val="clear" w:fill="FFFFFF"/>
          <w:lang w:eastAsia="zh-CN"/>
        </w:rPr>
        <w:t>支出决算为</w:t>
      </w:r>
      <w:r>
        <w:rPr>
          <w:rFonts w:hint="eastAsia" w:ascii="仿宋_GB2312" w:hAnsi="仿宋_GB2312" w:eastAsia="仿宋_GB2312" w:cs="仿宋_GB2312"/>
          <w:sz w:val="32"/>
          <w:szCs w:val="32"/>
          <w:shd w:val="clear" w:fill="FFFFFF"/>
          <w:lang w:val="en-US" w:eastAsia="zh-CN"/>
        </w:rPr>
        <w:t>61.42</w:t>
      </w:r>
      <w:r>
        <w:rPr>
          <w:rFonts w:hint="eastAsia" w:ascii="仿宋_GB2312" w:hAnsi="仿宋_GB2312" w:eastAsia="仿宋_GB2312" w:cs="仿宋_GB2312"/>
          <w:sz w:val="32"/>
          <w:szCs w:val="32"/>
          <w:shd w:val="clear" w:fill="FFFFFF"/>
          <w:lang w:eastAsia="zh-CN"/>
        </w:rPr>
        <w:t>万元，完成预算</w:t>
      </w:r>
      <w:r>
        <w:rPr>
          <w:rFonts w:hint="eastAsia" w:ascii="仿宋_GB2312" w:hAnsi="仿宋_GB2312" w:eastAsia="仿宋_GB2312" w:cs="仿宋_GB2312"/>
          <w:sz w:val="32"/>
          <w:szCs w:val="32"/>
          <w:shd w:val="clear" w:fill="FFFFFF"/>
          <w:lang w:val="en-US"/>
        </w:rPr>
        <w:t>100%</w:t>
      </w:r>
      <w:r>
        <w:rPr>
          <w:rFonts w:hint="eastAsia" w:ascii="仿宋_GB2312" w:hAnsi="仿宋_GB2312" w:eastAsia="仿宋_GB2312" w:cs="仿宋_GB2312"/>
          <w:sz w:val="32"/>
          <w:szCs w:val="32"/>
          <w:shd w:val="clear" w:fill="FFFFFF"/>
          <w:lang w:eastAsia="zh-CN"/>
        </w:rPr>
        <w:t>，决算数与预算数持平。</w:t>
      </w:r>
    </w:p>
    <w:p>
      <w:pPr>
        <w:spacing w:line="600" w:lineRule="exact"/>
        <w:ind w:firstLine="640"/>
        <w:rPr>
          <w:rFonts w:eastAsia="仿宋_GB2312" w:cs="仿宋_GB2312"/>
          <w:sz w:val="32"/>
          <w:szCs w:val="32"/>
        </w:rPr>
      </w:pPr>
      <w:r>
        <w:rPr>
          <w:rFonts w:hint="eastAsia" w:eastAsia="仿宋_GB2312" w:cs="仿宋_GB2312"/>
          <w:sz w:val="32"/>
          <w:szCs w:val="32"/>
        </w:rPr>
        <w:t>5.</w:t>
      </w:r>
      <w:r>
        <w:rPr>
          <w:rFonts w:hint="eastAsia" w:ascii="仿宋_GB2312" w:hAnsi="仿宋_GB2312" w:eastAsia="仿宋_GB2312" w:cs="仿宋_GB2312"/>
          <w:sz w:val="32"/>
          <w:szCs w:val="32"/>
          <w:shd w:val="clear" w:fill="FFFFFF"/>
          <w:lang w:eastAsia="zh-CN"/>
        </w:rPr>
        <w:t>卫生健康</w:t>
      </w:r>
      <w:r>
        <w:rPr>
          <w:rFonts w:hint="eastAsia" w:ascii="仿宋_GB2312" w:hAnsi="仿宋_GB2312" w:eastAsia="仿宋_GB2312" w:cs="仿宋_GB2312"/>
          <w:sz w:val="32"/>
          <w:szCs w:val="32"/>
          <w:shd w:val="clear" w:fill="FFFFFF"/>
          <w:lang w:val="en-US"/>
        </w:rPr>
        <w:t>2</w:t>
      </w:r>
      <w:r>
        <w:rPr>
          <w:rFonts w:hint="eastAsia" w:ascii="仿宋_GB2312" w:hAnsi="仿宋_GB2312" w:eastAsia="仿宋_GB2312" w:cs="仿宋_GB2312"/>
          <w:sz w:val="32"/>
          <w:szCs w:val="32"/>
          <w:shd w:val="clear" w:fill="FFFFFF"/>
          <w:lang w:val="en-US" w:eastAsia="zh-CN"/>
        </w:rPr>
        <w:t>1011</w:t>
      </w:r>
      <w:r>
        <w:rPr>
          <w:rFonts w:hint="eastAsia" w:ascii="仿宋_GB2312" w:hAnsi="仿宋_GB2312" w:eastAsia="仿宋_GB2312" w:cs="仿宋_GB2312"/>
          <w:sz w:val="32"/>
          <w:szCs w:val="32"/>
          <w:shd w:val="clear" w:fill="FFFFFF"/>
          <w:lang w:val="en-US"/>
        </w:rPr>
        <w:t>0</w:t>
      </w:r>
      <w:r>
        <w:rPr>
          <w:rFonts w:hint="eastAsia" w:ascii="仿宋_GB2312" w:hAnsi="仿宋_GB2312" w:eastAsia="仿宋_GB2312" w:cs="仿宋_GB2312"/>
          <w:sz w:val="32"/>
          <w:szCs w:val="32"/>
          <w:shd w:val="clear" w:fill="FFFFFF"/>
          <w:lang w:val="en-US" w:eastAsia="zh-CN"/>
        </w:rPr>
        <w:t>1</w:t>
      </w:r>
      <w:r>
        <w:rPr>
          <w:rFonts w:hint="eastAsia" w:ascii="仿宋_GB2312" w:hAnsi="仿宋_GB2312" w:eastAsia="仿宋_GB2312" w:cs="仿宋_GB2312"/>
          <w:sz w:val="32"/>
          <w:szCs w:val="32"/>
          <w:shd w:val="clear" w:fill="FFFFFF"/>
          <w:lang w:val="en-US"/>
        </w:rPr>
        <w:t xml:space="preserve">: </w:t>
      </w:r>
      <w:r>
        <w:rPr>
          <w:rFonts w:hint="eastAsia" w:ascii="仿宋_GB2312" w:hAnsi="仿宋_GB2312" w:eastAsia="仿宋_GB2312" w:cs="仿宋_GB2312"/>
          <w:sz w:val="32"/>
          <w:szCs w:val="32"/>
          <w:shd w:val="clear" w:fill="FFFFFF"/>
          <w:lang w:eastAsia="zh-CN"/>
        </w:rPr>
        <w:t>支出决算为</w:t>
      </w:r>
      <w:r>
        <w:rPr>
          <w:rFonts w:hint="eastAsia" w:ascii="仿宋_GB2312" w:hAnsi="仿宋_GB2312" w:eastAsia="仿宋_GB2312" w:cs="仿宋_GB2312"/>
          <w:sz w:val="32"/>
          <w:szCs w:val="32"/>
          <w:shd w:val="clear" w:fill="FFFFFF"/>
          <w:lang w:val="en-US" w:eastAsia="zh-CN"/>
        </w:rPr>
        <w:t>55.73</w:t>
      </w:r>
      <w:r>
        <w:rPr>
          <w:rFonts w:hint="eastAsia" w:ascii="仿宋_GB2312" w:hAnsi="仿宋_GB2312" w:eastAsia="仿宋_GB2312" w:cs="仿宋_GB2312"/>
          <w:sz w:val="32"/>
          <w:szCs w:val="32"/>
          <w:shd w:val="clear" w:fill="FFFFFF"/>
          <w:lang w:eastAsia="zh-CN"/>
        </w:rPr>
        <w:t>万元，完成预算</w:t>
      </w:r>
      <w:r>
        <w:rPr>
          <w:rFonts w:hint="eastAsia" w:ascii="仿宋_GB2312" w:hAnsi="仿宋_GB2312" w:eastAsia="仿宋_GB2312" w:cs="仿宋_GB2312"/>
          <w:sz w:val="32"/>
          <w:szCs w:val="32"/>
          <w:shd w:val="clear" w:fill="FFFFFF"/>
          <w:lang w:val="en-US"/>
        </w:rPr>
        <w:t>100%</w:t>
      </w:r>
      <w:r>
        <w:rPr>
          <w:rFonts w:hint="eastAsia" w:ascii="仿宋_GB2312" w:hAnsi="仿宋_GB2312" w:eastAsia="仿宋_GB2312" w:cs="仿宋_GB2312"/>
          <w:sz w:val="32"/>
          <w:szCs w:val="32"/>
          <w:shd w:val="clear" w:fill="FFFFFF"/>
          <w:lang w:eastAsia="zh-CN"/>
        </w:rPr>
        <w:t>，决算数与预算数持平。</w:t>
      </w:r>
    </w:p>
    <w:p>
      <w:pPr>
        <w:spacing w:line="600" w:lineRule="exact"/>
        <w:ind w:firstLine="640"/>
        <w:rPr>
          <w:rFonts w:hint="eastAsia" w:ascii="仿宋_GB2312" w:hAnsi="仿宋_GB2312" w:eastAsia="仿宋_GB2312" w:cs="仿宋_GB2312"/>
          <w:sz w:val="32"/>
          <w:szCs w:val="32"/>
          <w:shd w:val="clear" w:fill="FFFFFF"/>
          <w:lang w:eastAsia="zh-CN"/>
        </w:rPr>
      </w:pPr>
      <w:r>
        <w:rPr>
          <w:rFonts w:hint="eastAsia" w:eastAsia="仿宋_GB2312" w:cs="仿宋_GB2312"/>
          <w:sz w:val="32"/>
          <w:szCs w:val="32"/>
        </w:rPr>
        <w:t>6.</w:t>
      </w:r>
      <w:r>
        <w:rPr>
          <w:rFonts w:hint="eastAsia" w:ascii="仿宋_GB2312" w:hAnsi="仿宋_GB2312" w:eastAsia="仿宋_GB2312" w:cs="仿宋_GB2312"/>
          <w:sz w:val="32"/>
          <w:szCs w:val="32"/>
          <w:shd w:val="clear" w:fill="FFFFFF"/>
          <w:lang w:eastAsia="zh-CN"/>
        </w:rPr>
        <w:t>卫生健康</w:t>
      </w:r>
      <w:r>
        <w:rPr>
          <w:rFonts w:hint="eastAsia" w:ascii="仿宋_GB2312" w:hAnsi="仿宋_GB2312" w:eastAsia="仿宋_GB2312" w:cs="仿宋_GB2312"/>
          <w:sz w:val="32"/>
          <w:szCs w:val="32"/>
          <w:shd w:val="clear" w:fill="FFFFFF"/>
          <w:lang w:val="en-US"/>
        </w:rPr>
        <w:t>210110</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sz w:val="32"/>
          <w:szCs w:val="32"/>
          <w:shd w:val="clear" w:fill="FFFFFF"/>
          <w:lang w:eastAsia="zh-CN"/>
        </w:rPr>
        <w:t>支出决算为</w:t>
      </w:r>
      <w:r>
        <w:rPr>
          <w:rFonts w:hint="eastAsia" w:ascii="仿宋_GB2312" w:hAnsi="仿宋_GB2312" w:eastAsia="仿宋_GB2312" w:cs="仿宋_GB2312"/>
          <w:sz w:val="32"/>
          <w:szCs w:val="32"/>
          <w:shd w:val="clear" w:fill="FFFFFF"/>
          <w:lang w:val="en-US" w:eastAsia="zh-CN"/>
        </w:rPr>
        <w:t>20.44</w:t>
      </w:r>
      <w:r>
        <w:rPr>
          <w:rFonts w:hint="eastAsia" w:ascii="仿宋_GB2312" w:hAnsi="仿宋_GB2312" w:eastAsia="仿宋_GB2312" w:cs="仿宋_GB2312"/>
          <w:sz w:val="32"/>
          <w:szCs w:val="32"/>
          <w:shd w:val="clear" w:fill="FFFFFF"/>
          <w:lang w:eastAsia="zh-CN"/>
        </w:rPr>
        <w:t>万元，完成预算</w:t>
      </w:r>
      <w:r>
        <w:rPr>
          <w:rFonts w:hint="eastAsia" w:ascii="仿宋_GB2312" w:hAnsi="仿宋_GB2312" w:eastAsia="仿宋_GB2312" w:cs="仿宋_GB2312"/>
          <w:sz w:val="32"/>
          <w:szCs w:val="32"/>
          <w:shd w:val="clear" w:fill="FFFFFF"/>
          <w:lang w:val="en-US"/>
        </w:rPr>
        <w:t>100%</w:t>
      </w:r>
      <w:r>
        <w:rPr>
          <w:rFonts w:hint="eastAsia" w:ascii="仿宋_GB2312" w:hAnsi="仿宋_GB2312" w:eastAsia="仿宋_GB2312" w:cs="仿宋_GB2312"/>
          <w:sz w:val="32"/>
          <w:szCs w:val="32"/>
          <w:shd w:val="clear" w:fill="FFFFFF"/>
          <w:lang w:eastAsia="zh-CN"/>
        </w:rPr>
        <w:t>，决算数与预算数持平。</w:t>
      </w:r>
    </w:p>
    <w:p>
      <w:pPr>
        <w:pStyle w:val="16"/>
        <w:keepNext w:val="0"/>
        <w:keepLines w:val="0"/>
        <w:pageBreakBefore w:val="0"/>
        <w:widowControl/>
        <w:shd w:val="clear" w:fill="FFFFFF"/>
        <w:kinsoku/>
        <w:wordWrap/>
        <w:overflowPunct/>
        <w:topLinePunct w:val="0"/>
        <w:autoSpaceDE w:val="0"/>
        <w:autoSpaceDN/>
        <w:bidi w:val="0"/>
        <w:adjustRightInd/>
        <w:snapToGrid/>
        <w:spacing w:line="560" w:lineRule="exact"/>
        <w:ind w:firstLine="640" w:firstLineChars="200"/>
        <w:textAlignment w:val="auto"/>
        <w:rPr>
          <w:rFonts w:eastAsia="仿宋_GB2312" w:cs="仿宋_GB2312"/>
          <w:sz w:val="32"/>
          <w:szCs w:val="32"/>
        </w:rPr>
      </w:pPr>
      <w:r>
        <w:rPr>
          <w:rFonts w:hint="eastAsia" w:ascii="仿宋_GB2312" w:hAnsi="仿宋_GB2312" w:eastAsia="仿宋_GB2312" w:cs="仿宋_GB2312"/>
          <w:sz w:val="32"/>
          <w:szCs w:val="32"/>
          <w:shd w:val="clear" w:fill="FFFFFF"/>
          <w:lang w:val="en-US" w:eastAsia="zh-CN"/>
        </w:rPr>
        <w:t>7</w:t>
      </w:r>
      <w:r>
        <w:rPr>
          <w:rFonts w:hint="eastAsia" w:ascii="仿宋_GB2312" w:hAnsi="仿宋_GB2312" w:eastAsia="仿宋_GB2312" w:cs="仿宋_GB2312"/>
          <w:sz w:val="32"/>
          <w:szCs w:val="32"/>
          <w:shd w:val="clear" w:fill="FFFFFF"/>
          <w:lang w:val="en-US"/>
        </w:rPr>
        <w:t xml:space="preserve">. </w:t>
      </w:r>
      <w:r>
        <w:rPr>
          <w:rFonts w:hint="eastAsia" w:ascii="仿宋_GB2312" w:hAnsi="仿宋_GB2312" w:eastAsia="仿宋_GB2312" w:cs="仿宋_GB2312"/>
          <w:sz w:val="32"/>
          <w:szCs w:val="32"/>
          <w:shd w:val="clear" w:fill="FFFFFF"/>
          <w:lang w:eastAsia="zh-CN"/>
        </w:rPr>
        <w:t>住房保障等支出</w:t>
      </w:r>
      <w:r>
        <w:rPr>
          <w:rFonts w:hint="eastAsia" w:ascii="仿宋_GB2312" w:hAnsi="仿宋_GB2312" w:eastAsia="仿宋_GB2312" w:cs="仿宋_GB2312"/>
          <w:sz w:val="32"/>
          <w:szCs w:val="32"/>
          <w:shd w:val="clear" w:fill="FFFFFF"/>
          <w:lang w:val="en-US"/>
        </w:rPr>
        <w:t>2</w:t>
      </w:r>
      <w:r>
        <w:rPr>
          <w:rFonts w:hint="eastAsia" w:ascii="仿宋_GB2312" w:hAnsi="仿宋_GB2312" w:eastAsia="仿宋_GB2312" w:cs="仿宋_GB2312"/>
          <w:sz w:val="32"/>
          <w:szCs w:val="32"/>
          <w:shd w:val="clear" w:fill="FFFFFF"/>
          <w:lang w:val="en-US" w:eastAsia="zh-CN"/>
        </w:rPr>
        <w:t>2102</w:t>
      </w:r>
      <w:r>
        <w:rPr>
          <w:rFonts w:hint="eastAsia" w:ascii="仿宋_GB2312" w:hAnsi="仿宋_GB2312" w:eastAsia="仿宋_GB2312" w:cs="仿宋_GB2312"/>
          <w:sz w:val="32"/>
          <w:szCs w:val="32"/>
          <w:shd w:val="clear" w:fill="FFFFFF"/>
          <w:lang w:eastAsia="zh-CN"/>
        </w:rPr>
        <w:t>：支出决算为</w:t>
      </w:r>
      <w:r>
        <w:rPr>
          <w:rFonts w:hint="eastAsia" w:ascii="仿宋_GB2312" w:hAnsi="仿宋_GB2312" w:eastAsia="仿宋_GB2312" w:cs="仿宋_GB2312"/>
          <w:sz w:val="32"/>
          <w:szCs w:val="32"/>
          <w:shd w:val="clear" w:fill="FFFFFF"/>
          <w:lang w:val="en-US" w:eastAsia="zh-CN"/>
        </w:rPr>
        <w:t>114.32</w:t>
      </w:r>
      <w:r>
        <w:rPr>
          <w:rFonts w:hint="eastAsia" w:ascii="仿宋_GB2312" w:hAnsi="仿宋_GB2312" w:eastAsia="仿宋_GB2312" w:cs="仿宋_GB2312"/>
          <w:sz w:val="32"/>
          <w:szCs w:val="32"/>
          <w:shd w:val="clear" w:fill="FFFFFF"/>
          <w:lang w:eastAsia="zh-CN"/>
        </w:rPr>
        <w:t>万元，完成预算</w:t>
      </w:r>
      <w:r>
        <w:rPr>
          <w:rFonts w:hint="eastAsia" w:ascii="仿宋_GB2312" w:hAnsi="仿宋_GB2312" w:eastAsia="仿宋_GB2312" w:cs="仿宋_GB2312"/>
          <w:sz w:val="32"/>
          <w:szCs w:val="32"/>
          <w:shd w:val="clear" w:fill="FFFFFF"/>
          <w:lang w:val="en-US"/>
        </w:rPr>
        <w:t>100%</w:t>
      </w:r>
      <w:r>
        <w:rPr>
          <w:rFonts w:hint="eastAsia" w:ascii="仿宋_GB2312" w:hAnsi="仿宋_GB2312" w:eastAsia="仿宋_GB2312" w:cs="仿宋_GB2312"/>
          <w:sz w:val="32"/>
          <w:szCs w:val="32"/>
          <w:shd w:val="clear" w:fill="FFFFFF"/>
          <w:lang w:eastAsia="zh-CN"/>
        </w:rPr>
        <w:t>，决算数与预算数持平。</w:t>
      </w:r>
    </w:p>
    <w:p>
      <w:pPr>
        <w:tabs>
          <w:tab w:val="right" w:pos="8306"/>
        </w:tabs>
        <w:spacing w:line="600" w:lineRule="exact"/>
        <w:ind w:firstLine="640"/>
        <w:outlineLvl w:val="1"/>
        <w:rPr>
          <w:rStyle w:val="31"/>
          <w:rFonts w:ascii="Times New Roman" w:hAnsi="Times New Roman"/>
        </w:rPr>
      </w:pPr>
      <w:bookmarkStart w:id="28" w:name="_Toc15396608"/>
      <w:bookmarkStart w:id="29" w:name="_Toc15377214"/>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28"/>
      <w:bookmarkEnd w:id="29"/>
      <w:r>
        <w:rPr>
          <w:rStyle w:val="31"/>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1385.98</w:t>
      </w:r>
      <w:r>
        <w:rPr>
          <w:rFonts w:hint="eastAsia" w:ascii="仿宋_GB2312" w:hAnsi="仿宋_GB2312" w:eastAsia="仿宋_GB2312" w:cs="仿宋_GB2312"/>
          <w:sz w:val="32"/>
          <w:szCs w:val="32"/>
        </w:rPr>
        <w:t>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1203.39</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w:t>
      </w:r>
      <w:r>
        <w:rPr>
          <w:rFonts w:hint="eastAsia" w:eastAsia="仿宋_GB2312" w:cs="仿宋_GB2312"/>
          <w:sz w:val="32"/>
          <w:szCs w:val="32"/>
          <w:lang w:val="en-US" w:eastAsia="zh-CN"/>
        </w:rPr>
        <w:t>322.79万元</w:t>
      </w:r>
      <w:r>
        <w:rPr>
          <w:rFonts w:hint="eastAsia" w:eastAsia="仿宋_GB2312" w:cs="仿宋_GB2312"/>
          <w:sz w:val="32"/>
          <w:szCs w:val="32"/>
        </w:rPr>
        <w:t>、津贴补贴</w:t>
      </w:r>
      <w:r>
        <w:rPr>
          <w:rFonts w:hint="eastAsia" w:eastAsia="仿宋_GB2312" w:cs="仿宋_GB2312"/>
          <w:sz w:val="32"/>
          <w:szCs w:val="32"/>
          <w:lang w:val="en-US" w:eastAsia="zh-CN"/>
        </w:rPr>
        <w:t>298.18万元</w:t>
      </w:r>
      <w:r>
        <w:rPr>
          <w:rFonts w:hint="eastAsia" w:eastAsia="仿宋_GB2312" w:cs="仿宋_GB2312"/>
          <w:sz w:val="32"/>
          <w:szCs w:val="32"/>
        </w:rPr>
        <w:t>、机关事业单位基本养老保险缴费</w:t>
      </w:r>
      <w:r>
        <w:rPr>
          <w:rFonts w:hint="eastAsia" w:eastAsia="仿宋_GB2312" w:cs="仿宋_GB2312"/>
          <w:sz w:val="32"/>
          <w:szCs w:val="32"/>
          <w:lang w:val="en-US" w:eastAsia="zh-CN"/>
        </w:rPr>
        <w:t>122.84万元</w:t>
      </w:r>
      <w:r>
        <w:rPr>
          <w:rFonts w:hint="eastAsia" w:eastAsia="仿宋_GB2312" w:cs="仿宋_GB2312"/>
          <w:sz w:val="32"/>
          <w:szCs w:val="32"/>
        </w:rPr>
        <w:t>、职业年金缴费</w:t>
      </w:r>
      <w:r>
        <w:rPr>
          <w:rFonts w:hint="eastAsia" w:eastAsia="仿宋_GB2312" w:cs="仿宋_GB2312"/>
          <w:sz w:val="32"/>
          <w:szCs w:val="32"/>
          <w:lang w:val="en-US" w:eastAsia="zh-CN"/>
        </w:rPr>
        <w:t>61.42万元</w:t>
      </w:r>
      <w:r>
        <w:rPr>
          <w:rFonts w:hint="eastAsia" w:eastAsia="仿宋_GB2312" w:cs="仿宋_GB2312"/>
          <w:sz w:val="32"/>
          <w:szCs w:val="32"/>
        </w:rPr>
        <w:t>、其他社会保障缴费</w:t>
      </w:r>
      <w:r>
        <w:rPr>
          <w:rFonts w:hint="eastAsia" w:eastAsia="仿宋_GB2312" w:cs="仿宋_GB2312"/>
          <w:sz w:val="32"/>
          <w:szCs w:val="32"/>
          <w:lang w:val="en-US" w:eastAsia="zh-CN"/>
        </w:rPr>
        <w:t>11.92万元</w:t>
      </w:r>
      <w:r>
        <w:rPr>
          <w:rFonts w:hint="eastAsia" w:eastAsia="仿宋_GB2312" w:cs="仿宋_GB2312"/>
          <w:sz w:val="32"/>
          <w:szCs w:val="32"/>
        </w:rPr>
        <w:t>、其他工资福利支出</w:t>
      </w:r>
      <w:r>
        <w:rPr>
          <w:rFonts w:hint="eastAsia" w:eastAsia="仿宋_GB2312" w:cs="仿宋_GB2312"/>
          <w:sz w:val="32"/>
          <w:szCs w:val="32"/>
          <w:lang w:val="en-US" w:eastAsia="zh-CN"/>
        </w:rPr>
        <w:t>186万元</w:t>
      </w:r>
      <w:r>
        <w:rPr>
          <w:rFonts w:hint="eastAsia" w:eastAsia="仿宋_GB2312" w:cs="仿宋_GB2312"/>
          <w:sz w:val="32"/>
          <w:szCs w:val="32"/>
        </w:rPr>
        <w:t>、住房公积金</w:t>
      </w:r>
      <w:r>
        <w:rPr>
          <w:rFonts w:hint="eastAsia" w:eastAsia="仿宋_GB2312" w:cs="仿宋_GB2312"/>
          <w:sz w:val="32"/>
          <w:szCs w:val="32"/>
          <w:lang w:val="en-US" w:eastAsia="zh-CN"/>
        </w:rPr>
        <w:t>124万元</w:t>
      </w:r>
      <w:r>
        <w:rPr>
          <w:rFonts w:hint="eastAsia" w:eastAsia="仿宋_GB2312" w:cs="仿宋_GB2312"/>
          <w:sz w:val="32"/>
          <w:szCs w:val="32"/>
        </w:rPr>
        <w:t>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eastAsia="仿宋_GB2312" w:cs="仿宋_GB2312"/>
          <w:sz w:val="32"/>
          <w:szCs w:val="32"/>
          <w:lang w:val="en-US" w:eastAsia="zh-CN"/>
        </w:rPr>
        <w:t>182.59</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w:t>
      </w:r>
      <w:r>
        <w:rPr>
          <w:rFonts w:hint="eastAsia" w:eastAsia="仿宋_GB2312" w:cs="仿宋_GB2312"/>
          <w:sz w:val="32"/>
          <w:szCs w:val="32"/>
          <w:lang w:val="en-US" w:eastAsia="zh-CN"/>
        </w:rPr>
        <w:t>134.45万元</w:t>
      </w:r>
      <w:r>
        <w:rPr>
          <w:rFonts w:hint="eastAsia" w:eastAsia="仿宋_GB2312" w:cs="仿宋_GB2312"/>
          <w:sz w:val="32"/>
          <w:szCs w:val="32"/>
        </w:rPr>
        <w:t>、印刷费</w:t>
      </w:r>
      <w:r>
        <w:rPr>
          <w:rFonts w:hint="eastAsia" w:eastAsia="仿宋_GB2312" w:cs="仿宋_GB2312"/>
          <w:sz w:val="32"/>
          <w:szCs w:val="32"/>
          <w:lang w:val="en-US" w:eastAsia="zh-CN"/>
        </w:rPr>
        <w:t>5.7万元</w:t>
      </w:r>
      <w:r>
        <w:rPr>
          <w:rFonts w:hint="eastAsia" w:eastAsia="仿宋_GB2312" w:cs="仿宋_GB2312"/>
          <w:sz w:val="32"/>
          <w:szCs w:val="32"/>
        </w:rPr>
        <w:t>、水费</w:t>
      </w:r>
      <w:r>
        <w:rPr>
          <w:rFonts w:hint="eastAsia" w:eastAsia="仿宋_GB2312" w:cs="仿宋_GB2312"/>
          <w:sz w:val="32"/>
          <w:szCs w:val="32"/>
          <w:lang w:val="en-US" w:eastAsia="zh-CN"/>
        </w:rPr>
        <w:t>1.95万元</w:t>
      </w:r>
      <w:r>
        <w:rPr>
          <w:rFonts w:hint="eastAsia" w:eastAsia="仿宋_GB2312" w:cs="仿宋_GB2312"/>
          <w:sz w:val="32"/>
          <w:szCs w:val="32"/>
        </w:rPr>
        <w:t>、电费</w:t>
      </w:r>
      <w:r>
        <w:rPr>
          <w:rFonts w:hint="eastAsia" w:eastAsia="仿宋_GB2312" w:cs="仿宋_GB2312"/>
          <w:sz w:val="32"/>
          <w:szCs w:val="32"/>
          <w:lang w:val="en-US" w:eastAsia="zh-CN"/>
        </w:rPr>
        <w:t>9.66万元</w:t>
      </w:r>
      <w:r>
        <w:rPr>
          <w:rFonts w:hint="eastAsia" w:eastAsia="仿宋_GB2312" w:cs="仿宋_GB2312"/>
          <w:sz w:val="32"/>
          <w:szCs w:val="32"/>
        </w:rPr>
        <w:t>、差旅费</w:t>
      </w:r>
      <w:r>
        <w:rPr>
          <w:rFonts w:hint="eastAsia" w:eastAsia="仿宋_GB2312" w:cs="仿宋_GB2312"/>
          <w:sz w:val="32"/>
          <w:szCs w:val="32"/>
          <w:lang w:val="en-US" w:eastAsia="zh-CN"/>
        </w:rPr>
        <w:t>15.98万元</w:t>
      </w:r>
      <w:r>
        <w:rPr>
          <w:rFonts w:hint="eastAsia" w:eastAsia="仿宋_GB2312" w:cs="仿宋_GB2312"/>
          <w:sz w:val="32"/>
          <w:szCs w:val="32"/>
        </w:rPr>
        <w:t>、维修（护）费</w:t>
      </w:r>
      <w:r>
        <w:rPr>
          <w:rFonts w:hint="eastAsia" w:eastAsia="仿宋_GB2312" w:cs="仿宋_GB2312"/>
          <w:sz w:val="32"/>
          <w:szCs w:val="32"/>
          <w:lang w:val="en-US" w:eastAsia="zh-CN"/>
        </w:rPr>
        <w:t>2.28万元</w:t>
      </w:r>
      <w:r>
        <w:rPr>
          <w:rFonts w:hint="eastAsia" w:eastAsia="仿宋_GB2312" w:cs="仿宋_GB2312"/>
          <w:sz w:val="32"/>
          <w:szCs w:val="32"/>
        </w:rPr>
        <w:t>、租赁费、会议费、培训费</w:t>
      </w:r>
      <w:r>
        <w:rPr>
          <w:rFonts w:hint="eastAsia" w:eastAsia="仿宋_GB2312" w:cs="仿宋_GB2312"/>
          <w:sz w:val="32"/>
          <w:szCs w:val="32"/>
          <w:lang w:val="en-US" w:eastAsia="zh-CN"/>
        </w:rPr>
        <w:t>1.22万元</w:t>
      </w:r>
      <w:r>
        <w:rPr>
          <w:rFonts w:hint="eastAsia" w:eastAsia="仿宋_GB2312" w:cs="仿宋_GB2312"/>
          <w:sz w:val="32"/>
          <w:szCs w:val="32"/>
        </w:rPr>
        <w:t>、公务接待费</w:t>
      </w:r>
      <w:r>
        <w:rPr>
          <w:rFonts w:hint="eastAsia" w:eastAsia="仿宋_GB2312" w:cs="仿宋_GB2312"/>
          <w:sz w:val="32"/>
          <w:szCs w:val="32"/>
          <w:lang w:val="en-US" w:eastAsia="zh-CN"/>
        </w:rPr>
        <w:t>1.41万元</w:t>
      </w:r>
      <w:r>
        <w:rPr>
          <w:rFonts w:hint="eastAsia" w:eastAsia="仿宋_GB2312" w:cs="仿宋_GB2312"/>
          <w:sz w:val="32"/>
          <w:szCs w:val="32"/>
        </w:rPr>
        <w:t>、劳务费</w:t>
      </w:r>
      <w:r>
        <w:rPr>
          <w:rFonts w:hint="eastAsia" w:eastAsia="仿宋_GB2312" w:cs="仿宋_GB2312"/>
          <w:sz w:val="32"/>
          <w:szCs w:val="32"/>
          <w:lang w:val="en-US" w:eastAsia="zh-CN"/>
        </w:rPr>
        <w:t>4.65万元</w:t>
      </w:r>
      <w:r>
        <w:rPr>
          <w:rFonts w:hint="eastAsia" w:eastAsia="仿宋_GB2312" w:cs="仿宋_GB2312"/>
          <w:sz w:val="32"/>
          <w:szCs w:val="32"/>
        </w:rPr>
        <w:t>、委托业务费、工会经费、福利费、公务用车运行维护费</w:t>
      </w:r>
      <w:r>
        <w:rPr>
          <w:rFonts w:hint="eastAsia" w:eastAsia="仿宋_GB2312" w:cs="仿宋_GB2312"/>
          <w:sz w:val="32"/>
          <w:szCs w:val="32"/>
          <w:lang w:val="en-US" w:eastAsia="zh-CN"/>
        </w:rPr>
        <w:t>4.49万元</w:t>
      </w:r>
      <w:r>
        <w:rPr>
          <w:rFonts w:hint="eastAsia" w:eastAsia="仿宋_GB2312" w:cs="仿宋_GB2312"/>
          <w:sz w:val="32"/>
          <w:szCs w:val="32"/>
        </w:rPr>
        <w:t>等。</w:t>
      </w:r>
    </w:p>
    <w:p>
      <w:pPr>
        <w:spacing w:line="600" w:lineRule="exact"/>
        <w:ind w:firstLine="640"/>
        <w:outlineLvl w:val="1"/>
        <w:rPr>
          <w:rStyle w:val="31"/>
          <w:rFonts w:ascii="Times New Roman" w:hAnsi="Times New Roman" w:eastAsia="黑体"/>
          <w:b w:val="0"/>
        </w:rPr>
      </w:pPr>
      <w:bookmarkStart w:id="30" w:name="_Toc15396609"/>
      <w:bookmarkStart w:id="31" w:name="_Toc15377215"/>
      <w:r>
        <w:rPr>
          <w:rFonts w:hint="eastAsia" w:eastAsia="黑体"/>
          <w:sz w:val="32"/>
          <w:szCs w:val="32"/>
        </w:rPr>
        <w:t>七、</w:t>
      </w:r>
      <w:r>
        <w:rPr>
          <w:rStyle w:val="31"/>
          <w:rFonts w:hint="eastAsia" w:ascii="Times New Roman" w:hAnsi="Times New Roman" w:eastAsia="黑体"/>
          <w:b w:val="0"/>
        </w:rPr>
        <w:t>财政拨款</w:t>
      </w:r>
      <w:r>
        <w:rPr>
          <w:rStyle w:val="31"/>
          <w:rFonts w:hint="eastAsia" w:ascii="Times New Roman" w:hAnsi="Times New Roman" w:eastAsia="黑体"/>
        </w:rPr>
        <w:t>“</w:t>
      </w:r>
      <w:r>
        <w:rPr>
          <w:rStyle w:val="31"/>
          <w:rFonts w:hint="eastAsia" w:ascii="Times New Roman" w:hAnsi="Times New Roman" w:eastAsia="黑体"/>
          <w:b w:val="0"/>
        </w:rPr>
        <w:t>三公”经费支出决算情况说明</w:t>
      </w:r>
      <w:bookmarkEnd w:id="30"/>
      <w:bookmarkEnd w:id="31"/>
    </w:p>
    <w:p>
      <w:pPr>
        <w:spacing w:line="600" w:lineRule="exact"/>
        <w:ind w:firstLine="642"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101.73</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eastAsia="仿宋_GB2312" w:cs="仿宋_GB2312"/>
          <w:sz w:val="32"/>
          <w:szCs w:val="32"/>
        </w:rPr>
        <w:t>较上年度增加</w:t>
      </w:r>
      <w:r>
        <w:rPr>
          <w:rFonts w:hint="eastAsia" w:eastAsia="仿宋_GB2312" w:cs="仿宋_GB2312"/>
          <w:sz w:val="32"/>
          <w:szCs w:val="32"/>
          <w:lang w:val="en-US" w:eastAsia="zh-CN"/>
        </w:rPr>
        <w:t>46.53</w:t>
      </w:r>
      <w:r>
        <w:rPr>
          <w:rFonts w:hint="eastAsia" w:eastAsia="仿宋_GB2312" w:cs="仿宋_GB2312"/>
          <w:sz w:val="32"/>
          <w:szCs w:val="32"/>
        </w:rPr>
        <w:t>万元，增</w:t>
      </w:r>
      <w:r>
        <w:rPr>
          <w:rFonts w:hint="eastAsia" w:eastAsia="仿宋_GB2312" w:cs="仿宋_GB2312"/>
          <w:sz w:val="32"/>
          <w:szCs w:val="32"/>
          <w:lang w:eastAsia="zh-CN"/>
        </w:rPr>
        <w:t>长</w:t>
      </w:r>
      <w:r>
        <w:rPr>
          <w:rFonts w:hint="eastAsia" w:eastAsia="仿宋_GB2312" w:cs="仿宋_GB2312"/>
          <w:sz w:val="32"/>
          <w:szCs w:val="32"/>
          <w:lang w:val="en-US" w:eastAsia="zh-CN"/>
        </w:rPr>
        <w:t>84.3</w:t>
      </w:r>
      <w:r>
        <w:rPr>
          <w:rFonts w:hint="eastAsia" w:eastAsia="仿宋_GB2312" w:cs="仿宋_GB2312"/>
          <w:sz w:val="32"/>
          <w:szCs w:val="32"/>
        </w:rPr>
        <w:t>%。</w:t>
      </w:r>
    </w:p>
    <w:p>
      <w:pPr>
        <w:spacing w:line="600" w:lineRule="exact"/>
        <w:ind w:firstLine="642"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pPr>
        <w:spacing w:line="600" w:lineRule="exact"/>
        <w:ind w:firstLine="640"/>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万元；公务用车购置及运行维护费支出决算</w:t>
      </w:r>
      <w:r>
        <w:rPr>
          <w:rFonts w:hint="eastAsia" w:ascii="仿宋_GB2312" w:hAnsi="仿宋_GB2312" w:eastAsia="仿宋_GB2312" w:cs="仿宋_GB2312"/>
          <w:sz w:val="32"/>
          <w:szCs w:val="32"/>
          <w:lang w:val="en-US" w:eastAsia="zh-CN"/>
        </w:rPr>
        <w:t>100.32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98.6</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1.41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%。具体情况如下：</w:t>
      </w:r>
    </w:p>
    <w:p>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w:t>
      </w:r>
      <w:r>
        <w:rPr>
          <w:rFonts w:hint="eastAsia" w:eastAsia="仿宋_GB2312" w:cs="仿宋_GB2312"/>
          <w:b/>
          <w:bCs/>
          <w:sz w:val="32"/>
          <w:szCs w:val="32"/>
          <w:lang w:eastAsia="zh-CN"/>
        </w:rPr>
        <w:t>。</w:t>
      </w:r>
    </w:p>
    <w:p>
      <w:pPr>
        <w:spacing w:line="600" w:lineRule="exact"/>
        <w:ind w:firstLine="640"/>
        <w:rPr>
          <w:rFonts w:hint="default" w:eastAsia="仿宋_GB2312" w:cs="仿宋_GB2312"/>
          <w:sz w:val="32"/>
          <w:szCs w:val="32"/>
          <w:lang w:val="en-US"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100.32</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公务用车购置及运行维护费支出决算比2023年度增加</w:t>
      </w:r>
      <w:r>
        <w:rPr>
          <w:rFonts w:hint="eastAsia" w:eastAsia="仿宋_GB2312" w:cs="仿宋_GB2312"/>
          <w:sz w:val="32"/>
          <w:szCs w:val="32"/>
          <w:lang w:val="en-US" w:eastAsia="zh-CN"/>
        </w:rPr>
        <w:t>47.36</w:t>
      </w:r>
      <w:r>
        <w:rPr>
          <w:rFonts w:hint="eastAsia" w:eastAsia="仿宋_GB2312" w:cs="仿宋_GB2312"/>
          <w:sz w:val="32"/>
          <w:szCs w:val="32"/>
        </w:rPr>
        <w:t>万元，增长</w:t>
      </w:r>
      <w:r>
        <w:rPr>
          <w:rFonts w:hint="eastAsia" w:eastAsia="仿宋_GB2312" w:cs="仿宋_GB2312"/>
          <w:sz w:val="32"/>
          <w:szCs w:val="32"/>
          <w:lang w:val="en-US" w:eastAsia="zh-CN"/>
        </w:rPr>
        <w:t>89.4</w:t>
      </w:r>
      <w:r>
        <w:rPr>
          <w:rFonts w:hint="eastAsia" w:eastAsia="仿宋_GB2312" w:cs="仿宋_GB2312"/>
          <w:sz w:val="32"/>
          <w:szCs w:val="32"/>
        </w:rPr>
        <w:t>%。主要原因是</w:t>
      </w:r>
      <w:r>
        <w:rPr>
          <w:rFonts w:hint="eastAsia" w:eastAsia="仿宋_GB2312" w:cs="仿宋_GB2312"/>
          <w:sz w:val="32"/>
          <w:szCs w:val="32"/>
          <w:lang w:val="en-US" w:eastAsia="zh-CN"/>
        </w:rPr>
        <w:t>2024年购买公务用车4辆。</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79</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4</w:t>
      </w:r>
      <w:r>
        <w:rPr>
          <w:rFonts w:hint="eastAsia" w:eastAsia="仿宋_GB2312" w:cs="仿宋_GB2312"/>
          <w:sz w:val="32"/>
          <w:szCs w:val="32"/>
        </w:rPr>
        <w:t>辆，其中：轿车</w:t>
      </w:r>
      <w:r>
        <w:rPr>
          <w:rFonts w:hint="eastAsia" w:eastAsia="仿宋_GB2312" w:cs="仿宋_GB2312"/>
          <w:sz w:val="32"/>
          <w:szCs w:val="32"/>
          <w:lang w:val="en-US" w:eastAsia="zh-CN"/>
        </w:rPr>
        <w:t>2</w:t>
      </w:r>
      <w:r>
        <w:rPr>
          <w:rFonts w:hint="eastAsia" w:eastAsia="仿宋_GB2312" w:cs="仿宋_GB2312"/>
          <w:sz w:val="32"/>
          <w:szCs w:val="32"/>
        </w:rPr>
        <w:t>辆、金额</w:t>
      </w:r>
      <w:r>
        <w:rPr>
          <w:rFonts w:hint="eastAsia" w:eastAsia="仿宋_GB2312" w:cs="仿宋_GB2312"/>
          <w:sz w:val="32"/>
          <w:szCs w:val="32"/>
          <w:lang w:val="en-US" w:eastAsia="zh-CN"/>
        </w:rPr>
        <w:t>36</w:t>
      </w:r>
      <w:r>
        <w:rPr>
          <w:rFonts w:hint="eastAsia" w:eastAsia="仿宋_GB2312" w:cs="仿宋_GB2312"/>
          <w:sz w:val="32"/>
          <w:szCs w:val="32"/>
        </w:rPr>
        <w:t>万元，越野车</w:t>
      </w:r>
      <w:r>
        <w:rPr>
          <w:rFonts w:hint="eastAsia" w:eastAsia="仿宋_GB2312" w:cs="仿宋_GB2312"/>
          <w:sz w:val="32"/>
          <w:szCs w:val="32"/>
          <w:lang w:val="en-US" w:eastAsia="zh-CN"/>
        </w:rPr>
        <w:t>2</w:t>
      </w:r>
      <w:r>
        <w:rPr>
          <w:rFonts w:hint="eastAsia" w:eastAsia="仿宋_GB2312" w:cs="仿宋_GB2312"/>
          <w:sz w:val="32"/>
          <w:szCs w:val="32"/>
        </w:rPr>
        <w:t>辆、金额</w:t>
      </w:r>
      <w:r>
        <w:rPr>
          <w:rFonts w:hint="eastAsia" w:eastAsia="仿宋_GB2312" w:cs="仿宋_GB2312"/>
          <w:sz w:val="32"/>
          <w:szCs w:val="32"/>
          <w:lang w:val="en-US" w:eastAsia="zh-CN"/>
        </w:rPr>
        <w:t>43</w:t>
      </w:r>
      <w:r>
        <w:rPr>
          <w:rFonts w:hint="eastAsia" w:eastAsia="仿宋_GB2312" w:cs="仿宋_GB2312"/>
          <w:sz w:val="32"/>
          <w:szCs w:val="32"/>
        </w:rPr>
        <w:t>万元，主要用于</w:t>
      </w:r>
      <w:r>
        <w:rPr>
          <w:rFonts w:hint="eastAsia" w:eastAsia="仿宋_GB2312" w:cs="仿宋_GB2312"/>
          <w:sz w:val="32"/>
          <w:szCs w:val="32"/>
          <w:lang w:eastAsia="zh-CN"/>
        </w:rPr>
        <w:t>执法办案</w:t>
      </w:r>
      <w:r>
        <w:rPr>
          <w:rFonts w:hint="eastAsia" w:eastAsia="仿宋_GB2312" w:cs="仿宋_GB2312"/>
          <w:sz w:val="32"/>
          <w:szCs w:val="32"/>
        </w:rPr>
        <w:t>。截至2024年12月31日，单位共有公务用车</w:t>
      </w:r>
      <w:r>
        <w:rPr>
          <w:rFonts w:hint="eastAsia" w:eastAsia="仿宋_GB2312" w:cs="仿宋_GB2312"/>
          <w:sz w:val="32"/>
          <w:szCs w:val="32"/>
          <w:lang w:val="en-US" w:eastAsia="zh-CN"/>
        </w:rPr>
        <w:t>15</w:t>
      </w:r>
      <w:r>
        <w:rPr>
          <w:rFonts w:hint="eastAsia" w:eastAsia="仿宋_GB2312" w:cs="仿宋_GB2312"/>
          <w:sz w:val="32"/>
          <w:szCs w:val="32"/>
        </w:rPr>
        <w:t>辆，其中：轿车</w:t>
      </w:r>
      <w:r>
        <w:rPr>
          <w:rFonts w:hint="eastAsia" w:eastAsia="仿宋_GB2312" w:cs="仿宋_GB2312"/>
          <w:sz w:val="32"/>
          <w:szCs w:val="32"/>
          <w:lang w:val="en-US" w:eastAsia="zh-CN"/>
        </w:rPr>
        <w:t>7</w:t>
      </w:r>
      <w:r>
        <w:rPr>
          <w:rFonts w:hint="eastAsia" w:eastAsia="仿宋_GB2312" w:cs="仿宋_GB2312"/>
          <w:sz w:val="32"/>
          <w:szCs w:val="32"/>
        </w:rPr>
        <w:t>辆、越野车</w:t>
      </w:r>
      <w:r>
        <w:rPr>
          <w:rFonts w:hint="eastAsia" w:eastAsia="仿宋_GB2312" w:cs="仿宋_GB2312"/>
          <w:sz w:val="32"/>
          <w:szCs w:val="32"/>
          <w:lang w:val="en-US" w:eastAsia="zh-CN"/>
        </w:rPr>
        <w:t>8</w:t>
      </w:r>
      <w:r>
        <w:rPr>
          <w:rFonts w:hint="eastAsia" w:eastAsia="仿宋_GB2312" w:cs="仿宋_GB2312"/>
          <w:sz w:val="32"/>
          <w:szCs w:val="32"/>
        </w:rPr>
        <w:t>辆、载客汽车</w:t>
      </w:r>
      <w:r>
        <w:rPr>
          <w:rFonts w:hint="eastAsia" w:eastAsia="仿宋_GB2312" w:cs="仿宋_GB2312"/>
          <w:sz w:val="32"/>
          <w:szCs w:val="32"/>
          <w:lang w:val="en-US" w:eastAsia="zh-CN"/>
        </w:rPr>
        <w:t>1</w:t>
      </w:r>
      <w:r>
        <w:rPr>
          <w:rFonts w:hint="eastAsia" w:eastAsia="仿宋_GB2312" w:cs="仿宋_GB2312"/>
          <w:sz w:val="32"/>
          <w:szCs w:val="32"/>
        </w:rPr>
        <w:t>辆。</w:t>
      </w:r>
    </w:p>
    <w:p>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21.32</w:t>
      </w:r>
      <w:r>
        <w:rPr>
          <w:rFonts w:hint="eastAsia" w:eastAsia="仿宋_GB2312" w:cs="仿宋_GB2312"/>
          <w:sz w:val="32"/>
          <w:szCs w:val="32"/>
        </w:rPr>
        <w:t>万元。主要用于</w:t>
      </w:r>
      <w:r>
        <w:rPr>
          <w:rFonts w:hint="eastAsia" w:eastAsia="仿宋_GB2312" w:cs="仿宋_GB2312"/>
          <w:sz w:val="32"/>
          <w:szCs w:val="32"/>
          <w:lang w:eastAsia="zh-CN"/>
        </w:rPr>
        <w:t>执法办案</w:t>
      </w:r>
      <w:r>
        <w:rPr>
          <w:rFonts w:hint="eastAsia" w:eastAsia="仿宋_GB2312" w:cs="仿宋_GB2312"/>
          <w:sz w:val="32"/>
          <w:szCs w:val="32"/>
        </w:rPr>
        <w:t>所需的公务用车燃料费、维修费、过路过桥费、保险费等支出。</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1.41</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0.83</w:t>
      </w:r>
      <w:r>
        <w:rPr>
          <w:rFonts w:hint="eastAsia" w:eastAsia="仿宋_GB2312" w:cs="仿宋_GB2312"/>
          <w:sz w:val="32"/>
          <w:szCs w:val="32"/>
        </w:rPr>
        <w:t>万元，下降</w:t>
      </w:r>
      <w:r>
        <w:rPr>
          <w:rFonts w:hint="eastAsia" w:eastAsia="仿宋_GB2312" w:cs="仿宋_GB2312"/>
          <w:sz w:val="32"/>
          <w:szCs w:val="32"/>
          <w:lang w:val="en-US" w:eastAsia="zh-CN"/>
        </w:rPr>
        <w:t>37.1</w:t>
      </w:r>
      <w:r>
        <w:rPr>
          <w:rFonts w:hint="eastAsia" w:eastAsia="仿宋_GB2312" w:cs="仿宋_GB2312"/>
          <w:sz w:val="32"/>
          <w:szCs w:val="32"/>
        </w:rPr>
        <w:t>%。主要原因是</w:t>
      </w:r>
      <w:r>
        <w:rPr>
          <w:rFonts w:hint="eastAsia" w:eastAsia="仿宋_GB2312" w:cs="仿宋_GB2312"/>
          <w:sz w:val="32"/>
          <w:szCs w:val="32"/>
          <w:lang w:eastAsia="zh-CN"/>
        </w:rPr>
        <w:t>严格落实中央八项规定精神，减少公务接待</w:t>
      </w:r>
      <w:r>
        <w:rPr>
          <w:rFonts w:hint="eastAsia" w:eastAsia="仿宋_GB2312" w:cs="仿宋_GB2312"/>
          <w:sz w:val="32"/>
          <w:szCs w:val="32"/>
        </w:rPr>
        <w:t>。其中：</w:t>
      </w:r>
    </w:p>
    <w:p>
      <w:pPr>
        <w:spacing w:line="600" w:lineRule="exact"/>
        <w:ind w:firstLine="640"/>
        <w:rPr>
          <w:rFonts w:hint="eastAsia"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1.41</w:t>
      </w:r>
      <w:r>
        <w:rPr>
          <w:rFonts w:hint="eastAsia" w:ascii="仿宋_GB2312" w:hAnsi="仿宋_GB2312" w:eastAsia="仿宋_GB2312" w:cs="仿宋_GB2312"/>
          <w:sz w:val="32"/>
          <w:szCs w:val="32"/>
        </w:rPr>
        <w:t>万</w:t>
      </w:r>
      <w:r>
        <w:rPr>
          <w:rFonts w:hint="eastAsia" w:eastAsia="仿宋_GB2312" w:cs="仿宋_GB2312"/>
          <w:sz w:val="32"/>
          <w:szCs w:val="32"/>
        </w:rPr>
        <w:t>元，主要用于</w:t>
      </w:r>
      <w:r>
        <w:rPr>
          <w:rFonts w:hint="eastAsia" w:eastAsia="仿宋_GB2312" w:cs="仿宋_GB2312"/>
          <w:sz w:val="32"/>
          <w:szCs w:val="32"/>
          <w:lang w:eastAsia="zh-CN"/>
        </w:rPr>
        <w:t>上级调研、执法办案等产生</w:t>
      </w:r>
      <w:r>
        <w:rPr>
          <w:rFonts w:hint="eastAsia" w:eastAsia="仿宋_GB2312" w:cs="仿宋_GB2312"/>
          <w:sz w:val="32"/>
          <w:szCs w:val="32"/>
        </w:rPr>
        <w:t>的交通费、住宿费、用餐费等。国内公务接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80</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1.41</w:t>
      </w:r>
      <w:r>
        <w:rPr>
          <w:rFonts w:hint="eastAsia" w:eastAsia="仿宋_GB2312" w:cs="仿宋_GB2312"/>
          <w:sz w:val="32"/>
          <w:szCs w:val="32"/>
        </w:rPr>
        <w:t>万元，具体内容包括：</w:t>
      </w:r>
      <w:r>
        <w:rPr>
          <w:rFonts w:hint="eastAsia" w:eastAsia="仿宋_GB2312" w:cs="仿宋_GB2312"/>
          <w:sz w:val="32"/>
          <w:szCs w:val="32"/>
          <w:lang w:eastAsia="zh-CN"/>
        </w:rPr>
        <w:t>上级法院调研、调警保障庭审</w:t>
      </w:r>
      <w:r>
        <w:rPr>
          <w:rFonts w:hint="eastAsia" w:eastAsia="仿宋_GB2312" w:cs="仿宋_GB2312"/>
          <w:sz w:val="32"/>
          <w:szCs w:val="32"/>
        </w:rPr>
        <w:t>。</w:t>
      </w:r>
      <w:bookmarkStart w:id="34" w:name="_Toc15396610"/>
      <w:bookmarkStart w:id="35" w:name="_Toc15377218"/>
    </w:p>
    <w:p>
      <w:pPr>
        <w:pStyle w:val="6"/>
      </w:pPr>
      <w:r>
        <w:drawing>
          <wp:inline distT="0" distB="0" distL="114300" distR="114300">
            <wp:extent cx="4190365" cy="2408555"/>
            <wp:effectExtent l="4445" t="4445" r="15240" b="6350"/>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w:t>
      </w:r>
    </w:p>
    <w:p>
      <w:pPr>
        <w:spacing w:line="600" w:lineRule="exact"/>
        <w:ind w:firstLine="640"/>
        <w:outlineLvl w:val="1"/>
        <w:rPr>
          <w:rFonts w:hint="eastAsia" w:eastAsia="黑体"/>
          <w:sz w:val="32"/>
          <w:szCs w:val="32"/>
        </w:rPr>
      </w:pPr>
    </w:p>
    <w:p>
      <w:pPr>
        <w:spacing w:line="600" w:lineRule="exact"/>
        <w:ind w:firstLine="640"/>
        <w:outlineLvl w:val="1"/>
        <w:rPr>
          <w:rStyle w:val="31"/>
          <w:rFonts w:ascii="Times New Roman" w:hAnsi="Times New Roman" w:eastAsia="黑体"/>
        </w:rPr>
      </w:pPr>
      <w:r>
        <w:rPr>
          <w:rFonts w:hint="eastAsia" w:eastAsia="黑体"/>
          <w:sz w:val="32"/>
          <w:szCs w:val="32"/>
        </w:rPr>
        <w:t>八、</w:t>
      </w:r>
      <w:r>
        <w:rPr>
          <w:rStyle w:val="31"/>
          <w:rFonts w:hint="eastAsia" w:ascii="Times New Roman" w:hAnsi="Times New Roman" w:eastAsia="黑体"/>
          <w:b w:val="0"/>
        </w:rPr>
        <w:t>政府性基金预算支出决算情况说明</w:t>
      </w:r>
      <w:bookmarkEnd w:id="34"/>
      <w:bookmarkEnd w:id="35"/>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600" w:lineRule="exact"/>
        <w:ind w:left="630"/>
        <w:outlineLvl w:val="1"/>
        <w:rPr>
          <w:rStyle w:val="31"/>
          <w:rFonts w:ascii="Times New Roman" w:hAnsi="Times New Roman" w:eastAsia="黑体"/>
          <w:b w:val="0"/>
        </w:rPr>
      </w:pPr>
      <w:bookmarkStart w:id="36" w:name="_Toc15377219"/>
      <w:bookmarkStart w:id="37" w:name="_Toc15396611"/>
      <w:r>
        <w:rPr>
          <w:rStyle w:val="31"/>
          <w:rFonts w:hint="eastAsia" w:ascii="Times New Roman" w:hAnsi="Times New Roman" w:eastAsia="黑体"/>
          <w:b w:val="0"/>
        </w:rPr>
        <w:t>九、国有资本经营预算支出决算情况说明</w:t>
      </w:r>
      <w:bookmarkEnd w:id="36"/>
      <w:bookmarkEnd w:id="37"/>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600" w:lineRule="exact"/>
        <w:ind w:left="630"/>
        <w:outlineLvl w:val="1"/>
        <w:rPr>
          <w:rStyle w:val="31"/>
          <w:rFonts w:ascii="Times New Roman" w:hAnsi="Times New Roman" w:eastAsia="黑体"/>
          <w:b w:val="0"/>
        </w:rPr>
      </w:pPr>
      <w:bookmarkStart w:id="38" w:name="_Toc15396612"/>
      <w:bookmarkStart w:id="39" w:name="_Toc15377221"/>
      <w:r>
        <w:rPr>
          <w:rStyle w:val="31"/>
          <w:rFonts w:hint="eastAsia" w:ascii="Times New Roman" w:hAnsi="Times New Roman" w:eastAsia="黑体"/>
          <w:b w:val="0"/>
        </w:rPr>
        <w:t>十、其他重要事项的情况说明</w:t>
      </w:r>
      <w:bookmarkEnd w:id="38"/>
      <w:bookmarkEnd w:id="39"/>
    </w:p>
    <w:p>
      <w:pPr>
        <w:spacing w:line="600" w:lineRule="exact"/>
        <w:ind w:firstLine="642"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eastAsia="zh-CN"/>
        </w:rPr>
        <w:t>汶川县人民法院</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182.59</w:t>
      </w:r>
      <w:r>
        <w:rPr>
          <w:rFonts w:hint="eastAsia" w:ascii="仿宋_GB2312" w:hAnsi="仿宋_GB2312" w:eastAsia="仿宋_GB2312" w:cs="仿宋_GB2312"/>
          <w:sz w:val="32"/>
          <w:szCs w:val="32"/>
        </w:rPr>
        <w:t>万</w:t>
      </w:r>
      <w:r>
        <w:rPr>
          <w:rFonts w:hint="eastAsia" w:eastAsia="仿宋_GB2312" w:cs="仿宋_GB2312"/>
          <w:sz w:val="32"/>
          <w:szCs w:val="32"/>
        </w:rPr>
        <w:t>元，比2023年度增加</w:t>
      </w:r>
      <w:r>
        <w:rPr>
          <w:rFonts w:hint="eastAsia" w:eastAsia="仿宋_GB2312" w:cs="仿宋_GB2312"/>
          <w:sz w:val="32"/>
          <w:szCs w:val="32"/>
          <w:lang w:val="en-US" w:eastAsia="zh-CN"/>
        </w:rPr>
        <w:t>28.22</w:t>
      </w:r>
      <w:r>
        <w:rPr>
          <w:rFonts w:hint="eastAsia" w:eastAsia="仿宋_GB2312" w:cs="仿宋_GB2312"/>
          <w:sz w:val="32"/>
          <w:szCs w:val="32"/>
        </w:rPr>
        <w:t>万元，增长</w:t>
      </w:r>
      <w:r>
        <w:rPr>
          <w:rFonts w:hint="eastAsia" w:eastAsia="仿宋_GB2312" w:cs="仿宋_GB2312"/>
          <w:sz w:val="32"/>
          <w:szCs w:val="32"/>
          <w:lang w:val="en-US" w:eastAsia="zh-CN"/>
        </w:rPr>
        <w:t>18.3</w:t>
      </w:r>
      <w:r>
        <w:rPr>
          <w:rFonts w:hint="eastAsia" w:eastAsia="仿宋_GB2312" w:cs="仿宋_GB2312"/>
          <w:sz w:val="32"/>
          <w:szCs w:val="32"/>
        </w:rPr>
        <w:t>%。主要原因是</w:t>
      </w: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34</w:t>
      </w:r>
      <w:r>
        <w:rPr>
          <w:rFonts w:hint="eastAsia" w:ascii="仿宋_GB2312" w:hAnsi="仿宋_GB2312" w:eastAsia="仿宋_GB2312" w:cs="仿宋_GB2312"/>
          <w:sz w:val="32"/>
          <w:szCs w:val="32"/>
          <w:shd w:val="clear" w:fill="FFFFFF"/>
          <w:lang w:eastAsia="zh-CN"/>
        </w:rPr>
        <w:t>年人均预算公用经费较</w:t>
      </w:r>
      <w:r>
        <w:rPr>
          <w:rFonts w:hint="eastAsia" w:ascii="仿宋_GB2312" w:hAnsi="仿宋_GB2312" w:eastAsia="仿宋_GB2312" w:cs="仿宋_GB2312"/>
          <w:sz w:val="32"/>
          <w:szCs w:val="32"/>
          <w:shd w:val="clear" w:fill="FFFFFF"/>
          <w:lang w:val="en-US" w:eastAsia="zh-CN"/>
        </w:rPr>
        <w:t>2023年有所增长。</w:t>
      </w:r>
    </w:p>
    <w:p>
      <w:pPr>
        <w:spacing w:line="600" w:lineRule="exact"/>
        <w:ind w:firstLine="642"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eastAsia="zh-CN"/>
        </w:rPr>
        <w:t>汶川县人民法院</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204.45</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204.45</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购买档案设备、台式计算机、材料收转云柜、碎纸机</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204.46</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spacing w:line="600" w:lineRule="exact"/>
        <w:ind w:firstLine="642"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仿宋_GB2312" w:hAnsi="仿宋_GB2312" w:eastAsia="仿宋_GB2312" w:cs="仿宋_GB2312"/>
          <w:sz w:val="32"/>
          <w:szCs w:val="32"/>
          <w:lang w:eastAsia="zh-CN"/>
        </w:rPr>
        <w:t>汶川县人民法院</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辆，其中：主要负责人用车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其他用车</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辆，其他用车主要是用于</w:t>
      </w:r>
      <w:r>
        <w:rPr>
          <w:rFonts w:hint="eastAsia" w:ascii="仿宋_GB2312" w:hAnsi="仿宋_GB2312" w:eastAsia="仿宋_GB2312" w:cs="仿宋_GB2312"/>
          <w:sz w:val="32"/>
          <w:szCs w:val="32"/>
          <w:lang w:eastAsia="zh-CN"/>
        </w:rPr>
        <w:t>执法执勤用车</w:t>
      </w:r>
      <w:r>
        <w:rPr>
          <w:rFonts w:hint="eastAsia" w:ascii="仿宋_GB2312" w:hAnsi="仿宋_GB2312" w:eastAsia="仿宋_GB2312" w:cs="仿宋_GB2312"/>
          <w:sz w:val="32"/>
          <w:szCs w:val="32"/>
        </w:rPr>
        <w:t>。单价100万元（含）以上设备（不含车辆）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pPr>
        <w:spacing w:line="600" w:lineRule="exact"/>
        <w:ind w:firstLine="642"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eastAsia="zh-CN"/>
        </w:rPr>
        <w:t>汶川县人民法院</w:t>
      </w:r>
      <w:r>
        <w:rPr>
          <w:rFonts w:hint="eastAsia" w:eastAsia="仿宋_GB2312" w:cs="仿宋_GB2312"/>
          <w:sz w:val="32"/>
          <w:szCs w:val="32"/>
        </w:rPr>
        <w:t>在2024年度预算编制阶段，组织对</w:t>
      </w:r>
      <w:r>
        <w:rPr>
          <w:rFonts w:hint="eastAsia" w:eastAsia="仿宋_GB2312" w:cs="仿宋_GB2312"/>
          <w:sz w:val="32"/>
          <w:szCs w:val="32"/>
          <w:lang w:eastAsia="zh-CN"/>
        </w:rPr>
        <w:t>办案业务经费</w:t>
      </w:r>
      <w:r>
        <w:rPr>
          <w:rFonts w:hint="eastAsia" w:eastAsia="仿宋_GB2312" w:cs="仿宋_GB2312"/>
          <w:sz w:val="32"/>
          <w:szCs w:val="32"/>
        </w:rPr>
        <w:t>等</w:t>
      </w:r>
      <w:r>
        <w:rPr>
          <w:rFonts w:hint="eastAsia" w:eastAsia="仿宋_GB2312" w:cs="仿宋_GB2312"/>
          <w:sz w:val="32"/>
          <w:szCs w:val="32"/>
          <w:lang w:val="en-US" w:eastAsia="zh-CN"/>
        </w:rPr>
        <w:t>3</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3</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3</w:t>
      </w:r>
      <w:r>
        <w:rPr>
          <w:rFonts w:hint="eastAsia" w:eastAsia="仿宋_GB2312" w:cs="仿宋_GB2312"/>
          <w:sz w:val="32"/>
          <w:szCs w:val="32"/>
        </w:rPr>
        <w:t>个项目开展绩效监控。</w:t>
      </w:r>
    </w:p>
    <w:p>
      <w:pPr>
        <w:spacing w:line="600" w:lineRule="exact"/>
        <w:ind w:firstLine="640"/>
        <w:rPr>
          <w:rFonts w:hint="eastAsia" w:eastAsia="仿宋_GB2312" w:cs="仿宋_GB2312"/>
          <w:sz w:val="32"/>
          <w:szCs w:val="32"/>
          <w:highlight w:val="none"/>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eastAsia="仿宋_GB2312" w:cs="仿宋_GB2312"/>
          <w:sz w:val="32"/>
          <w:szCs w:val="32"/>
          <w:lang w:eastAsia="zh-CN"/>
        </w:rPr>
        <w:t>汶川县人民法院</w:t>
      </w:r>
      <w:r>
        <w:rPr>
          <w:rFonts w:hint="eastAsia" w:eastAsia="仿宋_GB2312" w:cs="仿宋_GB2312"/>
          <w:sz w:val="32"/>
          <w:szCs w:val="32"/>
        </w:rPr>
        <w:t>整体绩效自评报告</w:t>
      </w:r>
      <w:r>
        <w:rPr>
          <w:rFonts w:hint="eastAsia" w:eastAsia="仿宋_GB2312" w:cs="仿宋_GB2312"/>
          <w:sz w:val="32"/>
          <w:szCs w:val="32"/>
          <w:lang w:eastAsia="zh-CN"/>
        </w:rPr>
        <w:t>，</w:t>
      </w:r>
      <w:r>
        <w:rPr>
          <w:rFonts w:hint="eastAsia" w:eastAsia="仿宋_GB2312" w:cs="仿宋_GB2312"/>
          <w:sz w:val="32"/>
          <w:szCs w:val="32"/>
        </w:rPr>
        <w:t>部门整体（含部门预算项目）绩效自评得分为</w:t>
      </w:r>
      <w:r>
        <w:rPr>
          <w:rFonts w:hint="eastAsia" w:eastAsia="仿宋_GB2312" w:cs="仿宋_GB2312"/>
          <w:sz w:val="32"/>
          <w:szCs w:val="32"/>
          <w:lang w:val="en-US" w:eastAsia="zh-CN"/>
        </w:rPr>
        <w:t>90.6</w:t>
      </w:r>
      <w:r>
        <w:rPr>
          <w:rFonts w:hint="eastAsia" w:eastAsia="仿宋_GB2312" w:cs="仿宋_GB2312"/>
          <w:sz w:val="32"/>
          <w:szCs w:val="32"/>
        </w:rPr>
        <w:t>分。</w:t>
      </w:r>
      <w:r>
        <w:rPr>
          <w:rFonts w:hint="eastAsia" w:eastAsia="仿宋_GB2312" w:cs="仿宋_GB2312"/>
          <w:sz w:val="32"/>
          <w:szCs w:val="32"/>
          <w:highlight w:val="none"/>
        </w:rPr>
        <w:t>绩效自评报告详见附件。</w:t>
      </w:r>
    </w:p>
    <w:p>
      <w:pPr>
        <w:pStyle w:val="2"/>
      </w:pPr>
    </w:p>
    <w:p>
      <w:pPr>
        <w:spacing w:line="600" w:lineRule="exact"/>
        <w:jc w:val="center"/>
        <w:outlineLvl w:val="0"/>
        <w:rPr>
          <w:rFonts w:eastAsia="黑体"/>
          <w:sz w:val="44"/>
          <w:szCs w:val="44"/>
        </w:rPr>
      </w:pPr>
      <w:bookmarkStart w:id="43" w:name="_Toc15377225"/>
      <w:bookmarkStart w:id="44" w:name="_Toc15396613"/>
      <w:r>
        <w:rPr>
          <w:rFonts w:hint="eastAsia" w:eastAsia="黑体"/>
          <w:sz w:val="44"/>
          <w:szCs w:val="44"/>
        </w:rPr>
        <w:t>第三部分  名词解释</w:t>
      </w:r>
      <w:bookmarkEnd w:id="43"/>
      <w:bookmarkEnd w:id="44"/>
    </w:p>
    <w:p>
      <w:pPr>
        <w:spacing w:line="600" w:lineRule="exact"/>
        <w:jc w:val="left"/>
        <w:rPr>
          <w:b/>
          <w:sz w:val="44"/>
          <w:szCs w:val="44"/>
        </w:rPr>
      </w:pPr>
    </w:p>
    <w:p>
      <w:pPr>
        <w:pStyle w:val="16"/>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1.</w:t>
      </w:r>
      <w:r>
        <w:rPr>
          <w:rFonts w:hint="eastAsia" w:ascii="仿宋_GB2312" w:hAnsi="仿宋_GB2312" w:eastAsia="仿宋_GB2312" w:cs="仿宋_GB2312"/>
          <w:sz w:val="32"/>
          <w:szCs w:val="32"/>
          <w:shd w:val="clear" w:fill="FFFFFF"/>
          <w:lang w:eastAsia="zh-CN"/>
        </w:rPr>
        <w:t>财政拨款收入：指单位从同级财政部门取得的财政预算资金。</w:t>
      </w:r>
    </w:p>
    <w:p>
      <w:pPr>
        <w:pStyle w:val="16"/>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2.</w:t>
      </w:r>
      <w:r>
        <w:rPr>
          <w:rFonts w:hint="eastAsia" w:ascii="仿宋_GB2312" w:hAnsi="仿宋_GB2312" w:eastAsia="仿宋_GB2312" w:cs="仿宋_GB2312"/>
          <w:sz w:val="32"/>
          <w:szCs w:val="32"/>
          <w:shd w:val="clear" w:fill="FFFFFF"/>
          <w:lang w:eastAsia="zh-CN"/>
        </w:rPr>
        <w:t>事业收入：指事业单位开展专业业务活动及辅助活动取得的收入。</w:t>
      </w:r>
    </w:p>
    <w:p>
      <w:pPr>
        <w:pStyle w:val="16"/>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val="en-US"/>
        </w:rPr>
        <w:t>3.</w:t>
      </w:r>
      <w:r>
        <w:rPr>
          <w:rFonts w:hint="eastAsia" w:ascii="仿宋_GB2312" w:hAnsi="仿宋_GB2312" w:eastAsia="仿宋_GB2312" w:cs="仿宋_GB2312"/>
          <w:sz w:val="32"/>
          <w:szCs w:val="32"/>
          <w:shd w:val="clear" w:fill="FFFFFF"/>
          <w:lang w:eastAsia="zh-CN"/>
        </w:rPr>
        <w:t>经营收入：指事业单位在专业业务活动及其辅助活动之外开展非独立核算经营活动取得的收入。</w:t>
      </w:r>
    </w:p>
    <w:p>
      <w:pPr>
        <w:pStyle w:val="16"/>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4.</w:t>
      </w:r>
      <w:r>
        <w:rPr>
          <w:rFonts w:hint="eastAsia" w:ascii="仿宋_GB2312" w:hAnsi="仿宋_GB2312" w:eastAsia="仿宋_GB2312" w:cs="仿宋_GB2312"/>
          <w:sz w:val="32"/>
          <w:szCs w:val="32"/>
          <w:shd w:val="clear" w:fill="FFFFFF"/>
          <w:lang w:eastAsia="zh-CN"/>
        </w:rPr>
        <w:t>其他收入：指单位取得的除上述收入以外的各项收入。主要是县级财政拨款、其他单位援助资金等。</w:t>
      </w:r>
    </w:p>
    <w:p>
      <w:pPr>
        <w:pStyle w:val="16"/>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5.</w:t>
      </w:r>
      <w:r>
        <w:rPr>
          <w:rFonts w:hint="eastAsia" w:ascii="仿宋_GB2312" w:hAnsi="仿宋_GB2312" w:eastAsia="仿宋_GB2312" w:cs="仿宋_GB2312"/>
          <w:sz w:val="32"/>
          <w:szCs w:val="32"/>
          <w:shd w:val="clear" w:fill="FFFFFF"/>
          <w:lang w:eastAsia="zh-CN"/>
        </w:rPr>
        <w:t>使用非财政拨款结余：指事业单位使用以前年度积累的非财政拨款结余弥补当年收支差额的金额。</w:t>
      </w:r>
    </w:p>
    <w:p>
      <w:pPr>
        <w:pStyle w:val="16"/>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6.</w:t>
      </w:r>
      <w:r>
        <w:rPr>
          <w:rFonts w:hint="eastAsia" w:ascii="仿宋_GB2312" w:hAnsi="仿宋_GB2312" w:eastAsia="仿宋_GB2312" w:cs="仿宋_GB2312"/>
          <w:sz w:val="32"/>
          <w:szCs w:val="32"/>
          <w:shd w:val="clear" w:fill="FFFFFF"/>
          <w:lang w:eastAsia="zh-CN"/>
        </w:rPr>
        <w:t>年初结转和结余：指以前年度尚未完成、结转到本年按有关规定继续使用的资金。</w:t>
      </w:r>
    </w:p>
    <w:p>
      <w:pPr>
        <w:pStyle w:val="16"/>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7.</w:t>
      </w:r>
      <w:r>
        <w:rPr>
          <w:rFonts w:hint="eastAsia" w:ascii="仿宋_GB2312" w:hAnsi="仿宋_GB2312" w:eastAsia="仿宋_GB2312" w:cs="仿宋_GB2312"/>
          <w:sz w:val="32"/>
          <w:szCs w:val="32"/>
          <w:shd w:val="clear" w:fill="FFFFFF"/>
          <w:lang w:eastAsia="zh-CN"/>
        </w:rPr>
        <w:t>结余分配：指事业单位按照会计制度规定缴纳的所得税、提取的专用结余以及转入非财政拨款结余的金额等。</w:t>
      </w:r>
    </w:p>
    <w:p>
      <w:pPr>
        <w:pStyle w:val="16"/>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8</w:t>
      </w:r>
      <w:r>
        <w:rPr>
          <w:rFonts w:hint="eastAsia" w:ascii="仿宋_GB2312" w:hAnsi="仿宋_GB2312" w:eastAsia="仿宋_GB2312" w:cs="仿宋_GB2312"/>
          <w:sz w:val="32"/>
          <w:szCs w:val="32"/>
          <w:shd w:val="clear" w:fill="FFFFFF"/>
          <w:lang w:eastAsia="zh-CN"/>
        </w:rPr>
        <w:t>、年末结转和结余：指单位按有关规定结转到下年或以后年度继续使用的资金。</w:t>
      </w:r>
    </w:p>
    <w:p>
      <w:pPr>
        <w:pStyle w:val="16"/>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9.</w:t>
      </w:r>
      <w:r>
        <w:rPr>
          <w:rFonts w:hint="eastAsia" w:ascii="仿宋_GB2312" w:hAnsi="仿宋_GB2312" w:eastAsia="仿宋_GB2312" w:cs="仿宋_GB2312"/>
          <w:sz w:val="32"/>
          <w:szCs w:val="32"/>
          <w:shd w:val="clear" w:fill="FFFFFF"/>
          <w:lang w:eastAsia="zh-CN"/>
        </w:rPr>
        <w:t>一般公共服务（类）</w:t>
      </w:r>
      <w:r>
        <w:rPr>
          <w:rFonts w:hint="eastAsia" w:ascii="仿宋_GB2312" w:hAnsi="仿宋_GB2312" w:eastAsia="仿宋_GB2312" w:cs="仿宋_GB2312"/>
          <w:sz w:val="32"/>
          <w:szCs w:val="32"/>
          <w:shd w:val="clear" w:fill="FFFFFF"/>
          <w:lang w:val="en-US"/>
        </w:rPr>
        <w:t>201</w:t>
      </w:r>
      <w:r>
        <w:rPr>
          <w:rFonts w:hint="eastAsia" w:ascii="仿宋_GB2312" w:hAnsi="仿宋_GB2312" w:eastAsia="仿宋_GB2312" w:cs="仿宋_GB2312"/>
          <w:sz w:val="32"/>
          <w:szCs w:val="32"/>
          <w:shd w:val="clear" w:fill="FFFFFF"/>
          <w:lang w:eastAsia="zh-CN"/>
        </w:rPr>
        <w:t>（款）</w:t>
      </w:r>
      <w:r>
        <w:rPr>
          <w:rFonts w:hint="eastAsia" w:ascii="仿宋_GB2312" w:hAnsi="仿宋_GB2312" w:eastAsia="仿宋_GB2312" w:cs="仿宋_GB2312"/>
          <w:sz w:val="32"/>
          <w:szCs w:val="32"/>
          <w:shd w:val="clear" w:fill="FFFFFF"/>
          <w:lang w:val="en-US"/>
        </w:rPr>
        <w:t>06</w:t>
      </w:r>
      <w:r>
        <w:rPr>
          <w:rFonts w:hint="eastAsia" w:ascii="仿宋_GB2312" w:hAnsi="仿宋_GB2312" w:eastAsia="仿宋_GB2312" w:cs="仿宋_GB2312"/>
          <w:sz w:val="32"/>
          <w:szCs w:val="32"/>
          <w:shd w:val="clear" w:fill="FFFFFF"/>
          <w:lang w:eastAsia="zh-CN"/>
        </w:rPr>
        <w:t>（项）</w:t>
      </w:r>
      <w:r>
        <w:rPr>
          <w:rFonts w:hint="eastAsia" w:ascii="仿宋_GB2312" w:hAnsi="仿宋_GB2312" w:eastAsia="仿宋_GB2312" w:cs="仿宋_GB2312"/>
          <w:sz w:val="32"/>
          <w:szCs w:val="32"/>
          <w:shd w:val="clear" w:fill="FFFFFF"/>
          <w:lang w:val="en-US"/>
        </w:rPr>
        <w:t>01</w:t>
      </w:r>
      <w:r>
        <w:rPr>
          <w:rFonts w:hint="eastAsia" w:ascii="仿宋_GB2312" w:hAnsi="仿宋_GB2312" w:eastAsia="仿宋_GB2312" w:cs="仿宋_GB2312"/>
          <w:sz w:val="32"/>
          <w:szCs w:val="32"/>
          <w:shd w:val="clear" w:fill="FFFFFF"/>
          <w:lang w:eastAsia="zh-CN"/>
        </w:rPr>
        <w:t>：指反映行政单位（包括实行公务员管理的事业单位）的基本支出。</w:t>
      </w:r>
    </w:p>
    <w:p>
      <w:pPr>
        <w:pStyle w:val="16"/>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10.</w:t>
      </w:r>
      <w:r>
        <w:rPr>
          <w:rFonts w:hint="eastAsia" w:ascii="仿宋_GB2312" w:hAnsi="仿宋_GB2312" w:eastAsia="仿宋_GB2312" w:cs="仿宋_GB2312"/>
          <w:sz w:val="32"/>
          <w:szCs w:val="32"/>
          <w:shd w:val="clear" w:fill="FFFFFF"/>
          <w:lang w:eastAsia="zh-CN"/>
        </w:rPr>
        <w:t>一般公共服务（类）</w:t>
      </w:r>
      <w:r>
        <w:rPr>
          <w:rFonts w:hint="eastAsia" w:ascii="仿宋_GB2312" w:hAnsi="仿宋_GB2312" w:eastAsia="仿宋_GB2312" w:cs="仿宋_GB2312"/>
          <w:sz w:val="32"/>
          <w:szCs w:val="32"/>
          <w:shd w:val="clear" w:fill="FFFFFF"/>
          <w:lang w:val="en-US"/>
        </w:rPr>
        <w:t>201</w:t>
      </w:r>
      <w:r>
        <w:rPr>
          <w:rFonts w:hint="eastAsia" w:ascii="仿宋_GB2312" w:hAnsi="仿宋_GB2312" w:eastAsia="仿宋_GB2312" w:cs="仿宋_GB2312"/>
          <w:sz w:val="32"/>
          <w:szCs w:val="32"/>
          <w:shd w:val="clear" w:fill="FFFFFF"/>
          <w:lang w:eastAsia="zh-CN"/>
        </w:rPr>
        <w:t>（款）</w:t>
      </w:r>
      <w:r>
        <w:rPr>
          <w:rFonts w:hint="eastAsia" w:ascii="仿宋_GB2312" w:hAnsi="仿宋_GB2312" w:eastAsia="仿宋_GB2312" w:cs="仿宋_GB2312"/>
          <w:sz w:val="32"/>
          <w:szCs w:val="32"/>
          <w:shd w:val="clear" w:fill="FFFFFF"/>
          <w:lang w:val="en-US"/>
        </w:rPr>
        <w:t>06</w:t>
      </w:r>
      <w:r>
        <w:rPr>
          <w:rFonts w:hint="eastAsia" w:ascii="仿宋_GB2312" w:hAnsi="仿宋_GB2312" w:eastAsia="仿宋_GB2312" w:cs="仿宋_GB2312"/>
          <w:sz w:val="32"/>
          <w:szCs w:val="32"/>
          <w:shd w:val="clear" w:fill="FFFFFF"/>
          <w:lang w:eastAsia="zh-CN"/>
        </w:rPr>
        <w:t>（项）</w:t>
      </w:r>
      <w:r>
        <w:rPr>
          <w:rFonts w:hint="eastAsia" w:ascii="仿宋_GB2312" w:hAnsi="仿宋_GB2312" w:eastAsia="仿宋_GB2312" w:cs="仿宋_GB2312"/>
          <w:sz w:val="32"/>
          <w:szCs w:val="32"/>
          <w:shd w:val="clear" w:fill="FFFFFF"/>
          <w:lang w:val="en-US"/>
        </w:rPr>
        <w:t xml:space="preserve">02: </w:t>
      </w:r>
      <w:r>
        <w:rPr>
          <w:rFonts w:hint="eastAsia" w:ascii="仿宋_GB2312" w:hAnsi="仿宋_GB2312" w:eastAsia="仿宋_GB2312" w:cs="仿宋_GB2312"/>
          <w:sz w:val="32"/>
          <w:szCs w:val="32"/>
          <w:shd w:val="clear" w:fill="FFFFFF"/>
          <w:lang w:eastAsia="zh-CN"/>
        </w:rPr>
        <w:t>指反映行政单位（包括实行公务员管理的事业单位）未单独设置项级科目的其他项目支出。</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11.</w:t>
      </w:r>
      <w:r>
        <w:rPr>
          <w:rFonts w:hint="eastAsia" w:ascii="仿宋_GB2312" w:hAnsi="仿宋_GB2312" w:eastAsia="仿宋_GB2312" w:cs="仿宋_GB2312"/>
          <w:sz w:val="32"/>
          <w:szCs w:val="32"/>
          <w:lang w:eastAsia="zh-CN"/>
        </w:rPr>
        <w:t>一般公共服务（类）</w:t>
      </w:r>
      <w:r>
        <w:rPr>
          <w:rFonts w:hint="eastAsia" w:ascii="仿宋_GB2312" w:hAnsi="仿宋_GB2312" w:eastAsia="仿宋_GB2312" w:cs="仿宋_GB2312"/>
          <w:sz w:val="32"/>
          <w:szCs w:val="32"/>
          <w:lang w:val="en-US"/>
        </w:rPr>
        <w:t>201</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lang w:val="en-US"/>
        </w:rPr>
        <w:t>06</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lang w:val="en-US"/>
        </w:rPr>
        <w:t>05</w:t>
      </w:r>
      <w:r>
        <w:rPr>
          <w:rFonts w:hint="eastAsia" w:ascii="仿宋_GB2312" w:hAnsi="仿宋_GB2312" w:eastAsia="仿宋_GB2312" w:cs="仿宋_GB2312"/>
          <w:sz w:val="32"/>
          <w:szCs w:val="32"/>
          <w:lang w:eastAsia="zh-CN"/>
        </w:rPr>
        <w:t>：指反映财政部门用于财政国库集中支付收付业务方面的支出。</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lang w:eastAsia="zh-CN"/>
        </w:rPr>
        <w:t>社会保障和就业（类）</w:t>
      </w:r>
      <w:r>
        <w:rPr>
          <w:rFonts w:hint="eastAsia" w:ascii="仿宋_GB2312" w:hAnsi="仿宋_GB2312" w:eastAsia="仿宋_GB2312" w:cs="仿宋_GB2312"/>
          <w:sz w:val="32"/>
          <w:szCs w:val="32"/>
          <w:lang w:val="en-US"/>
        </w:rPr>
        <w:t>208</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lang w:val="en-US"/>
        </w:rPr>
        <w:t>05</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lang w:val="en-US"/>
        </w:rPr>
        <w:t>05</w:t>
      </w:r>
      <w:r>
        <w:rPr>
          <w:rFonts w:hint="eastAsia" w:ascii="仿宋_GB2312" w:hAnsi="仿宋_GB2312" w:eastAsia="仿宋_GB2312" w:cs="仿宋_GB2312"/>
          <w:sz w:val="32"/>
          <w:szCs w:val="32"/>
          <w:lang w:eastAsia="zh-CN"/>
        </w:rPr>
        <w:t>：指反映机关事业单位实施养老保险制度由单位缴纳的职业年金支出。</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13.</w:t>
      </w:r>
      <w:r>
        <w:rPr>
          <w:rFonts w:hint="eastAsia" w:ascii="仿宋_GB2312" w:hAnsi="仿宋_GB2312" w:eastAsia="仿宋_GB2312" w:cs="仿宋_GB2312"/>
          <w:sz w:val="32"/>
          <w:szCs w:val="32"/>
          <w:lang w:eastAsia="zh-CN"/>
        </w:rPr>
        <w:t>社会保障和就业（类）</w:t>
      </w:r>
      <w:r>
        <w:rPr>
          <w:rFonts w:hint="eastAsia" w:ascii="仿宋_GB2312" w:hAnsi="仿宋_GB2312" w:eastAsia="仿宋_GB2312" w:cs="仿宋_GB2312"/>
          <w:sz w:val="32"/>
          <w:szCs w:val="32"/>
          <w:lang w:val="en-US"/>
        </w:rPr>
        <w:t>208</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lang w:val="en-US"/>
        </w:rPr>
        <w:t>05</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lang w:val="en-US"/>
        </w:rPr>
        <w:t>06</w:t>
      </w:r>
      <w:r>
        <w:rPr>
          <w:rFonts w:hint="eastAsia" w:ascii="仿宋_GB2312" w:hAnsi="仿宋_GB2312" w:eastAsia="仿宋_GB2312" w:cs="仿宋_GB2312"/>
          <w:sz w:val="32"/>
          <w:szCs w:val="32"/>
          <w:lang w:eastAsia="zh-CN"/>
        </w:rPr>
        <w:t>：指反映机关事业单位实施养老保险制度由单位实际缴纳的基本养老保险费支出。</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14.</w:t>
      </w:r>
      <w:r>
        <w:rPr>
          <w:rFonts w:hint="eastAsia" w:ascii="仿宋_GB2312" w:hAnsi="仿宋_GB2312" w:eastAsia="仿宋_GB2312" w:cs="仿宋_GB2312"/>
          <w:sz w:val="32"/>
          <w:szCs w:val="32"/>
          <w:lang w:eastAsia="zh-CN"/>
        </w:rPr>
        <w:t>卫生健康（类）</w:t>
      </w:r>
      <w:r>
        <w:rPr>
          <w:rFonts w:hint="eastAsia" w:ascii="仿宋_GB2312" w:hAnsi="仿宋_GB2312" w:eastAsia="仿宋_GB2312" w:cs="仿宋_GB2312"/>
          <w:sz w:val="32"/>
          <w:szCs w:val="32"/>
          <w:lang w:val="en-US"/>
        </w:rPr>
        <w:t>210</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lang w:val="en-US"/>
        </w:rPr>
        <w:t>11</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lang w:val="en-US"/>
        </w:rPr>
        <w:t>01</w:t>
      </w:r>
      <w:r>
        <w:rPr>
          <w:rFonts w:hint="eastAsia" w:ascii="仿宋_GB2312" w:hAnsi="仿宋_GB2312" w:eastAsia="仿宋_GB2312" w:cs="仿宋_GB2312"/>
          <w:sz w:val="32"/>
          <w:szCs w:val="32"/>
          <w:lang w:eastAsia="zh-CN"/>
        </w:rPr>
        <w:t>：反映财政部门安排的行政单位</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包括实行公务员管理的事业单位，下同</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基本医疗保险缴费经费，未参加医疗保险的行政单位的公费医疗经费，按国家规定享受离休人员、红军老战士待遇人员的医疗经费。</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15.</w:t>
      </w:r>
      <w:r>
        <w:rPr>
          <w:rFonts w:hint="eastAsia" w:ascii="仿宋_GB2312" w:hAnsi="仿宋_GB2312" w:eastAsia="仿宋_GB2312" w:cs="仿宋_GB2312"/>
          <w:sz w:val="32"/>
          <w:szCs w:val="32"/>
          <w:lang w:eastAsia="zh-CN"/>
        </w:rPr>
        <w:t>卫生健康（类）</w:t>
      </w:r>
      <w:r>
        <w:rPr>
          <w:rFonts w:hint="eastAsia" w:ascii="仿宋_GB2312" w:hAnsi="仿宋_GB2312" w:eastAsia="仿宋_GB2312" w:cs="仿宋_GB2312"/>
          <w:sz w:val="32"/>
          <w:szCs w:val="32"/>
          <w:lang w:val="en-US"/>
        </w:rPr>
        <w:t>210</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lang w:val="en-US"/>
        </w:rPr>
        <w:t>11</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lang w:val="en-US"/>
        </w:rPr>
        <w:t>03</w:t>
      </w:r>
      <w:r>
        <w:rPr>
          <w:rFonts w:hint="eastAsia" w:ascii="仿宋_GB2312" w:hAnsi="仿宋_GB2312" w:eastAsia="仿宋_GB2312" w:cs="仿宋_GB2312"/>
          <w:sz w:val="32"/>
          <w:szCs w:val="32"/>
          <w:lang w:eastAsia="zh-CN"/>
        </w:rPr>
        <w:t>：反映财政部门安排的公务员医疗补助经费。</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16.</w:t>
      </w:r>
      <w:r>
        <w:rPr>
          <w:rFonts w:hint="eastAsia" w:ascii="仿宋_GB2312" w:hAnsi="仿宋_GB2312" w:eastAsia="仿宋_GB2312" w:cs="仿宋_GB2312"/>
          <w:sz w:val="32"/>
          <w:szCs w:val="32"/>
          <w:lang w:eastAsia="zh-CN"/>
        </w:rPr>
        <w:t>商业服务业等支出（类）</w:t>
      </w:r>
      <w:r>
        <w:rPr>
          <w:rFonts w:hint="eastAsia" w:ascii="仿宋_GB2312" w:hAnsi="仿宋_GB2312" w:eastAsia="仿宋_GB2312" w:cs="仿宋_GB2312"/>
          <w:sz w:val="32"/>
          <w:szCs w:val="32"/>
          <w:lang w:val="en-US"/>
        </w:rPr>
        <w:t>216</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lang w:val="en-US"/>
        </w:rPr>
        <w:t>99</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lang w:val="en-US"/>
        </w:rPr>
        <w:t>99</w:t>
      </w:r>
      <w:r>
        <w:rPr>
          <w:rFonts w:hint="eastAsia" w:ascii="仿宋_GB2312" w:hAnsi="仿宋_GB2312" w:eastAsia="仿宋_GB2312" w:cs="仿宋_GB2312"/>
          <w:sz w:val="32"/>
          <w:szCs w:val="32"/>
          <w:lang w:eastAsia="zh-CN"/>
        </w:rPr>
        <w:t>：反映其他商业服务业等支出中除上述项目以外的其他支出。</w:t>
      </w:r>
    </w:p>
    <w:p>
      <w:pPr>
        <w:pStyle w:val="16"/>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17.</w:t>
      </w:r>
      <w:r>
        <w:rPr>
          <w:rFonts w:hint="eastAsia" w:ascii="仿宋_GB2312" w:hAnsi="仿宋_GB2312" w:eastAsia="仿宋_GB2312" w:cs="仿宋_GB2312"/>
          <w:sz w:val="32"/>
          <w:szCs w:val="32"/>
          <w:shd w:val="clear" w:fill="FFFFFF"/>
          <w:lang w:eastAsia="zh-CN"/>
        </w:rPr>
        <w:t>基本支出：指为保障机构正常运转、完成日常工作任务而发生的人员支出和公用支出。</w:t>
      </w:r>
    </w:p>
    <w:p>
      <w:pPr>
        <w:pStyle w:val="16"/>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18.</w:t>
      </w:r>
      <w:r>
        <w:rPr>
          <w:rFonts w:hint="eastAsia" w:ascii="仿宋_GB2312" w:hAnsi="仿宋_GB2312" w:eastAsia="仿宋_GB2312" w:cs="仿宋_GB2312"/>
          <w:sz w:val="32"/>
          <w:szCs w:val="32"/>
          <w:shd w:val="clear" w:fill="FFFFFF"/>
          <w:lang w:eastAsia="zh-CN"/>
        </w:rPr>
        <w:t>项目支出：指在基本支出之外为完成特定行政任务和事业发展目标所发生的支出。</w:t>
      </w:r>
    </w:p>
    <w:p>
      <w:pPr>
        <w:pStyle w:val="16"/>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19.</w:t>
      </w:r>
      <w:r>
        <w:rPr>
          <w:rFonts w:hint="eastAsia" w:ascii="仿宋_GB2312" w:hAnsi="仿宋_GB2312" w:eastAsia="仿宋_GB2312" w:cs="仿宋_GB2312"/>
          <w:sz w:val="32"/>
          <w:szCs w:val="32"/>
          <w:shd w:val="clear" w:fill="FFFFFF"/>
          <w:lang w:eastAsia="zh-CN"/>
        </w:rPr>
        <w:t>经营支出：指事业单位在专业业务活动及其辅助活动之外开展非独立核算经营活动发生的支出。</w:t>
      </w:r>
    </w:p>
    <w:p>
      <w:pPr>
        <w:pStyle w:val="16"/>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20.</w:t>
      </w:r>
      <w:r>
        <w:rPr>
          <w:rFonts w:hint="eastAsia" w:ascii="仿宋_GB2312" w:hAnsi="仿宋_GB2312" w:eastAsia="仿宋_GB2312" w:cs="仿宋_GB2312"/>
          <w:sz w:val="32"/>
          <w:szCs w:val="32"/>
          <w:shd w:val="clear" w:fill="FFFFFF"/>
          <w:lang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6"/>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21.</w:t>
      </w:r>
      <w:r>
        <w:rPr>
          <w:rFonts w:hint="eastAsia" w:ascii="仿宋_GB2312" w:hAnsi="仿宋_GB2312" w:eastAsia="仿宋_GB2312" w:cs="仿宋_GB2312"/>
          <w:sz w:val="32"/>
          <w:szCs w:val="32"/>
          <w:shd w:val="clear" w:fill="FFFFFF"/>
          <w:lang w:eastAsia="zh-CN"/>
        </w:rPr>
        <w:t xml:space="preserve">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pPr>
        <w:spacing w:line="600" w:lineRule="exact"/>
        <w:ind w:firstLine="640"/>
        <w:rPr>
          <w:rFonts w:eastAsia="仿宋_GB2312" w:cs="仿宋_GB2312"/>
          <w:b/>
          <w:bCs/>
          <w:sz w:val="32"/>
          <w:szCs w:val="32"/>
        </w:rPr>
      </w:pPr>
    </w:p>
    <w:p>
      <w:pPr>
        <w:spacing w:line="600" w:lineRule="exact"/>
        <w:jc w:val="center"/>
        <w:rPr>
          <w:rStyle w:val="30"/>
          <w:rFonts w:eastAsia="黑体"/>
          <w:b w:val="0"/>
        </w:rPr>
      </w:pPr>
      <w:bookmarkStart w:id="45" w:name="_Toc15377226"/>
      <w:r>
        <w:rPr>
          <w:rFonts w:hint="eastAsia" w:eastAsia="仿宋_GB2312" w:cs="仿宋_GB2312"/>
          <w:sz w:val="32"/>
          <w:szCs w:val="32"/>
        </w:rPr>
        <w:br w:type="page"/>
      </w:r>
      <w:bookmarkStart w:id="46" w:name="_Toc15396614"/>
      <w:r>
        <w:rPr>
          <w:rFonts w:hint="eastAsia" w:eastAsia="黑体"/>
          <w:sz w:val="44"/>
          <w:szCs w:val="44"/>
        </w:rPr>
        <w:t>第四部分  附件</w:t>
      </w:r>
      <w:bookmarkEnd w:id="46"/>
    </w:p>
    <w:p>
      <w:pPr>
        <w:spacing w:line="572" w:lineRule="exact"/>
        <w:jc w:val="left"/>
        <w:outlineLvl w:val="0"/>
        <w:rPr>
          <w:rFonts w:eastAsia="黑体" w:cs="黑体"/>
          <w:color w:val="FF0000"/>
          <w:sz w:val="32"/>
          <w:szCs w:val="32"/>
        </w:rPr>
      </w:pPr>
    </w:p>
    <w:p>
      <w:pPr>
        <w:spacing w:line="572" w:lineRule="exact"/>
        <w:jc w:val="left"/>
        <w:outlineLvl w:val="0"/>
        <w:rPr>
          <w:rFonts w:eastAsia="黑体" w:cs="方正小标宋简体"/>
          <w:sz w:val="44"/>
          <w:szCs w:val="44"/>
        </w:rPr>
      </w:pPr>
      <w:r>
        <w:rPr>
          <w:rFonts w:hint="eastAsia" w:eastAsia="黑体" w:cs="黑体"/>
          <w:sz w:val="32"/>
          <w:szCs w:val="32"/>
        </w:rPr>
        <w:t>附件1</w:t>
      </w:r>
    </w:p>
    <w:p>
      <w:pPr>
        <w:widowControl/>
        <w:spacing w:line="578" w:lineRule="exact"/>
        <w:contextualSpacing/>
        <w:jc w:val="center"/>
        <w:rPr>
          <w:rFonts w:eastAsia="方正小标宋简体"/>
          <w:bCs/>
          <w:sz w:val="44"/>
          <w:szCs w:val="44"/>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eastAsia="zh-CN"/>
        </w:rPr>
        <w:t>汶川县人民法院</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highlight w:val="none"/>
          <w:shd w:val="clear" w:color="auto" w:fill="FFFFFF"/>
          <w:lang w:val="zh-CN"/>
        </w:rPr>
        <w:t>一、部门（单位）基本情况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highlight w:val="none"/>
          <w:shd w:val="clear" w:color="auto" w:fill="FFFFFF"/>
          <w:lang w:val="zh-CN"/>
        </w:rPr>
        <w:t>（一）机构组成。</w:t>
      </w:r>
      <w:r>
        <w:rPr>
          <w:rFonts w:hint="eastAsia" w:ascii="仿宋_GB2312" w:hAnsi="仿宋_GB2312" w:eastAsia="仿宋_GB2312" w:cs="仿宋_GB2312"/>
          <w:sz w:val="32"/>
          <w:szCs w:val="32"/>
          <w:lang w:val="en-US" w:eastAsia="zh-CN"/>
        </w:rPr>
        <w:t>汶川县人民法院</w:t>
      </w:r>
      <w:r>
        <w:rPr>
          <w:rFonts w:hint="eastAsia" w:ascii="仿宋_GB2312" w:hAnsi="仿宋_GB2312" w:eastAsia="仿宋_GB2312" w:cs="仿宋_GB2312"/>
          <w:sz w:val="32"/>
          <w:szCs w:val="32"/>
          <w:lang w:eastAsia="zh-CN"/>
        </w:rPr>
        <w:t>内设</w:t>
      </w:r>
      <w:r>
        <w:rPr>
          <w:rFonts w:hint="eastAsia" w:ascii="仿宋_GB2312" w:hAnsi="仿宋_GB2312" w:eastAsia="仿宋_GB2312" w:cs="仿宋_GB2312"/>
          <w:sz w:val="32"/>
          <w:szCs w:val="32"/>
          <w:lang w:val="en-US" w:eastAsia="zh-CN"/>
        </w:rPr>
        <w:t>9个</w:t>
      </w:r>
      <w:r>
        <w:rPr>
          <w:rFonts w:hint="eastAsia" w:ascii="仿宋_GB2312" w:hAnsi="仿宋_GB2312" w:eastAsia="仿宋_GB2312" w:cs="仿宋_GB2312"/>
          <w:sz w:val="32"/>
          <w:szCs w:val="32"/>
        </w:rPr>
        <w:t>处室</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5个基层法庭</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eastAsia="仿宋_GB2312" w:cs="仿宋_GB2312"/>
          <w:sz w:val="32"/>
          <w:szCs w:val="32"/>
          <w:u w:val="none"/>
        </w:rPr>
      </w:pPr>
      <w:r>
        <w:rPr>
          <w:rFonts w:hint="eastAsia" w:ascii="仿宋_GB2312" w:hAnsi="仿宋_GB2312" w:eastAsia="仿宋_GB2312" w:cs="仿宋_GB2312"/>
          <w:b/>
          <w:bCs/>
          <w:color w:val="000000"/>
          <w:kern w:val="0"/>
          <w:sz w:val="32"/>
          <w:szCs w:val="32"/>
          <w:highlight w:val="none"/>
          <w:shd w:val="clear" w:color="auto" w:fill="FFFFFF"/>
          <w:lang w:val="zh-CN"/>
        </w:rPr>
        <w:t>（二）机构职能。</w:t>
      </w:r>
      <w:r>
        <w:rPr>
          <w:rFonts w:hint="eastAsia" w:ascii="仿宋_GB2312" w:hAnsi="仿宋_GB2312" w:eastAsia="仿宋_GB2312" w:cs="仿宋_GB2312"/>
          <w:sz w:val="32"/>
          <w:szCs w:val="32"/>
          <w:u w:val="none"/>
        </w:rPr>
        <w:t xml:space="preserve">县人民法院是国家审判机关，依法独立行使审判权，接受上级人民法院的监督和指导，对县人民代表大会及其常务委员会负责并报告工作。其主要职责是：     </w:t>
      </w:r>
      <w:r>
        <w:rPr>
          <w:rFonts w:ascii="仿宋_GB2312" w:eastAsia="仿宋_GB2312" w:cs="仿宋_GB2312"/>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u w:val="none"/>
        </w:rPr>
      </w:pPr>
      <w:r>
        <w:rPr>
          <w:rFonts w:ascii="仿宋_GB2312" w:eastAsia="仿宋_GB2312" w:cs="仿宋_GB2312"/>
          <w:sz w:val="32"/>
          <w:szCs w:val="32"/>
          <w:u w:val="none"/>
        </w:rPr>
        <w:t>1.</w:t>
      </w:r>
      <w:r>
        <w:rPr>
          <w:rFonts w:hint="eastAsia" w:ascii="仿宋_GB2312" w:eastAsia="仿宋_GB2312" w:cs="仿宋_GB2312"/>
          <w:sz w:val="32"/>
          <w:szCs w:val="32"/>
          <w:u w:val="none"/>
        </w:rPr>
        <w:t>审判法律规定、上级人民法院指定由县法院管辖以及县法院认为应当由自己审判的刑事、民事、行政等第一审案件。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2.审查处理不服本院判决各类申诉案件。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3.监督、指导人民法庭的审判工作。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4.依法行使司法执行权和司法决定权。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5.依法决定国家赔偿。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6.管理、协调本院的审判和执行工作。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7.负责全院思想政治、教育培训工作；按照权限管理法官和其他人员；主管本法院的监察工作；领导院直属单位和群团工作。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8.管理本法院的有关经费和物资装备。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9.结合审判工作宣传法制，教育公民遵守宪法和法律。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10.承办其他应由本院负责的工作。</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sz w:val="32"/>
          <w:szCs w:val="32"/>
          <w:u w:val="none"/>
        </w:rPr>
        <w:t>11.派出机构及职责。派出法庭设绵虒、映秀</w:t>
      </w:r>
      <w:r>
        <w:rPr>
          <w:rFonts w:hint="eastAsia" w:ascii="仿宋_GB2312" w:hAnsi="仿宋_GB2312" w:eastAsia="仿宋_GB2312" w:cs="仿宋_GB2312"/>
          <w:sz w:val="32"/>
          <w:szCs w:val="32"/>
          <w:u w:val="none"/>
          <w:lang w:eastAsia="zh-CN"/>
        </w:rPr>
        <w:t>（卧龙）</w:t>
      </w:r>
      <w:r>
        <w:rPr>
          <w:rFonts w:hint="eastAsia" w:ascii="仿宋_GB2312" w:hAnsi="仿宋_GB2312" w:eastAsia="仿宋_GB2312" w:cs="仿宋_GB2312"/>
          <w:sz w:val="32"/>
          <w:szCs w:val="32"/>
          <w:u w:val="none"/>
        </w:rPr>
        <w:t>、漩口、</w:t>
      </w:r>
      <w:r>
        <w:rPr>
          <w:rFonts w:hint="eastAsia" w:ascii="仿宋_GB2312" w:hAnsi="仿宋_GB2312" w:eastAsia="仿宋_GB2312" w:cs="仿宋_GB2312"/>
          <w:sz w:val="32"/>
          <w:szCs w:val="32"/>
          <w:u w:val="none"/>
          <w:lang w:eastAsia="zh-CN"/>
        </w:rPr>
        <w:t>威州</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个人民法庭，依法审理和执行辖区内一般的民事案件，指导人民调解委员会工作及办理法庭审判工作有关的其他事项。</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color w:val="000000"/>
          <w:kern w:val="0"/>
          <w:sz w:val="32"/>
          <w:szCs w:val="32"/>
          <w:highlight w:val="none"/>
          <w:shd w:val="clear" w:color="auto" w:fill="FFFFFF"/>
          <w:lang w:val="zh-CN"/>
        </w:rPr>
        <w:t>（三）人员概况。</w:t>
      </w:r>
      <w:r>
        <w:rPr>
          <w:rFonts w:hint="eastAsia" w:ascii="仿宋_GB2312" w:hAnsi="仿宋_GB2312" w:eastAsia="仿宋_GB2312" w:cs="仿宋_GB2312"/>
          <w:sz w:val="32"/>
          <w:szCs w:val="32"/>
          <w:u w:val="none"/>
        </w:rPr>
        <w:t>截至202</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年末，</w:t>
      </w:r>
      <w:r>
        <w:rPr>
          <w:rFonts w:hint="eastAsia" w:ascii="仿宋_GB2312" w:hAnsi="仿宋_GB2312" w:eastAsia="仿宋_GB2312" w:cs="仿宋_GB2312"/>
          <w:sz w:val="32"/>
          <w:szCs w:val="32"/>
          <w:u w:val="none"/>
          <w:lang w:eastAsia="zh-CN"/>
        </w:rPr>
        <w:t>汶川县人民法院核定政法专项编制</w:t>
      </w:r>
      <w:r>
        <w:rPr>
          <w:rFonts w:hint="eastAsia" w:ascii="仿宋_GB2312" w:hAnsi="仿宋_GB2312" w:eastAsia="仿宋_GB2312" w:cs="仿宋_GB2312"/>
          <w:sz w:val="32"/>
          <w:szCs w:val="32"/>
          <w:u w:val="none"/>
          <w:lang w:val="en-US" w:eastAsia="zh-CN"/>
        </w:rPr>
        <w:t>68名，工勤编制2名，实有政法编制54名，工勤6名。</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二、</w:t>
      </w:r>
      <w:r>
        <w:rPr>
          <w:rFonts w:hint="eastAsia" w:ascii="仿宋_GB2312" w:hAnsi="仿宋_GB2312" w:eastAsia="仿宋_GB2312" w:cs="仿宋_GB2312"/>
          <w:color w:val="000000"/>
          <w:kern w:val="0"/>
          <w:sz w:val="32"/>
          <w:szCs w:val="32"/>
          <w:highlight w:val="none"/>
          <w:shd w:val="clear" w:color="auto" w:fill="FFFFFF"/>
          <w:lang w:eastAsia="zh-CN"/>
        </w:rPr>
        <w:t>部门</w:t>
      </w:r>
      <w:r>
        <w:rPr>
          <w:rFonts w:hint="eastAsia" w:ascii="仿宋_GB2312" w:hAnsi="仿宋_GB2312" w:eastAsia="仿宋_GB2312" w:cs="仿宋_GB2312"/>
          <w:color w:val="000000"/>
          <w:kern w:val="0"/>
          <w:sz w:val="32"/>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000000"/>
          <w:kern w:val="0"/>
          <w:sz w:val="32"/>
          <w:szCs w:val="32"/>
          <w:highlight w:val="none"/>
          <w:shd w:val="clear" w:color="auto" w:fill="FFFFFF"/>
          <w:lang w:val="zh-CN"/>
        </w:rPr>
        <w:t>（一）收入情况。</w:t>
      </w:r>
      <w:r>
        <w:rPr>
          <w:rFonts w:hint="eastAsia" w:ascii="仿宋_GB2312" w:hAnsi="仿宋_GB2312" w:eastAsia="仿宋_GB2312" w:cs="仿宋_GB2312"/>
          <w:sz w:val="32"/>
          <w:szCs w:val="32"/>
          <w:u w:val="none"/>
          <w:lang w:val="en-US" w:eastAsia="zh-CN"/>
        </w:rPr>
        <w:t>汶川县人民法院2024年年初预算收入3028.31万元、</w:t>
      </w:r>
      <w:r>
        <w:rPr>
          <w:rFonts w:hint="eastAsia" w:ascii="仿宋_GB2312" w:hAnsi="仿宋_GB2312" w:eastAsia="仿宋_GB2312" w:cs="仿宋_GB2312"/>
          <w:color w:val="auto"/>
          <w:kern w:val="2"/>
          <w:sz w:val="32"/>
          <w:szCs w:val="32"/>
          <w:lang w:val="en-US" w:eastAsia="zh-CN" w:bidi="ar-SA"/>
        </w:rPr>
        <w:t>年中调整预算数为284.94万元，决算报表收入</w:t>
      </w:r>
      <w:r>
        <w:rPr>
          <w:rFonts w:hint="eastAsia" w:ascii="仿宋_GB2312" w:hAnsi="仿宋_GB2312" w:eastAsia="仿宋_GB2312" w:cs="仿宋_GB2312"/>
          <w:sz w:val="32"/>
          <w:szCs w:val="32"/>
          <w:u w:val="none"/>
          <w:lang w:val="en-US" w:eastAsia="zh-CN"/>
        </w:rPr>
        <w:t>2743.37</w:t>
      </w:r>
      <w:r>
        <w:rPr>
          <w:rFonts w:hint="eastAsia" w:ascii="仿宋_GB2312" w:hAnsi="仿宋_GB2312" w:eastAsia="仿宋_GB2312" w:cs="仿宋_GB2312"/>
          <w:color w:val="auto"/>
          <w:kern w:val="2"/>
          <w:sz w:val="32"/>
          <w:szCs w:val="32"/>
          <w:lang w:val="en-US" w:eastAsia="zh-CN" w:bidi="ar-SA"/>
        </w:rPr>
        <w:t>万元。其中：上年结转0.00万元，占0.00</w:t>
      </w:r>
      <w:r>
        <w:rPr>
          <w:rFonts w:hint="eastAsia" w:ascii="仿宋_GB2312" w:hAnsi="仿宋_GB2312" w:eastAsia="仿宋_GB2312" w:cs="仿宋_GB2312"/>
          <w:color w:val="auto"/>
          <w:kern w:val="2"/>
          <w:sz w:val="32"/>
          <w:szCs w:val="32"/>
          <w:lang w:val="en" w:eastAsia="zh-CN" w:bidi="ar-SA"/>
        </w:rPr>
        <w:t>%；</w:t>
      </w:r>
      <w:r>
        <w:rPr>
          <w:rFonts w:hint="eastAsia" w:ascii="仿宋_GB2312" w:hAnsi="仿宋_GB2312" w:eastAsia="仿宋_GB2312" w:cs="仿宋_GB2312"/>
          <w:color w:val="auto"/>
          <w:kern w:val="2"/>
          <w:sz w:val="32"/>
          <w:szCs w:val="32"/>
          <w:lang w:val="en-US" w:eastAsia="zh-CN" w:bidi="ar-SA"/>
        </w:rPr>
        <w:t>一般公共预算拨款收入2190.31万元，占79.8</w:t>
      </w:r>
      <w:r>
        <w:rPr>
          <w:rFonts w:hint="eastAsia" w:ascii="仿宋_GB2312" w:hAnsi="仿宋_GB2312" w:eastAsia="仿宋_GB2312" w:cs="仿宋_GB2312"/>
          <w:color w:val="auto"/>
          <w:kern w:val="2"/>
          <w:sz w:val="32"/>
          <w:szCs w:val="32"/>
          <w:lang w:val="en" w:eastAsia="zh-CN" w:bidi="ar-SA"/>
        </w:rPr>
        <w:t>%；其他收入（县级财政拨款收入）</w:t>
      </w:r>
      <w:r>
        <w:rPr>
          <w:rFonts w:hint="eastAsia" w:ascii="仿宋_GB2312" w:hAnsi="仿宋_GB2312" w:eastAsia="仿宋_GB2312" w:cs="仿宋_GB2312"/>
          <w:color w:val="auto"/>
          <w:kern w:val="2"/>
          <w:sz w:val="32"/>
          <w:szCs w:val="32"/>
          <w:lang w:val="en-US" w:eastAsia="zh-CN" w:bidi="ar-SA"/>
        </w:rPr>
        <w:t>553.05万元，占20.2%；</w:t>
      </w:r>
      <w:r>
        <w:rPr>
          <w:rFonts w:hint="eastAsia" w:ascii="仿宋_GB2312" w:hAnsi="仿宋_GB2312" w:eastAsia="仿宋_GB2312" w:cs="仿宋_GB2312"/>
          <w:color w:val="auto"/>
          <w:kern w:val="2"/>
          <w:sz w:val="32"/>
          <w:szCs w:val="32"/>
          <w:lang w:val="en" w:eastAsia="zh-CN" w:bidi="ar-SA"/>
        </w:rPr>
        <w:t>政府性基金预算财政拨款收入</w:t>
      </w:r>
      <w:r>
        <w:rPr>
          <w:rFonts w:hint="eastAsia" w:ascii="仿宋_GB2312" w:hAnsi="仿宋_GB2312" w:eastAsia="仿宋_GB2312" w:cs="仿宋_GB2312"/>
          <w:color w:val="auto"/>
          <w:kern w:val="2"/>
          <w:sz w:val="32"/>
          <w:szCs w:val="32"/>
          <w:lang w:val="en-US" w:eastAsia="zh-CN" w:bidi="ar-SA"/>
        </w:rPr>
        <w:t>0.00万元，占0.00％</w:t>
      </w:r>
      <w:r>
        <w:rPr>
          <w:rFonts w:hint="eastAsia" w:ascii="仿宋_GB2312" w:hAnsi="仿宋_GB2312" w:eastAsia="仿宋_GB2312" w:cs="仿宋_GB2312"/>
          <w:color w:val="auto"/>
          <w:kern w:val="2"/>
          <w:sz w:val="32"/>
          <w:szCs w:val="32"/>
          <w:lang w:val="en" w:eastAsia="zh-CN" w:bidi="ar-SA"/>
        </w:rPr>
        <w:t>。</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color w:val="000000"/>
          <w:kern w:val="0"/>
          <w:sz w:val="32"/>
          <w:szCs w:val="32"/>
          <w:highlight w:val="none"/>
          <w:shd w:val="clear" w:color="auto" w:fill="FFFFFF"/>
          <w:lang w:val="zh-CN"/>
        </w:rPr>
        <w:t>（二）支出情况。</w:t>
      </w:r>
      <w:r>
        <w:rPr>
          <w:rFonts w:hint="eastAsia" w:ascii="仿宋_GB2312" w:hAnsi="仿宋_GB2312" w:eastAsia="仿宋_GB2312" w:cs="仿宋_GB2312"/>
          <w:sz w:val="32"/>
          <w:szCs w:val="32"/>
          <w:u w:val="none"/>
          <w:lang w:val="en-US" w:eastAsia="zh-CN"/>
        </w:rPr>
        <w:t>汶川县人民法院2024年年初预算支出3028.31万元、</w:t>
      </w:r>
      <w:r>
        <w:rPr>
          <w:rFonts w:hint="eastAsia" w:ascii="仿宋_GB2312" w:hAnsi="仿宋_GB2312" w:eastAsia="仿宋_GB2312" w:cs="仿宋_GB2312"/>
          <w:color w:val="auto"/>
          <w:kern w:val="2"/>
          <w:sz w:val="32"/>
          <w:szCs w:val="32"/>
          <w:lang w:val="en-US" w:eastAsia="zh-CN" w:bidi="ar-SA"/>
        </w:rPr>
        <w:t>年中调整预算支出为363.67万元，</w:t>
      </w:r>
      <w:r>
        <w:rPr>
          <w:rFonts w:hint="eastAsia" w:ascii="仿宋_GB2312" w:hAnsi="仿宋_GB2312" w:eastAsia="仿宋_GB2312" w:cs="仿宋_GB2312"/>
          <w:sz w:val="32"/>
          <w:szCs w:val="32"/>
          <w:u w:val="none"/>
          <w:lang w:val="en-US" w:eastAsia="zh-CN"/>
        </w:rPr>
        <w:t>决算报表支出2664.64万元。</w:t>
      </w:r>
      <w:r>
        <w:rPr>
          <w:rFonts w:hint="eastAsia" w:ascii="仿宋_GB2312" w:hAnsi="仿宋_GB2312" w:eastAsia="仿宋_GB2312" w:cs="仿宋_GB2312"/>
          <w:sz w:val="32"/>
          <w:szCs w:val="32"/>
          <w:highlight w:val="none"/>
        </w:rPr>
        <w:t>其中：基本支出</w:t>
      </w:r>
      <w:r>
        <w:rPr>
          <w:rFonts w:hint="eastAsia" w:ascii="仿宋_GB2312" w:hAnsi="仿宋_GB2312" w:eastAsia="仿宋_GB2312" w:cs="仿宋_GB2312"/>
          <w:sz w:val="32"/>
          <w:szCs w:val="32"/>
          <w:highlight w:val="none"/>
          <w:lang w:val="en-US" w:eastAsia="zh-CN"/>
        </w:rPr>
        <w:t>1860.31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69.8</w:t>
      </w:r>
      <w:r>
        <w:rPr>
          <w:rFonts w:hint="eastAsia"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804.34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30.2</w:t>
      </w:r>
      <w:r>
        <w:rPr>
          <w:rFonts w:hint="eastAsia"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仿宋_GB2312" w:hAnsi="仿宋_GB2312" w:eastAsia="仿宋_GB2312" w:cs="仿宋_GB2312"/>
          <w:sz w:val="32"/>
          <w:szCs w:val="32"/>
          <w:u w:val="none"/>
          <w:lang w:val="zh-CN" w:eastAsia="zh-CN"/>
        </w:rPr>
      </w:pPr>
      <w:r>
        <w:rPr>
          <w:rFonts w:hint="eastAsia" w:ascii="仿宋_GB2312" w:hAnsi="仿宋_GB2312" w:eastAsia="仿宋_GB2312" w:cs="仿宋_GB2312"/>
          <w:b/>
          <w:bCs/>
          <w:color w:val="000000"/>
          <w:kern w:val="0"/>
          <w:sz w:val="32"/>
          <w:szCs w:val="32"/>
          <w:highlight w:val="none"/>
          <w:shd w:val="clear" w:color="auto" w:fill="FFFFFF"/>
          <w:lang w:val="zh-CN"/>
        </w:rPr>
        <w:t>（三）</w:t>
      </w:r>
      <w:r>
        <w:rPr>
          <w:rFonts w:hint="eastAsia" w:ascii="仿宋_GB2312" w:hAnsi="仿宋_GB2312" w:eastAsia="仿宋_GB2312" w:cs="仿宋_GB2312"/>
          <w:b/>
          <w:sz w:val="32"/>
          <w:szCs w:val="32"/>
        </w:rPr>
        <w:t>结余分配和结转结余情况</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u w:val="none"/>
          <w:lang w:val="en-US" w:eastAsia="zh-CN"/>
        </w:rPr>
        <w:t>汶川县人民法院2024年决算报表结转结余78.72万元，为援建资金。</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三、</w:t>
      </w:r>
      <w:r>
        <w:rPr>
          <w:rFonts w:hint="eastAsia" w:ascii="仿宋_GB2312" w:hAnsi="仿宋_GB2312" w:eastAsia="仿宋_GB2312" w:cs="仿宋_GB2312"/>
          <w:color w:val="000000"/>
          <w:kern w:val="0"/>
          <w:sz w:val="32"/>
          <w:szCs w:val="32"/>
          <w:highlight w:val="none"/>
          <w:u w:val="none"/>
          <w:shd w:val="clear" w:color="auto" w:fill="FFFFFF"/>
        </w:rPr>
        <w:t>部门</w:t>
      </w:r>
      <w:r>
        <w:rPr>
          <w:rFonts w:hint="eastAsia" w:ascii="仿宋_GB2312" w:hAnsi="仿宋_GB2312" w:eastAsia="仿宋_GB2312" w:cs="仿宋_GB2312"/>
          <w:color w:val="000000"/>
          <w:kern w:val="0"/>
          <w:sz w:val="32"/>
          <w:szCs w:val="32"/>
          <w:highlight w:val="none"/>
          <w:u w:val="none"/>
          <w:shd w:val="clear" w:color="auto" w:fill="FFFFFF"/>
          <w:lang w:eastAsia="zh-CN"/>
        </w:rPr>
        <w:t>预算</w:t>
      </w:r>
      <w:r>
        <w:rPr>
          <w:rFonts w:hint="eastAsia" w:ascii="仿宋_GB2312" w:hAnsi="仿宋_GB2312" w:eastAsia="仿宋_GB2312" w:cs="仿宋_GB2312"/>
          <w:color w:val="000000"/>
          <w:kern w:val="0"/>
          <w:sz w:val="32"/>
          <w:szCs w:val="32"/>
          <w:highlight w:val="none"/>
          <w:u w:val="none"/>
          <w:shd w:val="clear" w:color="auto" w:fill="FFFFFF"/>
        </w:rPr>
        <w:t>绩效</w:t>
      </w:r>
      <w:r>
        <w:rPr>
          <w:rFonts w:hint="eastAsia" w:ascii="仿宋_GB2312" w:hAnsi="仿宋_GB2312" w:eastAsia="仿宋_GB2312" w:cs="仿宋_GB2312"/>
          <w:color w:val="000000"/>
          <w:kern w:val="0"/>
          <w:sz w:val="32"/>
          <w:szCs w:val="32"/>
          <w:highlight w:val="none"/>
          <w:u w:val="none"/>
          <w:shd w:val="clear" w:color="auto" w:fill="FFFFFF"/>
          <w:lang w:eastAsia="zh-CN"/>
        </w:rPr>
        <w:t>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（一）部门预算总体绩效分析。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u w:val="none"/>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rPr>
        <w:t>履职效能。</w:t>
      </w:r>
      <w:r>
        <w:rPr>
          <w:rFonts w:hint="eastAsia" w:ascii="仿宋_GB2312" w:hAnsi="仿宋_GB2312" w:eastAsia="仿宋_GB2312" w:cs="仿宋_GB2312"/>
          <w:sz w:val="32"/>
          <w:szCs w:val="32"/>
          <w:u w:val="none"/>
          <w:lang w:val="zh-CN" w:eastAsia="zh-CN"/>
        </w:rPr>
        <w:t>审判管理履职效果方面。一是</w:t>
      </w:r>
      <w:r>
        <w:rPr>
          <w:rFonts w:hint="eastAsia" w:ascii="仿宋_GB2312" w:hAnsi="仿宋_GB2312" w:eastAsia="仿宋_GB2312" w:cs="仿宋_GB2312"/>
          <w:sz w:val="32"/>
          <w:szCs w:val="32"/>
          <w:u w:val="none"/>
          <w:lang w:val="en-US" w:eastAsia="zh-CN"/>
        </w:rPr>
        <w:t>一审裁判被改判率、一审裁判被发回重审率、生效裁判被改判率、生效裁判被发回重审率指标为0，</w:t>
      </w:r>
      <w:r>
        <w:rPr>
          <w:rFonts w:hint="eastAsia" w:ascii="仿宋_GB2312" w:hAnsi="仿宋_GB2312" w:eastAsia="仿宋_GB2312" w:cs="仿宋_GB2312"/>
          <w:sz w:val="32"/>
          <w:szCs w:val="32"/>
          <w:u w:val="none"/>
          <w:lang w:val="zh-CN" w:eastAsia="zh-CN"/>
        </w:rPr>
        <w:t>审判质效较高；二是</w:t>
      </w:r>
      <w:r>
        <w:rPr>
          <w:rFonts w:hint="eastAsia" w:ascii="仿宋_GB2312" w:hAnsi="仿宋_GB2312" w:eastAsia="仿宋_GB2312" w:cs="仿宋_GB2312"/>
          <w:sz w:val="32"/>
          <w:szCs w:val="32"/>
          <w:u w:val="none"/>
          <w:lang w:val="en-US" w:eastAsia="zh-CN"/>
        </w:rPr>
        <w:t>完成对外委托鉴定评估工作，</w:t>
      </w:r>
      <w:r>
        <w:rPr>
          <w:rFonts w:hint="eastAsia" w:ascii="仿宋_GB2312" w:hAnsi="仿宋_GB2312" w:eastAsia="仿宋_GB2312" w:cs="仿宋_GB2312"/>
          <w:sz w:val="32"/>
          <w:szCs w:val="32"/>
          <w:u w:val="none"/>
          <w:lang w:val="zh-CN" w:eastAsia="zh-CN"/>
        </w:rPr>
        <w:t>司法技术工作有效提升；三是完成</w:t>
      </w:r>
      <w:r>
        <w:rPr>
          <w:rFonts w:hint="eastAsia" w:ascii="仿宋_GB2312" w:hAnsi="仿宋_GB2312" w:eastAsia="仿宋_GB2312" w:cs="仿宋_GB2312"/>
          <w:sz w:val="32"/>
          <w:szCs w:val="32"/>
          <w:u w:val="none"/>
          <w:lang w:val="en-US" w:eastAsia="zh-CN"/>
        </w:rPr>
        <w:t>政治建设优质化、服务发展优质化、为民司法优质化、执行实施优质化、审判质效优质化、文化引领优质化</w:t>
      </w:r>
      <w:r>
        <w:rPr>
          <w:rFonts w:hint="eastAsia" w:ascii="仿宋_GB2312" w:hAnsi="仿宋_GB2312" w:eastAsia="仿宋_GB2312" w:cs="仿宋_GB2312"/>
          <w:sz w:val="32"/>
          <w:szCs w:val="32"/>
          <w:u w:val="none"/>
          <w:lang w:val="zh-CN" w:eastAsia="zh-CN"/>
        </w:rPr>
        <w:t>“六个优质化 ”工作；三是按期完成涉黑恶及“保护伞 ”线索核查反馈，实现“件件有着落、事事有回音 ”“清仓见底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预算管理。</w:t>
      </w:r>
      <w:r>
        <w:rPr>
          <w:rFonts w:hint="eastAsia" w:ascii="仿宋_GB2312" w:hAnsi="仿宋_GB2312" w:eastAsia="仿宋_GB2312" w:cs="仿宋_GB2312"/>
          <w:sz w:val="32"/>
          <w:szCs w:val="32"/>
          <w:u w:val="none"/>
          <w:lang w:val="zh-CN"/>
        </w:rPr>
        <w:t>一是部门严格按要求编制年初部门预算，年初预算编制的具有科学性和准确性。二是</w:t>
      </w:r>
      <w:r>
        <w:rPr>
          <w:rFonts w:hint="eastAsia" w:ascii="仿宋_GB2312" w:hAnsi="仿宋_GB2312" w:eastAsia="仿宋_GB2312" w:cs="仿宋_GB2312"/>
          <w:sz w:val="32"/>
          <w:szCs w:val="32"/>
          <w:u w:val="none"/>
          <w:lang w:val="en-US" w:eastAsia="zh-CN"/>
        </w:rPr>
        <w:t>2024年</w:t>
      </w:r>
      <w:r>
        <w:rPr>
          <w:rFonts w:hint="eastAsia" w:ascii="仿宋_GB2312" w:hAnsi="仿宋_GB2312" w:eastAsia="仿宋_GB2312" w:cs="仿宋_GB2312"/>
          <w:sz w:val="32"/>
          <w:szCs w:val="32"/>
          <w:u w:val="none"/>
          <w:lang w:val="zh-CN"/>
        </w:rPr>
        <w:t>年终部门预算结转金额</w:t>
      </w:r>
      <w:r>
        <w:rPr>
          <w:rFonts w:hint="eastAsia" w:ascii="仿宋_GB2312" w:hAnsi="仿宋_GB2312" w:eastAsia="仿宋_GB2312" w:cs="仿宋_GB2312"/>
          <w:sz w:val="32"/>
          <w:szCs w:val="32"/>
          <w:u w:val="none"/>
          <w:lang w:val="en-US" w:eastAsia="zh-CN"/>
        </w:rPr>
        <w:t>78.72万元，部门整体预算结余率为2.86%。</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u w:val="none"/>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财务管理。</w:t>
      </w:r>
      <w:r>
        <w:rPr>
          <w:rFonts w:hint="eastAsia" w:ascii="仿宋_GB2312" w:hAnsi="仿宋_GB2312" w:eastAsia="仿宋_GB2312" w:cs="仿宋_GB2312"/>
          <w:sz w:val="32"/>
          <w:szCs w:val="32"/>
          <w:u w:val="none"/>
          <w:lang w:val="zh-CN"/>
        </w:rPr>
        <w:t>一是部门拟定了三重一大、汶川县法院票据管理办法、汶川县法院政府采购项目实施管理办法、汶川县人民法院财务管理制度、汶川县人民法院固定资产管理制度、汶川县人民法院预算等制度，严格按照规章制度处理财务事务，确保部门资金使用符合相关财务管理制度规定。二是合理设置财务工作岗位，会计一名、出纳一名、分管财务领导一名，明确职责权限，并严格实行不相容岗位分离的。三是严格按照财经纪律使用部门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val="zh-CN"/>
        </w:rPr>
        <w:t>资产管理。</w:t>
      </w:r>
      <w:r>
        <w:rPr>
          <w:rFonts w:hint="eastAsia" w:ascii="仿宋_GB2312" w:hAnsi="仿宋_GB2312" w:eastAsia="仿宋_GB2312" w:cs="仿宋_GB2312"/>
          <w:sz w:val="32"/>
          <w:szCs w:val="32"/>
          <w:u w:val="none"/>
          <w:lang w:val="zh-CN"/>
        </w:rPr>
        <w:t>我单位已建立较为完善的资产管理制度体系，包括资产采购、验收、登记、使用、维护、处置等各个环节的规章制度，确保了资产管理的规范性和可追溯性。同时，定期对制度进行修订和完善，以适应业务发展和政策变化的需求。在日常管理中，我单位注重资产的实物管理和账务管理相结合。通过实施资产卡片制度，对每项资产进行唯一编码和详细记录，实现了资产的精细化管理。根据决算报表和国有资产年报表，202</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lang w:val="zh-CN"/>
        </w:rPr>
        <w:t>年末实有人数为</w:t>
      </w:r>
      <w:r>
        <w:rPr>
          <w:rFonts w:hint="eastAsia" w:ascii="仿宋_GB2312" w:hAnsi="仿宋_GB2312" w:eastAsia="仿宋_GB2312" w:cs="仿宋_GB2312"/>
          <w:sz w:val="32"/>
          <w:szCs w:val="32"/>
          <w:u w:val="none"/>
          <w:lang w:val="en-US" w:eastAsia="zh-CN"/>
        </w:rPr>
        <w:t>60</w:t>
      </w:r>
      <w:r>
        <w:rPr>
          <w:rFonts w:hint="eastAsia" w:ascii="仿宋_GB2312" w:hAnsi="仿宋_GB2312" w:eastAsia="仿宋_GB2312" w:cs="仿宋_GB2312"/>
          <w:sz w:val="32"/>
          <w:szCs w:val="32"/>
          <w:u w:val="none"/>
          <w:lang w:val="zh-CN"/>
        </w:rPr>
        <w:t>人，固定资产和无形资产净值合计</w:t>
      </w:r>
      <w:r>
        <w:rPr>
          <w:rFonts w:hint="eastAsia" w:ascii="仿宋_GB2312" w:hAnsi="仿宋_GB2312" w:eastAsia="仿宋_GB2312" w:cs="仿宋_GB2312"/>
          <w:sz w:val="32"/>
          <w:szCs w:val="32"/>
          <w:u w:val="none"/>
          <w:lang w:val="en-US" w:eastAsia="zh-CN"/>
        </w:rPr>
        <w:t>1757.65</w:t>
      </w:r>
      <w:r>
        <w:rPr>
          <w:rFonts w:hint="eastAsia" w:ascii="仿宋_GB2312" w:hAnsi="仿宋_GB2312" w:eastAsia="仿宋_GB2312" w:cs="仿宋_GB2312"/>
          <w:sz w:val="32"/>
          <w:szCs w:val="32"/>
          <w:u w:val="none"/>
          <w:lang w:val="zh-CN"/>
        </w:rPr>
        <w:t>万元；202</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lang w:val="zh-CN"/>
        </w:rPr>
        <w:t>年末实有人数为</w:t>
      </w:r>
      <w:r>
        <w:rPr>
          <w:rFonts w:hint="eastAsia" w:ascii="仿宋_GB2312" w:hAnsi="仿宋_GB2312" w:eastAsia="仿宋_GB2312" w:cs="仿宋_GB2312"/>
          <w:sz w:val="32"/>
          <w:szCs w:val="32"/>
          <w:u w:val="none"/>
          <w:lang w:val="en-US" w:eastAsia="zh-CN"/>
        </w:rPr>
        <w:t>60</w:t>
      </w:r>
      <w:r>
        <w:rPr>
          <w:rFonts w:hint="eastAsia" w:ascii="仿宋_GB2312" w:hAnsi="仿宋_GB2312" w:eastAsia="仿宋_GB2312" w:cs="仿宋_GB2312"/>
          <w:sz w:val="32"/>
          <w:szCs w:val="32"/>
          <w:u w:val="none"/>
          <w:lang w:val="zh-CN"/>
        </w:rPr>
        <w:t>人，固定资产和无形资产净值合计</w:t>
      </w:r>
      <w:r>
        <w:rPr>
          <w:rFonts w:hint="eastAsia" w:ascii="仿宋_GB2312" w:hAnsi="仿宋_GB2312" w:eastAsia="仿宋_GB2312" w:cs="仿宋_GB2312"/>
          <w:sz w:val="32"/>
          <w:szCs w:val="32"/>
          <w:highlight w:val="none"/>
          <w:u w:val="none"/>
          <w:lang w:val="en-US" w:eastAsia="zh-CN"/>
        </w:rPr>
        <w:t>1866.37</w:t>
      </w:r>
      <w:r>
        <w:rPr>
          <w:rFonts w:hint="eastAsia" w:ascii="仿宋_GB2312" w:hAnsi="仿宋_GB2312" w:eastAsia="仿宋_GB2312" w:cs="仿宋_GB2312"/>
          <w:sz w:val="32"/>
          <w:szCs w:val="32"/>
          <w:highlight w:val="none"/>
          <w:u w:val="none"/>
          <w:lang w:val="zh-CN"/>
        </w:rPr>
        <w:t>万元</w:t>
      </w:r>
      <w:r>
        <w:rPr>
          <w:rFonts w:hint="eastAsia" w:ascii="仿宋_GB2312" w:hAnsi="仿宋_GB2312" w:eastAsia="仿宋_GB2312" w:cs="仿宋_GB2312"/>
          <w:sz w:val="32"/>
          <w:szCs w:val="32"/>
          <w:u w:val="none"/>
          <w:lang w:val="zh-CN"/>
        </w:rPr>
        <w:t>。</w:t>
      </w:r>
      <w:r>
        <w:rPr>
          <w:rFonts w:hint="eastAsia" w:ascii="仿宋_GB2312" w:hAnsi="仿宋_GB2312" w:eastAsia="仿宋_GB2312" w:cs="仿宋_GB2312"/>
          <w:sz w:val="32"/>
          <w:szCs w:val="32"/>
          <w:u w:val="none"/>
          <w:lang w:val="en-US" w:eastAsia="zh-CN"/>
        </w:rPr>
        <w:t>2023年、2024年均无闲置资产，资产盘活率高。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5.</w:t>
      </w:r>
      <w:r>
        <w:rPr>
          <w:rFonts w:hint="eastAsia" w:ascii="仿宋_GB2312" w:hAnsi="仿宋_GB2312" w:eastAsia="仿宋_GB2312" w:cs="仿宋_GB2312"/>
          <w:color w:val="000000"/>
          <w:kern w:val="0"/>
          <w:sz w:val="32"/>
          <w:szCs w:val="32"/>
          <w:highlight w:val="none"/>
          <w:shd w:val="clear" w:color="auto" w:fill="FFFFFF"/>
          <w:lang w:val="zh-CN"/>
        </w:rPr>
        <w:t>采购管理</w:t>
      </w:r>
      <w:r>
        <w:rPr>
          <w:rFonts w:hint="eastAsia" w:ascii="仿宋_GB2312" w:hAnsi="仿宋_GB2312" w:eastAsia="仿宋_GB2312" w:cs="仿宋_GB2312"/>
          <w:sz w:val="32"/>
          <w:szCs w:val="32"/>
          <w:u w:val="none"/>
          <w:lang w:val="zh-CN"/>
        </w:rPr>
        <w:t>。</w:t>
      </w:r>
      <w:r>
        <w:rPr>
          <w:rFonts w:hint="eastAsia" w:ascii="仿宋_GB2312" w:hAnsi="仿宋_GB2312" w:eastAsia="仿宋_GB2312" w:cs="仿宋_GB2312"/>
          <w:sz w:val="32"/>
          <w:szCs w:val="32"/>
          <w:u w:val="none"/>
          <w:lang w:val="en-US" w:eastAsia="zh-CN"/>
        </w:rPr>
        <w:t>2024年度我单位根据《政府采购法》严格执行“应编尽编”，严禁无预算采购，执行采购项目需求论证，明确验收责任，确保质量</w:t>
      </w:r>
      <w:r>
        <w:rPr>
          <w:rFonts w:hint="eastAsia" w:ascii="仿宋_GB2312" w:hAnsi="仿宋_GB2312" w:eastAsia="仿宋_GB2312" w:cs="仿宋_GB2312"/>
          <w:sz w:val="32"/>
          <w:szCs w:val="32"/>
          <w:u w:val="none"/>
          <w:lang w:val="zh-CN"/>
        </w:rPr>
        <w:t>。共完成采购项目</w:t>
      </w:r>
      <w:r>
        <w:rPr>
          <w:rFonts w:hint="eastAsia" w:ascii="仿宋_GB2312" w:hAnsi="仿宋_GB2312" w:eastAsia="仿宋_GB2312" w:cs="仿宋_GB2312"/>
          <w:sz w:val="32"/>
          <w:szCs w:val="32"/>
          <w:u w:val="none"/>
          <w:lang w:val="en-US" w:eastAsia="zh-CN"/>
        </w:rPr>
        <w:t>4个，204.45万元。</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常年项目绩效分析。</w:t>
      </w:r>
      <w:r>
        <w:rPr>
          <w:rFonts w:hint="eastAsia" w:ascii="仿宋_GB2312" w:hAnsi="仿宋_GB2312" w:eastAsia="仿宋_GB2312" w:cs="仿宋_GB2312"/>
          <w:color w:val="000000"/>
          <w:kern w:val="0"/>
          <w:sz w:val="32"/>
          <w:szCs w:val="32"/>
          <w:highlight w:val="none"/>
          <w:shd w:val="clear" w:color="auto" w:fill="FFFFFF"/>
          <w:lang w:val="zh-CN" w:eastAsia="zh-CN"/>
        </w:rPr>
        <w:t>该类项目总数</w:t>
      </w:r>
      <w:r>
        <w:rPr>
          <w:rFonts w:hint="eastAsia" w:ascii="仿宋_GB2312" w:hAnsi="仿宋_GB2312" w:eastAsia="仿宋_GB2312" w:cs="仿宋_GB2312"/>
          <w:color w:val="000000"/>
          <w:kern w:val="0"/>
          <w:sz w:val="32"/>
          <w:szCs w:val="32"/>
          <w:highlight w:val="none"/>
          <w:shd w:val="clear" w:color="auto" w:fill="FFFFFF"/>
          <w:lang w:val="en-US" w:eastAsia="zh-CN"/>
        </w:rPr>
        <w:t>0</w:t>
      </w:r>
      <w:r>
        <w:rPr>
          <w:rFonts w:hint="eastAsia" w:ascii="仿宋_GB2312" w:hAnsi="仿宋_GB2312" w:eastAsia="仿宋_GB2312" w:cs="仿宋_GB2312"/>
          <w:color w:val="000000"/>
          <w:kern w:val="0"/>
          <w:sz w:val="32"/>
          <w:szCs w:val="32"/>
          <w:highlight w:val="none"/>
          <w:shd w:val="clear" w:color="auto" w:fill="FFFFFF"/>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highlight w:val="none"/>
          <w:u w:val="none"/>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阶段（一次性）项目绩效分析。</w:t>
      </w:r>
      <w:r>
        <w:rPr>
          <w:rFonts w:hint="eastAsia" w:ascii="仿宋_GB2312" w:hAnsi="仿宋_GB2312" w:eastAsia="仿宋_GB2312" w:cs="仿宋_GB2312"/>
          <w:sz w:val="32"/>
          <w:szCs w:val="32"/>
          <w:highlight w:val="none"/>
          <w:u w:val="none"/>
          <w:lang w:val="zh-CN" w:eastAsia="zh-CN"/>
        </w:rPr>
        <w:t>该类项目总数</w:t>
      </w:r>
      <w:r>
        <w:rPr>
          <w:rFonts w:hint="eastAsia" w:ascii="仿宋_GB2312" w:hAnsi="仿宋_GB2312" w:eastAsia="仿宋_GB2312" w:cs="仿宋_GB2312"/>
          <w:sz w:val="32"/>
          <w:szCs w:val="32"/>
          <w:highlight w:val="none"/>
          <w:u w:val="none"/>
          <w:lang w:val="en-US" w:eastAsia="zh-CN"/>
        </w:rPr>
        <w:t>3</w:t>
      </w:r>
      <w:r>
        <w:rPr>
          <w:rFonts w:hint="eastAsia" w:ascii="仿宋_GB2312" w:hAnsi="仿宋_GB2312" w:eastAsia="仿宋_GB2312" w:cs="仿宋_GB2312"/>
          <w:sz w:val="32"/>
          <w:szCs w:val="32"/>
          <w:highlight w:val="none"/>
          <w:u w:val="none"/>
          <w:lang w:val="zh-CN" w:eastAsia="zh-CN"/>
        </w:rPr>
        <w:t>个，涉及预算总金额</w:t>
      </w:r>
      <w:r>
        <w:rPr>
          <w:rFonts w:hint="eastAsia" w:ascii="仿宋_GB2312" w:hAnsi="仿宋_GB2312" w:eastAsia="仿宋_GB2312" w:cs="仿宋_GB2312"/>
          <w:sz w:val="32"/>
          <w:szCs w:val="32"/>
          <w:highlight w:val="none"/>
          <w:u w:val="none"/>
          <w:lang w:val="en-US" w:eastAsia="zh-CN"/>
        </w:rPr>
        <w:t>631</w:t>
      </w:r>
      <w:r>
        <w:rPr>
          <w:rFonts w:hint="eastAsia" w:ascii="仿宋_GB2312" w:hAnsi="仿宋_GB2312" w:eastAsia="仿宋_GB2312" w:cs="仿宋_GB2312"/>
          <w:sz w:val="32"/>
          <w:szCs w:val="32"/>
          <w:highlight w:val="none"/>
          <w:u w:val="none"/>
          <w:lang w:val="zh-CN" w:eastAsia="zh-CN"/>
        </w:rPr>
        <w:t>万元，</w:t>
      </w:r>
      <w:r>
        <w:rPr>
          <w:rFonts w:hint="eastAsia" w:ascii="仿宋_GB2312" w:hAnsi="仿宋_GB2312" w:eastAsia="仿宋_GB2312" w:cs="仿宋_GB2312"/>
          <w:sz w:val="32"/>
          <w:szCs w:val="32"/>
          <w:highlight w:val="none"/>
          <w:u w:val="none"/>
          <w:lang w:val="zh-CN"/>
        </w:rPr>
        <w:t>1</w:t>
      </w:r>
      <w:r>
        <w:rPr>
          <w:rFonts w:hint="eastAsia" w:ascii="仿宋_GB2312" w:hAnsi="仿宋_GB2312" w:eastAsia="仿宋_GB2312" w:cs="仿宋_GB2312"/>
          <w:sz w:val="32"/>
          <w:szCs w:val="32"/>
          <w:highlight w:val="none"/>
          <w:u w:val="none"/>
          <w:lang w:val="zh-CN" w:eastAsia="zh-CN"/>
        </w:rPr>
        <w:t>—</w:t>
      </w:r>
      <w:r>
        <w:rPr>
          <w:rFonts w:hint="eastAsia" w:ascii="仿宋_GB2312" w:hAnsi="仿宋_GB2312" w:eastAsia="仿宋_GB2312" w:cs="仿宋_GB2312"/>
          <w:sz w:val="32"/>
          <w:szCs w:val="32"/>
          <w:highlight w:val="none"/>
          <w:u w:val="none"/>
          <w:lang w:val="zh-CN"/>
        </w:rPr>
        <w:t>1</w:t>
      </w:r>
      <w:r>
        <w:rPr>
          <w:rFonts w:hint="eastAsia" w:ascii="仿宋_GB2312" w:hAnsi="仿宋_GB2312" w:eastAsia="仿宋_GB2312" w:cs="仿宋_GB2312"/>
          <w:sz w:val="32"/>
          <w:szCs w:val="32"/>
          <w:highlight w:val="none"/>
          <w:u w:val="none"/>
          <w:lang w:val="en-US" w:eastAsia="zh-CN"/>
        </w:rPr>
        <w:t>2</w:t>
      </w:r>
      <w:r>
        <w:rPr>
          <w:rFonts w:hint="eastAsia" w:ascii="仿宋_GB2312" w:hAnsi="仿宋_GB2312" w:eastAsia="仿宋_GB2312" w:cs="仿宋_GB2312"/>
          <w:sz w:val="32"/>
          <w:szCs w:val="32"/>
          <w:highlight w:val="none"/>
          <w:u w:val="none"/>
          <w:lang w:val="zh-CN"/>
        </w:rPr>
        <w:t>月预算执行总体进度为</w:t>
      </w:r>
      <w:r>
        <w:rPr>
          <w:rFonts w:hint="eastAsia" w:ascii="仿宋_GB2312" w:hAnsi="仿宋_GB2312" w:eastAsia="仿宋_GB2312" w:cs="仿宋_GB2312"/>
          <w:sz w:val="32"/>
          <w:szCs w:val="32"/>
          <w:highlight w:val="none"/>
          <w:u w:val="none"/>
          <w:lang w:val="en-US" w:eastAsia="zh-CN"/>
        </w:rPr>
        <w:t>84.1</w:t>
      </w:r>
      <w:r>
        <w:rPr>
          <w:rFonts w:hint="eastAsia" w:ascii="仿宋_GB2312" w:hAnsi="仿宋_GB2312" w:eastAsia="仿宋_GB2312" w:cs="仿宋_GB2312"/>
          <w:sz w:val="32"/>
          <w:szCs w:val="32"/>
          <w:highlight w:val="none"/>
          <w:u w:val="none"/>
          <w:lang w:val="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u w:val="none"/>
          <w:lang w:val="zh-CN"/>
        </w:rPr>
      </w:pPr>
      <w:r>
        <w:rPr>
          <w:rFonts w:hint="eastAsia" w:ascii="仿宋_GB2312" w:hAnsi="仿宋_GB2312" w:eastAsia="仿宋_GB2312" w:cs="仿宋_GB2312"/>
          <w:color w:val="000000"/>
          <w:kern w:val="0"/>
          <w:sz w:val="32"/>
          <w:szCs w:val="32"/>
          <w:highlight w:val="none"/>
          <w:shd w:val="clear" w:color="auto" w:fill="FFFFFF"/>
          <w:lang w:val="zh-CN"/>
        </w:rPr>
        <w:t>项目决策。</w:t>
      </w:r>
      <w:r>
        <w:rPr>
          <w:rFonts w:hint="eastAsia" w:ascii="仿宋_GB2312" w:hAnsi="仿宋_GB2312" w:eastAsia="仿宋_GB2312" w:cs="仿宋_GB2312"/>
          <w:sz w:val="32"/>
          <w:szCs w:val="32"/>
          <w:highlight w:val="none"/>
          <w:u w:val="none"/>
          <w:lang w:val="zh-CN"/>
        </w:rPr>
        <w:t>一是部门预算项目设立按规定履行评估论证、申报程序。二是部门预</w:t>
      </w:r>
      <w:r>
        <w:rPr>
          <w:rFonts w:hint="eastAsia" w:ascii="仿宋_GB2312" w:hAnsi="仿宋_GB2312" w:eastAsia="仿宋_GB2312" w:cs="仿宋_GB2312"/>
          <w:sz w:val="32"/>
          <w:szCs w:val="32"/>
          <w:u w:val="none"/>
          <w:lang w:val="zh-CN"/>
        </w:rPr>
        <w:t>算项目绩效目标与计划期内的任务量、预算安排的资金量匹配，绩效目标设置科学合理、规范完整、量化细化、预算匹配。三是部门预算项目在规定时间完成项目入库。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2.项目执行。</w:t>
      </w:r>
      <w:r>
        <w:rPr>
          <w:rFonts w:hint="eastAsia" w:ascii="仿宋_GB2312" w:hAnsi="仿宋_GB2312" w:eastAsia="仿宋_GB2312" w:cs="仿宋_GB2312"/>
          <w:color w:val="000000"/>
          <w:kern w:val="2"/>
          <w:sz w:val="32"/>
          <w:szCs w:val="32"/>
          <w:highlight w:val="none"/>
          <w:shd w:val="clear" w:color="auto" w:fill="auto"/>
          <w:lang w:val="zh-CN" w:eastAsia="zh-CN"/>
        </w:rPr>
        <w:t>一是部门预算项目实际列支内容是否与绩效目标设置方向相符</w:t>
      </w:r>
      <w:r>
        <w:rPr>
          <w:rFonts w:hint="eastAsia" w:ascii="仿宋_GB2312" w:hAnsi="仿宋_GB2312" w:eastAsia="仿宋_GB2312" w:cs="仿宋_GB2312"/>
          <w:color w:val="000000"/>
          <w:kern w:val="2"/>
          <w:sz w:val="32"/>
          <w:szCs w:val="32"/>
          <w:highlight w:val="none"/>
          <w:shd w:val="clear" w:color="auto" w:fill="auto"/>
          <w:lang w:val="zh-CN"/>
        </w:rPr>
        <w:t>。</w:t>
      </w:r>
      <w:r>
        <w:rPr>
          <w:rFonts w:hint="eastAsia" w:ascii="仿宋_GB2312" w:hAnsi="仿宋_GB2312" w:eastAsia="仿宋_GB2312" w:cs="仿宋_GB2312"/>
          <w:sz w:val="32"/>
          <w:szCs w:val="32"/>
          <w:u w:val="none"/>
          <w:lang w:val="zh-CN"/>
        </w:rPr>
        <w:t>二是部门预算项目采取了对应调整措施，如对预算滞后的预算项目采取督促相关科室加快进度的调整措施。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u w:val="none"/>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目标实现。</w:t>
      </w:r>
      <w:r>
        <w:rPr>
          <w:rFonts w:hint="eastAsia" w:ascii="仿宋_GB2312" w:hAnsi="仿宋_GB2312" w:eastAsia="仿宋_GB2312" w:cs="仿宋_GB2312"/>
          <w:sz w:val="32"/>
          <w:szCs w:val="32"/>
          <w:u w:val="none"/>
          <w:lang w:val="zh-CN"/>
        </w:rPr>
        <w:t>围绕目标完成、目标偏离、实现效果进行绩效分析。一是部门预算项目绩效目标数量指标全部完成。二是部门预算项目均按照绩效目标实现，未存在偏离。三是部门预算项目均完成绩效目标效益，审判质效不断提升、司法改革不断深化，反腐维稳工作持续推进。</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zh-CN"/>
        </w:rPr>
        <w:t>（三）</w:t>
      </w:r>
      <w:r>
        <w:rPr>
          <w:rFonts w:hint="eastAsia" w:ascii="仿宋_GB2312" w:hAnsi="仿宋_GB2312" w:eastAsia="仿宋_GB2312" w:cs="仿宋_GB2312"/>
          <w:b/>
          <w:bCs/>
          <w:color w:val="000000"/>
          <w:kern w:val="0"/>
          <w:sz w:val="32"/>
          <w:szCs w:val="32"/>
          <w:highlight w:val="none"/>
          <w:shd w:val="clear" w:color="auto" w:fill="FFFFFF"/>
          <w:lang w:val="zh-CN" w:eastAsia="zh-CN"/>
        </w:rPr>
        <w:t>重点领域</w:t>
      </w:r>
      <w:r>
        <w:rPr>
          <w:rFonts w:hint="eastAsia" w:ascii="仿宋_GB2312" w:hAnsi="仿宋_GB2312" w:eastAsia="仿宋_GB2312" w:cs="仿宋_GB2312"/>
          <w:b/>
          <w:bCs/>
          <w:color w:val="000000"/>
          <w:kern w:val="0"/>
          <w:sz w:val="32"/>
          <w:szCs w:val="32"/>
          <w:highlight w:val="none"/>
          <w:shd w:val="clear" w:color="auto" w:fill="FFFFFF"/>
          <w:lang w:val="zh-CN"/>
        </w:rPr>
        <w:t>绩效分析</w:t>
      </w:r>
      <w:r>
        <w:rPr>
          <w:rFonts w:hint="eastAsia" w:ascii="仿宋_GB2312" w:hAnsi="仿宋_GB2312" w:eastAsia="仿宋_GB2312" w:cs="仿宋_GB2312"/>
          <w:b/>
          <w:bCs/>
          <w:color w:val="000000"/>
          <w:kern w:val="0"/>
          <w:sz w:val="32"/>
          <w:szCs w:val="32"/>
          <w:highlight w:val="none"/>
          <w:shd w:val="clear" w:color="auto" w:fill="FFFFFF"/>
          <w:lang w:val="zh-CN" w:eastAsia="zh-CN"/>
        </w:rPr>
        <w:t>。</w:t>
      </w:r>
      <w:r>
        <w:rPr>
          <w:rFonts w:hint="eastAsia" w:ascii="仿宋_GB2312" w:hAnsi="仿宋_GB2312" w:eastAsia="仿宋_GB2312" w:cs="仿宋_GB2312"/>
          <w:sz w:val="32"/>
          <w:szCs w:val="32"/>
          <w:u w:val="none"/>
          <w:lang w:val="en-US" w:eastAsia="zh-CN"/>
        </w:rPr>
        <w:t>2024年度</w:t>
      </w:r>
      <w:r>
        <w:rPr>
          <w:rFonts w:hint="eastAsia" w:ascii="仿宋_GB2312" w:hAnsi="仿宋_GB2312" w:eastAsia="仿宋_GB2312" w:cs="仿宋_GB2312"/>
          <w:sz w:val="32"/>
          <w:szCs w:val="32"/>
          <w:u w:val="none"/>
          <w:lang w:eastAsia="zh-CN"/>
        </w:rPr>
        <w:t>不</w:t>
      </w:r>
      <w:r>
        <w:rPr>
          <w:rFonts w:hint="eastAsia" w:ascii="仿宋_GB2312" w:hAnsi="仿宋_GB2312" w:eastAsia="仿宋_GB2312" w:cs="仿宋_GB2312"/>
          <w:sz w:val="32"/>
          <w:szCs w:val="32"/>
          <w:u w:val="none"/>
        </w:rPr>
        <w:t>涉及国有资本、行政事业性国有资产、债券</w:t>
      </w:r>
      <w:r>
        <w:rPr>
          <w:rFonts w:hint="eastAsia" w:ascii="仿宋_GB2312" w:hAnsi="仿宋_GB2312" w:eastAsia="仿宋_GB2312" w:cs="仿宋_GB2312"/>
          <w:sz w:val="32"/>
          <w:szCs w:val="32"/>
          <w:u w:val="none"/>
          <w:lang w:eastAsia="zh-CN"/>
        </w:rPr>
        <w:t>资金、政府采购和政府购买服务等重点领域。</w:t>
      </w:r>
    </w:p>
    <w:p>
      <w:pPr>
        <w:keepNext w:val="0"/>
        <w:keepLines w:val="0"/>
        <w:pageBreakBefore w:val="0"/>
        <w:widowControl w:val="0"/>
        <w:kinsoku/>
        <w:wordWrap/>
        <w:overflowPunct/>
        <w:topLinePunct w:val="0"/>
        <w:autoSpaceDE/>
        <w:autoSpaceDN/>
        <w:bidi w:val="0"/>
        <w:snapToGrid w:val="0"/>
        <w:spacing w:line="600" w:lineRule="exact"/>
        <w:ind w:firstLine="64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lang w:val="zh-CN"/>
        </w:rPr>
        <w:t>（四）绩效结果应用情况。</w:t>
      </w:r>
      <w:r>
        <w:rPr>
          <w:rFonts w:hint="eastAsia" w:ascii="仿宋_GB2312" w:hAnsi="仿宋_GB2312" w:eastAsia="仿宋_GB2312" w:cs="仿宋_GB2312"/>
          <w:sz w:val="32"/>
          <w:szCs w:val="32"/>
          <w:u w:val="none"/>
        </w:rPr>
        <w:t>绩效结果作为组织决策的重要依据，为管理层提供了客观、全面的信息支持。通过对绩效数据的分析，管理层能够及时了解</w:t>
      </w:r>
      <w:r>
        <w:rPr>
          <w:rFonts w:hint="eastAsia" w:ascii="仿宋_GB2312" w:hAnsi="仿宋_GB2312" w:eastAsia="仿宋_GB2312" w:cs="仿宋_GB2312"/>
          <w:sz w:val="32"/>
          <w:szCs w:val="32"/>
          <w:u w:val="none"/>
          <w:lang w:eastAsia="zh-CN"/>
        </w:rPr>
        <w:t>项目推进</w:t>
      </w:r>
      <w:r>
        <w:rPr>
          <w:rFonts w:hint="eastAsia" w:ascii="仿宋_GB2312" w:hAnsi="仿宋_GB2312" w:eastAsia="仿宋_GB2312" w:cs="仿宋_GB2312"/>
          <w:sz w:val="32"/>
          <w:szCs w:val="32"/>
          <w:u w:val="none"/>
        </w:rPr>
        <w:t>状况，发现潜在问题，优化资源配置，推动</w:t>
      </w:r>
      <w:r>
        <w:rPr>
          <w:rFonts w:hint="eastAsia" w:ascii="仿宋_GB2312" w:hAnsi="仿宋_GB2312" w:eastAsia="仿宋_GB2312" w:cs="仿宋_GB2312"/>
          <w:sz w:val="32"/>
          <w:szCs w:val="32"/>
          <w:u w:val="none"/>
          <w:lang w:eastAsia="zh-CN"/>
        </w:rPr>
        <w:t>单位项目</w:t>
      </w:r>
      <w:r>
        <w:rPr>
          <w:rFonts w:hint="eastAsia" w:ascii="仿宋_GB2312" w:hAnsi="仿宋_GB2312" w:eastAsia="仿宋_GB2312" w:cs="仿宋_GB2312"/>
          <w:sz w:val="32"/>
          <w:szCs w:val="32"/>
          <w:u w:val="none"/>
        </w:rPr>
        <w:t>目标的实现</w:t>
      </w:r>
      <w:r>
        <w:rPr>
          <w:rFonts w:hint="eastAsia" w:ascii="仿宋_GB2312" w:hAnsi="仿宋_GB2312" w:eastAsia="仿宋_GB2312" w:cs="仿宋_GB2312"/>
          <w:sz w:val="32"/>
          <w:szCs w:val="32"/>
          <w:u w:val="none"/>
          <w:lang w:val="zh-CN"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lang w:eastAsia="zh-CN"/>
        </w:rPr>
        <w:t>四、</w:t>
      </w:r>
      <w:r>
        <w:rPr>
          <w:rFonts w:hint="eastAsia" w:ascii="仿宋_GB2312" w:hAnsi="仿宋_GB2312" w:eastAsia="仿宋_GB2312" w:cs="仿宋_GB2312"/>
          <w:color w:val="000000"/>
          <w:kern w:val="0"/>
          <w:sz w:val="32"/>
          <w:szCs w:val="32"/>
          <w:highlight w:val="none"/>
          <w:shd w:val="clear" w:color="auto" w:fill="FFFFFF"/>
        </w:rPr>
        <w:t>评价结论及建议</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b/>
          <w:bCs/>
          <w:color w:val="000000"/>
          <w:kern w:val="0"/>
          <w:sz w:val="32"/>
          <w:szCs w:val="32"/>
          <w:highlight w:val="none"/>
          <w:shd w:val="clear" w:color="auto" w:fill="FFFFFF"/>
          <w:lang w:val="zh-CN"/>
        </w:rPr>
        <w:t>（一）评价结论。</w:t>
      </w:r>
      <w:r>
        <w:rPr>
          <w:rFonts w:hint="eastAsia" w:ascii="仿宋_GB2312" w:hAnsi="仿宋_GB2312" w:eastAsia="仿宋_GB2312" w:cs="仿宋_GB2312"/>
          <w:b w:val="0"/>
          <w:bCs w:val="0"/>
          <w:color w:val="000000"/>
          <w:kern w:val="2"/>
          <w:sz w:val="32"/>
          <w:szCs w:val="32"/>
          <w:highlight w:val="none"/>
          <w:shd w:val="clear" w:color="auto" w:fill="auto"/>
          <w:lang w:val="zh-CN"/>
        </w:rPr>
        <w:t>经过全面、客观的绩效自评，本部门本年度预算执行情况总体良好，达到了预期目标，并在多个方面取得了显著成效。预算资金的使用效率较高，资源配置基本合理。自评得分</w:t>
      </w:r>
      <w:r>
        <w:rPr>
          <w:rFonts w:hint="eastAsia" w:ascii="仿宋_GB2312" w:hAnsi="仿宋_GB2312" w:eastAsia="仿宋_GB2312" w:cs="仿宋_GB2312"/>
          <w:b w:val="0"/>
          <w:bCs w:val="0"/>
          <w:kern w:val="2"/>
          <w:sz w:val="32"/>
          <w:szCs w:val="32"/>
          <w:highlight w:val="none"/>
          <w:shd w:val="clear" w:color="auto" w:fill="auto"/>
          <w:lang w:val="en-US" w:eastAsia="zh-CN"/>
        </w:rPr>
        <w:t>90.6分</w:t>
      </w:r>
      <w:r>
        <w:rPr>
          <w:rFonts w:hint="eastAsia" w:ascii="仿宋_GB2312" w:hAnsi="仿宋_GB2312" w:eastAsia="仿宋_GB2312" w:cs="仿宋_GB2312"/>
          <w:b w:val="0"/>
          <w:bCs w:val="0"/>
          <w:color w:val="000000"/>
          <w:kern w:val="2"/>
          <w:sz w:val="32"/>
          <w:szCs w:val="32"/>
          <w:highlight w:val="none"/>
          <w:shd w:val="clear" w:color="auto" w:fill="auto"/>
          <w:lang w:val="en-US" w:eastAsia="zh-CN"/>
        </w:rPr>
        <w:t>。</w:t>
      </w:r>
      <w:r>
        <w:rPr>
          <w:rFonts w:hint="eastAsia" w:ascii="仿宋_GB2312" w:hAnsi="仿宋_GB2312" w:eastAsia="仿宋_GB2312" w:cs="仿宋_GB2312"/>
          <w:b w:val="0"/>
          <w:bCs w:val="0"/>
          <w:color w:val="000000"/>
          <w:kern w:val="2"/>
          <w:sz w:val="32"/>
          <w:szCs w:val="32"/>
          <w:highlight w:val="none"/>
          <w:shd w:val="clear" w:color="auto" w:fill="auto"/>
          <w:lang w:val="zh-CN"/>
        </w:rPr>
        <w:t>同时，我们也认识到在预算执行过程中仍存在一些不足和需要改进的地方，如部分项目执行进度不够理想、成本控制需进一步加强等。从绩效自评的结果来看，本部门在预算管理、项目实施、成本控制、绩效评价等方面均有一定的提升，但仍有较大的提升空间。未来，我们将继续加强预算绩效管理，完善预算管理制度，优化预算安排，强化预算执行监督，确保预算资金的安全、合规和高效使用。同时，我们也将针对存在的问题和不足，采取切实有效的措施加以改进，以进一步提升预算绩效水平，为部门的发展和目标的实现提供有力保障。</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zh-CN"/>
        </w:rPr>
        <w:t>（二）存在问题。</w:t>
      </w:r>
      <w:r>
        <w:rPr>
          <w:rFonts w:hint="eastAsia" w:ascii="仿宋_GB2312" w:hAnsi="仿宋_GB2312" w:eastAsia="仿宋_GB2312" w:cs="仿宋_GB2312"/>
          <w:sz w:val="32"/>
          <w:szCs w:val="32"/>
          <w:u w:val="none"/>
          <w:lang w:val="en-US" w:eastAsia="zh-CN"/>
        </w:rPr>
        <w:t>一是执行效率不高：部分项目在执行过程中存在进度滞后、资金到位不及时等问题，影响了项目的整体效率。这可能是由于项目管理不善、资源调配不合理或跨部门协调不畅等原因造成的。二是绩效目标不明确或难以量化：部分预算项目的绩效目标设定不够明确或难以量化，使得绩效评价难以准确反映项目的实际效果。这可能导致资金使用的方向偏离初衷，影响预算的整体效益。</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b/>
          <w:bCs/>
          <w:color w:val="000000"/>
          <w:kern w:val="0"/>
          <w:sz w:val="32"/>
          <w:szCs w:val="32"/>
          <w:highlight w:val="none"/>
          <w:shd w:val="clear" w:color="auto" w:fill="FFFFFF"/>
          <w:lang w:val="zh-CN" w:eastAsia="zh-CN"/>
        </w:rPr>
        <w:t>（三）改进建议。</w:t>
      </w:r>
      <w:r>
        <w:rPr>
          <w:rFonts w:hint="eastAsia" w:ascii="仿宋_GB2312" w:hAnsi="仿宋_GB2312" w:eastAsia="仿宋_GB2312" w:cs="仿宋_GB2312"/>
          <w:b w:val="0"/>
          <w:bCs w:val="0"/>
          <w:color w:val="000000"/>
          <w:kern w:val="2"/>
          <w:sz w:val="32"/>
          <w:szCs w:val="32"/>
          <w:highlight w:val="none"/>
          <w:shd w:val="clear" w:color="auto" w:fill="auto"/>
          <w:lang w:val="zh-CN" w:eastAsia="zh-CN"/>
        </w:rPr>
        <w:t>一是</w:t>
      </w:r>
      <w:r>
        <w:rPr>
          <w:rFonts w:hint="eastAsia" w:ascii="仿宋_GB2312" w:hAnsi="仿宋_GB2312" w:eastAsia="仿宋_GB2312" w:cs="仿宋_GB2312"/>
          <w:b w:val="0"/>
          <w:bCs w:val="0"/>
          <w:color w:val="000000"/>
          <w:kern w:val="2"/>
          <w:sz w:val="32"/>
          <w:szCs w:val="32"/>
          <w:highlight w:val="none"/>
          <w:shd w:val="clear" w:color="auto" w:fill="auto"/>
          <w:lang w:val="zh-CN"/>
        </w:rPr>
        <w:t>压实预算执行主体责任。明确职责分工压实预算执行主体责任，加强监督与调度，紧盯预算执行过程，定期对单位资金支出进度进行调整，重点关注资金支出绩效，加强预算执行和绩效管理，确保预算资金的有效利用。</w:t>
      </w:r>
      <w:bookmarkStart w:id="47" w:name="_Hlk110546638"/>
    </w:p>
    <w:bookmarkEnd w:id="47"/>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p>
    <w:p>
      <w:pPr>
        <w:keepNext w:val="0"/>
        <w:keepLines w:val="0"/>
        <w:pageBreakBefore w:val="0"/>
        <w:kinsoku/>
        <w:wordWrap/>
        <w:overflowPunct/>
        <w:topLinePunct w:val="0"/>
        <w:autoSpaceDE/>
        <w:autoSpaceDN/>
        <w:bidi w:val="0"/>
        <w:spacing w:line="578" w:lineRule="exact"/>
        <w:contextualSpacing/>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kern w:val="2"/>
          <w:sz w:val="32"/>
          <w:szCs w:val="24"/>
          <w:highlight w:val="none"/>
          <w:lang w:val="en-US" w:eastAsia="zh-CN" w:bidi="ar-SA"/>
        </w:rPr>
      </w:pPr>
      <w:r>
        <w:rPr>
          <w:rFonts w:hint="eastAsia" w:ascii="仿宋_GB2312" w:hAnsi="仿宋_GB2312" w:eastAsia="仿宋_GB2312" w:cs="仿宋_GB2312"/>
          <w:color w:val="000000"/>
          <w:kern w:val="0"/>
          <w:sz w:val="32"/>
          <w:szCs w:val="32"/>
          <w:highlight w:val="none"/>
          <w:shd w:val="clear" w:color="auto" w:fill="FFFFFF"/>
          <w:lang w:val="en-US" w:eastAsia="zh-CN"/>
        </w:rPr>
        <w:t>附表：部门整体支出绩效目标完成情况自评表</w:t>
      </w:r>
      <w:r>
        <w:rPr>
          <w:rFonts w:hint="default" w:ascii="Times New Roman" w:hAnsi="Times New Roman" w:cs="Times New Roman"/>
          <w:color w:val="000000"/>
          <w:kern w:val="0"/>
          <w:szCs w:val="32"/>
          <w:highlight w:val="none"/>
          <w:shd w:val="clear" w:color="auto" w:fill="FFFFFF"/>
          <w:lang w:val="en-US" w:eastAsia="zh-CN"/>
        </w:rPr>
        <w:br w:type="page"/>
      </w:r>
      <w:r>
        <w:rPr>
          <w:rFonts w:hint="eastAsia" w:ascii="黑体" w:hAnsi="黑体" w:eastAsia="黑体" w:cs="黑体"/>
          <w:kern w:val="2"/>
          <w:sz w:val="32"/>
          <w:szCs w:val="24"/>
          <w:highlight w:val="none"/>
          <w:lang w:val="en-US" w:eastAsia="zh-CN" w:bidi="ar-SA"/>
        </w:rPr>
        <w:t>附表</w:t>
      </w:r>
    </w:p>
    <w:tbl>
      <w:tblPr>
        <w:tblStyle w:val="17"/>
        <w:tblW w:w="10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09"/>
        <w:gridCol w:w="1347"/>
        <w:gridCol w:w="636"/>
        <w:gridCol w:w="637"/>
        <w:gridCol w:w="1100"/>
        <w:gridCol w:w="1144"/>
        <w:gridCol w:w="1"/>
        <w:gridCol w:w="1289"/>
        <w:gridCol w:w="1058"/>
        <w:gridCol w:w="926"/>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2" w:hRule="exact"/>
          <w:jc w:val="center"/>
        </w:trPr>
        <w:tc>
          <w:tcPr>
            <w:tcW w:w="10560" w:type="dxa"/>
            <w:gridSpan w:val="1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560" w:type="dxa"/>
            <w:gridSpan w:val="1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560" w:type="dxa"/>
            <w:gridSpan w:val="1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929"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kern w:val="0"/>
                <w:sz w:val="24"/>
                <w:szCs w:val="24"/>
                <w:u w:val="none"/>
                <w:lang w:val="en-US" w:eastAsia="zh-CN" w:bidi="ar"/>
              </w:rPr>
              <w:t>汶川县人民法院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0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2664.64</w:t>
            </w:r>
          </w:p>
        </w:tc>
        <w:tc>
          <w:tcPr>
            <w:tcW w:w="224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2664.64</w:t>
            </w:r>
          </w:p>
        </w:tc>
        <w:tc>
          <w:tcPr>
            <w:tcW w:w="4387" w:type="dxa"/>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10"/>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坚持执法办案，着力服务平安汶川建设，严格依法履职，全力维护社会公平正义；2、坚持阳光司法，着力推进公正司法。切实加强审判管理，加大司法公开力度，着力打造智慧法院；3、深化司法改革，促进审判体系现代化，落实司法责任制改革要求，推进综合配套改革，推进矛盾纠纷多元化化解和案件繁简分流；4、坚持围绕中心，着力服务工作大局，积极开展反腐维稳，倾情助力乡村振兴，奋力推进依法常态化治理；5、坚持从严治院，着力打造过硬队伍，推进思想政治建设，加强司法能力建设，抓好党风廉政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0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3"/>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保障人员经费，保障人员正常办公</w:t>
            </w:r>
          </w:p>
        </w:tc>
        <w:tc>
          <w:tcPr>
            <w:tcW w:w="6631" w:type="dxa"/>
            <w:gridSpan w:val="7"/>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保障法院在职人员正常办公、生活秩序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3"/>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保障案件立案、案件调解、审判、执行的顺利开展</w:t>
            </w:r>
          </w:p>
        </w:tc>
        <w:tc>
          <w:tcPr>
            <w:tcW w:w="6631" w:type="dxa"/>
            <w:gridSpan w:val="7"/>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保障法院针对法律问题提出建议、指导及调解；保障法院依法审理应当由本院审理的刑事、民事、行政、执行等案件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3"/>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法律宣传及其他工作</w:t>
            </w:r>
          </w:p>
        </w:tc>
        <w:tc>
          <w:tcPr>
            <w:tcW w:w="6631" w:type="dxa"/>
            <w:gridSpan w:val="7"/>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保障法院积极参与社会治安综合治理，通过审判活动、宣传法制和其他方式教育公民自觉遵纪守法他遵守社会公德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0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4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产出指标</w:t>
            </w:r>
          </w:p>
        </w:tc>
        <w:tc>
          <w:tcPr>
            <w:tcW w:w="1273" w:type="dxa"/>
            <w:gridSpan w:val="2"/>
            <w:vMerge w:val="restar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数量指标</w:t>
            </w:r>
          </w:p>
        </w:tc>
        <w:tc>
          <w:tcPr>
            <w:tcW w:w="1100"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办结案件数</w:t>
            </w:r>
          </w:p>
        </w:tc>
        <w:tc>
          <w:tcPr>
            <w:tcW w:w="1145" w:type="dxa"/>
            <w:gridSpan w:val="2"/>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1000</w:t>
            </w:r>
          </w:p>
        </w:tc>
        <w:tc>
          <w:tcPr>
            <w:tcW w:w="1058"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案件数</w:t>
            </w:r>
          </w:p>
        </w:tc>
        <w:tc>
          <w:tcPr>
            <w:tcW w:w="926"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w:t>
            </w:r>
          </w:p>
        </w:tc>
        <w:tc>
          <w:tcPr>
            <w:tcW w:w="1113"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1190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noWrap w:val="0"/>
            <w:vAlign w:val="center"/>
          </w:tcPr>
          <w:p>
            <w:pPr>
              <w:jc w:val="left"/>
              <w:rPr>
                <w:rFonts w:hint="default" w:ascii="Times New Roman" w:hAnsi="Times New Roman" w:eastAsia="宋体" w:cs="Times New Roman"/>
                <w:i w:val="0"/>
                <w:color w:val="000000"/>
                <w:sz w:val="24"/>
                <w:szCs w:val="24"/>
                <w:u w:val="none"/>
              </w:rPr>
            </w:pPr>
          </w:p>
        </w:tc>
        <w:tc>
          <w:tcPr>
            <w:tcW w:w="1273" w:type="dxa"/>
            <w:gridSpan w:val="2"/>
            <w:vMerge w:val="continue"/>
            <w:noWrap w:val="0"/>
            <w:vAlign w:val="center"/>
          </w:tcPr>
          <w:p>
            <w:pPr>
              <w:rPr>
                <w:rFonts w:hint="default" w:ascii="Times New Roman" w:hAnsi="Times New Roman" w:eastAsia="宋体" w:cs="Times New Roman"/>
                <w:i w:val="0"/>
                <w:color w:val="000000"/>
                <w:sz w:val="24"/>
                <w:szCs w:val="24"/>
                <w:u w:val="none"/>
              </w:rPr>
            </w:pPr>
          </w:p>
        </w:tc>
        <w:tc>
          <w:tcPr>
            <w:tcW w:w="1100"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保障法院在职人员、聘用书记员等正常办公</w:t>
            </w:r>
          </w:p>
        </w:tc>
        <w:tc>
          <w:tcPr>
            <w:tcW w:w="1145" w:type="dxa"/>
            <w:gridSpan w:val="2"/>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84</w:t>
            </w:r>
          </w:p>
        </w:tc>
        <w:tc>
          <w:tcPr>
            <w:tcW w:w="1058"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人</w:t>
            </w:r>
          </w:p>
        </w:tc>
        <w:tc>
          <w:tcPr>
            <w:tcW w:w="926"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w:t>
            </w:r>
          </w:p>
        </w:tc>
        <w:tc>
          <w:tcPr>
            <w:tcW w:w="1113" w:type="dxa"/>
            <w:noWrap w:val="0"/>
            <w:vAlign w:val="center"/>
          </w:tcPr>
          <w:p>
            <w:pPr>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noWrap w:val="0"/>
            <w:vAlign w:val="center"/>
          </w:tcPr>
          <w:p>
            <w:pPr>
              <w:jc w:val="left"/>
              <w:rPr>
                <w:rFonts w:hint="default" w:ascii="Times New Roman" w:hAnsi="Times New Roman" w:eastAsia="宋体" w:cs="Times New Roman"/>
                <w:i w:val="0"/>
                <w:color w:val="000000"/>
                <w:sz w:val="24"/>
                <w:szCs w:val="24"/>
                <w:u w:val="none"/>
              </w:rPr>
            </w:pPr>
          </w:p>
        </w:tc>
        <w:tc>
          <w:tcPr>
            <w:tcW w:w="1273" w:type="dxa"/>
            <w:gridSpan w:val="2"/>
            <w:vMerge w:val="continue"/>
            <w:noWrap w:val="0"/>
            <w:vAlign w:val="center"/>
          </w:tcPr>
          <w:p>
            <w:pPr>
              <w:rPr>
                <w:rFonts w:hint="default" w:ascii="Times New Roman" w:hAnsi="Times New Roman" w:eastAsia="宋体" w:cs="Times New Roman"/>
                <w:i w:val="0"/>
                <w:color w:val="000000"/>
                <w:sz w:val="24"/>
                <w:szCs w:val="24"/>
                <w:u w:val="none"/>
              </w:rPr>
            </w:pPr>
          </w:p>
        </w:tc>
        <w:tc>
          <w:tcPr>
            <w:tcW w:w="1100"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受理案件数</w:t>
            </w:r>
          </w:p>
        </w:tc>
        <w:tc>
          <w:tcPr>
            <w:tcW w:w="1145" w:type="dxa"/>
            <w:gridSpan w:val="2"/>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1000</w:t>
            </w:r>
          </w:p>
        </w:tc>
        <w:tc>
          <w:tcPr>
            <w:tcW w:w="1058"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件</w:t>
            </w:r>
          </w:p>
        </w:tc>
        <w:tc>
          <w:tcPr>
            <w:tcW w:w="926"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w:t>
            </w:r>
          </w:p>
        </w:tc>
        <w:tc>
          <w:tcPr>
            <w:tcW w:w="1113" w:type="dxa"/>
            <w:noWrap w:val="0"/>
            <w:vAlign w:val="center"/>
          </w:tcPr>
          <w:p>
            <w:pPr>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1</w:t>
            </w:r>
            <w:r>
              <w:rPr>
                <w:rFonts w:hint="eastAsia" w:eastAsia="宋体" w:cs="Times New Roman"/>
                <w:i w:val="0"/>
                <w:color w:val="000000"/>
                <w:sz w:val="24"/>
                <w:szCs w:val="24"/>
                <w:u w:val="none"/>
                <w:lang w:val="en-US" w:eastAsia="zh-CN"/>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noWrap w:val="0"/>
            <w:vAlign w:val="center"/>
          </w:tcPr>
          <w:p>
            <w:pPr>
              <w:jc w:val="left"/>
              <w:rPr>
                <w:rFonts w:hint="default" w:ascii="Times New Roman" w:hAnsi="Times New Roman" w:eastAsia="宋体" w:cs="Times New Roman"/>
                <w:i w:val="0"/>
                <w:color w:val="000000"/>
                <w:sz w:val="24"/>
                <w:szCs w:val="24"/>
                <w:u w:val="none"/>
              </w:rPr>
            </w:pPr>
          </w:p>
        </w:tc>
        <w:tc>
          <w:tcPr>
            <w:tcW w:w="636"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质量指标</w:t>
            </w:r>
          </w:p>
        </w:tc>
        <w:tc>
          <w:tcPr>
            <w:tcW w:w="637" w:type="dxa"/>
            <w:noWrap w:val="0"/>
            <w:vAlign w:val="center"/>
          </w:tcPr>
          <w:p/>
        </w:tc>
        <w:tc>
          <w:tcPr>
            <w:tcW w:w="1100"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案件办结率</w:t>
            </w:r>
          </w:p>
        </w:tc>
        <w:tc>
          <w:tcPr>
            <w:tcW w:w="1145" w:type="dxa"/>
            <w:gridSpan w:val="2"/>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w:t>
            </w:r>
          </w:p>
        </w:tc>
        <w:tc>
          <w:tcPr>
            <w:tcW w:w="1058"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件</w:t>
            </w:r>
          </w:p>
        </w:tc>
        <w:tc>
          <w:tcPr>
            <w:tcW w:w="926"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w:t>
            </w:r>
          </w:p>
        </w:tc>
        <w:tc>
          <w:tcPr>
            <w:tcW w:w="1113" w:type="dxa"/>
            <w:noWrap w:val="0"/>
            <w:vAlign w:val="center"/>
          </w:tcPr>
          <w:p>
            <w:pPr>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noWrap w:val="0"/>
            <w:vAlign w:val="center"/>
          </w:tcPr>
          <w:p>
            <w:pPr>
              <w:jc w:val="left"/>
              <w:rPr>
                <w:rFonts w:hint="default" w:ascii="Times New Roman" w:hAnsi="Times New Roman" w:eastAsia="宋体" w:cs="Times New Roman"/>
                <w:i w:val="0"/>
                <w:color w:val="000000"/>
                <w:sz w:val="24"/>
                <w:szCs w:val="24"/>
                <w:u w:val="none"/>
              </w:rPr>
            </w:pPr>
          </w:p>
        </w:tc>
        <w:tc>
          <w:tcPr>
            <w:tcW w:w="636"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时效指标</w:t>
            </w:r>
          </w:p>
        </w:tc>
        <w:tc>
          <w:tcPr>
            <w:tcW w:w="637" w:type="dxa"/>
            <w:noWrap w:val="0"/>
            <w:vAlign w:val="center"/>
          </w:tcPr>
          <w:p/>
        </w:tc>
        <w:tc>
          <w:tcPr>
            <w:tcW w:w="1100"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相关案件及时审理审判执行</w:t>
            </w:r>
          </w:p>
        </w:tc>
        <w:tc>
          <w:tcPr>
            <w:tcW w:w="1145" w:type="dxa"/>
            <w:gridSpan w:val="2"/>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定性</w:t>
            </w:r>
          </w:p>
        </w:tc>
        <w:tc>
          <w:tcPr>
            <w:tcW w:w="1289"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及时</w:t>
            </w:r>
          </w:p>
        </w:tc>
        <w:tc>
          <w:tcPr>
            <w:tcW w:w="1058"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其他</w:t>
            </w:r>
          </w:p>
        </w:tc>
        <w:tc>
          <w:tcPr>
            <w:tcW w:w="926"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w:t>
            </w:r>
          </w:p>
        </w:tc>
        <w:tc>
          <w:tcPr>
            <w:tcW w:w="1113" w:type="dxa"/>
            <w:noWrap w:val="0"/>
            <w:vAlign w:val="center"/>
          </w:tcPr>
          <w:p>
            <w:pPr>
              <w:jc w:val="left"/>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按时完成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效益指标</w:t>
            </w:r>
          </w:p>
        </w:tc>
        <w:tc>
          <w:tcPr>
            <w:tcW w:w="1273" w:type="dxa"/>
            <w:gridSpan w:val="2"/>
            <w:vMerge w:val="restar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100"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提升案件质量满意度</w:t>
            </w:r>
          </w:p>
        </w:tc>
        <w:tc>
          <w:tcPr>
            <w:tcW w:w="1145" w:type="dxa"/>
            <w:gridSpan w:val="2"/>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定性</w:t>
            </w:r>
          </w:p>
        </w:tc>
        <w:tc>
          <w:tcPr>
            <w:tcW w:w="1289"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有效</w:t>
            </w:r>
          </w:p>
        </w:tc>
        <w:tc>
          <w:tcPr>
            <w:tcW w:w="1058"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其他</w:t>
            </w:r>
          </w:p>
        </w:tc>
        <w:tc>
          <w:tcPr>
            <w:tcW w:w="926"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113"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案件审判质效不断提升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noWrap w:val="0"/>
            <w:vAlign w:val="center"/>
          </w:tcPr>
          <w:p>
            <w:pPr>
              <w:jc w:val="left"/>
              <w:rPr>
                <w:rFonts w:hint="default" w:ascii="Times New Roman" w:hAnsi="Times New Roman" w:eastAsia="宋体" w:cs="Times New Roman"/>
                <w:i w:val="0"/>
                <w:color w:val="000000"/>
                <w:sz w:val="24"/>
                <w:szCs w:val="24"/>
                <w:u w:val="none"/>
              </w:rPr>
            </w:pPr>
          </w:p>
        </w:tc>
        <w:tc>
          <w:tcPr>
            <w:tcW w:w="1273" w:type="dxa"/>
            <w:gridSpan w:val="2"/>
            <w:vMerge w:val="continue"/>
            <w:noWrap w:val="0"/>
            <w:vAlign w:val="center"/>
          </w:tcPr>
          <w:p>
            <w:pPr>
              <w:rPr>
                <w:rFonts w:hint="default" w:ascii="Times New Roman" w:hAnsi="Times New Roman" w:eastAsia="宋体" w:cs="Times New Roman"/>
                <w:i w:val="0"/>
                <w:color w:val="000000"/>
                <w:sz w:val="24"/>
                <w:szCs w:val="24"/>
                <w:u w:val="none"/>
              </w:rPr>
            </w:pPr>
          </w:p>
        </w:tc>
        <w:tc>
          <w:tcPr>
            <w:tcW w:w="1100"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提升社会满意度</w:t>
            </w:r>
          </w:p>
        </w:tc>
        <w:tc>
          <w:tcPr>
            <w:tcW w:w="1145" w:type="dxa"/>
            <w:gridSpan w:val="2"/>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定性</w:t>
            </w:r>
          </w:p>
        </w:tc>
        <w:tc>
          <w:tcPr>
            <w:tcW w:w="1289"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有效</w:t>
            </w:r>
          </w:p>
        </w:tc>
        <w:tc>
          <w:tcPr>
            <w:tcW w:w="1058"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其他</w:t>
            </w:r>
          </w:p>
        </w:tc>
        <w:tc>
          <w:tcPr>
            <w:tcW w:w="926"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113" w:type="dxa"/>
            <w:noWrap w:val="0"/>
            <w:vAlign w:val="center"/>
          </w:tcPr>
          <w:p>
            <w:pPr>
              <w:jc w:val="left"/>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社会满意度不断提升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noWrap w:val="0"/>
            <w:vAlign w:val="center"/>
          </w:tcPr>
          <w:p>
            <w:pPr>
              <w:jc w:val="left"/>
              <w:rPr>
                <w:rFonts w:hint="default" w:ascii="Times New Roman" w:hAnsi="Times New Roman" w:eastAsia="宋体" w:cs="Times New Roman"/>
                <w:i w:val="0"/>
                <w:color w:val="000000"/>
                <w:sz w:val="24"/>
                <w:szCs w:val="24"/>
                <w:u w:val="none"/>
              </w:rPr>
            </w:pPr>
          </w:p>
        </w:tc>
        <w:tc>
          <w:tcPr>
            <w:tcW w:w="636"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637" w:type="dxa"/>
            <w:noWrap w:val="0"/>
            <w:vAlign w:val="center"/>
          </w:tcPr>
          <w:p/>
        </w:tc>
        <w:tc>
          <w:tcPr>
            <w:tcW w:w="1100"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保障工作平稳进行</w:t>
            </w:r>
          </w:p>
        </w:tc>
        <w:tc>
          <w:tcPr>
            <w:tcW w:w="1145" w:type="dxa"/>
            <w:gridSpan w:val="2"/>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定性</w:t>
            </w:r>
          </w:p>
        </w:tc>
        <w:tc>
          <w:tcPr>
            <w:tcW w:w="1289"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持续保障</w:t>
            </w:r>
          </w:p>
        </w:tc>
        <w:tc>
          <w:tcPr>
            <w:tcW w:w="1058"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其他</w:t>
            </w:r>
          </w:p>
        </w:tc>
        <w:tc>
          <w:tcPr>
            <w:tcW w:w="926"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113" w:type="dxa"/>
            <w:noWrap w:val="0"/>
            <w:vAlign w:val="center"/>
          </w:tcPr>
          <w:p>
            <w:pPr>
              <w:jc w:val="left"/>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持续保障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273" w:type="dxa"/>
            <w:gridSpan w:val="2"/>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00"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案件服务对象满意度</w:t>
            </w:r>
          </w:p>
        </w:tc>
        <w:tc>
          <w:tcPr>
            <w:tcW w:w="1145" w:type="dxa"/>
            <w:gridSpan w:val="2"/>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89"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95</w:t>
            </w:r>
          </w:p>
        </w:tc>
        <w:tc>
          <w:tcPr>
            <w:tcW w:w="1058"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926"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113"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w:t>
            </w:r>
          </w:p>
        </w:tc>
      </w:tr>
    </w:tbl>
    <w:p>
      <w:pPr>
        <w:pStyle w:val="8"/>
        <w:spacing w:line="560" w:lineRule="exact"/>
        <w:ind w:left="0" w:leftChars="0" w:firstLine="0" w:firstLineChars="0"/>
        <w:rPr>
          <w:rFonts w:ascii="Times New Roman" w:eastAsia="仿宋_GB2312"/>
          <w:sz w:val="32"/>
          <w:lang w:val="zh-CN" w:bidi="ar"/>
        </w:rPr>
      </w:pPr>
    </w:p>
    <w:p>
      <w:pPr>
        <w:pStyle w:val="8"/>
        <w:spacing w:line="560" w:lineRule="exact"/>
        <w:ind w:left="0" w:leftChars="0" w:firstLine="0" w:firstLineChars="0"/>
        <w:rPr>
          <w:rFonts w:ascii="Times New Roman"/>
          <w:sz w:val="32"/>
          <w:highlight w:val="yellow"/>
          <w:lang w:val="zh-CN"/>
        </w:rPr>
      </w:pPr>
    </w:p>
    <w:p>
      <w:pPr>
        <w:pStyle w:val="2"/>
        <w:spacing w:before="93"/>
        <w:rPr>
          <w:rFonts w:ascii="Times New Roman" w:cs="宋体"/>
          <w:color w:val="FF0000"/>
          <w:sz w:val="32"/>
          <w:szCs w:val="32"/>
          <w:highlight w:val="yellow"/>
          <w:shd w:val="clear" w:color="auto" w:fill="FFFFFF"/>
          <w:lang w:val="zh-CN"/>
        </w:rPr>
      </w:pPr>
    </w:p>
    <w:p>
      <w:pPr>
        <w:rPr>
          <w:rFonts w:eastAsia="仿宋_GB2312" w:cs="仿宋_GB2312"/>
          <w:kern w:val="0"/>
          <w:sz w:val="32"/>
          <w:szCs w:val="32"/>
        </w:rPr>
      </w:pPr>
      <w:bookmarkStart w:id="48" w:name="_Toc15396618"/>
      <w:r>
        <w:rPr>
          <w:rFonts w:hint="eastAsia" w:eastAsia="仿宋_GB2312" w:cs="仿宋_GB2312"/>
          <w:kern w:val="0"/>
          <w:sz w:val="32"/>
          <w:szCs w:val="32"/>
        </w:rPr>
        <w:br w:type="page"/>
      </w:r>
    </w:p>
    <w:p>
      <w:pPr>
        <w:widowControl/>
        <w:jc w:val="center"/>
        <w:rPr>
          <w:rFonts w:eastAsia="仿宋"/>
        </w:rPr>
      </w:pPr>
      <w:r>
        <w:rPr>
          <w:rFonts w:hint="eastAsia" w:eastAsia="黑体"/>
          <w:sz w:val="44"/>
          <w:szCs w:val="44"/>
        </w:rPr>
        <w:t>第</w:t>
      </w:r>
      <w:r>
        <w:rPr>
          <w:rStyle w:val="30"/>
          <w:rFonts w:hint="eastAsia" w:eastAsia="黑体"/>
          <w:b w:val="0"/>
        </w:rPr>
        <w:t>五部分 附表</w:t>
      </w:r>
      <w:bookmarkEnd w:id="45"/>
      <w:bookmarkEnd w:id="48"/>
      <w:bookmarkStart w:id="49" w:name="_Toc15396619"/>
    </w:p>
    <w:p>
      <w:pPr>
        <w:pStyle w:val="15"/>
        <w:adjustRightInd w:val="0"/>
        <w:snapToGrid w:val="0"/>
        <w:spacing w:line="560" w:lineRule="exact"/>
        <w:jc w:val="left"/>
        <w:rPr>
          <w:rFonts w:eastAsia="仿宋_GB2312" w:cs="仿宋_GB2312"/>
          <w:sz w:val="32"/>
          <w:szCs w:val="32"/>
        </w:rPr>
      </w:pPr>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9"/>
    </w:p>
    <w:p>
      <w:pPr>
        <w:pStyle w:val="15"/>
        <w:adjustRightInd w:val="0"/>
        <w:snapToGrid w:val="0"/>
        <w:spacing w:line="560" w:lineRule="exact"/>
        <w:jc w:val="left"/>
        <w:rPr>
          <w:rFonts w:eastAsia="仿宋_GB2312" w:cs="仿宋_GB2312"/>
          <w:sz w:val="32"/>
          <w:szCs w:val="32"/>
        </w:rPr>
      </w:pPr>
      <w:bookmarkStart w:id="50" w:name="_Toc15396620"/>
      <w:r>
        <w:rPr>
          <w:rFonts w:hint="eastAsia" w:eastAsia="仿宋_GB2312" w:cs="仿宋_GB2312"/>
          <w:sz w:val="32"/>
          <w:szCs w:val="32"/>
        </w:rPr>
        <w:t>二、收入决算表</w:t>
      </w:r>
      <w:bookmarkEnd w:id="50"/>
    </w:p>
    <w:p>
      <w:pPr>
        <w:pStyle w:val="15"/>
        <w:adjustRightInd w:val="0"/>
        <w:snapToGrid w:val="0"/>
        <w:spacing w:line="560" w:lineRule="exact"/>
        <w:jc w:val="left"/>
        <w:rPr>
          <w:rFonts w:eastAsia="仿宋_GB2312" w:cs="仿宋_GB2312"/>
          <w:sz w:val="32"/>
          <w:szCs w:val="32"/>
        </w:rPr>
      </w:pPr>
      <w:bookmarkStart w:id="51" w:name="_Toc15396621"/>
      <w:r>
        <w:rPr>
          <w:rFonts w:hint="eastAsia" w:eastAsia="仿宋_GB2312" w:cs="仿宋_GB2312"/>
          <w:sz w:val="32"/>
          <w:szCs w:val="32"/>
        </w:rPr>
        <w:t>三、支出决算表</w:t>
      </w:r>
      <w:bookmarkEnd w:id="51"/>
    </w:p>
    <w:p>
      <w:pPr>
        <w:pStyle w:val="15"/>
        <w:adjustRightInd w:val="0"/>
        <w:snapToGrid w:val="0"/>
        <w:spacing w:line="560" w:lineRule="exact"/>
        <w:jc w:val="left"/>
        <w:rPr>
          <w:rFonts w:eastAsia="仿宋_GB2312" w:cs="仿宋_GB2312"/>
          <w:sz w:val="32"/>
          <w:szCs w:val="32"/>
        </w:rPr>
      </w:pPr>
      <w:bookmarkStart w:id="52" w:name="_Toc15396622"/>
      <w:r>
        <w:rPr>
          <w:rFonts w:hint="eastAsia" w:eastAsia="仿宋_GB2312" w:cs="仿宋_GB2312"/>
          <w:sz w:val="32"/>
          <w:szCs w:val="32"/>
        </w:rPr>
        <w:t>四、财政拨款收入支出决算总表</w:t>
      </w:r>
      <w:bookmarkEnd w:id="52"/>
    </w:p>
    <w:p>
      <w:pPr>
        <w:pStyle w:val="15"/>
        <w:adjustRightInd w:val="0"/>
        <w:snapToGrid w:val="0"/>
        <w:spacing w:line="560" w:lineRule="exact"/>
        <w:jc w:val="left"/>
        <w:rPr>
          <w:rFonts w:eastAsia="仿宋_GB2312" w:cs="仿宋_GB2312"/>
          <w:sz w:val="32"/>
          <w:szCs w:val="32"/>
        </w:rPr>
      </w:pPr>
      <w:bookmarkStart w:id="53" w:name="_Toc15396623"/>
      <w:r>
        <w:rPr>
          <w:rFonts w:hint="eastAsia" w:eastAsia="仿宋_GB2312" w:cs="仿宋_GB2312"/>
          <w:sz w:val="32"/>
          <w:szCs w:val="32"/>
        </w:rPr>
        <w:t>五、财政拨款支出决算明细表</w:t>
      </w:r>
      <w:bookmarkEnd w:id="53"/>
      <w:bookmarkStart w:id="54" w:name="_Toc15396624"/>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4"/>
    </w:p>
    <w:p>
      <w:pPr>
        <w:pStyle w:val="15"/>
        <w:adjustRightInd w:val="0"/>
        <w:snapToGrid w:val="0"/>
        <w:spacing w:line="560" w:lineRule="exact"/>
        <w:jc w:val="left"/>
        <w:rPr>
          <w:rFonts w:eastAsia="仿宋_GB2312" w:cs="仿宋_GB2312"/>
          <w:sz w:val="32"/>
          <w:szCs w:val="32"/>
        </w:rPr>
      </w:pPr>
      <w:bookmarkStart w:id="55" w:name="_Toc15396625"/>
      <w:r>
        <w:rPr>
          <w:rFonts w:hint="eastAsia" w:eastAsia="仿宋_GB2312" w:cs="仿宋_GB2312"/>
          <w:sz w:val="32"/>
          <w:szCs w:val="32"/>
        </w:rPr>
        <w:t>七、一般公共预算财政拨款支出决算明细表</w:t>
      </w:r>
      <w:bookmarkEnd w:id="55"/>
    </w:p>
    <w:p>
      <w:pPr>
        <w:pStyle w:val="15"/>
        <w:adjustRightInd w:val="0"/>
        <w:snapToGrid w:val="0"/>
        <w:spacing w:line="560" w:lineRule="exact"/>
        <w:jc w:val="left"/>
        <w:rPr>
          <w:rFonts w:eastAsia="仿宋_GB2312" w:cs="仿宋_GB2312"/>
          <w:sz w:val="32"/>
          <w:szCs w:val="32"/>
        </w:rPr>
      </w:pPr>
      <w:bookmarkStart w:id="56" w:name="_Toc15396626"/>
      <w:r>
        <w:rPr>
          <w:rFonts w:hint="eastAsia" w:eastAsia="仿宋_GB2312" w:cs="仿宋_GB2312"/>
          <w:sz w:val="32"/>
          <w:szCs w:val="32"/>
        </w:rPr>
        <w:t>八、一般公共预算财政拨款基本支出决算表</w:t>
      </w:r>
      <w:bookmarkEnd w:id="56"/>
    </w:p>
    <w:p>
      <w:pPr>
        <w:pStyle w:val="15"/>
        <w:adjustRightInd w:val="0"/>
        <w:snapToGrid w:val="0"/>
        <w:spacing w:line="560" w:lineRule="exact"/>
        <w:jc w:val="left"/>
        <w:rPr>
          <w:rFonts w:eastAsia="仿宋_GB2312" w:cs="仿宋_GB2312"/>
          <w:sz w:val="32"/>
          <w:szCs w:val="32"/>
        </w:rPr>
      </w:pPr>
      <w:bookmarkStart w:id="57" w:name="_Toc15396627"/>
      <w:r>
        <w:rPr>
          <w:rFonts w:hint="eastAsia" w:eastAsia="仿宋_GB2312" w:cs="仿宋_GB2312"/>
          <w:sz w:val="32"/>
          <w:szCs w:val="32"/>
        </w:rPr>
        <w:t>九、一般公共预算财政拨款项目支出决算表</w:t>
      </w:r>
      <w:bookmarkEnd w:id="57"/>
    </w:p>
    <w:p>
      <w:pPr>
        <w:pStyle w:val="15"/>
        <w:adjustRightInd w:val="0"/>
        <w:snapToGrid w:val="0"/>
        <w:spacing w:line="560" w:lineRule="exact"/>
        <w:jc w:val="left"/>
        <w:rPr>
          <w:rFonts w:eastAsia="仿宋_GB2312" w:cs="仿宋_GB2312"/>
          <w:sz w:val="32"/>
          <w:szCs w:val="32"/>
        </w:rPr>
      </w:pPr>
      <w:bookmarkStart w:id="58" w:name="_Toc15396628"/>
      <w:r>
        <w:rPr>
          <w:rFonts w:hint="eastAsia" w:eastAsia="仿宋_GB2312" w:cs="仿宋_GB2312"/>
          <w:sz w:val="32"/>
          <w:szCs w:val="32"/>
        </w:rPr>
        <w:t>十、</w:t>
      </w:r>
      <w:bookmarkEnd w:id="58"/>
      <w:r>
        <w:rPr>
          <w:rFonts w:hint="eastAsia" w:eastAsia="仿宋_GB2312" w:cs="仿宋_GB2312"/>
          <w:sz w:val="32"/>
          <w:szCs w:val="32"/>
        </w:rPr>
        <w:t>政府性基金预算财政拨款收入支出决算表</w:t>
      </w:r>
    </w:p>
    <w:p>
      <w:pPr>
        <w:pStyle w:val="15"/>
        <w:adjustRightInd w:val="0"/>
        <w:snapToGrid w:val="0"/>
        <w:spacing w:line="560" w:lineRule="exact"/>
        <w:jc w:val="left"/>
        <w:rPr>
          <w:rFonts w:eastAsia="仿宋_GB2312" w:cs="仿宋_GB2312"/>
          <w:sz w:val="32"/>
          <w:szCs w:val="32"/>
        </w:rPr>
      </w:pPr>
      <w:bookmarkStart w:id="59" w:name="_Toc15396629"/>
      <w:r>
        <w:rPr>
          <w:rFonts w:hint="eastAsia" w:eastAsia="仿宋_GB2312" w:cs="仿宋_GB2312"/>
          <w:sz w:val="32"/>
          <w:szCs w:val="32"/>
        </w:rPr>
        <w:t>十一、</w:t>
      </w:r>
      <w:bookmarkEnd w:id="59"/>
      <w:r>
        <w:rPr>
          <w:rFonts w:hint="eastAsia" w:eastAsia="仿宋_GB2312" w:cs="仿宋_GB2312"/>
          <w:sz w:val="32"/>
          <w:szCs w:val="32"/>
        </w:rPr>
        <w:t>国有资本经营预算财政拨款收入支出决算表</w:t>
      </w:r>
    </w:p>
    <w:p>
      <w:pPr>
        <w:pStyle w:val="15"/>
        <w:adjustRightInd w:val="0"/>
        <w:snapToGrid w:val="0"/>
        <w:spacing w:line="560" w:lineRule="exact"/>
        <w:jc w:val="left"/>
        <w:rPr>
          <w:rFonts w:eastAsia="仿宋_GB2312" w:cs="仿宋_GB2312"/>
          <w:sz w:val="32"/>
          <w:szCs w:val="32"/>
        </w:rPr>
      </w:pPr>
      <w:bookmarkStart w:id="60" w:name="_Toc15396630"/>
      <w:r>
        <w:rPr>
          <w:rFonts w:hint="eastAsia" w:eastAsia="仿宋_GB2312" w:cs="仿宋_GB2312"/>
          <w:sz w:val="32"/>
          <w:szCs w:val="32"/>
        </w:rPr>
        <w:t>十二、</w:t>
      </w:r>
      <w:bookmarkEnd w:id="60"/>
      <w:r>
        <w:rPr>
          <w:rFonts w:hint="eastAsia" w:eastAsia="仿宋_GB2312" w:cs="仿宋_GB2312"/>
          <w:sz w:val="32"/>
          <w:szCs w:val="32"/>
        </w:rPr>
        <w:t>国有资本经营预算财政拨款支出决算表</w:t>
      </w:r>
    </w:p>
    <w:p>
      <w:pPr>
        <w:pStyle w:val="15"/>
        <w:adjustRightInd w:val="0"/>
        <w:snapToGrid w:val="0"/>
        <w:spacing w:line="560" w:lineRule="exact"/>
        <w:jc w:val="left"/>
        <w:rPr>
          <w:rFonts w:eastAsia="仿宋_GB2312" w:cs="仿宋_GB2312"/>
          <w:sz w:val="32"/>
          <w:szCs w:val="32"/>
        </w:rPr>
      </w:pPr>
      <w:bookmarkStart w:id="61" w:name="_Toc15396631"/>
      <w:r>
        <w:rPr>
          <w:rFonts w:hint="eastAsia" w:eastAsia="仿宋_GB2312" w:cs="仿宋_GB2312"/>
          <w:sz w:val="32"/>
          <w:szCs w:val="32"/>
        </w:rPr>
        <w:t>十三、</w:t>
      </w:r>
      <w:bookmarkEnd w:id="61"/>
      <w:r>
        <w:rPr>
          <w:rFonts w:hint="eastAsia" w:eastAsia="仿宋_GB2312" w:cs="仿宋_GB2312"/>
          <w:sz w:val="32"/>
          <w:szCs w:val="32"/>
        </w:rPr>
        <w:t>财政拨款“三公”经费支出决算表</w:t>
      </w:r>
    </w:p>
    <w:p/>
    <w:sectPr>
      <w:footerReference r:id="rId10" w:type="first"/>
      <w:footerReference r:id="rId9"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E07EC"/>
    <w:multiLevelType w:val="singleLevel"/>
    <w:tmpl w:val="FDCE07EC"/>
    <w:lvl w:ilvl="0" w:tentative="0">
      <w:start w:val="1"/>
      <w:numFmt w:val="chineseCounting"/>
      <w:suff w:val="nothing"/>
      <w:lvlText w:val="%1、"/>
      <w:lvlJc w:val="left"/>
      <w:rPr>
        <w:rFonts w:hint="eastAsia"/>
      </w:rPr>
    </w:lvl>
  </w:abstractNum>
  <w:abstractNum w:abstractNumId="1">
    <w:nsid w:val="7C9221C9"/>
    <w:multiLevelType w:val="singleLevel"/>
    <w:tmpl w:val="7C9221C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7004"/>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3795B"/>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22A3"/>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FE1"/>
    <w:rsid w:val="00D114F0"/>
    <w:rsid w:val="00D20620"/>
    <w:rsid w:val="00D254F7"/>
    <w:rsid w:val="00D26091"/>
    <w:rsid w:val="00D2685C"/>
    <w:rsid w:val="00D34E7C"/>
    <w:rsid w:val="00D35489"/>
    <w:rsid w:val="00D36AFE"/>
    <w:rsid w:val="00D51276"/>
    <w:rsid w:val="00D5444D"/>
    <w:rsid w:val="00D7035F"/>
    <w:rsid w:val="00DA634F"/>
    <w:rsid w:val="00DA65AC"/>
    <w:rsid w:val="00DB1913"/>
    <w:rsid w:val="00DC2C99"/>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E6413B"/>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DFF7B78"/>
    <w:rsid w:val="3E740A63"/>
    <w:rsid w:val="3E78745D"/>
    <w:rsid w:val="3EE17838"/>
    <w:rsid w:val="3EFDBC7C"/>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7940E8"/>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DBB1566"/>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83DBFDE8"/>
    <w:rsid w:val="99FF2014"/>
    <w:rsid w:val="A6DD0D7F"/>
    <w:rsid w:val="ACFF4FBB"/>
    <w:rsid w:val="ADC6F725"/>
    <w:rsid w:val="B7CF06AB"/>
    <w:rsid w:val="B7CFA926"/>
    <w:rsid w:val="B7F8786B"/>
    <w:rsid w:val="BABB6AA1"/>
    <w:rsid w:val="BB2F4199"/>
    <w:rsid w:val="BCFFB442"/>
    <w:rsid w:val="BD079C78"/>
    <w:rsid w:val="BD733540"/>
    <w:rsid w:val="BE5E335F"/>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toa heading"/>
    <w:basedOn w:val="1"/>
    <w:next w:val="1"/>
    <w:semiHidden/>
    <w:qFormat/>
    <w:uiPriority w:val="99"/>
    <w:pPr>
      <w:spacing w:before="120"/>
    </w:pPr>
    <w:rPr>
      <w:rFonts w:ascii="Cambria" w:hAnsi="Cambria" w:cs="Cambria"/>
      <w:sz w:val="24"/>
      <w:szCs w:val="24"/>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3"/>
    <w:qFormat/>
    <w:uiPriority w:val="9"/>
    <w:rPr>
      <w:rFonts w:ascii="Times New Roman" w:hAnsi="Times New Roman"/>
      <w:b/>
      <w:bCs/>
      <w:kern w:val="44"/>
      <w:sz w:val="44"/>
      <w:szCs w:val="44"/>
    </w:rPr>
  </w:style>
  <w:style w:type="character" w:customStyle="1" w:styleId="31">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0"/>
    <w:semiHidden/>
    <w:qFormat/>
    <w:uiPriority w:val="99"/>
    <w:rPr>
      <w:rFonts w:ascii="Times New Roman" w:hAnsi="Times New Roman"/>
      <w:kern w:val="2"/>
      <w:sz w:val="18"/>
      <w:szCs w:val="18"/>
    </w:rPr>
  </w:style>
  <w:style w:type="character" w:customStyle="1" w:styleId="34">
    <w:name w:val="标题 3 字符"/>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2"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2"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2"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2"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2"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2"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overlay val="false"/>
      <c:spPr>
        <a:noFill/>
        <a:ln>
          <a:noFill/>
        </a:ln>
        <a:effectLst/>
      </c:spPr>
    </c:title>
    <c:autoTitleDeleted val="false"/>
    <c:plotArea>
      <c:layout/>
      <c:barChart>
        <c:barDir val="col"/>
        <c:grouping val="clustered"/>
        <c:varyColors val="false"/>
        <c:ser>
          <c:idx val="0"/>
          <c:order val="0"/>
          <c:tx>
            <c:strRef>
              <c:f>[工作簿2]Sheet1!$D$5</c:f>
              <c:strCache>
                <c:ptCount val="1"/>
                <c:pt idx="0">
                  <c:v>收入</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[工作簿2]Sheet1!$E$4:$F$4</c:f>
              <c:numCache>
                <c:formatCode>General</c:formatCode>
                <c:ptCount val="2"/>
                <c:pt idx="0">
                  <c:v>2024</c:v>
                </c:pt>
                <c:pt idx="1">
                  <c:v>2023</c:v>
                </c:pt>
              </c:numCache>
            </c:numRef>
          </c:cat>
          <c:val>
            <c:numRef>
              <c:f>[工作簿2]Sheet1!$E$5:$F$5</c:f>
              <c:numCache>
                <c:formatCode>General</c:formatCode>
                <c:ptCount val="2"/>
                <c:pt idx="0">
                  <c:v>2743.37</c:v>
                </c:pt>
                <c:pt idx="1">
                  <c:v>2352.53</c:v>
                </c:pt>
              </c:numCache>
            </c:numRef>
          </c:val>
        </c:ser>
        <c:ser>
          <c:idx val="1"/>
          <c:order val="1"/>
          <c:tx>
            <c:strRef>
              <c:f>[工作簿2]Sheet1!$D$6</c:f>
              <c:strCache>
                <c:ptCount val="1"/>
                <c:pt idx="0">
                  <c:v>支出</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[工作簿2]Sheet1!$E$4:$F$4</c:f>
              <c:numCache>
                <c:formatCode>General</c:formatCode>
                <c:ptCount val="2"/>
                <c:pt idx="0">
                  <c:v>2024</c:v>
                </c:pt>
                <c:pt idx="1">
                  <c:v>2023</c:v>
                </c:pt>
              </c:numCache>
            </c:numRef>
          </c:cat>
          <c:val>
            <c:numRef>
              <c:f>[工作簿2]Sheet1!$E$6:$F$6</c:f>
              <c:numCache>
                <c:formatCode>General</c:formatCode>
                <c:ptCount val="2"/>
                <c:pt idx="0">
                  <c:v>2664.64</c:v>
                </c:pt>
                <c:pt idx="1">
                  <c:v>2352.53</c:v>
                </c:pt>
              </c:numCache>
            </c:numRef>
          </c:val>
        </c:ser>
        <c:dLbls>
          <c:showLegendKey val="false"/>
          <c:showVal val="true"/>
          <c:showCatName val="false"/>
          <c:showSerName val="false"/>
          <c:showPercent val="false"/>
          <c:showBubbleSize val="false"/>
        </c:dLbls>
        <c:gapWidth val="219"/>
        <c:overlap val="-27"/>
        <c:axId val="620506970"/>
        <c:axId val="300150538"/>
      </c:barChart>
      <c:catAx>
        <c:axId val="620506970"/>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t>年份</a:t>
                </a:r>
              </a:p>
            </c:rich>
          </c:tx>
          <c:layout>
            <c:manualLayout>
              <c:xMode val="edge"/>
              <c:yMode val="edge"/>
              <c:x val="0.836777777777778"/>
              <c:y val="0.727083333333333"/>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00150538"/>
        <c:crosses val="autoZero"/>
        <c:auto val="true"/>
        <c:lblAlgn val="ctr"/>
        <c:lblOffset val="100"/>
        <c:noMultiLvlLbl val="false"/>
      </c:catAx>
      <c:valAx>
        <c:axId val="300150538"/>
        <c:scaling>
          <c:orientation val="minMax"/>
        </c:scaling>
        <c:delete val="false"/>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manualLayout>
              <c:xMode val="edge"/>
              <c:yMode val="edge"/>
              <c:x val="0.0305555555555556"/>
              <c:y val="0.0427546296296296"/>
            </c:manualLayout>
          </c:layout>
          <c:overlay val="false"/>
          <c:spPr>
            <a:noFill/>
            <a:ln>
              <a:noFill/>
            </a:ln>
            <a:effectLst/>
          </c:spPr>
        </c:title>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20506970"/>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[工作簿2]Sheet1!$B$16:$B$17</c:f>
              <c:strCache>
                <c:ptCount val="2"/>
                <c:pt idx="0">
                  <c:v>般公共预算财政拨款收入</c:v>
                </c:pt>
                <c:pt idx="1">
                  <c:v>其他收入</c:v>
                </c:pt>
              </c:strCache>
            </c:strRef>
          </c:cat>
          <c:val>
            <c:numRef>
              <c:f>[工作簿2]Sheet1!$C$16:$C$17</c:f>
              <c:numCache>
                <c:formatCode>General</c:formatCode>
                <c:ptCount val="2"/>
                <c:pt idx="0">
                  <c:v>2190.32</c:v>
                </c:pt>
                <c:pt idx="1">
                  <c:v>553.05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[工作簿2]Sheet1!$B$16:$B$17</c:f>
              <c:strCache>
                <c:ptCount val="2"/>
                <c:pt idx="0">
                  <c:v>基本支出</c:v>
                </c:pt>
                <c:pt idx="1">
                  <c:v>项目支出</c:v>
                </c:pt>
              </c:strCache>
            </c:strRef>
          </c:cat>
          <c:val>
            <c:numRef>
              <c:f>[工作簿2]Sheet1!$C$16:$C$17</c:f>
              <c:numCache>
                <c:formatCode>General</c:formatCode>
                <c:ptCount val="2"/>
                <c:pt idx="0">
                  <c:v>1860.31</c:v>
                </c:pt>
                <c:pt idx="1">
                  <c:v>804.34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false"/>
      <c:spPr>
        <a:noFill/>
        <a:ln>
          <a:noFill/>
        </a:ln>
        <a:effectLst/>
      </c:spPr>
    </c:title>
    <c:autoTitleDeleted val="false"/>
    <c:plotArea>
      <c:layout/>
      <c:barChart>
        <c:barDir val="col"/>
        <c:grouping val="clustered"/>
        <c:varyColors val="false"/>
        <c:ser>
          <c:idx val="0"/>
          <c:order val="0"/>
          <c:tx>
            <c:strRef>
              <c:f>[工作簿2]Sheet1!$D$5</c:f>
              <c:strCache>
                <c:ptCount val="1"/>
                <c:pt idx="0">
                  <c:v>财政拨款收入</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[工作簿2]Sheet1!$E$4:$F$4</c:f>
              <c:numCache>
                <c:formatCode>General</c:formatCode>
                <c:ptCount val="2"/>
                <c:pt idx="0">
                  <c:v>2024</c:v>
                </c:pt>
                <c:pt idx="1">
                  <c:v>2023</c:v>
                </c:pt>
              </c:numCache>
            </c:numRef>
          </c:cat>
          <c:val>
            <c:numRef>
              <c:f>[工作簿2]Sheet1!$E$5:$F$5</c:f>
              <c:numCache>
                <c:formatCode>General</c:formatCode>
                <c:ptCount val="2"/>
                <c:pt idx="0">
                  <c:v>2190.32</c:v>
                </c:pt>
                <c:pt idx="1">
                  <c:v>1865.91</c:v>
                </c:pt>
              </c:numCache>
            </c:numRef>
          </c:val>
        </c:ser>
        <c:ser>
          <c:idx val="1"/>
          <c:order val="1"/>
          <c:tx>
            <c:strRef>
              <c:f>[工作簿2]Sheet1!$D$6</c:f>
              <c:strCache>
                <c:ptCount val="1"/>
                <c:pt idx="0">
                  <c:v>支财政拨款出</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[工作簿2]Sheet1!$E$4:$F$4</c:f>
              <c:numCache>
                <c:formatCode>General</c:formatCode>
                <c:ptCount val="2"/>
                <c:pt idx="0">
                  <c:v>2024</c:v>
                </c:pt>
                <c:pt idx="1">
                  <c:v>2023</c:v>
                </c:pt>
              </c:numCache>
            </c:numRef>
          </c:cat>
          <c:val>
            <c:numRef>
              <c:f>[工作簿2]Sheet1!$E$6:$F$6</c:f>
              <c:numCache>
                <c:formatCode>General</c:formatCode>
                <c:ptCount val="2"/>
                <c:pt idx="0">
                  <c:v>2190.32</c:v>
                </c:pt>
                <c:pt idx="1">
                  <c:v>1865.91</c:v>
                </c:pt>
              </c:numCache>
            </c:numRef>
          </c:val>
        </c:ser>
        <c:dLbls>
          <c:showLegendKey val="false"/>
          <c:showVal val="true"/>
          <c:showCatName val="false"/>
          <c:showSerName val="false"/>
          <c:showPercent val="false"/>
          <c:showBubbleSize val="false"/>
        </c:dLbls>
        <c:gapWidth val="219"/>
        <c:overlap val="-27"/>
        <c:axId val="620506970"/>
        <c:axId val="300150538"/>
      </c:barChart>
      <c:catAx>
        <c:axId val="620506970"/>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t>年份</a:t>
                </a:r>
              </a:p>
            </c:rich>
          </c:tx>
          <c:layout>
            <c:manualLayout>
              <c:xMode val="edge"/>
              <c:yMode val="edge"/>
              <c:x val="0.886777777777778"/>
              <c:y val="0.716666666666667"/>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00150538"/>
        <c:crosses val="autoZero"/>
        <c:auto val="true"/>
        <c:lblAlgn val="ctr"/>
        <c:lblOffset val="100"/>
        <c:noMultiLvlLbl val="false"/>
      </c:catAx>
      <c:valAx>
        <c:axId val="300150538"/>
        <c:scaling>
          <c:orientation val="minMax"/>
        </c:scaling>
        <c:delete val="false"/>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false"/>
          <c:spPr>
            <a:noFill/>
            <a:ln>
              <a:noFill/>
            </a:ln>
            <a:effectLst/>
          </c:spPr>
        </c:title>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20506970"/>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207458745874587"/>
          <c:y val="0.0315789473684211"/>
        </c:manualLayout>
      </c:layout>
      <c:overlay val="false"/>
      <c:spPr>
        <a:noFill/>
        <a:ln>
          <a:noFill/>
        </a:ln>
        <a:effectLst/>
      </c:spPr>
    </c:title>
    <c:autoTitleDeleted val="false"/>
    <c:plotArea>
      <c:layout/>
      <c:barChart>
        <c:barDir val="col"/>
        <c:grouping val="clustered"/>
        <c:varyColors val="false"/>
        <c:ser>
          <c:idx val="0"/>
          <c:order val="0"/>
          <c:tx>
            <c:strRef>
              <c:f>[工作簿2]Sheet1!$D$5</c:f>
              <c:strCache>
                <c:ptCount val="1"/>
                <c:pt idx="0">
                  <c:v>一般公共预算财政拨款支出</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[工作簿2]Sheet1!$E$4:$F$4</c:f>
              <c:numCache>
                <c:formatCode>General</c:formatCode>
                <c:ptCount val="2"/>
                <c:pt idx="0">
                  <c:v>2024</c:v>
                </c:pt>
                <c:pt idx="1">
                  <c:v>2023</c:v>
                </c:pt>
              </c:numCache>
            </c:numRef>
          </c:cat>
          <c:val>
            <c:numRef>
              <c:f>[工作簿2]Sheet1!$E$5:$F$5</c:f>
              <c:numCache>
                <c:formatCode>General</c:formatCode>
                <c:ptCount val="2"/>
                <c:pt idx="0">
                  <c:v>2190.32</c:v>
                </c:pt>
                <c:pt idx="1">
                  <c:v>1865.91</c:v>
                </c:pt>
              </c:numCache>
            </c:numRef>
          </c:val>
        </c:ser>
        <c:ser>
          <c:idx val="1"/>
          <c:order val="1"/>
          <c:tx>
            <c:strRef>
              <c:f>[工作簿2]Sheet1!$D$6</c:f>
              <c:strCache>
                <c:ptCount val="1"/>
                <c:pt idx="0">
                  <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[工作簿2]Sheet1!$E$4:$F$4</c:f>
              <c:numCache>
                <c:formatCode>General</c:formatCode>
                <c:ptCount val="2"/>
                <c:pt idx="0">
                  <c:v>2024</c:v>
                </c:pt>
                <c:pt idx="1">
                  <c:v>2023</c:v>
                </c:pt>
              </c:numCache>
            </c:numRef>
          </c:cat>
          <c:val>
            <c:numRef>
              <c:f>[工作簿2]Sheet1!$E$6:$F$6</c:f>
              <c:numCache>
                <c:formatCode>General</c:formatCode>
                <c:ptCount val="2"/>
              </c:numCache>
            </c:numRef>
          </c:val>
        </c:ser>
        <c:dLbls>
          <c:showLegendKey val="false"/>
          <c:showVal val="true"/>
          <c:showCatName val="false"/>
          <c:showSerName val="false"/>
          <c:showPercent val="false"/>
          <c:showBubbleSize val="false"/>
        </c:dLbls>
        <c:gapWidth val="219"/>
        <c:overlap val="-27"/>
        <c:axId val="620506970"/>
        <c:axId val="300150538"/>
      </c:barChart>
      <c:catAx>
        <c:axId val="620506970"/>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t>年份</a:t>
                </a:r>
              </a:p>
            </c:rich>
          </c:tx>
          <c:layout>
            <c:manualLayout>
              <c:xMode val="edge"/>
              <c:yMode val="edge"/>
              <c:x val="0.809694444444444"/>
              <c:y val="0.765277777777778"/>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00150538"/>
        <c:crosses val="autoZero"/>
        <c:auto val="true"/>
        <c:lblAlgn val="ctr"/>
        <c:lblOffset val="100"/>
        <c:noMultiLvlLbl val="false"/>
      </c:catAx>
      <c:valAx>
        <c:axId val="300150538"/>
        <c:scaling>
          <c:orientation val="minMax"/>
        </c:scaling>
        <c:delete val="false"/>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manualLayout>
              <c:xMode val="edge"/>
              <c:yMode val="edge"/>
              <c:x val="0.0305555555555556"/>
              <c:y val="0.0427546296296296"/>
            </c:manualLayout>
          </c:layout>
          <c:overlay val="false"/>
          <c:spPr>
            <a:noFill/>
            <a:ln>
              <a:noFill/>
            </a:ln>
            <a:effectLst/>
          </c:spPr>
        </c:title>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20506970"/>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[工作簿2]Sheet1!$B$16:$B$19</c:f>
              <c:strCache>
                <c:ptCount val="4"/>
                <c:pt idx="0">
                  <c:v>公共安全支出</c:v>
                </c:pt>
                <c:pt idx="1">
                  <c:v>社会保障和就业支出</c:v>
                </c:pt>
                <c:pt idx="2">
                  <c:v>卫生健康支出</c:v>
                </c:pt>
                <c:pt idx="3">
                  <c:v>住房保障支出</c:v>
                </c:pt>
              </c:strCache>
            </c:strRef>
          </c:cat>
          <c:val>
            <c:numRef>
              <c:f>[工作簿2]Sheet1!$C$16:$C$19</c:f>
              <c:numCache>
                <c:formatCode>General</c:formatCode>
                <c:ptCount val="4"/>
                <c:pt idx="0">
                  <c:v>1011.24</c:v>
                </c:pt>
                <c:pt idx="1">
                  <c:v>184.26</c:v>
                </c:pt>
                <c:pt idx="2">
                  <c:v>76.17</c:v>
                </c:pt>
                <c:pt idx="3">
                  <c:v>114.32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[工作簿2]Sheet1!$B$21:$B$22</c:f>
              <c:strCache>
                <c:ptCount val="2"/>
                <c:pt idx="0">
                  <c:v>公务用车购置及运行维护费</c:v>
                </c:pt>
                <c:pt idx="1">
                  <c:v>公务接待费</c:v>
                </c:pt>
              </c:strCache>
            </c:strRef>
          </c:cat>
          <c:val>
            <c:numRef>
              <c:f>[工作簿2]Sheet1!$C$21:$C$22</c:f>
              <c:numCache>
                <c:formatCode>General</c:formatCode>
                <c:ptCount val="2"/>
                <c:pt idx="0">
                  <c:v>100.32</c:v>
                </c:pt>
                <c:pt idx="1">
                  <c:v>1.41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1281</Words>
  <Characters>7302</Characters>
  <Lines>60</Lines>
  <Paragraphs>17</Paragraphs>
  <TotalTime>1</TotalTime>
  <ScaleCrop>false</ScaleCrop>
  <LinksUpToDate>false</LinksUpToDate>
  <CharactersWithSpaces>8566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2020-08-10T09:49:00Z</dcterms:created>
  <dc:creator>曹颖</dc:creator>
  <cp:lastModifiedBy>廖雪</cp:lastModifiedBy>
  <cp:lastPrinted>2025-08-07T17:34:00Z</cp:lastPrinted>
  <dcterms:modified xsi:type="dcterms:W3CDTF">2025-09-17T09:40:09Z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04787F2533EB45DC91BCDE4AB213247F</vt:lpwstr>
  </property>
  <property fmtid="{D5CDD505-2E9C-101B-9397-08002B2CF9AE}" pid="4" name="KSOTemplateDocerSaveRecord">
    <vt:lpwstr>eyJoZGlkIjoiNzcxZDY4MmI1OTBjMjE1Nzk5NThjZGNlYmQwYzNkMjQifQ==</vt:lpwstr>
  </property>
</Properties>
</file>