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192068">
      <w:pPr>
        <w:pStyle w:val="2"/>
        <w:spacing w:before="93"/>
        <w:rPr>
          <w:rFonts w:ascii="Times New Roman" w:eastAsia="方正小标宋简体"/>
          <w:kern w:val="2"/>
          <w:sz w:val="72"/>
          <w:szCs w:val="72"/>
        </w:rPr>
      </w:pPr>
      <w:bookmarkStart w:id="0" w:name="_Toc15306267"/>
      <w:bookmarkStart w:id="1" w:name="_Toc15396597"/>
      <w:bookmarkStart w:id="2" w:name="_Toc15378441"/>
      <w:bookmarkStart w:id="3" w:name="_Toc15396475"/>
      <w:bookmarkStart w:id="4" w:name="_Toc15377193"/>
      <w:bookmarkStart w:id="5" w:name="_Toc15377425"/>
    </w:p>
    <w:p w14:paraId="07F42209">
      <w:pPr>
        <w:pStyle w:val="2"/>
        <w:spacing w:before="93"/>
        <w:rPr>
          <w:rFonts w:ascii="Times New Roman" w:eastAsia="方正小标宋简体"/>
          <w:kern w:val="2"/>
          <w:sz w:val="72"/>
          <w:szCs w:val="72"/>
        </w:rPr>
      </w:pPr>
    </w:p>
    <w:p w14:paraId="7D7615DB">
      <w:pPr>
        <w:pStyle w:val="2"/>
        <w:spacing w:before="93"/>
        <w:rPr>
          <w:rFonts w:ascii="Times New Roman" w:eastAsia="方正小标宋简体"/>
          <w:kern w:val="2"/>
          <w:sz w:val="72"/>
          <w:szCs w:val="72"/>
        </w:rPr>
      </w:pPr>
    </w:p>
    <w:p w14:paraId="1A4C246E">
      <w:pPr>
        <w:pStyle w:val="2"/>
        <w:spacing w:before="93"/>
        <w:jc w:val="center"/>
        <w:rPr>
          <w:rFonts w:hint="eastAsia" w:ascii="Times New Roman" w:hAnsi="Times New Roman" w:eastAsia="方正小标宋简体"/>
          <w:lang w:val="en" w:eastAsia="zh-CN"/>
        </w:rPr>
        <w:sectPr>
          <w:headerReference r:id="rId3" w:type="default"/>
          <w:footerReference r:id="rId4" w:type="default"/>
          <w:pgSz w:w="11906" w:h="16838"/>
          <w:pgMar w:top="1440" w:right="1800" w:bottom="1440" w:left="1800" w:header="851" w:footer="992" w:gutter="0"/>
          <w:pgNumType w:fmt="numberInDash" w:start="1"/>
          <w:cols w:space="425" w:num="1"/>
          <w:titlePg/>
          <w:docGrid w:type="lines" w:linePitch="312" w:charSpace="0"/>
        </w:sectPr>
      </w:pPr>
      <w:r>
        <w:rPr>
          <w:rFonts w:hint="eastAsia" w:ascii="Times New Roman" w:eastAsia="方正小标宋简体"/>
          <w:kern w:val="2"/>
          <w:sz w:val="44"/>
          <w:szCs w:val="44"/>
        </w:rPr>
        <w:t>202</w:t>
      </w:r>
      <w:r>
        <w:rPr>
          <w:rFonts w:hint="eastAsia" w:ascii="Times New Roman" w:eastAsia="方正小标宋简体"/>
          <w:kern w:val="2"/>
          <w:sz w:val="44"/>
          <w:szCs w:val="44"/>
          <w:lang w:val="en-US" w:eastAsia="zh-CN"/>
        </w:rPr>
        <w:t>5</w:t>
      </w:r>
      <w:r>
        <w:rPr>
          <w:rFonts w:hint="eastAsia" w:ascii="Times New Roman" w:eastAsia="方正小标宋简体"/>
          <w:kern w:val="2"/>
          <w:sz w:val="44"/>
          <w:szCs w:val="44"/>
        </w:rPr>
        <w:t>年度</w:t>
      </w:r>
      <w:r>
        <w:rPr>
          <w:rFonts w:hint="eastAsia" w:ascii="Times New Roman" w:eastAsia="方正小标宋简体"/>
          <w:kern w:val="2"/>
          <w:sz w:val="44"/>
          <w:szCs w:val="44"/>
          <w:lang w:eastAsia="zh-CN"/>
        </w:rPr>
        <w:t>阿坝州汶川县人民法院</w:t>
      </w:r>
      <w:r>
        <w:rPr>
          <w:rFonts w:hint="eastAsia" w:ascii="Times New Roman" w:eastAsia="方正小标宋简体"/>
          <w:kern w:val="2"/>
          <w:sz w:val="44"/>
          <w:szCs w:val="44"/>
        </w:rPr>
        <w:t>决</w:t>
      </w:r>
      <w:r>
        <w:rPr>
          <w:rFonts w:hint="eastAsia" w:ascii="Times New Roman" w:eastAsia="方正小标宋简体"/>
          <w:kern w:val="2"/>
          <w:sz w:val="44"/>
          <w:szCs w:val="44"/>
          <w:lang w:eastAsia="zh-CN"/>
        </w:rPr>
        <w:t>算公开</w:t>
      </w:r>
    </w:p>
    <w:bookmarkEnd w:id="0"/>
    <w:bookmarkEnd w:id="1"/>
    <w:bookmarkEnd w:id="2"/>
    <w:bookmarkEnd w:id="3"/>
    <w:bookmarkEnd w:id="4"/>
    <w:bookmarkEnd w:id="5"/>
    <w:p w14:paraId="12ED4CFC">
      <w:pPr>
        <w:widowControl/>
        <w:jc w:val="both"/>
        <w:rPr>
          <w:rFonts w:eastAsia="黑体"/>
          <w:sz w:val="48"/>
          <w:szCs w:val="48"/>
        </w:rPr>
      </w:pPr>
      <w:r>
        <w:rPr>
          <w:rFonts w:hint="eastAsia" w:eastAsia="黑体"/>
          <w:sz w:val="48"/>
          <w:szCs w:val="48"/>
        </w:rPr>
        <w:t>目录</w:t>
      </w:r>
    </w:p>
    <w:p w14:paraId="77B7A292">
      <w:pPr>
        <w:widowControl/>
        <w:jc w:val="center"/>
        <w:rPr>
          <w:rFonts w:eastAsia="黑体" w:cstheme="minorBidi"/>
          <w:sz w:val="28"/>
          <w:szCs w:val="28"/>
        </w:rPr>
      </w:pPr>
    </w:p>
    <w:p w14:paraId="08D41DA9">
      <w:pPr>
        <w:pStyle w:val="13"/>
        <w:rPr>
          <w:rFonts w:ascii="Times New Roman" w:hAnsi="Times New Roman" w:eastAsia="仿宋_GB2312" w:cs="仿宋_GB2312"/>
          <w:sz w:val="32"/>
          <w:szCs w:val="32"/>
        </w:rPr>
      </w:pPr>
      <w:r>
        <w:rPr>
          <w:rFonts w:hint="eastAsia" w:ascii="Times New Roman" w:hAnsi="Times New Roman" w:eastAsia="仿宋_GB2312" w:cs="仿宋_GB2312"/>
          <w:sz w:val="32"/>
          <w:szCs w:val="32"/>
        </w:rPr>
        <w:t>公开时间：202</w:t>
      </w:r>
      <w:r>
        <w:rPr>
          <w:rFonts w:hint="eastAsia" w:ascii="Times New Roman" w:hAnsi="Times New Roman" w:eastAsia="仿宋_GB2312" w:cs="仿宋_GB2312"/>
          <w:sz w:val="32"/>
          <w:szCs w:val="32"/>
          <w:lang w:val="en-US" w:eastAsia="zh-CN"/>
        </w:rPr>
        <w:t>6</w:t>
      </w:r>
      <w:r>
        <w:rPr>
          <w:rFonts w:hint="eastAsia" w:ascii="Times New Roman" w:hAnsi="Times New Roman" w:eastAsia="仿宋_GB2312" w:cs="仿宋_GB2312"/>
          <w:sz w:val="32"/>
          <w:szCs w:val="32"/>
        </w:rPr>
        <w:t>年</w:t>
      </w:r>
      <w:r>
        <w:rPr>
          <w:rFonts w:hint="eastAsia" w:ascii="Times New Roman" w:hAnsi="Times New Roman" w:eastAsia="仿宋_GB2312" w:cs="仿宋_GB2312"/>
          <w:sz w:val="32"/>
          <w:szCs w:val="32"/>
          <w:lang w:val="en-US" w:eastAsia="zh-CN"/>
        </w:rPr>
        <w:t>9</w:t>
      </w:r>
      <w:r>
        <w:rPr>
          <w:rFonts w:hint="eastAsia" w:ascii="Times New Roman" w:hAnsi="Times New Roman" w:eastAsia="仿宋_GB2312" w:cs="仿宋_GB2312"/>
          <w:sz w:val="32"/>
          <w:szCs w:val="32"/>
        </w:rPr>
        <w:t>月</w:t>
      </w:r>
      <w:r>
        <w:rPr>
          <w:rFonts w:hint="eastAsia" w:ascii="Times New Roman" w:hAnsi="Times New Roman" w:eastAsia="仿宋_GB2312" w:cs="仿宋_GB2312"/>
          <w:sz w:val="32"/>
          <w:szCs w:val="32"/>
          <w:lang w:val="en-US" w:eastAsia="zh-CN"/>
        </w:rPr>
        <w:t>18</w:t>
      </w:r>
      <w:r>
        <w:rPr>
          <w:rFonts w:hint="eastAsia" w:ascii="Times New Roman" w:hAnsi="Times New Roman" w:eastAsia="仿宋_GB2312" w:cs="仿宋_GB2312"/>
          <w:sz w:val="32"/>
          <w:szCs w:val="32"/>
        </w:rPr>
        <w:t>日</w:t>
      </w:r>
    </w:p>
    <w:p w14:paraId="50245543"/>
    <w:p w14:paraId="70D7EAA3">
      <w:pPr>
        <w:pStyle w:val="13"/>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第一部分 部门概况</w:t>
      </w:r>
    </w:p>
    <w:p w14:paraId="73ED0C92">
      <w:pPr>
        <w:pStyle w:val="15"/>
        <w:adjustRightInd w:val="0"/>
        <w:snapToGrid w:val="0"/>
        <w:spacing w:line="560" w:lineRule="exact"/>
        <w:ind w:left="0" w:leftChars="0" w:firstLine="640" w:firstLineChars="200"/>
        <w:jc w:val="left"/>
        <w:rPr>
          <w:rFonts w:hint="eastAsia" w:eastAsia="宋体" w:cs="仿宋_GB2312"/>
          <w:sz w:val="32"/>
          <w:szCs w:val="32"/>
          <w:lang w:val="en-US" w:eastAsia="zh-CN"/>
        </w:rPr>
      </w:pPr>
      <w:r>
        <w:rPr>
          <w:rFonts w:hint="eastAsia" w:eastAsia="仿宋_GB2312" w:cs="仿宋_GB2312"/>
          <w:sz w:val="32"/>
          <w:szCs w:val="32"/>
        </w:rPr>
        <w:t>一、部门职责</w:t>
      </w:r>
      <w:r>
        <w:t>....................................</w:t>
      </w:r>
      <w:r>
        <w:rPr>
          <w:rFonts w:hint="eastAsia"/>
          <w:lang w:val="en-US" w:eastAsia="zh-CN"/>
        </w:rPr>
        <w:t>..........</w:t>
      </w:r>
      <w:r>
        <w:t>............................................................</w:t>
      </w:r>
      <w:r>
        <w:rPr>
          <w:rFonts w:hint="eastAsia"/>
          <w:lang w:val="en-US" w:eastAsia="zh-CN"/>
        </w:rPr>
        <w:t>1</w:t>
      </w:r>
    </w:p>
    <w:p w14:paraId="614D61AB">
      <w:pPr>
        <w:pStyle w:val="15"/>
        <w:adjustRightInd w:val="0"/>
        <w:snapToGrid w:val="0"/>
        <w:spacing w:line="560" w:lineRule="exact"/>
        <w:ind w:left="0" w:leftChars="0" w:firstLine="640" w:firstLineChars="200"/>
        <w:jc w:val="left"/>
        <w:rPr>
          <w:rFonts w:hint="eastAsia" w:eastAsia="宋体" w:cs="仿宋_GB2312"/>
          <w:sz w:val="32"/>
          <w:szCs w:val="32"/>
          <w:lang w:val="en-US" w:eastAsia="zh-CN"/>
        </w:rPr>
      </w:pPr>
      <w:r>
        <w:rPr>
          <w:rFonts w:hint="eastAsia" w:eastAsia="仿宋_GB2312" w:cs="仿宋_GB2312"/>
          <w:sz w:val="32"/>
          <w:szCs w:val="32"/>
        </w:rPr>
        <w:t>二、机构设置</w:t>
      </w:r>
      <w:r>
        <w:t>....................................</w:t>
      </w:r>
      <w:r>
        <w:rPr>
          <w:rFonts w:hint="eastAsia"/>
          <w:lang w:val="en-US" w:eastAsia="zh-CN"/>
        </w:rPr>
        <w:t>..........</w:t>
      </w:r>
      <w:r>
        <w:t>............................................................</w:t>
      </w:r>
      <w:r>
        <w:rPr>
          <w:rFonts w:hint="eastAsia"/>
          <w:lang w:val="en-US" w:eastAsia="zh-CN"/>
        </w:rPr>
        <w:t>2</w:t>
      </w:r>
    </w:p>
    <w:p w14:paraId="694BEA0A">
      <w:pPr>
        <w:pStyle w:val="13"/>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第二部分 202</w:t>
      </w:r>
      <w:r>
        <w:rPr>
          <w:rFonts w:hint="eastAsia" w:ascii="Times New Roman" w:hAnsi="Times New Roman" w:eastAsia="黑体" w:cs="黑体"/>
          <w:sz w:val="32"/>
          <w:szCs w:val="32"/>
          <w:lang w:val="en-US" w:eastAsia="zh-CN"/>
        </w:rPr>
        <w:t>5</w:t>
      </w:r>
      <w:r>
        <w:rPr>
          <w:rFonts w:hint="eastAsia" w:ascii="Times New Roman" w:hAnsi="Times New Roman" w:eastAsia="黑体" w:cs="黑体"/>
          <w:sz w:val="32"/>
          <w:szCs w:val="32"/>
        </w:rPr>
        <w:t>年度部门决算情况说明</w:t>
      </w:r>
    </w:p>
    <w:p w14:paraId="0FF39886">
      <w:pPr>
        <w:pStyle w:val="15"/>
        <w:adjustRightInd w:val="0"/>
        <w:snapToGrid w:val="0"/>
        <w:spacing w:line="560" w:lineRule="exact"/>
        <w:ind w:left="0" w:leftChars="0" w:firstLine="640" w:firstLineChars="200"/>
        <w:jc w:val="left"/>
        <w:rPr>
          <w:rFonts w:hint="eastAsia" w:eastAsia="宋体"/>
          <w:lang w:val="en-US" w:eastAsia="zh-CN"/>
        </w:rPr>
      </w:pPr>
      <w:r>
        <w:rPr>
          <w:rFonts w:hint="eastAsia" w:eastAsia="仿宋_GB2312" w:cs="仿宋_GB2312"/>
          <w:sz w:val="32"/>
          <w:szCs w:val="32"/>
        </w:rPr>
        <w:t>一、收入支出决算总体情况说明</w:t>
      </w:r>
      <w:r>
        <w:t>.........................................................</w:t>
      </w:r>
      <w:r>
        <w:rPr>
          <w:rFonts w:hint="eastAsia"/>
          <w:lang w:val="en-US" w:eastAsia="zh-CN"/>
        </w:rPr>
        <w:t>3</w:t>
      </w:r>
    </w:p>
    <w:p w14:paraId="01979266">
      <w:pPr>
        <w:pStyle w:val="15"/>
        <w:adjustRightInd w:val="0"/>
        <w:snapToGrid w:val="0"/>
        <w:spacing w:line="560" w:lineRule="exact"/>
        <w:ind w:left="0" w:leftChars="0" w:firstLine="640" w:firstLineChars="200"/>
        <w:jc w:val="left"/>
        <w:rPr>
          <w:rFonts w:hint="eastAsia" w:eastAsia="宋体" w:cs="仿宋_GB2312"/>
          <w:sz w:val="32"/>
          <w:szCs w:val="32"/>
          <w:lang w:val="en-US" w:eastAsia="zh-CN"/>
        </w:rPr>
      </w:pPr>
      <w:r>
        <w:rPr>
          <w:rFonts w:hint="eastAsia" w:eastAsia="仿宋_GB2312" w:cs="仿宋_GB2312"/>
          <w:sz w:val="32"/>
          <w:szCs w:val="32"/>
        </w:rPr>
        <w:t>二、收入决算情况说明</w:t>
      </w:r>
      <w:r>
        <w:t>..................................................................................</w:t>
      </w:r>
      <w:r>
        <w:rPr>
          <w:rFonts w:hint="eastAsia"/>
          <w:lang w:val="en-US" w:eastAsia="zh-CN"/>
        </w:rPr>
        <w:t>3</w:t>
      </w:r>
    </w:p>
    <w:p w14:paraId="445FD59C">
      <w:pPr>
        <w:pStyle w:val="15"/>
        <w:adjustRightInd w:val="0"/>
        <w:snapToGrid w:val="0"/>
        <w:spacing w:line="560" w:lineRule="exact"/>
        <w:ind w:left="0" w:leftChars="0" w:firstLine="640" w:firstLineChars="200"/>
        <w:jc w:val="left"/>
        <w:rPr>
          <w:rFonts w:hint="eastAsia" w:eastAsia="宋体" w:cs="仿宋_GB2312"/>
          <w:sz w:val="32"/>
          <w:szCs w:val="32"/>
          <w:lang w:val="en-US" w:eastAsia="zh-CN"/>
        </w:rPr>
      </w:pPr>
      <w:r>
        <w:rPr>
          <w:rFonts w:hint="eastAsia" w:eastAsia="仿宋_GB2312" w:cs="仿宋_GB2312"/>
          <w:sz w:val="32"/>
          <w:szCs w:val="32"/>
        </w:rPr>
        <w:t>三、支出决算情况说明</w:t>
      </w:r>
      <w:r>
        <w:t>..................................................................................</w:t>
      </w:r>
      <w:r>
        <w:rPr>
          <w:rFonts w:hint="eastAsia"/>
          <w:lang w:val="en-US" w:eastAsia="zh-CN"/>
        </w:rPr>
        <w:t>4</w:t>
      </w:r>
    </w:p>
    <w:p w14:paraId="06093225">
      <w:pPr>
        <w:pStyle w:val="15"/>
        <w:adjustRightInd w:val="0"/>
        <w:snapToGrid w:val="0"/>
        <w:spacing w:line="560" w:lineRule="exact"/>
        <w:ind w:left="0" w:leftChars="0" w:firstLine="640" w:firstLineChars="200"/>
        <w:jc w:val="left"/>
        <w:rPr>
          <w:rFonts w:hint="eastAsia" w:eastAsia="宋体" w:cs="仿宋_GB2312"/>
          <w:sz w:val="32"/>
          <w:szCs w:val="32"/>
          <w:lang w:val="en-US" w:eastAsia="zh-CN"/>
        </w:rPr>
      </w:pPr>
      <w:r>
        <w:rPr>
          <w:rFonts w:hint="eastAsia" w:eastAsia="仿宋_GB2312" w:cs="仿宋_GB2312"/>
          <w:sz w:val="32"/>
          <w:szCs w:val="32"/>
        </w:rPr>
        <w:t>四、财政拨款收入支出决算总体情况说明</w:t>
      </w:r>
      <w:r>
        <w:t>..................................</w:t>
      </w:r>
      <w:r>
        <w:rPr>
          <w:rFonts w:hint="eastAsia"/>
          <w:lang w:val="en-US" w:eastAsia="zh-CN"/>
        </w:rPr>
        <w:t>4</w:t>
      </w:r>
    </w:p>
    <w:p w14:paraId="6D3C9660">
      <w:pPr>
        <w:pStyle w:val="15"/>
        <w:adjustRightInd w:val="0"/>
        <w:snapToGrid w:val="0"/>
        <w:spacing w:line="560" w:lineRule="exact"/>
        <w:ind w:left="0" w:leftChars="0" w:firstLine="640" w:firstLineChars="200"/>
        <w:jc w:val="left"/>
        <w:rPr>
          <w:rFonts w:hint="eastAsia" w:eastAsia="宋体" w:cs="仿宋_GB2312"/>
          <w:sz w:val="32"/>
          <w:szCs w:val="32"/>
          <w:lang w:val="en-US" w:eastAsia="zh-CN"/>
        </w:rPr>
      </w:pPr>
      <w:r>
        <w:rPr>
          <w:rFonts w:hint="eastAsia" w:eastAsia="仿宋_GB2312" w:cs="仿宋_GB2312"/>
          <w:sz w:val="32"/>
          <w:szCs w:val="32"/>
        </w:rPr>
        <w:t>五、一般公共预算财政拨款支出决算情况说明</w:t>
      </w:r>
      <w:r>
        <w:t>......................</w:t>
      </w:r>
      <w:r>
        <w:rPr>
          <w:rFonts w:hint="eastAsia"/>
          <w:lang w:val="en-US" w:eastAsia="zh-CN"/>
        </w:rPr>
        <w:t>5</w:t>
      </w:r>
    </w:p>
    <w:p w14:paraId="59DBA730">
      <w:pPr>
        <w:pStyle w:val="15"/>
        <w:adjustRightInd w:val="0"/>
        <w:snapToGrid w:val="0"/>
        <w:spacing w:line="560" w:lineRule="exact"/>
        <w:ind w:left="0" w:leftChars="0" w:firstLine="640" w:firstLineChars="200"/>
        <w:jc w:val="left"/>
        <w:rPr>
          <w:rFonts w:hint="eastAsia" w:eastAsia="宋体" w:cs="仿宋_GB2312"/>
          <w:sz w:val="32"/>
          <w:szCs w:val="32"/>
          <w:lang w:val="en-US" w:eastAsia="zh-CN"/>
        </w:rPr>
      </w:pPr>
      <w:r>
        <w:rPr>
          <w:rFonts w:hint="eastAsia" w:eastAsia="仿宋_GB2312" w:cs="仿宋_GB2312"/>
          <w:sz w:val="32"/>
          <w:szCs w:val="32"/>
        </w:rPr>
        <w:t>六、一般公共预算财政拨款基本支出决算情况说明</w:t>
      </w:r>
      <w:r>
        <w:t>...........</w:t>
      </w:r>
      <w:r>
        <w:rPr>
          <w:rFonts w:hint="eastAsia"/>
          <w:lang w:val="en-US" w:eastAsia="zh-CN"/>
        </w:rPr>
        <w:t>7</w:t>
      </w:r>
    </w:p>
    <w:p w14:paraId="714BC4DF">
      <w:pPr>
        <w:pStyle w:val="15"/>
        <w:adjustRightInd w:val="0"/>
        <w:snapToGrid w:val="0"/>
        <w:spacing w:line="560" w:lineRule="exact"/>
        <w:ind w:left="0" w:leftChars="0" w:firstLine="640" w:firstLineChars="200"/>
        <w:jc w:val="left"/>
        <w:rPr>
          <w:rFonts w:hint="default" w:eastAsia="仿宋_GB2312" w:cs="仿宋_GB2312"/>
          <w:sz w:val="32"/>
          <w:szCs w:val="32"/>
          <w:lang w:val="en"/>
        </w:rPr>
      </w:pPr>
      <w:r>
        <w:rPr>
          <w:rFonts w:hint="eastAsia" w:eastAsia="仿宋_GB2312" w:cs="仿宋_GB2312"/>
          <w:sz w:val="32"/>
          <w:szCs w:val="32"/>
        </w:rPr>
        <w:t>七、财政拨款“三公”经费支出决算情况说明</w:t>
      </w:r>
      <w:r>
        <w:t>.......................</w:t>
      </w:r>
      <w:r>
        <w:rPr>
          <w:rFonts w:hint="default"/>
          <w:lang w:val="en" w:eastAsia="zh-CN"/>
        </w:rPr>
        <w:t>8</w:t>
      </w:r>
    </w:p>
    <w:p w14:paraId="1051767D">
      <w:pPr>
        <w:pStyle w:val="15"/>
        <w:adjustRightInd w:val="0"/>
        <w:snapToGrid w:val="0"/>
        <w:spacing w:line="560" w:lineRule="exact"/>
        <w:ind w:left="0" w:leftChars="0" w:firstLine="640" w:firstLineChars="200"/>
        <w:jc w:val="left"/>
        <w:rPr>
          <w:rFonts w:hint="default" w:eastAsia="仿宋_GB2312" w:cs="仿宋_GB2312"/>
          <w:sz w:val="32"/>
          <w:szCs w:val="32"/>
          <w:lang w:val="en"/>
        </w:rPr>
      </w:pPr>
      <w:r>
        <w:rPr>
          <w:rFonts w:hint="eastAsia" w:eastAsia="仿宋_GB2312" w:cs="仿宋_GB2312"/>
          <w:sz w:val="32"/>
          <w:szCs w:val="32"/>
        </w:rPr>
        <w:t>八、政府性基金预算支出决算情况说明</w:t>
      </w:r>
      <w:r>
        <w:t>........................................</w:t>
      </w:r>
      <w:r>
        <w:rPr>
          <w:rFonts w:hint="default"/>
          <w:lang w:val="en" w:eastAsia="zh-CN"/>
        </w:rPr>
        <w:t>10</w:t>
      </w:r>
    </w:p>
    <w:p w14:paraId="561FE853">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九、国有资本经营预算支出决算情况说明</w:t>
      </w:r>
      <w:r>
        <w:t>..................................</w:t>
      </w:r>
      <w:r>
        <w:rPr>
          <w:rFonts w:hint="default"/>
          <w:lang w:val="en" w:eastAsia="zh-CN"/>
        </w:rPr>
        <w:t>10</w:t>
      </w:r>
    </w:p>
    <w:p w14:paraId="7772F7DA">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十、其他重要事项的情况说明</w:t>
      </w:r>
      <w:r>
        <w:t>................................................................</w:t>
      </w:r>
      <w:r>
        <w:rPr>
          <w:rFonts w:hint="default"/>
          <w:lang w:val="en" w:eastAsia="zh-CN"/>
        </w:rPr>
        <w:t>10</w:t>
      </w:r>
    </w:p>
    <w:p w14:paraId="5746E0BB">
      <w:pPr>
        <w:pStyle w:val="13"/>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第三部分 名词解释</w:t>
      </w:r>
    </w:p>
    <w:p w14:paraId="2F605DDD">
      <w:pPr>
        <w:pStyle w:val="13"/>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第四部分 附件</w:t>
      </w:r>
    </w:p>
    <w:p w14:paraId="031815BA">
      <w:pPr>
        <w:pStyle w:val="13"/>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第五部分 附表</w:t>
      </w:r>
    </w:p>
    <w:p w14:paraId="1ECE7261">
      <w:pPr>
        <w:pStyle w:val="15"/>
        <w:adjustRightInd w:val="0"/>
        <w:snapToGrid w:val="0"/>
        <w:spacing w:line="560" w:lineRule="exact"/>
        <w:ind w:left="0" w:leftChars="0" w:firstLine="640" w:firstLineChars="200"/>
        <w:jc w:val="left"/>
        <w:rPr>
          <w:rFonts w:hint="default" w:eastAsia="仿宋_GB2312" w:cs="仿宋_GB2312"/>
          <w:sz w:val="32"/>
          <w:szCs w:val="32"/>
          <w:lang w:val="en"/>
        </w:rPr>
      </w:pPr>
      <w:r>
        <w:rPr>
          <w:rFonts w:hint="eastAsia" w:eastAsia="仿宋_GB2312" w:cs="仿宋_GB2312"/>
          <w:sz w:val="32"/>
          <w:szCs w:val="32"/>
        </w:rPr>
        <w:t>一、收入支出决算总表</w:t>
      </w:r>
      <w:r>
        <w:t>..................................................................................</w:t>
      </w:r>
      <w:r>
        <w:rPr>
          <w:rFonts w:hint="default"/>
          <w:lang w:val="en"/>
        </w:rPr>
        <w:t>22</w:t>
      </w:r>
    </w:p>
    <w:p w14:paraId="3133BEB4">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二、收入决算表</w:t>
      </w:r>
      <w:r>
        <w:t>...................................................................................................</w:t>
      </w:r>
      <w:r>
        <w:rPr>
          <w:rFonts w:hint="default"/>
          <w:lang w:val="en"/>
        </w:rPr>
        <w:t>22</w:t>
      </w:r>
    </w:p>
    <w:p w14:paraId="2FEE335F">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三、支出决算表</w:t>
      </w:r>
      <w:r>
        <w:t>...................................................................................................</w:t>
      </w:r>
      <w:r>
        <w:rPr>
          <w:rFonts w:hint="default"/>
          <w:lang w:val="en"/>
        </w:rPr>
        <w:t>22</w:t>
      </w:r>
    </w:p>
    <w:p w14:paraId="7A746BEE">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四、财政拨款收入支出决算总表</w:t>
      </w:r>
      <w:r>
        <w:t>.......................................................</w:t>
      </w:r>
      <w:r>
        <w:rPr>
          <w:rFonts w:hint="default"/>
          <w:lang w:val="en"/>
        </w:rPr>
        <w:t>22</w:t>
      </w:r>
    </w:p>
    <w:p w14:paraId="65FA9CDD">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五、财政拨款支出决算明细表</w:t>
      </w:r>
      <w:r>
        <w:t>.............................................................</w:t>
      </w:r>
      <w:r>
        <w:rPr>
          <w:rFonts w:hint="default"/>
          <w:lang w:val="en"/>
        </w:rPr>
        <w:t>22</w:t>
      </w:r>
    </w:p>
    <w:p w14:paraId="4C5A6748">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六、一般公共预算财政拨款支出决算表</w:t>
      </w:r>
      <w:r>
        <w:t>.....................................</w:t>
      </w:r>
      <w:r>
        <w:rPr>
          <w:rFonts w:hint="default"/>
          <w:lang w:val="en"/>
        </w:rPr>
        <w:t>22</w:t>
      </w:r>
    </w:p>
    <w:p w14:paraId="0BE6D32A">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七、一般公共预算财政拨款支出决算明细表</w:t>
      </w:r>
      <w:r>
        <w:t>.........................</w:t>
      </w:r>
      <w:r>
        <w:rPr>
          <w:rFonts w:hint="default"/>
          <w:lang w:val="en"/>
        </w:rPr>
        <w:t>22</w:t>
      </w:r>
    </w:p>
    <w:p w14:paraId="32AE1581">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八、一般公共预算财政拨款基本支出决算明细表</w:t>
      </w:r>
      <w:r>
        <w:t>.............</w:t>
      </w:r>
      <w:r>
        <w:rPr>
          <w:rFonts w:hint="default"/>
          <w:lang w:val="en"/>
        </w:rPr>
        <w:t>22</w:t>
      </w:r>
    </w:p>
    <w:p w14:paraId="0E10C2CA">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九、一般公共预算财政拨款项目支出决算表</w:t>
      </w:r>
      <w:r>
        <w:t>.........................</w:t>
      </w:r>
      <w:r>
        <w:rPr>
          <w:rFonts w:hint="default"/>
          <w:lang w:val="en"/>
        </w:rPr>
        <w:t>22</w:t>
      </w:r>
    </w:p>
    <w:p w14:paraId="235B7C1D">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十、政府性基金预算财政拨款收入支出决算表</w:t>
      </w:r>
      <w:r>
        <w:t>...................</w:t>
      </w:r>
      <w:r>
        <w:rPr>
          <w:rFonts w:hint="default"/>
          <w:lang w:val="en"/>
        </w:rPr>
        <w:t>22</w:t>
      </w:r>
    </w:p>
    <w:p w14:paraId="09D6A2EA">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十一、国有资本经营预算财政拨款收入支出决算表</w:t>
      </w:r>
      <w:r>
        <w:t>........</w:t>
      </w:r>
      <w:r>
        <w:rPr>
          <w:rFonts w:hint="default"/>
          <w:lang w:val="en"/>
        </w:rPr>
        <w:t>22</w:t>
      </w:r>
    </w:p>
    <w:p w14:paraId="3A8E7396">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十二、国有资本经营预算财政拨款支出决算表</w:t>
      </w:r>
      <w:r>
        <w:t>.....................</w:t>
      </w:r>
      <w:r>
        <w:rPr>
          <w:rFonts w:hint="default"/>
          <w:lang w:val="en"/>
        </w:rPr>
        <w:t>22</w:t>
      </w:r>
    </w:p>
    <w:p w14:paraId="5B967E82">
      <w:pPr>
        <w:pStyle w:val="15"/>
        <w:adjustRightInd w:val="0"/>
        <w:snapToGrid w:val="0"/>
        <w:spacing w:line="560" w:lineRule="exact"/>
        <w:ind w:left="0" w:leftChars="0" w:firstLine="640" w:firstLineChars="200"/>
        <w:jc w:val="left"/>
        <w:rPr>
          <w:rFonts w:hint="eastAsia" w:eastAsia="方正小标宋简体" w:cs="方正小标宋简体"/>
          <w:b w:val="0"/>
          <w:bCs w:val="0"/>
          <w:sz w:val="21"/>
          <w:szCs w:val="21"/>
        </w:rPr>
        <w:sectPr>
          <w:footerReference r:id="rId6" w:type="first"/>
          <w:footerReference r:id="rId5" w:type="default"/>
          <w:pgSz w:w="11906" w:h="16838"/>
          <w:pgMar w:top="1440" w:right="1800" w:bottom="1440" w:left="1800" w:header="851" w:footer="992" w:gutter="0"/>
          <w:pgNumType w:fmt="numberInDash" w:start="1"/>
          <w:cols w:space="425" w:num="1"/>
          <w:titlePg/>
          <w:docGrid w:type="lines" w:linePitch="312" w:charSpace="0"/>
        </w:sectPr>
      </w:pPr>
      <w:r>
        <w:rPr>
          <w:rFonts w:hint="eastAsia" w:eastAsia="仿宋_GB2312" w:cs="仿宋_GB2312"/>
          <w:sz w:val="32"/>
          <w:szCs w:val="32"/>
        </w:rPr>
        <w:t>十三、财政拨款“三公”经费支出决算表</w:t>
      </w:r>
      <w:bookmarkStart w:id="6" w:name="_Toc15396599"/>
      <w:bookmarkStart w:id="7" w:name="_Toc15377196"/>
      <w:r>
        <w:rPr>
          <w:b w:val="0"/>
          <w:bCs w:val="0"/>
          <w:sz w:val="21"/>
          <w:szCs w:val="21"/>
        </w:rPr>
        <w:t>................................</w:t>
      </w:r>
      <w:r>
        <w:rPr>
          <w:rFonts w:hint="default"/>
          <w:b w:val="0"/>
          <w:bCs w:val="0"/>
          <w:sz w:val="21"/>
          <w:szCs w:val="21"/>
          <w:lang w:val="en"/>
        </w:rPr>
        <w:t>22</w:t>
      </w:r>
    </w:p>
    <w:p w14:paraId="03A6C457">
      <w:pPr>
        <w:pStyle w:val="3"/>
        <w:jc w:val="center"/>
        <w:rPr>
          <w:rFonts w:eastAsia="黑体"/>
          <w:sz w:val="32"/>
          <w:szCs w:val="32"/>
        </w:rPr>
      </w:pPr>
      <w:r>
        <w:rPr>
          <w:rFonts w:hint="eastAsia" w:eastAsia="方正小标宋简体" w:cs="方正小标宋简体"/>
          <w:b w:val="0"/>
        </w:rPr>
        <w:t xml:space="preserve">第一部分  </w:t>
      </w:r>
      <w:r>
        <w:rPr>
          <w:rStyle w:val="30"/>
          <w:rFonts w:hint="eastAsia" w:eastAsia="方正小标宋简体" w:cs="方正小标宋简体"/>
          <w:b w:val="0"/>
          <w:bCs w:val="0"/>
        </w:rPr>
        <w:t>部门概况</w:t>
      </w:r>
      <w:bookmarkEnd w:id="6"/>
      <w:bookmarkEnd w:id="7"/>
    </w:p>
    <w:p w14:paraId="3E5CFE95">
      <w:pPr>
        <w:pStyle w:val="4"/>
        <w:pageBreakBefore w:val="0"/>
        <w:numPr>
          <w:ilvl w:val="0"/>
          <w:numId w:val="1"/>
        </w:numPr>
        <w:kinsoku/>
        <w:wordWrap/>
        <w:overflowPunct/>
        <w:topLinePunct w:val="0"/>
        <w:autoSpaceDN/>
        <w:bidi w:val="0"/>
        <w:adjustRightInd/>
        <w:snapToGrid/>
        <w:spacing w:line="240" w:lineRule="auto"/>
        <w:textAlignment w:val="auto"/>
        <w:rPr>
          <w:rFonts w:hint="eastAsia" w:ascii="Times New Roman" w:hAnsi="Times New Roman" w:eastAsia="黑体"/>
          <w:b w:val="0"/>
        </w:rPr>
      </w:pPr>
      <w:r>
        <w:rPr>
          <w:rFonts w:hint="eastAsia" w:ascii="Times New Roman" w:hAnsi="Times New Roman" w:eastAsia="黑体"/>
          <w:b w:val="0"/>
        </w:rPr>
        <w:t>部门职责</w:t>
      </w:r>
    </w:p>
    <w:p w14:paraId="61903F24">
      <w:pPr>
        <w:pStyle w:val="16"/>
        <w:keepNext w:val="0"/>
        <w:keepLines w:val="0"/>
        <w:pageBreakBefore w:val="0"/>
        <w:widowControl/>
        <w:shd w:val="clear" w:fill="FFFFFF"/>
        <w:kinsoku/>
        <w:wordWrap/>
        <w:overflowPunct/>
        <w:topLinePunct w:val="0"/>
        <w:autoSpaceDE w:val="0"/>
        <w:autoSpaceDN/>
        <w:bidi w:val="0"/>
        <w:adjustRightInd/>
        <w:snapToGrid/>
        <w:spacing w:line="360" w:lineRule="auto"/>
        <w:textAlignment w:val="auto"/>
        <w:rPr>
          <w:rFonts w:hint="eastAsia" w:ascii="仿宋_GB2312" w:hAnsi="仿宋_GB2312" w:eastAsia="仿宋_GB2312" w:cs="仿宋_GB2312"/>
          <w:sz w:val="32"/>
          <w:szCs w:val="32"/>
          <w:shd w:val="clear" w:fill="FFFFFF"/>
          <w:lang w:eastAsia="zh-CN"/>
        </w:rPr>
      </w:pPr>
      <w:r>
        <w:rPr>
          <w:shd w:val="clear" w:fill="FFFFFF"/>
          <w:lang w:val="en-US"/>
        </w:rPr>
        <w:t xml:space="preserve">   </w:t>
      </w:r>
      <w:r>
        <w:rPr>
          <w:rFonts w:hint="eastAsia" w:ascii="仿宋_GB2312" w:hAnsi="仿宋_GB2312" w:eastAsia="仿宋_GB2312" w:cs="仿宋_GB2312"/>
          <w:sz w:val="32"/>
          <w:szCs w:val="32"/>
          <w:shd w:val="clear" w:fill="FFFFFF"/>
          <w:lang w:val="en-US"/>
        </w:rPr>
        <w:t xml:space="preserve"> </w:t>
      </w:r>
      <w:r>
        <w:rPr>
          <w:rFonts w:hint="eastAsia" w:ascii="仿宋_GB2312" w:hAnsi="仿宋_GB2312" w:eastAsia="仿宋_GB2312" w:cs="仿宋_GB2312"/>
          <w:sz w:val="32"/>
          <w:szCs w:val="32"/>
          <w:shd w:val="clear" w:fill="FFFFFF"/>
          <w:lang w:eastAsia="zh-CN"/>
        </w:rPr>
        <w:t xml:space="preserve">县人民法院是国家审判机关，依法独立行使审判权，接受上级人民法院的监督和指导，对县人民代表大会及其常务委员会负责并报告工作。其主要职责是：                    </w:t>
      </w:r>
    </w:p>
    <w:p w14:paraId="6764E148">
      <w:pPr>
        <w:pStyle w:val="16"/>
        <w:keepNext w:val="0"/>
        <w:keepLines w:val="0"/>
        <w:pageBreakBefore w:val="0"/>
        <w:widowControl/>
        <w:shd w:val="clear" w:fill="FFFFFF"/>
        <w:kinsoku/>
        <w:wordWrap/>
        <w:overflowPunct/>
        <w:topLinePunct w:val="0"/>
        <w:autoSpaceDE w:val="0"/>
        <w:autoSpaceDN/>
        <w:bidi w:val="0"/>
        <w:adjustRightInd/>
        <w:snapToGrid/>
        <w:spacing w:beforeAutospacing="0" w:afterAutospacing="0" w:line="360" w:lineRule="auto"/>
        <w:ind w:firstLine="640" w:firstLineChars="200"/>
        <w:textAlignment w:val="auto"/>
        <w:rPr>
          <w:rFonts w:hint="eastAsia" w:ascii="仿宋_GB2312" w:hAnsi="仿宋_GB2312" w:eastAsia="仿宋_GB2312" w:cs="仿宋_GB2312"/>
          <w:sz w:val="32"/>
          <w:szCs w:val="32"/>
          <w:shd w:val="clear" w:fill="FFFFFF"/>
          <w:lang w:eastAsia="zh-CN"/>
        </w:rPr>
      </w:pPr>
      <w:r>
        <w:rPr>
          <w:rFonts w:hint="eastAsia" w:ascii="仿宋_GB2312" w:hAnsi="仿宋_GB2312" w:eastAsia="仿宋_GB2312" w:cs="仿宋_GB2312"/>
          <w:sz w:val="32"/>
          <w:szCs w:val="32"/>
          <w:shd w:val="clear" w:fill="FFFFFF"/>
          <w:lang w:eastAsia="zh-CN"/>
        </w:rPr>
        <w:t>1.审判法律规定、上级人民法院指定由县法院管辖以及县法院认为应当由自己审判的刑事、民事、行政等第一审案件。</w:t>
      </w:r>
    </w:p>
    <w:p w14:paraId="17D9936B">
      <w:pPr>
        <w:pStyle w:val="16"/>
        <w:keepNext w:val="0"/>
        <w:keepLines w:val="0"/>
        <w:pageBreakBefore w:val="0"/>
        <w:widowControl/>
        <w:shd w:val="clear" w:fill="FFFFFF"/>
        <w:kinsoku/>
        <w:wordWrap/>
        <w:overflowPunct/>
        <w:topLinePunct w:val="0"/>
        <w:autoSpaceDE w:val="0"/>
        <w:autoSpaceDN/>
        <w:bidi w:val="0"/>
        <w:adjustRightInd/>
        <w:snapToGrid/>
        <w:spacing w:beforeAutospacing="0" w:afterAutospacing="0" w:line="360" w:lineRule="auto"/>
        <w:ind w:firstLine="640" w:firstLineChars="200"/>
        <w:textAlignment w:val="auto"/>
        <w:rPr>
          <w:rFonts w:hint="eastAsia" w:ascii="仿宋_GB2312" w:hAnsi="仿宋_GB2312" w:eastAsia="仿宋_GB2312" w:cs="仿宋_GB2312"/>
          <w:sz w:val="32"/>
          <w:szCs w:val="32"/>
          <w:shd w:val="clear" w:fill="FFFFFF"/>
          <w:lang w:eastAsia="zh-CN"/>
        </w:rPr>
      </w:pPr>
      <w:r>
        <w:rPr>
          <w:rFonts w:hint="eastAsia" w:ascii="仿宋_GB2312" w:hAnsi="仿宋_GB2312" w:eastAsia="仿宋_GB2312" w:cs="仿宋_GB2312"/>
          <w:sz w:val="32"/>
          <w:szCs w:val="32"/>
          <w:shd w:val="clear" w:fill="FFFFFF"/>
          <w:lang w:eastAsia="zh-CN"/>
        </w:rPr>
        <w:t>2.审查处理不服本院判决各类申诉案件。</w:t>
      </w:r>
    </w:p>
    <w:p w14:paraId="61CE3BCE">
      <w:pPr>
        <w:pStyle w:val="16"/>
        <w:keepNext w:val="0"/>
        <w:keepLines w:val="0"/>
        <w:pageBreakBefore w:val="0"/>
        <w:widowControl/>
        <w:shd w:val="clear" w:fill="FFFFFF"/>
        <w:kinsoku/>
        <w:wordWrap/>
        <w:overflowPunct/>
        <w:topLinePunct w:val="0"/>
        <w:autoSpaceDE w:val="0"/>
        <w:autoSpaceDN/>
        <w:bidi w:val="0"/>
        <w:adjustRightInd/>
        <w:snapToGrid/>
        <w:spacing w:beforeAutospacing="0" w:afterAutospacing="0" w:line="360" w:lineRule="auto"/>
        <w:ind w:firstLine="640" w:firstLineChars="200"/>
        <w:textAlignment w:val="auto"/>
        <w:rPr>
          <w:rFonts w:hint="eastAsia" w:ascii="仿宋_GB2312" w:hAnsi="仿宋_GB2312" w:eastAsia="仿宋_GB2312" w:cs="仿宋_GB2312"/>
          <w:sz w:val="32"/>
          <w:szCs w:val="32"/>
          <w:shd w:val="clear" w:fill="FFFFFF"/>
          <w:lang w:eastAsia="zh-CN"/>
        </w:rPr>
      </w:pPr>
      <w:r>
        <w:rPr>
          <w:rFonts w:hint="eastAsia" w:ascii="仿宋_GB2312" w:hAnsi="仿宋_GB2312" w:eastAsia="仿宋_GB2312" w:cs="仿宋_GB2312"/>
          <w:sz w:val="32"/>
          <w:szCs w:val="32"/>
          <w:shd w:val="clear" w:fill="FFFFFF"/>
          <w:lang w:eastAsia="zh-CN"/>
        </w:rPr>
        <w:t>3.监督、指导人民法庭的审判工作。</w:t>
      </w:r>
    </w:p>
    <w:p w14:paraId="46D419C9">
      <w:pPr>
        <w:pStyle w:val="16"/>
        <w:keepNext w:val="0"/>
        <w:keepLines w:val="0"/>
        <w:pageBreakBefore w:val="0"/>
        <w:widowControl/>
        <w:shd w:val="clear" w:fill="FFFFFF"/>
        <w:kinsoku/>
        <w:wordWrap/>
        <w:overflowPunct/>
        <w:topLinePunct w:val="0"/>
        <w:autoSpaceDE w:val="0"/>
        <w:autoSpaceDN/>
        <w:bidi w:val="0"/>
        <w:adjustRightInd/>
        <w:snapToGrid/>
        <w:spacing w:beforeAutospacing="0" w:afterAutospacing="0" w:line="360" w:lineRule="auto"/>
        <w:ind w:firstLine="640" w:firstLineChars="200"/>
        <w:textAlignment w:val="auto"/>
        <w:rPr>
          <w:rFonts w:hint="eastAsia" w:ascii="仿宋_GB2312" w:hAnsi="仿宋_GB2312" w:eastAsia="仿宋_GB2312" w:cs="仿宋_GB2312"/>
          <w:sz w:val="32"/>
          <w:szCs w:val="32"/>
          <w:shd w:val="clear" w:fill="FFFFFF"/>
          <w:lang w:eastAsia="zh-CN"/>
        </w:rPr>
      </w:pPr>
      <w:r>
        <w:rPr>
          <w:rFonts w:hint="eastAsia" w:ascii="仿宋_GB2312" w:hAnsi="仿宋_GB2312" w:eastAsia="仿宋_GB2312" w:cs="仿宋_GB2312"/>
          <w:sz w:val="32"/>
          <w:szCs w:val="32"/>
          <w:shd w:val="clear" w:fill="FFFFFF"/>
          <w:lang w:eastAsia="zh-CN"/>
        </w:rPr>
        <w:t>4.依法行使司法执行权和司法决定权。</w:t>
      </w:r>
    </w:p>
    <w:p w14:paraId="552A1ACD">
      <w:pPr>
        <w:pStyle w:val="16"/>
        <w:keepNext w:val="0"/>
        <w:keepLines w:val="0"/>
        <w:pageBreakBefore w:val="0"/>
        <w:shd w:val="clear" w:fill="FFFFFF"/>
        <w:kinsoku/>
        <w:wordWrap/>
        <w:overflowPunct/>
        <w:topLinePunct w:val="0"/>
        <w:autoSpaceDE w:val="0"/>
        <w:autoSpaceDN/>
        <w:bidi w:val="0"/>
        <w:adjustRightInd/>
        <w:snapToGrid/>
        <w:spacing w:beforeAutospacing="0" w:afterAutospacing="0" w:line="240" w:lineRule="auto"/>
        <w:ind w:firstLine="640" w:firstLineChars="200"/>
        <w:textAlignment w:val="auto"/>
        <w:rPr>
          <w:rFonts w:hint="eastAsia" w:ascii="仿宋_GB2312" w:hAnsi="仿宋_GB2312" w:eastAsia="仿宋_GB2312" w:cs="仿宋_GB2312"/>
          <w:sz w:val="32"/>
          <w:szCs w:val="32"/>
          <w:shd w:val="clear" w:fill="FFFFFF"/>
          <w:lang w:eastAsia="zh-CN"/>
        </w:rPr>
      </w:pPr>
      <w:r>
        <w:rPr>
          <w:rFonts w:hint="eastAsia" w:ascii="仿宋_GB2312" w:hAnsi="仿宋_GB2312" w:eastAsia="仿宋_GB2312" w:cs="仿宋_GB2312"/>
          <w:sz w:val="32"/>
          <w:szCs w:val="32"/>
          <w:shd w:val="clear" w:fill="FFFFFF"/>
          <w:lang w:eastAsia="zh-CN"/>
        </w:rPr>
        <w:t>5.依法决定国家赔偿。</w:t>
      </w:r>
    </w:p>
    <w:p w14:paraId="358D3834">
      <w:pPr>
        <w:pStyle w:val="16"/>
        <w:keepNext w:val="0"/>
        <w:keepLines w:val="0"/>
        <w:pageBreakBefore w:val="0"/>
        <w:shd w:val="clear" w:fill="FFFFFF"/>
        <w:kinsoku/>
        <w:wordWrap/>
        <w:overflowPunct/>
        <w:topLinePunct w:val="0"/>
        <w:autoSpaceDE w:val="0"/>
        <w:autoSpaceDN/>
        <w:bidi w:val="0"/>
        <w:adjustRightInd/>
        <w:snapToGrid/>
        <w:spacing w:beforeAutospacing="0" w:afterAutospacing="0" w:line="240" w:lineRule="auto"/>
        <w:ind w:firstLine="640" w:firstLineChars="200"/>
        <w:textAlignment w:val="auto"/>
        <w:rPr>
          <w:rFonts w:hint="eastAsia" w:ascii="仿宋_GB2312" w:hAnsi="仿宋_GB2312" w:eastAsia="仿宋_GB2312" w:cs="仿宋_GB2312"/>
          <w:sz w:val="32"/>
          <w:szCs w:val="32"/>
          <w:shd w:val="clear" w:fill="FFFFFF"/>
          <w:lang w:eastAsia="zh-CN"/>
        </w:rPr>
      </w:pPr>
      <w:r>
        <w:rPr>
          <w:rFonts w:hint="eastAsia" w:ascii="仿宋_GB2312" w:hAnsi="仿宋_GB2312" w:eastAsia="仿宋_GB2312" w:cs="仿宋_GB2312"/>
          <w:sz w:val="32"/>
          <w:szCs w:val="32"/>
          <w:shd w:val="clear" w:fill="FFFFFF"/>
          <w:lang w:eastAsia="zh-CN"/>
        </w:rPr>
        <w:t>6.管理、协调本院的审判和执行工作。</w:t>
      </w:r>
    </w:p>
    <w:p w14:paraId="3BA07B1D">
      <w:pPr>
        <w:pStyle w:val="16"/>
        <w:keepNext w:val="0"/>
        <w:keepLines w:val="0"/>
        <w:pageBreakBefore w:val="0"/>
        <w:shd w:val="clear" w:fill="FFFFFF"/>
        <w:kinsoku/>
        <w:wordWrap/>
        <w:overflowPunct/>
        <w:topLinePunct w:val="0"/>
        <w:autoSpaceDE w:val="0"/>
        <w:autoSpaceDN/>
        <w:bidi w:val="0"/>
        <w:adjustRightInd/>
        <w:snapToGrid/>
        <w:spacing w:beforeAutospacing="0" w:afterAutospacing="0" w:line="240" w:lineRule="auto"/>
        <w:ind w:firstLine="640" w:firstLineChars="200"/>
        <w:textAlignment w:val="auto"/>
        <w:rPr>
          <w:rFonts w:hint="eastAsia" w:ascii="仿宋_GB2312" w:hAnsi="仿宋_GB2312" w:eastAsia="仿宋_GB2312" w:cs="仿宋_GB2312"/>
          <w:sz w:val="32"/>
          <w:szCs w:val="32"/>
          <w:shd w:val="clear" w:fill="FFFFFF"/>
          <w:lang w:eastAsia="zh-CN"/>
        </w:rPr>
      </w:pPr>
      <w:r>
        <w:rPr>
          <w:rFonts w:hint="eastAsia" w:ascii="仿宋_GB2312" w:hAnsi="仿宋_GB2312" w:eastAsia="仿宋_GB2312" w:cs="仿宋_GB2312"/>
          <w:sz w:val="32"/>
          <w:szCs w:val="32"/>
          <w:shd w:val="clear" w:fill="FFFFFF"/>
          <w:lang w:eastAsia="zh-CN"/>
        </w:rPr>
        <w:t>7.负责全院思想政治、教育培训工作；按照权限管理法官和其他人员；主管本法院的监察工作；领导院直属单位和群团工作。</w:t>
      </w:r>
    </w:p>
    <w:p w14:paraId="3D1FAAD1">
      <w:pPr>
        <w:pStyle w:val="16"/>
        <w:keepNext w:val="0"/>
        <w:keepLines w:val="0"/>
        <w:pageBreakBefore w:val="0"/>
        <w:shd w:val="clear" w:fill="FFFFFF"/>
        <w:kinsoku/>
        <w:wordWrap/>
        <w:overflowPunct/>
        <w:topLinePunct w:val="0"/>
        <w:autoSpaceDE w:val="0"/>
        <w:autoSpaceDN/>
        <w:bidi w:val="0"/>
        <w:adjustRightInd/>
        <w:snapToGrid/>
        <w:spacing w:beforeAutospacing="0" w:afterAutospacing="0" w:line="240" w:lineRule="auto"/>
        <w:ind w:firstLine="640" w:firstLineChars="200"/>
        <w:textAlignment w:val="auto"/>
        <w:rPr>
          <w:rFonts w:hint="eastAsia" w:ascii="仿宋_GB2312" w:hAnsi="仿宋_GB2312" w:eastAsia="仿宋_GB2312" w:cs="仿宋_GB2312"/>
          <w:sz w:val="32"/>
          <w:szCs w:val="32"/>
          <w:shd w:val="clear" w:fill="FFFFFF"/>
          <w:lang w:eastAsia="zh-CN"/>
        </w:rPr>
      </w:pPr>
      <w:r>
        <w:rPr>
          <w:rFonts w:hint="eastAsia" w:ascii="仿宋_GB2312" w:hAnsi="仿宋_GB2312" w:eastAsia="仿宋_GB2312" w:cs="仿宋_GB2312"/>
          <w:sz w:val="32"/>
          <w:szCs w:val="32"/>
          <w:shd w:val="clear" w:fill="FFFFFF"/>
          <w:lang w:eastAsia="zh-CN"/>
        </w:rPr>
        <w:t>8.管理本法院的有关经费和物资装备。</w:t>
      </w:r>
    </w:p>
    <w:p w14:paraId="7EAB1F65">
      <w:pPr>
        <w:pStyle w:val="16"/>
        <w:keepNext w:val="0"/>
        <w:keepLines w:val="0"/>
        <w:pageBreakBefore w:val="0"/>
        <w:shd w:val="clear" w:fill="FFFFFF"/>
        <w:kinsoku/>
        <w:wordWrap/>
        <w:overflowPunct/>
        <w:topLinePunct w:val="0"/>
        <w:autoSpaceDE w:val="0"/>
        <w:autoSpaceDN/>
        <w:bidi w:val="0"/>
        <w:adjustRightInd/>
        <w:snapToGrid/>
        <w:spacing w:beforeAutospacing="0" w:afterAutospacing="0" w:line="240" w:lineRule="auto"/>
        <w:ind w:firstLine="640" w:firstLineChars="200"/>
        <w:textAlignment w:val="auto"/>
        <w:rPr>
          <w:rFonts w:hint="eastAsia" w:ascii="仿宋_GB2312" w:hAnsi="仿宋_GB2312" w:eastAsia="仿宋_GB2312" w:cs="仿宋_GB2312"/>
          <w:sz w:val="32"/>
          <w:szCs w:val="32"/>
          <w:shd w:val="clear" w:fill="FFFFFF"/>
          <w:lang w:eastAsia="zh-CN"/>
        </w:rPr>
      </w:pPr>
      <w:r>
        <w:rPr>
          <w:rFonts w:hint="eastAsia" w:ascii="仿宋_GB2312" w:hAnsi="仿宋_GB2312" w:eastAsia="仿宋_GB2312" w:cs="仿宋_GB2312"/>
          <w:sz w:val="32"/>
          <w:szCs w:val="32"/>
          <w:shd w:val="clear" w:fill="FFFFFF"/>
          <w:lang w:eastAsia="zh-CN"/>
        </w:rPr>
        <w:t>9.结合审判工作宣传法制，教育公民遵守宪法和法律。</w:t>
      </w:r>
    </w:p>
    <w:p w14:paraId="1E846E48">
      <w:pPr>
        <w:pStyle w:val="16"/>
        <w:keepNext w:val="0"/>
        <w:keepLines w:val="0"/>
        <w:pageBreakBefore w:val="0"/>
        <w:shd w:val="clear" w:fill="FFFFFF"/>
        <w:kinsoku/>
        <w:wordWrap/>
        <w:overflowPunct/>
        <w:topLinePunct w:val="0"/>
        <w:autoSpaceDE w:val="0"/>
        <w:autoSpaceDN/>
        <w:bidi w:val="0"/>
        <w:adjustRightInd/>
        <w:snapToGrid/>
        <w:spacing w:beforeAutospacing="0" w:afterAutospacing="0" w:line="240" w:lineRule="auto"/>
        <w:ind w:firstLine="640" w:firstLineChars="200"/>
        <w:textAlignment w:val="auto"/>
        <w:rPr>
          <w:rFonts w:hint="eastAsia" w:ascii="仿宋_GB2312" w:hAnsi="仿宋_GB2312" w:eastAsia="仿宋_GB2312" w:cs="仿宋_GB2312"/>
          <w:sz w:val="32"/>
          <w:szCs w:val="32"/>
          <w:shd w:val="clear" w:fill="FFFFFF"/>
          <w:lang w:eastAsia="zh-CN"/>
        </w:rPr>
      </w:pPr>
      <w:r>
        <w:rPr>
          <w:rFonts w:hint="eastAsia" w:ascii="仿宋_GB2312" w:hAnsi="仿宋_GB2312" w:eastAsia="仿宋_GB2312" w:cs="仿宋_GB2312"/>
          <w:sz w:val="32"/>
          <w:szCs w:val="32"/>
          <w:shd w:val="clear" w:fill="FFFFFF"/>
          <w:lang w:eastAsia="zh-CN"/>
        </w:rPr>
        <w:t>10.承办其他应由本院负责的工作。</w:t>
      </w:r>
    </w:p>
    <w:p w14:paraId="4F6CB61A">
      <w:pPr>
        <w:keepNext w:val="0"/>
        <w:keepLines w:val="0"/>
        <w:pageBreakBefore w:val="0"/>
        <w:numPr>
          <w:ilvl w:val="0"/>
          <w:numId w:val="0"/>
        </w:numPr>
        <w:kinsoku/>
        <w:wordWrap/>
        <w:overflowPunct/>
        <w:topLinePunct w:val="0"/>
        <w:autoSpaceDN/>
        <w:bidi w:val="0"/>
        <w:adjustRightInd/>
        <w:snapToGrid/>
        <w:spacing w:beforeAutospacing="0" w:afterAutospacing="0" w:line="240" w:lineRule="auto"/>
        <w:ind w:firstLine="640" w:firstLineChars="200"/>
        <w:textAlignment w:val="auto"/>
        <w:rPr>
          <w:rFonts w:hint="eastAsia" w:ascii="仿宋_GB2312" w:hAnsi="仿宋_GB2312" w:eastAsia="仿宋_GB2312" w:cs="仿宋_GB2312"/>
          <w:sz w:val="32"/>
          <w:szCs w:val="32"/>
          <w:shd w:val="clear" w:fill="FFFFFF"/>
          <w:lang w:eastAsia="zh-CN"/>
        </w:rPr>
        <w:sectPr>
          <w:footerReference r:id="rId8" w:type="first"/>
          <w:footerReference r:id="rId7" w:type="default"/>
          <w:pgSz w:w="11906" w:h="16838"/>
          <w:pgMar w:top="1440" w:right="1800" w:bottom="1440" w:left="1800" w:header="851" w:footer="992" w:gutter="0"/>
          <w:pgNumType w:fmt="decimal" w:start="1"/>
          <w:cols w:space="425" w:num="1"/>
          <w:titlePg/>
          <w:docGrid w:type="lines" w:linePitch="312" w:charSpace="0"/>
        </w:sectPr>
      </w:pPr>
      <w:r>
        <w:rPr>
          <w:rFonts w:hint="eastAsia" w:ascii="仿宋_GB2312" w:hAnsi="仿宋_GB2312" w:eastAsia="仿宋_GB2312" w:cs="仿宋_GB2312"/>
          <w:sz w:val="32"/>
          <w:szCs w:val="32"/>
          <w:shd w:val="clear" w:fill="FFFFFF"/>
          <w:lang w:eastAsia="zh-CN"/>
        </w:rPr>
        <w:t>11.派出机构及职责。派出法庭设绵虒、映秀、漩口、</w:t>
      </w:r>
    </w:p>
    <w:p w14:paraId="52FF9AE8">
      <w:pPr>
        <w:keepNext w:val="0"/>
        <w:keepLines w:val="0"/>
        <w:pageBreakBefore w:val="0"/>
        <w:numPr>
          <w:ilvl w:val="0"/>
          <w:numId w:val="0"/>
        </w:numPr>
        <w:kinsoku/>
        <w:wordWrap/>
        <w:overflowPunct/>
        <w:topLinePunct w:val="0"/>
        <w:autoSpaceDN/>
        <w:bidi w:val="0"/>
        <w:adjustRightInd/>
        <w:snapToGrid/>
        <w:spacing w:beforeAutospacing="0" w:afterAutospacing="0" w:line="240" w:lineRule="auto"/>
        <w:textAlignment w:val="auto"/>
      </w:pPr>
      <w:r>
        <w:rPr>
          <w:rFonts w:hint="eastAsia" w:ascii="仿宋_GB2312" w:hAnsi="仿宋_GB2312" w:eastAsia="仿宋_GB2312" w:cs="仿宋_GB2312"/>
          <w:sz w:val="32"/>
          <w:szCs w:val="32"/>
          <w:shd w:val="clear" w:fill="FFFFFF"/>
          <w:lang w:eastAsia="zh-CN"/>
        </w:rPr>
        <w:t>威州、卧龙</w:t>
      </w:r>
      <w:r>
        <w:rPr>
          <w:rFonts w:hint="eastAsia" w:ascii="仿宋_GB2312" w:hAnsi="仿宋_GB2312" w:eastAsia="仿宋_GB2312" w:cs="仿宋_GB2312"/>
          <w:sz w:val="32"/>
          <w:szCs w:val="32"/>
          <w:shd w:val="clear" w:fill="FFFFFF"/>
          <w:lang w:val="en-US" w:eastAsia="zh-CN"/>
        </w:rPr>
        <w:t>5</w:t>
      </w:r>
      <w:r>
        <w:rPr>
          <w:rFonts w:hint="eastAsia" w:ascii="仿宋_GB2312" w:hAnsi="仿宋_GB2312" w:eastAsia="仿宋_GB2312" w:cs="仿宋_GB2312"/>
          <w:sz w:val="32"/>
          <w:szCs w:val="32"/>
          <w:shd w:val="clear" w:fill="FFFFFF"/>
          <w:lang w:eastAsia="zh-CN"/>
        </w:rPr>
        <w:t>个人民法庭，依法审理和执行辖区内一般的民事案件，指导人民调解委员会工作及办理法庭审判工作有关的其他事项。</w:t>
      </w:r>
    </w:p>
    <w:p w14:paraId="6EB03535">
      <w:pPr>
        <w:pStyle w:val="4"/>
        <w:rPr>
          <w:rStyle w:val="31"/>
          <w:rFonts w:ascii="Times New Roman" w:hAnsi="Times New Roman"/>
          <w:b w:val="0"/>
          <w:bCs w:val="0"/>
        </w:rPr>
      </w:pPr>
      <w:bookmarkStart w:id="8" w:name="_Toc15396601"/>
      <w:bookmarkStart w:id="9" w:name="_Toc15377200"/>
      <w:r>
        <w:rPr>
          <w:rFonts w:hint="eastAsia" w:ascii="Times New Roman" w:hAnsi="Times New Roman" w:eastAsia="黑体"/>
          <w:b w:val="0"/>
        </w:rPr>
        <w:t>二、机</w:t>
      </w:r>
      <w:r>
        <w:rPr>
          <w:rStyle w:val="31"/>
          <w:rFonts w:hint="eastAsia" w:ascii="Times New Roman" w:hAnsi="Times New Roman" w:eastAsia="黑体"/>
          <w:b w:val="0"/>
          <w:bCs w:val="0"/>
        </w:rPr>
        <w:t>构设置</w:t>
      </w:r>
      <w:bookmarkEnd w:id="8"/>
      <w:bookmarkEnd w:id="9"/>
    </w:p>
    <w:p w14:paraId="73B48265">
      <w:pPr>
        <w:pStyle w:val="4"/>
        <w:keepNext w:val="0"/>
        <w:keepLines w:val="0"/>
        <w:pageBreakBefore w:val="0"/>
        <w:widowControl/>
        <w:numPr>
          <w:ilvl w:val="0"/>
          <w:numId w:val="0"/>
        </w:numPr>
        <w:shd w:val="clear" w:fill="FFFFFF"/>
        <w:kinsoku/>
        <w:wordWrap/>
        <w:overflowPunct/>
        <w:topLinePunct w:val="0"/>
        <w:autoSpaceDE w:val="0"/>
        <w:autoSpaceDN/>
        <w:bidi w:val="0"/>
        <w:adjustRightInd/>
        <w:snapToGrid/>
        <w:spacing w:line="560" w:lineRule="exact"/>
        <w:ind w:right="0" w:rightChars="0" w:firstLine="640" w:firstLineChars="200"/>
        <w:textAlignment w:val="auto"/>
        <w:rPr>
          <w:rFonts w:hint="eastAsia" w:ascii="Times New Roman" w:hAnsi="Times New Roman" w:eastAsia="方正仿宋_GB2312" w:cs="Times New Roman"/>
          <w:b w:val="0"/>
          <w:bCs w:val="0"/>
          <w:color w:val="auto"/>
          <w:spacing w:val="0"/>
          <w:kern w:val="2"/>
          <w:sz w:val="32"/>
          <w:szCs w:val="24"/>
          <w:lang w:val="en-US" w:eastAsia="zh-CN" w:bidi="ar-SA"/>
        </w:rPr>
      </w:pPr>
      <w:r>
        <w:rPr>
          <w:rFonts w:hint="eastAsia" w:ascii="Times New Roman" w:hAnsi="Times New Roman" w:eastAsia="方正仿宋_GB2312" w:cs="Times New Roman"/>
          <w:b w:val="0"/>
          <w:bCs w:val="0"/>
          <w:color w:val="auto"/>
          <w:spacing w:val="0"/>
          <w:kern w:val="2"/>
          <w:sz w:val="32"/>
          <w:szCs w:val="24"/>
          <w:lang w:val="en-US" w:eastAsia="zh-CN" w:bidi="ar-SA"/>
        </w:rPr>
        <w:t>阿坝州汶川县人民法院无下属单位。</w:t>
      </w:r>
    </w:p>
    <w:p w14:paraId="5A04CFE3">
      <w:pPr>
        <w:ind w:firstLine="800" w:firstLineChars="250"/>
        <w:rPr>
          <w:rFonts w:ascii="Times New Roman" w:cs="仿宋_GB2312"/>
          <w:sz w:val="32"/>
          <w:szCs w:val="32"/>
        </w:rPr>
      </w:pPr>
    </w:p>
    <w:p w14:paraId="6E8A22BE">
      <w:pPr>
        <w:widowControl/>
        <w:jc w:val="left"/>
        <w:rPr>
          <w:rFonts w:eastAsia="仿宋"/>
          <w:kern w:val="0"/>
          <w:sz w:val="32"/>
          <w:szCs w:val="32"/>
        </w:rPr>
      </w:pPr>
      <w:r>
        <w:rPr>
          <w:rFonts w:eastAsia="仿宋"/>
          <w:sz w:val="32"/>
          <w:szCs w:val="32"/>
        </w:rPr>
        <w:br w:type="page"/>
      </w:r>
    </w:p>
    <w:p w14:paraId="6E968808">
      <w:pPr>
        <w:pStyle w:val="3"/>
        <w:jc w:val="center"/>
        <w:rPr>
          <w:rFonts w:eastAsia="方正小标宋简体" w:cs="方正小标宋简体"/>
          <w:b w:val="0"/>
        </w:rPr>
      </w:pPr>
      <w:bookmarkStart w:id="10" w:name="_Toc15377204"/>
      <w:bookmarkStart w:id="11" w:name="_Toc15396602"/>
      <w:r>
        <w:rPr>
          <w:rFonts w:hint="eastAsia" w:eastAsia="方正小标宋简体" w:cs="方正小标宋简体"/>
          <w:b w:val="0"/>
        </w:rPr>
        <w:t>第二部分  202</w:t>
      </w:r>
      <w:r>
        <w:rPr>
          <w:rFonts w:hint="eastAsia" w:eastAsia="方正小标宋简体" w:cs="方正小标宋简体"/>
          <w:b w:val="0"/>
          <w:lang w:val="en-US" w:eastAsia="zh-CN"/>
        </w:rPr>
        <w:t>5</w:t>
      </w:r>
      <w:r>
        <w:rPr>
          <w:rFonts w:hint="eastAsia" w:eastAsia="方正小标宋简体" w:cs="方正小标宋简体"/>
          <w:b w:val="0"/>
        </w:rPr>
        <w:t>年度部门决算情况说明</w:t>
      </w:r>
      <w:bookmarkEnd w:id="10"/>
      <w:bookmarkEnd w:id="11"/>
    </w:p>
    <w:p w14:paraId="53C4BA9D"/>
    <w:p w14:paraId="218F5588">
      <w:pPr>
        <w:pStyle w:val="29"/>
        <w:spacing w:line="600" w:lineRule="exact"/>
        <w:ind w:firstLine="640"/>
        <w:outlineLvl w:val="1"/>
        <w:rPr>
          <w:rStyle w:val="31"/>
          <w:rFonts w:ascii="Times New Roman" w:hAnsi="Times New Roman" w:eastAsia="黑体"/>
          <w:b w:val="0"/>
        </w:rPr>
      </w:pPr>
      <w:bookmarkStart w:id="12" w:name="_Toc15377205"/>
      <w:bookmarkStart w:id="13" w:name="_Toc15396603"/>
      <w:r>
        <w:rPr>
          <w:rFonts w:hint="eastAsia" w:eastAsia="黑体"/>
          <w:sz w:val="32"/>
          <w:szCs w:val="32"/>
        </w:rPr>
        <w:t>一、收</w:t>
      </w:r>
      <w:r>
        <w:rPr>
          <w:rStyle w:val="31"/>
          <w:rFonts w:hint="eastAsia" w:ascii="Times New Roman" w:hAnsi="Times New Roman" w:eastAsia="黑体"/>
          <w:b w:val="0"/>
        </w:rPr>
        <w:t>入支出决算总体情况说明</w:t>
      </w:r>
      <w:bookmarkEnd w:id="12"/>
      <w:bookmarkEnd w:id="13"/>
    </w:p>
    <w:p w14:paraId="5BF8ECC9">
      <w:pPr>
        <w:pStyle w:val="29"/>
        <w:spacing w:line="600" w:lineRule="exact"/>
        <w:ind w:firstLine="640"/>
        <w:outlineLvl w:val="1"/>
        <w:rPr>
          <w:rFonts w:hint="eastAsia" w:eastAsia="仿宋_GB2312" w:cs="仿宋_GB2312"/>
          <w:sz w:val="32"/>
          <w:szCs w:val="32"/>
          <w:lang w:val="en-US" w:eastAsia="zh-CN"/>
        </w:rPr>
      </w:pPr>
      <w:r>
        <w:rPr>
          <w:rFonts w:hint="eastAsia" w:eastAsia="仿宋_GB2312" w:cs="仿宋_GB2312"/>
          <w:sz w:val="32"/>
          <w:szCs w:val="32"/>
          <w:lang w:val="en-US" w:eastAsia="zh-CN"/>
        </w:rPr>
        <w:t>2025年度收入2368.17万元，支出2406.34万元</w:t>
      </w:r>
      <w:r>
        <w:rPr>
          <w:rFonts w:hint="eastAsia" w:eastAsia="仿宋_GB2312" w:cs="仿宋_GB2312"/>
          <w:sz w:val="32"/>
          <w:szCs w:val="32"/>
        </w:rPr>
        <w:t>。与202</w:t>
      </w:r>
      <w:r>
        <w:rPr>
          <w:rFonts w:hint="eastAsia" w:eastAsia="仿宋_GB2312" w:cs="仿宋_GB2312"/>
          <w:sz w:val="32"/>
          <w:szCs w:val="32"/>
          <w:lang w:val="en-US" w:eastAsia="zh-CN"/>
        </w:rPr>
        <w:t>4</w:t>
      </w:r>
      <w:r>
        <w:rPr>
          <w:rFonts w:hint="eastAsia" w:eastAsia="仿宋_GB2312" w:cs="仿宋_GB2312"/>
          <w:sz w:val="32"/>
          <w:szCs w:val="32"/>
        </w:rPr>
        <w:t>年度相比，收入</w:t>
      </w:r>
      <w:r>
        <w:rPr>
          <w:rFonts w:hint="eastAsia" w:eastAsia="仿宋_GB2312" w:cs="仿宋_GB2312"/>
          <w:sz w:val="32"/>
          <w:szCs w:val="32"/>
          <w:lang w:eastAsia="zh-CN"/>
        </w:rPr>
        <w:t>减少</w:t>
      </w:r>
      <w:r>
        <w:rPr>
          <w:rFonts w:hint="eastAsia" w:eastAsia="仿宋_GB2312" w:cs="仿宋_GB2312"/>
          <w:sz w:val="32"/>
          <w:szCs w:val="32"/>
          <w:lang w:val="en-US" w:eastAsia="zh-CN"/>
        </w:rPr>
        <w:t>375.2万元、</w:t>
      </w:r>
      <w:r>
        <w:rPr>
          <w:rFonts w:hint="eastAsia" w:eastAsia="仿宋_GB2312" w:cs="仿宋_GB2312"/>
          <w:sz w:val="32"/>
          <w:szCs w:val="32"/>
        </w:rPr>
        <w:t>支出</w:t>
      </w:r>
      <w:r>
        <w:rPr>
          <w:rFonts w:hint="eastAsia" w:eastAsia="仿宋_GB2312" w:cs="仿宋_GB2312"/>
          <w:sz w:val="32"/>
          <w:szCs w:val="32"/>
          <w:lang w:eastAsia="zh-CN"/>
        </w:rPr>
        <w:t>减少</w:t>
      </w:r>
      <w:r>
        <w:rPr>
          <w:rFonts w:hint="eastAsia" w:eastAsia="仿宋_GB2312" w:cs="仿宋_GB2312"/>
          <w:sz w:val="32"/>
          <w:szCs w:val="32"/>
          <w:lang w:val="en-US" w:eastAsia="zh-CN"/>
        </w:rPr>
        <w:t>258.3</w:t>
      </w:r>
      <w:r>
        <w:rPr>
          <w:rFonts w:hint="eastAsia" w:eastAsia="仿宋_GB2312" w:cs="仿宋_GB2312"/>
          <w:sz w:val="32"/>
          <w:szCs w:val="32"/>
        </w:rPr>
        <w:t>万元，</w:t>
      </w:r>
      <w:r>
        <w:rPr>
          <w:rFonts w:hint="eastAsia" w:eastAsia="仿宋_GB2312" w:cs="仿宋_GB2312"/>
          <w:sz w:val="32"/>
          <w:szCs w:val="32"/>
          <w:lang w:eastAsia="zh-CN"/>
        </w:rPr>
        <w:t>减少</w:t>
      </w:r>
      <w:r>
        <w:rPr>
          <w:rFonts w:hint="eastAsia" w:eastAsia="仿宋_GB2312" w:cs="仿宋_GB2312"/>
          <w:sz w:val="32"/>
          <w:szCs w:val="32"/>
          <w:lang w:val="en-US" w:eastAsia="zh-CN"/>
        </w:rPr>
        <w:t>13.68</w:t>
      </w:r>
      <w:r>
        <w:rPr>
          <w:rFonts w:hint="eastAsia" w:eastAsia="仿宋_GB2312" w:cs="仿宋_GB2312"/>
          <w:sz w:val="32"/>
          <w:szCs w:val="32"/>
        </w:rPr>
        <w:t>%</w:t>
      </w:r>
      <w:r>
        <w:rPr>
          <w:rFonts w:hint="eastAsia" w:eastAsia="仿宋_GB2312" w:cs="仿宋_GB2312"/>
          <w:sz w:val="32"/>
          <w:szCs w:val="32"/>
          <w:lang w:eastAsia="zh-CN"/>
        </w:rPr>
        <w:t>、</w:t>
      </w:r>
      <w:r>
        <w:rPr>
          <w:rFonts w:hint="eastAsia" w:eastAsia="仿宋_GB2312" w:cs="仿宋_GB2312"/>
          <w:sz w:val="32"/>
          <w:szCs w:val="32"/>
          <w:lang w:val="en-US" w:eastAsia="zh-CN"/>
        </w:rPr>
        <w:t>9.69%</w:t>
      </w:r>
      <w:r>
        <w:rPr>
          <w:rFonts w:hint="eastAsia" w:eastAsia="仿宋_GB2312" w:cs="仿宋_GB2312"/>
          <w:sz w:val="32"/>
          <w:szCs w:val="32"/>
        </w:rPr>
        <w:t>。主要变动原因是</w:t>
      </w:r>
      <w:r>
        <w:rPr>
          <w:rFonts w:hint="eastAsia" w:eastAsia="仿宋_GB2312" w:cs="仿宋_GB2312"/>
          <w:sz w:val="32"/>
          <w:szCs w:val="32"/>
          <w:lang w:val="en-US" w:eastAsia="zh-CN"/>
        </w:rPr>
        <w:t>2025年中央及省级中央转移支付减少。</w:t>
      </w:r>
    </w:p>
    <w:p w14:paraId="2805E8DB">
      <w:pPr>
        <w:pStyle w:val="29"/>
        <w:spacing w:line="240" w:lineRule="auto"/>
        <w:ind w:left="0" w:leftChars="0" w:firstLine="0" w:firstLineChars="0"/>
        <w:outlineLvl w:val="1"/>
        <w:rPr>
          <w:rFonts w:hint="eastAsia" w:eastAsia="仿宋_GB2312" w:cs="仿宋_GB2312"/>
          <w:sz w:val="32"/>
          <w:szCs w:val="32"/>
        </w:rPr>
      </w:pPr>
      <w:r>
        <w:drawing>
          <wp:inline distT="0" distB="0" distL="114300" distR="114300">
            <wp:extent cx="4826000" cy="2743200"/>
            <wp:effectExtent l="4445" t="4445" r="8255" b="14605"/>
            <wp:docPr id="15" name="图表 2" descr="7b0a202020202263686172745265734964223a202234363130333534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AED7648">
      <w:pPr>
        <w:jc w:val="center"/>
        <w:rPr>
          <w:rFonts w:eastAsia="仿宋_GB2312" w:cs="仿宋_GB2312"/>
          <w:sz w:val="32"/>
          <w:szCs w:val="32"/>
        </w:rPr>
      </w:pPr>
      <w:r>
        <w:rPr>
          <w:rFonts w:hint="eastAsia" w:eastAsia="仿宋_GB2312" w:cs="仿宋_GB2312"/>
          <w:sz w:val="32"/>
          <w:szCs w:val="32"/>
        </w:rPr>
        <w:t>图1：收入、支出决算总</w:t>
      </w:r>
      <w:r>
        <w:rPr>
          <w:rFonts w:hint="eastAsia" w:eastAsia="仿宋_GB2312" w:cs="仿宋_GB2312"/>
          <w:sz w:val="32"/>
          <w:szCs w:val="32"/>
          <w:lang w:eastAsia="zh-CN"/>
        </w:rPr>
        <w:t>体</w:t>
      </w:r>
      <w:r>
        <w:rPr>
          <w:rFonts w:hint="eastAsia" w:eastAsia="仿宋_GB2312" w:cs="仿宋_GB2312"/>
          <w:sz w:val="32"/>
          <w:szCs w:val="32"/>
        </w:rPr>
        <w:t>变动情况图</w:t>
      </w:r>
    </w:p>
    <w:p w14:paraId="1CADC2FC">
      <w:pPr>
        <w:pStyle w:val="29"/>
        <w:spacing w:line="600" w:lineRule="exact"/>
        <w:ind w:left="0" w:leftChars="0" w:firstLine="640" w:firstLineChars="200"/>
        <w:outlineLvl w:val="1"/>
        <w:rPr>
          <w:rFonts w:eastAsia="黑体"/>
          <w:sz w:val="32"/>
          <w:szCs w:val="32"/>
        </w:rPr>
      </w:pPr>
      <w:bookmarkStart w:id="14" w:name="_Toc15396604"/>
      <w:bookmarkStart w:id="15" w:name="_Toc15377206"/>
      <w:r>
        <w:rPr>
          <w:rFonts w:hint="eastAsia" w:eastAsia="黑体"/>
          <w:sz w:val="32"/>
          <w:szCs w:val="32"/>
        </w:rPr>
        <w:t>二、收入决算情况说明</w:t>
      </w:r>
      <w:bookmarkEnd w:id="14"/>
      <w:bookmarkEnd w:id="15"/>
    </w:p>
    <w:p w14:paraId="0CCE8B88">
      <w:pPr>
        <w:pStyle w:val="29"/>
        <w:spacing w:line="600" w:lineRule="exact"/>
        <w:ind w:firstLine="640"/>
        <w:jc w:val="left"/>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年度本年收入合计</w:t>
      </w:r>
      <w:r>
        <w:rPr>
          <w:rFonts w:hint="eastAsia" w:ascii="仿宋_GB2312" w:hAnsi="仿宋_GB2312" w:eastAsia="仿宋_GB2312" w:cs="仿宋_GB2312"/>
          <w:sz w:val="32"/>
          <w:szCs w:val="32"/>
          <w:lang w:val="en-US" w:eastAsia="zh-CN"/>
        </w:rPr>
        <w:t>2368.17</w:t>
      </w:r>
      <w:r>
        <w:rPr>
          <w:rFonts w:hint="eastAsia" w:ascii="仿宋_GB2312" w:hAnsi="仿宋_GB2312" w:eastAsia="仿宋_GB2312" w:cs="仿宋_GB2312"/>
          <w:sz w:val="32"/>
          <w:szCs w:val="32"/>
        </w:rPr>
        <w:t>万元，其中：一般公共预算财政拨款收入</w:t>
      </w:r>
      <w:r>
        <w:rPr>
          <w:rFonts w:hint="eastAsia" w:ascii="仿宋_GB2312" w:hAnsi="仿宋_GB2312" w:eastAsia="仿宋_GB2312" w:cs="仿宋_GB2312"/>
          <w:sz w:val="32"/>
          <w:szCs w:val="32"/>
          <w:lang w:val="en-US" w:eastAsia="zh-CN"/>
        </w:rPr>
        <w:t>1863.95</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78.7</w:t>
      </w:r>
      <w:r>
        <w:rPr>
          <w:rFonts w:hint="eastAsia" w:ascii="仿宋_GB2312" w:hAnsi="仿宋_GB2312" w:eastAsia="仿宋_GB2312" w:cs="仿宋_GB2312"/>
          <w:sz w:val="32"/>
          <w:szCs w:val="32"/>
        </w:rPr>
        <w:t>%；其他收入</w:t>
      </w:r>
      <w:r>
        <w:rPr>
          <w:rFonts w:hint="eastAsia" w:ascii="仿宋_GB2312" w:hAnsi="仿宋_GB2312" w:eastAsia="仿宋_GB2312" w:cs="仿宋_GB2312"/>
          <w:sz w:val="32"/>
          <w:szCs w:val="32"/>
          <w:lang w:val="en-US" w:eastAsia="zh-CN"/>
        </w:rPr>
        <w:t>504.22</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21.3</w:t>
      </w:r>
      <w:r>
        <w:rPr>
          <w:rFonts w:hint="eastAsia" w:ascii="仿宋_GB2312" w:hAnsi="仿宋_GB2312" w:eastAsia="仿宋_GB2312" w:cs="仿宋_GB2312"/>
          <w:sz w:val="32"/>
          <w:szCs w:val="32"/>
        </w:rPr>
        <w:t>%。</w:t>
      </w:r>
    </w:p>
    <w:p w14:paraId="46BEE5B8">
      <w:pPr>
        <w:pStyle w:val="29"/>
        <w:spacing w:line="600" w:lineRule="exact"/>
        <w:ind w:firstLine="640"/>
        <w:jc w:val="left"/>
        <w:outlineLvl w:val="1"/>
        <w:rPr>
          <w:rFonts w:hint="eastAsia" w:ascii="仿宋_GB2312" w:hAnsi="仿宋_GB2312" w:eastAsia="仿宋_GB2312" w:cs="仿宋_GB2312"/>
          <w:sz w:val="32"/>
          <w:szCs w:val="32"/>
        </w:rPr>
      </w:pPr>
    </w:p>
    <w:p w14:paraId="04A1AECB">
      <w:pPr>
        <w:ind w:firstLine="525" w:firstLineChars="250"/>
      </w:pPr>
      <w:r>
        <w:drawing>
          <wp:inline distT="0" distB="0" distL="114300" distR="114300">
            <wp:extent cx="4572000" cy="2743200"/>
            <wp:effectExtent l="4445" t="4445" r="14605" b="14605"/>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169D5CD">
      <w:pPr>
        <w:ind w:firstLine="800" w:firstLineChars="250"/>
        <w:jc w:val="center"/>
      </w:pPr>
      <w:r>
        <w:rPr>
          <w:rFonts w:hint="eastAsia" w:eastAsia="仿宋_GB2312" w:cs="仿宋_GB2312"/>
          <w:sz w:val="32"/>
          <w:szCs w:val="32"/>
        </w:rPr>
        <w:t>图2：收入决算结构图</w:t>
      </w:r>
    </w:p>
    <w:p w14:paraId="1A88A1F5">
      <w:pPr>
        <w:pStyle w:val="29"/>
        <w:spacing w:line="600" w:lineRule="exact"/>
        <w:ind w:firstLine="640"/>
        <w:outlineLvl w:val="1"/>
        <w:rPr>
          <w:rStyle w:val="31"/>
          <w:rFonts w:ascii="Times New Roman" w:hAnsi="Times New Roman" w:eastAsia="黑体"/>
          <w:b w:val="0"/>
        </w:rPr>
      </w:pPr>
      <w:bookmarkStart w:id="16" w:name="_Toc15396605"/>
      <w:bookmarkStart w:id="17" w:name="_Toc15377207"/>
      <w:r>
        <w:rPr>
          <w:rFonts w:hint="eastAsia" w:eastAsia="黑体"/>
          <w:sz w:val="32"/>
          <w:szCs w:val="32"/>
        </w:rPr>
        <w:t>三、支</w:t>
      </w:r>
      <w:r>
        <w:rPr>
          <w:rStyle w:val="31"/>
          <w:rFonts w:hint="eastAsia" w:ascii="Times New Roman" w:hAnsi="Times New Roman" w:eastAsia="黑体"/>
          <w:b w:val="0"/>
        </w:rPr>
        <w:t>出决算情况说明</w:t>
      </w:r>
      <w:bookmarkEnd w:id="16"/>
      <w:bookmarkEnd w:id="17"/>
    </w:p>
    <w:p w14:paraId="485DC754">
      <w:pPr>
        <w:pStyle w:val="29"/>
        <w:spacing w:line="600" w:lineRule="exact"/>
        <w:ind w:firstLine="640"/>
        <w:jc w:val="left"/>
        <w:outlineLvl w:val="1"/>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年度本年支出合计</w:t>
      </w:r>
      <w:r>
        <w:rPr>
          <w:rFonts w:hint="eastAsia" w:ascii="仿宋_GB2312" w:hAnsi="仿宋_GB2312" w:eastAsia="仿宋_GB2312" w:cs="仿宋_GB2312"/>
          <w:sz w:val="32"/>
          <w:szCs w:val="32"/>
          <w:lang w:val="en-US" w:eastAsia="zh-CN"/>
        </w:rPr>
        <w:t>2406.34</w:t>
      </w:r>
      <w:r>
        <w:rPr>
          <w:rFonts w:hint="eastAsia" w:ascii="仿宋_GB2312" w:hAnsi="仿宋_GB2312" w:eastAsia="仿宋_GB2312" w:cs="仿宋_GB2312"/>
          <w:sz w:val="32"/>
          <w:szCs w:val="32"/>
        </w:rPr>
        <w:t>万元，其中：基本支出</w:t>
      </w:r>
      <w:r>
        <w:rPr>
          <w:rFonts w:hint="eastAsia" w:ascii="仿宋_GB2312" w:hAnsi="仿宋_GB2312" w:eastAsia="仿宋_GB2312" w:cs="仿宋_GB2312"/>
          <w:sz w:val="32"/>
          <w:szCs w:val="32"/>
          <w:lang w:val="en-US" w:eastAsia="zh-CN"/>
        </w:rPr>
        <w:t>1854.78</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77.08</w:t>
      </w:r>
      <w:r>
        <w:rPr>
          <w:rFonts w:hint="eastAsia" w:ascii="仿宋_GB2312" w:hAnsi="仿宋_GB2312" w:eastAsia="仿宋_GB2312" w:cs="仿宋_GB2312"/>
          <w:sz w:val="32"/>
          <w:szCs w:val="32"/>
        </w:rPr>
        <w:t>%；项目支出</w:t>
      </w:r>
      <w:r>
        <w:rPr>
          <w:rFonts w:hint="eastAsia" w:ascii="仿宋_GB2312" w:hAnsi="仿宋_GB2312" w:eastAsia="仿宋_GB2312" w:cs="仿宋_GB2312"/>
          <w:sz w:val="32"/>
          <w:szCs w:val="32"/>
          <w:lang w:val="en-US" w:eastAsia="zh-CN"/>
        </w:rPr>
        <w:t>551.56</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22.92</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p>
    <w:p w14:paraId="51AB5619">
      <w:pPr>
        <w:pStyle w:val="29"/>
        <w:spacing w:line="600" w:lineRule="exact"/>
        <w:ind w:firstLine="640"/>
        <w:jc w:val="left"/>
        <w:outlineLvl w:val="1"/>
        <w:rPr>
          <w:rFonts w:hint="default" w:ascii="仿宋_GB2312" w:hAnsi="仿宋_GB2312" w:eastAsia="仿宋_GB2312" w:cs="仿宋_GB2312"/>
          <w:sz w:val="32"/>
          <w:szCs w:val="32"/>
          <w:lang w:val="en-US" w:eastAsia="zh-CN"/>
        </w:rPr>
      </w:pPr>
    </w:p>
    <w:p w14:paraId="3BD9B219">
      <w:pPr>
        <w:ind w:firstLine="525" w:firstLineChars="250"/>
        <w:rPr>
          <w:rFonts w:hint="eastAsia" w:eastAsia="仿宋_GB2312" w:cs="仿宋_GB2312"/>
          <w:sz w:val="32"/>
          <w:szCs w:val="32"/>
        </w:rPr>
      </w:pPr>
      <w:r>
        <w:drawing>
          <wp:inline distT="0" distB="0" distL="114300" distR="114300">
            <wp:extent cx="4572000" cy="2641600"/>
            <wp:effectExtent l="4445" t="4445" r="14605" b="20955"/>
            <wp:docPr id="1"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EDEB50F">
      <w:pPr>
        <w:jc w:val="center"/>
        <w:rPr>
          <w:rFonts w:eastAsia="仿宋_GB2312" w:cs="仿宋_GB2312"/>
          <w:sz w:val="32"/>
          <w:szCs w:val="32"/>
        </w:rPr>
      </w:pPr>
      <w:r>
        <w:rPr>
          <w:rFonts w:hint="eastAsia" w:eastAsia="仿宋_GB2312" w:cs="仿宋_GB2312"/>
          <w:sz w:val="32"/>
          <w:szCs w:val="32"/>
        </w:rPr>
        <w:t>图3：支出决算结构图</w:t>
      </w:r>
    </w:p>
    <w:p w14:paraId="2BAF5EFA">
      <w:pPr>
        <w:spacing w:line="600" w:lineRule="exact"/>
        <w:ind w:firstLine="640" w:firstLineChars="200"/>
        <w:outlineLvl w:val="1"/>
        <w:rPr>
          <w:rStyle w:val="31"/>
          <w:rFonts w:ascii="Times New Roman" w:hAnsi="Times New Roman" w:eastAsia="黑体"/>
          <w:b w:val="0"/>
        </w:rPr>
      </w:pPr>
      <w:bookmarkStart w:id="18" w:name="_Toc15377208"/>
      <w:bookmarkStart w:id="19" w:name="_Toc15396606"/>
      <w:r>
        <w:rPr>
          <w:rFonts w:hint="eastAsia" w:eastAsia="黑体"/>
          <w:sz w:val="32"/>
          <w:szCs w:val="32"/>
        </w:rPr>
        <w:t>四、财</w:t>
      </w:r>
      <w:r>
        <w:rPr>
          <w:rStyle w:val="31"/>
          <w:rFonts w:hint="eastAsia" w:ascii="Times New Roman" w:hAnsi="Times New Roman" w:eastAsia="黑体"/>
          <w:b w:val="0"/>
        </w:rPr>
        <w:t>政拨款收入支出决算总体情况说明</w:t>
      </w:r>
      <w:bookmarkEnd w:id="18"/>
      <w:bookmarkEnd w:id="19"/>
    </w:p>
    <w:p w14:paraId="73325F0F">
      <w:pPr>
        <w:spacing w:line="240" w:lineRule="auto"/>
        <w:ind w:firstLine="0"/>
        <w:rPr>
          <w:rFonts w:hint="eastAsia" w:eastAsia="仿宋_GB2312" w:cs="仿宋_GB2312"/>
          <w:sz w:val="32"/>
          <w:szCs w:val="32"/>
          <w:lang w:val="en-US" w:eastAsia="zh-CN"/>
        </w:rPr>
      </w:pPr>
      <w:r>
        <w:rPr>
          <w:rFonts w:hint="eastAsia" w:eastAsia="仿宋_GB2312" w:cs="仿宋_GB2312"/>
          <w:sz w:val="32"/>
          <w:szCs w:val="32"/>
          <w:lang w:val="en-US" w:eastAsia="zh-CN"/>
        </w:rPr>
        <w:t>2025</w:t>
      </w:r>
      <w:r>
        <w:rPr>
          <w:rFonts w:hint="eastAsia" w:eastAsia="仿宋_GB2312" w:cs="仿宋_GB2312"/>
          <w:sz w:val="32"/>
          <w:szCs w:val="32"/>
        </w:rPr>
        <w:t>年度财政拨款收入、支出总计均为</w:t>
      </w:r>
      <w:r>
        <w:rPr>
          <w:rFonts w:hint="eastAsia" w:ascii="仿宋_GB2312" w:hAnsi="仿宋_GB2312" w:eastAsia="仿宋_GB2312" w:cs="仿宋_GB2312"/>
          <w:sz w:val="32"/>
          <w:szCs w:val="32"/>
          <w:lang w:val="en-US" w:eastAsia="zh-CN"/>
        </w:rPr>
        <w:t>1863.95</w:t>
      </w:r>
      <w:r>
        <w:rPr>
          <w:rFonts w:hint="eastAsia" w:eastAsia="仿宋_GB2312" w:cs="仿宋_GB2312"/>
          <w:sz w:val="32"/>
          <w:szCs w:val="32"/>
        </w:rPr>
        <w:t>万元。与202</w:t>
      </w:r>
      <w:r>
        <w:rPr>
          <w:rFonts w:hint="eastAsia" w:eastAsia="仿宋_GB2312" w:cs="仿宋_GB2312"/>
          <w:sz w:val="32"/>
          <w:szCs w:val="32"/>
          <w:lang w:val="en-US" w:eastAsia="zh-CN"/>
        </w:rPr>
        <w:t>4</w:t>
      </w:r>
      <w:r>
        <w:rPr>
          <w:rFonts w:hint="eastAsia" w:eastAsia="仿宋_GB2312" w:cs="仿宋_GB2312"/>
          <w:sz w:val="32"/>
          <w:szCs w:val="32"/>
        </w:rPr>
        <w:t>年度相比，财政拨款收入总计、支出总计各</w:t>
      </w:r>
      <w:r>
        <w:rPr>
          <w:rFonts w:hint="eastAsia" w:eastAsia="仿宋_GB2312" w:cs="仿宋_GB2312"/>
          <w:sz w:val="32"/>
          <w:szCs w:val="32"/>
          <w:lang w:eastAsia="zh-CN"/>
        </w:rPr>
        <w:t>减少</w:t>
      </w:r>
      <w:r>
        <w:rPr>
          <w:rFonts w:hint="eastAsia" w:eastAsia="仿宋_GB2312" w:cs="仿宋_GB2312"/>
          <w:sz w:val="32"/>
          <w:szCs w:val="32"/>
          <w:lang w:val="en-US" w:eastAsia="zh-CN"/>
        </w:rPr>
        <w:t>326.37</w:t>
      </w:r>
      <w:r>
        <w:rPr>
          <w:rFonts w:hint="eastAsia" w:eastAsia="仿宋_GB2312" w:cs="仿宋_GB2312"/>
          <w:sz w:val="32"/>
          <w:szCs w:val="32"/>
        </w:rPr>
        <w:t>万元，</w:t>
      </w:r>
      <w:r>
        <w:rPr>
          <w:rFonts w:hint="eastAsia" w:eastAsia="仿宋_GB2312" w:cs="仿宋_GB2312"/>
          <w:sz w:val="32"/>
          <w:szCs w:val="32"/>
          <w:lang w:eastAsia="zh-CN"/>
        </w:rPr>
        <w:t>减少</w:t>
      </w:r>
      <w:r>
        <w:rPr>
          <w:rFonts w:hint="eastAsia" w:eastAsia="仿宋_GB2312" w:cs="仿宋_GB2312"/>
          <w:sz w:val="32"/>
          <w:szCs w:val="32"/>
          <w:lang w:val="en-US" w:eastAsia="zh-CN"/>
        </w:rPr>
        <w:t>14.9</w:t>
      </w:r>
      <w:r>
        <w:rPr>
          <w:rFonts w:hint="eastAsia" w:eastAsia="仿宋_GB2312" w:cs="仿宋_GB2312"/>
          <w:sz w:val="32"/>
          <w:szCs w:val="32"/>
        </w:rPr>
        <w:t>%。主要变动原因是</w:t>
      </w:r>
      <w:r>
        <w:rPr>
          <w:rFonts w:hint="eastAsia" w:eastAsia="仿宋_GB2312" w:cs="仿宋_GB2312"/>
          <w:sz w:val="32"/>
          <w:szCs w:val="32"/>
          <w:lang w:val="en-US" w:eastAsia="zh-CN"/>
        </w:rPr>
        <w:t>2025年中央及省级转移支付拨入减少。</w:t>
      </w:r>
    </w:p>
    <w:p w14:paraId="27663ABD">
      <w:pPr>
        <w:spacing w:line="240" w:lineRule="auto"/>
        <w:ind w:firstLine="0"/>
      </w:pPr>
      <w:r>
        <w:drawing>
          <wp:inline distT="0" distB="0" distL="114300" distR="114300">
            <wp:extent cx="4826000" cy="2743200"/>
            <wp:effectExtent l="4445" t="4445" r="8255" b="14605"/>
            <wp:docPr id="21" name="图表 2" descr="7b0a202020202263686172745265734964223a202234363130333534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EE837FB">
      <w:pPr>
        <w:spacing w:line="600" w:lineRule="exact"/>
        <w:ind w:firstLine="640" w:firstLineChars="200"/>
        <w:jc w:val="center"/>
        <w:rPr>
          <w:rFonts w:eastAsia="仿宋_GB2312" w:cs="仿宋_GB2312"/>
          <w:sz w:val="32"/>
          <w:szCs w:val="32"/>
        </w:rPr>
      </w:pPr>
      <w:r>
        <w:rPr>
          <w:rFonts w:hint="eastAsia" w:eastAsia="仿宋_GB2312" w:cs="仿宋_GB2312"/>
          <w:sz w:val="32"/>
          <w:szCs w:val="32"/>
        </w:rPr>
        <w:t>图4：财政拨款收、支决算总计变动情况</w:t>
      </w:r>
    </w:p>
    <w:p w14:paraId="5F8588CC">
      <w:pPr>
        <w:spacing w:line="600" w:lineRule="exact"/>
        <w:ind w:firstLine="640" w:firstLineChars="200"/>
        <w:outlineLvl w:val="1"/>
        <w:rPr>
          <w:rStyle w:val="31"/>
          <w:rFonts w:ascii="Times New Roman" w:hAnsi="Times New Roman" w:eastAsia="黑体"/>
          <w:b w:val="0"/>
        </w:rPr>
      </w:pPr>
      <w:bookmarkStart w:id="20" w:name="_Toc15396607"/>
      <w:bookmarkStart w:id="21" w:name="_Toc15377209"/>
      <w:r>
        <w:rPr>
          <w:rFonts w:hint="eastAsia" w:eastAsia="黑体"/>
          <w:sz w:val="32"/>
          <w:szCs w:val="32"/>
        </w:rPr>
        <w:t>五、</w:t>
      </w:r>
      <w:r>
        <w:rPr>
          <w:rFonts w:hint="eastAsia" w:eastAsia="黑体"/>
          <w:b/>
          <w:sz w:val="32"/>
          <w:szCs w:val="32"/>
        </w:rPr>
        <w:t>一</w:t>
      </w:r>
      <w:r>
        <w:rPr>
          <w:rStyle w:val="31"/>
          <w:rFonts w:hint="eastAsia" w:ascii="Times New Roman" w:hAnsi="Times New Roman" w:eastAsia="黑体"/>
          <w:b w:val="0"/>
        </w:rPr>
        <w:t>般公共预算财政拨款支出决算情况说明</w:t>
      </w:r>
      <w:bookmarkEnd w:id="20"/>
      <w:bookmarkEnd w:id="21"/>
    </w:p>
    <w:p w14:paraId="0E5462C4">
      <w:pPr>
        <w:spacing w:line="600" w:lineRule="exact"/>
        <w:ind w:firstLine="643" w:firstLineChars="200"/>
        <w:outlineLvl w:val="2"/>
        <w:rPr>
          <w:rFonts w:eastAsia="楷体_GB2312" w:cs="楷体_GB2312"/>
          <w:b/>
          <w:sz w:val="32"/>
          <w:szCs w:val="32"/>
        </w:rPr>
      </w:pPr>
      <w:bookmarkStart w:id="22" w:name="_Toc15377210"/>
      <w:r>
        <w:rPr>
          <w:rFonts w:hint="eastAsia" w:eastAsia="楷体_GB2312" w:cs="楷体_GB2312"/>
          <w:b/>
          <w:sz w:val="32"/>
          <w:szCs w:val="32"/>
        </w:rPr>
        <w:t>（一）一般公共预算财政拨款支出决算总体情况</w:t>
      </w:r>
      <w:bookmarkEnd w:id="22"/>
    </w:p>
    <w:p w14:paraId="6D343229">
      <w:pPr>
        <w:spacing w:line="600" w:lineRule="exact"/>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年度一般公共预算财政拨款支出</w:t>
      </w:r>
      <w:r>
        <w:rPr>
          <w:rFonts w:hint="eastAsia" w:ascii="仿宋_GB2312" w:hAnsi="仿宋_GB2312" w:eastAsia="仿宋_GB2312" w:cs="仿宋_GB2312"/>
          <w:sz w:val="32"/>
          <w:szCs w:val="32"/>
          <w:lang w:val="en-US" w:eastAsia="zh-CN"/>
        </w:rPr>
        <w:t>1863.95</w:t>
      </w:r>
      <w:r>
        <w:rPr>
          <w:rFonts w:hint="eastAsia" w:ascii="仿宋_GB2312" w:hAnsi="仿宋_GB2312" w:eastAsia="仿宋_GB2312" w:cs="仿宋_GB2312"/>
          <w:sz w:val="32"/>
          <w:szCs w:val="32"/>
        </w:rPr>
        <w:t>万元，占本年支出合计的</w:t>
      </w:r>
      <w:r>
        <w:rPr>
          <w:rFonts w:hint="eastAsia" w:ascii="仿宋_GB2312" w:hAnsi="仿宋_GB2312" w:eastAsia="仿宋_GB2312" w:cs="仿宋_GB2312"/>
          <w:sz w:val="32"/>
          <w:szCs w:val="32"/>
          <w:lang w:val="en-US" w:eastAsia="zh-CN"/>
        </w:rPr>
        <w:t>77.46</w:t>
      </w:r>
      <w:r>
        <w:rPr>
          <w:rFonts w:hint="eastAsia" w:ascii="仿宋_GB2312" w:hAnsi="仿宋_GB2312" w:eastAsia="仿宋_GB2312" w:cs="仿宋_GB2312"/>
          <w:sz w:val="32"/>
          <w:szCs w:val="32"/>
        </w:rPr>
        <w:t>%。与202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年度相比，一般公共预算财政拨款支出减少</w:t>
      </w:r>
      <w:r>
        <w:rPr>
          <w:rFonts w:hint="eastAsia" w:ascii="仿宋_GB2312" w:hAnsi="仿宋_GB2312" w:eastAsia="仿宋_GB2312" w:cs="仿宋_GB2312"/>
          <w:sz w:val="32"/>
          <w:szCs w:val="32"/>
          <w:lang w:val="en-US" w:eastAsia="zh-CN"/>
        </w:rPr>
        <w:t>326.37</w:t>
      </w:r>
      <w:r>
        <w:rPr>
          <w:rFonts w:hint="eastAsia" w:ascii="仿宋_GB2312" w:hAnsi="仿宋_GB2312" w:eastAsia="仿宋_GB2312" w:cs="仿宋_GB2312"/>
          <w:sz w:val="32"/>
          <w:szCs w:val="32"/>
        </w:rPr>
        <w:t>万元，下降</w:t>
      </w:r>
      <w:r>
        <w:rPr>
          <w:rFonts w:hint="eastAsia" w:ascii="仿宋_GB2312" w:hAnsi="仿宋_GB2312" w:eastAsia="仿宋_GB2312" w:cs="仿宋_GB2312"/>
          <w:sz w:val="32"/>
          <w:szCs w:val="32"/>
          <w:lang w:val="en-US" w:eastAsia="zh-CN"/>
        </w:rPr>
        <w:t>17.5</w:t>
      </w:r>
      <w:r>
        <w:rPr>
          <w:rFonts w:hint="eastAsia" w:ascii="仿宋_GB2312" w:hAnsi="仿宋_GB2312" w:eastAsia="仿宋_GB2312" w:cs="仿宋_GB2312"/>
          <w:sz w:val="32"/>
          <w:szCs w:val="32"/>
        </w:rPr>
        <w:t>%。主要变动原</w:t>
      </w:r>
      <w:r>
        <w:rPr>
          <w:rFonts w:hint="eastAsia" w:ascii="仿宋_GB2312" w:hAnsi="仿宋_GB2312" w:eastAsia="仿宋_GB2312" w:cs="仿宋_GB2312"/>
          <w:sz w:val="32"/>
          <w:szCs w:val="32"/>
          <w:lang w:eastAsia="zh-CN"/>
        </w:rPr>
        <w:t>因是</w:t>
      </w:r>
      <w:r>
        <w:rPr>
          <w:rFonts w:hint="eastAsia" w:ascii="仿宋_GB2312" w:hAnsi="仿宋_GB2312" w:eastAsia="仿宋_GB2312" w:cs="仿宋_GB2312"/>
          <w:sz w:val="32"/>
          <w:szCs w:val="32"/>
          <w:lang w:val="en-US" w:eastAsia="zh-CN"/>
        </w:rPr>
        <w:t>2025年未购买计算机等设备。</w:t>
      </w:r>
    </w:p>
    <w:p w14:paraId="420DE5CB">
      <w:pPr>
        <w:pStyle w:val="6"/>
        <w:rPr>
          <w:rFonts w:hint="eastAsia" w:ascii="仿宋_GB2312" w:hAnsi="仿宋_GB2312" w:eastAsia="仿宋_GB2312" w:cs="仿宋_GB2312"/>
          <w:sz w:val="32"/>
          <w:szCs w:val="32"/>
          <w:lang w:val="en-US" w:eastAsia="zh-CN"/>
        </w:rPr>
      </w:pPr>
      <w:r>
        <w:drawing>
          <wp:inline distT="0" distB="0" distL="114300" distR="114300">
            <wp:extent cx="5045075" cy="2115185"/>
            <wp:effectExtent l="5080" t="4445" r="17145" b="13970"/>
            <wp:docPr id="22" name="图表 2" descr="7b0a202020202263686172745265734964223a202234363130333534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50D4C00">
      <w:pPr>
        <w:spacing w:line="600" w:lineRule="exact"/>
        <w:jc w:val="center"/>
        <w:rPr>
          <w:rFonts w:eastAsia="仿宋_GB2312" w:cs="仿宋_GB2312"/>
          <w:sz w:val="32"/>
          <w:szCs w:val="32"/>
        </w:rPr>
      </w:pPr>
      <w:r>
        <w:rPr>
          <w:rFonts w:hint="eastAsia" w:eastAsia="仿宋_GB2312" w:cs="仿宋_GB2312"/>
          <w:sz w:val="32"/>
          <w:szCs w:val="32"/>
        </w:rPr>
        <w:t>图5：一般公共预算财政拨款支出决算变动情况</w:t>
      </w:r>
    </w:p>
    <w:p w14:paraId="4A239305">
      <w:pPr>
        <w:spacing w:line="600" w:lineRule="exact"/>
        <w:ind w:firstLine="643" w:firstLineChars="200"/>
        <w:outlineLvl w:val="2"/>
        <w:rPr>
          <w:rFonts w:eastAsia="楷体_GB2312" w:cs="楷体_GB2312"/>
          <w:b/>
          <w:sz w:val="32"/>
          <w:szCs w:val="32"/>
        </w:rPr>
      </w:pPr>
      <w:bookmarkStart w:id="23" w:name="_Toc15377211"/>
      <w:r>
        <w:rPr>
          <w:rFonts w:hint="eastAsia" w:eastAsia="楷体_GB2312" w:cs="楷体_GB2312"/>
          <w:b/>
          <w:sz w:val="32"/>
          <w:szCs w:val="32"/>
        </w:rPr>
        <w:t>（二）一般公共预算财政拨款支出决算结构情况</w:t>
      </w:r>
      <w:bookmarkEnd w:id="23"/>
    </w:p>
    <w:p w14:paraId="524C083A">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年度一般公共预算财政拨款支出</w:t>
      </w:r>
      <w:r>
        <w:rPr>
          <w:rFonts w:hint="eastAsia" w:ascii="仿宋_GB2312" w:hAnsi="仿宋_GB2312" w:eastAsia="仿宋_GB2312" w:cs="仿宋_GB2312"/>
          <w:sz w:val="32"/>
          <w:szCs w:val="32"/>
          <w:lang w:val="en-US" w:eastAsia="zh-CN"/>
        </w:rPr>
        <w:t>1863.95</w:t>
      </w:r>
      <w:r>
        <w:rPr>
          <w:rFonts w:hint="eastAsia" w:ascii="仿宋_GB2312" w:hAnsi="仿宋_GB2312" w:eastAsia="仿宋_GB2312" w:cs="仿宋_GB2312"/>
          <w:sz w:val="32"/>
          <w:szCs w:val="32"/>
        </w:rPr>
        <w:t>万元</w:t>
      </w:r>
      <w:r>
        <w:rPr>
          <w:rFonts w:hint="eastAsia" w:eastAsia="仿宋_GB2312" w:cs="仿宋_GB2312"/>
          <w:sz w:val="32"/>
          <w:szCs w:val="32"/>
        </w:rPr>
        <w:t>，主要用于以下方面：</w:t>
      </w:r>
      <w:r>
        <w:rPr>
          <w:rFonts w:hint="eastAsia" w:eastAsia="仿宋_GB2312" w:cs="仿宋_GB2312"/>
          <w:sz w:val="32"/>
          <w:szCs w:val="32"/>
          <w:lang w:eastAsia="zh-CN"/>
        </w:rPr>
        <w:t>公共安全</w:t>
      </w:r>
      <w:r>
        <w:rPr>
          <w:rFonts w:hint="eastAsia" w:eastAsia="仿宋_GB2312" w:cs="仿宋_GB2312"/>
          <w:sz w:val="32"/>
          <w:szCs w:val="32"/>
        </w:rPr>
        <w:t>支出</w:t>
      </w:r>
      <w:r>
        <w:rPr>
          <w:rFonts w:hint="eastAsia" w:eastAsia="仿宋_GB2312" w:cs="仿宋_GB2312"/>
          <w:sz w:val="32"/>
          <w:szCs w:val="32"/>
          <w:lang w:val="en-US" w:eastAsia="zh-CN"/>
        </w:rPr>
        <w:t>1501.22</w:t>
      </w:r>
      <w:r>
        <w:rPr>
          <w:rFonts w:hint="eastAsia" w:eastAsia="仿宋_GB2312" w:cs="仿宋_GB2312"/>
          <w:sz w:val="32"/>
          <w:szCs w:val="32"/>
        </w:rPr>
        <w:t>万元，占</w:t>
      </w:r>
      <w:r>
        <w:rPr>
          <w:rFonts w:hint="eastAsia" w:eastAsia="仿宋_GB2312" w:cs="仿宋_GB2312"/>
          <w:sz w:val="32"/>
          <w:szCs w:val="32"/>
          <w:lang w:val="en-US" w:eastAsia="zh-CN"/>
        </w:rPr>
        <w:t>80.5</w:t>
      </w:r>
      <w:r>
        <w:rPr>
          <w:rFonts w:hint="eastAsia" w:eastAsia="仿宋_GB2312" w:cs="仿宋_GB2312"/>
          <w:sz w:val="32"/>
          <w:szCs w:val="32"/>
        </w:rPr>
        <w:t>%；社会保障和就业支出</w:t>
      </w:r>
      <w:r>
        <w:rPr>
          <w:rFonts w:hint="eastAsia" w:eastAsia="仿宋_GB2312" w:cs="仿宋_GB2312"/>
          <w:sz w:val="32"/>
          <w:szCs w:val="32"/>
          <w:lang w:val="en-US" w:eastAsia="zh-CN"/>
        </w:rPr>
        <w:t>173.29</w:t>
      </w:r>
      <w:r>
        <w:rPr>
          <w:rFonts w:hint="eastAsia" w:eastAsia="仿宋_GB2312" w:cs="仿宋_GB2312"/>
          <w:sz w:val="32"/>
          <w:szCs w:val="32"/>
        </w:rPr>
        <w:t>万元，占</w:t>
      </w:r>
      <w:r>
        <w:rPr>
          <w:rFonts w:hint="eastAsia" w:eastAsia="仿宋_GB2312" w:cs="仿宋_GB2312"/>
          <w:sz w:val="32"/>
          <w:szCs w:val="32"/>
          <w:lang w:val="en-US" w:eastAsia="zh-CN"/>
        </w:rPr>
        <w:t>9.3</w:t>
      </w:r>
      <w:r>
        <w:rPr>
          <w:rFonts w:hint="eastAsia" w:eastAsia="仿宋_GB2312" w:cs="仿宋_GB2312"/>
          <w:sz w:val="32"/>
          <w:szCs w:val="32"/>
        </w:rPr>
        <w:t>%；卫生健康支出</w:t>
      </w:r>
      <w:r>
        <w:rPr>
          <w:rFonts w:hint="eastAsia" w:eastAsia="仿宋_GB2312" w:cs="仿宋_GB2312"/>
          <w:sz w:val="32"/>
          <w:szCs w:val="32"/>
          <w:lang w:val="en-US" w:eastAsia="zh-CN"/>
        </w:rPr>
        <w:t>70.56</w:t>
      </w:r>
      <w:r>
        <w:rPr>
          <w:rFonts w:hint="eastAsia" w:eastAsia="仿宋_GB2312" w:cs="仿宋_GB2312"/>
          <w:sz w:val="32"/>
          <w:szCs w:val="32"/>
        </w:rPr>
        <w:t>万元，占</w:t>
      </w:r>
      <w:r>
        <w:rPr>
          <w:rFonts w:hint="eastAsia" w:eastAsia="仿宋_GB2312" w:cs="仿宋_GB2312"/>
          <w:sz w:val="32"/>
          <w:szCs w:val="32"/>
          <w:lang w:val="en-US" w:eastAsia="zh-CN"/>
        </w:rPr>
        <w:t>3.8</w:t>
      </w:r>
      <w:r>
        <w:rPr>
          <w:rFonts w:hint="eastAsia" w:eastAsia="仿宋_GB2312" w:cs="仿宋_GB2312"/>
          <w:sz w:val="32"/>
          <w:szCs w:val="32"/>
        </w:rPr>
        <w:t>%；住房保障支出</w:t>
      </w:r>
      <w:r>
        <w:rPr>
          <w:rFonts w:hint="eastAsia" w:eastAsia="仿宋_GB2312" w:cs="仿宋_GB2312"/>
          <w:sz w:val="32"/>
          <w:szCs w:val="32"/>
          <w:lang w:val="en-US" w:eastAsia="zh-CN"/>
        </w:rPr>
        <w:t>118.88</w:t>
      </w:r>
      <w:r>
        <w:rPr>
          <w:rFonts w:hint="eastAsia" w:eastAsia="仿宋_GB2312" w:cs="仿宋_GB2312"/>
          <w:sz w:val="32"/>
          <w:szCs w:val="32"/>
        </w:rPr>
        <w:t>万元，占</w:t>
      </w:r>
      <w:r>
        <w:rPr>
          <w:rFonts w:hint="eastAsia" w:eastAsia="仿宋_GB2312" w:cs="仿宋_GB2312"/>
          <w:sz w:val="32"/>
          <w:szCs w:val="32"/>
          <w:lang w:val="en-US" w:eastAsia="zh-CN"/>
        </w:rPr>
        <w:t>6.4</w:t>
      </w:r>
      <w:r>
        <w:rPr>
          <w:rFonts w:hint="eastAsia" w:eastAsia="仿宋_GB2312" w:cs="仿宋_GB2312"/>
          <w:sz w:val="32"/>
          <w:szCs w:val="32"/>
        </w:rPr>
        <w:t>%</w:t>
      </w:r>
      <w:r>
        <w:rPr>
          <w:rFonts w:hint="eastAsia" w:eastAsia="仿宋_GB2312" w:cs="仿宋_GB2312"/>
          <w:sz w:val="32"/>
          <w:szCs w:val="32"/>
          <w:lang w:eastAsia="zh-CN"/>
        </w:rPr>
        <w:t>。</w:t>
      </w:r>
    </w:p>
    <w:p w14:paraId="4E8E2DD8">
      <w:r>
        <w:drawing>
          <wp:inline distT="0" distB="0" distL="114300" distR="114300">
            <wp:extent cx="4572000" cy="2743200"/>
            <wp:effectExtent l="4445" t="4445" r="14605" b="14605"/>
            <wp:docPr id="6"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0A19B2D">
      <w:pPr>
        <w:spacing w:line="600" w:lineRule="exact"/>
        <w:ind w:firstLine="640"/>
        <w:jc w:val="left"/>
        <w:rPr>
          <w:rFonts w:eastAsia="仿宋_GB2312" w:cs="仿宋_GB2312"/>
          <w:sz w:val="32"/>
          <w:szCs w:val="32"/>
        </w:rPr>
      </w:pPr>
      <w:r>
        <w:rPr>
          <w:rFonts w:hint="eastAsia" w:eastAsia="仿宋_GB2312" w:cs="仿宋_GB2312"/>
          <w:sz w:val="32"/>
          <w:szCs w:val="32"/>
        </w:rPr>
        <w:t>图6：一般公共预算财政拨款支出决算结构</w:t>
      </w:r>
    </w:p>
    <w:p w14:paraId="0A6ECC22">
      <w:pPr>
        <w:spacing w:line="600" w:lineRule="exact"/>
        <w:ind w:firstLine="643" w:firstLineChars="200"/>
        <w:outlineLvl w:val="2"/>
        <w:rPr>
          <w:rFonts w:eastAsia="楷体_GB2312" w:cs="楷体_GB2312"/>
          <w:b/>
          <w:sz w:val="32"/>
          <w:szCs w:val="32"/>
        </w:rPr>
      </w:pPr>
      <w:bookmarkStart w:id="24" w:name="_Toc15377212"/>
      <w:r>
        <w:rPr>
          <w:rFonts w:hint="eastAsia" w:eastAsia="楷体_GB2312" w:cs="楷体_GB2312"/>
          <w:b/>
          <w:sz w:val="32"/>
          <w:szCs w:val="32"/>
        </w:rPr>
        <w:t>（三）一般公共预算财政拨款支出决算具体情况</w:t>
      </w:r>
      <w:bookmarkEnd w:id="24"/>
    </w:p>
    <w:p w14:paraId="5E2E7931">
      <w:pPr>
        <w:spacing w:line="600" w:lineRule="exact"/>
        <w:ind w:firstLine="640"/>
        <w:rPr>
          <w:rFonts w:eastAsia="仿宋_GB2312" w:cs="仿宋_GB2312"/>
          <w:sz w:val="32"/>
          <w:szCs w:val="32"/>
        </w:rPr>
      </w:pPr>
      <w:bookmarkStart w:id="25" w:name="_Toc15377213"/>
      <w:bookmarkStart w:id="26" w:name="_Toc15377444"/>
      <w:bookmarkStart w:id="27" w:name="_Toc15378460"/>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年度一般公共预算财政拨款支出决算数为</w:t>
      </w:r>
      <w:r>
        <w:rPr>
          <w:rFonts w:hint="eastAsia" w:ascii="仿宋_GB2312" w:hAnsi="仿宋_GB2312" w:eastAsia="仿宋_GB2312" w:cs="仿宋_GB2312"/>
          <w:sz w:val="32"/>
          <w:szCs w:val="32"/>
          <w:lang w:val="en-US" w:eastAsia="zh-CN"/>
        </w:rPr>
        <w:t>1863.95万元</w:t>
      </w:r>
      <w:r>
        <w:rPr>
          <w:rFonts w:hint="eastAsia" w:ascii="仿宋_GB2312" w:hAnsi="仿宋_GB2312" w:eastAsia="仿宋_GB2312" w:cs="仿宋_GB2312"/>
          <w:sz w:val="32"/>
          <w:szCs w:val="32"/>
        </w:rPr>
        <w:t>，</w:t>
      </w:r>
      <w:r>
        <w:rPr>
          <w:rFonts w:hint="eastAsia" w:eastAsia="仿宋_GB2312" w:cs="仿宋_GB2312"/>
          <w:sz w:val="32"/>
          <w:szCs w:val="32"/>
        </w:rPr>
        <w:t>完成预算</w:t>
      </w:r>
      <w:r>
        <w:rPr>
          <w:rFonts w:hint="eastAsia" w:eastAsia="仿宋_GB2312" w:cs="仿宋_GB2312"/>
          <w:sz w:val="32"/>
          <w:szCs w:val="32"/>
          <w:lang w:val="en-US" w:eastAsia="zh-CN"/>
        </w:rPr>
        <w:t>100</w:t>
      </w:r>
      <w:r>
        <w:rPr>
          <w:rFonts w:hint="eastAsia" w:eastAsia="仿宋_GB2312" w:cs="仿宋_GB2312"/>
          <w:sz w:val="32"/>
          <w:szCs w:val="32"/>
        </w:rPr>
        <w:t>%。其中：</w:t>
      </w:r>
      <w:bookmarkEnd w:id="25"/>
      <w:bookmarkEnd w:id="26"/>
      <w:bookmarkEnd w:id="27"/>
    </w:p>
    <w:p w14:paraId="51F85534">
      <w:pPr>
        <w:spacing w:line="600" w:lineRule="exact"/>
        <w:ind w:firstLine="640"/>
        <w:rPr>
          <w:rFonts w:hint="eastAsia" w:ascii="仿宋_GB2312" w:hAnsi="仿宋_GB2312" w:eastAsia="仿宋_GB2312" w:cs="仿宋_GB2312"/>
          <w:sz w:val="32"/>
          <w:szCs w:val="32"/>
          <w:shd w:val="clear" w:fill="FFFFFF"/>
          <w:lang w:eastAsia="zh-CN"/>
        </w:rPr>
      </w:pPr>
      <w:r>
        <w:rPr>
          <w:rFonts w:hint="eastAsia" w:ascii="仿宋_GB2312" w:hAnsi="仿宋_GB2312" w:eastAsia="仿宋_GB2312" w:cs="仿宋_GB2312"/>
          <w:sz w:val="32"/>
          <w:szCs w:val="32"/>
          <w:shd w:val="clear" w:fill="FFFFFF"/>
          <w:lang w:eastAsia="zh-CN"/>
        </w:rPr>
        <w:t>1.公共安全支出</w:t>
      </w:r>
      <w:r>
        <w:rPr>
          <w:rFonts w:hint="eastAsia" w:ascii="仿宋_GB2312" w:hAnsi="仿宋_GB2312" w:eastAsia="仿宋_GB2312" w:cs="仿宋_GB2312"/>
          <w:sz w:val="32"/>
          <w:szCs w:val="32"/>
          <w:shd w:val="clear" w:fill="FFFFFF"/>
          <w:lang w:val="en-US" w:eastAsia="zh-CN"/>
        </w:rPr>
        <w:t>2040501</w:t>
      </w:r>
      <w:r>
        <w:rPr>
          <w:rFonts w:hint="eastAsia" w:ascii="仿宋_GB2312" w:hAnsi="仿宋_GB2312" w:eastAsia="仿宋_GB2312" w:cs="仿宋_GB2312"/>
          <w:sz w:val="32"/>
          <w:szCs w:val="32"/>
          <w:shd w:val="clear" w:fill="FFFFFF"/>
          <w:lang w:eastAsia="zh-CN"/>
        </w:rPr>
        <w:t>：支出决算为</w:t>
      </w:r>
      <w:r>
        <w:rPr>
          <w:rFonts w:hint="eastAsia" w:ascii="仿宋_GB2312" w:hAnsi="仿宋_GB2312" w:eastAsia="仿宋_GB2312" w:cs="仿宋_GB2312"/>
          <w:sz w:val="32"/>
          <w:szCs w:val="32"/>
          <w:shd w:val="clear" w:fill="FFFFFF"/>
          <w:lang w:val="en-US" w:eastAsia="zh-CN"/>
        </w:rPr>
        <w:t>1011.24</w:t>
      </w:r>
      <w:r>
        <w:rPr>
          <w:rFonts w:hint="eastAsia" w:ascii="仿宋_GB2312" w:hAnsi="仿宋_GB2312" w:eastAsia="仿宋_GB2312" w:cs="仿宋_GB2312"/>
          <w:sz w:val="32"/>
          <w:szCs w:val="32"/>
          <w:shd w:val="clear" w:fill="FFFFFF"/>
          <w:lang w:eastAsia="zh-CN"/>
        </w:rPr>
        <w:t>万元，完成预算</w:t>
      </w:r>
      <w:r>
        <w:rPr>
          <w:rFonts w:hint="eastAsia" w:ascii="仿宋_GB2312" w:hAnsi="仿宋_GB2312" w:eastAsia="仿宋_GB2312" w:cs="仿宋_GB2312"/>
          <w:sz w:val="32"/>
          <w:szCs w:val="32"/>
          <w:shd w:val="clear" w:fill="FFFFFF"/>
          <w:lang w:val="en-US" w:eastAsia="zh-CN"/>
        </w:rPr>
        <w:t>100</w:t>
      </w:r>
      <w:r>
        <w:rPr>
          <w:rFonts w:hint="eastAsia" w:ascii="仿宋_GB2312" w:hAnsi="仿宋_GB2312" w:eastAsia="仿宋_GB2312" w:cs="仿宋_GB2312"/>
          <w:sz w:val="32"/>
          <w:szCs w:val="32"/>
          <w:shd w:val="clear" w:fill="FFFFFF"/>
          <w:lang w:eastAsia="zh-CN"/>
        </w:rPr>
        <w:t>%，决算数等于预算数。</w:t>
      </w:r>
    </w:p>
    <w:p w14:paraId="4766C9EA">
      <w:pPr>
        <w:spacing w:line="600" w:lineRule="exact"/>
        <w:ind w:firstLine="640"/>
        <w:rPr>
          <w:rFonts w:hint="eastAsia" w:ascii="仿宋_GB2312" w:hAnsi="仿宋_GB2312" w:eastAsia="仿宋_GB2312" w:cs="仿宋_GB2312"/>
          <w:sz w:val="32"/>
          <w:szCs w:val="32"/>
          <w:shd w:val="clear" w:fill="FFFFFF"/>
          <w:lang w:eastAsia="zh-CN"/>
        </w:rPr>
      </w:pPr>
      <w:r>
        <w:rPr>
          <w:rFonts w:hint="eastAsia" w:ascii="仿宋_GB2312" w:hAnsi="仿宋_GB2312" w:eastAsia="仿宋_GB2312" w:cs="仿宋_GB2312"/>
          <w:sz w:val="32"/>
          <w:szCs w:val="32"/>
          <w:shd w:val="clear" w:fill="FFFFFF"/>
          <w:lang w:eastAsia="zh-CN"/>
        </w:rPr>
        <w:t>2.公共安全支出</w:t>
      </w:r>
      <w:r>
        <w:rPr>
          <w:rFonts w:hint="eastAsia" w:ascii="仿宋_GB2312" w:hAnsi="仿宋_GB2312" w:eastAsia="仿宋_GB2312" w:cs="仿宋_GB2312"/>
          <w:sz w:val="32"/>
          <w:szCs w:val="32"/>
          <w:shd w:val="clear" w:fill="FFFFFF"/>
          <w:lang w:val="en-US" w:eastAsia="zh-CN"/>
        </w:rPr>
        <w:t>2040502</w:t>
      </w:r>
      <w:r>
        <w:rPr>
          <w:rFonts w:hint="eastAsia" w:ascii="仿宋_GB2312" w:hAnsi="仿宋_GB2312" w:eastAsia="仿宋_GB2312" w:cs="仿宋_GB2312"/>
          <w:sz w:val="32"/>
          <w:szCs w:val="32"/>
          <w:shd w:val="clear" w:fill="FFFFFF"/>
          <w:lang w:eastAsia="zh-CN"/>
        </w:rPr>
        <w:t>：支出决算为</w:t>
      </w:r>
      <w:r>
        <w:rPr>
          <w:rFonts w:hint="eastAsia" w:ascii="仿宋_GB2312" w:hAnsi="仿宋_GB2312" w:eastAsia="仿宋_GB2312" w:cs="仿宋_GB2312"/>
          <w:sz w:val="32"/>
          <w:szCs w:val="32"/>
          <w:shd w:val="clear" w:fill="FFFFFF"/>
          <w:lang w:val="en-US" w:eastAsia="zh-CN"/>
        </w:rPr>
        <w:t>489.99</w:t>
      </w:r>
      <w:r>
        <w:rPr>
          <w:rFonts w:hint="eastAsia" w:ascii="仿宋_GB2312" w:hAnsi="仿宋_GB2312" w:eastAsia="仿宋_GB2312" w:cs="仿宋_GB2312"/>
          <w:sz w:val="32"/>
          <w:szCs w:val="32"/>
          <w:shd w:val="clear" w:fill="FFFFFF"/>
          <w:lang w:eastAsia="zh-CN"/>
        </w:rPr>
        <w:t>万元，完成预算</w:t>
      </w:r>
      <w:r>
        <w:rPr>
          <w:rFonts w:hint="eastAsia" w:ascii="仿宋_GB2312" w:hAnsi="仿宋_GB2312" w:eastAsia="仿宋_GB2312" w:cs="仿宋_GB2312"/>
          <w:sz w:val="32"/>
          <w:szCs w:val="32"/>
          <w:shd w:val="clear" w:fill="FFFFFF"/>
          <w:lang w:val="en-US" w:eastAsia="zh-CN"/>
        </w:rPr>
        <w:t>100</w:t>
      </w:r>
      <w:r>
        <w:rPr>
          <w:rFonts w:hint="eastAsia" w:ascii="仿宋_GB2312" w:hAnsi="仿宋_GB2312" w:eastAsia="仿宋_GB2312" w:cs="仿宋_GB2312"/>
          <w:sz w:val="32"/>
          <w:szCs w:val="32"/>
          <w:shd w:val="clear" w:fill="FFFFFF"/>
          <w:lang w:eastAsia="zh-CN"/>
        </w:rPr>
        <w:t>%，决算数等于预算数。</w:t>
      </w:r>
    </w:p>
    <w:p w14:paraId="22F4DEA9">
      <w:pPr>
        <w:spacing w:line="600" w:lineRule="exact"/>
        <w:ind w:firstLine="640"/>
        <w:rPr>
          <w:rFonts w:eastAsia="仿宋_GB2312" w:cs="仿宋_GB2312"/>
          <w:sz w:val="32"/>
          <w:szCs w:val="32"/>
        </w:rPr>
      </w:pPr>
      <w:r>
        <w:rPr>
          <w:rFonts w:hint="eastAsia" w:eastAsia="仿宋_GB2312" w:cs="仿宋_GB2312"/>
          <w:sz w:val="32"/>
          <w:szCs w:val="32"/>
        </w:rPr>
        <w:t>3.</w:t>
      </w:r>
      <w:r>
        <w:rPr>
          <w:rFonts w:hint="eastAsia" w:ascii="仿宋_GB2312" w:hAnsi="仿宋_GB2312" w:eastAsia="仿宋_GB2312" w:cs="仿宋_GB2312"/>
          <w:sz w:val="32"/>
          <w:szCs w:val="32"/>
          <w:shd w:val="clear" w:fill="FFFFFF"/>
          <w:lang w:eastAsia="zh-CN"/>
        </w:rPr>
        <w:t>社会保障和就业</w:t>
      </w:r>
      <w:r>
        <w:rPr>
          <w:rFonts w:hint="eastAsia" w:ascii="仿宋_GB2312" w:hAnsi="仿宋_GB2312" w:eastAsia="仿宋_GB2312" w:cs="仿宋_GB2312"/>
          <w:sz w:val="32"/>
          <w:szCs w:val="32"/>
          <w:shd w:val="clear" w:fill="FFFFFF"/>
          <w:lang w:val="en-US"/>
        </w:rPr>
        <w:t>20</w:t>
      </w:r>
      <w:r>
        <w:rPr>
          <w:rFonts w:hint="eastAsia" w:ascii="仿宋_GB2312" w:hAnsi="仿宋_GB2312" w:eastAsia="仿宋_GB2312" w:cs="仿宋_GB2312"/>
          <w:sz w:val="32"/>
          <w:szCs w:val="32"/>
          <w:shd w:val="clear" w:fill="FFFFFF"/>
          <w:lang w:val="en-US" w:eastAsia="zh-CN"/>
        </w:rPr>
        <w:t>8</w:t>
      </w:r>
      <w:r>
        <w:rPr>
          <w:rFonts w:hint="eastAsia" w:ascii="仿宋_GB2312" w:hAnsi="仿宋_GB2312" w:eastAsia="仿宋_GB2312" w:cs="仿宋_GB2312"/>
          <w:sz w:val="32"/>
          <w:szCs w:val="32"/>
          <w:shd w:val="clear" w:fill="FFFFFF"/>
          <w:lang w:val="en-US"/>
        </w:rPr>
        <w:t>0</w:t>
      </w:r>
      <w:r>
        <w:rPr>
          <w:rFonts w:hint="eastAsia" w:ascii="仿宋_GB2312" w:hAnsi="仿宋_GB2312" w:eastAsia="仿宋_GB2312" w:cs="仿宋_GB2312"/>
          <w:sz w:val="32"/>
          <w:szCs w:val="32"/>
          <w:shd w:val="clear" w:fill="FFFFFF"/>
          <w:lang w:val="en-US" w:eastAsia="zh-CN"/>
        </w:rPr>
        <w:t>5</w:t>
      </w:r>
      <w:r>
        <w:rPr>
          <w:rFonts w:hint="eastAsia" w:ascii="仿宋_GB2312" w:hAnsi="仿宋_GB2312" w:eastAsia="仿宋_GB2312" w:cs="仿宋_GB2312"/>
          <w:sz w:val="32"/>
          <w:szCs w:val="32"/>
          <w:shd w:val="clear" w:fill="FFFFFF"/>
          <w:lang w:val="en-US"/>
        </w:rPr>
        <w:t xml:space="preserve">05: </w:t>
      </w:r>
      <w:r>
        <w:rPr>
          <w:rFonts w:hint="eastAsia" w:ascii="仿宋_GB2312" w:hAnsi="仿宋_GB2312" w:eastAsia="仿宋_GB2312" w:cs="仿宋_GB2312"/>
          <w:sz w:val="32"/>
          <w:szCs w:val="32"/>
          <w:shd w:val="clear" w:fill="FFFFFF"/>
          <w:lang w:eastAsia="zh-CN"/>
        </w:rPr>
        <w:t>支出决算为</w:t>
      </w:r>
      <w:r>
        <w:rPr>
          <w:rFonts w:hint="eastAsia" w:ascii="仿宋_GB2312" w:hAnsi="仿宋_GB2312" w:eastAsia="仿宋_GB2312" w:cs="仿宋_GB2312"/>
          <w:sz w:val="32"/>
          <w:szCs w:val="32"/>
          <w:shd w:val="clear" w:fill="FFFFFF"/>
          <w:lang w:val="en-US" w:eastAsia="zh-CN"/>
        </w:rPr>
        <w:t>112.27</w:t>
      </w:r>
      <w:r>
        <w:rPr>
          <w:rFonts w:hint="eastAsia" w:ascii="仿宋_GB2312" w:hAnsi="仿宋_GB2312" w:eastAsia="仿宋_GB2312" w:cs="仿宋_GB2312"/>
          <w:sz w:val="32"/>
          <w:szCs w:val="32"/>
          <w:shd w:val="clear" w:fill="FFFFFF"/>
          <w:lang w:eastAsia="zh-CN"/>
        </w:rPr>
        <w:t>万元，完成预算</w:t>
      </w:r>
      <w:r>
        <w:rPr>
          <w:rFonts w:hint="eastAsia" w:ascii="仿宋_GB2312" w:hAnsi="仿宋_GB2312" w:eastAsia="仿宋_GB2312" w:cs="仿宋_GB2312"/>
          <w:sz w:val="32"/>
          <w:szCs w:val="32"/>
          <w:shd w:val="clear" w:fill="FFFFFF"/>
          <w:lang w:val="en-US"/>
        </w:rPr>
        <w:t>100%</w:t>
      </w:r>
      <w:r>
        <w:rPr>
          <w:rFonts w:hint="eastAsia" w:ascii="仿宋_GB2312" w:hAnsi="仿宋_GB2312" w:eastAsia="仿宋_GB2312" w:cs="仿宋_GB2312"/>
          <w:sz w:val="32"/>
          <w:szCs w:val="32"/>
          <w:shd w:val="clear" w:fill="FFFFFF"/>
          <w:lang w:eastAsia="zh-CN"/>
        </w:rPr>
        <w:t>，决算数与预算数持平。</w:t>
      </w:r>
    </w:p>
    <w:p w14:paraId="3E157944">
      <w:pPr>
        <w:spacing w:line="600" w:lineRule="exact"/>
        <w:ind w:firstLine="640"/>
        <w:rPr>
          <w:rFonts w:eastAsia="仿宋_GB2312" w:cs="仿宋_GB2312"/>
          <w:sz w:val="32"/>
          <w:szCs w:val="32"/>
        </w:rPr>
      </w:pPr>
      <w:r>
        <w:rPr>
          <w:rFonts w:hint="eastAsia" w:eastAsia="仿宋_GB2312" w:cs="仿宋_GB2312"/>
          <w:sz w:val="32"/>
          <w:szCs w:val="32"/>
        </w:rPr>
        <w:t>4.</w:t>
      </w:r>
      <w:r>
        <w:rPr>
          <w:rFonts w:hint="eastAsia" w:ascii="仿宋_GB2312" w:hAnsi="仿宋_GB2312" w:eastAsia="仿宋_GB2312" w:cs="仿宋_GB2312"/>
          <w:sz w:val="32"/>
          <w:szCs w:val="32"/>
          <w:shd w:val="clear" w:fill="FFFFFF"/>
          <w:lang w:eastAsia="zh-CN"/>
        </w:rPr>
        <w:t>社会保障和就业</w:t>
      </w:r>
      <w:r>
        <w:rPr>
          <w:rFonts w:hint="eastAsia" w:ascii="仿宋_GB2312" w:hAnsi="仿宋_GB2312" w:eastAsia="仿宋_GB2312" w:cs="仿宋_GB2312"/>
          <w:sz w:val="32"/>
          <w:szCs w:val="32"/>
          <w:shd w:val="clear" w:fill="FFFFFF"/>
          <w:lang w:val="en-US"/>
        </w:rPr>
        <w:t>208050</w:t>
      </w:r>
      <w:r>
        <w:rPr>
          <w:rFonts w:hint="eastAsia" w:ascii="仿宋_GB2312" w:hAnsi="仿宋_GB2312" w:eastAsia="仿宋_GB2312" w:cs="仿宋_GB2312"/>
          <w:sz w:val="32"/>
          <w:szCs w:val="32"/>
          <w:shd w:val="clear" w:fill="FFFFFF"/>
          <w:lang w:val="en-US" w:eastAsia="zh-CN"/>
        </w:rPr>
        <w:t>6</w:t>
      </w:r>
      <w:r>
        <w:rPr>
          <w:rFonts w:hint="eastAsia" w:ascii="仿宋_GB2312" w:hAnsi="仿宋_GB2312" w:eastAsia="仿宋_GB2312" w:cs="仿宋_GB2312"/>
          <w:sz w:val="32"/>
          <w:szCs w:val="32"/>
          <w:shd w:val="clear" w:fill="FFFFFF"/>
          <w:lang w:val="en-US"/>
        </w:rPr>
        <w:t xml:space="preserve">: </w:t>
      </w:r>
      <w:r>
        <w:rPr>
          <w:rFonts w:hint="eastAsia" w:ascii="仿宋_GB2312" w:hAnsi="仿宋_GB2312" w:eastAsia="仿宋_GB2312" w:cs="仿宋_GB2312"/>
          <w:sz w:val="32"/>
          <w:szCs w:val="32"/>
          <w:shd w:val="clear" w:fill="FFFFFF"/>
          <w:lang w:eastAsia="zh-CN"/>
        </w:rPr>
        <w:t>支出决算为</w:t>
      </w:r>
      <w:r>
        <w:rPr>
          <w:rFonts w:hint="eastAsia" w:ascii="仿宋_GB2312" w:hAnsi="仿宋_GB2312" w:eastAsia="仿宋_GB2312" w:cs="仿宋_GB2312"/>
          <w:sz w:val="32"/>
          <w:szCs w:val="32"/>
          <w:shd w:val="clear" w:fill="FFFFFF"/>
          <w:lang w:val="en-US" w:eastAsia="zh-CN"/>
        </w:rPr>
        <w:t>61.02</w:t>
      </w:r>
      <w:r>
        <w:rPr>
          <w:rFonts w:hint="eastAsia" w:ascii="仿宋_GB2312" w:hAnsi="仿宋_GB2312" w:eastAsia="仿宋_GB2312" w:cs="仿宋_GB2312"/>
          <w:sz w:val="32"/>
          <w:szCs w:val="32"/>
          <w:shd w:val="clear" w:fill="FFFFFF"/>
          <w:lang w:eastAsia="zh-CN"/>
        </w:rPr>
        <w:t>万元，完成预算</w:t>
      </w:r>
      <w:r>
        <w:rPr>
          <w:rFonts w:hint="eastAsia" w:ascii="仿宋_GB2312" w:hAnsi="仿宋_GB2312" w:eastAsia="仿宋_GB2312" w:cs="仿宋_GB2312"/>
          <w:sz w:val="32"/>
          <w:szCs w:val="32"/>
          <w:shd w:val="clear" w:fill="FFFFFF"/>
          <w:lang w:val="en-US"/>
        </w:rPr>
        <w:t>100%</w:t>
      </w:r>
      <w:r>
        <w:rPr>
          <w:rFonts w:hint="eastAsia" w:ascii="仿宋_GB2312" w:hAnsi="仿宋_GB2312" w:eastAsia="仿宋_GB2312" w:cs="仿宋_GB2312"/>
          <w:sz w:val="32"/>
          <w:szCs w:val="32"/>
          <w:shd w:val="clear" w:fill="FFFFFF"/>
          <w:lang w:eastAsia="zh-CN"/>
        </w:rPr>
        <w:t>，决算数与预算数持平。</w:t>
      </w:r>
    </w:p>
    <w:p w14:paraId="7A0A2B2D">
      <w:pPr>
        <w:spacing w:line="600" w:lineRule="exact"/>
        <w:ind w:firstLine="640"/>
        <w:rPr>
          <w:rFonts w:eastAsia="仿宋_GB2312" w:cs="仿宋_GB2312"/>
          <w:sz w:val="32"/>
          <w:szCs w:val="32"/>
        </w:rPr>
      </w:pPr>
      <w:r>
        <w:rPr>
          <w:rFonts w:hint="eastAsia" w:eastAsia="仿宋_GB2312" w:cs="仿宋_GB2312"/>
          <w:sz w:val="32"/>
          <w:szCs w:val="32"/>
        </w:rPr>
        <w:t>5.</w:t>
      </w:r>
      <w:r>
        <w:rPr>
          <w:rFonts w:hint="eastAsia" w:ascii="仿宋_GB2312" w:hAnsi="仿宋_GB2312" w:eastAsia="仿宋_GB2312" w:cs="仿宋_GB2312"/>
          <w:sz w:val="32"/>
          <w:szCs w:val="32"/>
          <w:shd w:val="clear" w:fill="FFFFFF"/>
          <w:lang w:eastAsia="zh-CN"/>
        </w:rPr>
        <w:t>卫生健康</w:t>
      </w:r>
      <w:r>
        <w:rPr>
          <w:rFonts w:hint="eastAsia" w:ascii="仿宋_GB2312" w:hAnsi="仿宋_GB2312" w:eastAsia="仿宋_GB2312" w:cs="仿宋_GB2312"/>
          <w:sz w:val="32"/>
          <w:szCs w:val="32"/>
          <w:shd w:val="clear" w:fill="FFFFFF"/>
          <w:lang w:val="en-US"/>
        </w:rPr>
        <w:t>2</w:t>
      </w:r>
      <w:r>
        <w:rPr>
          <w:rFonts w:hint="eastAsia" w:ascii="仿宋_GB2312" w:hAnsi="仿宋_GB2312" w:eastAsia="仿宋_GB2312" w:cs="仿宋_GB2312"/>
          <w:sz w:val="32"/>
          <w:szCs w:val="32"/>
          <w:shd w:val="clear" w:fill="FFFFFF"/>
          <w:lang w:val="en-US" w:eastAsia="zh-CN"/>
        </w:rPr>
        <w:t>1011</w:t>
      </w:r>
      <w:r>
        <w:rPr>
          <w:rFonts w:hint="eastAsia" w:ascii="仿宋_GB2312" w:hAnsi="仿宋_GB2312" w:eastAsia="仿宋_GB2312" w:cs="仿宋_GB2312"/>
          <w:sz w:val="32"/>
          <w:szCs w:val="32"/>
          <w:shd w:val="clear" w:fill="FFFFFF"/>
          <w:lang w:val="en-US"/>
        </w:rPr>
        <w:t>0</w:t>
      </w:r>
      <w:r>
        <w:rPr>
          <w:rFonts w:hint="eastAsia" w:ascii="仿宋_GB2312" w:hAnsi="仿宋_GB2312" w:eastAsia="仿宋_GB2312" w:cs="仿宋_GB2312"/>
          <w:sz w:val="32"/>
          <w:szCs w:val="32"/>
          <w:shd w:val="clear" w:fill="FFFFFF"/>
          <w:lang w:val="en-US" w:eastAsia="zh-CN"/>
        </w:rPr>
        <w:t>1</w:t>
      </w:r>
      <w:r>
        <w:rPr>
          <w:rFonts w:hint="eastAsia" w:ascii="仿宋_GB2312" w:hAnsi="仿宋_GB2312" w:eastAsia="仿宋_GB2312" w:cs="仿宋_GB2312"/>
          <w:sz w:val="32"/>
          <w:szCs w:val="32"/>
          <w:shd w:val="clear" w:fill="FFFFFF"/>
          <w:lang w:val="en-US"/>
        </w:rPr>
        <w:t xml:space="preserve">: </w:t>
      </w:r>
      <w:r>
        <w:rPr>
          <w:rFonts w:hint="eastAsia" w:ascii="仿宋_GB2312" w:hAnsi="仿宋_GB2312" w:eastAsia="仿宋_GB2312" w:cs="仿宋_GB2312"/>
          <w:sz w:val="32"/>
          <w:szCs w:val="32"/>
          <w:shd w:val="clear" w:fill="FFFFFF"/>
          <w:lang w:eastAsia="zh-CN"/>
        </w:rPr>
        <w:t>支出决算为</w:t>
      </w:r>
      <w:r>
        <w:rPr>
          <w:rFonts w:hint="eastAsia" w:ascii="仿宋_GB2312" w:hAnsi="仿宋_GB2312" w:eastAsia="仿宋_GB2312" w:cs="仿宋_GB2312"/>
          <w:sz w:val="32"/>
          <w:szCs w:val="32"/>
          <w:shd w:val="clear" w:fill="FFFFFF"/>
          <w:lang w:val="en-US" w:eastAsia="zh-CN"/>
        </w:rPr>
        <w:t>53.08</w:t>
      </w:r>
      <w:r>
        <w:rPr>
          <w:rFonts w:hint="eastAsia" w:ascii="仿宋_GB2312" w:hAnsi="仿宋_GB2312" w:eastAsia="仿宋_GB2312" w:cs="仿宋_GB2312"/>
          <w:sz w:val="32"/>
          <w:szCs w:val="32"/>
          <w:shd w:val="clear" w:fill="FFFFFF"/>
          <w:lang w:eastAsia="zh-CN"/>
        </w:rPr>
        <w:t>万元，完成预算</w:t>
      </w:r>
      <w:r>
        <w:rPr>
          <w:rFonts w:hint="eastAsia" w:ascii="仿宋_GB2312" w:hAnsi="仿宋_GB2312" w:eastAsia="仿宋_GB2312" w:cs="仿宋_GB2312"/>
          <w:sz w:val="32"/>
          <w:szCs w:val="32"/>
          <w:shd w:val="clear" w:fill="FFFFFF"/>
          <w:lang w:val="en-US"/>
        </w:rPr>
        <w:t>100%</w:t>
      </w:r>
      <w:r>
        <w:rPr>
          <w:rFonts w:hint="eastAsia" w:ascii="仿宋_GB2312" w:hAnsi="仿宋_GB2312" w:eastAsia="仿宋_GB2312" w:cs="仿宋_GB2312"/>
          <w:sz w:val="32"/>
          <w:szCs w:val="32"/>
          <w:shd w:val="clear" w:fill="FFFFFF"/>
          <w:lang w:eastAsia="zh-CN"/>
        </w:rPr>
        <w:t>，决算数与预算数持平。</w:t>
      </w:r>
    </w:p>
    <w:p w14:paraId="3C79DFA4">
      <w:pPr>
        <w:spacing w:line="600" w:lineRule="exact"/>
        <w:ind w:firstLine="640"/>
        <w:rPr>
          <w:rFonts w:hint="eastAsia" w:ascii="仿宋_GB2312" w:hAnsi="仿宋_GB2312" w:eastAsia="仿宋_GB2312" w:cs="仿宋_GB2312"/>
          <w:sz w:val="32"/>
          <w:szCs w:val="32"/>
          <w:shd w:val="clear" w:fill="FFFFFF"/>
          <w:lang w:eastAsia="zh-CN"/>
        </w:rPr>
      </w:pPr>
      <w:r>
        <w:rPr>
          <w:rFonts w:hint="eastAsia" w:eastAsia="仿宋_GB2312" w:cs="仿宋_GB2312"/>
          <w:sz w:val="32"/>
          <w:szCs w:val="32"/>
        </w:rPr>
        <w:t>6.</w:t>
      </w:r>
      <w:r>
        <w:rPr>
          <w:rFonts w:hint="eastAsia" w:ascii="仿宋_GB2312" w:hAnsi="仿宋_GB2312" w:eastAsia="仿宋_GB2312" w:cs="仿宋_GB2312"/>
          <w:sz w:val="32"/>
          <w:szCs w:val="32"/>
          <w:shd w:val="clear" w:fill="FFFFFF"/>
          <w:lang w:eastAsia="zh-CN"/>
        </w:rPr>
        <w:t>卫生健康</w:t>
      </w:r>
      <w:r>
        <w:rPr>
          <w:rFonts w:hint="eastAsia" w:ascii="仿宋_GB2312" w:hAnsi="仿宋_GB2312" w:eastAsia="仿宋_GB2312" w:cs="仿宋_GB2312"/>
          <w:sz w:val="32"/>
          <w:szCs w:val="32"/>
          <w:shd w:val="clear" w:fill="FFFFFF"/>
          <w:lang w:val="en-US"/>
        </w:rPr>
        <w:t>210110</w:t>
      </w:r>
      <w:r>
        <w:rPr>
          <w:rFonts w:hint="eastAsia" w:ascii="仿宋_GB2312" w:hAnsi="仿宋_GB2312" w:eastAsia="仿宋_GB2312" w:cs="仿宋_GB2312"/>
          <w:sz w:val="32"/>
          <w:szCs w:val="32"/>
          <w:shd w:val="clear" w:fill="FFFFFF"/>
          <w:lang w:val="en-US" w:eastAsia="zh-CN"/>
        </w:rPr>
        <w:t>3</w:t>
      </w:r>
      <w:r>
        <w:rPr>
          <w:rFonts w:hint="eastAsia" w:ascii="仿宋_GB2312" w:hAnsi="仿宋_GB2312" w:eastAsia="仿宋_GB2312" w:cs="仿宋_GB2312"/>
          <w:sz w:val="32"/>
          <w:szCs w:val="32"/>
          <w:shd w:val="clear" w:fill="FFFFFF"/>
          <w:lang w:val="en-US"/>
        </w:rPr>
        <w:t>:</w:t>
      </w:r>
      <w:r>
        <w:rPr>
          <w:rFonts w:hint="eastAsia" w:ascii="仿宋_GB2312" w:hAnsi="仿宋_GB2312" w:eastAsia="仿宋_GB2312" w:cs="仿宋_GB2312"/>
          <w:sz w:val="32"/>
          <w:szCs w:val="32"/>
          <w:shd w:val="clear" w:fill="FFFFFF"/>
          <w:lang w:eastAsia="zh-CN"/>
        </w:rPr>
        <w:t>支出决算为</w:t>
      </w:r>
      <w:r>
        <w:rPr>
          <w:rFonts w:hint="eastAsia" w:ascii="仿宋_GB2312" w:hAnsi="仿宋_GB2312" w:eastAsia="仿宋_GB2312" w:cs="仿宋_GB2312"/>
          <w:sz w:val="32"/>
          <w:szCs w:val="32"/>
          <w:shd w:val="clear" w:fill="FFFFFF"/>
          <w:lang w:val="en-US" w:eastAsia="zh-CN"/>
        </w:rPr>
        <w:t>17.48</w:t>
      </w:r>
      <w:r>
        <w:rPr>
          <w:rFonts w:hint="eastAsia" w:ascii="仿宋_GB2312" w:hAnsi="仿宋_GB2312" w:eastAsia="仿宋_GB2312" w:cs="仿宋_GB2312"/>
          <w:sz w:val="32"/>
          <w:szCs w:val="32"/>
          <w:shd w:val="clear" w:fill="FFFFFF"/>
          <w:lang w:eastAsia="zh-CN"/>
        </w:rPr>
        <w:t>万元，完成预算</w:t>
      </w:r>
      <w:r>
        <w:rPr>
          <w:rFonts w:hint="eastAsia" w:ascii="仿宋_GB2312" w:hAnsi="仿宋_GB2312" w:eastAsia="仿宋_GB2312" w:cs="仿宋_GB2312"/>
          <w:sz w:val="32"/>
          <w:szCs w:val="32"/>
          <w:shd w:val="clear" w:fill="FFFFFF"/>
          <w:lang w:val="en-US"/>
        </w:rPr>
        <w:t>100%</w:t>
      </w:r>
      <w:r>
        <w:rPr>
          <w:rFonts w:hint="eastAsia" w:ascii="仿宋_GB2312" w:hAnsi="仿宋_GB2312" w:eastAsia="仿宋_GB2312" w:cs="仿宋_GB2312"/>
          <w:sz w:val="32"/>
          <w:szCs w:val="32"/>
          <w:shd w:val="clear" w:fill="FFFFFF"/>
          <w:lang w:eastAsia="zh-CN"/>
        </w:rPr>
        <w:t>，决算数与预算数持平。</w:t>
      </w:r>
    </w:p>
    <w:p w14:paraId="7E8C7A0D">
      <w:pPr>
        <w:pStyle w:val="16"/>
        <w:keepNext w:val="0"/>
        <w:keepLines w:val="0"/>
        <w:pageBreakBefore w:val="0"/>
        <w:widowControl/>
        <w:shd w:val="clear" w:fill="FFFFFF"/>
        <w:kinsoku/>
        <w:wordWrap/>
        <w:overflowPunct/>
        <w:topLinePunct w:val="0"/>
        <w:autoSpaceDE w:val="0"/>
        <w:autoSpaceDN/>
        <w:bidi w:val="0"/>
        <w:adjustRightInd/>
        <w:snapToGrid/>
        <w:spacing w:line="560" w:lineRule="exact"/>
        <w:ind w:firstLine="640" w:firstLineChars="200"/>
        <w:textAlignment w:val="auto"/>
        <w:rPr>
          <w:rFonts w:eastAsia="仿宋_GB2312" w:cs="仿宋_GB2312"/>
          <w:sz w:val="32"/>
          <w:szCs w:val="32"/>
        </w:rPr>
      </w:pPr>
      <w:r>
        <w:rPr>
          <w:rFonts w:hint="eastAsia" w:ascii="仿宋_GB2312" w:hAnsi="仿宋_GB2312" w:eastAsia="仿宋_GB2312" w:cs="仿宋_GB2312"/>
          <w:sz w:val="32"/>
          <w:szCs w:val="32"/>
          <w:shd w:val="clear" w:fill="FFFFFF"/>
          <w:lang w:val="en-US" w:eastAsia="zh-CN"/>
        </w:rPr>
        <w:t>7</w:t>
      </w:r>
      <w:r>
        <w:rPr>
          <w:rFonts w:hint="eastAsia" w:ascii="仿宋_GB2312" w:hAnsi="仿宋_GB2312" w:eastAsia="仿宋_GB2312" w:cs="仿宋_GB2312"/>
          <w:sz w:val="32"/>
          <w:szCs w:val="32"/>
          <w:shd w:val="clear" w:fill="FFFFFF"/>
          <w:lang w:val="en-US"/>
        </w:rPr>
        <w:t xml:space="preserve">. </w:t>
      </w:r>
      <w:r>
        <w:rPr>
          <w:rFonts w:hint="eastAsia" w:ascii="仿宋_GB2312" w:hAnsi="仿宋_GB2312" w:eastAsia="仿宋_GB2312" w:cs="仿宋_GB2312"/>
          <w:sz w:val="32"/>
          <w:szCs w:val="32"/>
          <w:shd w:val="clear" w:fill="FFFFFF"/>
          <w:lang w:eastAsia="zh-CN"/>
        </w:rPr>
        <w:t>住房保障等支出</w:t>
      </w:r>
      <w:r>
        <w:rPr>
          <w:rFonts w:hint="eastAsia" w:ascii="仿宋_GB2312" w:hAnsi="仿宋_GB2312" w:eastAsia="仿宋_GB2312" w:cs="仿宋_GB2312"/>
          <w:sz w:val="32"/>
          <w:szCs w:val="32"/>
          <w:shd w:val="clear" w:fill="FFFFFF"/>
          <w:lang w:val="en-US"/>
        </w:rPr>
        <w:t>2</w:t>
      </w:r>
      <w:r>
        <w:rPr>
          <w:rFonts w:hint="eastAsia" w:ascii="仿宋_GB2312" w:hAnsi="仿宋_GB2312" w:eastAsia="仿宋_GB2312" w:cs="仿宋_GB2312"/>
          <w:sz w:val="32"/>
          <w:szCs w:val="32"/>
          <w:shd w:val="clear" w:fill="FFFFFF"/>
          <w:lang w:val="en-US" w:eastAsia="zh-CN"/>
        </w:rPr>
        <w:t>2102</w:t>
      </w:r>
      <w:r>
        <w:rPr>
          <w:rFonts w:hint="eastAsia" w:ascii="仿宋_GB2312" w:hAnsi="仿宋_GB2312" w:eastAsia="仿宋_GB2312" w:cs="仿宋_GB2312"/>
          <w:sz w:val="32"/>
          <w:szCs w:val="32"/>
          <w:shd w:val="clear" w:fill="FFFFFF"/>
          <w:lang w:eastAsia="zh-CN"/>
        </w:rPr>
        <w:t>：支出决算为</w:t>
      </w:r>
      <w:r>
        <w:rPr>
          <w:rFonts w:hint="eastAsia" w:ascii="仿宋_GB2312" w:hAnsi="仿宋_GB2312" w:eastAsia="仿宋_GB2312" w:cs="仿宋_GB2312"/>
          <w:sz w:val="32"/>
          <w:szCs w:val="32"/>
          <w:shd w:val="clear" w:fill="FFFFFF"/>
          <w:lang w:val="en-US" w:eastAsia="zh-CN"/>
        </w:rPr>
        <w:t>118.88</w:t>
      </w:r>
      <w:r>
        <w:rPr>
          <w:rFonts w:hint="eastAsia" w:ascii="仿宋_GB2312" w:hAnsi="仿宋_GB2312" w:eastAsia="仿宋_GB2312" w:cs="仿宋_GB2312"/>
          <w:sz w:val="32"/>
          <w:szCs w:val="32"/>
          <w:shd w:val="clear" w:fill="FFFFFF"/>
          <w:lang w:eastAsia="zh-CN"/>
        </w:rPr>
        <w:t>万元，完成预算</w:t>
      </w:r>
      <w:r>
        <w:rPr>
          <w:rFonts w:hint="eastAsia" w:ascii="仿宋_GB2312" w:hAnsi="仿宋_GB2312" w:eastAsia="仿宋_GB2312" w:cs="仿宋_GB2312"/>
          <w:sz w:val="32"/>
          <w:szCs w:val="32"/>
          <w:shd w:val="clear" w:fill="FFFFFF"/>
          <w:lang w:val="en-US"/>
        </w:rPr>
        <w:t>100%</w:t>
      </w:r>
      <w:r>
        <w:rPr>
          <w:rFonts w:hint="eastAsia" w:ascii="仿宋_GB2312" w:hAnsi="仿宋_GB2312" w:eastAsia="仿宋_GB2312" w:cs="仿宋_GB2312"/>
          <w:sz w:val="32"/>
          <w:szCs w:val="32"/>
          <w:shd w:val="clear" w:fill="FFFFFF"/>
          <w:lang w:eastAsia="zh-CN"/>
        </w:rPr>
        <w:t>，决算数与预算数持平。</w:t>
      </w:r>
    </w:p>
    <w:p w14:paraId="25C1E38C">
      <w:pPr>
        <w:tabs>
          <w:tab w:val="right" w:pos="8306"/>
        </w:tabs>
        <w:spacing w:line="600" w:lineRule="exact"/>
        <w:ind w:firstLine="640"/>
        <w:outlineLvl w:val="1"/>
        <w:rPr>
          <w:rStyle w:val="31"/>
          <w:rFonts w:ascii="Times New Roman" w:hAnsi="Times New Roman"/>
        </w:rPr>
      </w:pPr>
      <w:bookmarkStart w:id="28" w:name="_Toc15396608"/>
      <w:bookmarkStart w:id="29" w:name="_Toc15377214"/>
      <w:r>
        <w:rPr>
          <w:rFonts w:hint="eastAsia" w:eastAsia="黑体"/>
          <w:sz w:val="32"/>
          <w:szCs w:val="32"/>
        </w:rPr>
        <w:t>六</w:t>
      </w:r>
      <w:r>
        <w:rPr>
          <w:rFonts w:hint="eastAsia" w:eastAsia="黑体"/>
          <w:b/>
          <w:sz w:val="32"/>
          <w:szCs w:val="32"/>
        </w:rPr>
        <w:t>、一</w:t>
      </w:r>
      <w:r>
        <w:rPr>
          <w:rStyle w:val="31"/>
          <w:rFonts w:hint="eastAsia" w:ascii="Times New Roman" w:hAnsi="Times New Roman" w:eastAsia="黑体"/>
          <w:b w:val="0"/>
        </w:rPr>
        <w:t>般公共预算财政拨款基本支出决算情况说明</w:t>
      </w:r>
      <w:bookmarkEnd w:id="28"/>
      <w:bookmarkEnd w:id="29"/>
      <w:r>
        <w:rPr>
          <w:rStyle w:val="31"/>
          <w:rFonts w:ascii="Times New Roman" w:hAnsi="Times New Roman" w:eastAsia="黑体"/>
          <w:b w:val="0"/>
        </w:rPr>
        <w:tab/>
      </w:r>
    </w:p>
    <w:p w14:paraId="038E7684">
      <w:pPr>
        <w:spacing w:line="600" w:lineRule="exact"/>
        <w:ind w:firstLine="640"/>
        <w:rPr>
          <w:rFonts w:eastAsia="仿宋_GB2312" w:cs="仿宋_GB2312"/>
          <w:sz w:val="32"/>
          <w:szCs w:val="32"/>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年度一般公共预算财政拨款基本支出</w:t>
      </w:r>
      <w:r>
        <w:rPr>
          <w:rFonts w:hint="eastAsia" w:ascii="仿宋_GB2312" w:hAnsi="仿宋_GB2312" w:eastAsia="仿宋_GB2312" w:cs="仿宋_GB2312"/>
          <w:sz w:val="32"/>
          <w:szCs w:val="32"/>
          <w:lang w:val="en-US" w:eastAsia="zh-CN"/>
        </w:rPr>
        <w:t>1373.96</w:t>
      </w:r>
      <w:r>
        <w:rPr>
          <w:rFonts w:hint="eastAsia" w:ascii="仿宋_GB2312" w:hAnsi="仿宋_GB2312" w:eastAsia="仿宋_GB2312" w:cs="仿宋_GB2312"/>
          <w:sz w:val="32"/>
          <w:szCs w:val="32"/>
        </w:rPr>
        <w:t>万</w:t>
      </w:r>
      <w:r>
        <w:rPr>
          <w:rFonts w:hint="eastAsia" w:eastAsia="仿宋_GB2312" w:cs="仿宋_GB2312"/>
          <w:sz w:val="32"/>
          <w:szCs w:val="32"/>
        </w:rPr>
        <w:t>元，其中：</w:t>
      </w:r>
    </w:p>
    <w:p w14:paraId="0DCC5B91">
      <w:pPr>
        <w:spacing w:line="600" w:lineRule="exact"/>
        <w:ind w:firstLine="640"/>
        <w:rPr>
          <w:rFonts w:eastAsia="仿宋_GB2312" w:cs="仿宋_GB2312"/>
          <w:sz w:val="32"/>
          <w:szCs w:val="32"/>
        </w:rPr>
      </w:pPr>
      <w:r>
        <w:rPr>
          <w:rFonts w:hint="eastAsia" w:eastAsia="仿宋_GB2312" w:cs="仿宋_GB2312"/>
          <w:sz w:val="32"/>
          <w:szCs w:val="32"/>
        </w:rPr>
        <w:t>人员经费</w:t>
      </w:r>
      <w:r>
        <w:rPr>
          <w:rFonts w:hint="eastAsia" w:ascii="仿宋_GB2312" w:hAnsi="仿宋_GB2312" w:eastAsia="仿宋_GB2312" w:cs="仿宋_GB2312"/>
          <w:sz w:val="32"/>
          <w:szCs w:val="32"/>
          <w:lang w:val="en-US" w:eastAsia="zh-CN"/>
        </w:rPr>
        <w:t>1197.93</w:t>
      </w:r>
      <w:r>
        <w:rPr>
          <w:rFonts w:hint="eastAsia" w:ascii="仿宋_GB2312" w:hAnsi="仿宋_GB2312" w:eastAsia="仿宋_GB2312" w:cs="仿宋_GB2312"/>
          <w:sz w:val="32"/>
          <w:szCs w:val="32"/>
        </w:rPr>
        <w:t>万</w:t>
      </w:r>
      <w:r>
        <w:rPr>
          <w:rFonts w:hint="eastAsia" w:eastAsia="仿宋_GB2312" w:cs="仿宋_GB2312"/>
          <w:sz w:val="32"/>
          <w:szCs w:val="32"/>
        </w:rPr>
        <w:t>元，主要包括：基本工资</w:t>
      </w:r>
      <w:r>
        <w:rPr>
          <w:rFonts w:hint="eastAsia" w:eastAsia="仿宋_GB2312" w:cs="仿宋_GB2312"/>
          <w:sz w:val="32"/>
          <w:szCs w:val="32"/>
          <w:lang w:val="en-US" w:eastAsia="zh-CN"/>
        </w:rPr>
        <w:t>375.48万元</w:t>
      </w:r>
      <w:r>
        <w:rPr>
          <w:rFonts w:hint="eastAsia" w:eastAsia="仿宋_GB2312" w:cs="仿宋_GB2312"/>
          <w:sz w:val="32"/>
          <w:szCs w:val="32"/>
        </w:rPr>
        <w:t>、津贴补贴</w:t>
      </w:r>
      <w:r>
        <w:rPr>
          <w:rFonts w:hint="eastAsia" w:eastAsia="仿宋_GB2312" w:cs="仿宋_GB2312"/>
          <w:sz w:val="32"/>
          <w:szCs w:val="32"/>
          <w:lang w:val="en-US" w:eastAsia="zh-CN"/>
        </w:rPr>
        <w:t>288.4万元</w:t>
      </w:r>
      <w:r>
        <w:rPr>
          <w:rFonts w:hint="eastAsia" w:eastAsia="仿宋_GB2312" w:cs="仿宋_GB2312"/>
          <w:sz w:val="32"/>
          <w:szCs w:val="32"/>
        </w:rPr>
        <w:t>、机关事业单位基本养老保险缴费</w:t>
      </w:r>
      <w:r>
        <w:rPr>
          <w:rFonts w:hint="eastAsia" w:eastAsia="仿宋_GB2312" w:cs="仿宋_GB2312"/>
          <w:sz w:val="32"/>
          <w:szCs w:val="32"/>
          <w:lang w:val="en-US" w:eastAsia="zh-CN"/>
        </w:rPr>
        <w:t>112.27万元</w:t>
      </w:r>
      <w:r>
        <w:rPr>
          <w:rFonts w:hint="eastAsia" w:eastAsia="仿宋_GB2312" w:cs="仿宋_GB2312"/>
          <w:sz w:val="32"/>
          <w:szCs w:val="32"/>
        </w:rPr>
        <w:t>、职业年金缴费</w:t>
      </w:r>
      <w:r>
        <w:rPr>
          <w:rFonts w:hint="eastAsia" w:eastAsia="仿宋_GB2312" w:cs="仿宋_GB2312"/>
          <w:sz w:val="32"/>
          <w:szCs w:val="32"/>
          <w:lang w:val="en-US" w:eastAsia="zh-CN"/>
        </w:rPr>
        <w:t>61.02万元</w:t>
      </w:r>
      <w:r>
        <w:rPr>
          <w:rFonts w:hint="eastAsia" w:eastAsia="仿宋_GB2312" w:cs="仿宋_GB2312"/>
          <w:sz w:val="32"/>
          <w:szCs w:val="32"/>
        </w:rPr>
        <w:t>、</w:t>
      </w:r>
      <w:r>
        <w:rPr>
          <w:rFonts w:hint="eastAsia" w:eastAsia="仿宋_GB2312" w:cs="仿宋_GB2312"/>
          <w:sz w:val="32"/>
          <w:szCs w:val="32"/>
          <w:lang w:eastAsia="zh-CN"/>
        </w:rPr>
        <w:t>职工医疗保险</w:t>
      </w:r>
      <w:r>
        <w:rPr>
          <w:rFonts w:hint="eastAsia" w:eastAsia="仿宋_GB2312" w:cs="仿宋_GB2312"/>
          <w:sz w:val="32"/>
          <w:szCs w:val="32"/>
          <w:lang w:val="en-US" w:eastAsia="zh-CN"/>
        </w:rPr>
        <w:t>70.56万元、</w:t>
      </w:r>
      <w:r>
        <w:rPr>
          <w:rFonts w:hint="eastAsia" w:eastAsia="仿宋_GB2312" w:cs="仿宋_GB2312"/>
          <w:sz w:val="32"/>
          <w:szCs w:val="32"/>
        </w:rPr>
        <w:t>其他社会保障缴费</w:t>
      </w:r>
      <w:r>
        <w:rPr>
          <w:rFonts w:hint="eastAsia" w:eastAsia="仿宋_GB2312" w:cs="仿宋_GB2312"/>
          <w:sz w:val="32"/>
          <w:szCs w:val="32"/>
          <w:lang w:val="en-US" w:eastAsia="zh-CN"/>
        </w:rPr>
        <w:t>1.91万元</w:t>
      </w:r>
      <w:r>
        <w:rPr>
          <w:rFonts w:hint="eastAsia" w:eastAsia="仿宋_GB2312" w:cs="仿宋_GB2312"/>
          <w:sz w:val="32"/>
          <w:szCs w:val="32"/>
        </w:rPr>
        <w:t>、其他工资福利支出</w:t>
      </w:r>
      <w:r>
        <w:rPr>
          <w:rFonts w:hint="eastAsia" w:eastAsia="仿宋_GB2312" w:cs="仿宋_GB2312"/>
          <w:sz w:val="32"/>
          <w:szCs w:val="32"/>
          <w:lang w:val="en-US" w:eastAsia="zh-CN"/>
        </w:rPr>
        <w:t>144万元</w:t>
      </w:r>
      <w:r>
        <w:rPr>
          <w:rFonts w:hint="eastAsia" w:eastAsia="仿宋_GB2312" w:cs="仿宋_GB2312"/>
          <w:sz w:val="32"/>
          <w:szCs w:val="32"/>
        </w:rPr>
        <w:t>、住房公积金</w:t>
      </w:r>
      <w:r>
        <w:rPr>
          <w:rFonts w:hint="eastAsia" w:eastAsia="仿宋_GB2312" w:cs="仿宋_GB2312"/>
          <w:sz w:val="32"/>
          <w:szCs w:val="32"/>
          <w:lang w:val="en-US" w:eastAsia="zh-CN"/>
        </w:rPr>
        <w:t>118.88万元、抚恤金23.87万元、生活补助0.05万元、退休费1.5万元</w:t>
      </w:r>
      <w:r>
        <w:rPr>
          <w:rFonts w:hint="eastAsia" w:eastAsia="仿宋_GB2312" w:cs="仿宋_GB2312"/>
          <w:sz w:val="32"/>
          <w:szCs w:val="32"/>
        </w:rPr>
        <w:t>等。</w:t>
      </w:r>
      <w:r>
        <w:rPr>
          <w:rFonts w:hint="eastAsia" w:eastAsia="仿宋_GB2312" w:cs="仿宋_GB2312"/>
          <w:sz w:val="32"/>
          <w:szCs w:val="32"/>
        </w:rPr>
        <w:br w:type="textWrapping"/>
      </w:r>
      <w:r>
        <w:rPr>
          <w:rFonts w:hint="eastAsia" w:eastAsia="仿宋_GB2312" w:cs="仿宋_GB2312"/>
          <w:sz w:val="32"/>
          <w:szCs w:val="32"/>
        </w:rPr>
        <w:t>　　公用经费</w:t>
      </w:r>
      <w:r>
        <w:rPr>
          <w:rFonts w:hint="eastAsia" w:eastAsia="仿宋_GB2312" w:cs="仿宋_GB2312"/>
          <w:sz w:val="32"/>
          <w:szCs w:val="32"/>
          <w:lang w:val="en-US" w:eastAsia="zh-CN"/>
        </w:rPr>
        <w:t>176.03</w:t>
      </w:r>
      <w:r>
        <w:rPr>
          <w:rFonts w:hint="eastAsia" w:ascii="仿宋_GB2312" w:hAnsi="仿宋_GB2312" w:eastAsia="仿宋_GB2312" w:cs="仿宋_GB2312"/>
          <w:sz w:val="32"/>
          <w:szCs w:val="32"/>
        </w:rPr>
        <w:t>万</w:t>
      </w:r>
      <w:r>
        <w:rPr>
          <w:rFonts w:hint="eastAsia" w:eastAsia="仿宋_GB2312" w:cs="仿宋_GB2312"/>
          <w:sz w:val="32"/>
          <w:szCs w:val="32"/>
        </w:rPr>
        <w:t>元，主要包括：办公费</w:t>
      </w:r>
      <w:r>
        <w:rPr>
          <w:rFonts w:hint="eastAsia" w:eastAsia="仿宋_GB2312" w:cs="仿宋_GB2312"/>
          <w:sz w:val="32"/>
          <w:szCs w:val="32"/>
          <w:lang w:val="en-US" w:eastAsia="zh-CN"/>
        </w:rPr>
        <w:t>95.1万元</w:t>
      </w:r>
      <w:r>
        <w:rPr>
          <w:rFonts w:hint="eastAsia" w:eastAsia="仿宋_GB2312" w:cs="仿宋_GB2312"/>
          <w:sz w:val="32"/>
          <w:szCs w:val="32"/>
        </w:rPr>
        <w:t>、水费</w:t>
      </w:r>
      <w:r>
        <w:rPr>
          <w:rFonts w:hint="eastAsia" w:eastAsia="仿宋_GB2312" w:cs="仿宋_GB2312"/>
          <w:sz w:val="32"/>
          <w:szCs w:val="32"/>
          <w:lang w:val="en-US" w:eastAsia="zh-CN"/>
        </w:rPr>
        <w:t>1.14万元、邮电费6.63万元、物业管理费2.81万元、</w:t>
      </w:r>
      <w:r>
        <w:rPr>
          <w:rFonts w:hint="eastAsia" w:eastAsia="仿宋_GB2312" w:cs="仿宋_GB2312"/>
          <w:sz w:val="32"/>
          <w:szCs w:val="32"/>
        </w:rPr>
        <w:t>差旅费</w:t>
      </w:r>
      <w:r>
        <w:rPr>
          <w:rFonts w:hint="eastAsia" w:eastAsia="仿宋_GB2312" w:cs="仿宋_GB2312"/>
          <w:sz w:val="32"/>
          <w:szCs w:val="32"/>
          <w:lang w:val="en-US" w:eastAsia="zh-CN"/>
        </w:rPr>
        <w:t>17.25万元</w:t>
      </w:r>
      <w:r>
        <w:rPr>
          <w:rFonts w:hint="eastAsia" w:eastAsia="仿宋_GB2312" w:cs="仿宋_GB2312"/>
          <w:sz w:val="32"/>
          <w:szCs w:val="32"/>
        </w:rPr>
        <w:t>、维修（护）费</w:t>
      </w:r>
      <w:r>
        <w:rPr>
          <w:rFonts w:hint="eastAsia" w:eastAsia="仿宋_GB2312" w:cs="仿宋_GB2312"/>
          <w:sz w:val="32"/>
          <w:szCs w:val="32"/>
          <w:lang w:val="en-US" w:eastAsia="zh-CN"/>
        </w:rPr>
        <w:t>3.11万元</w:t>
      </w:r>
      <w:r>
        <w:rPr>
          <w:rFonts w:hint="eastAsia" w:eastAsia="仿宋_GB2312" w:cs="仿宋_GB2312"/>
          <w:sz w:val="32"/>
          <w:szCs w:val="32"/>
        </w:rPr>
        <w:t>、培训费</w:t>
      </w:r>
      <w:r>
        <w:rPr>
          <w:rFonts w:hint="eastAsia" w:eastAsia="仿宋_GB2312" w:cs="仿宋_GB2312"/>
          <w:sz w:val="32"/>
          <w:szCs w:val="32"/>
          <w:lang w:val="en-US" w:eastAsia="zh-CN"/>
        </w:rPr>
        <w:t>1.98万元</w:t>
      </w:r>
      <w:r>
        <w:rPr>
          <w:rFonts w:hint="eastAsia" w:eastAsia="仿宋_GB2312" w:cs="仿宋_GB2312"/>
          <w:sz w:val="32"/>
          <w:szCs w:val="32"/>
        </w:rPr>
        <w:t>、公务接待费</w:t>
      </w:r>
      <w:r>
        <w:rPr>
          <w:rFonts w:hint="eastAsia" w:eastAsia="仿宋_GB2312" w:cs="仿宋_GB2312"/>
          <w:sz w:val="32"/>
          <w:szCs w:val="32"/>
          <w:lang w:val="en-US" w:eastAsia="zh-CN"/>
        </w:rPr>
        <w:t>1.18万元</w:t>
      </w:r>
      <w:r>
        <w:rPr>
          <w:rFonts w:hint="eastAsia" w:eastAsia="仿宋_GB2312" w:cs="仿宋_GB2312"/>
          <w:sz w:val="32"/>
          <w:szCs w:val="32"/>
        </w:rPr>
        <w:t>、工会经费</w:t>
      </w:r>
      <w:r>
        <w:rPr>
          <w:rFonts w:hint="eastAsia" w:eastAsia="仿宋_GB2312" w:cs="仿宋_GB2312"/>
          <w:sz w:val="32"/>
          <w:szCs w:val="32"/>
          <w:lang w:val="en-US" w:eastAsia="zh-CN"/>
        </w:rPr>
        <w:t>15.96万元</w:t>
      </w:r>
      <w:r>
        <w:rPr>
          <w:rFonts w:hint="eastAsia" w:eastAsia="仿宋_GB2312" w:cs="仿宋_GB2312"/>
          <w:sz w:val="32"/>
          <w:szCs w:val="32"/>
        </w:rPr>
        <w:t>、公务用车运行维护费</w:t>
      </w:r>
      <w:r>
        <w:rPr>
          <w:rFonts w:hint="eastAsia" w:eastAsia="仿宋_GB2312" w:cs="仿宋_GB2312"/>
          <w:sz w:val="32"/>
          <w:szCs w:val="32"/>
          <w:lang w:val="en-US" w:eastAsia="zh-CN"/>
        </w:rPr>
        <w:t>9.46万元、其他商品和服务支出21.4万元</w:t>
      </w:r>
      <w:r>
        <w:rPr>
          <w:rFonts w:hint="eastAsia" w:eastAsia="仿宋_GB2312" w:cs="仿宋_GB2312"/>
          <w:sz w:val="32"/>
          <w:szCs w:val="32"/>
        </w:rPr>
        <w:t>等。</w:t>
      </w:r>
    </w:p>
    <w:p w14:paraId="60EAACBC">
      <w:pPr>
        <w:spacing w:line="600" w:lineRule="exact"/>
        <w:ind w:firstLine="640"/>
        <w:outlineLvl w:val="1"/>
        <w:rPr>
          <w:rStyle w:val="31"/>
          <w:rFonts w:ascii="Times New Roman" w:hAnsi="Times New Roman" w:eastAsia="黑体"/>
          <w:b w:val="0"/>
        </w:rPr>
      </w:pPr>
      <w:bookmarkStart w:id="30" w:name="_Toc15396609"/>
      <w:bookmarkStart w:id="31" w:name="_Toc15377215"/>
      <w:r>
        <w:rPr>
          <w:rFonts w:hint="eastAsia" w:eastAsia="黑体"/>
          <w:sz w:val="32"/>
          <w:szCs w:val="32"/>
        </w:rPr>
        <w:t>七、</w:t>
      </w:r>
      <w:r>
        <w:rPr>
          <w:rStyle w:val="31"/>
          <w:rFonts w:hint="eastAsia" w:ascii="Times New Roman" w:hAnsi="Times New Roman" w:eastAsia="黑体"/>
          <w:b w:val="0"/>
        </w:rPr>
        <w:t>财政拨款</w:t>
      </w:r>
      <w:r>
        <w:rPr>
          <w:rStyle w:val="31"/>
          <w:rFonts w:hint="eastAsia" w:ascii="Times New Roman" w:hAnsi="Times New Roman" w:eastAsia="黑体"/>
        </w:rPr>
        <w:t>“</w:t>
      </w:r>
      <w:r>
        <w:rPr>
          <w:rStyle w:val="31"/>
          <w:rFonts w:hint="eastAsia" w:ascii="Times New Roman" w:hAnsi="Times New Roman" w:eastAsia="黑体"/>
          <w:b w:val="0"/>
        </w:rPr>
        <w:t>三公”经费支出决算情况说明</w:t>
      </w:r>
      <w:bookmarkEnd w:id="30"/>
      <w:bookmarkEnd w:id="31"/>
    </w:p>
    <w:p w14:paraId="05DB5FF0">
      <w:pPr>
        <w:spacing w:line="600" w:lineRule="exact"/>
        <w:ind w:firstLine="643" w:firstLineChars="200"/>
        <w:outlineLvl w:val="2"/>
        <w:rPr>
          <w:rFonts w:eastAsia="楷体_GB2312" w:cs="楷体_GB2312"/>
          <w:b/>
          <w:sz w:val="32"/>
          <w:szCs w:val="32"/>
        </w:rPr>
      </w:pPr>
      <w:bookmarkStart w:id="32" w:name="_Toc15377216"/>
      <w:r>
        <w:rPr>
          <w:rFonts w:hint="eastAsia" w:eastAsia="楷体_GB2312" w:cs="楷体_GB2312"/>
          <w:b/>
          <w:sz w:val="32"/>
          <w:szCs w:val="32"/>
        </w:rPr>
        <w:t>（一）“三公”经费财政拨款支出决算总体情况说明</w:t>
      </w:r>
      <w:bookmarkEnd w:id="32"/>
    </w:p>
    <w:p w14:paraId="748A1052">
      <w:pPr>
        <w:spacing w:line="600" w:lineRule="exact"/>
        <w:ind w:firstLine="640"/>
        <w:rPr>
          <w:rFonts w:hint="default" w:eastAsia="仿宋_GB2312" w:cs="仿宋_GB2312"/>
          <w:sz w:val="32"/>
          <w:szCs w:val="32"/>
          <w:lang w:val="en-US" w:eastAsia="zh-CN"/>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年度“三公”经费财政拨款支出决算为</w:t>
      </w:r>
      <w:r>
        <w:rPr>
          <w:rFonts w:hint="eastAsia" w:ascii="仿宋_GB2312" w:hAnsi="仿宋_GB2312" w:eastAsia="仿宋_GB2312" w:cs="仿宋_GB2312"/>
          <w:sz w:val="32"/>
          <w:szCs w:val="32"/>
          <w:lang w:val="en-US" w:eastAsia="zh-CN"/>
        </w:rPr>
        <w:t>35.56</w:t>
      </w:r>
      <w:r>
        <w:rPr>
          <w:rFonts w:hint="eastAsia" w:ascii="仿宋_GB2312" w:hAnsi="仿宋_GB2312" w:eastAsia="仿宋_GB2312" w:cs="仿宋_GB2312"/>
          <w:sz w:val="32"/>
          <w:szCs w:val="32"/>
        </w:rPr>
        <w:t>万元，完成预算</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w:t>
      </w:r>
      <w:r>
        <w:rPr>
          <w:rFonts w:hint="eastAsia" w:eastAsia="仿宋_GB2312" w:cs="仿宋_GB2312"/>
          <w:sz w:val="32"/>
          <w:szCs w:val="32"/>
        </w:rPr>
        <w:t>较上年度</w:t>
      </w:r>
      <w:r>
        <w:rPr>
          <w:rFonts w:hint="eastAsia" w:eastAsia="仿宋_GB2312" w:cs="仿宋_GB2312"/>
          <w:sz w:val="32"/>
          <w:szCs w:val="32"/>
          <w:lang w:eastAsia="zh-CN"/>
        </w:rPr>
        <w:t>减少</w:t>
      </w:r>
      <w:r>
        <w:rPr>
          <w:rFonts w:hint="eastAsia" w:eastAsia="仿宋_GB2312" w:cs="仿宋_GB2312"/>
          <w:sz w:val="32"/>
          <w:szCs w:val="32"/>
          <w:lang w:val="en-US" w:eastAsia="zh-CN"/>
        </w:rPr>
        <w:t>66.17</w:t>
      </w:r>
      <w:r>
        <w:rPr>
          <w:rFonts w:hint="eastAsia" w:eastAsia="仿宋_GB2312" w:cs="仿宋_GB2312"/>
          <w:sz w:val="32"/>
          <w:szCs w:val="32"/>
        </w:rPr>
        <w:t>万元，</w:t>
      </w:r>
      <w:r>
        <w:rPr>
          <w:rFonts w:hint="eastAsia" w:eastAsia="仿宋_GB2312" w:cs="仿宋_GB2312"/>
          <w:sz w:val="32"/>
          <w:szCs w:val="32"/>
          <w:lang w:eastAsia="zh-CN"/>
        </w:rPr>
        <w:t>减少</w:t>
      </w:r>
      <w:r>
        <w:rPr>
          <w:rFonts w:hint="eastAsia" w:eastAsia="仿宋_GB2312" w:cs="仿宋_GB2312"/>
          <w:sz w:val="32"/>
          <w:szCs w:val="32"/>
          <w:lang w:val="en-US" w:eastAsia="zh-CN"/>
        </w:rPr>
        <w:t>65.04</w:t>
      </w:r>
      <w:r>
        <w:rPr>
          <w:rFonts w:hint="eastAsia" w:eastAsia="仿宋_GB2312" w:cs="仿宋_GB2312"/>
          <w:sz w:val="32"/>
          <w:szCs w:val="32"/>
        </w:rPr>
        <w:t>%。</w:t>
      </w:r>
    </w:p>
    <w:p w14:paraId="2967C97C">
      <w:pPr>
        <w:spacing w:line="600" w:lineRule="exact"/>
        <w:ind w:firstLine="643" w:firstLineChars="200"/>
        <w:outlineLvl w:val="2"/>
        <w:rPr>
          <w:rFonts w:eastAsia="楷体_GB2312" w:cs="楷体_GB2312"/>
          <w:b/>
          <w:sz w:val="32"/>
          <w:szCs w:val="32"/>
        </w:rPr>
      </w:pPr>
      <w:bookmarkStart w:id="33" w:name="_Toc15377217"/>
      <w:r>
        <w:rPr>
          <w:rFonts w:hint="eastAsia" w:eastAsia="楷体_GB2312" w:cs="楷体_GB2312"/>
          <w:b/>
          <w:sz w:val="32"/>
          <w:szCs w:val="32"/>
        </w:rPr>
        <w:t>（二）“三公”经费财政拨款支出决算具体情况说明</w:t>
      </w:r>
      <w:bookmarkEnd w:id="33"/>
    </w:p>
    <w:p w14:paraId="683019F9">
      <w:pPr>
        <w:spacing w:line="600" w:lineRule="exact"/>
        <w:ind w:firstLine="640"/>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年度“三公”经费财政拨款支出决算中，因公出国（境）费支出决算</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万元；公务用车购置及运行维护费支出决算</w:t>
      </w:r>
      <w:r>
        <w:rPr>
          <w:rFonts w:hint="eastAsia" w:ascii="仿宋_GB2312" w:hAnsi="仿宋_GB2312" w:eastAsia="仿宋_GB2312" w:cs="仿宋_GB2312"/>
          <w:sz w:val="32"/>
          <w:szCs w:val="32"/>
          <w:lang w:val="en-US" w:eastAsia="zh-CN"/>
        </w:rPr>
        <w:t>34.37</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96.6</w:t>
      </w:r>
      <w:r>
        <w:rPr>
          <w:rFonts w:hint="eastAsia" w:ascii="仿宋_GB2312" w:hAnsi="仿宋_GB2312" w:eastAsia="仿宋_GB2312" w:cs="仿宋_GB2312"/>
          <w:sz w:val="32"/>
          <w:szCs w:val="32"/>
        </w:rPr>
        <w:t>%；公务接待费支出决算</w:t>
      </w:r>
      <w:r>
        <w:rPr>
          <w:rFonts w:hint="eastAsia" w:ascii="仿宋_GB2312" w:hAnsi="仿宋_GB2312" w:eastAsia="仿宋_GB2312" w:cs="仿宋_GB2312"/>
          <w:sz w:val="32"/>
          <w:szCs w:val="32"/>
          <w:lang w:val="en-US" w:eastAsia="zh-CN"/>
        </w:rPr>
        <w:t>1.18</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3.4</w:t>
      </w:r>
      <w:r>
        <w:rPr>
          <w:rFonts w:hint="eastAsia" w:ascii="仿宋_GB2312" w:hAnsi="仿宋_GB2312" w:eastAsia="仿宋_GB2312" w:cs="仿宋_GB2312"/>
          <w:sz w:val="32"/>
          <w:szCs w:val="32"/>
        </w:rPr>
        <w:t>%。具体情况如下：</w:t>
      </w:r>
    </w:p>
    <w:p w14:paraId="767A37BE">
      <w:pPr>
        <w:spacing w:line="600" w:lineRule="exact"/>
        <w:ind w:firstLine="640"/>
        <w:rPr>
          <w:rFonts w:hint="eastAsia" w:eastAsia="仿宋_GB2312" w:cs="仿宋_GB2312"/>
          <w:sz w:val="32"/>
          <w:szCs w:val="32"/>
          <w:lang w:eastAsia="zh-CN"/>
        </w:rPr>
      </w:pPr>
      <w:r>
        <w:rPr>
          <w:rFonts w:hint="eastAsia" w:eastAsia="仿宋_GB2312" w:cs="仿宋_GB2312"/>
          <w:b/>
          <w:bCs/>
          <w:sz w:val="32"/>
          <w:szCs w:val="32"/>
        </w:rPr>
        <w:t>1.因公出国（境）经费支出</w:t>
      </w:r>
      <w:r>
        <w:rPr>
          <w:rFonts w:hint="eastAsia" w:eastAsia="仿宋_GB2312" w:cs="仿宋_GB2312"/>
          <w:b/>
          <w:bCs/>
          <w:sz w:val="32"/>
          <w:szCs w:val="32"/>
          <w:lang w:val="en-US" w:eastAsia="zh-CN"/>
        </w:rPr>
        <w:t>0</w:t>
      </w:r>
      <w:r>
        <w:rPr>
          <w:rFonts w:hint="eastAsia" w:eastAsia="仿宋_GB2312" w:cs="仿宋_GB2312"/>
          <w:b/>
          <w:bCs/>
          <w:sz w:val="32"/>
          <w:szCs w:val="32"/>
        </w:rPr>
        <w:t>万元</w:t>
      </w:r>
      <w:r>
        <w:rPr>
          <w:rFonts w:hint="eastAsia" w:eastAsia="仿宋_GB2312" w:cs="仿宋_GB2312"/>
          <w:b/>
          <w:bCs/>
          <w:sz w:val="32"/>
          <w:szCs w:val="32"/>
          <w:lang w:eastAsia="zh-CN"/>
        </w:rPr>
        <w:t>。</w:t>
      </w:r>
    </w:p>
    <w:p w14:paraId="57829F2A">
      <w:pPr>
        <w:spacing w:line="600" w:lineRule="exact"/>
        <w:ind w:firstLine="640"/>
        <w:rPr>
          <w:rFonts w:hint="default" w:eastAsia="仿宋_GB2312" w:cs="仿宋_GB2312"/>
          <w:sz w:val="32"/>
          <w:szCs w:val="32"/>
          <w:lang w:val="en-US" w:eastAsia="zh-CN"/>
        </w:rPr>
      </w:pPr>
      <w:r>
        <w:rPr>
          <w:rFonts w:hint="eastAsia" w:eastAsia="仿宋_GB2312" w:cs="仿宋_GB2312"/>
          <w:b/>
          <w:bCs/>
          <w:sz w:val="32"/>
          <w:szCs w:val="32"/>
        </w:rPr>
        <w:t>2.公务用车购置及运行维护费支出</w:t>
      </w:r>
      <w:r>
        <w:rPr>
          <w:rFonts w:hint="eastAsia" w:ascii="仿宋_GB2312" w:hAnsi="仿宋_GB2312" w:eastAsia="仿宋_GB2312" w:cs="仿宋_GB2312"/>
          <w:b/>
          <w:bCs/>
          <w:sz w:val="32"/>
          <w:szCs w:val="32"/>
          <w:lang w:val="en-US" w:eastAsia="zh-CN"/>
        </w:rPr>
        <w:t>34.37</w:t>
      </w:r>
      <w:r>
        <w:rPr>
          <w:rFonts w:hint="eastAsia" w:ascii="仿宋_GB2312" w:hAnsi="仿宋_GB2312" w:eastAsia="仿宋_GB2312" w:cs="仿宋_GB2312"/>
          <w:b/>
          <w:bCs/>
          <w:sz w:val="32"/>
          <w:szCs w:val="32"/>
        </w:rPr>
        <w:t>万</w:t>
      </w:r>
      <w:r>
        <w:rPr>
          <w:rFonts w:hint="eastAsia" w:eastAsia="仿宋_GB2312" w:cs="仿宋_GB2312"/>
          <w:b/>
          <w:bCs/>
          <w:sz w:val="32"/>
          <w:szCs w:val="32"/>
        </w:rPr>
        <w:t>元，完成预算</w:t>
      </w:r>
      <w:r>
        <w:rPr>
          <w:rFonts w:hint="eastAsia" w:eastAsia="仿宋_GB2312" w:cs="仿宋_GB2312"/>
          <w:b/>
          <w:bCs/>
          <w:sz w:val="32"/>
          <w:szCs w:val="32"/>
          <w:lang w:val="en-US" w:eastAsia="zh-CN"/>
        </w:rPr>
        <w:t>100</w:t>
      </w:r>
      <w:r>
        <w:rPr>
          <w:rFonts w:hint="eastAsia" w:eastAsia="仿宋_GB2312" w:cs="仿宋_GB2312"/>
          <w:b/>
          <w:bCs/>
          <w:sz w:val="32"/>
          <w:szCs w:val="32"/>
        </w:rPr>
        <w:t>%。</w:t>
      </w:r>
      <w:r>
        <w:rPr>
          <w:rFonts w:hint="eastAsia" w:eastAsia="仿宋_GB2312" w:cs="仿宋_GB2312"/>
          <w:sz w:val="32"/>
          <w:szCs w:val="32"/>
        </w:rPr>
        <w:t>公务用车购置及运行维护费支出决算比202</w:t>
      </w:r>
      <w:r>
        <w:rPr>
          <w:rFonts w:hint="eastAsia" w:eastAsia="仿宋_GB2312" w:cs="仿宋_GB2312"/>
          <w:sz w:val="32"/>
          <w:szCs w:val="32"/>
          <w:lang w:val="en-US" w:eastAsia="zh-CN"/>
        </w:rPr>
        <w:t>4</w:t>
      </w:r>
      <w:r>
        <w:rPr>
          <w:rFonts w:hint="eastAsia" w:eastAsia="仿宋_GB2312" w:cs="仿宋_GB2312"/>
          <w:sz w:val="32"/>
          <w:szCs w:val="32"/>
        </w:rPr>
        <w:t>年度</w:t>
      </w:r>
      <w:r>
        <w:rPr>
          <w:rFonts w:hint="eastAsia" w:eastAsia="仿宋_GB2312" w:cs="仿宋_GB2312"/>
          <w:sz w:val="32"/>
          <w:szCs w:val="32"/>
          <w:lang w:eastAsia="zh-CN"/>
        </w:rPr>
        <w:t>减少</w:t>
      </w:r>
      <w:r>
        <w:rPr>
          <w:rFonts w:hint="eastAsia" w:eastAsia="仿宋_GB2312" w:cs="仿宋_GB2312"/>
          <w:sz w:val="32"/>
          <w:szCs w:val="32"/>
          <w:lang w:val="en-US" w:eastAsia="zh-CN"/>
        </w:rPr>
        <w:t>65.95</w:t>
      </w:r>
      <w:r>
        <w:rPr>
          <w:rFonts w:hint="eastAsia" w:eastAsia="仿宋_GB2312" w:cs="仿宋_GB2312"/>
          <w:sz w:val="32"/>
          <w:szCs w:val="32"/>
        </w:rPr>
        <w:t>万元，</w:t>
      </w:r>
      <w:r>
        <w:rPr>
          <w:rFonts w:hint="eastAsia" w:eastAsia="仿宋_GB2312" w:cs="仿宋_GB2312"/>
          <w:sz w:val="32"/>
          <w:szCs w:val="32"/>
          <w:lang w:eastAsia="zh-CN"/>
        </w:rPr>
        <w:t>减少</w:t>
      </w:r>
      <w:r>
        <w:rPr>
          <w:rFonts w:hint="eastAsia" w:eastAsia="仿宋_GB2312" w:cs="仿宋_GB2312"/>
          <w:sz w:val="32"/>
          <w:szCs w:val="32"/>
          <w:lang w:val="en-US" w:eastAsia="zh-CN"/>
        </w:rPr>
        <w:t>65.7</w:t>
      </w:r>
      <w:r>
        <w:rPr>
          <w:rFonts w:hint="eastAsia" w:eastAsia="仿宋_GB2312" w:cs="仿宋_GB2312"/>
          <w:sz w:val="32"/>
          <w:szCs w:val="32"/>
        </w:rPr>
        <w:t>%。主要原因是</w:t>
      </w:r>
      <w:r>
        <w:rPr>
          <w:rFonts w:hint="eastAsia" w:eastAsia="仿宋_GB2312" w:cs="仿宋_GB2312"/>
          <w:sz w:val="32"/>
          <w:szCs w:val="32"/>
          <w:lang w:val="en-US" w:eastAsia="zh-CN"/>
        </w:rPr>
        <w:t>2024年购买公务用车4辆，2025年购买公务用车1辆。</w:t>
      </w:r>
    </w:p>
    <w:p w14:paraId="35862BDB">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其中：公务用车购置支</w:t>
      </w:r>
      <w:r>
        <w:rPr>
          <w:rFonts w:hint="eastAsia" w:ascii="仿宋_GB2312" w:hAnsi="仿宋_GB2312" w:eastAsia="仿宋_GB2312" w:cs="仿宋_GB2312"/>
          <w:sz w:val="32"/>
          <w:szCs w:val="32"/>
        </w:rPr>
        <w:t>出</w:t>
      </w:r>
      <w:r>
        <w:rPr>
          <w:rFonts w:hint="eastAsia" w:ascii="仿宋_GB2312" w:hAnsi="仿宋_GB2312" w:eastAsia="仿宋_GB2312" w:cs="仿宋_GB2312"/>
          <w:sz w:val="32"/>
          <w:szCs w:val="32"/>
          <w:lang w:val="en-US" w:eastAsia="zh-CN"/>
        </w:rPr>
        <w:t>24.91</w:t>
      </w:r>
      <w:r>
        <w:rPr>
          <w:rFonts w:hint="eastAsia" w:eastAsia="仿宋_GB2312" w:cs="仿宋_GB2312"/>
          <w:sz w:val="32"/>
          <w:szCs w:val="32"/>
        </w:rPr>
        <w:t>万元。全年按规定更新购置公务用车</w:t>
      </w:r>
      <w:r>
        <w:rPr>
          <w:rFonts w:hint="eastAsia" w:eastAsia="仿宋_GB2312" w:cs="仿宋_GB2312"/>
          <w:sz w:val="32"/>
          <w:szCs w:val="32"/>
          <w:lang w:val="en-US" w:eastAsia="zh-CN"/>
        </w:rPr>
        <w:t>1</w:t>
      </w:r>
      <w:r>
        <w:rPr>
          <w:rFonts w:hint="eastAsia" w:eastAsia="仿宋_GB2312" w:cs="仿宋_GB2312"/>
          <w:sz w:val="32"/>
          <w:szCs w:val="32"/>
        </w:rPr>
        <w:t>辆，其中：</w:t>
      </w:r>
      <w:r>
        <w:rPr>
          <w:rFonts w:hint="eastAsia" w:eastAsia="仿宋_GB2312" w:cs="仿宋_GB2312"/>
          <w:sz w:val="32"/>
          <w:szCs w:val="32"/>
          <w:lang w:eastAsia="zh-CN"/>
        </w:rPr>
        <w:t>囚</w:t>
      </w:r>
      <w:r>
        <w:rPr>
          <w:rFonts w:hint="eastAsia" w:eastAsia="仿宋_GB2312" w:cs="仿宋_GB2312"/>
          <w:sz w:val="32"/>
          <w:szCs w:val="32"/>
        </w:rPr>
        <w:t>车</w:t>
      </w:r>
      <w:r>
        <w:rPr>
          <w:rFonts w:hint="eastAsia" w:eastAsia="仿宋_GB2312" w:cs="仿宋_GB2312"/>
          <w:sz w:val="32"/>
          <w:szCs w:val="32"/>
          <w:lang w:val="en-US" w:eastAsia="zh-CN"/>
        </w:rPr>
        <w:t>1</w:t>
      </w:r>
      <w:r>
        <w:rPr>
          <w:rFonts w:hint="eastAsia" w:eastAsia="仿宋_GB2312" w:cs="仿宋_GB2312"/>
          <w:sz w:val="32"/>
          <w:szCs w:val="32"/>
        </w:rPr>
        <w:t>辆、金额</w:t>
      </w:r>
      <w:r>
        <w:rPr>
          <w:rFonts w:hint="eastAsia" w:eastAsia="仿宋_GB2312" w:cs="仿宋_GB2312"/>
          <w:sz w:val="32"/>
          <w:szCs w:val="32"/>
          <w:lang w:val="en-US" w:eastAsia="zh-CN"/>
        </w:rPr>
        <w:t>24.91</w:t>
      </w:r>
      <w:r>
        <w:rPr>
          <w:rFonts w:hint="eastAsia" w:eastAsia="仿宋_GB2312" w:cs="仿宋_GB2312"/>
          <w:sz w:val="32"/>
          <w:szCs w:val="32"/>
        </w:rPr>
        <w:t>万元，主要用于</w:t>
      </w:r>
      <w:r>
        <w:rPr>
          <w:rFonts w:hint="eastAsia" w:eastAsia="仿宋_GB2312" w:cs="仿宋_GB2312"/>
          <w:sz w:val="32"/>
          <w:szCs w:val="32"/>
          <w:lang w:eastAsia="zh-CN"/>
        </w:rPr>
        <w:t>执法办案</w:t>
      </w:r>
      <w:r>
        <w:rPr>
          <w:rFonts w:hint="eastAsia" w:eastAsia="仿宋_GB2312" w:cs="仿宋_GB2312"/>
          <w:sz w:val="32"/>
          <w:szCs w:val="32"/>
        </w:rPr>
        <w:t>。截至202</w:t>
      </w:r>
      <w:r>
        <w:rPr>
          <w:rFonts w:hint="eastAsia" w:eastAsia="仿宋_GB2312" w:cs="仿宋_GB2312"/>
          <w:sz w:val="32"/>
          <w:szCs w:val="32"/>
          <w:lang w:val="en-US" w:eastAsia="zh-CN"/>
        </w:rPr>
        <w:t>5</w:t>
      </w:r>
      <w:r>
        <w:rPr>
          <w:rFonts w:hint="eastAsia" w:eastAsia="仿宋_GB2312" w:cs="仿宋_GB2312"/>
          <w:sz w:val="32"/>
          <w:szCs w:val="32"/>
        </w:rPr>
        <w:t>年12月31日，单位共有公务用车</w:t>
      </w:r>
      <w:r>
        <w:rPr>
          <w:rFonts w:hint="eastAsia" w:eastAsia="仿宋_GB2312" w:cs="仿宋_GB2312"/>
          <w:sz w:val="32"/>
          <w:szCs w:val="32"/>
          <w:lang w:val="en-US" w:eastAsia="zh-CN"/>
        </w:rPr>
        <w:t>16</w:t>
      </w:r>
      <w:r>
        <w:rPr>
          <w:rFonts w:hint="eastAsia" w:eastAsia="仿宋_GB2312" w:cs="仿宋_GB2312"/>
          <w:sz w:val="32"/>
          <w:szCs w:val="32"/>
        </w:rPr>
        <w:t>辆，其中：轿车</w:t>
      </w:r>
      <w:r>
        <w:rPr>
          <w:rFonts w:hint="eastAsia" w:eastAsia="仿宋_GB2312" w:cs="仿宋_GB2312"/>
          <w:sz w:val="32"/>
          <w:szCs w:val="32"/>
          <w:lang w:val="en-US" w:eastAsia="zh-CN"/>
        </w:rPr>
        <w:t>7</w:t>
      </w:r>
      <w:r>
        <w:rPr>
          <w:rFonts w:hint="eastAsia" w:eastAsia="仿宋_GB2312" w:cs="仿宋_GB2312"/>
          <w:sz w:val="32"/>
          <w:szCs w:val="32"/>
        </w:rPr>
        <w:t>辆、越野车</w:t>
      </w:r>
      <w:r>
        <w:rPr>
          <w:rFonts w:hint="eastAsia" w:eastAsia="仿宋_GB2312" w:cs="仿宋_GB2312"/>
          <w:sz w:val="32"/>
          <w:szCs w:val="32"/>
          <w:lang w:val="en-US" w:eastAsia="zh-CN"/>
        </w:rPr>
        <w:t>8</w:t>
      </w:r>
      <w:r>
        <w:rPr>
          <w:rFonts w:hint="eastAsia" w:eastAsia="仿宋_GB2312" w:cs="仿宋_GB2312"/>
          <w:sz w:val="32"/>
          <w:szCs w:val="32"/>
        </w:rPr>
        <w:t>辆、载客汽车</w:t>
      </w:r>
      <w:r>
        <w:rPr>
          <w:rFonts w:hint="eastAsia" w:eastAsia="仿宋_GB2312" w:cs="仿宋_GB2312"/>
          <w:sz w:val="32"/>
          <w:szCs w:val="32"/>
          <w:lang w:val="en-US" w:eastAsia="zh-CN"/>
        </w:rPr>
        <w:t>1</w:t>
      </w:r>
      <w:r>
        <w:rPr>
          <w:rFonts w:hint="eastAsia" w:eastAsia="仿宋_GB2312" w:cs="仿宋_GB2312"/>
          <w:sz w:val="32"/>
          <w:szCs w:val="32"/>
        </w:rPr>
        <w:t>辆</w:t>
      </w:r>
      <w:r>
        <w:rPr>
          <w:rFonts w:hint="eastAsia" w:eastAsia="仿宋_GB2312" w:cs="仿宋_GB2312"/>
          <w:sz w:val="32"/>
          <w:szCs w:val="32"/>
          <w:lang w:eastAsia="zh-CN"/>
        </w:rPr>
        <w:t>。</w:t>
      </w:r>
    </w:p>
    <w:p w14:paraId="344C435A">
      <w:pPr>
        <w:spacing w:line="600" w:lineRule="exact"/>
        <w:ind w:firstLine="640"/>
        <w:rPr>
          <w:rFonts w:eastAsia="仿宋_GB2312" w:cs="仿宋_GB2312"/>
          <w:sz w:val="32"/>
          <w:szCs w:val="32"/>
        </w:rPr>
      </w:pPr>
      <w:r>
        <w:rPr>
          <w:rFonts w:hint="eastAsia" w:eastAsia="仿宋_GB2312" w:cs="仿宋_GB2312"/>
          <w:sz w:val="32"/>
          <w:szCs w:val="32"/>
        </w:rPr>
        <w:t>公务用车运行维护费支</w:t>
      </w:r>
      <w:r>
        <w:rPr>
          <w:rFonts w:hint="eastAsia" w:ascii="仿宋_GB2312" w:hAnsi="仿宋_GB2312" w:eastAsia="仿宋_GB2312" w:cs="仿宋_GB2312"/>
          <w:sz w:val="32"/>
          <w:szCs w:val="32"/>
        </w:rPr>
        <w:t>出</w:t>
      </w:r>
      <w:r>
        <w:rPr>
          <w:rFonts w:hint="eastAsia" w:ascii="仿宋_GB2312" w:hAnsi="仿宋_GB2312" w:eastAsia="仿宋_GB2312" w:cs="仿宋_GB2312"/>
          <w:sz w:val="32"/>
          <w:szCs w:val="32"/>
          <w:lang w:val="en-US" w:eastAsia="zh-CN"/>
        </w:rPr>
        <w:t>9.46</w:t>
      </w:r>
      <w:r>
        <w:rPr>
          <w:rFonts w:hint="eastAsia" w:eastAsia="仿宋_GB2312" w:cs="仿宋_GB2312"/>
          <w:sz w:val="32"/>
          <w:szCs w:val="32"/>
        </w:rPr>
        <w:t>万元。主要用于</w:t>
      </w:r>
      <w:r>
        <w:rPr>
          <w:rFonts w:hint="eastAsia" w:eastAsia="仿宋_GB2312" w:cs="仿宋_GB2312"/>
          <w:sz w:val="32"/>
          <w:szCs w:val="32"/>
          <w:lang w:eastAsia="zh-CN"/>
        </w:rPr>
        <w:t>执法办案</w:t>
      </w:r>
      <w:r>
        <w:rPr>
          <w:rFonts w:hint="eastAsia" w:eastAsia="仿宋_GB2312" w:cs="仿宋_GB2312"/>
          <w:sz w:val="32"/>
          <w:szCs w:val="32"/>
        </w:rPr>
        <w:t>所需的公务用车燃料费、维修费、过路过桥费、保险费等支出。</w:t>
      </w:r>
    </w:p>
    <w:p w14:paraId="34CDEC02">
      <w:pPr>
        <w:spacing w:line="600" w:lineRule="exact"/>
        <w:ind w:firstLine="640"/>
        <w:rPr>
          <w:rFonts w:eastAsia="仿宋_GB2312" w:cs="仿宋_GB2312"/>
          <w:sz w:val="32"/>
          <w:szCs w:val="32"/>
        </w:rPr>
      </w:pPr>
      <w:r>
        <w:rPr>
          <w:rFonts w:hint="eastAsia" w:eastAsia="仿宋_GB2312" w:cs="仿宋_GB2312"/>
          <w:b/>
          <w:bCs/>
          <w:sz w:val="32"/>
          <w:szCs w:val="32"/>
        </w:rPr>
        <w:t>3.公务接待费支出</w:t>
      </w:r>
      <w:r>
        <w:rPr>
          <w:rFonts w:hint="eastAsia" w:ascii="仿宋_GB2312" w:hAnsi="仿宋_GB2312" w:eastAsia="仿宋_GB2312" w:cs="仿宋_GB2312"/>
          <w:b/>
          <w:bCs/>
          <w:sz w:val="32"/>
          <w:szCs w:val="32"/>
          <w:lang w:val="en-US" w:eastAsia="zh-CN"/>
        </w:rPr>
        <w:t>1.18</w:t>
      </w:r>
      <w:r>
        <w:rPr>
          <w:rFonts w:hint="eastAsia" w:ascii="仿宋_GB2312" w:hAnsi="仿宋_GB2312" w:eastAsia="仿宋_GB2312" w:cs="仿宋_GB2312"/>
          <w:b/>
          <w:bCs/>
          <w:sz w:val="32"/>
          <w:szCs w:val="32"/>
        </w:rPr>
        <w:t>万</w:t>
      </w:r>
      <w:r>
        <w:rPr>
          <w:rFonts w:hint="eastAsia" w:eastAsia="仿宋_GB2312" w:cs="仿宋_GB2312"/>
          <w:b/>
          <w:bCs/>
          <w:sz w:val="32"/>
          <w:szCs w:val="32"/>
        </w:rPr>
        <w:t>元，完成预算</w:t>
      </w:r>
      <w:r>
        <w:rPr>
          <w:rFonts w:hint="eastAsia" w:eastAsia="仿宋_GB2312" w:cs="仿宋_GB2312"/>
          <w:b/>
          <w:bCs/>
          <w:sz w:val="32"/>
          <w:szCs w:val="32"/>
          <w:lang w:val="en-US" w:eastAsia="zh-CN"/>
        </w:rPr>
        <w:t>100</w:t>
      </w:r>
      <w:r>
        <w:rPr>
          <w:rFonts w:hint="eastAsia" w:eastAsia="仿宋_GB2312" w:cs="仿宋_GB2312"/>
          <w:b/>
          <w:bCs/>
          <w:sz w:val="32"/>
          <w:szCs w:val="32"/>
        </w:rPr>
        <w:t>%。</w:t>
      </w:r>
      <w:r>
        <w:rPr>
          <w:rFonts w:hint="eastAsia" w:eastAsia="仿宋_GB2312" w:cs="仿宋_GB2312"/>
          <w:sz w:val="32"/>
          <w:szCs w:val="32"/>
        </w:rPr>
        <w:t>公务接待费支出决算比202</w:t>
      </w:r>
      <w:r>
        <w:rPr>
          <w:rFonts w:hint="eastAsia" w:eastAsia="仿宋_GB2312" w:cs="仿宋_GB2312"/>
          <w:sz w:val="32"/>
          <w:szCs w:val="32"/>
          <w:lang w:val="en-US" w:eastAsia="zh-CN"/>
        </w:rPr>
        <w:t>4</w:t>
      </w:r>
      <w:r>
        <w:rPr>
          <w:rFonts w:hint="eastAsia" w:eastAsia="仿宋_GB2312" w:cs="仿宋_GB2312"/>
          <w:sz w:val="32"/>
          <w:szCs w:val="32"/>
        </w:rPr>
        <w:t>年度减少</w:t>
      </w:r>
      <w:r>
        <w:rPr>
          <w:rFonts w:hint="eastAsia" w:eastAsia="仿宋_GB2312" w:cs="仿宋_GB2312"/>
          <w:sz w:val="32"/>
          <w:szCs w:val="32"/>
          <w:lang w:val="en-US" w:eastAsia="zh-CN"/>
        </w:rPr>
        <w:t>0.23</w:t>
      </w:r>
      <w:r>
        <w:rPr>
          <w:rFonts w:hint="eastAsia" w:eastAsia="仿宋_GB2312" w:cs="仿宋_GB2312"/>
          <w:sz w:val="32"/>
          <w:szCs w:val="32"/>
        </w:rPr>
        <w:t>万元，下降</w:t>
      </w:r>
      <w:r>
        <w:rPr>
          <w:rFonts w:hint="eastAsia" w:eastAsia="仿宋_GB2312" w:cs="仿宋_GB2312"/>
          <w:sz w:val="32"/>
          <w:szCs w:val="32"/>
          <w:lang w:val="en-US" w:eastAsia="zh-CN"/>
        </w:rPr>
        <w:t>16.3</w:t>
      </w:r>
      <w:r>
        <w:rPr>
          <w:rFonts w:hint="eastAsia" w:eastAsia="仿宋_GB2312" w:cs="仿宋_GB2312"/>
          <w:sz w:val="32"/>
          <w:szCs w:val="32"/>
        </w:rPr>
        <w:t>%。主要原因是</w:t>
      </w:r>
      <w:r>
        <w:rPr>
          <w:rFonts w:hint="eastAsia" w:eastAsia="仿宋_GB2312" w:cs="仿宋_GB2312"/>
          <w:sz w:val="32"/>
          <w:szCs w:val="32"/>
          <w:lang w:eastAsia="zh-CN"/>
        </w:rPr>
        <w:t>严格落实中央八项规定精神，减少公务接待</w:t>
      </w:r>
      <w:r>
        <w:rPr>
          <w:rFonts w:hint="eastAsia" w:eastAsia="仿宋_GB2312" w:cs="仿宋_GB2312"/>
          <w:sz w:val="32"/>
          <w:szCs w:val="32"/>
        </w:rPr>
        <w:t>。其中：</w:t>
      </w:r>
    </w:p>
    <w:p w14:paraId="038D9A45">
      <w:pPr>
        <w:spacing w:line="600" w:lineRule="exact"/>
        <w:ind w:firstLine="640"/>
        <w:rPr>
          <w:rFonts w:hint="eastAsia" w:eastAsia="仿宋_GB2312" w:cs="仿宋_GB2312"/>
          <w:sz w:val="32"/>
          <w:szCs w:val="32"/>
        </w:rPr>
      </w:pPr>
      <w:r>
        <w:rPr>
          <w:rFonts w:hint="eastAsia" w:eastAsia="仿宋_GB2312" w:cs="仿宋_GB2312"/>
          <w:sz w:val="32"/>
          <w:szCs w:val="32"/>
        </w:rPr>
        <w:t>国内公务接待支</w:t>
      </w:r>
      <w:r>
        <w:rPr>
          <w:rFonts w:hint="eastAsia" w:ascii="仿宋_GB2312" w:hAnsi="仿宋_GB2312" w:eastAsia="仿宋_GB2312" w:cs="仿宋_GB2312"/>
          <w:sz w:val="32"/>
          <w:szCs w:val="32"/>
        </w:rPr>
        <w:t>出</w:t>
      </w:r>
      <w:r>
        <w:rPr>
          <w:rFonts w:hint="eastAsia" w:ascii="仿宋_GB2312" w:hAnsi="仿宋_GB2312" w:eastAsia="仿宋_GB2312" w:cs="仿宋_GB2312"/>
          <w:sz w:val="32"/>
          <w:szCs w:val="32"/>
          <w:lang w:val="en-US" w:eastAsia="zh-CN"/>
        </w:rPr>
        <w:t>1.18</w:t>
      </w:r>
      <w:r>
        <w:rPr>
          <w:rFonts w:hint="eastAsia" w:ascii="仿宋_GB2312" w:hAnsi="仿宋_GB2312" w:eastAsia="仿宋_GB2312" w:cs="仿宋_GB2312"/>
          <w:sz w:val="32"/>
          <w:szCs w:val="32"/>
        </w:rPr>
        <w:t>万</w:t>
      </w:r>
      <w:r>
        <w:rPr>
          <w:rFonts w:hint="eastAsia" w:eastAsia="仿宋_GB2312" w:cs="仿宋_GB2312"/>
          <w:sz w:val="32"/>
          <w:szCs w:val="32"/>
        </w:rPr>
        <w:t>元，主要用于</w:t>
      </w:r>
      <w:r>
        <w:rPr>
          <w:rFonts w:hint="eastAsia" w:eastAsia="仿宋_GB2312" w:cs="仿宋_GB2312"/>
          <w:sz w:val="32"/>
          <w:szCs w:val="32"/>
          <w:lang w:eastAsia="zh-CN"/>
        </w:rPr>
        <w:t>上级调研、执法办案等产生</w:t>
      </w:r>
      <w:r>
        <w:rPr>
          <w:rFonts w:hint="eastAsia" w:eastAsia="仿宋_GB2312" w:cs="仿宋_GB2312"/>
          <w:sz w:val="32"/>
          <w:szCs w:val="32"/>
        </w:rPr>
        <w:t>的交通费、住宿费、用餐费等。国内公务接</w:t>
      </w:r>
      <w:r>
        <w:rPr>
          <w:rFonts w:hint="eastAsia" w:ascii="仿宋_GB2312" w:hAnsi="仿宋_GB2312" w:eastAsia="仿宋_GB2312" w:cs="仿宋_GB2312"/>
          <w:sz w:val="32"/>
          <w:szCs w:val="32"/>
        </w:rPr>
        <w:t>待</w:t>
      </w:r>
      <w:r>
        <w:rPr>
          <w:rFonts w:hint="eastAsia" w:ascii="仿宋_GB2312" w:hAnsi="仿宋_GB2312" w:eastAsia="仿宋_GB2312" w:cs="仿宋_GB2312"/>
          <w:sz w:val="32"/>
          <w:szCs w:val="32"/>
          <w:lang w:val="en-US" w:eastAsia="zh-CN"/>
        </w:rPr>
        <w:t>13</w:t>
      </w:r>
      <w:r>
        <w:rPr>
          <w:rFonts w:hint="eastAsia" w:ascii="仿宋_GB2312" w:hAnsi="仿宋_GB2312" w:eastAsia="仿宋_GB2312" w:cs="仿宋_GB2312"/>
          <w:sz w:val="32"/>
          <w:szCs w:val="32"/>
        </w:rPr>
        <w:t>批次，</w:t>
      </w:r>
      <w:r>
        <w:rPr>
          <w:rFonts w:hint="eastAsia" w:ascii="仿宋_GB2312" w:hAnsi="仿宋_GB2312" w:eastAsia="仿宋_GB2312" w:cs="仿宋_GB2312"/>
          <w:sz w:val="32"/>
          <w:szCs w:val="32"/>
          <w:lang w:val="en-US" w:eastAsia="zh-CN"/>
        </w:rPr>
        <w:t>70</w:t>
      </w:r>
      <w:r>
        <w:rPr>
          <w:rFonts w:hint="eastAsia" w:eastAsia="仿宋_GB2312" w:cs="仿宋_GB2312"/>
          <w:sz w:val="32"/>
          <w:szCs w:val="32"/>
        </w:rPr>
        <w:t>人次（不包括陪同人员），共计支出</w:t>
      </w:r>
      <w:r>
        <w:rPr>
          <w:rFonts w:hint="eastAsia" w:eastAsia="仿宋_GB2312" w:cs="仿宋_GB2312"/>
          <w:sz w:val="32"/>
          <w:szCs w:val="32"/>
          <w:lang w:val="en-US" w:eastAsia="zh-CN"/>
        </w:rPr>
        <w:t>1.18</w:t>
      </w:r>
      <w:r>
        <w:rPr>
          <w:rFonts w:hint="eastAsia" w:eastAsia="仿宋_GB2312" w:cs="仿宋_GB2312"/>
          <w:sz w:val="32"/>
          <w:szCs w:val="32"/>
        </w:rPr>
        <w:t>万元，具体内容包括：</w:t>
      </w:r>
      <w:r>
        <w:rPr>
          <w:rFonts w:hint="eastAsia" w:eastAsia="仿宋_GB2312" w:cs="仿宋_GB2312"/>
          <w:sz w:val="32"/>
          <w:szCs w:val="32"/>
          <w:lang w:eastAsia="zh-CN"/>
        </w:rPr>
        <w:t>上级法院调研、调警保障庭审</w:t>
      </w:r>
      <w:r>
        <w:rPr>
          <w:rFonts w:hint="eastAsia" w:eastAsia="仿宋_GB2312" w:cs="仿宋_GB2312"/>
          <w:sz w:val="32"/>
          <w:szCs w:val="32"/>
        </w:rPr>
        <w:t>。</w:t>
      </w:r>
      <w:bookmarkStart w:id="34" w:name="_Toc15396610"/>
      <w:bookmarkStart w:id="35" w:name="_Toc15377218"/>
    </w:p>
    <w:p w14:paraId="6FEA8773">
      <w:pPr>
        <w:pStyle w:val="6"/>
      </w:pPr>
      <w:r>
        <w:drawing>
          <wp:inline distT="0" distB="0" distL="114300" distR="114300">
            <wp:extent cx="4190365" cy="2408555"/>
            <wp:effectExtent l="4445" t="4445" r="15240" b="6350"/>
            <wp:docPr id="8"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F2E81F4">
      <w:pPr>
        <w:spacing w:line="600" w:lineRule="exact"/>
        <w:ind w:firstLine="640"/>
        <w:rPr>
          <w:rFonts w:hint="eastAsia" w:eastAsia="黑体"/>
          <w:sz w:val="32"/>
          <w:szCs w:val="32"/>
        </w:rPr>
      </w:pPr>
      <w:r>
        <w:rPr>
          <w:rFonts w:hint="eastAsia" w:eastAsia="仿宋_GB2312" w:cs="仿宋_GB2312"/>
          <w:sz w:val="32"/>
          <w:szCs w:val="32"/>
        </w:rPr>
        <w:t>图7：“三公”经费财政拨款支出结构</w:t>
      </w:r>
    </w:p>
    <w:p w14:paraId="65B6339A">
      <w:pPr>
        <w:spacing w:line="600" w:lineRule="exact"/>
        <w:ind w:firstLine="640"/>
        <w:outlineLvl w:val="1"/>
        <w:rPr>
          <w:rStyle w:val="31"/>
          <w:rFonts w:ascii="Times New Roman" w:hAnsi="Times New Roman" w:eastAsia="黑体"/>
        </w:rPr>
      </w:pPr>
      <w:r>
        <w:rPr>
          <w:rFonts w:hint="eastAsia" w:eastAsia="黑体"/>
          <w:sz w:val="32"/>
          <w:szCs w:val="32"/>
        </w:rPr>
        <w:t>八、</w:t>
      </w:r>
      <w:r>
        <w:rPr>
          <w:rStyle w:val="31"/>
          <w:rFonts w:hint="eastAsia" w:ascii="Times New Roman" w:hAnsi="Times New Roman" w:eastAsia="黑体"/>
          <w:b w:val="0"/>
        </w:rPr>
        <w:t>政府性基金预算支出决算情况说明</w:t>
      </w:r>
      <w:bookmarkEnd w:id="34"/>
      <w:bookmarkEnd w:id="35"/>
    </w:p>
    <w:p w14:paraId="3253047B">
      <w:pPr>
        <w:spacing w:line="600" w:lineRule="exact"/>
        <w:ind w:firstLine="640"/>
        <w:rPr>
          <w:rFonts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年度政府性基金预算财政拨款支出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p>
    <w:p w14:paraId="2F1B5D80">
      <w:pPr>
        <w:spacing w:line="600" w:lineRule="exact"/>
        <w:ind w:left="630"/>
        <w:outlineLvl w:val="1"/>
        <w:rPr>
          <w:rStyle w:val="31"/>
          <w:rFonts w:ascii="Times New Roman" w:hAnsi="Times New Roman" w:eastAsia="黑体"/>
          <w:b w:val="0"/>
        </w:rPr>
      </w:pPr>
      <w:bookmarkStart w:id="36" w:name="_Toc15396611"/>
      <w:bookmarkStart w:id="37" w:name="_Toc15377219"/>
      <w:r>
        <w:rPr>
          <w:rStyle w:val="31"/>
          <w:rFonts w:hint="eastAsia" w:ascii="Times New Roman" w:hAnsi="Times New Roman" w:eastAsia="黑体"/>
          <w:b w:val="0"/>
        </w:rPr>
        <w:t>九、国有资本经营预算支出决算情况说明</w:t>
      </w:r>
      <w:bookmarkEnd w:id="36"/>
      <w:bookmarkEnd w:id="37"/>
    </w:p>
    <w:p w14:paraId="49AAD24B">
      <w:pPr>
        <w:spacing w:line="600" w:lineRule="exact"/>
        <w:ind w:firstLine="640"/>
        <w:rPr>
          <w:rFonts w:eastAsia="仿宋_GB2312" w:cs="仿宋_GB2312"/>
          <w:sz w:val="32"/>
          <w:szCs w:val="32"/>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年度国有资本经营预算财政拨款支出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p>
    <w:p w14:paraId="5437E3B2">
      <w:pPr>
        <w:spacing w:line="600" w:lineRule="exact"/>
        <w:ind w:left="630"/>
        <w:outlineLvl w:val="1"/>
        <w:rPr>
          <w:rStyle w:val="31"/>
          <w:rFonts w:ascii="Times New Roman" w:hAnsi="Times New Roman" w:eastAsia="黑体"/>
          <w:b w:val="0"/>
        </w:rPr>
      </w:pPr>
      <w:bookmarkStart w:id="38" w:name="_Toc15377221"/>
      <w:bookmarkStart w:id="39" w:name="_Toc15396612"/>
      <w:r>
        <w:rPr>
          <w:rStyle w:val="31"/>
          <w:rFonts w:hint="eastAsia" w:ascii="Times New Roman" w:hAnsi="Times New Roman" w:eastAsia="黑体"/>
          <w:b w:val="0"/>
        </w:rPr>
        <w:t>十、其他重要事项的情况说明</w:t>
      </w:r>
      <w:bookmarkEnd w:id="38"/>
      <w:bookmarkEnd w:id="39"/>
    </w:p>
    <w:p w14:paraId="07EFFFE5">
      <w:pPr>
        <w:spacing w:line="600" w:lineRule="exact"/>
        <w:ind w:firstLine="643" w:firstLineChars="200"/>
        <w:outlineLvl w:val="2"/>
        <w:rPr>
          <w:rFonts w:eastAsia="楷体_GB2312" w:cs="楷体_GB2312"/>
          <w:b/>
          <w:sz w:val="32"/>
          <w:szCs w:val="32"/>
        </w:rPr>
      </w:pPr>
      <w:bookmarkStart w:id="40" w:name="_Toc15377222"/>
      <w:r>
        <w:rPr>
          <w:rFonts w:hint="eastAsia" w:eastAsia="楷体_GB2312" w:cs="楷体_GB2312"/>
          <w:b/>
          <w:sz w:val="32"/>
          <w:szCs w:val="32"/>
        </w:rPr>
        <w:t>（一）机关运行经费支出情况</w:t>
      </w:r>
      <w:bookmarkEnd w:id="40"/>
    </w:p>
    <w:p w14:paraId="110BD356">
      <w:pPr>
        <w:spacing w:line="600" w:lineRule="exact"/>
        <w:ind w:firstLine="640"/>
        <w:rPr>
          <w:rFonts w:eastAsia="仿宋_GB2312" w:cs="仿宋_GB2312"/>
          <w:sz w:val="32"/>
          <w:szCs w:val="32"/>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w:t>
      </w:r>
      <w:r>
        <w:rPr>
          <w:rFonts w:hint="eastAsia" w:ascii="仿宋_GB2312" w:hAnsi="仿宋_GB2312" w:eastAsia="仿宋_GB2312" w:cs="仿宋_GB2312"/>
          <w:sz w:val="32"/>
          <w:szCs w:val="32"/>
        </w:rPr>
        <w:t>，中</w:t>
      </w:r>
      <w:r>
        <w:rPr>
          <w:rFonts w:hint="eastAsia" w:ascii="仿宋_GB2312" w:hAnsi="仿宋_GB2312" w:eastAsia="仿宋_GB2312" w:cs="仿宋_GB2312"/>
          <w:sz w:val="32"/>
          <w:szCs w:val="32"/>
          <w:lang w:eastAsia="zh-CN"/>
        </w:rPr>
        <w:t>汶川县人民法院</w:t>
      </w:r>
      <w:r>
        <w:rPr>
          <w:rFonts w:hint="eastAsia" w:ascii="仿宋_GB2312" w:hAnsi="仿宋_GB2312" w:eastAsia="仿宋_GB2312" w:cs="仿宋_GB2312"/>
          <w:sz w:val="32"/>
          <w:szCs w:val="32"/>
        </w:rPr>
        <w:t>机关运行经费支出</w:t>
      </w:r>
      <w:r>
        <w:rPr>
          <w:rFonts w:hint="eastAsia" w:ascii="仿宋_GB2312" w:hAnsi="仿宋_GB2312" w:eastAsia="仿宋_GB2312" w:cs="仿宋_GB2312"/>
          <w:sz w:val="32"/>
          <w:szCs w:val="32"/>
          <w:lang w:val="en-US" w:eastAsia="zh-CN"/>
        </w:rPr>
        <w:t>176.03</w:t>
      </w:r>
      <w:r>
        <w:rPr>
          <w:rFonts w:hint="eastAsia" w:ascii="仿宋_GB2312" w:hAnsi="仿宋_GB2312" w:eastAsia="仿宋_GB2312" w:cs="仿宋_GB2312"/>
          <w:sz w:val="32"/>
          <w:szCs w:val="32"/>
        </w:rPr>
        <w:t>万</w:t>
      </w:r>
      <w:r>
        <w:rPr>
          <w:rFonts w:hint="eastAsia" w:eastAsia="仿宋_GB2312" w:cs="仿宋_GB2312"/>
          <w:sz w:val="32"/>
          <w:szCs w:val="32"/>
        </w:rPr>
        <w:t>元，比202</w:t>
      </w:r>
      <w:r>
        <w:rPr>
          <w:rFonts w:hint="eastAsia" w:eastAsia="仿宋_GB2312" w:cs="仿宋_GB2312"/>
          <w:sz w:val="32"/>
          <w:szCs w:val="32"/>
          <w:lang w:val="en-US" w:eastAsia="zh-CN"/>
        </w:rPr>
        <w:t>4</w:t>
      </w:r>
      <w:r>
        <w:rPr>
          <w:rFonts w:hint="eastAsia" w:eastAsia="仿宋_GB2312" w:cs="仿宋_GB2312"/>
          <w:sz w:val="32"/>
          <w:szCs w:val="32"/>
        </w:rPr>
        <w:t>年度</w:t>
      </w:r>
      <w:r>
        <w:rPr>
          <w:rFonts w:hint="eastAsia" w:eastAsia="仿宋_GB2312" w:cs="仿宋_GB2312"/>
          <w:sz w:val="32"/>
          <w:szCs w:val="32"/>
          <w:lang w:eastAsia="zh-CN"/>
        </w:rPr>
        <w:t>减少</w:t>
      </w:r>
      <w:r>
        <w:rPr>
          <w:rFonts w:hint="eastAsia" w:eastAsia="仿宋_GB2312" w:cs="仿宋_GB2312"/>
          <w:sz w:val="32"/>
          <w:szCs w:val="32"/>
          <w:lang w:val="en-US" w:eastAsia="zh-CN"/>
        </w:rPr>
        <w:t>6.56</w:t>
      </w:r>
      <w:r>
        <w:rPr>
          <w:rFonts w:hint="eastAsia" w:eastAsia="仿宋_GB2312" w:cs="仿宋_GB2312"/>
          <w:sz w:val="32"/>
          <w:szCs w:val="32"/>
        </w:rPr>
        <w:t>万元，</w:t>
      </w:r>
      <w:r>
        <w:rPr>
          <w:rFonts w:hint="eastAsia" w:eastAsia="仿宋_GB2312" w:cs="仿宋_GB2312"/>
          <w:sz w:val="32"/>
          <w:szCs w:val="32"/>
          <w:lang w:eastAsia="zh-CN"/>
        </w:rPr>
        <w:t>下降</w:t>
      </w:r>
      <w:r>
        <w:rPr>
          <w:rFonts w:hint="eastAsia" w:eastAsia="仿宋_GB2312" w:cs="仿宋_GB2312"/>
          <w:sz w:val="32"/>
          <w:szCs w:val="32"/>
          <w:lang w:val="en-US" w:eastAsia="zh-CN"/>
        </w:rPr>
        <w:t>3.6</w:t>
      </w:r>
      <w:r>
        <w:rPr>
          <w:rFonts w:hint="eastAsia" w:eastAsia="仿宋_GB2312" w:cs="仿宋_GB2312"/>
          <w:sz w:val="32"/>
          <w:szCs w:val="32"/>
        </w:rPr>
        <w:t>%。主要原因是</w:t>
      </w:r>
      <w:r>
        <w:rPr>
          <w:rFonts w:hint="eastAsia" w:eastAsia="仿宋_GB2312" w:cs="仿宋_GB2312"/>
          <w:sz w:val="32"/>
          <w:szCs w:val="32"/>
          <w:lang w:eastAsia="zh-CN"/>
        </w:rPr>
        <w:t>严格落实中央八项规定精神</w:t>
      </w:r>
      <w:r>
        <w:rPr>
          <w:rFonts w:hint="eastAsia" w:ascii="仿宋_GB2312" w:hAnsi="仿宋_GB2312" w:eastAsia="仿宋_GB2312" w:cs="仿宋_GB2312"/>
          <w:sz w:val="32"/>
          <w:szCs w:val="32"/>
          <w:shd w:val="clear" w:fill="FFFFFF"/>
          <w:lang w:val="en-US" w:eastAsia="zh-CN"/>
        </w:rPr>
        <w:t>例行节约。</w:t>
      </w:r>
    </w:p>
    <w:p w14:paraId="6A39CA7D">
      <w:pPr>
        <w:spacing w:line="600" w:lineRule="exact"/>
        <w:ind w:firstLine="643" w:firstLineChars="200"/>
        <w:outlineLvl w:val="2"/>
        <w:rPr>
          <w:rFonts w:eastAsia="楷体_GB2312" w:cs="楷体_GB2312"/>
          <w:b/>
          <w:sz w:val="32"/>
          <w:szCs w:val="32"/>
        </w:rPr>
      </w:pPr>
      <w:bookmarkStart w:id="41" w:name="_Toc15377223"/>
      <w:r>
        <w:rPr>
          <w:rFonts w:hint="eastAsia" w:eastAsia="楷体_GB2312" w:cs="楷体_GB2312"/>
          <w:b/>
          <w:sz w:val="32"/>
          <w:szCs w:val="32"/>
        </w:rPr>
        <w:t>（二）政府采购支出情况</w:t>
      </w:r>
      <w:bookmarkEnd w:id="41"/>
    </w:p>
    <w:p w14:paraId="1A5B24D4">
      <w:pPr>
        <w:spacing w:line="600" w:lineRule="exact"/>
        <w:ind w:firstLine="640"/>
        <w:rPr>
          <w:rFonts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w:t>
      </w:r>
      <w:r>
        <w:rPr>
          <w:rFonts w:hint="eastAsia" w:ascii="仿宋_GB2312" w:hAnsi="仿宋_GB2312" w:eastAsia="仿宋_GB2312" w:cs="仿宋_GB2312"/>
          <w:sz w:val="32"/>
          <w:szCs w:val="32"/>
          <w:lang w:eastAsia="zh-CN"/>
        </w:rPr>
        <w:t>汶川县人民法院</w:t>
      </w:r>
      <w:r>
        <w:rPr>
          <w:rFonts w:hint="eastAsia" w:ascii="仿宋_GB2312" w:hAnsi="仿宋_GB2312" w:eastAsia="仿宋_GB2312" w:cs="仿宋_GB2312"/>
          <w:sz w:val="32"/>
          <w:szCs w:val="32"/>
        </w:rPr>
        <w:t>政府采购支出总额</w:t>
      </w:r>
      <w:r>
        <w:rPr>
          <w:rFonts w:hint="eastAsia" w:ascii="仿宋_GB2312" w:hAnsi="仿宋_GB2312" w:eastAsia="仿宋_GB2312" w:cs="仿宋_GB2312"/>
          <w:sz w:val="32"/>
          <w:szCs w:val="32"/>
          <w:lang w:val="en-US" w:eastAsia="zh-CN"/>
        </w:rPr>
        <w:t>351.64</w:t>
      </w:r>
      <w:r>
        <w:rPr>
          <w:rFonts w:hint="eastAsia" w:ascii="仿宋_GB2312" w:hAnsi="仿宋_GB2312" w:eastAsia="仿宋_GB2312" w:cs="仿宋_GB2312"/>
          <w:sz w:val="32"/>
          <w:szCs w:val="32"/>
        </w:rPr>
        <w:t>万元，其中：政府采购货物支出</w:t>
      </w:r>
      <w:r>
        <w:rPr>
          <w:rFonts w:hint="eastAsia" w:ascii="仿宋_GB2312" w:hAnsi="仿宋_GB2312" w:eastAsia="仿宋_GB2312" w:cs="仿宋_GB2312"/>
          <w:sz w:val="32"/>
          <w:szCs w:val="32"/>
          <w:lang w:val="en-US" w:eastAsia="zh-CN"/>
        </w:rPr>
        <w:t>351.64</w:t>
      </w:r>
      <w:r>
        <w:rPr>
          <w:rFonts w:hint="eastAsia" w:ascii="仿宋_GB2312" w:hAnsi="仿宋_GB2312" w:eastAsia="仿宋_GB2312" w:cs="仿宋_GB2312"/>
          <w:sz w:val="32"/>
          <w:szCs w:val="32"/>
        </w:rPr>
        <w:t>万元。主要用于</w:t>
      </w:r>
      <w:r>
        <w:rPr>
          <w:rFonts w:hint="eastAsia" w:ascii="仿宋_GB2312" w:hAnsi="仿宋_GB2312" w:eastAsia="仿宋_GB2312" w:cs="仿宋_GB2312"/>
          <w:sz w:val="32"/>
          <w:szCs w:val="32"/>
          <w:lang w:eastAsia="zh-CN"/>
        </w:rPr>
        <w:t>购买档案设备、台式计算机、材料收转云柜、碎纸机</w:t>
      </w:r>
      <w:r>
        <w:rPr>
          <w:rFonts w:hint="eastAsia" w:ascii="仿宋_GB2312" w:hAnsi="仿宋_GB2312" w:eastAsia="仿宋_GB2312" w:cs="仿宋_GB2312"/>
          <w:sz w:val="32"/>
          <w:szCs w:val="32"/>
        </w:rPr>
        <w:t>。授予中小企业合同金额</w:t>
      </w:r>
      <w:r>
        <w:rPr>
          <w:rFonts w:hint="eastAsia" w:ascii="仿宋_GB2312" w:hAnsi="仿宋_GB2312" w:eastAsia="仿宋_GB2312" w:cs="仿宋_GB2312"/>
          <w:sz w:val="32"/>
          <w:szCs w:val="32"/>
          <w:lang w:val="en-US" w:eastAsia="zh-CN"/>
        </w:rPr>
        <w:t>351.64</w:t>
      </w:r>
      <w:r>
        <w:rPr>
          <w:rFonts w:hint="eastAsia" w:ascii="仿宋_GB2312" w:hAnsi="仿宋_GB2312" w:eastAsia="仿宋_GB2312" w:cs="仿宋_GB2312"/>
          <w:sz w:val="32"/>
          <w:szCs w:val="32"/>
        </w:rPr>
        <w:t>元，占政府采购支出总额的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w:t>
      </w:r>
    </w:p>
    <w:p w14:paraId="475608D7">
      <w:pPr>
        <w:spacing w:line="600" w:lineRule="exact"/>
        <w:ind w:firstLine="643" w:firstLineChars="200"/>
        <w:outlineLvl w:val="2"/>
        <w:rPr>
          <w:rFonts w:eastAsia="楷体_GB2312" w:cs="楷体_GB2312"/>
          <w:b/>
          <w:sz w:val="32"/>
          <w:szCs w:val="32"/>
        </w:rPr>
      </w:pPr>
      <w:bookmarkStart w:id="42" w:name="_Toc15377224"/>
      <w:r>
        <w:rPr>
          <w:rFonts w:hint="eastAsia" w:eastAsia="楷体_GB2312" w:cs="楷体_GB2312"/>
          <w:b/>
          <w:sz w:val="32"/>
          <w:szCs w:val="32"/>
        </w:rPr>
        <w:t>（三）国有资产占有使用情况</w:t>
      </w:r>
      <w:bookmarkEnd w:id="42"/>
    </w:p>
    <w:p w14:paraId="6EBD55BB">
      <w:pPr>
        <w:spacing w:line="600" w:lineRule="exact"/>
        <w:ind w:firstLine="640"/>
        <w:rPr>
          <w:rFonts w:eastAsia="仿宋_GB2312" w:cs="仿宋_GB2312"/>
          <w:sz w:val="32"/>
          <w:szCs w:val="32"/>
        </w:rPr>
      </w:pPr>
      <w:r>
        <w:rPr>
          <w:rFonts w:hint="eastAsia" w:ascii="仿宋_GB2312" w:hAnsi="仿宋_GB2312" w:eastAsia="仿宋_GB2312" w:cs="仿宋_GB2312"/>
          <w:sz w:val="32"/>
          <w:szCs w:val="32"/>
        </w:rPr>
        <w:t>截至202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年12月31日，</w:t>
      </w:r>
      <w:r>
        <w:rPr>
          <w:rFonts w:hint="eastAsia" w:ascii="仿宋_GB2312" w:hAnsi="仿宋_GB2312" w:eastAsia="仿宋_GB2312" w:cs="仿宋_GB2312"/>
          <w:sz w:val="32"/>
          <w:szCs w:val="32"/>
          <w:lang w:eastAsia="zh-CN"/>
        </w:rPr>
        <w:t>汶川县人民法院</w:t>
      </w:r>
      <w:r>
        <w:rPr>
          <w:rFonts w:hint="eastAsia" w:ascii="仿宋_GB2312" w:hAnsi="仿宋_GB2312" w:eastAsia="仿宋_GB2312" w:cs="仿宋_GB2312"/>
          <w:sz w:val="32"/>
          <w:szCs w:val="32"/>
        </w:rPr>
        <w:t>共有车辆</w:t>
      </w:r>
      <w:r>
        <w:rPr>
          <w:rFonts w:hint="eastAsia" w:ascii="仿宋_GB2312" w:hAnsi="仿宋_GB2312" w:eastAsia="仿宋_GB2312" w:cs="仿宋_GB2312"/>
          <w:sz w:val="32"/>
          <w:szCs w:val="32"/>
          <w:lang w:val="en-US" w:eastAsia="zh-CN"/>
        </w:rPr>
        <w:t>16</w:t>
      </w:r>
      <w:r>
        <w:rPr>
          <w:rFonts w:hint="eastAsia" w:ascii="仿宋_GB2312" w:hAnsi="仿宋_GB2312" w:eastAsia="仿宋_GB2312" w:cs="仿宋_GB2312"/>
          <w:sz w:val="32"/>
          <w:szCs w:val="32"/>
        </w:rPr>
        <w:t>辆，其中：主要负责人用车</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其他用车</w:t>
      </w: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辆，其他用车主要是用于</w:t>
      </w:r>
      <w:r>
        <w:rPr>
          <w:rFonts w:hint="eastAsia" w:ascii="仿宋_GB2312" w:hAnsi="仿宋_GB2312" w:eastAsia="仿宋_GB2312" w:cs="仿宋_GB2312"/>
          <w:sz w:val="32"/>
          <w:szCs w:val="32"/>
          <w:lang w:eastAsia="zh-CN"/>
        </w:rPr>
        <w:t>执法执勤用车</w:t>
      </w:r>
      <w:r>
        <w:rPr>
          <w:rFonts w:hint="eastAsia" w:ascii="仿宋_GB2312" w:hAnsi="仿宋_GB2312" w:eastAsia="仿宋_GB2312" w:cs="仿宋_GB2312"/>
          <w:sz w:val="32"/>
          <w:szCs w:val="32"/>
        </w:rPr>
        <w:t>。单价100万元（含）以上设备（不含车辆）</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台（套）</w:t>
      </w:r>
      <w:r>
        <w:rPr>
          <w:rFonts w:hint="eastAsia" w:eastAsia="仿宋_GB2312" w:cs="仿宋_GB2312"/>
          <w:sz w:val="32"/>
          <w:szCs w:val="32"/>
        </w:rPr>
        <w:t>。</w:t>
      </w:r>
    </w:p>
    <w:p w14:paraId="08471F8C">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（四）预算绩效管理情况</w:t>
      </w:r>
    </w:p>
    <w:p w14:paraId="31A7FF64">
      <w:pPr>
        <w:spacing w:line="600" w:lineRule="exact"/>
        <w:ind w:firstLine="640"/>
        <w:rPr>
          <w:rFonts w:eastAsia="仿宋_GB2312" w:cs="仿宋_GB2312"/>
          <w:sz w:val="32"/>
          <w:szCs w:val="32"/>
        </w:rPr>
      </w:pPr>
      <w:r>
        <w:rPr>
          <w:rFonts w:hint="eastAsia" w:eastAsia="仿宋_GB2312" w:cs="仿宋_GB2312"/>
          <w:sz w:val="32"/>
          <w:szCs w:val="32"/>
        </w:rPr>
        <w:t>根据预算绩效管理要求，</w:t>
      </w:r>
      <w:r>
        <w:rPr>
          <w:rFonts w:hint="eastAsia" w:eastAsia="仿宋_GB2312" w:cs="仿宋_GB2312"/>
          <w:sz w:val="32"/>
          <w:szCs w:val="32"/>
          <w:lang w:eastAsia="zh-CN"/>
        </w:rPr>
        <w:t>汶川县人民法院</w:t>
      </w:r>
      <w:r>
        <w:rPr>
          <w:rFonts w:hint="eastAsia" w:eastAsia="仿宋_GB2312" w:cs="仿宋_GB2312"/>
          <w:sz w:val="32"/>
          <w:szCs w:val="32"/>
        </w:rPr>
        <w:t>在20</w:t>
      </w:r>
      <w:r>
        <w:rPr>
          <w:rFonts w:hint="eastAsia" w:eastAsia="仿宋_GB2312" w:cs="仿宋_GB2312"/>
          <w:sz w:val="32"/>
          <w:szCs w:val="32"/>
          <w:lang w:val="en-US" w:eastAsia="zh-CN"/>
        </w:rPr>
        <w:t>25</w:t>
      </w:r>
      <w:r>
        <w:rPr>
          <w:rFonts w:hint="eastAsia" w:eastAsia="仿宋_GB2312" w:cs="仿宋_GB2312"/>
          <w:sz w:val="32"/>
          <w:szCs w:val="32"/>
        </w:rPr>
        <w:t>年度预算编制阶段，组织对</w:t>
      </w:r>
      <w:r>
        <w:rPr>
          <w:rFonts w:hint="eastAsia" w:eastAsia="仿宋_GB2312" w:cs="仿宋_GB2312"/>
          <w:sz w:val="32"/>
          <w:szCs w:val="32"/>
          <w:lang w:eastAsia="zh-CN"/>
        </w:rPr>
        <w:t>办案业务经费</w:t>
      </w:r>
      <w:r>
        <w:rPr>
          <w:rFonts w:hint="eastAsia" w:eastAsia="仿宋_GB2312" w:cs="仿宋_GB2312"/>
          <w:sz w:val="32"/>
          <w:szCs w:val="32"/>
        </w:rPr>
        <w:t>等</w:t>
      </w:r>
      <w:r>
        <w:rPr>
          <w:rFonts w:hint="eastAsia" w:eastAsia="仿宋_GB2312" w:cs="仿宋_GB2312"/>
          <w:sz w:val="32"/>
          <w:szCs w:val="32"/>
          <w:lang w:val="en-US" w:eastAsia="zh-CN"/>
        </w:rPr>
        <w:t>2</w:t>
      </w:r>
      <w:r>
        <w:rPr>
          <w:rFonts w:hint="eastAsia" w:eastAsia="仿宋_GB2312" w:cs="仿宋_GB2312"/>
          <w:sz w:val="32"/>
          <w:szCs w:val="32"/>
        </w:rPr>
        <w:t>个项目开展了预算事前绩效评估，对</w:t>
      </w:r>
      <w:r>
        <w:rPr>
          <w:rFonts w:hint="eastAsia" w:eastAsia="仿宋_GB2312" w:cs="仿宋_GB2312"/>
          <w:sz w:val="32"/>
          <w:szCs w:val="32"/>
          <w:lang w:val="en-US" w:eastAsia="zh-CN"/>
        </w:rPr>
        <w:t>2</w:t>
      </w:r>
      <w:r>
        <w:rPr>
          <w:rFonts w:hint="eastAsia" w:eastAsia="仿宋_GB2312" w:cs="仿宋_GB2312"/>
          <w:sz w:val="32"/>
          <w:szCs w:val="32"/>
        </w:rPr>
        <w:t>个项目编制了绩效目标，预算执行过程中，选取</w:t>
      </w:r>
      <w:r>
        <w:rPr>
          <w:rFonts w:hint="eastAsia" w:eastAsia="仿宋_GB2312" w:cs="仿宋_GB2312"/>
          <w:sz w:val="32"/>
          <w:szCs w:val="32"/>
          <w:lang w:val="en-US" w:eastAsia="zh-CN"/>
        </w:rPr>
        <w:t>2</w:t>
      </w:r>
      <w:r>
        <w:rPr>
          <w:rFonts w:hint="eastAsia" w:eastAsia="仿宋_GB2312" w:cs="仿宋_GB2312"/>
          <w:sz w:val="32"/>
          <w:szCs w:val="32"/>
        </w:rPr>
        <w:t>个项目开展绩效监控。</w:t>
      </w:r>
    </w:p>
    <w:p w14:paraId="5761E388">
      <w:pPr>
        <w:spacing w:line="600" w:lineRule="exact"/>
        <w:ind w:firstLine="640"/>
        <w:rPr>
          <w:rFonts w:hint="eastAsia" w:eastAsia="仿宋_GB2312" w:cs="仿宋_GB2312"/>
          <w:sz w:val="32"/>
          <w:szCs w:val="32"/>
          <w:highlight w:val="none"/>
        </w:rPr>
      </w:pPr>
      <w:r>
        <w:rPr>
          <w:rFonts w:hint="eastAsia" w:eastAsia="仿宋_GB2312" w:cs="仿宋_GB2312"/>
          <w:sz w:val="32"/>
          <w:szCs w:val="32"/>
        </w:rPr>
        <w:t>组织对202</w:t>
      </w:r>
      <w:r>
        <w:rPr>
          <w:rFonts w:hint="eastAsia" w:eastAsia="仿宋_GB2312" w:cs="仿宋_GB2312"/>
          <w:sz w:val="32"/>
          <w:szCs w:val="32"/>
          <w:lang w:val="en-US" w:eastAsia="zh-CN"/>
        </w:rPr>
        <w:t>5</w:t>
      </w:r>
      <w:r>
        <w:rPr>
          <w:rFonts w:hint="eastAsia" w:eastAsia="仿宋_GB2312" w:cs="仿宋_GB2312"/>
          <w:sz w:val="32"/>
          <w:szCs w:val="32"/>
        </w:rPr>
        <w:t>年度一般公共预算、政府性基金预算、国有资本经营预算、社会保险基金预算以及资本资产、债券资金等全面开展绩效自评，形成</w:t>
      </w:r>
      <w:r>
        <w:rPr>
          <w:rFonts w:hint="eastAsia" w:eastAsia="仿宋_GB2312" w:cs="仿宋_GB2312"/>
          <w:sz w:val="32"/>
          <w:szCs w:val="32"/>
          <w:lang w:eastAsia="zh-CN"/>
        </w:rPr>
        <w:t>汶川县人民法院</w:t>
      </w:r>
      <w:r>
        <w:rPr>
          <w:rFonts w:hint="eastAsia" w:eastAsia="仿宋_GB2312" w:cs="仿宋_GB2312"/>
          <w:sz w:val="32"/>
          <w:szCs w:val="32"/>
        </w:rPr>
        <w:t>整体绩效自评报告</w:t>
      </w:r>
      <w:r>
        <w:rPr>
          <w:rFonts w:hint="eastAsia" w:eastAsia="仿宋_GB2312" w:cs="仿宋_GB2312"/>
          <w:sz w:val="32"/>
          <w:szCs w:val="32"/>
          <w:lang w:eastAsia="zh-CN"/>
        </w:rPr>
        <w:t>，</w:t>
      </w:r>
      <w:r>
        <w:rPr>
          <w:rFonts w:hint="eastAsia" w:eastAsia="仿宋_GB2312" w:cs="仿宋_GB2312"/>
          <w:sz w:val="32"/>
          <w:szCs w:val="32"/>
        </w:rPr>
        <w:t>部门整体（含部门预算项目）绩效自评得分为</w:t>
      </w:r>
      <w:r>
        <w:rPr>
          <w:rFonts w:hint="eastAsia" w:eastAsia="仿宋_GB2312" w:cs="仿宋_GB2312"/>
          <w:sz w:val="32"/>
          <w:szCs w:val="32"/>
          <w:lang w:val="en-US" w:eastAsia="zh-CN"/>
        </w:rPr>
        <w:t>91</w:t>
      </w:r>
      <w:r>
        <w:rPr>
          <w:rFonts w:hint="eastAsia" w:eastAsia="仿宋_GB2312" w:cs="仿宋_GB2312"/>
          <w:sz w:val="32"/>
          <w:szCs w:val="32"/>
        </w:rPr>
        <w:t>分。</w:t>
      </w:r>
      <w:r>
        <w:rPr>
          <w:rFonts w:hint="eastAsia" w:eastAsia="仿宋_GB2312" w:cs="仿宋_GB2312"/>
          <w:sz w:val="32"/>
          <w:szCs w:val="32"/>
          <w:highlight w:val="none"/>
        </w:rPr>
        <w:t>绩效自评报告详见附件。</w:t>
      </w:r>
    </w:p>
    <w:p w14:paraId="1E194ABA">
      <w:pPr>
        <w:pStyle w:val="2"/>
      </w:pPr>
    </w:p>
    <w:p w14:paraId="32FC2FA5">
      <w:pPr>
        <w:spacing w:line="600" w:lineRule="exact"/>
        <w:jc w:val="center"/>
        <w:outlineLvl w:val="0"/>
        <w:rPr>
          <w:rFonts w:eastAsia="黑体"/>
          <w:sz w:val="44"/>
          <w:szCs w:val="44"/>
        </w:rPr>
      </w:pPr>
      <w:bookmarkStart w:id="43" w:name="_Toc15377225"/>
      <w:bookmarkStart w:id="44" w:name="_Toc15396613"/>
      <w:r>
        <w:rPr>
          <w:rFonts w:hint="eastAsia" w:eastAsia="黑体"/>
          <w:sz w:val="44"/>
          <w:szCs w:val="44"/>
        </w:rPr>
        <w:t>第三部分  名词解释</w:t>
      </w:r>
      <w:bookmarkEnd w:id="43"/>
      <w:bookmarkEnd w:id="44"/>
    </w:p>
    <w:p w14:paraId="388D052C">
      <w:pPr>
        <w:spacing w:line="600" w:lineRule="exact"/>
        <w:jc w:val="left"/>
        <w:rPr>
          <w:b/>
          <w:sz w:val="44"/>
          <w:szCs w:val="44"/>
        </w:rPr>
      </w:pPr>
    </w:p>
    <w:p w14:paraId="0DD44467">
      <w:pPr>
        <w:pStyle w:val="16"/>
        <w:keepNext w:val="0"/>
        <w:keepLines w:val="0"/>
        <w:pageBreakBefore w:val="0"/>
        <w:widowControl w:val="0"/>
        <w:suppressLineNumbers w:val="0"/>
        <w:shd w:val="clear" w:fill="FFFFFF"/>
        <w:kinsoku/>
        <w:wordWrap/>
        <w:overflowPunct/>
        <w:topLinePunct w:val="0"/>
        <w:autoSpaceDE w:val="0"/>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shd w:val="clear" w:fill="FFFFFF"/>
          <w:lang w:val="en-US"/>
        </w:rPr>
      </w:pPr>
      <w:r>
        <w:rPr>
          <w:rFonts w:hint="eastAsia" w:ascii="仿宋_GB2312" w:hAnsi="仿宋_GB2312" w:eastAsia="仿宋_GB2312" w:cs="仿宋_GB2312"/>
          <w:sz w:val="32"/>
          <w:szCs w:val="32"/>
          <w:shd w:val="clear" w:fill="FFFFFF"/>
          <w:lang w:val="en-US"/>
        </w:rPr>
        <w:t>1.</w:t>
      </w:r>
      <w:r>
        <w:rPr>
          <w:rFonts w:hint="eastAsia" w:ascii="仿宋_GB2312" w:hAnsi="仿宋_GB2312" w:eastAsia="仿宋_GB2312" w:cs="仿宋_GB2312"/>
          <w:sz w:val="32"/>
          <w:szCs w:val="32"/>
          <w:shd w:val="clear" w:fill="FFFFFF"/>
          <w:lang w:eastAsia="zh-CN"/>
        </w:rPr>
        <w:t>财政拨款收入：指单位从同级财政部门取得的财政预算资金。</w:t>
      </w:r>
    </w:p>
    <w:p w14:paraId="647275CF">
      <w:pPr>
        <w:pStyle w:val="16"/>
        <w:keepNext w:val="0"/>
        <w:keepLines w:val="0"/>
        <w:pageBreakBefore w:val="0"/>
        <w:widowControl w:val="0"/>
        <w:suppressLineNumbers w:val="0"/>
        <w:shd w:val="clear" w:fill="FFFFFF"/>
        <w:kinsoku/>
        <w:wordWrap/>
        <w:overflowPunct/>
        <w:topLinePunct w:val="0"/>
        <w:autoSpaceDE w:val="0"/>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shd w:val="clear" w:fill="FFFFFF"/>
          <w:lang w:val="en-US"/>
        </w:rPr>
      </w:pPr>
      <w:r>
        <w:rPr>
          <w:rFonts w:hint="eastAsia" w:ascii="仿宋_GB2312" w:hAnsi="仿宋_GB2312" w:eastAsia="仿宋_GB2312" w:cs="仿宋_GB2312"/>
          <w:sz w:val="32"/>
          <w:szCs w:val="32"/>
          <w:shd w:val="clear" w:fill="FFFFFF"/>
          <w:lang w:val="en-US"/>
        </w:rPr>
        <w:t>2.</w:t>
      </w:r>
      <w:r>
        <w:rPr>
          <w:rFonts w:hint="eastAsia" w:ascii="仿宋_GB2312" w:hAnsi="仿宋_GB2312" w:eastAsia="仿宋_GB2312" w:cs="仿宋_GB2312"/>
          <w:sz w:val="32"/>
          <w:szCs w:val="32"/>
          <w:shd w:val="clear" w:fill="FFFFFF"/>
          <w:lang w:eastAsia="zh-CN"/>
        </w:rPr>
        <w:t>事业收入：指事业单位开展专业业务活动及辅助活动取得的收入。</w:t>
      </w:r>
    </w:p>
    <w:p w14:paraId="306DEFCC">
      <w:pPr>
        <w:pStyle w:val="16"/>
        <w:keepNext w:val="0"/>
        <w:keepLines w:val="0"/>
        <w:pageBreakBefore w:val="0"/>
        <w:widowControl w:val="0"/>
        <w:suppressLineNumbers w:val="0"/>
        <w:shd w:val="clear" w:fill="FFFFFF"/>
        <w:kinsoku/>
        <w:wordWrap/>
        <w:overflowPunct/>
        <w:topLinePunct w:val="0"/>
        <w:autoSpaceDE w:val="0"/>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shd w:val="clear" w:fill="FFFFFF"/>
          <w:lang w:eastAsia="zh-CN"/>
        </w:rPr>
      </w:pPr>
      <w:r>
        <w:rPr>
          <w:rFonts w:hint="eastAsia" w:ascii="仿宋_GB2312" w:hAnsi="仿宋_GB2312" w:eastAsia="仿宋_GB2312" w:cs="仿宋_GB2312"/>
          <w:sz w:val="32"/>
          <w:szCs w:val="32"/>
          <w:shd w:val="clear" w:fill="FFFFFF"/>
          <w:lang w:val="en-US"/>
        </w:rPr>
        <w:t>3.</w:t>
      </w:r>
      <w:r>
        <w:rPr>
          <w:rFonts w:hint="eastAsia" w:ascii="仿宋_GB2312" w:hAnsi="仿宋_GB2312" w:eastAsia="仿宋_GB2312" w:cs="仿宋_GB2312"/>
          <w:sz w:val="32"/>
          <w:szCs w:val="32"/>
          <w:shd w:val="clear" w:fill="FFFFFF"/>
          <w:lang w:eastAsia="zh-CN"/>
        </w:rPr>
        <w:t>经营收入：指事业单位在专业业务活动及其辅助活动之外开展非独立核算经营活动取得的收入。</w:t>
      </w:r>
    </w:p>
    <w:p w14:paraId="3A6B1E17">
      <w:pPr>
        <w:pStyle w:val="16"/>
        <w:keepNext w:val="0"/>
        <w:keepLines w:val="0"/>
        <w:pageBreakBefore w:val="0"/>
        <w:widowControl w:val="0"/>
        <w:suppressLineNumbers w:val="0"/>
        <w:shd w:val="clear" w:fill="FFFFFF"/>
        <w:kinsoku/>
        <w:wordWrap/>
        <w:overflowPunct/>
        <w:topLinePunct w:val="0"/>
        <w:autoSpaceDE w:val="0"/>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shd w:val="clear" w:fill="FFFFFF"/>
          <w:lang w:val="en-US"/>
        </w:rPr>
      </w:pPr>
      <w:r>
        <w:rPr>
          <w:rFonts w:hint="eastAsia" w:ascii="仿宋_GB2312" w:hAnsi="仿宋_GB2312" w:eastAsia="仿宋_GB2312" w:cs="仿宋_GB2312"/>
          <w:sz w:val="32"/>
          <w:szCs w:val="32"/>
          <w:shd w:val="clear" w:fill="FFFFFF"/>
          <w:lang w:val="en-US"/>
        </w:rPr>
        <w:t>4.</w:t>
      </w:r>
      <w:r>
        <w:rPr>
          <w:rFonts w:hint="eastAsia" w:ascii="仿宋_GB2312" w:hAnsi="仿宋_GB2312" w:eastAsia="仿宋_GB2312" w:cs="仿宋_GB2312"/>
          <w:sz w:val="32"/>
          <w:szCs w:val="32"/>
          <w:shd w:val="clear" w:fill="FFFFFF"/>
          <w:lang w:eastAsia="zh-CN"/>
        </w:rPr>
        <w:t>其他收入：指单位取得的除上述收入以外的各项收入。主要是县级财政拨款、其他单位援助资金等。</w:t>
      </w:r>
    </w:p>
    <w:p w14:paraId="5C228E6E">
      <w:pPr>
        <w:pStyle w:val="16"/>
        <w:keepNext w:val="0"/>
        <w:keepLines w:val="0"/>
        <w:pageBreakBefore w:val="0"/>
        <w:widowControl w:val="0"/>
        <w:suppressLineNumbers w:val="0"/>
        <w:shd w:val="clear" w:fill="FFFFFF"/>
        <w:kinsoku/>
        <w:wordWrap/>
        <w:overflowPunct/>
        <w:topLinePunct w:val="0"/>
        <w:autoSpaceDE w:val="0"/>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shd w:val="clear" w:fill="FFFFFF"/>
          <w:lang w:val="en-US"/>
        </w:rPr>
      </w:pPr>
      <w:r>
        <w:rPr>
          <w:rFonts w:hint="eastAsia" w:ascii="仿宋_GB2312" w:hAnsi="仿宋_GB2312" w:eastAsia="仿宋_GB2312" w:cs="仿宋_GB2312"/>
          <w:sz w:val="32"/>
          <w:szCs w:val="32"/>
          <w:shd w:val="clear" w:fill="FFFFFF"/>
          <w:lang w:val="en-US"/>
        </w:rPr>
        <w:t>5.</w:t>
      </w:r>
      <w:r>
        <w:rPr>
          <w:rFonts w:hint="eastAsia" w:ascii="仿宋_GB2312" w:hAnsi="仿宋_GB2312" w:eastAsia="仿宋_GB2312" w:cs="仿宋_GB2312"/>
          <w:sz w:val="32"/>
          <w:szCs w:val="32"/>
          <w:shd w:val="clear" w:fill="FFFFFF"/>
          <w:lang w:eastAsia="zh-CN"/>
        </w:rPr>
        <w:t>使用非财政拨款结余：指事业单位使用以前年度积累的非财政拨款结余弥补当年收支差额的金额。</w:t>
      </w:r>
    </w:p>
    <w:p w14:paraId="23AAE63B">
      <w:pPr>
        <w:pStyle w:val="16"/>
        <w:keepNext w:val="0"/>
        <w:keepLines w:val="0"/>
        <w:pageBreakBefore w:val="0"/>
        <w:widowControl w:val="0"/>
        <w:suppressLineNumbers w:val="0"/>
        <w:shd w:val="clear" w:fill="FFFFFF"/>
        <w:kinsoku/>
        <w:wordWrap/>
        <w:overflowPunct/>
        <w:topLinePunct w:val="0"/>
        <w:autoSpaceDE w:val="0"/>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shd w:val="clear" w:fill="FFFFFF"/>
          <w:lang w:val="en-US"/>
        </w:rPr>
      </w:pPr>
      <w:r>
        <w:rPr>
          <w:rFonts w:hint="eastAsia" w:ascii="仿宋_GB2312" w:hAnsi="仿宋_GB2312" w:eastAsia="仿宋_GB2312" w:cs="仿宋_GB2312"/>
          <w:sz w:val="32"/>
          <w:szCs w:val="32"/>
          <w:shd w:val="clear" w:fill="FFFFFF"/>
          <w:lang w:val="en-US"/>
        </w:rPr>
        <w:t>6.</w:t>
      </w:r>
      <w:r>
        <w:rPr>
          <w:rFonts w:hint="eastAsia" w:ascii="仿宋_GB2312" w:hAnsi="仿宋_GB2312" w:eastAsia="仿宋_GB2312" w:cs="仿宋_GB2312"/>
          <w:sz w:val="32"/>
          <w:szCs w:val="32"/>
          <w:shd w:val="clear" w:fill="FFFFFF"/>
          <w:lang w:eastAsia="zh-CN"/>
        </w:rPr>
        <w:t>年初结转和结余：指以前年度尚未完成、结转到本年按有关规定继续使用的资金。</w:t>
      </w:r>
    </w:p>
    <w:p w14:paraId="55533AF5">
      <w:pPr>
        <w:pStyle w:val="16"/>
        <w:keepNext w:val="0"/>
        <w:keepLines w:val="0"/>
        <w:pageBreakBefore w:val="0"/>
        <w:widowControl w:val="0"/>
        <w:suppressLineNumbers w:val="0"/>
        <w:shd w:val="clear" w:fill="FFFFFF"/>
        <w:kinsoku/>
        <w:wordWrap/>
        <w:overflowPunct/>
        <w:topLinePunct w:val="0"/>
        <w:autoSpaceDE w:val="0"/>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shd w:val="clear" w:fill="FFFFFF"/>
          <w:lang w:val="en-US"/>
        </w:rPr>
      </w:pPr>
      <w:r>
        <w:rPr>
          <w:rFonts w:hint="eastAsia" w:ascii="仿宋_GB2312" w:hAnsi="仿宋_GB2312" w:eastAsia="仿宋_GB2312" w:cs="仿宋_GB2312"/>
          <w:sz w:val="32"/>
          <w:szCs w:val="32"/>
          <w:shd w:val="clear" w:fill="FFFFFF"/>
          <w:lang w:val="en-US"/>
        </w:rPr>
        <w:t>7.</w:t>
      </w:r>
      <w:r>
        <w:rPr>
          <w:rFonts w:hint="eastAsia" w:ascii="仿宋_GB2312" w:hAnsi="仿宋_GB2312" w:eastAsia="仿宋_GB2312" w:cs="仿宋_GB2312"/>
          <w:sz w:val="32"/>
          <w:szCs w:val="32"/>
          <w:shd w:val="clear" w:fill="FFFFFF"/>
          <w:lang w:eastAsia="zh-CN"/>
        </w:rPr>
        <w:t>结余分配：指事业单位按照会计制度规定缴纳的所得税、提取的专用结余以及转入非财政拨款结余的金额等。</w:t>
      </w:r>
    </w:p>
    <w:p w14:paraId="1A2E4E57">
      <w:pPr>
        <w:pStyle w:val="16"/>
        <w:keepNext w:val="0"/>
        <w:keepLines w:val="0"/>
        <w:pageBreakBefore w:val="0"/>
        <w:widowControl w:val="0"/>
        <w:suppressLineNumbers w:val="0"/>
        <w:shd w:val="clear" w:fill="FFFFFF"/>
        <w:kinsoku/>
        <w:wordWrap/>
        <w:overflowPunct/>
        <w:topLinePunct w:val="0"/>
        <w:autoSpaceDE w:val="0"/>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shd w:val="clear" w:fill="FFFFFF"/>
          <w:lang w:val="en-US"/>
        </w:rPr>
      </w:pPr>
      <w:r>
        <w:rPr>
          <w:rFonts w:hint="eastAsia" w:ascii="仿宋_GB2312" w:hAnsi="仿宋_GB2312" w:eastAsia="仿宋_GB2312" w:cs="仿宋_GB2312"/>
          <w:sz w:val="32"/>
          <w:szCs w:val="32"/>
          <w:shd w:val="clear" w:fill="FFFFFF"/>
          <w:lang w:val="en-US"/>
        </w:rPr>
        <w:t>8</w:t>
      </w:r>
      <w:r>
        <w:rPr>
          <w:rFonts w:hint="eastAsia" w:ascii="仿宋_GB2312" w:hAnsi="仿宋_GB2312" w:eastAsia="仿宋_GB2312" w:cs="仿宋_GB2312"/>
          <w:sz w:val="32"/>
          <w:szCs w:val="32"/>
          <w:shd w:val="clear" w:fill="FFFFFF"/>
          <w:lang w:eastAsia="zh-CN"/>
        </w:rPr>
        <w:t>、年末结转和结余：指单位按有关规定结转到下年或以后年度继续使用的资金。</w:t>
      </w:r>
    </w:p>
    <w:p w14:paraId="18EB6ED8">
      <w:pPr>
        <w:pStyle w:val="16"/>
        <w:keepNext w:val="0"/>
        <w:keepLines w:val="0"/>
        <w:pageBreakBefore w:val="0"/>
        <w:widowControl w:val="0"/>
        <w:suppressLineNumbers w:val="0"/>
        <w:shd w:val="clear" w:fill="FFFFFF"/>
        <w:kinsoku/>
        <w:wordWrap/>
        <w:overflowPunct/>
        <w:topLinePunct w:val="0"/>
        <w:autoSpaceDE w:val="0"/>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shd w:val="clear" w:fill="FFFFFF"/>
          <w:lang w:val="en-US"/>
        </w:rPr>
      </w:pPr>
      <w:r>
        <w:rPr>
          <w:rFonts w:hint="eastAsia" w:ascii="仿宋_GB2312" w:hAnsi="仿宋_GB2312" w:eastAsia="仿宋_GB2312" w:cs="仿宋_GB2312"/>
          <w:sz w:val="32"/>
          <w:szCs w:val="32"/>
          <w:shd w:val="clear" w:fill="FFFFFF"/>
          <w:lang w:val="en-US"/>
        </w:rPr>
        <w:t>9.</w:t>
      </w:r>
      <w:r>
        <w:rPr>
          <w:rFonts w:hint="eastAsia" w:ascii="仿宋_GB2312" w:hAnsi="仿宋_GB2312" w:eastAsia="仿宋_GB2312" w:cs="仿宋_GB2312"/>
          <w:sz w:val="32"/>
          <w:szCs w:val="32"/>
          <w:shd w:val="clear" w:fill="FFFFFF"/>
          <w:lang w:eastAsia="zh-CN"/>
        </w:rPr>
        <w:t>一般公共服务（类）</w:t>
      </w:r>
      <w:r>
        <w:rPr>
          <w:rFonts w:hint="eastAsia" w:ascii="仿宋_GB2312" w:hAnsi="仿宋_GB2312" w:eastAsia="仿宋_GB2312" w:cs="仿宋_GB2312"/>
          <w:sz w:val="32"/>
          <w:szCs w:val="32"/>
          <w:shd w:val="clear" w:fill="FFFFFF"/>
          <w:lang w:val="en-US"/>
        </w:rPr>
        <w:t>201</w:t>
      </w:r>
      <w:r>
        <w:rPr>
          <w:rFonts w:hint="eastAsia" w:ascii="仿宋_GB2312" w:hAnsi="仿宋_GB2312" w:eastAsia="仿宋_GB2312" w:cs="仿宋_GB2312"/>
          <w:sz w:val="32"/>
          <w:szCs w:val="32"/>
          <w:shd w:val="clear" w:fill="FFFFFF"/>
          <w:lang w:eastAsia="zh-CN"/>
        </w:rPr>
        <w:t>（款）</w:t>
      </w:r>
      <w:r>
        <w:rPr>
          <w:rFonts w:hint="eastAsia" w:ascii="仿宋_GB2312" w:hAnsi="仿宋_GB2312" w:eastAsia="仿宋_GB2312" w:cs="仿宋_GB2312"/>
          <w:sz w:val="32"/>
          <w:szCs w:val="32"/>
          <w:shd w:val="clear" w:fill="FFFFFF"/>
          <w:lang w:val="en-US"/>
        </w:rPr>
        <w:t>06</w:t>
      </w:r>
      <w:r>
        <w:rPr>
          <w:rFonts w:hint="eastAsia" w:ascii="仿宋_GB2312" w:hAnsi="仿宋_GB2312" w:eastAsia="仿宋_GB2312" w:cs="仿宋_GB2312"/>
          <w:sz w:val="32"/>
          <w:szCs w:val="32"/>
          <w:shd w:val="clear" w:fill="FFFFFF"/>
          <w:lang w:eastAsia="zh-CN"/>
        </w:rPr>
        <w:t>（项）</w:t>
      </w:r>
      <w:r>
        <w:rPr>
          <w:rFonts w:hint="eastAsia" w:ascii="仿宋_GB2312" w:hAnsi="仿宋_GB2312" w:eastAsia="仿宋_GB2312" w:cs="仿宋_GB2312"/>
          <w:sz w:val="32"/>
          <w:szCs w:val="32"/>
          <w:shd w:val="clear" w:fill="FFFFFF"/>
          <w:lang w:val="en-US"/>
        </w:rPr>
        <w:t>01</w:t>
      </w:r>
      <w:r>
        <w:rPr>
          <w:rFonts w:hint="eastAsia" w:ascii="仿宋_GB2312" w:hAnsi="仿宋_GB2312" w:eastAsia="仿宋_GB2312" w:cs="仿宋_GB2312"/>
          <w:sz w:val="32"/>
          <w:szCs w:val="32"/>
          <w:shd w:val="clear" w:fill="FFFFFF"/>
          <w:lang w:eastAsia="zh-CN"/>
        </w:rPr>
        <w:t>：指反映行政单位（包括实行公务员管理的事业单位）的基本支出。</w:t>
      </w:r>
    </w:p>
    <w:p w14:paraId="71809D40">
      <w:pPr>
        <w:pStyle w:val="16"/>
        <w:keepNext w:val="0"/>
        <w:keepLines w:val="0"/>
        <w:pageBreakBefore w:val="0"/>
        <w:widowControl w:val="0"/>
        <w:suppressLineNumbers w:val="0"/>
        <w:shd w:val="clear" w:fill="FFFFFF"/>
        <w:kinsoku/>
        <w:wordWrap/>
        <w:overflowPunct/>
        <w:topLinePunct w:val="0"/>
        <w:autoSpaceDE w:val="0"/>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shd w:val="clear" w:fill="FFFFFF"/>
          <w:lang w:val="en-US"/>
        </w:rPr>
      </w:pPr>
      <w:r>
        <w:rPr>
          <w:rFonts w:hint="eastAsia" w:ascii="仿宋_GB2312" w:hAnsi="仿宋_GB2312" w:eastAsia="仿宋_GB2312" w:cs="仿宋_GB2312"/>
          <w:sz w:val="32"/>
          <w:szCs w:val="32"/>
          <w:shd w:val="clear" w:fill="FFFFFF"/>
          <w:lang w:val="en-US"/>
        </w:rPr>
        <w:t>10.</w:t>
      </w:r>
      <w:r>
        <w:rPr>
          <w:rFonts w:hint="eastAsia" w:ascii="仿宋_GB2312" w:hAnsi="仿宋_GB2312" w:eastAsia="仿宋_GB2312" w:cs="仿宋_GB2312"/>
          <w:sz w:val="32"/>
          <w:szCs w:val="32"/>
          <w:shd w:val="clear" w:fill="FFFFFF"/>
          <w:lang w:eastAsia="zh-CN"/>
        </w:rPr>
        <w:t>一般公共服务（类）</w:t>
      </w:r>
      <w:r>
        <w:rPr>
          <w:rFonts w:hint="eastAsia" w:ascii="仿宋_GB2312" w:hAnsi="仿宋_GB2312" w:eastAsia="仿宋_GB2312" w:cs="仿宋_GB2312"/>
          <w:sz w:val="32"/>
          <w:szCs w:val="32"/>
          <w:shd w:val="clear" w:fill="FFFFFF"/>
          <w:lang w:val="en-US"/>
        </w:rPr>
        <w:t>201</w:t>
      </w:r>
      <w:r>
        <w:rPr>
          <w:rFonts w:hint="eastAsia" w:ascii="仿宋_GB2312" w:hAnsi="仿宋_GB2312" w:eastAsia="仿宋_GB2312" w:cs="仿宋_GB2312"/>
          <w:sz w:val="32"/>
          <w:szCs w:val="32"/>
          <w:shd w:val="clear" w:fill="FFFFFF"/>
          <w:lang w:eastAsia="zh-CN"/>
        </w:rPr>
        <w:t>（款）</w:t>
      </w:r>
      <w:r>
        <w:rPr>
          <w:rFonts w:hint="eastAsia" w:ascii="仿宋_GB2312" w:hAnsi="仿宋_GB2312" w:eastAsia="仿宋_GB2312" w:cs="仿宋_GB2312"/>
          <w:sz w:val="32"/>
          <w:szCs w:val="32"/>
          <w:shd w:val="clear" w:fill="FFFFFF"/>
          <w:lang w:val="en-US"/>
        </w:rPr>
        <w:t>06</w:t>
      </w:r>
      <w:r>
        <w:rPr>
          <w:rFonts w:hint="eastAsia" w:ascii="仿宋_GB2312" w:hAnsi="仿宋_GB2312" w:eastAsia="仿宋_GB2312" w:cs="仿宋_GB2312"/>
          <w:sz w:val="32"/>
          <w:szCs w:val="32"/>
          <w:shd w:val="clear" w:fill="FFFFFF"/>
          <w:lang w:eastAsia="zh-CN"/>
        </w:rPr>
        <w:t>（项）</w:t>
      </w:r>
      <w:r>
        <w:rPr>
          <w:rFonts w:hint="eastAsia" w:ascii="仿宋_GB2312" w:hAnsi="仿宋_GB2312" w:eastAsia="仿宋_GB2312" w:cs="仿宋_GB2312"/>
          <w:sz w:val="32"/>
          <w:szCs w:val="32"/>
          <w:shd w:val="clear" w:fill="FFFFFF"/>
          <w:lang w:val="en-US"/>
        </w:rPr>
        <w:t xml:space="preserve">02: </w:t>
      </w:r>
      <w:r>
        <w:rPr>
          <w:rFonts w:hint="eastAsia" w:ascii="仿宋_GB2312" w:hAnsi="仿宋_GB2312" w:eastAsia="仿宋_GB2312" w:cs="仿宋_GB2312"/>
          <w:sz w:val="32"/>
          <w:szCs w:val="32"/>
          <w:shd w:val="clear" w:fill="FFFFFF"/>
          <w:lang w:eastAsia="zh-CN"/>
        </w:rPr>
        <w:t>指反映行政单位（包括实行公务员管理的事业单位）未单独设置项级科目的其他项目支出。</w:t>
      </w:r>
    </w:p>
    <w:p w14:paraId="7324896F">
      <w:pPr>
        <w:keepNext w:val="0"/>
        <w:keepLines w:val="0"/>
        <w:pageBreakBefore w:val="0"/>
        <w:widowControl w:val="0"/>
        <w:suppressLineNumbers w:val="0"/>
        <w:kinsoku/>
        <w:wordWrap/>
        <w:overflowPunct/>
        <w:topLinePunct w:val="0"/>
        <w:autoSpaceDE w:val="0"/>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11.</w:t>
      </w:r>
      <w:r>
        <w:rPr>
          <w:rFonts w:hint="eastAsia" w:ascii="仿宋_GB2312" w:hAnsi="仿宋_GB2312" w:eastAsia="仿宋_GB2312" w:cs="仿宋_GB2312"/>
          <w:sz w:val="32"/>
          <w:szCs w:val="32"/>
          <w:lang w:eastAsia="zh-CN"/>
        </w:rPr>
        <w:t>一般公共服务（类）</w:t>
      </w:r>
      <w:r>
        <w:rPr>
          <w:rFonts w:hint="eastAsia" w:ascii="仿宋_GB2312" w:hAnsi="仿宋_GB2312" w:eastAsia="仿宋_GB2312" w:cs="仿宋_GB2312"/>
          <w:sz w:val="32"/>
          <w:szCs w:val="32"/>
          <w:lang w:val="en-US"/>
        </w:rPr>
        <w:t>201</w:t>
      </w:r>
      <w:r>
        <w:rPr>
          <w:rFonts w:hint="eastAsia" w:ascii="仿宋_GB2312" w:hAnsi="仿宋_GB2312" w:eastAsia="仿宋_GB2312" w:cs="仿宋_GB2312"/>
          <w:sz w:val="32"/>
          <w:szCs w:val="32"/>
          <w:lang w:eastAsia="zh-CN"/>
        </w:rPr>
        <w:t>（款）</w:t>
      </w:r>
      <w:r>
        <w:rPr>
          <w:rFonts w:hint="eastAsia" w:ascii="仿宋_GB2312" w:hAnsi="仿宋_GB2312" w:eastAsia="仿宋_GB2312" w:cs="仿宋_GB2312"/>
          <w:sz w:val="32"/>
          <w:szCs w:val="32"/>
          <w:lang w:val="en-US"/>
        </w:rPr>
        <w:t>06</w:t>
      </w:r>
      <w:r>
        <w:rPr>
          <w:rFonts w:hint="eastAsia" w:ascii="仿宋_GB2312" w:hAnsi="仿宋_GB2312" w:eastAsia="仿宋_GB2312" w:cs="仿宋_GB2312"/>
          <w:sz w:val="32"/>
          <w:szCs w:val="32"/>
          <w:lang w:eastAsia="zh-CN"/>
        </w:rPr>
        <w:t>（项）</w:t>
      </w:r>
      <w:r>
        <w:rPr>
          <w:rFonts w:hint="eastAsia" w:ascii="仿宋_GB2312" w:hAnsi="仿宋_GB2312" w:eastAsia="仿宋_GB2312" w:cs="仿宋_GB2312"/>
          <w:sz w:val="32"/>
          <w:szCs w:val="32"/>
          <w:lang w:val="en-US"/>
        </w:rPr>
        <w:t>05</w:t>
      </w:r>
      <w:r>
        <w:rPr>
          <w:rFonts w:hint="eastAsia" w:ascii="仿宋_GB2312" w:hAnsi="仿宋_GB2312" w:eastAsia="仿宋_GB2312" w:cs="仿宋_GB2312"/>
          <w:sz w:val="32"/>
          <w:szCs w:val="32"/>
          <w:lang w:eastAsia="zh-CN"/>
        </w:rPr>
        <w:t>：指反映财政部门用于财政国库集中支付收付业务方面的支出。</w:t>
      </w:r>
    </w:p>
    <w:p w14:paraId="1917FE61">
      <w:pPr>
        <w:keepNext w:val="0"/>
        <w:keepLines w:val="0"/>
        <w:pageBreakBefore w:val="0"/>
        <w:widowControl w:val="0"/>
        <w:suppressLineNumbers w:val="0"/>
        <w:kinsoku/>
        <w:wordWrap/>
        <w:overflowPunct/>
        <w:topLinePunct w:val="0"/>
        <w:autoSpaceDE w:val="0"/>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12.</w:t>
      </w:r>
      <w:r>
        <w:rPr>
          <w:rFonts w:hint="eastAsia" w:ascii="仿宋_GB2312" w:hAnsi="仿宋_GB2312" w:eastAsia="仿宋_GB2312" w:cs="仿宋_GB2312"/>
          <w:sz w:val="32"/>
          <w:szCs w:val="32"/>
          <w:lang w:eastAsia="zh-CN"/>
        </w:rPr>
        <w:t>社会保障和就业（类）</w:t>
      </w:r>
      <w:r>
        <w:rPr>
          <w:rFonts w:hint="eastAsia" w:ascii="仿宋_GB2312" w:hAnsi="仿宋_GB2312" w:eastAsia="仿宋_GB2312" w:cs="仿宋_GB2312"/>
          <w:sz w:val="32"/>
          <w:szCs w:val="32"/>
          <w:lang w:val="en-US"/>
        </w:rPr>
        <w:t>208</w:t>
      </w:r>
      <w:r>
        <w:rPr>
          <w:rFonts w:hint="eastAsia" w:ascii="仿宋_GB2312" w:hAnsi="仿宋_GB2312" w:eastAsia="仿宋_GB2312" w:cs="仿宋_GB2312"/>
          <w:sz w:val="32"/>
          <w:szCs w:val="32"/>
          <w:lang w:eastAsia="zh-CN"/>
        </w:rPr>
        <w:t>（款）</w:t>
      </w:r>
      <w:r>
        <w:rPr>
          <w:rFonts w:hint="eastAsia" w:ascii="仿宋_GB2312" w:hAnsi="仿宋_GB2312" w:eastAsia="仿宋_GB2312" w:cs="仿宋_GB2312"/>
          <w:sz w:val="32"/>
          <w:szCs w:val="32"/>
          <w:lang w:val="en-US"/>
        </w:rPr>
        <w:t>05</w:t>
      </w:r>
      <w:r>
        <w:rPr>
          <w:rFonts w:hint="eastAsia" w:ascii="仿宋_GB2312" w:hAnsi="仿宋_GB2312" w:eastAsia="仿宋_GB2312" w:cs="仿宋_GB2312"/>
          <w:sz w:val="32"/>
          <w:szCs w:val="32"/>
          <w:lang w:eastAsia="zh-CN"/>
        </w:rPr>
        <w:t>（项）</w:t>
      </w:r>
      <w:r>
        <w:rPr>
          <w:rFonts w:hint="eastAsia" w:ascii="仿宋_GB2312" w:hAnsi="仿宋_GB2312" w:eastAsia="仿宋_GB2312" w:cs="仿宋_GB2312"/>
          <w:sz w:val="32"/>
          <w:szCs w:val="32"/>
          <w:lang w:val="en-US"/>
        </w:rPr>
        <w:t>05</w:t>
      </w:r>
      <w:r>
        <w:rPr>
          <w:rFonts w:hint="eastAsia" w:ascii="仿宋_GB2312" w:hAnsi="仿宋_GB2312" w:eastAsia="仿宋_GB2312" w:cs="仿宋_GB2312"/>
          <w:sz w:val="32"/>
          <w:szCs w:val="32"/>
          <w:lang w:eastAsia="zh-CN"/>
        </w:rPr>
        <w:t>：指反映机关事业单位实施养老保险制度由单位缴纳的职业年金支出。</w:t>
      </w:r>
    </w:p>
    <w:p w14:paraId="5E13957D">
      <w:pPr>
        <w:keepNext w:val="0"/>
        <w:keepLines w:val="0"/>
        <w:pageBreakBefore w:val="0"/>
        <w:widowControl w:val="0"/>
        <w:suppressLineNumbers w:val="0"/>
        <w:kinsoku/>
        <w:wordWrap/>
        <w:overflowPunct/>
        <w:topLinePunct w:val="0"/>
        <w:autoSpaceDE w:val="0"/>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13.</w:t>
      </w:r>
      <w:r>
        <w:rPr>
          <w:rFonts w:hint="eastAsia" w:ascii="仿宋_GB2312" w:hAnsi="仿宋_GB2312" w:eastAsia="仿宋_GB2312" w:cs="仿宋_GB2312"/>
          <w:sz w:val="32"/>
          <w:szCs w:val="32"/>
          <w:lang w:eastAsia="zh-CN"/>
        </w:rPr>
        <w:t>社会保障和就业（类）</w:t>
      </w:r>
      <w:r>
        <w:rPr>
          <w:rFonts w:hint="eastAsia" w:ascii="仿宋_GB2312" w:hAnsi="仿宋_GB2312" w:eastAsia="仿宋_GB2312" w:cs="仿宋_GB2312"/>
          <w:sz w:val="32"/>
          <w:szCs w:val="32"/>
          <w:lang w:val="en-US"/>
        </w:rPr>
        <w:t>208</w:t>
      </w:r>
      <w:r>
        <w:rPr>
          <w:rFonts w:hint="eastAsia" w:ascii="仿宋_GB2312" w:hAnsi="仿宋_GB2312" w:eastAsia="仿宋_GB2312" w:cs="仿宋_GB2312"/>
          <w:sz w:val="32"/>
          <w:szCs w:val="32"/>
          <w:lang w:eastAsia="zh-CN"/>
        </w:rPr>
        <w:t>（款）</w:t>
      </w:r>
      <w:r>
        <w:rPr>
          <w:rFonts w:hint="eastAsia" w:ascii="仿宋_GB2312" w:hAnsi="仿宋_GB2312" w:eastAsia="仿宋_GB2312" w:cs="仿宋_GB2312"/>
          <w:sz w:val="32"/>
          <w:szCs w:val="32"/>
          <w:lang w:val="en-US"/>
        </w:rPr>
        <w:t>05</w:t>
      </w:r>
      <w:r>
        <w:rPr>
          <w:rFonts w:hint="eastAsia" w:ascii="仿宋_GB2312" w:hAnsi="仿宋_GB2312" w:eastAsia="仿宋_GB2312" w:cs="仿宋_GB2312"/>
          <w:sz w:val="32"/>
          <w:szCs w:val="32"/>
          <w:lang w:eastAsia="zh-CN"/>
        </w:rPr>
        <w:t>（项）</w:t>
      </w:r>
      <w:r>
        <w:rPr>
          <w:rFonts w:hint="eastAsia" w:ascii="仿宋_GB2312" w:hAnsi="仿宋_GB2312" w:eastAsia="仿宋_GB2312" w:cs="仿宋_GB2312"/>
          <w:sz w:val="32"/>
          <w:szCs w:val="32"/>
          <w:lang w:val="en-US"/>
        </w:rPr>
        <w:t>06</w:t>
      </w:r>
      <w:r>
        <w:rPr>
          <w:rFonts w:hint="eastAsia" w:ascii="仿宋_GB2312" w:hAnsi="仿宋_GB2312" w:eastAsia="仿宋_GB2312" w:cs="仿宋_GB2312"/>
          <w:sz w:val="32"/>
          <w:szCs w:val="32"/>
          <w:lang w:eastAsia="zh-CN"/>
        </w:rPr>
        <w:t>：指反映机关事业单位实施养老保险制度由单位实际缴纳的基本养老保险费支出。</w:t>
      </w:r>
    </w:p>
    <w:p w14:paraId="6E2EADDB">
      <w:pPr>
        <w:keepNext w:val="0"/>
        <w:keepLines w:val="0"/>
        <w:pageBreakBefore w:val="0"/>
        <w:widowControl w:val="0"/>
        <w:suppressLineNumbers w:val="0"/>
        <w:kinsoku/>
        <w:wordWrap/>
        <w:overflowPunct/>
        <w:topLinePunct w:val="0"/>
        <w:autoSpaceDE w:val="0"/>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14.</w:t>
      </w:r>
      <w:r>
        <w:rPr>
          <w:rFonts w:hint="eastAsia" w:ascii="仿宋_GB2312" w:hAnsi="仿宋_GB2312" w:eastAsia="仿宋_GB2312" w:cs="仿宋_GB2312"/>
          <w:sz w:val="32"/>
          <w:szCs w:val="32"/>
          <w:lang w:eastAsia="zh-CN"/>
        </w:rPr>
        <w:t>卫生健康（类）</w:t>
      </w:r>
      <w:r>
        <w:rPr>
          <w:rFonts w:hint="eastAsia" w:ascii="仿宋_GB2312" w:hAnsi="仿宋_GB2312" w:eastAsia="仿宋_GB2312" w:cs="仿宋_GB2312"/>
          <w:sz w:val="32"/>
          <w:szCs w:val="32"/>
          <w:lang w:val="en-US"/>
        </w:rPr>
        <w:t>210</w:t>
      </w:r>
      <w:r>
        <w:rPr>
          <w:rFonts w:hint="eastAsia" w:ascii="仿宋_GB2312" w:hAnsi="仿宋_GB2312" w:eastAsia="仿宋_GB2312" w:cs="仿宋_GB2312"/>
          <w:sz w:val="32"/>
          <w:szCs w:val="32"/>
          <w:lang w:eastAsia="zh-CN"/>
        </w:rPr>
        <w:t>（款）</w:t>
      </w:r>
      <w:r>
        <w:rPr>
          <w:rFonts w:hint="eastAsia" w:ascii="仿宋_GB2312" w:hAnsi="仿宋_GB2312" w:eastAsia="仿宋_GB2312" w:cs="仿宋_GB2312"/>
          <w:sz w:val="32"/>
          <w:szCs w:val="32"/>
          <w:lang w:val="en-US"/>
        </w:rPr>
        <w:t>11</w:t>
      </w:r>
      <w:r>
        <w:rPr>
          <w:rFonts w:hint="eastAsia" w:ascii="仿宋_GB2312" w:hAnsi="仿宋_GB2312" w:eastAsia="仿宋_GB2312" w:cs="仿宋_GB2312"/>
          <w:sz w:val="32"/>
          <w:szCs w:val="32"/>
          <w:lang w:eastAsia="zh-CN"/>
        </w:rPr>
        <w:t>（项）</w:t>
      </w:r>
      <w:r>
        <w:rPr>
          <w:rFonts w:hint="eastAsia" w:ascii="仿宋_GB2312" w:hAnsi="仿宋_GB2312" w:eastAsia="仿宋_GB2312" w:cs="仿宋_GB2312"/>
          <w:sz w:val="32"/>
          <w:szCs w:val="32"/>
          <w:lang w:val="en-US"/>
        </w:rPr>
        <w:t>01</w:t>
      </w:r>
      <w:r>
        <w:rPr>
          <w:rFonts w:hint="eastAsia" w:ascii="仿宋_GB2312" w:hAnsi="仿宋_GB2312" w:eastAsia="仿宋_GB2312" w:cs="仿宋_GB2312"/>
          <w:sz w:val="32"/>
          <w:szCs w:val="32"/>
          <w:lang w:eastAsia="zh-CN"/>
        </w:rPr>
        <w:t>：反映财政部门安排的行政单位</w:t>
      </w:r>
      <w:r>
        <w:rPr>
          <w:rFonts w:hint="eastAsia" w:ascii="仿宋_GB2312" w:hAnsi="仿宋_GB2312" w:eastAsia="仿宋_GB2312" w:cs="仿宋_GB2312"/>
          <w:sz w:val="32"/>
          <w:szCs w:val="32"/>
          <w:lang w:val="en-US"/>
        </w:rPr>
        <w:t>(</w:t>
      </w:r>
      <w:r>
        <w:rPr>
          <w:rFonts w:hint="eastAsia" w:ascii="仿宋_GB2312" w:hAnsi="仿宋_GB2312" w:eastAsia="仿宋_GB2312" w:cs="仿宋_GB2312"/>
          <w:sz w:val="32"/>
          <w:szCs w:val="32"/>
          <w:lang w:eastAsia="zh-CN"/>
        </w:rPr>
        <w:t>包括实行公务员管理的事业单位，下同</w:t>
      </w:r>
      <w:r>
        <w:rPr>
          <w:rFonts w:hint="eastAsia" w:ascii="仿宋_GB2312" w:hAnsi="仿宋_GB2312" w:eastAsia="仿宋_GB2312" w:cs="仿宋_GB2312"/>
          <w:sz w:val="32"/>
          <w:szCs w:val="32"/>
          <w:lang w:val="en-US"/>
        </w:rPr>
        <w:t>)</w:t>
      </w:r>
      <w:r>
        <w:rPr>
          <w:rFonts w:hint="eastAsia" w:ascii="仿宋_GB2312" w:hAnsi="仿宋_GB2312" w:eastAsia="仿宋_GB2312" w:cs="仿宋_GB2312"/>
          <w:sz w:val="32"/>
          <w:szCs w:val="32"/>
          <w:lang w:eastAsia="zh-CN"/>
        </w:rPr>
        <w:t>基本医疗保险缴费经费，未参加医疗保险的行政单位的公费医疗经费，按国家规定享受离休人员、红军老战士待遇人员的医疗经费。</w:t>
      </w:r>
    </w:p>
    <w:p w14:paraId="3C5A6AD9">
      <w:pPr>
        <w:keepNext w:val="0"/>
        <w:keepLines w:val="0"/>
        <w:pageBreakBefore w:val="0"/>
        <w:widowControl w:val="0"/>
        <w:suppressLineNumbers w:val="0"/>
        <w:kinsoku/>
        <w:wordWrap/>
        <w:overflowPunct/>
        <w:topLinePunct w:val="0"/>
        <w:autoSpaceDE w:val="0"/>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15.</w:t>
      </w:r>
      <w:r>
        <w:rPr>
          <w:rFonts w:hint="eastAsia" w:ascii="仿宋_GB2312" w:hAnsi="仿宋_GB2312" w:eastAsia="仿宋_GB2312" w:cs="仿宋_GB2312"/>
          <w:sz w:val="32"/>
          <w:szCs w:val="32"/>
          <w:lang w:eastAsia="zh-CN"/>
        </w:rPr>
        <w:t>卫生健康（类）</w:t>
      </w:r>
      <w:r>
        <w:rPr>
          <w:rFonts w:hint="eastAsia" w:ascii="仿宋_GB2312" w:hAnsi="仿宋_GB2312" w:eastAsia="仿宋_GB2312" w:cs="仿宋_GB2312"/>
          <w:sz w:val="32"/>
          <w:szCs w:val="32"/>
          <w:lang w:val="en-US"/>
        </w:rPr>
        <w:t>210</w:t>
      </w:r>
      <w:r>
        <w:rPr>
          <w:rFonts w:hint="eastAsia" w:ascii="仿宋_GB2312" w:hAnsi="仿宋_GB2312" w:eastAsia="仿宋_GB2312" w:cs="仿宋_GB2312"/>
          <w:sz w:val="32"/>
          <w:szCs w:val="32"/>
          <w:lang w:eastAsia="zh-CN"/>
        </w:rPr>
        <w:t>（款）</w:t>
      </w:r>
      <w:r>
        <w:rPr>
          <w:rFonts w:hint="eastAsia" w:ascii="仿宋_GB2312" w:hAnsi="仿宋_GB2312" w:eastAsia="仿宋_GB2312" w:cs="仿宋_GB2312"/>
          <w:sz w:val="32"/>
          <w:szCs w:val="32"/>
          <w:lang w:val="en-US"/>
        </w:rPr>
        <w:t>11</w:t>
      </w:r>
      <w:r>
        <w:rPr>
          <w:rFonts w:hint="eastAsia" w:ascii="仿宋_GB2312" w:hAnsi="仿宋_GB2312" w:eastAsia="仿宋_GB2312" w:cs="仿宋_GB2312"/>
          <w:sz w:val="32"/>
          <w:szCs w:val="32"/>
          <w:lang w:eastAsia="zh-CN"/>
        </w:rPr>
        <w:t>（项）</w:t>
      </w:r>
      <w:r>
        <w:rPr>
          <w:rFonts w:hint="eastAsia" w:ascii="仿宋_GB2312" w:hAnsi="仿宋_GB2312" w:eastAsia="仿宋_GB2312" w:cs="仿宋_GB2312"/>
          <w:sz w:val="32"/>
          <w:szCs w:val="32"/>
          <w:lang w:val="en-US"/>
        </w:rPr>
        <w:t>03</w:t>
      </w:r>
      <w:r>
        <w:rPr>
          <w:rFonts w:hint="eastAsia" w:ascii="仿宋_GB2312" w:hAnsi="仿宋_GB2312" w:eastAsia="仿宋_GB2312" w:cs="仿宋_GB2312"/>
          <w:sz w:val="32"/>
          <w:szCs w:val="32"/>
          <w:lang w:eastAsia="zh-CN"/>
        </w:rPr>
        <w:t>：反映财政部门安排的公务员医疗补助经费。</w:t>
      </w:r>
    </w:p>
    <w:p w14:paraId="19A12516">
      <w:pPr>
        <w:keepNext w:val="0"/>
        <w:keepLines w:val="0"/>
        <w:pageBreakBefore w:val="0"/>
        <w:widowControl w:val="0"/>
        <w:suppressLineNumbers w:val="0"/>
        <w:kinsoku/>
        <w:wordWrap/>
        <w:overflowPunct/>
        <w:topLinePunct w:val="0"/>
        <w:autoSpaceDE w:val="0"/>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16.</w:t>
      </w:r>
      <w:r>
        <w:rPr>
          <w:rFonts w:hint="eastAsia" w:ascii="仿宋_GB2312" w:hAnsi="仿宋_GB2312" w:eastAsia="仿宋_GB2312" w:cs="仿宋_GB2312"/>
          <w:sz w:val="32"/>
          <w:szCs w:val="32"/>
          <w:lang w:eastAsia="zh-CN"/>
        </w:rPr>
        <w:t>商业服务业等支出（类）</w:t>
      </w:r>
      <w:r>
        <w:rPr>
          <w:rFonts w:hint="eastAsia" w:ascii="仿宋_GB2312" w:hAnsi="仿宋_GB2312" w:eastAsia="仿宋_GB2312" w:cs="仿宋_GB2312"/>
          <w:sz w:val="32"/>
          <w:szCs w:val="32"/>
          <w:lang w:val="en-US"/>
        </w:rPr>
        <w:t>216</w:t>
      </w:r>
      <w:r>
        <w:rPr>
          <w:rFonts w:hint="eastAsia" w:ascii="仿宋_GB2312" w:hAnsi="仿宋_GB2312" w:eastAsia="仿宋_GB2312" w:cs="仿宋_GB2312"/>
          <w:sz w:val="32"/>
          <w:szCs w:val="32"/>
          <w:lang w:eastAsia="zh-CN"/>
        </w:rPr>
        <w:t>（款）</w:t>
      </w:r>
      <w:r>
        <w:rPr>
          <w:rFonts w:hint="eastAsia" w:ascii="仿宋_GB2312" w:hAnsi="仿宋_GB2312" w:eastAsia="仿宋_GB2312" w:cs="仿宋_GB2312"/>
          <w:sz w:val="32"/>
          <w:szCs w:val="32"/>
          <w:lang w:val="en-US"/>
        </w:rPr>
        <w:t>99</w:t>
      </w:r>
      <w:r>
        <w:rPr>
          <w:rFonts w:hint="eastAsia" w:ascii="仿宋_GB2312" w:hAnsi="仿宋_GB2312" w:eastAsia="仿宋_GB2312" w:cs="仿宋_GB2312"/>
          <w:sz w:val="32"/>
          <w:szCs w:val="32"/>
          <w:lang w:eastAsia="zh-CN"/>
        </w:rPr>
        <w:t>（项）</w:t>
      </w:r>
      <w:r>
        <w:rPr>
          <w:rFonts w:hint="eastAsia" w:ascii="仿宋_GB2312" w:hAnsi="仿宋_GB2312" w:eastAsia="仿宋_GB2312" w:cs="仿宋_GB2312"/>
          <w:sz w:val="32"/>
          <w:szCs w:val="32"/>
          <w:lang w:val="en-US"/>
        </w:rPr>
        <w:t>99</w:t>
      </w:r>
      <w:r>
        <w:rPr>
          <w:rFonts w:hint="eastAsia" w:ascii="仿宋_GB2312" w:hAnsi="仿宋_GB2312" w:eastAsia="仿宋_GB2312" w:cs="仿宋_GB2312"/>
          <w:sz w:val="32"/>
          <w:szCs w:val="32"/>
          <w:lang w:eastAsia="zh-CN"/>
        </w:rPr>
        <w:t>：反映其他商业服务业等支出中除上述项目以外的其他支出。</w:t>
      </w:r>
    </w:p>
    <w:p w14:paraId="541E1F7F">
      <w:pPr>
        <w:pStyle w:val="16"/>
        <w:keepNext w:val="0"/>
        <w:keepLines w:val="0"/>
        <w:pageBreakBefore w:val="0"/>
        <w:widowControl w:val="0"/>
        <w:suppressLineNumbers w:val="0"/>
        <w:shd w:val="clear" w:fill="FFFFFF"/>
        <w:kinsoku/>
        <w:wordWrap/>
        <w:overflowPunct/>
        <w:topLinePunct w:val="0"/>
        <w:autoSpaceDE w:val="0"/>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shd w:val="clear" w:fill="FFFFFF"/>
          <w:lang w:val="en-US"/>
        </w:rPr>
      </w:pPr>
      <w:r>
        <w:rPr>
          <w:rFonts w:hint="eastAsia" w:ascii="仿宋_GB2312" w:hAnsi="仿宋_GB2312" w:eastAsia="仿宋_GB2312" w:cs="仿宋_GB2312"/>
          <w:sz w:val="32"/>
          <w:szCs w:val="32"/>
          <w:shd w:val="clear" w:fill="FFFFFF"/>
          <w:lang w:val="en-US"/>
        </w:rPr>
        <w:t>17.</w:t>
      </w:r>
      <w:r>
        <w:rPr>
          <w:rFonts w:hint="eastAsia" w:ascii="仿宋_GB2312" w:hAnsi="仿宋_GB2312" w:eastAsia="仿宋_GB2312" w:cs="仿宋_GB2312"/>
          <w:sz w:val="32"/>
          <w:szCs w:val="32"/>
          <w:shd w:val="clear" w:fill="FFFFFF"/>
          <w:lang w:eastAsia="zh-CN"/>
        </w:rPr>
        <w:t>基本支出：指为保障机构正常运转、完成日常工作任务而发生的人员支出和公用支出。</w:t>
      </w:r>
    </w:p>
    <w:p w14:paraId="51F1B336">
      <w:pPr>
        <w:pStyle w:val="16"/>
        <w:keepNext w:val="0"/>
        <w:keepLines w:val="0"/>
        <w:pageBreakBefore w:val="0"/>
        <w:widowControl w:val="0"/>
        <w:suppressLineNumbers w:val="0"/>
        <w:shd w:val="clear" w:fill="FFFFFF"/>
        <w:kinsoku/>
        <w:wordWrap/>
        <w:overflowPunct/>
        <w:topLinePunct w:val="0"/>
        <w:autoSpaceDE w:val="0"/>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shd w:val="clear" w:fill="FFFFFF"/>
          <w:lang w:val="en-US"/>
        </w:rPr>
      </w:pPr>
      <w:r>
        <w:rPr>
          <w:rFonts w:hint="eastAsia" w:ascii="仿宋_GB2312" w:hAnsi="仿宋_GB2312" w:eastAsia="仿宋_GB2312" w:cs="仿宋_GB2312"/>
          <w:sz w:val="32"/>
          <w:szCs w:val="32"/>
          <w:shd w:val="clear" w:fill="FFFFFF"/>
          <w:lang w:val="en-US"/>
        </w:rPr>
        <w:t>18.</w:t>
      </w:r>
      <w:r>
        <w:rPr>
          <w:rFonts w:hint="eastAsia" w:ascii="仿宋_GB2312" w:hAnsi="仿宋_GB2312" w:eastAsia="仿宋_GB2312" w:cs="仿宋_GB2312"/>
          <w:sz w:val="32"/>
          <w:szCs w:val="32"/>
          <w:shd w:val="clear" w:fill="FFFFFF"/>
          <w:lang w:eastAsia="zh-CN"/>
        </w:rPr>
        <w:t>项目支出：指在基本支出之外为完成特定行政任务和事业发展目标所发生的支出。</w:t>
      </w:r>
    </w:p>
    <w:p w14:paraId="1E04428D">
      <w:pPr>
        <w:pStyle w:val="16"/>
        <w:keepNext w:val="0"/>
        <w:keepLines w:val="0"/>
        <w:pageBreakBefore w:val="0"/>
        <w:widowControl w:val="0"/>
        <w:suppressLineNumbers w:val="0"/>
        <w:shd w:val="clear" w:fill="FFFFFF"/>
        <w:kinsoku/>
        <w:wordWrap/>
        <w:overflowPunct/>
        <w:topLinePunct w:val="0"/>
        <w:autoSpaceDE w:val="0"/>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shd w:val="clear" w:fill="FFFFFF"/>
          <w:lang w:val="en-US"/>
        </w:rPr>
      </w:pPr>
      <w:r>
        <w:rPr>
          <w:rFonts w:hint="eastAsia" w:ascii="仿宋_GB2312" w:hAnsi="仿宋_GB2312" w:eastAsia="仿宋_GB2312" w:cs="仿宋_GB2312"/>
          <w:sz w:val="32"/>
          <w:szCs w:val="32"/>
          <w:shd w:val="clear" w:fill="FFFFFF"/>
          <w:lang w:val="en-US"/>
        </w:rPr>
        <w:t>19.</w:t>
      </w:r>
      <w:r>
        <w:rPr>
          <w:rFonts w:hint="eastAsia" w:ascii="仿宋_GB2312" w:hAnsi="仿宋_GB2312" w:eastAsia="仿宋_GB2312" w:cs="仿宋_GB2312"/>
          <w:sz w:val="32"/>
          <w:szCs w:val="32"/>
          <w:shd w:val="clear" w:fill="FFFFFF"/>
          <w:lang w:eastAsia="zh-CN"/>
        </w:rPr>
        <w:t>经营支出：指事业单位在专业业务活动及其辅助活动之外开展非独立核算经营活动发生的支出。</w:t>
      </w:r>
    </w:p>
    <w:p w14:paraId="55D150E0">
      <w:pPr>
        <w:pStyle w:val="16"/>
        <w:keepNext w:val="0"/>
        <w:keepLines w:val="0"/>
        <w:pageBreakBefore w:val="0"/>
        <w:widowControl w:val="0"/>
        <w:suppressLineNumbers w:val="0"/>
        <w:shd w:val="clear" w:fill="FFFFFF"/>
        <w:kinsoku/>
        <w:wordWrap/>
        <w:overflowPunct/>
        <w:topLinePunct w:val="0"/>
        <w:autoSpaceDE w:val="0"/>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shd w:val="clear" w:fill="FFFFFF"/>
          <w:lang w:val="en-US"/>
        </w:rPr>
      </w:pPr>
      <w:r>
        <w:rPr>
          <w:rFonts w:hint="eastAsia" w:ascii="仿宋_GB2312" w:hAnsi="仿宋_GB2312" w:eastAsia="仿宋_GB2312" w:cs="仿宋_GB2312"/>
          <w:sz w:val="32"/>
          <w:szCs w:val="32"/>
          <w:shd w:val="clear" w:fill="FFFFFF"/>
          <w:lang w:val="en-US"/>
        </w:rPr>
        <w:t>20.</w:t>
      </w:r>
      <w:r>
        <w:rPr>
          <w:rFonts w:hint="eastAsia" w:ascii="仿宋_GB2312" w:hAnsi="仿宋_GB2312" w:eastAsia="仿宋_GB2312" w:cs="仿宋_GB2312"/>
          <w:sz w:val="32"/>
          <w:szCs w:val="32"/>
          <w:shd w:val="clear" w:fill="FFFFFF"/>
          <w:lang w:eastAsia="zh-CN"/>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7D261E8A">
      <w:pPr>
        <w:pStyle w:val="16"/>
        <w:keepNext w:val="0"/>
        <w:keepLines w:val="0"/>
        <w:pageBreakBefore w:val="0"/>
        <w:widowControl w:val="0"/>
        <w:suppressLineNumbers w:val="0"/>
        <w:shd w:val="clear" w:fill="FFFFFF"/>
        <w:kinsoku/>
        <w:wordWrap/>
        <w:overflowPunct/>
        <w:topLinePunct w:val="0"/>
        <w:autoSpaceDE w:val="0"/>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shd w:val="clear" w:fill="FFFFFF"/>
          <w:lang w:val="en-US"/>
        </w:rPr>
      </w:pPr>
      <w:r>
        <w:rPr>
          <w:rFonts w:hint="eastAsia" w:ascii="仿宋_GB2312" w:hAnsi="仿宋_GB2312" w:eastAsia="仿宋_GB2312" w:cs="仿宋_GB2312"/>
          <w:sz w:val="32"/>
          <w:szCs w:val="32"/>
          <w:shd w:val="clear" w:fill="FFFFFF"/>
          <w:lang w:val="en-US"/>
        </w:rPr>
        <w:t>21.</w:t>
      </w:r>
      <w:r>
        <w:rPr>
          <w:rFonts w:hint="eastAsia" w:ascii="仿宋_GB2312" w:hAnsi="仿宋_GB2312" w:eastAsia="仿宋_GB2312" w:cs="仿宋_GB2312"/>
          <w:sz w:val="32"/>
          <w:szCs w:val="32"/>
          <w:shd w:val="clear" w:fill="FFFFFF"/>
          <w:lang w:eastAsia="zh-CN"/>
        </w:rPr>
        <w:t xml:space="preserve">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 </w:t>
      </w:r>
    </w:p>
    <w:p w14:paraId="610B308B">
      <w:pPr>
        <w:spacing w:line="600" w:lineRule="exact"/>
        <w:ind w:firstLine="640"/>
        <w:rPr>
          <w:rFonts w:eastAsia="仿宋_GB2312" w:cs="仿宋_GB2312"/>
          <w:b/>
          <w:bCs/>
          <w:sz w:val="32"/>
          <w:szCs w:val="32"/>
        </w:rPr>
      </w:pPr>
    </w:p>
    <w:p w14:paraId="0EF6E6DE">
      <w:pPr>
        <w:spacing w:line="600" w:lineRule="exact"/>
        <w:jc w:val="center"/>
        <w:rPr>
          <w:rStyle w:val="30"/>
          <w:rFonts w:eastAsia="黑体"/>
          <w:b w:val="0"/>
        </w:rPr>
      </w:pPr>
      <w:bookmarkStart w:id="45" w:name="_Toc15377226"/>
      <w:r>
        <w:rPr>
          <w:rFonts w:hint="eastAsia" w:eastAsia="仿宋_GB2312" w:cs="仿宋_GB2312"/>
          <w:sz w:val="32"/>
          <w:szCs w:val="32"/>
        </w:rPr>
        <w:br w:type="page"/>
      </w:r>
      <w:bookmarkStart w:id="46" w:name="_Toc15396614"/>
      <w:r>
        <w:rPr>
          <w:rFonts w:hint="eastAsia" w:eastAsia="黑体"/>
          <w:sz w:val="44"/>
          <w:szCs w:val="44"/>
        </w:rPr>
        <w:t>第四部分  附件</w:t>
      </w:r>
      <w:bookmarkEnd w:id="46"/>
    </w:p>
    <w:p w14:paraId="43288BAC">
      <w:pPr>
        <w:spacing w:line="572" w:lineRule="exact"/>
        <w:jc w:val="left"/>
        <w:outlineLvl w:val="0"/>
        <w:rPr>
          <w:rFonts w:eastAsia="黑体" w:cs="黑体"/>
          <w:color w:val="FF0000"/>
          <w:sz w:val="32"/>
          <w:szCs w:val="32"/>
        </w:rPr>
      </w:pPr>
    </w:p>
    <w:p w14:paraId="64B6DFC0">
      <w:pPr>
        <w:spacing w:line="572" w:lineRule="exact"/>
        <w:jc w:val="left"/>
        <w:outlineLvl w:val="0"/>
        <w:rPr>
          <w:rFonts w:eastAsia="黑体" w:cs="方正小标宋简体"/>
          <w:sz w:val="44"/>
          <w:szCs w:val="44"/>
        </w:rPr>
      </w:pPr>
      <w:r>
        <w:rPr>
          <w:rFonts w:hint="eastAsia" w:eastAsia="黑体" w:cs="黑体"/>
          <w:sz w:val="32"/>
          <w:szCs w:val="32"/>
        </w:rPr>
        <w:t>附件1</w:t>
      </w:r>
    </w:p>
    <w:p w14:paraId="74C2AE10">
      <w:pPr>
        <w:widowControl/>
        <w:spacing w:line="578" w:lineRule="exact"/>
        <w:contextualSpacing/>
        <w:jc w:val="center"/>
        <w:rPr>
          <w:rFonts w:eastAsia="方正小标宋简体"/>
          <w:bCs/>
          <w:sz w:val="44"/>
          <w:szCs w:val="44"/>
          <w:shd w:val="clear" w:color="auto" w:fill="FFFFFF"/>
        </w:rPr>
      </w:pPr>
    </w:p>
    <w:p w14:paraId="39FB58D2">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eastAsia" w:eastAsia="方正小标宋简体" w:cs="Times New Roman"/>
          <w:b w:val="0"/>
          <w:bCs/>
          <w:sz w:val="44"/>
          <w:szCs w:val="44"/>
          <w:highlight w:val="none"/>
          <w:shd w:val="clear" w:color="auto" w:fill="FFFFFF"/>
          <w:lang w:eastAsia="zh-CN"/>
        </w:rPr>
        <w:t>汶川县人民法院</w:t>
      </w: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14:paraId="25A3C17D">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14:paraId="03117F00">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highlight w:val="none"/>
          <w:shd w:val="clear" w:color="auto" w:fill="FFFFFF"/>
          <w:lang w:val="zh-CN"/>
        </w:rPr>
        <w:t>一、部门（单位）基本情况</w:t>
      </w:r>
    </w:p>
    <w:p w14:paraId="7D709C02">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color w:val="000000"/>
          <w:kern w:val="0"/>
          <w:sz w:val="32"/>
          <w:szCs w:val="32"/>
          <w:highlight w:val="none"/>
          <w:shd w:val="clear" w:color="auto" w:fill="FFFFFF"/>
          <w:lang w:val="zh-CN"/>
        </w:rPr>
        <w:t>（一）机构组成。</w:t>
      </w:r>
      <w:r>
        <w:rPr>
          <w:rFonts w:hint="eastAsia" w:ascii="仿宋_GB2312" w:hAnsi="仿宋_GB2312" w:eastAsia="仿宋_GB2312" w:cs="仿宋_GB2312"/>
          <w:sz w:val="32"/>
          <w:szCs w:val="32"/>
          <w:lang w:val="en-US" w:eastAsia="zh-CN"/>
        </w:rPr>
        <w:t>汶川县人民法院</w:t>
      </w:r>
      <w:r>
        <w:rPr>
          <w:rFonts w:hint="eastAsia" w:ascii="仿宋_GB2312" w:hAnsi="仿宋_GB2312" w:eastAsia="仿宋_GB2312" w:cs="仿宋_GB2312"/>
          <w:sz w:val="32"/>
          <w:szCs w:val="32"/>
          <w:lang w:eastAsia="zh-CN"/>
        </w:rPr>
        <w:t>内设</w:t>
      </w:r>
      <w:r>
        <w:rPr>
          <w:rFonts w:hint="eastAsia" w:ascii="仿宋_GB2312" w:hAnsi="仿宋_GB2312" w:eastAsia="仿宋_GB2312" w:cs="仿宋_GB2312"/>
          <w:sz w:val="32"/>
          <w:szCs w:val="32"/>
          <w:lang w:val="en-US" w:eastAsia="zh-CN"/>
        </w:rPr>
        <w:t>9个</w:t>
      </w:r>
      <w:r>
        <w:rPr>
          <w:rFonts w:hint="eastAsia" w:ascii="仿宋_GB2312" w:hAnsi="仿宋_GB2312" w:eastAsia="仿宋_GB2312" w:cs="仿宋_GB2312"/>
          <w:sz w:val="32"/>
          <w:szCs w:val="32"/>
        </w:rPr>
        <w:t>处室</w:t>
      </w:r>
      <w:r>
        <w:rPr>
          <w:rFonts w:hint="eastAsia" w:ascii="仿宋_GB2312" w:hAnsi="仿宋_GB2312" w:eastAsia="仿宋_GB2312" w:cs="仿宋_GB2312"/>
          <w:sz w:val="32"/>
          <w:szCs w:val="32"/>
          <w:lang w:eastAsia="zh-CN"/>
        </w:rPr>
        <w:t>及</w:t>
      </w:r>
      <w:r>
        <w:rPr>
          <w:rFonts w:hint="eastAsia" w:ascii="仿宋_GB2312" w:hAnsi="仿宋_GB2312" w:eastAsia="仿宋_GB2312" w:cs="仿宋_GB2312"/>
          <w:sz w:val="32"/>
          <w:szCs w:val="32"/>
          <w:lang w:val="en-US" w:eastAsia="zh-CN"/>
        </w:rPr>
        <w:t>5个基层法庭</w:t>
      </w:r>
      <w:r>
        <w:rPr>
          <w:rFonts w:hint="eastAsia" w:ascii="仿宋_GB2312" w:hAnsi="仿宋_GB2312" w:eastAsia="仿宋_GB2312" w:cs="仿宋_GB2312"/>
          <w:sz w:val="32"/>
          <w:szCs w:val="32"/>
        </w:rPr>
        <w:t>。</w:t>
      </w:r>
    </w:p>
    <w:p w14:paraId="3B7AA3B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_GB2312" w:eastAsia="仿宋_GB2312" w:cs="仿宋_GB2312"/>
          <w:sz w:val="32"/>
          <w:szCs w:val="32"/>
          <w:u w:val="none"/>
        </w:rPr>
      </w:pPr>
      <w:r>
        <w:rPr>
          <w:rFonts w:hint="eastAsia" w:ascii="仿宋_GB2312" w:hAnsi="仿宋_GB2312" w:eastAsia="仿宋_GB2312" w:cs="仿宋_GB2312"/>
          <w:b/>
          <w:bCs/>
          <w:color w:val="000000"/>
          <w:kern w:val="0"/>
          <w:sz w:val="32"/>
          <w:szCs w:val="32"/>
          <w:highlight w:val="none"/>
          <w:shd w:val="clear" w:color="auto" w:fill="FFFFFF"/>
          <w:lang w:val="zh-CN"/>
        </w:rPr>
        <w:t>（二）机构职能。</w:t>
      </w:r>
      <w:r>
        <w:rPr>
          <w:rFonts w:hint="eastAsia" w:ascii="仿宋_GB2312" w:hAnsi="仿宋_GB2312" w:eastAsia="仿宋_GB2312" w:cs="仿宋_GB2312"/>
          <w:sz w:val="32"/>
          <w:szCs w:val="32"/>
          <w:u w:val="none"/>
        </w:rPr>
        <w:t xml:space="preserve">县人民法院是国家审判机关，依法独立行使审判权，接受上级人民法院的监督和指导，对县人民代表大会及其常务委员会负责并报告工作。其主要职责是：     </w:t>
      </w:r>
      <w:r>
        <w:rPr>
          <w:rFonts w:ascii="仿宋_GB2312" w:eastAsia="仿宋_GB2312" w:cs="仿宋_GB2312"/>
          <w:sz w:val="32"/>
          <w:szCs w:val="32"/>
          <w:u w:val="none"/>
        </w:rPr>
        <w:t xml:space="preserve">               </w:t>
      </w:r>
    </w:p>
    <w:p w14:paraId="670A741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u w:val="none"/>
        </w:rPr>
      </w:pPr>
      <w:r>
        <w:rPr>
          <w:rFonts w:ascii="仿宋_GB2312" w:eastAsia="仿宋_GB2312" w:cs="仿宋_GB2312"/>
          <w:sz w:val="32"/>
          <w:szCs w:val="32"/>
          <w:u w:val="none"/>
        </w:rPr>
        <w:t>1.</w:t>
      </w:r>
      <w:r>
        <w:rPr>
          <w:rFonts w:hint="eastAsia" w:ascii="仿宋_GB2312" w:eastAsia="仿宋_GB2312" w:cs="仿宋_GB2312"/>
          <w:sz w:val="32"/>
          <w:szCs w:val="32"/>
          <w:u w:val="none"/>
        </w:rPr>
        <w:t>审判法律规定、上级人民法院指定由县法院管辖以及县法院认为应当由自己审判的刑事、民事、行政等第一审案件。</w:t>
      </w:r>
    </w:p>
    <w:p w14:paraId="567BF29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2.审查处理不服本院判决各类申诉案件。</w:t>
      </w:r>
    </w:p>
    <w:p w14:paraId="07013E6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3.监督、指导人民法庭的审判工作。</w:t>
      </w:r>
    </w:p>
    <w:p w14:paraId="362154E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4.依法行使司法执行权和司法决定权。</w:t>
      </w:r>
    </w:p>
    <w:p w14:paraId="1556D86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5.依法决定国家赔偿。</w:t>
      </w:r>
    </w:p>
    <w:p w14:paraId="14185B5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6.管理、协调本院的审判和执行工作。</w:t>
      </w:r>
    </w:p>
    <w:p w14:paraId="55F6D93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7.负责全院思想政治、教育培训工作；按照权限管理法官和其他人员；主管本法院的监察工作；领导院直属单位和群团工作。</w:t>
      </w:r>
    </w:p>
    <w:p w14:paraId="7464DD2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8.管理本法院的有关经费和物资装备。</w:t>
      </w:r>
    </w:p>
    <w:p w14:paraId="6993D33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9.结合审判工作宣传法制，教育公民遵守宪法和法律。</w:t>
      </w:r>
    </w:p>
    <w:p w14:paraId="1B200EB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10.承办其他应由本院负责的工作。</w:t>
      </w:r>
    </w:p>
    <w:p w14:paraId="0AA88B3C">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b/>
          <w:bCs/>
          <w:color w:val="000000"/>
          <w:kern w:val="0"/>
          <w:sz w:val="32"/>
          <w:szCs w:val="32"/>
          <w:highlight w:val="none"/>
          <w:shd w:val="clear" w:color="auto" w:fill="FFFFFF"/>
          <w:lang w:val="zh-CN"/>
        </w:rPr>
      </w:pPr>
      <w:r>
        <w:rPr>
          <w:rFonts w:hint="eastAsia" w:ascii="仿宋_GB2312" w:hAnsi="仿宋_GB2312" w:eastAsia="仿宋_GB2312" w:cs="仿宋_GB2312"/>
          <w:sz w:val="32"/>
          <w:szCs w:val="32"/>
          <w:u w:val="none"/>
        </w:rPr>
        <w:t>11.派出机构及职责。派出法庭设绵虒、映秀</w:t>
      </w:r>
      <w:r>
        <w:rPr>
          <w:rFonts w:hint="eastAsia" w:ascii="仿宋_GB2312" w:hAnsi="仿宋_GB2312" w:eastAsia="仿宋_GB2312" w:cs="仿宋_GB2312"/>
          <w:sz w:val="32"/>
          <w:szCs w:val="32"/>
          <w:u w:val="none"/>
          <w:lang w:eastAsia="zh-CN"/>
        </w:rPr>
        <w:t>（卧龙）</w:t>
      </w:r>
      <w:r>
        <w:rPr>
          <w:rFonts w:hint="eastAsia" w:ascii="仿宋_GB2312" w:hAnsi="仿宋_GB2312" w:eastAsia="仿宋_GB2312" w:cs="仿宋_GB2312"/>
          <w:sz w:val="32"/>
          <w:szCs w:val="32"/>
          <w:u w:val="none"/>
        </w:rPr>
        <w:t>、漩口、</w:t>
      </w:r>
      <w:r>
        <w:rPr>
          <w:rFonts w:hint="eastAsia" w:ascii="仿宋_GB2312" w:hAnsi="仿宋_GB2312" w:eastAsia="仿宋_GB2312" w:cs="仿宋_GB2312"/>
          <w:sz w:val="32"/>
          <w:szCs w:val="32"/>
          <w:u w:val="none"/>
          <w:lang w:eastAsia="zh-CN"/>
        </w:rPr>
        <w:t>威州</w:t>
      </w:r>
      <w:r>
        <w:rPr>
          <w:rFonts w:hint="eastAsia" w:ascii="仿宋_GB2312" w:hAnsi="仿宋_GB2312" w:eastAsia="仿宋_GB2312" w:cs="仿宋_GB2312"/>
          <w:sz w:val="32"/>
          <w:szCs w:val="32"/>
          <w:u w:val="none"/>
          <w:lang w:val="en-US" w:eastAsia="zh-CN"/>
        </w:rPr>
        <w:t>5</w:t>
      </w:r>
      <w:r>
        <w:rPr>
          <w:rFonts w:hint="eastAsia" w:ascii="仿宋_GB2312" w:hAnsi="仿宋_GB2312" w:eastAsia="仿宋_GB2312" w:cs="仿宋_GB2312"/>
          <w:sz w:val="32"/>
          <w:szCs w:val="32"/>
          <w:u w:val="none"/>
        </w:rPr>
        <w:t>个人民法庭，依法审理和执行辖区内一般的民事案件，指导人民调解委员会工作及办理法庭审判工作有关的其他事项。</w:t>
      </w:r>
    </w:p>
    <w:p w14:paraId="3A8A4F8B">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b/>
          <w:bCs/>
          <w:color w:val="000000"/>
          <w:kern w:val="0"/>
          <w:sz w:val="32"/>
          <w:szCs w:val="32"/>
          <w:highlight w:val="none"/>
          <w:shd w:val="clear" w:color="auto" w:fill="FFFFFF"/>
          <w:lang w:val="zh-CN"/>
        </w:rPr>
        <w:t>（三）人员概况。</w:t>
      </w:r>
      <w:r>
        <w:rPr>
          <w:rFonts w:hint="eastAsia" w:ascii="仿宋_GB2312" w:hAnsi="仿宋_GB2312" w:eastAsia="仿宋_GB2312" w:cs="仿宋_GB2312"/>
          <w:sz w:val="32"/>
          <w:szCs w:val="32"/>
          <w:u w:val="none"/>
        </w:rPr>
        <w:t>截至202</w:t>
      </w:r>
      <w:r>
        <w:rPr>
          <w:rFonts w:hint="eastAsia" w:ascii="仿宋_GB2312" w:hAnsi="仿宋_GB2312" w:eastAsia="仿宋_GB2312" w:cs="仿宋_GB2312"/>
          <w:sz w:val="32"/>
          <w:szCs w:val="32"/>
          <w:u w:val="none"/>
          <w:lang w:val="en-US" w:eastAsia="zh-CN"/>
        </w:rPr>
        <w:t>5</w:t>
      </w:r>
      <w:r>
        <w:rPr>
          <w:rFonts w:hint="eastAsia" w:ascii="仿宋_GB2312" w:hAnsi="仿宋_GB2312" w:eastAsia="仿宋_GB2312" w:cs="仿宋_GB2312"/>
          <w:sz w:val="32"/>
          <w:szCs w:val="32"/>
          <w:u w:val="none"/>
        </w:rPr>
        <w:t>年末，</w:t>
      </w:r>
      <w:r>
        <w:rPr>
          <w:rFonts w:hint="eastAsia" w:ascii="仿宋_GB2312" w:hAnsi="仿宋_GB2312" w:eastAsia="仿宋_GB2312" w:cs="仿宋_GB2312"/>
          <w:sz w:val="32"/>
          <w:szCs w:val="32"/>
          <w:u w:val="none"/>
          <w:lang w:eastAsia="zh-CN"/>
        </w:rPr>
        <w:t>汶川县人民法院核定政法专项编制</w:t>
      </w:r>
      <w:r>
        <w:rPr>
          <w:rFonts w:hint="eastAsia" w:ascii="仿宋_GB2312" w:hAnsi="仿宋_GB2312" w:eastAsia="仿宋_GB2312" w:cs="仿宋_GB2312"/>
          <w:sz w:val="32"/>
          <w:szCs w:val="32"/>
          <w:u w:val="none"/>
          <w:lang w:val="en-US" w:eastAsia="zh-CN"/>
        </w:rPr>
        <w:t>68名，工勤编制2名，实有政法编制53名，工勤6名。</w:t>
      </w:r>
    </w:p>
    <w:p w14:paraId="2CD093BC">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rPr>
      </w:pPr>
      <w:r>
        <w:rPr>
          <w:rFonts w:hint="eastAsia" w:ascii="仿宋_GB2312" w:hAnsi="仿宋_GB2312" w:eastAsia="仿宋_GB2312" w:cs="仿宋_GB2312"/>
          <w:color w:val="000000"/>
          <w:kern w:val="0"/>
          <w:sz w:val="32"/>
          <w:szCs w:val="32"/>
          <w:highlight w:val="none"/>
          <w:shd w:val="clear" w:color="auto" w:fill="FFFFFF"/>
        </w:rPr>
        <w:t>二、</w:t>
      </w:r>
      <w:r>
        <w:rPr>
          <w:rFonts w:hint="eastAsia" w:ascii="仿宋_GB2312" w:hAnsi="仿宋_GB2312" w:eastAsia="仿宋_GB2312" w:cs="仿宋_GB2312"/>
          <w:color w:val="000000"/>
          <w:kern w:val="0"/>
          <w:sz w:val="32"/>
          <w:szCs w:val="32"/>
          <w:highlight w:val="none"/>
          <w:shd w:val="clear" w:color="auto" w:fill="FFFFFF"/>
          <w:lang w:eastAsia="zh-CN"/>
        </w:rPr>
        <w:t>部门</w:t>
      </w:r>
      <w:r>
        <w:rPr>
          <w:rFonts w:hint="eastAsia" w:ascii="仿宋_GB2312" w:hAnsi="仿宋_GB2312" w:eastAsia="仿宋_GB2312" w:cs="仿宋_GB2312"/>
          <w:color w:val="000000"/>
          <w:kern w:val="0"/>
          <w:sz w:val="32"/>
          <w:szCs w:val="32"/>
          <w:highlight w:val="none"/>
          <w:shd w:val="clear" w:color="auto" w:fill="FFFFFF"/>
        </w:rPr>
        <w:t>资金收支情况</w:t>
      </w:r>
    </w:p>
    <w:p w14:paraId="0228C98D">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b/>
          <w:bCs/>
          <w:color w:val="000000"/>
          <w:kern w:val="0"/>
          <w:sz w:val="32"/>
          <w:szCs w:val="32"/>
          <w:highlight w:val="none"/>
          <w:shd w:val="clear" w:color="auto" w:fill="FFFFFF"/>
          <w:lang w:val="zh-CN"/>
        </w:rPr>
        <w:t>（一）收入情况。</w:t>
      </w:r>
      <w:r>
        <w:rPr>
          <w:rFonts w:hint="eastAsia" w:ascii="仿宋_GB2312" w:hAnsi="仿宋_GB2312" w:eastAsia="仿宋_GB2312" w:cs="仿宋_GB2312"/>
          <w:sz w:val="32"/>
          <w:szCs w:val="32"/>
          <w:u w:val="none"/>
          <w:lang w:val="en-US" w:eastAsia="zh-CN"/>
        </w:rPr>
        <w:t>汶川县人民法院2025年年初预算收入2144.57万元、</w:t>
      </w:r>
      <w:r>
        <w:rPr>
          <w:rFonts w:hint="eastAsia" w:ascii="仿宋_GB2312" w:hAnsi="仿宋_GB2312" w:eastAsia="仿宋_GB2312" w:cs="仿宋_GB2312"/>
          <w:color w:val="auto"/>
          <w:kern w:val="2"/>
          <w:sz w:val="32"/>
          <w:szCs w:val="32"/>
          <w:lang w:val="en-US" w:eastAsia="zh-CN" w:bidi="ar-SA"/>
        </w:rPr>
        <w:t>年中调整预算数223.6万元，决算报表收入</w:t>
      </w:r>
      <w:r>
        <w:rPr>
          <w:rFonts w:hint="eastAsia" w:ascii="仿宋_GB2312" w:hAnsi="仿宋_GB2312" w:eastAsia="仿宋_GB2312" w:cs="仿宋_GB2312"/>
          <w:sz w:val="32"/>
          <w:szCs w:val="32"/>
          <w:u w:val="none"/>
          <w:lang w:val="en-US" w:eastAsia="zh-CN"/>
        </w:rPr>
        <w:t>2368.17</w:t>
      </w:r>
      <w:r>
        <w:rPr>
          <w:rFonts w:hint="eastAsia" w:ascii="仿宋_GB2312" w:hAnsi="仿宋_GB2312" w:eastAsia="仿宋_GB2312" w:cs="仿宋_GB2312"/>
          <w:color w:val="auto"/>
          <w:kern w:val="2"/>
          <w:sz w:val="32"/>
          <w:szCs w:val="32"/>
          <w:lang w:val="en-US" w:eastAsia="zh-CN" w:bidi="ar-SA"/>
        </w:rPr>
        <w:t>万元。其中：上年结转0.00万元，占0.00</w:t>
      </w:r>
      <w:r>
        <w:rPr>
          <w:rFonts w:hint="eastAsia" w:ascii="仿宋_GB2312" w:hAnsi="仿宋_GB2312" w:eastAsia="仿宋_GB2312" w:cs="仿宋_GB2312"/>
          <w:color w:val="auto"/>
          <w:kern w:val="2"/>
          <w:sz w:val="32"/>
          <w:szCs w:val="32"/>
          <w:lang w:val="en" w:eastAsia="zh-CN" w:bidi="ar-SA"/>
        </w:rPr>
        <w:t>%；</w:t>
      </w:r>
      <w:r>
        <w:rPr>
          <w:rFonts w:hint="eastAsia" w:ascii="仿宋_GB2312" w:hAnsi="仿宋_GB2312" w:eastAsia="仿宋_GB2312" w:cs="仿宋_GB2312"/>
          <w:color w:val="auto"/>
          <w:kern w:val="2"/>
          <w:sz w:val="32"/>
          <w:szCs w:val="32"/>
          <w:lang w:val="en-US" w:eastAsia="zh-CN" w:bidi="ar-SA"/>
        </w:rPr>
        <w:t>一般公共预算拨款收入1863.95万元，占78.7</w:t>
      </w:r>
      <w:r>
        <w:rPr>
          <w:rFonts w:hint="eastAsia" w:ascii="仿宋_GB2312" w:hAnsi="仿宋_GB2312" w:eastAsia="仿宋_GB2312" w:cs="仿宋_GB2312"/>
          <w:color w:val="auto"/>
          <w:kern w:val="2"/>
          <w:sz w:val="32"/>
          <w:szCs w:val="32"/>
          <w:lang w:val="en" w:eastAsia="zh-CN" w:bidi="ar-SA"/>
        </w:rPr>
        <w:t>%；其他收入（县级财政拨款收入）</w:t>
      </w:r>
      <w:r>
        <w:rPr>
          <w:rFonts w:hint="eastAsia" w:ascii="仿宋_GB2312" w:hAnsi="仿宋_GB2312" w:eastAsia="仿宋_GB2312" w:cs="仿宋_GB2312"/>
          <w:color w:val="auto"/>
          <w:kern w:val="2"/>
          <w:sz w:val="32"/>
          <w:szCs w:val="32"/>
          <w:lang w:val="en-US" w:eastAsia="zh-CN" w:bidi="ar-SA"/>
        </w:rPr>
        <w:t>504.22万元，占21.3%；</w:t>
      </w:r>
      <w:r>
        <w:rPr>
          <w:rFonts w:hint="eastAsia" w:ascii="仿宋_GB2312" w:hAnsi="仿宋_GB2312" w:eastAsia="仿宋_GB2312" w:cs="仿宋_GB2312"/>
          <w:color w:val="auto"/>
          <w:kern w:val="2"/>
          <w:sz w:val="32"/>
          <w:szCs w:val="32"/>
          <w:lang w:val="en" w:eastAsia="zh-CN" w:bidi="ar-SA"/>
        </w:rPr>
        <w:t>政府性基金预算财政拨款收入</w:t>
      </w:r>
      <w:r>
        <w:rPr>
          <w:rFonts w:hint="eastAsia" w:ascii="仿宋_GB2312" w:hAnsi="仿宋_GB2312" w:eastAsia="仿宋_GB2312" w:cs="仿宋_GB2312"/>
          <w:color w:val="auto"/>
          <w:kern w:val="2"/>
          <w:sz w:val="32"/>
          <w:szCs w:val="32"/>
          <w:lang w:val="en-US" w:eastAsia="zh-CN" w:bidi="ar-SA"/>
        </w:rPr>
        <w:t>0.00万元，占0.00％</w:t>
      </w:r>
      <w:r>
        <w:rPr>
          <w:rFonts w:hint="eastAsia" w:ascii="仿宋_GB2312" w:hAnsi="仿宋_GB2312" w:eastAsia="仿宋_GB2312" w:cs="仿宋_GB2312"/>
          <w:color w:val="auto"/>
          <w:kern w:val="2"/>
          <w:sz w:val="32"/>
          <w:szCs w:val="32"/>
          <w:lang w:val="en" w:eastAsia="zh-CN" w:bidi="ar-SA"/>
        </w:rPr>
        <w:t>。</w:t>
      </w:r>
      <w:bookmarkStart w:id="62" w:name="_GoBack"/>
      <w:bookmarkEnd w:id="62"/>
    </w:p>
    <w:p w14:paraId="6A0AB6F3">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b/>
          <w:bCs/>
          <w:color w:val="000000"/>
          <w:kern w:val="0"/>
          <w:sz w:val="32"/>
          <w:szCs w:val="32"/>
          <w:highlight w:val="none"/>
          <w:shd w:val="clear" w:color="auto" w:fill="FFFFFF"/>
          <w:lang w:val="zh-CN"/>
        </w:rPr>
        <w:t>（二）支出情况。</w:t>
      </w:r>
      <w:r>
        <w:rPr>
          <w:rFonts w:hint="eastAsia" w:ascii="仿宋_GB2312" w:hAnsi="仿宋_GB2312" w:eastAsia="仿宋_GB2312" w:cs="仿宋_GB2312"/>
          <w:sz w:val="32"/>
          <w:szCs w:val="32"/>
          <w:u w:val="none"/>
          <w:lang w:val="en-US" w:eastAsia="zh-CN"/>
        </w:rPr>
        <w:t>汶川县人民法院2025年年初预算支出2144.57万元、</w:t>
      </w:r>
      <w:r>
        <w:rPr>
          <w:rFonts w:hint="eastAsia" w:ascii="仿宋_GB2312" w:hAnsi="仿宋_GB2312" w:eastAsia="仿宋_GB2312" w:cs="仿宋_GB2312"/>
          <w:color w:val="auto"/>
          <w:kern w:val="2"/>
          <w:sz w:val="32"/>
          <w:szCs w:val="32"/>
          <w:lang w:val="en-US" w:eastAsia="zh-CN" w:bidi="ar-SA"/>
        </w:rPr>
        <w:t>年中调整预算支出为223.6万元，</w:t>
      </w:r>
      <w:r>
        <w:rPr>
          <w:rFonts w:hint="eastAsia" w:ascii="仿宋_GB2312" w:hAnsi="仿宋_GB2312" w:eastAsia="仿宋_GB2312" w:cs="仿宋_GB2312"/>
          <w:sz w:val="32"/>
          <w:szCs w:val="32"/>
          <w:u w:val="none"/>
          <w:lang w:val="en-US" w:eastAsia="zh-CN"/>
        </w:rPr>
        <w:t>决算报表支出2406.34万元。</w:t>
      </w:r>
      <w:r>
        <w:rPr>
          <w:rFonts w:hint="eastAsia" w:ascii="仿宋_GB2312" w:hAnsi="仿宋_GB2312" w:eastAsia="仿宋_GB2312" w:cs="仿宋_GB2312"/>
          <w:sz w:val="32"/>
          <w:szCs w:val="32"/>
          <w:highlight w:val="none"/>
        </w:rPr>
        <w:t>其中：基本支出</w:t>
      </w:r>
      <w:r>
        <w:rPr>
          <w:rFonts w:hint="eastAsia" w:ascii="仿宋_GB2312" w:hAnsi="仿宋_GB2312" w:eastAsia="仿宋_GB2312" w:cs="仿宋_GB2312"/>
          <w:sz w:val="32"/>
          <w:szCs w:val="32"/>
          <w:highlight w:val="none"/>
          <w:lang w:val="en-US" w:eastAsia="zh-CN"/>
        </w:rPr>
        <w:t>1854.78</w:t>
      </w:r>
      <w:r>
        <w:rPr>
          <w:rFonts w:hint="eastAsia" w:ascii="仿宋_GB2312" w:hAnsi="仿宋_GB2312" w:eastAsia="仿宋_GB2312" w:cs="仿宋_GB2312"/>
          <w:sz w:val="32"/>
          <w:szCs w:val="32"/>
          <w:highlight w:val="none"/>
        </w:rPr>
        <w:t>万元，占</w:t>
      </w:r>
      <w:r>
        <w:rPr>
          <w:rFonts w:hint="eastAsia" w:ascii="仿宋_GB2312" w:hAnsi="仿宋_GB2312" w:eastAsia="仿宋_GB2312" w:cs="仿宋_GB2312"/>
          <w:sz w:val="32"/>
          <w:szCs w:val="32"/>
          <w:highlight w:val="none"/>
          <w:lang w:val="en-US" w:eastAsia="zh-CN"/>
        </w:rPr>
        <w:t>77.08</w:t>
      </w:r>
      <w:r>
        <w:rPr>
          <w:rFonts w:hint="eastAsia" w:ascii="仿宋_GB2312" w:hAnsi="仿宋_GB2312" w:eastAsia="仿宋_GB2312" w:cs="仿宋_GB2312"/>
          <w:sz w:val="32"/>
          <w:szCs w:val="32"/>
          <w:highlight w:val="none"/>
          <w:lang w:val="en" w:eastAsia="zh-CN"/>
        </w:rPr>
        <w:t>%；</w:t>
      </w:r>
      <w:r>
        <w:rPr>
          <w:rFonts w:hint="eastAsia" w:ascii="仿宋_GB2312" w:hAnsi="仿宋_GB2312" w:eastAsia="仿宋_GB2312" w:cs="仿宋_GB2312"/>
          <w:sz w:val="32"/>
          <w:szCs w:val="32"/>
          <w:highlight w:val="none"/>
        </w:rPr>
        <w:t>项目支出</w:t>
      </w:r>
      <w:r>
        <w:rPr>
          <w:rFonts w:hint="eastAsia" w:ascii="仿宋_GB2312" w:hAnsi="仿宋_GB2312" w:eastAsia="仿宋_GB2312" w:cs="仿宋_GB2312"/>
          <w:sz w:val="32"/>
          <w:szCs w:val="32"/>
          <w:highlight w:val="none"/>
          <w:lang w:val="en-US" w:eastAsia="zh-CN"/>
        </w:rPr>
        <w:t>551.56</w:t>
      </w:r>
      <w:r>
        <w:rPr>
          <w:rFonts w:hint="eastAsia" w:ascii="仿宋_GB2312" w:hAnsi="仿宋_GB2312" w:eastAsia="仿宋_GB2312" w:cs="仿宋_GB2312"/>
          <w:sz w:val="32"/>
          <w:szCs w:val="32"/>
          <w:highlight w:val="none"/>
        </w:rPr>
        <w:t>万元，占</w:t>
      </w:r>
      <w:r>
        <w:rPr>
          <w:rFonts w:hint="eastAsia" w:ascii="仿宋_GB2312" w:hAnsi="仿宋_GB2312" w:eastAsia="仿宋_GB2312" w:cs="仿宋_GB2312"/>
          <w:sz w:val="32"/>
          <w:szCs w:val="32"/>
          <w:highlight w:val="none"/>
          <w:lang w:val="en-US" w:eastAsia="zh-CN"/>
        </w:rPr>
        <w:t>22.92</w:t>
      </w:r>
      <w:r>
        <w:rPr>
          <w:rFonts w:hint="eastAsia" w:ascii="仿宋_GB2312" w:hAnsi="仿宋_GB2312" w:eastAsia="仿宋_GB2312" w:cs="仿宋_GB2312"/>
          <w:sz w:val="32"/>
          <w:szCs w:val="32"/>
          <w:highlight w:val="none"/>
          <w:lang w:val="en" w:eastAsia="zh-CN"/>
        </w:rPr>
        <w:t>%</w:t>
      </w:r>
      <w:r>
        <w:rPr>
          <w:rFonts w:hint="eastAsia" w:ascii="仿宋_GB2312" w:hAnsi="仿宋_GB2312" w:eastAsia="仿宋_GB2312" w:cs="仿宋_GB2312"/>
          <w:sz w:val="32"/>
          <w:szCs w:val="32"/>
          <w:highlight w:val="none"/>
        </w:rPr>
        <w:t>。</w:t>
      </w:r>
    </w:p>
    <w:p w14:paraId="3B95289D">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仿宋_GB2312" w:hAnsi="仿宋_GB2312" w:eastAsia="仿宋_GB2312" w:cs="仿宋_GB2312"/>
          <w:sz w:val="32"/>
          <w:szCs w:val="32"/>
          <w:u w:val="none"/>
          <w:lang w:val="zh-CN" w:eastAsia="zh-CN"/>
        </w:rPr>
      </w:pPr>
      <w:r>
        <w:rPr>
          <w:rFonts w:hint="eastAsia" w:ascii="仿宋_GB2312" w:hAnsi="仿宋_GB2312" w:eastAsia="仿宋_GB2312" w:cs="仿宋_GB2312"/>
          <w:b/>
          <w:bCs/>
          <w:color w:val="000000"/>
          <w:kern w:val="0"/>
          <w:sz w:val="32"/>
          <w:szCs w:val="32"/>
          <w:highlight w:val="none"/>
          <w:shd w:val="clear" w:color="auto" w:fill="FFFFFF"/>
          <w:lang w:val="zh-CN"/>
        </w:rPr>
        <w:t>（三）</w:t>
      </w:r>
      <w:r>
        <w:rPr>
          <w:rFonts w:hint="eastAsia" w:ascii="仿宋_GB2312" w:hAnsi="仿宋_GB2312" w:eastAsia="仿宋_GB2312" w:cs="仿宋_GB2312"/>
          <w:b/>
          <w:sz w:val="32"/>
          <w:szCs w:val="32"/>
        </w:rPr>
        <w:t>结余分配和结转结余情况</w:t>
      </w:r>
      <w:r>
        <w:rPr>
          <w:rFonts w:hint="eastAsia" w:ascii="仿宋_GB2312" w:hAnsi="仿宋_GB2312" w:eastAsia="仿宋_GB2312" w:cs="仿宋_GB2312"/>
          <w:b/>
          <w:sz w:val="32"/>
          <w:szCs w:val="32"/>
          <w:lang w:eastAsia="zh-CN"/>
        </w:rPr>
        <w:t>。</w:t>
      </w:r>
      <w:r>
        <w:rPr>
          <w:rFonts w:hint="eastAsia" w:ascii="仿宋_GB2312" w:hAnsi="仿宋_GB2312" w:eastAsia="仿宋_GB2312" w:cs="仿宋_GB2312"/>
          <w:sz w:val="32"/>
          <w:szCs w:val="32"/>
          <w:u w:val="none"/>
          <w:lang w:val="en-US" w:eastAsia="zh-CN"/>
        </w:rPr>
        <w:t>汶川县人民法院2025年决算报表结转结余40.55万元，为援建资金。</w:t>
      </w:r>
    </w:p>
    <w:p w14:paraId="12FA3364">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rPr>
      </w:pPr>
      <w:r>
        <w:rPr>
          <w:rFonts w:hint="eastAsia" w:ascii="仿宋_GB2312" w:hAnsi="仿宋_GB2312" w:eastAsia="仿宋_GB2312" w:cs="仿宋_GB2312"/>
          <w:color w:val="000000"/>
          <w:kern w:val="0"/>
          <w:sz w:val="32"/>
          <w:szCs w:val="32"/>
          <w:highlight w:val="none"/>
          <w:shd w:val="clear" w:color="auto" w:fill="FFFFFF"/>
        </w:rPr>
        <w:t>三、</w:t>
      </w:r>
      <w:r>
        <w:rPr>
          <w:rFonts w:hint="eastAsia" w:ascii="仿宋_GB2312" w:hAnsi="仿宋_GB2312" w:eastAsia="仿宋_GB2312" w:cs="仿宋_GB2312"/>
          <w:color w:val="000000"/>
          <w:kern w:val="0"/>
          <w:sz w:val="32"/>
          <w:szCs w:val="32"/>
          <w:highlight w:val="none"/>
          <w:u w:val="none"/>
          <w:shd w:val="clear" w:color="auto" w:fill="FFFFFF"/>
        </w:rPr>
        <w:t>部门</w:t>
      </w:r>
      <w:r>
        <w:rPr>
          <w:rFonts w:hint="eastAsia" w:ascii="仿宋_GB2312" w:hAnsi="仿宋_GB2312" w:eastAsia="仿宋_GB2312" w:cs="仿宋_GB2312"/>
          <w:color w:val="000000"/>
          <w:kern w:val="0"/>
          <w:sz w:val="32"/>
          <w:szCs w:val="32"/>
          <w:highlight w:val="none"/>
          <w:u w:val="none"/>
          <w:shd w:val="clear" w:color="auto" w:fill="FFFFFF"/>
          <w:lang w:eastAsia="zh-CN"/>
        </w:rPr>
        <w:t>预算</w:t>
      </w:r>
      <w:r>
        <w:rPr>
          <w:rFonts w:hint="eastAsia" w:ascii="仿宋_GB2312" w:hAnsi="仿宋_GB2312" w:eastAsia="仿宋_GB2312" w:cs="仿宋_GB2312"/>
          <w:color w:val="000000"/>
          <w:kern w:val="0"/>
          <w:sz w:val="32"/>
          <w:szCs w:val="32"/>
          <w:highlight w:val="none"/>
          <w:u w:val="none"/>
          <w:shd w:val="clear" w:color="auto" w:fill="FFFFFF"/>
        </w:rPr>
        <w:t>绩效</w:t>
      </w:r>
      <w:r>
        <w:rPr>
          <w:rFonts w:hint="eastAsia" w:ascii="仿宋_GB2312" w:hAnsi="仿宋_GB2312" w:eastAsia="仿宋_GB2312" w:cs="仿宋_GB2312"/>
          <w:color w:val="000000"/>
          <w:kern w:val="0"/>
          <w:sz w:val="32"/>
          <w:szCs w:val="32"/>
          <w:highlight w:val="none"/>
          <w:u w:val="none"/>
          <w:shd w:val="clear" w:color="auto" w:fill="FFFFFF"/>
          <w:lang w:eastAsia="zh-CN"/>
        </w:rPr>
        <w:t>分析</w:t>
      </w:r>
    </w:p>
    <w:p w14:paraId="59DB388E">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zh-CN"/>
        </w:rPr>
      </w:pPr>
      <w:r>
        <w:rPr>
          <w:rFonts w:hint="eastAsia" w:ascii="仿宋_GB2312" w:hAnsi="仿宋_GB2312" w:eastAsia="仿宋_GB2312" w:cs="仿宋_GB2312"/>
          <w:b/>
          <w:bCs/>
          <w:color w:val="000000"/>
          <w:kern w:val="0"/>
          <w:sz w:val="32"/>
          <w:szCs w:val="32"/>
          <w:highlight w:val="none"/>
          <w:shd w:val="clear" w:color="auto" w:fill="FFFFFF"/>
          <w:lang w:val="zh-CN"/>
        </w:rPr>
        <w:t>（一）部门预算总体绩效分析。</w:t>
      </w:r>
    </w:p>
    <w:p w14:paraId="1717AF0A">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u w:val="none"/>
          <w:lang w:val="zh-CN"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1.</w:t>
      </w:r>
      <w:r>
        <w:rPr>
          <w:rFonts w:hint="eastAsia" w:ascii="仿宋_GB2312" w:hAnsi="仿宋_GB2312" w:eastAsia="仿宋_GB2312" w:cs="仿宋_GB2312"/>
          <w:color w:val="000000"/>
          <w:kern w:val="0"/>
          <w:sz w:val="32"/>
          <w:szCs w:val="32"/>
          <w:highlight w:val="none"/>
          <w:shd w:val="clear" w:color="auto" w:fill="FFFFFF"/>
          <w:lang w:val="zh-CN"/>
        </w:rPr>
        <w:t>履职效能。</w:t>
      </w:r>
      <w:r>
        <w:rPr>
          <w:rFonts w:hint="eastAsia" w:ascii="仿宋_GB2312" w:hAnsi="仿宋_GB2312" w:eastAsia="仿宋_GB2312" w:cs="仿宋_GB2312"/>
          <w:sz w:val="32"/>
          <w:szCs w:val="32"/>
          <w:u w:val="none"/>
          <w:lang w:val="zh-CN" w:eastAsia="zh-CN"/>
        </w:rPr>
        <w:t>审判管理履职效果方面。一是</w:t>
      </w:r>
      <w:r>
        <w:rPr>
          <w:rFonts w:hint="eastAsia" w:ascii="仿宋_GB2312" w:hAnsi="仿宋_GB2312" w:eastAsia="仿宋_GB2312" w:cs="仿宋_GB2312"/>
          <w:sz w:val="32"/>
          <w:szCs w:val="32"/>
          <w:u w:val="none"/>
          <w:lang w:val="en-US" w:eastAsia="zh-CN"/>
        </w:rPr>
        <w:t>一审裁判被改判率、一审裁判被发回重审率、生效裁判被改判率、生效裁判被发回重审率指标为0，</w:t>
      </w:r>
      <w:r>
        <w:rPr>
          <w:rFonts w:hint="eastAsia" w:ascii="仿宋_GB2312" w:hAnsi="仿宋_GB2312" w:eastAsia="仿宋_GB2312" w:cs="仿宋_GB2312"/>
          <w:sz w:val="32"/>
          <w:szCs w:val="32"/>
          <w:u w:val="none"/>
          <w:lang w:val="zh-CN" w:eastAsia="zh-CN"/>
        </w:rPr>
        <w:t>审判质效较高；二是</w:t>
      </w:r>
      <w:r>
        <w:rPr>
          <w:rFonts w:hint="eastAsia" w:ascii="仿宋_GB2312" w:hAnsi="仿宋_GB2312" w:eastAsia="仿宋_GB2312" w:cs="仿宋_GB2312"/>
          <w:sz w:val="32"/>
          <w:szCs w:val="32"/>
          <w:u w:val="none"/>
          <w:lang w:val="en-US" w:eastAsia="zh-CN"/>
        </w:rPr>
        <w:t>完成对外委托鉴定评估工作，</w:t>
      </w:r>
      <w:r>
        <w:rPr>
          <w:rFonts w:hint="eastAsia" w:ascii="仿宋_GB2312" w:hAnsi="仿宋_GB2312" w:eastAsia="仿宋_GB2312" w:cs="仿宋_GB2312"/>
          <w:sz w:val="32"/>
          <w:szCs w:val="32"/>
          <w:u w:val="none"/>
          <w:lang w:val="zh-CN" w:eastAsia="zh-CN"/>
        </w:rPr>
        <w:t>司法技术工作有效提升；三是完成</w:t>
      </w:r>
      <w:r>
        <w:rPr>
          <w:rFonts w:hint="eastAsia" w:ascii="仿宋_GB2312" w:hAnsi="仿宋_GB2312" w:eastAsia="仿宋_GB2312" w:cs="仿宋_GB2312"/>
          <w:sz w:val="32"/>
          <w:szCs w:val="32"/>
          <w:u w:val="none"/>
          <w:lang w:val="en-US" w:eastAsia="zh-CN"/>
        </w:rPr>
        <w:t>政治建设优质化、服务发展优质化、为民司法优质化、执行实施优质化、审判质效优质化、文化引领优质化</w:t>
      </w:r>
      <w:r>
        <w:rPr>
          <w:rFonts w:hint="eastAsia" w:ascii="仿宋_GB2312" w:hAnsi="仿宋_GB2312" w:eastAsia="仿宋_GB2312" w:cs="仿宋_GB2312"/>
          <w:sz w:val="32"/>
          <w:szCs w:val="32"/>
          <w:u w:val="none"/>
          <w:lang w:val="zh-CN" w:eastAsia="zh-CN"/>
        </w:rPr>
        <w:t>“六个优质化 ”工作；三是按期完成涉黑恶及“保护伞 ”线索核查反馈，实现“件件有着落、事事有回音 ”“清仓见底 ”。</w:t>
      </w:r>
    </w:p>
    <w:p w14:paraId="7C92B3B1">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2.</w:t>
      </w:r>
      <w:r>
        <w:rPr>
          <w:rFonts w:hint="eastAsia" w:ascii="仿宋_GB2312" w:hAnsi="仿宋_GB2312" w:eastAsia="仿宋_GB2312" w:cs="仿宋_GB2312"/>
          <w:color w:val="000000"/>
          <w:kern w:val="0"/>
          <w:sz w:val="32"/>
          <w:szCs w:val="32"/>
          <w:highlight w:val="none"/>
          <w:shd w:val="clear" w:color="auto" w:fill="FFFFFF"/>
          <w:lang w:val="zh-CN"/>
        </w:rPr>
        <w:t>预算管理。</w:t>
      </w:r>
      <w:r>
        <w:rPr>
          <w:rFonts w:hint="eastAsia" w:ascii="仿宋_GB2312" w:hAnsi="仿宋_GB2312" w:eastAsia="仿宋_GB2312" w:cs="仿宋_GB2312"/>
          <w:sz w:val="32"/>
          <w:szCs w:val="32"/>
          <w:u w:val="none"/>
          <w:lang w:val="zh-CN"/>
        </w:rPr>
        <w:t>一是部门严格按要求编制年初部门预算，年初预算编制的具有科学性和准确性。二是</w:t>
      </w:r>
      <w:r>
        <w:rPr>
          <w:rFonts w:hint="eastAsia" w:ascii="仿宋_GB2312" w:hAnsi="仿宋_GB2312" w:eastAsia="仿宋_GB2312" w:cs="仿宋_GB2312"/>
          <w:sz w:val="32"/>
          <w:szCs w:val="32"/>
          <w:u w:val="none"/>
          <w:lang w:val="en-US" w:eastAsia="zh-CN"/>
        </w:rPr>
        <w:t>2025年</w:t>
      </w:r>
      <w:r>
        <w:rPr>
          <w:rFonts w:hint="eastAsia" w:ascii="仿宋_GB2312" w:hAnsi="仿宋_GB2312" w:eastAsia="仿宋_GB2312" w:cs="仿宋_GB2312"/>
          <w:sz w:val="32"/>
          <w:szCs w:val="32"/>
          <w:u w:val="none"/>
          <w:lang w:val="zh-CN"/>
        </w:rPr>
        <w:t>年终部门预算结转金额</w:t>
      </w:r>
      <w:r>
        <w:rPr>
          <w:rFonts w:hint="eastAsia" w:ascii="仿宋_GB2312" w:hAnsi="仿宋_GB2312" w:eastAsia="仿宋_GB2312" w:cs="仿宋_GB2312"/>
          <w:sz w:val="32"/>
          <w:szCs w:val="32"/>
          <w:u w:val="none"/>
          <w:lang w:val="en-US" w:eastAsia="zh-CN"/>
        </w:rPr>
        <w:t>40.55万元，部门整体预算结余率为1.66%。</w:t>
      </w:r>
    </w:p>
    <w:p w14:paraId="38414455">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u w:val="none"/>
          <w:lang w:val="zh-CN"/>
        </w:rPr>
      </w:pPr>
      <w:r>
        <w:rPr>
          <w:rFonts w:hint="eastAsia" w:ascii="仿宋_GB2312" w:hAnsi="仿宋_GB2312" w:eastAsia="仿宋_GB2312" w:cs="仿宋_GB2312"/>
          <w:color w:val="000000"/>
          <w:kern w:val="0"/>
          <w:sz w:val="32"/>
          <w:szCs w:val="32"/>
          <w:highlight w:val="none"/>
          <w:shd w:val="clear" w:color="auto" w:fill="FFFFFF"/>
          <w:lang w:val="en-US" w:eastAsia="zh-CN"/>
        </w:rPr>
        <w:t>3.</w:t>
      </w:r>
      <w:r>
        <w:rPr>
          <w:rFonts w:hint="eastAsia" w:ascii="仿宋_GB2312" w:hAnsi="仿宋_GB2312" w:eastAsia="仿宋_GB2312" w:cs="仿宋_GB2312"/>
          <w:color w:val="000000"/>
          <w:kern w:val="0"/>
          <w:sz w:val="32"/>
          <w:szCs w:val="32"/>
          <w:highlight w:val="none"/>
          <w:shd w:val="clear" w:color="auto" w:fill="FFFFFF"/>
          <w:lang w:val="zh-CN"/>
        </w:rPr>
        <w:t>财务管理。</w:t>
      </w:r>
      <w:r>
        <w:rPr>
          <w:rFonts w:hint="eastAsia" w:ascii="仿宋_GB2312" w:hAnsi="仿宋_GB2312" w:eastAsia="仿宋_GB2312" w:cs="仿宋_GB2312"/>
          <w:sz w:val="32"/>
          <w:szCs w:val="32"/>
          <w:u w:val="none"/>
          <w:lang w:val="zh-CN"/>
        </w:rPr>
        <w:t>一是部门拟定了三重一大、汶川县法院票据管理办法、汶川县法院政府采购项目实施管理办法、汶川县人民法院财务管理制度、汶川县人民法院固定资产管理制度、汶川县人民法院预算等制度，严格按照规章制度处理财务事务，确保部门资金使用符合相关财务管理制度规定。二是合理设置财务工作岗位，会计一名、出纳一名、分管财务领导一名，明确职责权限，并严格实行不相容岗位分离的。三是严格按照财经纪律使用部门资金。</w:t>
      </w:r>
    </w:p>
    <w:p w14:paraId="4216D46C">
      <w:pPr>
        <w:adjustRightInd w:val="0"/>
        <w:snapToGrid w:val="0"/>
        <w:spacing w:line="578" w:lineRule="exact"/>
        <w:ind w:firstLine="640" w:firstLineChars="200"/>
        <w:contextualSpacing/>
        <w:jc w:val="left"/>
        <w:rPr>
          <w:rFonts w:hint="eastAsia" w:ascii="仿宋_GB2312" w:hAnsi="仿宋_GB2312" w:eastAsia="仿宋_GB2312" w:cs="仿宋_GB2312"/>
          <w:sz w:val="32"/>
          <w:szCs w:val="32"/>
          <w:u w:val="none"/>
          <w:lang w:val="zh-CN"/>
        </w:rPr>
      </w:pPr>
      <w:r>
        <w:rPr>
          <w:rFonts w:hint="eastAsia" w:ascii="仿宋_GB2312" w:hAnsi="仿宋_GB2312" w:eastAsia="仿宋_GB2312" w:cs="仿宋_GB2312"/>
          <w:color w:val="000000"/>
          <w:kern w:val="0"/>
          <w:sz w:val="32"/>
          <w:szCs w:val="32"/>
          <w:highlight w:val="none"/>
          <w:shd w:val="clear" w:color="auto" w:fill="FFFFFF"/>
          <w:lang w:val="en-US" w:eastAsia="zh-CN"/>
        </w:rPr>
        <w:t>4.</w:t>
      </w:r>
      <w:r>
        <w:rPr>
          <w:rFonts w:hint="eastAsia" w:ascii="仿宋_GB2312" w:hAnsi="仿宋_GB2312" w:eastAsia="仿宋_GB2312" w:cs="仿宋_GB2312"/>
          <w:color w:val="000000"/>
          <w:kern w:val="0"/>
          <w:sz w:val="32"/>
          <w:szCs w:val="32"/>
          <w:highlight w:val="none"/>
          <w:shd w:val="clear" w:color="auto" w:fill="FFFFFF"/>
          <w:lang w:val="zh-CN"/>
        </w:rPr>
        <w:t>资产管理。</w:t>
      </w:r>
      <w:r>
        <w:rPr>
          <w:rFonts w:hint="eastAsia" w:ascii="仿宋_GB2312" w:hAnsi="仿宋_GB2312" w:eastAsia="仿宋_GB2312" w:cs="仿宋_GB2312"/>
          <w:sz w:val="32"/>
          <w:szCs w:val="32"/>
          <w:u w:val="none"/>
          <w:lang w:val="zh-CN"/>
        </w:rPr>
        <w:t>我单位已建立较为完善的资产管理制度体系，包括资产采购、验收、登记、使用、维护、处置等各个环节的规章制度，确保了资产管理的规范性和可追溯性。同时，定期对制度进行修订和完善，以适应业务发展和政策变化的需求。在日常管理中，我单位注重资产的实物管理和账务管理相结合。通过实施资产卡片制度，对每项资产进行唯一编码和详细记录，实现了资产的精细化管理。根据决算报表和国有资产年报表，202</w:t>
      </w:r>
      <w:r>
        <w:rPr>
          <w:rFonts w:hint="eastAsia" w:ascii="仿宋_GB2312" w:hAnsi="仿宋_GB2312" w:eastAsia="仿宋_GB2312" w:cs="仿宋_GB2312"/>
          <w:sz w:val="32"/>
          <w:szCs w:val="32"/>
          <w:u w:val="none"/>
          <w:lang w:val="en-US" w:eastAsia="zh-CN"/>
        </w:rPr>
        <w:t>5</w:t>
      </w:r>
      <w:r>
        <w:rPr>
          <w:rFonts w:hint="eastAsia" w:ascii="仿宋_GB2312" w:hAnsi="仿宋_GB2312" w:eastAsia="仿宋_GB2312" w:cs="仿宋_GB2312"/>
          <w:sz w:val="32"/>
          <w:szCs w:val="32"/>
          <w:u w:val="none"/>
          <w:lang w:val="zh-CN"/>
        </w:rPr>
        <w:t>年末实有人数为</w:t>
      </w:r>
      <w:r>
        <w:rPr>
          <w:rFonts w:hint="eastAsia" w:ascii="仿宋_GB2312" w:hAnsi="仿宋_GB2312" w:eastAsia="仿宋_GB2312" w:cs="仿宋_GB2312"/>
          <w:sz w:val="32"/>
          <w:szCs w:val="32"/>
          <w:u w:val="none"/>
          <w:lang w:val="en-US" w:eastAsia="zh-CN"/>
        </w:rPr>
        <w:t>59</w:t>
      </w:r>
      <w:r>
        <w:rPr>
          <w:rFonts w:hint="eastAsia" w:ascii="仿宋_GB2312" w:hAnsi="仿宋_GB2312" w:eastAsia="仿宋_GB2312" w:cs="仿宋_GB2312"/>
          <w:sz w:val="32"/>
          <w:szCs w:val="32"/>
          <w:u w:val="none"/>
          <w:lang w:val="zh-CN"/>
        </w:rPr>
        <w:t>人，2025年末实有人数为59人，固定资产和无形资产净值合计1745.77万元。无闲置资产，资产盘活率高。</w:t>
      </w:r>
    </w:p>
    <w:p w14:paraId="6517EAD1">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5.</w:t>
      </w:r>
      <w:r>
        <w:rPr>
          <w:rFonts w:hint="eastAsia" w:ascii="仿宋_GB2312" w:hAnsi="仿宋_GB2312" w:eastAsia="仿宋_GB2312" w:cs="仿宋_GB2312"/>
          <w:color w:val="000000"/>
          <w:kern w:val="0"/>
          <w:sz w:val="32"/>
          <w:szCs w:val="32"/>
          <w:highlight w:val="none"/>
          <w:shd w:val="clear" w:color="auto" w:fill="FFFFFF"/>
          <w:lang w:val="zh-CN"/>
        </w:rPr>
        <w:t>采购管理</w:t>
      </w:r>
      <w:r>
        <w:rPr>
          <w:rFonts w:hint="eastAsia" w:ascii="仿宋_GB2312" w:hAnsi="仿宋_GB2312" w:eastAsia="仿宋_GB2312" w:cs="仿宋_GB2312"/>
          <w:sz w:val="32"/>
          <w:szCs w:val="32"/>
          <w:u w:val="none"/>
          <w:lang w:val="zh-CN"/>
        </w:rPr>
        <w:t>。</w:t>
      </w:r>
      <w:r>
        <w:rPr>
          <w:rFonts w:hint="eastAsia" w:ascii="仿宋_GB2312" w:hAnsi="仿宋_GB2312" w:eastAsia="仿宋_GB2312" w:cs="仿宋_GB2312"/>
          <w:sz w:val="32"/>
          <w:szCs w:val="32"/>
          <w:u w:val="none"/>
          <w:lang w:val="en-US" w:eastAsia="zh-CN"/>
        </w:rPr>
        <w:t>2025年度我单位根据《政府采购法》严格执行“应编尽编”，严禁无预算采购，执行采购项目需求论证，明确验收责任，确保质量</w:t>
      </w:r>
      <w:r>
        <w:rPr>
          <w:rFonts w:hint="eastAsia" w:ascii="仿宋_GB2312" w:hAnsi="仿宋_GB2312" w:eastAsia="仿宋_GB2312" w:cs="仿宋_GB2312"/>
          <w:sz w:val="32"/>
          <w:szCs w:val="32"/>
          <w:u w:val="none"/>
          <w:lang w:val="zh-CN"/>
        </w:rPr>
        <w:t>。共完成采购项目</w:t>
      </w:r>
      <w:r>
        <w:rPr>
          <w:rFonts w:hint="eastAsia" w:ascii="仿宋_GB2312" w:hAnsi="仿宋_GB2312" w:eastAsia="仿宋_GB2312" w:cs="仿宋_GB2312"/>
          <w:sz w:val="32"/>
          <w:szCs w:val="32"/>
          <w:u w:val="none"/>
          <w:lang w:val="en-US" w:eastAsia="zh-CN"/>
        </w:rPr>
        <w:t>4个共计65.7万元。</w:t>
      </w:r>
    </w:p>
    <w:p w14:paraId="6C4BCE36">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b/>
          <w:bCs/>
          <w:color w:val="000000"/>
          <w:kern w:val="0"/>
          <w:sz w:val="32"/>
          <w:szCs w:val="32"/>
          <w:highlight w:val="none"/>
          <w:shd w:val="clear" w:color="auto" w:fill="FFFFFF"/>
          <w:lang w:val="zh-CN"/>
        </w:rPr>
        <w:t>（二）部门预算项目绩效分析。</w:t>
      </w:r>
    </w:p>
    <w:p w14:paraId="20107A8B">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常年项目绩效分析。</w:t>
      </w:r>
      <w:r>
        <w:rPr>
          <w:rFonts w:hint="eastAsia" w:ascii="仿宋_GB2312" w:hAnsi="仿宋_GB2312" w:eastAsia="仿宋_GB2312" w:cs="仿宋_GB2312"/>
          <w:color w:val="000000"/>
          <w:kern w:val="0"/>
          <w:sz w:val="32"/>
          <w:szCs w:val="32"/>
          <w:highlight w:val="none"/>
          <w:shd w:val="clear" w:color="auto" w:fill="FFFFFF"/>
          <w:lang w:val="zh-CN" w:eastAsia="zh-CN"/>
        </w:rPr>
        <w:t>该类项目总数</w:t>
      </w:r>
      <w:r>
        <w:rPr>
          <w:rFonts w:hint="eastAsia" w:ascii="仿宋_GB2312" w:hAnsi="仿宋_GB2312" w:eastAsia="仿宋_GB2312" w:cs="仿宋_GB2312"/>
          <w:color w:val="000000"/>
          <w:kern w:val="0"/>
          <w:sz w:val="32"/>
          <w:szCs w:val="32"/>
          <w:highlight w:val="none"/>
          <w:shd w:val="clear" w:color="auto" w:fill="FFFFFF"/>
          <w:lang w:val="en-US" w:eastAsia="zh-CN"/>
        </w:rPr>
        <w:t>0</w:t>
      </w:r>
      <w:r>
        <w:rPr>
          <w:rFonts w:hint="eastAsia" w:ascii="仿宋_GB2312" w:hAnsi="仿宋_GB2312" w:eastAsia="仿宋_GB2312" w:cs="仿宋_GB2312"/>
          <w:color w:val="000000"/>
          <w:kern w:val="0"/>
          <w:sz w:val="32"/>
          <w:szCs w:val="32"/>
          <w:highlight w:val="none"/>
          <w:shd w:val="clear" w:color="auto" w:fill="FFFFFF"/>
          <w:lang w:val="zh-CN" w:eastAsia="zh-CN"/>
        </w:rPr>
        <w:t>个。</w:t>
      </w:r>
    </w:p>
    <w:p w14:paraId="2C9A7675">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u w:val="none"/>
          <w:lang w:val="zh-CN"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阶段（一次性）项目绩效分析</w:t>
      </w:r>
      <w:r>
        <w:rPr>
          <w:rFonts w:hint="eastAsia" w:ascii="仿宋_GB2312" w:hAnsi="仿宋_GB2312" w:eastAsia="仿宋_GB2312" w:cs="仿宋_GB2312"/>
          <w:sz w:val="32"/>
          <w:szCs w:val="32"/>
          <w:highlight w:val="none"/>
          <w:u w:val="none"/>
          <w:lang w:val="zh-CN"/>
        </w:rPr>
        <w:t>。</w:t>
      </w:r>
      <w:r>
        <w:rPr>
          <w:rFonts w:hint="eastAsia" w:ascii="仿宋_GB2312" w:hAnsi="仿宋_GB2312" w:eastAsia="仿宋_GB2312" w:cs="仿宋_GB2312"/>
          <w:sz w:val="32"/>
          <w:szCs w:val="32"/>
          <w:highlight w:val="none"/>
          <w:u w:val="none"/>
          <w:lang w:val="zh-CN" w:eastAsia="zh-CN"/>
        </w:rPr>
        <w:t>该</w:t>
      </w:r>
      <w:r>
        <w:rPr>
          <w:rFonts w:hint="eastAsia" w:ascii="仿宋_GB2312" w:hAnsi="仿宋_GB2312" w:eastAsia="仿宋_GB2312" w:cs="仿宋_GB2312"/>
          <w:sz w:val="32"/>
          <w:szCs w:val="32"/>
          <w:u w:val="none"/>
          <w:lang w:val="zh-CN"/>
        </w:rPr>
        <w:t>类项目总数1个，涉及预算总金额49.55万元，1—12月预算执行总体进度为100%</w:t>
      </w:r>
    </w:p>
    <w:p w14:paraId="28529076">
      <w:pPr>
        <w:keepNext w:val="0"/>
        <w:keepLines w:val="0"/>
        <w:pageBreakBefore w:val="0"/>
        <w:widowControl w:val="0"/>
        <w:numPr>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u w:val="none"/>
          <w:lang w:val="zh-CN"/>
        </w:rPr>
      </w:pPr>
      <w:r>
        <w:rPr>
          <w:rFonts w:hint="eastAsia" w:ascii="仿宋_GB2312" w:hAnsi="仿宋_GB2312" w:eastAsia="仿宋_GB2312" w:cs="仿宋_GB2312"/>
          <w:color w:val="000000"/>
          <w:kern w:val="0"/>
          <w:sz w:val="32"/>
          <w:szCs w:val="32"/>
          <w:highlight w:val="none"/>
          <w:shd w:val="clear" w:color="auto" w:fill="FFFFFF"/>
          <w:lang w:val="en-US" w:eastAsia="zh-CN"/>
        </w:rPr>
        <w:t>1.</w:t>
      </w:r>
      <w:r>
        <w:rPr>
          <w:rFonts w:hint="eastAsia" w:ascii="仿宋_GB2312" w:hAnsi="仿宋_GB2312" w:eastAsia="仿宋_GB2312" w:cs="仿宋_GB2312"/>
          <w:color w:val="000000"/>
          <w:kern w:val="0"/>
          <w:sz w:val="32"/>
          <w:szCs w:val="32"/>
          <w:highlight w:val="none"/>
          <w:shd w:val="clear" w:color="auto" w:fill="FFFFFF"/>
          <w:lang w:val="zh-CN"/>
        </w:rPr>
        <w:t>项目决策。</w:t>
      </w:r>
      <w:r>
        <w:rPr>
          <w:rFonts w:hint="eastAsia" w:ascii="仿宋_GB2312" w:hAnsi="仿宋_GB2312" w:eastAsia="仿宋_GB2312" w:cs="仿宋_GB2312"/>
          <w:sz w:val="32"/>
          <w:szCs w:val="32"/>
          <w:highlight w:val="none"/>
          <w:u w:val="none"/>
          <w:lang w:val="zh-CN"/>
        </w:rPr>
        <w:t>一是部门预算项目设立按规定履行评估论证、申报程序。二是部门预</w:t>
      </w:r>
      <w:r>
        <w:rPr>
          <w:rFonts w:hint="eastAsia" w:ascii="仿宋_GB2312" w:hAnsi="仿宋_GB2312" w:eastAsia="仿宋_GB2312" w:cs="仿宋_GB2312"/>
          <w:sz w:val="32"/>
          <w:szCs w:val="32"/>
          <w:u w:val="none"/>
          <w:lang w:val="zh-CN"/>
        </w:rPr>
        <w:t>算项目绩效目标与计划期内的任务量、预算安排的资金量匹配，绩效目标设置科学合理、规范完整、量化细化、预算匹配。三是部门预算项目在规定时间完成项目入库。</w:t>
      </w:r>
    </w:p>
    <w:p w14:paraId="0442180B">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zh-CN"/>
        </w:rPr>
      </w:pPr>
      <w:r>
        <w:rPr>
          <w:rFonts w:hint="eastAsia" w:ascii="仿宋_GB2312" w:hAnsi="仿宋_GB2312" w:eastAsia="仿宋_GB2312" w:cs="仿宋_GB2312"/>
          <w:color w:val="000000"/>
          <w:kern w:val="0"/>
          <w:sz w:val="32"/>
          <w:szCs w:val="32"/>
          <w:highlight w:val="none"/>
          <w:shd w:val="clear" w:color="auto" w:fill="FFFFFF"/>
          <w:lang w:val="en-US" w:eastAsia="zh-CN"/>
        </w:rPr>
        <w:t>2.项目执行。</w:t>
      </w:r>
      <w:r>
        <w:rPr>
          <w:rFonts w:hint="eastAsia" w:ascii="仿宋_GB2312" w:hAnsi="仿宋_GB2312" w:eastAsia="仿宋_GB2312" w:cs="仿宋_GB2312"/>
          <w:color w:val="000000"/>
          <w:kern w:val="2"/>
          <w:sz w:val="32"/>
          <w:szCs w:val="32"/>
          <w:highlight w:val="none"/>
          <w:shd w:val="clear" w:color="auto" w:fill="auto"/>
          <w:lang w:val="zh-CN" w:eastAsia="zh-CN"/>
        </w:rPr>
        <w:t>一是部门预算项目实际列支内容是否与绩效目标设置方向相符</w:t>
      </w:r>
      <w:r>
        <w:rPr>
          <w:rFonts w:hint="eastAsia" w:ascii="仿宋_GB2312" w:hAnsi="仿宋_GB2312" w:eastAsia="仿宋_GB2312" w:cs="仿宋_GB2312"/>
          <w:color w:val="000000"/>
          <w:kern w:val="2"/>
          <w:sz w:val="32"/>
          <w:szCs w:val="32"/>
          <w:highlight w:val="none"/>
          <w:shd w:val="clear" w:color="auto" w:fill="auto"/>
          <w:lang w:val="zh-CN"/>
        </w:rPr>
        <w:t>。</w:t>
      </w:r>
      <w:r>
        <w:rPr>
          <w:rFonts w:hint="eastAsia" w:ascii="仿宋_GB2312" w:hAnsi="仿宋_GB2312" w:eastAsia="仿宋_GB2312" w:cs="仿宋_GB2312"/>
          <w:sz w:val="32"/>
          <w:szCs w:val="32"/>
          <w:u w:val="none"/>
          <w:lang w:val="zh-CN"/>
        </w:rPr>
        <w:t>二是部门预算项目采取了对应调整措施，如对预算滞后的预算项目采取督促相关科室加快进度的调整措施。</w:t>
      </w:r>
    </w:p>
    <w:p w14:paraId="45BBF746">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u w:val="none"/>
          <w:lang w:val="zh-CN"/>
        </w:rPr>
      </w:pPr>
      <w:r>
        <w:rPr>
          <w:rFonts w:hint="eastAsia" w:ascii="仿宋_GB2312" w:hAnsi="仿宋_GB2312" w:eastAsia="仿宋_GB2312" w:cs="仿宋_GB2312"/>
          <w:color w:val="000000"/>
          <w:kern w:val="0"/>
          <w:sz w:val="32"/>
          <w:szCs w:val="32"/>
          <w:highlight w:val="none"/>
          <w:shd w:val="clear" w:color="auto" w:fill="FFFFFF"/>
          <w:lang w:val="en-US" w:eastAsia="zh-CN"/>
        </w:rPr>
        <w:t>3.</w:t>
      </w:r>
      <w:r>
        <w:rPr>
          <w:rFonts w:hint="eastAsia" w:ascii="仿宋_GB2312" w:hAnsi="仿宋_GB2312" w:eastAsia="仿宋_GB2312" w:cs="仿宋_GB2312"/>
          <w:color w:val="000000"/>
          <w:kern w:val="0"/>
          <w:sz w:val="32"/>
          <w:szCs w:val="32"/>
          <w:highlight w:val="none"/>
          <w:shd w:val="clear" w:color="auto" w:fill="FFFFFF"/>
          <w:lang w:val="zh-CN"/>
        </w:rPr>
        <w:t>目标实现。</w:t>
      </w:r>
      <w:r>
        <w:rPr>
          <w:rFonts w:hint="eastAsia" w:ascii="仿宋_GB2312" w:hAnsi="仿宋_GB2312" w:eastAsia="仿宋_GB2312" w:cs="仿宋_GB2312"/>
          <w:sz w:val="32"/>
          <w:szCs w:val="32"/>
          <w:u w:val="none"/>
          <w:lang w:val="zh-CN"/>
        </w:rPr>
        <w:t>围绕目标完成、目标偏离、实现效果进行绩效分析。一是部门预算项目绩效目标数量指标全部完成。二是部门预算项目均按照绩效目标实现，未存在偏离。三是部门预算项目均完成绩效目标效益，审判质效不断提升、司法改革不断深化，反腐维稳工作持续推进。</w:t>
      </w:r>
    </w:p>
    <w:p w14:paraId="311210B0">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b/>
          <w:bCs/>
          <w:color w:val="000000"/>
          <w:kern w:val="0"/>
          <w:sz w:val="32"/>
          <w:szCs w:val="32"/>
          <w:highlight w:val="none"/>
          <w:shd w:val="clear" w:color="auto" w:fill="FFFFFF"/>
          <w:lang w:val="zh-CN"/>
        </w:rPr>
        <w:t>（三）</w:t>
      </w:r>
      <w:r>
        <w:rPr>
          <w:rFonts w:hint="eastAsia" w:ascii="仿宋_GB2312" w:hAnsi="仿宋_GB2312" w:eastAsia="仿宋_GB2312" w:cs="仿宋_GB2312"/>
          <w:b/>
          <w:bCs/>
          <w:color w:val="000000"/>
          <w:kern w:val="0"/>
          <w:sz w:val="32"/>
          <w:szCs w:val="32"/>
          <w:highlight w:val="none"/>
          <w:shd w:val="clear" w:color="auto" w:fill="FFFFFF"/>
          <w:lang w:val="zh-CN" w:eastAsia="zh-CN"/>
        </w:rPr>
        <w:t>重点领域</w:t>
      </w:r>
      <w:r>
        <w:rPr>
          <w:rFonts w:hint="eastAsia" w:ascii="仿宋_GB2312" w:hAnsi="仿宋_GB2312" w:eastAsia="仿宋_GB2312" w:cs="仿宋_GB2312"/>
          <w:b/>
          <w:bCs/>
          <w:color w:val="000000"/>
          <w:kern w:val="0"/>
          <w:sz w:val="32"/>
          <w:szCs w:val="32"/>
          <w:highlight w:val="none"/>
          <w:shd w:val="clear" w:color="auto" w:fill="FFFFFF"/>
          <w:lang w:val="zh-CN"/>
        </w:rPr>
        <w:t>绩效分析</w:t>
      </w:r>
      <w:r>
        <w:rPr>
          <w:rFonts w:hint="eastAsia" w:ascii="仿宋_GB2312" w:hAnsi="仿宋_GB2312" w:eastAsia="仿宋_GB2312" w:cs="仿宋_GB2312"/>
          <w:b/>
          <w:bCs/>
          <w:color w:val="000000"/>
          <w:kern w:val="0"/>
          <w:sz w:val="32"/>
          <w:szCs w:val="32"/>
          <w:highlight w:val="none"/>
          <w:shd w:val="clear" w:color="auto" w:fill="FFFFFF"/>
          <w:lang w:val="zh-CN" w:eastAsia="zh-CN"/>
        </w:rPr>
        <w:t>。</w:t>
      </w:r>
      <w:r>
        <w:rPr>
          <w:rFonts w:hint="eastAsia" w:ascii="仿宋_GB2312" w:hAnsi="仿宋_GB2312" w:eastAsia="仿宋_GB2312" w:cs="仿宋_GB2312"/>
          <w:sz w:val="32"/>
          <w:szCs w:val="32"/>
          <w:u w:val="none"/>
          <w:lang w:val="en-US" w:eastAsia="zh-CN"/>
        </w:rPr>
        <w:t>2025年度</w:t>
      </w:r>
      <w:r>
        <w:rPr>
          <w:rFonts w:hint="eastAsia" w:ascii="仿宋_GB2312" w:hAnsi="仿宋_GB2312" w:eastAsia="仿宋_GB2312" w:cs="仿宋_GB2312"/>
          <w:sz w:val="32"/>
          <w:szCs w:val="32"/>
          <w:u w:val="none"/>
          <w:lang w:eastAsia="zh-CN"/>
        </w:rPr>
        <w:t>不</w:t>
      </w:r>
      <w:r>
        <w:rPr>
          <w:rFonts w:hint="eastAsia" w:ascii="仿宋_GB2312" w:hAnsi="仿宋_GB2312" w:eastAsia="仿宋_GB2312" w:cs="仿宋_GB2312"/>
          <w:sz w:val="32"/>
          <w:szCs w:val="32"/>
          <w:u w:val="none"/>
        </w:rPr>
        <w:t>涉及国有资本、行政事业性国有资产、债券</w:t>
      </w:r>
      <w:r>
        <w:rPr>
          <w:rFonts w:hint="eastAsia" w:ascii="仿宋_GB2312" w:hAnsi="仿宋_GB2312" w:eastAsia="仿宋_GB2312" w:cs="仿宋_GB2312"/>
          <w:sz w:val="32"/>
          <w:szCs w:val="32"/>
          <w:u w:val="none"/>
          <w:lang w:eastAsia="zh-CN"/>
        </w:rPr>
        <w:t>资金、政府采购和政府购买服务等重点领域。</w:t>
      </w:r>
    </w:p>
    <w:p w14:paraId="70FC509D">
      <w:pPr>
        <w:keepNext w:val="0"/>
        <w:keepLines w:val="0"/>
        <w:pageBreakBefore w:val="0"/>
        <w:widowControl w:val="0"/>
        <w:kinsoku/>
        <w:wordWrap/>
        <w:overflowPunct/>
        <w:topLinePunct w:val="0"/>
        <w:autoSpaceDE/>
        <w:autoSpaceDN/>
        <w:bidi w:val="0"/>
        <w:snapToGrid w:val="0"/>
        <w:spacing w:line="600" w:lineRule="exact"/>
        <w:ind w:firstLine="643"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b/>
          <w:bCs/>
          <w:sz w:val="32"/>
          <w:szCs w:val="32"/>
          <w:lang w:val="zh-CN"/>
        </w:rPr>
        <w:t>（四）绩效结果应用情况。</w:t>
      </w:r>
      <w:r>
        <w:rPr>
          <w:rFonts w:hint="eastAsia" w:ascii="仿宋_GB2312" w:hAnsi="仿宋_GB2312" w:eastAsia="仿宋_GB2312" w:cs="仿宋_GB2312"/>
          <w:sz w:val="32"/>
          <w:szCs w:val="32"/>
          <w:u w:val="none"/>
        </w:rPr>
        <w:t>绩效结果作为组织决策的重要依据，为管理层提供了客观、全面的信息支持。通过对绩效数据的分析，管理层能够及时了解</w:t>
      </w:r>
      <w:r>
        <w:rPr>
          <w:rFonts w:hint="eastAsia" w:ascii="仿宋_GB2312" w:hAnsi="仿宋_GB2312" w:eastAsia="仿宋_GB2312" w:cs="仿宋_GB2312"/>
          <w:sz w:val="32"/>
          <w:szCs w:val="32"/>
          <w:u w:val="none"/>
          <w:lang w:eastAsia="zh-CN"/>
        </w:rPr>
        <w:t>项目推进</w:t>
      </w:r>
      <w:r>
        <w:rPr>
          <w:rFonts w:hint="eastAsia" w:ascii="仿宋_GB2312" w:hAnsi="仿宋_GB2312" w:eastAsia="仿宋_GB2312" w:cs="仿宋_GB2312"/>
          <w:sz w:val="32"/>
          <w:szCs w:val="32"/>
          <w:u w:val="none"/>
        </w:rPr>
        <w:t>状况，发现潜在问题，优化资源配置，推动</w:t>
      </w:r>
      <w:r>
        <w:rPr>
          <w:rFonts w:hint="eastAsia" w:ascii="仿宋_GB2312" w:hAnsi="仿宋_GB2312" w:eastAsia="仿宋_GB2312" w:cs="仿宋_GB2312"/>
          <w:sz w:val="32"/>
          <w:szCs w:val="32"/>
          <w:u w:val="none"/>
          <w:lang w:eastAsia="zh-CN"/>
        </w:rPr>
        <w:t>单位项目</w:t>
      </w:r>
      <w:r>
        <w:rPr>
          <w:rFonts w:hint="eastAsia" w:ascii="仿宋_GB2312" w:hAnsi="仿宋_GB2312" w:eastAsia="仿宋_GB2312" w:cs="仿宋_GB2312"/>
          <w:sz w:val="32"/>
          <w:szCs w:val="32"/>
          <w:u w:val="none"/>
        </w:rPr>
        <w:t>目标的实现</w:t>
      </w:r>
      <w:r>
        <w:rPr>
          <w:rFonts w:hint="eastAsia" w:ascii="仿宋_GB2312" w:hAnsi="仿宋_GB2312" w:eastAsia="仿宋_GB2312" w:cs="仿宋_GB2312"/>
          <w:sz w:val="32"/>
          <w:szCs w:val="32"/>
          <w:u w:val="none"/>
          <w:lang w:val="zh-CN" w:eastAsia="zh-CN"/>
        </w:rPr>
        <w:t>。</w:t>
      </w:r>
    </w:p>
    <w:p w14:paraId="34975D1E">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rPr>
      </w:pPr>
      <w:r>
        <w:rPr>
          <w:rFonts w:hint="eastAsia" w:ascii="仿宋_GB2312" w:hAnsi="仿宋_GB2312" w:eastAsia="仿宋_GB2312" w:cs="仿宋_GB2312"/>
          <w:color w:val="000000"/>
          <w:kern w:val="0"/>
          <w:sz w:val="32"/>
          <w:szCs w:val="32"/>
          <w:highlight w:val="none"/>
          <w:shd w:val="clear" w:color="auto" w:fill="FFFFFF"/>
          <w:lang w:eastAsia="zh-CN"/>
        </w:rPr>
        <w:t>四、</w:t>
      </w:r>
      <w:r>
        <w:rPr>
          <w:rFonts w:hint="eastAsia" w:ascii="仿宋_GB2312" w:hAnsi="仿宋_GB2312" w:eastAsia="仿宋_GB2312" w:cs="仿宋_GB2312"/>
          <w:color w:val="000000"/>
          <w:kern w:val="0"/>
          <w:sz w:val="32"/>
          <w:szCs w:val="32"/>
          <w:highlight w:val="none"/>
          <w:shd w:val="clear" w:color="auto" w:fill="FFFFFF"/>
        </w:rPr>
        <w:t>评价结论及建议</w:t>
      </w:r>
    </w:p>
    <w:p w14:paraId="518BB0DD">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仿宋_GB2312" w:hAnsi="仿宋_GB2312" w:eastAsia="仿宋_GB2312" w:cs="仿宋_GB2312"/>
          <w:sz w:val="32"/>
          <w:szCs w:val="32"/>
          <w:u w:val="none"/>
          <w:lang w:val="en-US"/>
        </w:rPr>
      </w:pPr>
      <w:r>
        <w:rPr>
          <w:rFonts w:hint="eastAsia" w:ascii="仿宋_GB2312" w:hAnsi="仿宋_GB2312" w:eastAsia="仿宋_GB2312" w:cs="仿宋_GB2312"/>
          <w:b/>
          <w:bCs/>
          <w:color w:val="000000"/>
          <w:kern w:val="0"/>
          <w:sz w:val="32"/>
          <w:szCs w:val="32"/>
          <w:highlight w:val="none"/>
          <w:shd w:val="clear" w:color="auto" w:fill="FFFFFF"/>
          <w:lang w:val="zh-CN"/>
        </w:rPr>
        <w:t>（一）评价结论。</w:t>
      </w:r>
      <w:r>
        <w:rPr>
          <w:rFonts w:hint="eastAsia" w:ascii="仿宋_GB2312" w:hAnsi="仿宋_GB2312" w:eastAsia="仿宋_GB2312" w:cs="仿宋_GB2312"/>
          <w:b w:val="0"/>
          <w:bCs w:val="0"/>
          <w:color w:val="000000"/>
          <w:kern w:val="2"/>
          <w:sz w:val="32"/>
          <w:szCs w:val="32"/>
          <w:highlight w:val="none"/>
          <w:shd w:val="clear" w:color="auto" w:fill="auto"/>
          <w:lang w:val="zh-CN"/>
        </w:rPr>
        <w:t>经过全面、客观的绩效自评，本部门本年度预算执行情况总体良好，达到了预期目标，并在多个方面取得了显著成效。预算资金的使用效率较高，资源配置基本合理。自评得分</w:t>
      </w:r>
      <w:r>
        <w:rPr>
          <w:rFonts w:hint="eastAsia" w:ascii="仿宋_GB2312" w:hAnsi="仿宋_GB2312" w:eastAsia="仿宋_GB2312" w:cs="仿宋_GB2312"/>
          <w:b w:val="0"/>
          <w:bCs w:val="0"/>
          <w:kern w:val="2"/>
          <w:sz w:val="32"/>
          <w:szCs w:val="32"/>
          <w:highlight w:val="none"/>
          <w:shd w:val="clear" w:color="auto" w:fill="auto"/>
          <w:lang w:val="en-US" w:eastAsia="zh-CN"/>
        </w:rPr>
        <w:t>91分</w:t>
      </w:r>
      <w:r>
        <w:rPr>
          <w:rFonts w:hint="eastAsia" w:ascii="仿宋_GB2312" w:hAnsi="仿宋_GB2312" w:eastAsia="仿宋_GB2312" w:cs="仿宋_GB2312"/>
          <w:b w:val="0"/>
          <w:bCs w:val="0"/>
          <w:color w:val="000000"/>
          <w:kern w:val="2"/>
          <w:sz w:val="32"/>
          <w:szCs w:val="32"/>
          <w:highlight w:val="none"/>
          <w:shd w:val="clear" w:color="auto" w:fill="auto"/>
          <w:lang w:val="en-US" w:eastAsia="zh-CN"/>
        </w:rPr>
        <w:t>。</w:t>
      </w:r>
      <w:r>
        <w:rPr>
          <w:rFonts w:hint="eastAsia" w:ascii="仿宋_GB2312" w:hAnsi="仿宋_GB2312" w:eastAsia="仿宋_GB2312" w:cs="仿宋_GB2312"/>
          <w:b w:val="0"/>
          <w:bCs w:val="0"/>
          <w:color w:val="000000"/>
          <w:kern w:val="2"/>
          <w:sz w:val="32"/>
          <w:szCs w:val="32"/>
          <w:highlight w:val="none"/>
          <w:shd w:val="clear" w:color="auto" w:fill="auto"/>
          <w:lang w:val="zh-CN"/>
        </w:rPr>
        <w:t>同时，我们也认识到在预算执行过程中仍存在一些不足和需要改进的地方，如部分项目执行进度不够理想、成本控制需进一步加强等。从绩效自评的结果来看，本部门在预算管理、项目实施、成本控制、绩效评价等方面均有一定的提升，但仍有较大的提升空间。未来，我们将继续加强预算绩效管理，完善预算管理制度，优化预算安排，强化预算执行监督，确保预算资金的安全、合规和高效使用。同时，我们也将针对存在的问题和不足，采取切实有效的措施加以改进，以进一步提升预算绩效水平，为部门的发展和目标的实现提供有力保障。</w:t>
      </w:r>
    </w:p>
    <w:p w14:paraId="0D767787">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b/>
          <w:bCs/>
          <w:color w:val="000000"/>
          <w:kern w:val="0"/>
          <w:sz w:val="32"/>
          <w:szCs w:val="32"/>
          <w:highlight w:val="none"/>
          <w:shd w:val="clear" w:color="auto" w:fill="FFFFFF"/>
          <w:lang w:val="zh-CN"/>
        </w:rPr>
        <w:t>（二）存在问题。</w:t>
      </w:r>
      <w:r>
        <w:rPr>
          <w:rFonts w:hint="eastAsia" w:ascii="仿宋_GB2312" w:hAnsi="仿宋_GB2312" w:eastAsia="仿宋_GB2312" w:cs="仿宋_GB2312"/>
          <w:sz w:val="32"/>
          <w:szCs w:val="32"/>
          <w:u w:val="none"/>
          <w:lang w:val="en-US" w:eastAsia="zh-CN"/>
        </w:rPr>
        <w:t>一是执行效率不高：部分项目在执行过程中存在进度滞后、资金到位不及时等问题，影响了项目的整体效率。这可能是由于项目管理不善、资源调配不合理或跨部门协调不畅等原因造成的。二是绩效目标不明确或难以量化：部分预算项目的绩效目标设定不够明确或难以量化，使得绩效评价难以准确反映项目的实际效果。这可能导致资金使用的方向偏离初衷，影响预算的整体效益。</w:t>
      </w:r>
    </w:p>
    <w:p w14:paraId="49A37CC5">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仿宋_GB2312" w:hAnsi="仿宋_GB2312" w:eastAsia="仿宋_GB2312" w:cs="仿宋_GB2312"/>
          <w:b w:val="0"/>
          <w:bCs w:val="0"/>
          <w:kern w:val="0"/>
          <w:position w:val="0"/>
          <w:sz w:val="32"/>
          <w:szCs w:val="32"/>
          <w:highlight w:val="none"/>
          <w:lang w:val="en" w:eastAsia="zh-CN" w:bidi="ar-SA"/>
        </w:rPr>
      </w:pPr>
      <w:r>
        <w:rPr>
          <w:rFonts w:hint="eastAsia" w:ascii="仿宋_GB2312" w:hAnsi="仿宋_GB2312" w:eastAsia="仿宋_GB2312" w:cs="仿宋_GB2312"/>
          <w:b/>
          <w:bCs/>
          <w:color w:val="000000"/>
          <w:kern w:val="0"/>
          <w:sz w:val="32"/>
          <w:szCs w:val="32"/>
          <w:highlight w:val="none"/>
          <w:shd w:val="clear" w:color="auto" w:fill="FFFFFF"/>
          <w:lang w:val="zh-CN" w:eastAsia="zh-CN"/>
        </w:rPr>
        <w:t>（三）改进建议。</w:t>
      </w:r>
      <w:r>
        <w:rPr>
          <w:rFonts w:hint="eastAsia" w:ascii="仿宋_GB2312" w:hAnsi="仿宋_GB2312" w:eastAsia="仿宋_GB2312" w:cs="仿宋_GB2312"/>
          <w:b w:val="0"/>
          <w:bCs w:val="0"/>
          <w:color w:val="000000"/>
          <w:kern w:val="2"/>
          <w:sz w:val="32"/>
          <w:szCs w:val="32"/>
          <w:highlight w:val="none"/>
          <w:shd w:val="clear" w:color="auto" w:fill="auto"/>
          <w:lang w:val="zh-CN" w:eastAsia="zh-CN"/>
        </w:rPr>
        <w:t>一是</w:t>
      </w:r>
      <w:r>
        <w:rPr>
          <w:rFonts w:hint="eastAsia" w:ascii="仿宋_GB2312" w:hAnsi="仿宋_GB2312" w:eastAsia="仿宋_GB2312" w:cs="仿宋_GB2312"/>
          <w:b w:val="0"/>
          <w:bCs w:val="0"/>
          <w:color w:val="000000"/>
          <w:kern w:val="2"/>
          <w:sz w:val="32"/>
          <w:szCs w:val="32"/>
          <w:highlight w:val="none"/>
          <w:shd w:val="clear" w:color="auto" w:fill="auto"/>
          <w:lang w:val="zh-CN"/>
        </w:rPr>
        <w:t>压实预算执行主体责任。明确职责分工压实预算执行主体责任，加强监督与调度，紧盯预算执行过程，定期对单位资金支出进度进行调整，重点关注资金支出绩效，加强预算执行和绩效管理，确保预算资金的有效利用。</w:t>
      </w:r>
      <w:bookmarkStart w:id="47" w:name="_Hlk110546638"/>
    </w:p>
    <w:bookmarkEnd w:id="47"/>
    <w:p w14:paraId="31DAA8C7">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b w:val="0"/>
          <w:bCs w:val="0"/>
          <w:kern w:val="0"/>
          <w:position w:val="0"/>
          <w:sz w:val="32"/>
          <w:szCs w:val="32"/>
          <w:highlight w:val="none"/>
          <w:lang w:val="zh-CN" w:eastAsia="zh-CN" w:bidi="ar-SA"/>
        </w:rPr>
      </w:pPr>
    </w:p>
    <w:p w14:paraId="52814B3B">
      <w:pPr>
        <w:keepNext w:val="0"/>
        <w:keepLines w:val="0"/>
        <w:pageBreakBefore w:val="0"/>
        <w:kinsoku/>
        <w:wordWrap/>
        <w:overflowPunct/>
        <w:topLinePunct w:val="0"/>
        <w:autoSpaceDE/>
        <w:autoSpaceDN/>
        <w:bidi w:val="0"/>
        <w:spacing w:line="578" w:lineRule="exact"/>
        <w:contextualSpacing/>
        <w:textAlignment w:val="auto"/>
        <w:outlineLvl w:val="9"/>
        <w:rPr>
          <w:rFonts w:hint="eastAsia" w:ascii="仿宋_GB2312" w:hAnsi="仿宋_GB2312" w:eastAsia="仿宋_GB2312" w:cs="仿宋_GB2312"/>
          <w:sz w:val="32"/>
          <w:szCs w:val="32"/>
          <w:highlight w:val="none"/>
          <w:lang w:val="en-US" w:eastAsia="zh-CN"/>
        </w:rPr>
      </w:pPr>
    </w:p>
    <w:p w14:paraId="778C49B5">
      <w:pPr>
        <w:spacing w:line="578" w:lineRule="exact"/>
        <w:jc w:val="left"/>
        <w:rPr>
          <w:rFonts w:eastAsia="黑体"/>
        </w:rPr>
      </w:pPr>
      <w:r>
        <w:rPr>
          <w:rFonts w:hint="eastAsia" w:ascii="仿宋_GB2312" w:hAnsi="仿宋_GB2312" w:eastAsia="仿宋_GB2312" w:cs="仿宋_GB2312"/>
          <w:color w:val="000000"/>
          <w:kern w:val="0"/>
          <w:sz w:val="32"/>
          <w:szCs w:val="32"/>
          <w:highlight w:val="none"/>
          <w:shd w:val="clear" w:color="auto" w:fill="FFFFFF"/>
          <w:lang w:val="en-US" w:eastAsia="zh-CN"/>
        </w:rPr>
        <w:t>附表：部门整体支出绩效目标完成情况自评表</w:t>
      </w:r>
      <w:r>
        <w:rPr>
          <w:rFonts w:hint="default" w:ascii="Times New Roman" w:hAnsi="Times New Roman" w:cs="Times New Roman"/>
          <w:color w:val="000000"/>
          <w:kern w:val="0"/>
          <w:szCs w:val="32"/>
          <w:highlight w:val="none"/>
          <w:shd w:val="clear" w:color="auto" w:fill="FFFFFF"/>
          <w:lang w:val="en-US" w:eastAsia="zh-CN"/>
        </w:rPr>
        <w:br w:type="page"/>
      </w:r>
      <w:r>
        <w:rPr>
          <w:rFonts w:eastAsia="黑体"/>
        </w:rPr>
        <w:t>附表</w:t>
      </w:r>
      <w:r>
        <w:rPr>
          <w:rFonts w:hint="eastAsia" w:eastAsia="黑体"/>
        </w:rPr>
        <w:t>2</w:t>
      </w:r>
    </w:p>
    <w:p w14:paraId="301334B4">
      <w:pPr>
        <w:widowControl/>
        <w:spacing w:line="578" w:lineRule="exact"/>
        <w:jc w:val="center"/>
        <w:textAlignment w:val="center"/>
        <w:rPr>
          <w:rFonts w:eastAsia="方正小标宋简体"/>
          <w:color w:val="000000"/>
          <w:kern w:val="0"/>
          <w:sz w:val="44"/>
          <w:szCs w:val="44"/>
        </w:rPr>
      </w:pPr>
      <w:r>
        <w:rPr>
          <w:rFonts w:eastAsia="方正小标宋简体"/>
          <w:color w:val="000000"/>
          <w:kern w:val="0"/>
          <w:sz w:val="44"/>
          <w:szCs w:val="44"/>
        </w:rPr>
        <w:t>部门整体</w:t>
      </w:r>
      <w:r>
        <w:rPr>
          <w:rFonts w:hint="eastAsia" w:eastAsia="方正小标宋简体"/>
          <w:color w:val="000000"/>
          <w:kern w:val="0"/>
          <w:sz w:val="44"/>
          <w:szCs w:val="44"/>
        </w:rPr>
        <w:t>支出</w:t>
      </w:r>
      <w:r>
        <w:rPr>
          <w:rFonts w:eastAsia="方正小标宋简体"/>
          <w:color w:val="000000"/>
          <w:kern w:val="0"/>
          <w:sz w:val="44"/>
          <w:szCs w:val="44"/>
        </w:rPr>
        <w:t>绩效目标完成情况自评表</w:t>
      </w:r>
    </w:p>
    <w:tbl>
      <w:tblPr>
        <w:tblStyle w:val="17"/>
        <w:tblW w:w="9658" w:type="dxa"/>
        <w:jc w:val="center"/>
        <w:tblLayout w:type="fixed"/>
        <w:tblCellMar>
          <w:top w:w="0" w:type="dxa"/>
          <w:left w:w="108" w:type="dxa"/>
          <w:bottom w:w="0" w:type="dxa"/>
          <w:right w:w="108" w:type="dxa"/>
        </w:tblCellMar>
      </w:tblPr>
      <w:tblGrid>
        <w:gridCol w:w="331"/>
        <w:gridCol w:w="593"/>
        <w:gridCol w:w="803"/>
        <w:gridCol w:w="1246"/>
        <w:gridCol w:w="803"/>
        <w:gridCol w:w="777"/>
        <w:gridCol w:w="1018"/>
        <w:gridCol w:w="1045"/>
        <w:gridCol w:w="1111"/>
        <w:gridCol w:w="1931"/>
      </w:tblGrid>
      <w:tr w14:paraId="30C00E94">
        <w:tblPrEx>
          <w:tblCellMar>
            <w:top w:w="0" w:type="dxa"/>
            <w:left w:w="108" w:type="dxa"/>
            <w:bottom w:w="0" w:type="dxa"/>
            <w:right w:w="108" w:type="dxa"/>
          </w:tblCellMar>
        </w:tblPrEx>
        <w:trPr>
          <w:trHeight w:val="465" w:hRule="atLeast"/>
          <w:jc w:val="center"/>
        </w:trPr>
        <w:tc>
          <w:tcPr>
            <w:tcW w:w="1727" w:type="dxa"/>
            <w:gridSpan w:val="3"/>
            <w:tcBorders>
              <w:top w:val="single" w:color="000000" w:sz="4" w:space="0"/>
              <w:left w:val="single" w:color="000000" w:sz="4" w:space="0"/>
              <w:bottom w:val="single" w:color="auto" w:sz="4" w:space="0"/>
              <w:right w:val="single" w:color="000000" w:sz="4" w:space="0"/>
            </w:tcBorders>
            <w:noWrap/>
            <w:vAlign w:val="center"/>
          </w:tcPr>
          <w:p w14:paraId="26DD5277">
            <w:pPr>
              <w:rPr>
                <w:rFonts w:ascii="宋体" w:hAnsi="宋体" w:eastAsia="宋体" w:cs="宋体"/>
                <w:color w:val="000000"/>
                <w:kern w:val="0"/>
                <w:sz w:val="24"/>
              </w:rPr>
            </w:pPr>
            <w:r>
              <w:rPr>
                <w:rFonts w:eastAsia="黑体"/>
                <w:sz w:val="24"/>
              </w:rPr>
              <w:br w:type="page"/>
            </w:r>
            <w:r>
              <w:rPr>
                <w:rFonts w:hint="eastAsia" w:ascii="宋体" w:hAnsi="宋体" w:eastAsia="宋体" w:cs="宋体"/>
                <w:color w:val="000000"/>
                <w:kern w:val="0"/>
                <w:sz w:val="24"/>
              </w:rPr>
              <w:t>部门名称</w:t>
            </w:r>
          </w:p>
        </w:tc>
        <w:tc>
          <w:tcPr>
            <w:tcW w:w="7931" w:type="dxa"/>
            <w:gridSpan w:val="7"/>
            <w:tcBorders>
              <w:top w:val="single" w:color="000000" w:sz="4" w:space="0"/>
              <w:left w:val="single" w:color="000000" w:sz="4" w:space="0"/>
              <w:bottom w:val="single" w:color="000000" w:sz="4" w:space="0"/>
              <w:right w:val="single" w:color="000000" w:sz="4" w:space="0"/>
            </w:tcBorders>
            <w:noWrap/>
            <w:vAlign w:val="center"/>
          </w:tcPr>
          <w:p w14:paraId="39CE4623">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阿坝州汶川县人民法院</w:t>
            </w:r>
          </w:p>
        </w:tc>
      </w:tr>
      <w:tr w14:paraId="5F0CEAD2">
        <w:tblPrEx>
          <w:tblCellMar>
            <w:top w:w="0" w:type="dxa"/>
            <w:left w:w="108" w:type="dxa"/>
            <w:bottom w:w="0" w:type="dxa"/>
            <w:right w:w="108" w:type="dxa"/>
          </w:tblCellMar>
        </w:tblPrEx>
        <w:trPr>
          <w:trHeight w:val="455"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42390BF2">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年度部门整体预算</w:t>
            </w:r>
          </w:p>
        </w:tc>
        <w:tc>
          <w:tcPr>
            <w:tcW w:w="2049" w:type="dxa"/>
            <w:gridSpan w:val="2"/>
            <w:tcBorders>
              <w:top w:val="single" w:color="000000" w:sz="4" w:space="0"/>
              <w:left w:val="single" w:color="auto" w:sz="4" w:space="0"/>
              <w:bottom w:val="single" w:color="000000" w:sz="4" w:space="0"/>
              <w:right w:val="single" w:color="auto" w:sz="4" w:space="0"/>
            </w:tcBorders>
            <w:noWrap/>
            <w:vAlign w:val="center"/>
          </w:tcPr>
          <w:p w14:paraId="11071744">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资金总额</w:t>
            </w:r>
          </w:p>
        </w:tc>
        <w:tc>
          <w:tcPr>
            <w:tcW w:w="1795" w:type="dxa"/>
            <w:gridSpan w:val="2"/>
            <w:tcBorders>
              <w:top w:val="single" w:color="auto" w:sz="4" w:space="0"/>
              <w:left w:val="single" w:color="auto" w:sz="4" w:space="0"/>
              <w:bottom w:val="single" w:color="auto" w:sz="4" w:space="0"/>
              <w:right w:val="single" w:color="auto" w:sz="4" w:space="0"/>
            </w:tcBorders>
            <w:noWrap/>
            <w:vAlign w:val="center"/>
          </w:tcPr>
          <w:p w14:paraId="541FDAB4">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财政拨款</w:t>
            </w:r>
          </w:p>
        </w:tc>
        <w:tc>
          <w:tcPr>
            <w:tcW w:w="4087" w:type="dxa"/>
            <w:gridSpan w:val="3"/>
            <w:tcBorders>
              <w:top w:val="single" w:color="auto" w:sz="4" w:space="0"/>
              <w:left w:val="single" w:color="auto" w:sz="4" w:space="0"/>
              <w:bottom w:val="single" w:color="auto" w:sz="4" w:space="0"/>
              <w:right w:val="single" w:color="auto" w:sz="4" w:space="0"/>
            </w:tcBorders>
            <w:noWrap/>
            <w:vAlign w:val="center"/>
          </w:tcPr>
          <w:p w14:paraId="005A07BE">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其他资金</w:t>
            </w:r>
          </w:p>
        </w:tc>
      </w:tr>
      <w:tr w14:paraId="13AB33A0">
        <w:tblPrEx>
          <w:tblCellMar>
            <w:top w:w="0" w:type="dxa"/>
            <w:left w:w="108" w:type="dxa"/>
            <w:bottom w:w="0" w:type="dxa"/>
            <w:right w:w="108" w:type="dxa"/>
          </w:tblCellMar>
        </w:tblPrEx>
        <w:trPr>
          <w:trHeight w:val="239"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79FAFFB8">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收入预算</w:t>
            </w:r>
          </w:p>
        </w:tc>
        <w:tc>
          <w:tcPr>
            <w:tcW w:w="2049" w:type="dxa"/>
            <w:gridSpan w:val="2"/>
            <w:tcBorders>
              <w:top w:val="single" w:color="000000" w:sz="4" w:space="0"/>
              <w:left w:val="single" w:color="auto" w:sz="4" w:space="0"/>
              <w:bottom w:val="single" w:color="000000" w:sz="4" w:space="0"/>
              <w:right w:val="single" w:color="auto" w:sz="4" w:space="0"/>
            </w:tcBorders>
            <w:noWrap/>
            <w:vAlign w:val="center"/>
          </w:tcPr>
          <w:p w14:paraId="085919F8">
            <w:pPr>
              <w:widowControl/>
              <w:spacing w:line="240" w:lineRule="exact"/>
              <w:textAlignment w:val="center"/>
              <w:rPr>
                <w:rFonts w:ascii="宋体" w:hAnsi="宋体" w:eastAsia="宋体" w:cs="宋体"/>
                <w:color w:val="000000"/>
                <w:kern w:val="0"/>
                <w:sz w:val="24"/>
              </w:rPr>
            </w:pPr>
            <w:r>
              <w:rPr>
                <w:rFonts w:hint="eastAsia" w:ascii="宋体" w:hAnsi="宋体" w:eastAsia="宋体" w:cs="宋体"/>
                <w:color w:val="000000"/>
                <w:kern w:val="0"/>
                <w:sz w:val="24"/>
              </w:rPr>
              <w:t>2446.89</w:t>
            </w:r>
          </w:p>
        </w:tc>
        <w:tc>
          <w:tcPr>
            <w:tcW w:w="1795" w:type="dxa"/>
            <w:gridSpan w:val="2"/>
            <w:tcBorders>
              <w:top w:val="single" w:color="auto" w:sz="4" w:space="0"/>
              <w:left w:val="single" w:color="auto" w:sz="4" w:space="0"/>
              <w:bottom w:val="single" w:color="auto" w:sz="4" w:space="0"/>
              <w:right w:val="single" w:color="auto" w:sz="4" w:space="0"/>
            </w:tcBorders>
            <w:noWrap/>
            <w:vAlign w:val="center"/>
          </w:tcPr>
          <w:p w14:paraId="090A4B53">
            <w:pPr>
              <w:widowControl/>
              <w:spacing w:line="240" w:lineRule="exact"/>
              <w:textAlignment w:val="center"/>
              <w:rPr>
                <w:rFonts w:ascii="宋体" w:hAnsi="宋体" w:eastAsia="宋体" w:cs="宋体"/>
                <w:color w:val="000000"/>
                <w:kern w:val="0"/>
                <w:sz w:val="24"/>
              </w:rPr>
            </w:pPr>
            <w:r>
              <w:rPr>
                <w:rFonts w:hint="eastAsia" w:ascii="宋体" w:hAnsi="宋体" w:eastAsia="宋体" w:cs="宋体"/>
                <w:color w:val="000000"/>
                <w:kern w:val="0"/>
                <w:sz w:val="24"/>
              </w:rPr>
              <w:t>1863.95</w:t>
            </w:r>
          </w:p>
        </w:tc>
        <w:tc>
          <w:tcPr>
            <w:tcW w:w="4087" w:type="dxa"/>
            <w:gridSpan w:val="3"/>
            <w:tcBorders>
              <w:top w:val="single" w:color="auto" w:sz="4" w:space="0"/>
              <w:left w:val="single" w:color="auto" w:sz="4" w:space="0"/>
              <w:bottom w:val="single" w:color="auto" w:sz="4" w:space="0"/>
              <w:right w:val="single" w:color="auto" w:sz="4" w:space="0"/>
            </w:tcBorders>
            <w:noWrap/>
            <w:vAlign w:val="center"/>
          </w:tcPr>
          <w:p w14:paraId="14A61DB0">
            <w:pPr>
              <w:widowControl/>
              <w:spacing w:line="240" w:lineRule="exact"/>
              <w:textAlignment w:val="center"/>
              <w:rPr>
                <w:rFonts w:ascii="宋体" w:hAnsi="宋体" w:eastAsia="宋体" w:cs="宋体"/>
                <w:color w:val="000000"/>
                <w:kern w:val="0"/>
                <w:sz w:val="24"/>
              </w:rPr>
            </w:pPr>
            <w:r>
              <w:rPr>
                <w:rFonts w:hint="eastAsia" w:ascii="宋体" w:hAnsi="宋体" w:eastAsia="宋体" w:cs="宋体"/>
                <w:color w:val="000000"/>
                <w:kern w:val="0"/>
                <w:sz w:val="24"/>
              </w:rPr>
              <w:t>582.94</w:t>
            </w:r>
          </w:p>
        </w:tc>
      </w:tr>
      <w:tr w14:paraId="7940D90A">
        <w:tblPrEx>
          <w:tblCellMar>
            <w:top w:w="0" w:type="dxa"/>
            <w:left w:w="108" w:type="dxa"/>
            <w:bottom w:w="0" w:type="dxa"/>
            <w:right w:w="108" w:type="dxa"/>
          </w:tblCellMar>
        </w:tblPrEx>
        <w:trPr>
          <w:trHeight w:val="296"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03727AD6">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支出预算</w:t>
            </w:r>
          </w:p>
        </w:tc>
        <w:tc>
          <w:tcPr>
            <w:tcW w:w="2049" w:type="dxa"/>
            <w:gridSpan w:val="2"/>
            <w:tcBorders>
              <w:top w:val="single" w:color="000000" w:sz="4" w:space="0"/>
              <w:left w:val="single" w:color="auto" w:sz="4" w:space="0"/>
              <w:bottom w:val="single" w:color="000000" w:sz="4" w:space="0"/>
              <w:right w:val="single" w:color="000000" w:sz="4" w:space="0"/>
            </w:tcBorders>
            <w:noWrap/>
            <w:vAlign w:val="center"/>
          </w:tcPr>
          <w:p w14:paraId="21F01413">
            <w:pPr>
              <w:widowControl/>
              <w:spacing w:line="240" w:lineRule="exact"/>
              <w:textAlignment w:val="center"/>
              <w:rPr>
                <w:rFonts w:ascii="宋体" w:hAnsi="宋体" w:eastAsia="宋体" w:cs="宋体"/>
                <w:color w:val="000000"/>
                <w:kern w:val="0"/>
                <w:sz w:val="24"/>
              </w:rPr>
            </w:pPr>
            <w:r>
              <w:rPr>
                <w:rFonts w:hint="eastAsia" w:ascii="宋体" w:hAnsi="宋体" w:eastAsia="宋体" w:cs="宋体"/>
                <w:color w:val="000000"/>
                <w:kern w:val="0"/>
                <w:sz w:val="24"/>
              </w:rPr>
              <w:t>2406.34</w:t>
            </w:r>
          </w:p>
        </w:tc>
        <w:tc>
          <w:tcPr>
            <w:tcW w:w="1795" w:type="dxa"/>
            <w:gridSpan w:val="2"/>
            <w:tcBorders>
              <w:top w:val="single" w:color="auto" w:sz="4" w:space="0"/>
              <w:left w:val="single" w:color="000000" w:sz="4" w:space="0"/>
              <w:bottom w:val="single" w:color="000000" w:sz="4" w:space="0"/>
              <w:right w:val="single" w:color="000000" w:sz="4" w:space="0"/>
            </w:tcBorders>
            <w:noWrap/>
            <w:vAlign w:val="center"/>
          </w:tcPr>
          <w:p w14:paraId="07816F87">
            <w:pPr>
              <w:widowControl/>
              <w:spacing w:line="240" w:lineRule="exact"/>
              <w:textAlignment w:val="center"/>
              <w:rPr>
                <w:rFonts w:ascii="宋体" w:hAnsi="宋体" w:eastAsia="宋体" w:cs="宋体"/>
                <w:color w:val="000000"/>
                <w:kern w:val="0"/>
                <w:sz w:val="24"/>
              </w:rPr>
            </w:pPr>
            <w:r>
              <w:rPr>
                <w:rFonts w:hint="eastAsia" w:ascii="宋体" w:hAnsi="宋体" w:eastAsia="宋体" w:cs="宋体"/>
                <w:color w:val="000000"/>
                <w:kern w:val="0"/>
                <w:sz w:val="24"/>
              </w:rPr>
              <w:t>1863.95</w:t>
            </w:r>
          </w:p>
        </w:tc>
        <w:tc>
          <w:tcPr>
            <w:tcW w:w="4087" w:type="dxa"/>
            <w:gridSpan w:val="3"/>
            <w:tcBorders>
              <w:top w:val="single" w:color="auto" w:sz="4" w:space="0"/>
              <w:left w:val="single" w:color="000000" w:sz="4" w:space="0"/>
              <w:bottom w:val="single" w:color="000000" w:sz="4" w:space="0"/>
              <w:right w:val="single" w:color="000000" w:sz="4" w:space="0"/>
            </w:tcBorders>
            <w:noWrap/>
            <w:vAlign w:val="center"/>
          </w:tcPr>
          <w:p w14:paraId="60B024F2">
            <w:pPr>
              <w:widowControl/>
              <w:spacing w:line="240" w:lineRule="exact"/>
              <w:textAlignment w:val="center"/>
              <w:rPr>
                <w:rFonts w:ascii="宋体" w:hAnsi="宋体" w:eastAsia="宋体" w:cs="宋体"/>
                <w:color w:val="000000"/>
                <w:kern w:val="0"/>
                <w:sz w:val="24"/>
              </w:rPr>
            </w:pPr>
            <w:r>
              <w:rPr>
                <w:rFonts w:hint="eastAsia" w:ascii="宋体" w:hAnsi="宋体" w:eastAsia="宋体" w:cs="宋体"/>
                <w:color w:val="000000"/>
                <w:kern w:val="0"/>
                <w:sz w:val="24"/>
              </w:rPr>
              <w:t>542.39</w:t>
            </w:r>
          </w:p>
        </w:tc>
      </w:tr>
      <w:tr w14:paraId="4F49458E">
        <w:tblPrEx>
          <w:tblCellMar>
            <w:top w:w="0" w:type="dxa"/>
            <w:left w:w="108" w:type="dxa"/>
            <w:bottom w:w="0" w:type="dxa"/>
            <w:right w:w="108" w:type="dxa"/>
          </w:tblCellMar>
        </w:tblPrEx>
        <w:trPr>
          <w:trHeight w:val="296" w:hRule="atLeast"/>
          <w:jc w:val="center"/>
        </w:trPr>
        <w:tc>
          <w:tcPr>
            <w:tcW w:w="1727" w:type="dxa"/>
            <w:gridSpan w:val="3"/>
            <w:tcBorders>
              <w:top w:val="single" w:color="auto" w:sz="4" w:space="0"/>
              <w:left w:val="single" w:color="000000" w:sz="4" w:space="0"/>
              <w:bottom w:val="single" w:color="000000" w:sz="4" w:space="0"/>
              <w:right w:val="single" w:color="000000" w:sz="4" w:space="0"/>
            </w:tcBorders>
            <w:noWrap/>
            <w:vAlign w:val="center"/>
          </w:tcPr>
          <w:p w14:paraId="103860DC">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年度总体目标</w:t>
            </w:r>
          </w:p>
        </w:tc>
        <w:tc>
          <w:tcPr>
            <w:tcW w:w="7931" w:type="dxa"/>
            <w:gridSpan w:val="7"/>
            <w:tcBorders>
              <w:top w:val="single" w:color="000000" w:sz="4" w:space="0"/>
              <w:left w:val="single" w:color="000000" w:sz="4" w:space="0"/>
              <w:bottom w:val="single" w:color="000000" w:sz="4" w:space="0"/>
              <w:right w:val="single" w:color="000000" w:sz="4" w:space="0"/>
            </w:tcBorders>
            <w:noWrap/>
            <w:vAlign w:val="center"/>
          </w:tcPr>
          <w:p w14:paraId="2BF89AED">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p>
        </w:tc>
      </w:tr>
      <w:tr w14:paraId="125082D7">
        <w:tblPrEx>
          <w:tblCellMar>
            <w:top w:w="0" w:type="dxa"/>
            <w:left w:w="108" w:type="dxa"/>
            <w:bottom w:w="0" w:type="dxa"/>
            <w:right w:w="108" w:type="dxa"/>
          </w:tblCellMar>
        </w:tblPrEx>
        <w:trPr>
          <w:trHeight w:val="296"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14:paraId="688D710C">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管理效率</w:t>
            </w: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7DA7D2D9">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一级指标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3E24C81C">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二级指标</w:t>
            </w:r>
          </w:p>
        </w:tc>
        <w:tc>
          <w:tcPr>
            <w:tcW w:w="1246" w:type="dxa"/>
            <w:vMerge w:val="restart"/>
            <w:tcBorders>
              <w:top w:val="single" w:color="000000" w:sz="4" w:space="0"/>
              <w:left w:val="single" w:color="000000" w:sz="4" w:space="0"/>
              <w:bottom w:val="single" w:color="000000" w:sz="4" w:space="0"/>
              <w:right w:val="single" w:color="000000" w:sz="4" w:space="0"/>
            </w:tcBorders>
            <w:noWrap/>
            <w:vAlign w:val="center"/>
          </w:tcPr>
          <w:p w14:paraId="2E2F04A7">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三级指标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7E033E79">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指标值</w:t>
            </w:r>
          </w:p>
        </w:tc>
        <w:tc>
          <w:tcPr>
            <w:tcW w:w="3951" w:type="dxa"/>
            <w:gridSpan w:val="4"/>
            <w:tcBorders>
              <w:top w:val="single" w:color="000000" w:sz="4" w:space="0"/>
              <w:left w:val="single" w:color="000000" w:sz="4" w:space="0"/>
              <w:bottom w:val="single" w:color="000000" w:sz="4" w:space="0"/>
              <w:right w:val="single" w:color="000000" w:sz="4" w:space="0"/>
            </w:tcBorders>
            <w:noWrap/>
            <w:vAlign w:val="center"/>
          </w:tcPr>
          <w:p w14:paraId="2C0951E3">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指标设置参考值</w:t>
            </w:r>
          </w:p>
        </w:tc>
        <w:tc>
          <w:tcPr>
            <w:tcW w:w="1931" w:type="dxa"/>
            <w:vMerge w:val="restart"/>
            <w:tcBorders>
              <w:top w:val="single" w:color="000000" w:sz="4" w:space="0"/>
              <w:left w:val="single" w:color="000000" w:sz="4" w:space="0"/>
              <w:right w:val="single" w:color="000000" w:sz="4" w:space="0"/>
            </w:tcBorders>
            <w:noWrap/>
            <w:vAlign w:val="center"/>
          </w:tcPr>
          <w:p w14:paraId="5DB326E3">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指标实际完成值</w:t>
            </w:r>
          </w:p>
        </w:tc>
      </w:tr>
      <w:tr w14:paraId="0F0777F2">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50789616">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1BC86BDC">
            <w:pPr>
              <w:widowControl/>
              <w:spacing w:line="240" w:lineRule="exact"/>
              <w:jc w:val="center"/>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1ADB2C5C">
            <w:pPr>
              <w:widowControl/>
              <w:spacing w:line="240" w:lineRule="exact"/>
              <w:jc w:val="center"/>
              <w:textAlignment w:val="center"/>
              <w:rPr>
                <w:rFonts w:ascii="宋体" w:hAnsi="宋体" w:eastAsia="宋体" w:cs="宋体"/>
                <w:color w:val="000000"/>
                <w:kern w:val="0"/>
                <w:sz w:val="24"/>
              </w:rPr>
            </w:pPr>
          </w:p>
        </w:tc>
        <w:tc>
          <w:tcPr>
            <w:tcW w:w="1246" w:type="dxa"/>
            <w:vMerge w:val="continue"/>
            <w:tcBorders>
              <w:top w:val="single" w:color="000000" w:sz="4" w:space="0"/>
              <w:left w:val="single" w:color="000000" w:sz="4" w:space="0"/>
              <w:bottom w:val="single" w:color="000000" w:sz="4" w:space="0"/>
              <w:right w:val="single" w:color="000000" w:sz="4" w:space="0"/>
            </w:tcBorders>
            <w:noWrap/>
            <w:vAlign w:val="center"/>
          </w:tcPr>
          <w:p w14:paraId="1A36C7D5">
            <w:pPr>
              <w:widowControl/>
              <w:spacing w:line="240" w:lineRule="exact"/>
              <w:jc w:val="center"/>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61CD25DC">
            <w:pPr>
              <w:widowControl/>
              <w:spacing w:line="240" w:lineRule="exact"/>
              <w:jc w:val="center"/>
              <w:textAlignment w:val="center"/>
              <w:rPr>
                <w:rFonts w:ascii="宋体" w:hAnsi="宋体" w:eastAsia="宋体" w:cs="宋体"/>
                <w:color w:val="000000"/>
                <w:kern w:val="0"/>
                <w:sz w:val="24"/>
              </w:rPr>
            </w:pPr>
          </w:p>
        </w:tc>
        <w:tc>
          <w:tcPr>
            <w:tcW w:w="777" w:type="dxa"/>
            <w:tcBorders>
              <w:top w:val="single" w:color="000000" w:sz="4" w:space="0"/>
              <w:left w:val="single" w:color="000000" w:sz="4" w:space="0"/>
              <w:right w:val="single" w:color="000000" w:sz="4" w:space="0"/>
            </w:tcBorders>
            <w:noWrap/>
            <w:vAlign w:val="center"/>
          </w:tcPr>
          <w:p w14:paraId="460041C1">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三年</w:t>
            </w:r>
          </w:p>
          <w:p w14:paraId="004F9BE4">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均值</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0796A1A3">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2023</w:t>
            </w:r>
            <w:r>
              <w:rPr>
                <w:rFonts w:ascii="宋体" w:hAnsi="宋体" w:eastAsia="宋体" w:cs="宋体"/>
                <w:color w:val="000000"/>
                <w:kern w:val="0"/>
                <w:sz w:val="24"/>
              </w:rPr>
              <w:t>年</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1ED1BA76">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2024</w:t>
            </w:r>
            <w:r>
              <w:rPr>
                <w:rFonts w:ascii="宋体" w:hAnsi="宋体" w:eastAsia="宋体" w:cs="宋体"/>
                <w:color w:val="000000"/>
                <w:kern w:val="0"/>
                <w:sz w:val="24"/>
              </w:rPr>
              <w:t>年</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0FB3513B">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2025</w:t>
            </w:r>
            <w:r>
              <w:rPr>
                <w:rFonts w:ascii="宋体" w:hAnsi="宋体" w:eastAsia="宋体" w:cs="宋体"/>
                <w:color w:val="000000"/>
                <w:kern w:val="0"/>
                <w:sz w:val="24"/>
              </w:rPr>
              <w:t>年</w:t>
            </w:r>
          </w:p>
        </w:tc>
        <w:tc>
          <w:tcPr>
            <w:tcW w:w="1931" w:type="dxa"/>
            <w:vMerge w:val="continue"/>
            <w:tcBorders>
              <w:left w:val="single" w:color="000000" w:sz="4" w:space="0"/>
              <w:right w:val="single" w:color="000000" w:sz="4" w:space="0"/>
            </w:tcBorders>
            <w:noWrap/>
            <w:vAlign w:val="center"/>
          </w:tcPr>
          <w:p w14:paraId="690F5030">
            <w:pPr>
              <w:widowControl/>
              <w:spacing w:line="240" w:lineRule="exact"/>
              <w:jc w:val="center"/>
              <w:textAlignment w:val="center"/>
              <w:rPr>
                <w:rFonts w:ascii="宋体" w:hAnsi="宋体" w:eastAsia="宋体" w:cs="宋体"/>
                <w:color w:val="000000"/>
                <w:kern w:val="0"/>
                <w:sz w:val="24"/>
              </w:rPr>
            </w:pPr>
          </w:p>
        </w:tc>
      </w:tr>
      <w:tr w14:paraId="1EA81797">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4E22EA42">
            <w:pPr>
              <w:widowControl/>
              <w:spacing w:line="240" w:lineRule="exact"/>
              <w:jc w:val="center"/>
              <w:textAlignment w:val="center"/>
              <w:rPr>
                <w:rFonts w:ascii="宋体" w:hAnsi="宋体" w:eastAsia="宋体" w:cs="宋体"/>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2C05EE98">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成本指标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08D4389D">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预算管理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08A216FC">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财政拨款</w:t>
            </w:r>
            <w:r>
              <w:rPr>
                <w:rFonts w:ascii="宋体" w:hAnsi="宋体" w:eastAsia="宋体" w:cs="宋体"/>
                <w:color w:val="000000"/>
                <w:kern w:val="0"/>
                <w:sz w:val="24"/>
              </w:rPr>
              <w:t>预算编制偏离度</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7C2532EA">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≤30%</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33CEB725">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32.87</w:t>
            </w:r>
            <w:r>
              <w:rPr>
                <w:rFonts w:ascii="宋体" w:hAnsi="宋体" w:eastAsia="宋体" w:cs="宋体"/>
                <w:color w:val="000000"/>
                <w:kern w:val="0"/>
                <w:sz w:val="24"/>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6224FB18">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1.04%</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3D948372">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49.26%</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3EB0FB3B">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48.3%</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6BBF320C">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25%</w:t>
            </w:r>
          </w:p>
        </w:tc>
      </w:tr>
      <w:tr w14:paraId="1C81CC8A">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0938065B">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67DDC661">
            <w:pPr>
              <w:widowControl/>
              <w:spacing w:line="240" w:lineRule="exact"/>
              <w:jc w:val="center"/>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07953E93">
            <w:pPr>
              <w:widowControl/>
              <w:spacing w:line="240" w:lineRule="exact"/>
              <w:jc w:val="center"/>
              <w:textAlignment w:val="center"/>
              <w:rPr>
                <w:rFonts w:ascii="宋体" w:hAnsi="宋体" w:eastAsia="宋体" w:cs="宋体"/>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6EF432C9">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单位收入统筹度</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364BBD51">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≥50%</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0DACDCD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x</w:t>
            </w:r>
            <w:r>
              <w:rPr>
                <w:rFonts w:ascii="宋体" w:hAnsi="宋体" w:eastAsia="宋体" w:cs="宋体"/>
                <w:color w:val="000000"/>
                <w:kern w:val="0"/>
                <w:sz w:val="24"/>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0AAFF1E0">
            <w:pPr>
              <w:widowControl/>
              <w:spacing w:line="240" w:lineRule="exact"/>
              <w:jc w:val="center"/>
              <w:textAlignment w:val="center"/>
              <w:rPr>
                <w:rFonts w:ascii="宋体" w:hAnsi="宋体" w:eastAsia="宋体" w:cs="宋体"/>
                <w:color w:val="000000"/>
                <w:kern w:val="0"/>
                <w:sz w:val="24"/>
              </w:rPr>
            </w:pP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49ABF9DD">
            <w:pPr>
              <w:widowControl/>
              <w:spacing w:line="240" w:lineRule="exact"/>
              <w:jc w:val="center"/>
              <w:textAlignment w:val="center"/>
              <w:rPr>
                <w:rFonts w:ascii="宋体" w:hAnsi="宋体" w:eastAsia="宋体" w:cs="宋体"/>
                <w:color w:val="000000"/>
                <w:kern w:val="0"/>
                <w:sz w:val="24"/>
              </w:rPr>
            </w:pP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4003710D">
            <w:pPr>
              <w:widowControl/>
              <w:spacing w:line="240" w:lineRule="exact"/>
              <w:jc w:val="center"/>
              <w:textAlignment w:val="center"/>
              <w:rPr>
                <w:rFonts w:ascii="宋体" w:hAnsi="宋体" w:eastAsia="宋体" w:cs="宋体"/>
                <w:color w:val="000000"/>
                <w:kern w:val="0"/>
                <w:sz w:val="24"/>
              </w:rPr>
            </w:pP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38665A0F">
            <w:pPr>
              <w:widowControl/>
              <w:spacing w:line="240" w:lineRule="exact"/>
              <w:jc w:val="center"/>
              <w:textAlignment w:val="center"/>
              <w:rPr>
                <w:rFonts w:ascii="宋体" w:hAnsi="宋体" w:eastAsia="宋体" w:cs="宋体"/>
                <w:color w:val="000000"/>
                <w:kern w:val="0"/>
                <w:sz w:val="24"/>
              </w:rPr>
            </w:pPr>
          </w:p>
        </w:tc>
      </w:tr>
      <w:tr w14:paraId="38652D08">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69A304A8">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1CF7AC26">
            <w:pPr>
              <w:widowControl/>
              <w:spacing w:line="240" w:lineRule="exact"/>
              <w:jc w:val="center"/>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540FF1B1">
            <w:pPr>
              <w:widowControl/>
              <w:spacing w:line="240" w:lineRule="exact"/>
              <w:jc w:val="center"/>
              <w:textAlignment w:val="center"/>
              <w:rPr>
                <w:rFonts w:ascii="宋体" w:hAnsi="宋体" w:eastAsia="宋体" w:cs="宋体"/>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0E4231C3">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预算年终结余</w:t>
            </w:r>
            <w:r>
              <w:rPr>
                <w:rFonts w:ascii="宋体" w:hAnsi="宋体" w:eastAsia="宋体" w:cs="宋体"/>
                <w:color w:val="000000"/>
                <w:kern w:val="0"/>
                <w:sz w:val="24"/>
              </w:rPr>
              <w:t>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230F5F61">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≤25%</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042DA3A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25.77</w:t>
            </w:r>
            <w:r>
              <w:rPr>
                <w:rFonts w:ascii="宋体" w:hAnsi="宋体" w:eastAsia="宋体" w:cs="宋体"/>
                <w:color w:val="000000"/>
                <w:kern w:val="0"/>
                <w:sz w:val="24"/>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79F491C8">
            <w:pPr>
              <w:widowControl/>
              <w:spacing w:line="240" w:lineRule="exact"/>
              <w:jc w:val="center"/>
              <w:textAlignment w:val="center"/>
              <w:rPr>
                <w:rFonts w:ascii="宋体" w:hAnsi="宋体" w:eastAsia="宋体" w:cs="宋体"/>
                <w:color w:val="000000"/>
                <w:kern w:val="0"/>
                <w:sz w:val="24"/>
              </w:rPr>
            </w:pP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46AE02BB">
            <w:pPr>
              <w:widowControl/>
              <w:spacing w:line="240" w:lineRule="exact"/>
              <w:jc w:val="center"/>
              <w:textAlignment w:val="center"/>
              <w:rPr>
                <w:rFonts w:ascii="宋体" w:hAnsi="宋体" w:eastAsia="宋体" w:cs="宋体"/>
                <w:color w:val="000000"/>
                <w:kern w:val="0"/>
                <w:sz w:val="24"/>
              </w:rPr>
            </w:pP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08695864">
            <w:pPr>
              <w:widowControl/>
              <w:spacing w:line="240" w:lineRule="exact"/>
              <w:jc w:val="center"/>
              <w:textAlignment w:val="center"/>
              <w:rPr>
                <w:rFonts w:ascii="宋体" w:hAnsi="宋体" w:eastAsia="宋体" w:cs="宋体"/>
                <w:color w:val="000000"/>
                <w:kern w:val="0"/>
                <w:sz w:val="24"/>
              </w:rPr>
            </w:pP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0C67BF3F">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25.77</w:t>
            </w:r>
            <w:r>
              <w:rPr>
                <w:rFonts w:ascii="宋体" w:hAnsi="宋体" w:eastAsia="宋体" w:cs="宋体"/>
                <w:color w:val="000000"/>
                <w:kern w:val="0"/>
                <w:sz w:val="24"/>
              </w:rPr>
              <w:t>%</w:t>
            </w:r>
          </w:p>
        </w:tc>
      </w:tr>
      <w:tr w14:paraId="494B4568">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31F174CD">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665D1A4A">
            <w:pPr>
              <w:widowControl/>
              <w:spacing w:line="240" w:lineRule="exact"/>
              <w:jc w:val="center"/>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0A8BDB29">
            <w:pPr>
              <w:widowControl/>
              <w:spacing w:line="240" w:lineRule="exact"/>
              <w:jc w:val="center"/>
              <w:textAlignment w:val="center"/>
              <w:rPr>
                <w:rFonts w:ascii="宋体" w:hAnsi="宋体" w:eastAsia="宋体" w:cs="宋体"/>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32DB60EC">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一般性支出</w:t>
            </w:r>
            <w:r>
              <w:rPr>
                <w:rFonts w:ascii="宋体" w:hAnsi="宋体" w:eastAsia="宋体" w:cs="宋体"/>
                <w:color w:val="000000"/>
                <w:kern w:val="0"/>
                <w:sz w:val="24"/>
              </w:rPr>
              <w:t>金额</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2F80E749">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≤2000</w:t>
            </w:r>
            <w:r>
              <w:rPr>
                <w:rFonts w:ascii="宋体" w:hAnsi="宋体" w:eastAsia="宋体" w:cs="宋体"/>
                <w:color w:val="000000"/>
                <w:kern w:val="0"/>
                <w:sz w:val="24"/>
              </w:rPr>
              <w:t>万元</w:t>
            </w:r>
          </w:p>
        </w:tc>
        <w:tc>
          <w:tcPr>
            <w:tcW w:w="3951" w:type="dxa"/>
            <w:gridSpan w:val="4"/>
            <w:tcBorders>
              <w:top w:val="single" w:color="000000" w:sz="4" w:space="0"/>
              <w:left w:val="single" w:color="000000" w:sz="4" w:space="0"/>
              <w:bottom w:val="single" w:color="000000" w:sz="4" w:space="0"/>
              <w:right w:val="single" w:color="000000" w:sz="4" w:space="0"/>
            </w:tcBorders>
            <w:noWrap/>
            <w:vAlign w:val="center"/>
          </w:tcPr>
          <w:p w14:paraId="733F7486">
            <w:pPr>
              <w:widowControl/>
              <w:spacing w:line="240" w:lineRule="exact"/>
              <w:jc w:val="center"/>
              <w:textAlignment w:val="center"/>
              <w:rPr>
                <w:rFonts w:ascii="宋体" w:hAnsi="宋体" w:eastAsia="宋体" w:cs="宋体"/>
                <w:color w:val="000000"/>
                <w:kern w:val="0"/>
                <w:sz w:val="24"/>
              </w:rPr>
            </w:pP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2556C4EA">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1854.78万元</w:t>
            </w:r>
          </w:p>
        </w:tc>
      </w:tr>
      <w:tr w14:paraId="50F8B26D">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771DA4A1">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6CE507E0">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4F38C2D5">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财务管理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4BF75D9D">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财务管理规范</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36098587">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优</w:t>
            </w:r>
          </w:p>
        </w:tc>
        <w:tc>
          <w:tcPr>
            <w:tcW w:w="3951" w:type="dxa"/>
            <w:gridSpan w:val="4"/>
            <w:tcBorders>
              <w:top w:val="single" w:color="000000" w:sz="4" w:space="0"/>
              <w:left w:val="single" w:color="000000" w:sz="4" w:space="0"/>
              <w:bottom w:val="single" w:color="000000" w:sz="4" w:space="0"/>
              <w:right w:val="single" w:color="000000" w:sz="4" w:space="0"/>
            </w:tcBorders>
            <w:noWrap/>
            <w:vAlign w:val="center"/>
          </w:tcPr>
          <w:p w14:paraId="5B62B889">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x</w:t>
            </w:r>
            <w:r>
              <w:rPr>
                <w:rFonts w:ascii="宋体" w:hAnsi="宋体" w:eastAsia="宋体" w:cs="宋体"/>
                <w:color w:val="000000"/>
                <w:kern w:val="0"/>
                <w:sz w:val="24"/>
              </w:rPr>
              <w:t>为“优”“良”“中”或“差”</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01966A61">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优</w:t>
            </w:r>
          </w:p>
        </w:tc>
      </w:tr>
      <w:tr w14:paraId="11EA950E">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5346F06B">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5ADB2FB1">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14B484B3">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资产管理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6BC2065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资产配置预算偏离度</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4C27C169">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≤1</w:t>
            </w:r>
            <w:r>
              <w:rPr>
                <w:rFonts w:ascii="宋体" w:hAnsi="宋体" w:eastAsia="宋体" w:cs="宋体"/>
                <w:color w:val="000000"/>
                <w:kern w:val="0"/>
                <w:sz w:val="24"/>
              </w:rPr>
              <w:t>%</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48651DE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1</w:t>
            </w:r>
            <w:r>
              <w:rPr>
                <w:rFonts w:ascii="宋体" w:hAnsi="宋体" w:eastAsia="宋体" w:cs="宋体"/>
                <w:color w:val="000000"/>
                <w:kern w:val="0"/>
                <w:sz w:val="24"/>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6C109FFC">
            <w:pPr>
              <w:widowControl/>
              <w:spacing w:line="240" w:lineRule="exact"/>
              <w:jc w:val="center"/>
              <w:textAlignment w:val="center"/>
              <w:rPr>
                <w:rFonts w:ascii="宋体" w:hAnsi="宋体" w:eastAsia="宋体" w:cs="宋体"/>
                <w:color w:val="000000"/>
                <w:kern w:val="0"/>
                <w:sz w:val="24"/>
              </w:rPr>
            </w:pP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1A97B6CC">
            <w:pPr>
              <w:widowControl/>
              <w:spacing w:line="240" w:lineRule="exact"/>
              <w:jc w:val="center"/>
              <w:textAlignment w:val="center"/>
              <w:rPr>
                <w:rFonts w:ascii="宋体" w:hAnsi="宋体" w:eastAsia="宋体" w:cs="宋体"/>
                <w:color w:val="000000"/>
                <w:kern w:val="0"/>
                <w:sz w:val="24"/>
              </w:rPr>
            </w:pP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1A7EE7A2">
            <w:pPr>
              <w:widowControl/>
              <w:spacing w:line="240" w:lineRule="exact"/>
              <w:jc w:val="center"/>
              <w:textAlignment w:val="center"/>
              <w:rPr>
                <w:rFonts w:ascii="宋体" w:hAnsi="宋体" w:eastAsia="宋体" w:cs="宋体"/>
                <w:color w:val="000000"/>
                <w:kern w:val="0"/>
                <w:sz w:val="24"/>
              </w:rPr>
            </w:pP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3A621E24">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1%</w:t>
            </w:r>
          </w:p>
        </w:tc>
      </w:tr>
      <w:tr w14:paraId="1757A85B">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48A8810F">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1FD71275">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6BBE4D1D">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采购管理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1D2325F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采购执行率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467F0C64">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≥100%</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2A9DA264">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100</w:t>
            </w:r>
            <w:r>
              <w:rPr>
                <w:rFonts w:ascii="宋体" w:hAnsi="宋体" w:eastAsia="宋体" w:cs="宋体"/>
                <w:color w:val="000000"/>
                <w:kern w:val="0"/>
                <w:sz w:val="24"/>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52255505">
            <w:pPr>
              <w:widowControl/>
              <w:spacing w:line="240" w:lineRule="exact"/>
              <w:jc w:val="center"/>
              <w:textAlignment w:val="center"/>
              <w:rPr>
                <w:rFonts w:ascii="宋体" w:hAnsi="宋体" w:eastAsia="宋体" w:cs="宋体"/>
                <w:color w:val="000000"/>
                <w:kern w:val="0"/>
                <w:sz w:val="24"/>
              </w:rPr>
            </w:pP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20950A1A">
            <w:pPr>
              <w:widowControl/>
              <w:spacing w:line="240" w:lineRule="exact"/>
              <w:jc w:val="center"/>
              <w:textAlignment w:val="center"/>
              <w:rPr>
                <w:rFonts w:ascii="宋体" w:hAnsi="宋体" w:eastAsia="宋体" w:cs="宋体"/>
                <w:color w:val="000000"/>
                <w:kern w:val="0"/>
                <w:sz w:val="24"/>
              </w:rPr>
            </w:pP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3D1FCAEE">
            <w:pPr>
              <w:widowControl/>
              <w:spacing w:line="240" w:lineRule="exact"/>
              <w:jc w:val="center"/>
              <w:textAlignment w:val="center"/>
              <w:rPr>
                <w:rFonts w:ascii="宋体" w:hAnsi="宋体" w:eastAsia="宋体" w:cs="宋体"/>
                <w:color w:val="000000"/>
                <w:kern w:val="0"/>
                <w:sz w:val="24"/>
              </w:rPr>
            </w:pP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11DE413A">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100</w:t>
            </w:r>
            <w:r>
              <w:rPr>
                <w:rFonts w:ascii="宋体" w:hAnsi="宋体" w:eastAsia="宋体" w:cs="宋体"/>
                <w:color w:val="000000"/>
                <w:kern w:val="0"/>
                <w:sz w:val="24"/>
              </w:rPr>
              <w:t>%</w:t>
            </w:r>
          </w:p>
        </w:tc>
      </w:tr>
      <w:tr w14:paraId="6FCBBC5D">
        <w:tblPrEx>
          <w:tblCellMar>
            <w:top w:w="0" w:type="dxa"/>
            <w:left w:w="108" w:type="dxa"/>
            <w:bottom w:w="0" w:type="dxa"/>
            <w:right w:w="108" w:type="dxa"/>
          </w:tblCellMar>
        </w:tblPrEx>
        <w:trPr>
          <w:trHeight w:val="468"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14:paraId="5EAAC277">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履职效能</w:t>
            </w: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4AC682B9">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一级指标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5F705782">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二级指标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28C984B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三级指标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5E214286">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指标值（包含数字及文字描述）</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028ECDB8">
            <w:pPr>
              <w:widowControl/>
              <w:spacing w:line="240" w:lineRule="exact"/>
              <w:jc w:val="center"/>
              <w:textAlignment w:val="center"/>
              <w:rPr>
                <w:rFonts w:ascii="宋体" w:hAnsi="宋体" w:eastAsia="宋体" w:cs="宋体"/>
                <w:color w:val="000000"/>
                <w:kern w:val="0"/>
                <w:sz w:val="24"/>
              </w:rPr>
            </w:pPr>
          </w:p>
        </w:tc>
      </w:tr>
      <w:tr w14:paraId="2F335D30">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5B321B63">
            <w:pPr>
              <w:widowControl/>
              <w:spacing w:line="240" w:lineRule="exact"/>
              <w:jc w:val="center"/>
              <w:textAlignment w:val="center"/>
              <w:rPr>
                <w:rFonts w:ascii="宋体" w:hAnsi="宋体" w:eastAsia="宋体" w:cs="宋体"/>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7C3FE96B">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6D27F678">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18C24ED8">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受理案件数</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029BEF75">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大于1000件</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6DF0D75D">
            <w:pPr>
              <w:widowControl/>
              <w:spacing w:line="240" w:lineRule="exact"/>
              <w:jc w:val="center"/>
              <w:textAlignment w:val="center"/>
              <w:rPr>
                <w:rFonts w:ascii="宋体" w:hAnsi="宋体" w:eastAsia="宋体" w:cs="宋体"/>
                <w:color w:val="000000"/>
                <w:kern w:val="0"/>
                <w:sz w:val="24"/>
              </w:rPr>
            </w:pPr>
          </w:p>
        </w:tc>
      </w:tr>
      <w:tr w14:paraId="37239440">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0A3FBD14">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7D53C111">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25C65D63">
            <w:pPr>
              <w:widowControl/>
              <w:spacing w:line="240" w:lineRule="exact"/>
              <w:textAlignment w:val="center"/>
              <w:rPr>
                <w:rFonts w:ascii="宋体" w:hAnsi="宋体" w:eastAsia="宋体" w:cs="宋体"/>
                <w:color w:val="000000"/>
                <w:kern w:val="0"/>
                <w:sz w:val="24"/>
              </w:rPr>
            </w:pPr>
            <w:r>
              <w:rPr>
                <w:rFonts w:hint="eastAsia" w:ascii="宋体" w:hAnsi="宋体" w:eastAsia="宋体" w:cs="宋体"/>
                <w:color w:val="000000"/>
                <w:kern w:val="0"/>
                <w:sz w:val="24"/>
              </w:rPr>
              <w:t>质量指标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268F7B5F">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一审上诉率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4E2F6E9B">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小于5%</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1E84519E">
            <w:pPr>
              <w:widowControl/>
              <w:spacing w:line="240" w:lineRule="exact"/>
              <w:jc w:val="center"/>
              <w:textAlignment w:val="center"/>
              <w:rPr>
                <w:rFonts w:ascii="宋体" w:hAnsi="宋体" w:eastAsia="宋体" w:cs="宋体"/>
                <w:color w:val="000000"/>
                <w:kern w:val="0"/>
                <w:sz w:val="24"/>
              </w:rPr>
            </w:pPr>
          </w:p>
        </w:tc>
      </w:tr>
      <w:tr w14:paraId="197E7F25">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2ADD96D7">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3F24A654">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4EB89B39">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质量指标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25C418E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一审改判率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082AE31B">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小于5%</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3E124801">
            <w:pPr>
              <w:widowControl/>
              <w:spacing w:line="240" w:lineRule="exact"/>
              <w:jc w:val="center"/>
              <w:textAlignment w:val="center"/>
              <w:rPr>
                <w:rFonts w:ascii="宋体" w:hAnsi="宋体" w:eastAsia="宋体" w:cs="宋体"/>
                <w:color w:val="000000"/>
                <w:kern w:val="0"/>
                <w:sz w:val="24"/>
              </w:rPr>
            </w:pPr>
          </w:p>
        </w:tc>
      </w:tr>
      <w:tr w14:paraId="72BADEDB">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6707E5E7">
            <w:pPr>
              <w:widowControl/>
              <w:spacing w:line="240" w:lineRule="exact"/>
              <w:jc w:val="center"/>
              <w:textAlignment w:val="center"/>
              <w:rPr>
                <w:rFonts w:ascii="宋体" w:hAnsi="宋体" w:eastAsia="宋体" w:cs="宋体"/>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3CDFF1F6">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效益指标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78DDA5B8">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社会效益指标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48C70ED8">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社会司法公正水平</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53CF163E">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提升</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062296C3">
            <w:pPr>
              <w:widowControl/>
              <w:spacing w:line="240" w:lineRule="exact"/>
              <w:jc w:val="center"/>
              <w:textAlignment w:val="center"/>
              <w:rPr>
                <w:rFonts w:ascii="宋体" w:hAnsi="宋体" w:eastAsia="宋体" w:cs="宋体"/>
                <w:color w:val="000000"/>
                <w:kern w:val="0"/>
                <w:sz w:val="24"/>
              </w:rPr>
            </w:pPr>
          </w:p>
        </w:tc>
      </w:tr>
      <w:tr w14:paraId="0960C7E2">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71EC0CED">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05F97DC8">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5CB5E2D6">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社会效益指标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4BAD8C0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社会维稳水平</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48B358CB">
            <w:pPr>
              <w:widowControl/>
              <w:spacing w:line="240" w:lineRule="exact"/>
              <w:jc w:val="center"/>
              <w:textAlignment w:val="center"/>
              <w:rPr>
                <w:rFonts w:ascii="宋体" w:hAnsi="宋体" w:eastAsia="宋体" w:cs="宋体"/>
                <w:color w:val="000000"/>
                <w:kern w:val="0"/>
                <w:sz w:val="28"/>
                <w:szCs w:val="28"/>
              </w:rPr>
            </w:pPr>
            <w:r>
              <w:rPr>
                <w:rFonts w:hint="eastAsia" w:ascii="宋体" w:hAnsi="宋体" w:eastAsia="宋体" w:cs="宋体"/>
                <w:color w:val="000000"/>
                <w:kern w:val="0"/>
                <w:sz w:val="24"/>
              </w:rPr>
              <w:t>提升</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3737BEEC">
            <w:pPr>
              <w:widowControl/>
              <w:spacing w:line="240" w:lineRule="exact"/>
              <w:jc w:val="center"/>
              <w:textAlignment w:val="center"/>
              <w:rPr>
                <w:rFonts w:ascii="宋体" w:hAnsi="宋体" w:eastAsia="宋体" w:cs="宋体"/>
                <w:color w:val="000000"/>
                <w:kern w:val="0"/>
                <w:sz w:val="24"/>
              </w:rPr>
            </w:pPr>
          </w:p>
        </w:tc>
      </w:tr>
      <w:tr w14:paraId="715E60B3">
        <w:tblPrEx>
          <w:tblCellMar>
            <w:top w:w="0" w:type="dxa"/>
            <w:left w:w="108" w:type="dxa"/>
            <w:bottom w:w="0" w:type="dxa"/>
            <w:right w:w="108" w:type="dxa"/>
          </w:tblCellMar>
        </w:tblPrEx>
        <w:trPr>
          <w:trHeight w:val="30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7D5D49F3">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28E37F57">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A2A4849">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10DC05E7">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3A83A3B8">
            <w:pPr>
              <w:widowControl/>
              <w:spacing w:line="240" w:lineRule="exact"/>
              <w:jc w:val="center"/>
              <w:textAlignment w:val="center"/>
              <w:rPr>
                <w:rFonts w:ascii="宋体" w:hAnsi="宋体" w:eastAsia="宋体" w:cs="宋体"/>
                <w:color w:val="000000"/>
                <w:kern w:val="0"/>
                <w:sz w:val="24"/>
              </w:rPr>
            </w:pP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35D0804C">
            <w:pPr>
              <w:widowControl/>
              <w:spacing w:line="240" w:lineRule="exact"/>
              <w:jc w:val="center"/>
              <w:textAlignment w:val="center"/>
              <w:rPr>
                <w:rFonts w:ascii="宋体" w:hAnsi="宋体" w:eastAsia="宋体" w:cs="宋体"/>
                <w:color w:val="000000"/>
                <w:kern w:val="0"/>
                <w:sz w:val="24"/>
              </w:rPr>
            </w:pPr>
          </w:p>
        </w:tc>
      </w:tr>
    </w:tbl>
    <w:p w14:paraId="60E5237B">
      <w:pPr>
        <w:rPr>
          <w:rFonts w:eastAsia="黑体"/>
        </w:rPr>
      </w:pPr>
    </w:p>
    <w:p w14:paraId="5BF91AB1">
      <w:pPr>
        <w:pStyle w:val="8"/>
        <w:spacing w:line="560" w:lineRule="exact"/>
        <w:ind w:left="0" w:leftChars="0" w:firstLine="0" w:firstLineChars="0"/>
        <w:rPr>
          <w:rFonts w:ascii="Times New Roman"/>
          <w:sz w:val="32"/>
          <w:highlight w:val="yellow"/>
          <w:lang w:val="zh-CN"/>
        </w:rPr>
      </w:pPr>
    </w:p>
    <w:p w14:paraId="6FB4CA1B">
      <w:pPr>
        <w:pStyle w:val="2"/>
        <w:spacing w:before="93"/>
        <w:rPr>
          <w:rFonts w:ascii="Times New Roman" w:cs="宋体"/>
          <w:color w:val="FF0000"/>
          <w:sz w:val="32"/>
          <w:szCs w:val="32"/>
          <w:highlight w:val="yellow"/>
          <w:shd w:val="clear" w:color="auto" w:fill="FFFFFF"/>
          <w:lang w:val="zh-CN"/>
        </w:rPr>
      </w:pPr>
    </w:p>
    <w:p w14:paraId="2FBB5E4F">
      <w:pPr>
        <w:rPr>
          <w:rFonts w:eastAsia="仿宋_GB2312" w:cs="仿宋_GB2312"/>
          <w:kern w:val="0"/>
          <w:sz w:val="32"/>
          <w:szCs w:val="32"/>
        </w:rPr>
      </w:pPr>
      <w:bookmarkStart w:id="48" w:name="_Toc15396618"/>
      <w:r>
        <w:rPr>
          <w:rFonts w:hint="eastAsia" w:eastAsia="仿宋_GB2312" w:cs="仿宋_GB2312"/>
          <w:kern w:val="0"/>
          <w:sz w:val="32"/>
          <w:szCs w:val="32"/>
        </w:rPr>
        <w:br w:type="page"/>
      </w:r>
    </w:p>
    <w:p w14:paraId="78359244">
      <w:pPr>
        <w:widowControl/>
        <w:jc w:val="center"/>
        <w:rPr>
          <w:rFonts w:eastAsia="仿宋"/>
        </w:rPr>
      </w:pPr>
      <w:r>
        <w:rPr>
          <w:rFonts w:hint="eastAsia" w:eastAsia="黑体"/>
          <w:sz w:val="44"/>
          <w:szCs w:val="44"/>
        </w:rPr>
        <w:t>第</w:t>
      </w:r>
      <w:r>
        <w:rPr>
          <w:rStyle w:val="30"/>
          <w:rFonts w:hint="eastAsia" w:eastAsia="黑体"/>
          <w:b w:val="0"/>
        </w:rPr>
        <w:t>五部分 附表</w:t>
      </w:r>
      <w:bookmarkEnd w:id="45"/>
      <w:bookmarkEnd w:id="48"/>
      <w:bookmarkStart w:id="49" w:name="_Toc15396619"/>
    </w:p>
    <w:p w14:paraId="75ED8529">
      <w:pPr>
        <w:pStyle w:val="15"/>
        <w:adjustRightInd w:val="0"/>
        <w:snapToGrid w:val="0"/>
        <w:spacing w:line="560" w:lineRule="exact"/>
        <w:jc w:val="left"/>
        <w:rPr>
          <w:rFonts w:eastAsia="仿宋_GB2312" w:cs="仿宋_GB2312"/>
          <w:sz w:val="32"/>
          <w:szCs w:val="32"/>
        </w:rPr>
      </w:pPr>
    </w:p>
    <w:p w14:paraId="692F208E">
      <w:pPr>
        <w:pStyle w:val="15"/>
        <w:adjustRightInd w:val="0"/>
        <w:snapToGrid w:val="0"/>
        <w:spacing w:line="560" w:lineRule="exact"/>
        <w:jc w:val="left"/>
        <w:rPr>
          <w:rFonts w:eastAsia="仿宋_GB2312" w:cs="仿宋_GB2312"/>
          <w:sz w:val="32"/>
          <w:szCs w:val="32"/>
        </w:rPr>
      </w:pPr>
      <w:r>
        <w:rPr>
          <w:rFonts w:hint="eastAsia" w:eastAsia="仿宋_GB2312" w:cs="仿宋_GB2312"/>
          <w:sz w:val="32"/>
          <w:szCs w:val="32"/>
        </w:rPr>
        <w:t>一、收入支出决算总表</w:t>
      </w:r>
      <w:bookmarkEnd w:id="49"/>
    </w:p>
    <w:p w14:paraId="2A91ED90">
      <w:pPr>
        <w:pStyle w:val="15"/>
        <w:adjustRightInd w:val="0"/>
        <w:snapToGrid w:val="0"/>
        <w:spacing w:line="560" w:lineRule="exact"/>
        <w:jc w:val="left"/>
        <w:rPr>
          <w:rFonts w:eastAsia="仿宋_GB2312" w:cs="仿宋_GB2312"/>
          <w:sz w:val="32"/>
          <w:szCs w:val="32"/>
        </w:rPr>
      </w:pPr>
      <w:bookmarkStart w:id="50" w:name="_Toc15396620"/>
      <w:r>
        <w:rPr>
          <w:rFonts w:hint="eastAsia" w:eastAsia="仿宋_GB2312" w:cs="仿宋_GB2312"/>
          <w:sz w:val="32"/>
          <w:szCs w:val="32"/>
        </w:rPr>
        <w:t>二、收入决算表</w:t>
      </w:r>
      <w:bookmarkEnd w:id="50"/>
    </w:p>
    <w:p w14:paraId="6E969DAD">
      <w:pPr>
        <w:pStyle w:val="15"/>
        <w:adjustRightInd w:val="0"/>
        <w:snapToGrid w:val="0"/>
        <w:spacing w:line="560" w:lineRule="exact"/>
        <w:jc w:val="left"/>
        <w:rPr>
          <w:rFonts w:eastAsia="仿宋_GB2312" w:cs="仿宋_GB2312"/>
          <w:sz w:val="32"/>
          <w:szCs w:val="32"/>
        </w:rPr>
      </w:pPr>
      <w:bookmarkStart w:id="51" w:name="_Toc15396621"/>
      <w:r>
        <w:rPr>
          <w:rFonts w:hint="eastAsia" w:eastAsia="仿宋_GB2312" w:cs="仿宋_GB2312"/>
          <w:sz w:val="32"/>
          <w:szCs w:val="32"/>
        </w:rPr>
        <w:t>三、支出决算表</w:t>
      </w:r>
      <w:bookmarkEnd w:id="51"/>
    </w:p>
    <w:p w14:paraId="530C777B">
      <w:pPr>
        <w:pStyle w:val="15"/>
        <w:adjustRightInd w:val="0"/>
        <w:snapToGrid w:val="0"/>
        <w:spacing w:line="560" w:lineRule="exact"/>
        <w:jc w:val="left"/>
        <w:rPr>
          <w:rFonts w:eastAsia="仿宋_GB2312" w:cs="仿宋_GB2312"/>
          <w:sz w:val="32"/>
          <w:szCs w:val="32"/>
        </w:rPr>
      </w:pPr>
      <w:bookmarkStart w:id="52" w:name="_Toc15396622"/>
      <w:r>
        <w:rPr>
          <w:rFonts w:hint="eastAsia" w:eastAsia="仿宋_GB2312" w:cs="仿宋_GB2312"/>
          <w:sz w:val="32"/>
          <w:szCs w:val="32"/>
        </w:rPr>
        <w:t>四、财政拨款收入支出决算总表</w:t>
      </w:r>
      <w:bookmarkEnd w:id="52"/>
    </w:p>
    <w:p w14:paraId="173A53BE">
      <w:pPr>
        <w:pStyle w:val="15"/>
        <w:adjustRightInd w:val="0"/>
        <w:snapToGrid w:val="0"/>
        <w:spacing w:line="560" w:lineRule="exact"/>
        <w:jc w:val="left"/>
        <w:rPr>
          <w:rFonts w:eastAsia="仿宋_GB2312" w:cs="仿宋_GB2312"/>
          <w:sz w:val="32"/>
          <w:szCs w:val="32"/>
        </w:rPr>
      </w:pPr>
      <w:bookmarkStart w:id="53" w:name="_Toc15396623"/>
      <w:r>
        <w:rPr>
          <w:rFonts w:hint="eastAsia" w:eastAsia="仿宋_GB2312" w:cs="仿宋_GB2312"/>
          <w:sz w:val="32"/>
          <w:szCs w:val="32"/>
        </w:rPr>
        <w:t>五、财政拨款支出决算明细表</w:t>
      </w:r>
      <w:bookmarkEnd w:id="53"/>
      <w:bookmarkStart w:id="54" w:name="_Toc15396624"/>
    </w:p>
    <w:p w14:paraId="6C94B4EC">
      <w:pPr>
        <w:pStyle w:val="15"/>
        <w:adjustRightInd w:val="0"/>
        <w:snapToGrid w:val="0"/>
        <w:spacing w:line="560" w:lineRule="exact"/>
        <w:jc w:val="left"/>
        <w:rPr>
          <w:rFonts w:eastAsia="仿宋_GB2312" w:cs="仿宋_GB2312"/>
          <w:sz w:val="32"/>
          <w:szCs w:val="32"/>
        </w:rPr>
      </w:pPr>
      <w:r>
        <w:rPr>
          <w:rFonts w:hint="eastAsia" w:eastAsia="仿宋_GB2312" w:cs="仿宋_GB2312"/>
          <w:sz w:val="32"/>
          <w:szCs w:val="32"/>
        </w:rPr>
        <w:t>六、一般公共预算财政拨款支出决算表</w:t>
      </w:r>
      <w:bookmarkEnd w:id="54"/>
    </w:p>
    <w:p w14:paraId="32489012">
      <w:pPr>
        <w:pStyle w:val="15"/>
        <w:adjustRightInd w:val="0"/>
        <w:snapToGrid w:val="0"/>
        <w:spacing w:line="560" w:lineRule="exact"/>
        <w:jc w:val="left"/>
        <w:rPr>
          <w:rFonts w:eastAsia="仿宋_GB2312" w:cs="仿宋_GB2312"/>
          <w:sz w:val="32"/>
          <w:szCs w:val="32"/>
        </w:rPr>
      </w:pPr>
      <w:bookmarkStart w:id="55" w:name="_Toc15396625"/>
      <w:r>
        <w:rPr>
          <w:rFonts w:hint="eastAsia" w:eastAsia="仿宋_GB2312" w:cs="仿宋_GB2312"/>
          <w:sz w:val="32"/>
          <w:szCs w:val="32"/>
        </w:rPr>
        <w:t>七、一般公共预算财政拨款支出决算明细表</w:t>
      </w:r>
      <w:bookmarkEnd w:id="55"/>
    </w:p>
    <w:p w14:paraId="79136BA2">
      <w:pPr>
        <w:pStyle w:val="15"/>
        <w:adjustRightInd w:val="0"/>
        <w:snapToGrid w:val="0"/>
        <w:spacing w:line="560" w:lineRule="exact"/>
        <w:jc w:val="left"/>
        <w:rPr>
          <w:rFonts w:eastAsia="仿宋_GB2312" w:cs="仿宋_GB2312"/>
          <w:sz w:val="32"/>
          <w:szCs w:val="32"/>
        </w:rPr>
      </w:pPr>
      <w:bookmarkStart w:id="56" w:name="_Toc15396626"/>
      <w:r>
        <w:rPr>
          <w:rFonts w:hint="eastAsia" w:eastAsia="仿宋_GB2312" w:cs="仿宋_GB2312"/>
          <w:sz w:val="32"/>
          <w:szCs w:val="32"/>
        </w:rPr>
        <w:t>八、一般公共预算财政拨款基本支出决算表</w:t>
      </w:r>
      <w:bookmarkEnd w:id="56"/>
    </w:p>
    <w:p w14:paraId="77D93F43">
      <w:pPr>
        <w:pStyle w:val="15"/>
        <w:adjustRightInd w:val="0"/>
        <w:snapToGrid w:val="0"/>
        <w:spacing w:line="560" w:lineRule="exact"/>
        <w:jc w:val="left"/>
        <w:rPr>
          <w:rFonts w:eastAsia="仿宋_GB2312" w:cs="仿宋_GB2312"/>
          <w:sz w:val="32"/>
          <w:szCs w:val="32"/>
        </w:rPr>
      </w:pPr>
      <w:bookmarkStart w:id="57" w:name="_Toc15396627"/>
      <w:r>
        <w:rPr>
          <w:rFonts w:hint="eastAsia" w:eastAsia="仿宋_GB2312" w:cs="仿宋_GB2312"/>
          <w:sz w:val="32"/>
          <w:szCs w:val="32"/>
        </w:rPr>
        <w:t>九、一般公共预算财政拨款项目支出决算表</w:t>
      </w:r>
      <w:bookmarkEnd w:id="57"/>
    </w:p>
    <w:p w14:paraId="46CB9028">
      <w:pPr>
        <w:pStyle w:val="15"/>
        <w:adjustRightInd w:val="0"/>
        <w:snapToGrid w:val="0"/>
        <w:spacing w:line="560" w:lineRule="exact"/>
        <w:jc w:val="left"/>
        <w:rPr>
          <w:rFonts w:eastAsia="仿宋_GB2312" w:cs="仿宋_GB2312"/>
          <w:sz w:val="32"/>
          <w:szCs w:val="32"/>
        </w:rPr>
      </w:pPr>
      <w:bookmarkStart w:id="58" w:name="_Toc15396628"/>
      <w:r>
        <w:rPr>
          <w:rFonts w:hint="eastAsia" w:eastAsia="仿宋_GB2312" w:cs="仿宋_GB2312"/>
          <w:sz w:val="32"/>
          <w:szCs w:val="32"/>
        </w:rPr>
        <w:t>十、</w:t>
      </w:r>
      <w:bookmarkEnd w:id="58"/>
      <w:r>
        <w:rPr>
          <w:rFonts w:hint="eastAsia" w:eastAsia="仿宋_GB2312" w:cs="仿宋_GB2312"/>
          <w:sz w:val="32"/>
          <w:szCs w:val="32"/>
        </w:rPr>
        <w:t>政府性基金预算财政拨款收入支出决算表</w:t>
      </w:r>
    </w:p>
    <w:p w14:paraId="495509E6">
      <w:pPr>
        <w:pStyle w:val="15"/>
        <w:adjustRightInd w:val="0"/>
        <w:snapToGrid w:val="0"/>
        <w:spacing w:line="560" w:lineRule="exact"/>
        <w:jc w:val="left"/>
        <w:rPr>
          <w:rFonts w:eastAsia="仿宋_GB2312" w:cs="仿宋_GB2312"/>
          <w:sz w:val="32"/>
          <w:szCs w:val="32"/>
        </w:rPr>
      </w:pPr>
      <w:bookmarkStart w:id="59" w:name="_Toc15396629"/>
      <w:r>
        <w:rPr>
          <w:rFonts w:hint="eastAsia" w:eastAsia="仿宋_GB2312" w:cs="仿宋_GB2312"/>
          <w:sz w:val="32"/>
          <w:szCs w:val="32"/>
        </w:rPr>
        <w:t>十一、</w:t>
      </w:r>
      <w:bookmarkEnd w:id="59"/>
      <w:r>
        <w:rPr>
          <w:rFonts w:hint="eastAsia" w:eastAsia="仿宋_GB2312" w:cs="仿宋_GB2312"/>
          <w:sz w:val="32"/>
          <w:szCs w:val="32"/>
        </w:rPr>
        <w:t>国有资本经营预算财政拨款收入支出决算表</w:t>
      </w:r>
    </w:p>
    <w:p w14:paraId="33A5ED8E">
      <w:pPr>
        <w:pStyle w:val="15"/>
        <w:adjustRightInd w:val="0"/>
        <w:snapToGrid w:val="0"/>
        <w:spacing w:line="560" w:lineRule="exact"/>
        <w:jc w:val="left"/>
        <w:rPr>
          <w:rFonts w:eastAsia="仿宋_GB2312" w:cs="仿宋_GB2312"/>
          <w:sz w:val="32"/>
          <w:szCs w:val="32"/>
        </w:rPr>
      </w:pPr>
      <w:bookmarkStart w:id="60" w:name="_Toc15396630"/>
      <w:r>
        <w:rPr>
          <w:rFonts w:hint="eastAsia" w:eastAsia="仿宋_GB2312" w:cs="仿宋_GB2312"/>
          <w:sz w:val="32"/>
          <w:szCs w:val="32"/>
        </w:rPr>
        <w:t>十二、</w:t>
      </w:r>
      <w:bookmarkEnd w:id="60"/>
      <w:r>
        <w:rPr>
          <w:rFonts w:hint="eastAsia" w:eastAsia="仿宋_GB2312" w:cs="仿宋_GB2312"/>
          <w:sz w:val="32"/>
          <w:szCs w:val="32"/>
        </w:rPr>
        <w:t>国有资本经营预算财政拨款支出决算表</w:t>
      </w:r>
    </w:p>
    <w:p w14:paraId="4AC0E1C9">
      <w:pPr>
        <w:pStyle w:val="15"/>
        <w:adjustRightInd w:val="0"/>
        <w:snapToGrid w:val="0"/>
        <w:spacing w:line="560" w:lineRule="exact"/>
        <w:jc w:val="left"/>
        <w:rPr>
          <w:rFonts w:eastAsia="仿宋_GB2312" w:cs="仿宋_GB2312"/>
          <w:sz w:val="32"/>
          <w:szCs w:val="32"/>
        </w:rPr>
      </w:pPr>
      <w:bookmarkStart w:id="61" w:name="_Toc15396631"/>
      <w:r>
        <w:rPr>
          <w:rFonts w:hint="eastAsia" w:eastAsia="仿宋_GB2312" w:cs="仿宋_GB2312"/>
          <w:sz w:val="32"/>
          <w:szCs w:val="32"/>
        </w:rPr>
        <w:t>十三、</w:t>
      </w:r>
      <w:bookmarkEnd w:id="61"/>
      <w:r>
        <w:rPr>
          <w:rFonts w:hint="eastAsia" w:eastAsia="仿宋_GB2312" w:cs="仿宋_GB2312"/>
          <w:sz w:val="32"/>
          <w:szCs w:val="32"/>
        </w:rPr>
        <w:t>财政拨款“三公”经费支出决算表</w:t>
      </w:r>
    </w:p>
    <w:p w14:paraId="149EF83D"/>
    <w:sectPr>
      <w:footerReference r:id="rId10" w:type="first"/>
      <w:footerReference r:id="rId9" w:type="default"/>
      <w:pgSz w:w="11906" w:h="16838"/>
      <w:pgMar w:top="1440" w:right="1800" w:bottom="1440" w:left="1800" w:header="851" w:footer="992" w:gutter="0"/>
      <w:pgNumType w:fmt="decimal"/>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AFF" w:usb1="C0007841"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宋?">
    <w:altName w:val="宋体"/>
    <w:panose1 w:val="00000000000000000000"/>
    <w:charset w:val="00"/>
    <w:family w:val="roman"/>
    <w:pitch w:val="default"/>
    <w:sig w:usb0="00000000" w:usb1="0000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9966F">
    <w:pPr>
      <w:pStyle w:val="11"/>
      <w:jc w:val="center"/>
    </w:pPr>
  </w:p>
  <w:p w14:paraId="32CDB5E1">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3F7631">
    <w:pPr>
      <w:pStyle w:val="11"/>
      <w:jc w:val="center"/>
    </w:pPr>
  </w:p>
  <w:p w14:paraId="476EE702">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29FAEA">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138CE">
    <w:pPr>
      <w:pStyle w:val="11"/>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302F63">
                          <w:pPr>
                            <w:pStyle w:val="11"/>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13302F63">
                    <w:pPr>
                      <w:pStyle w:val="11"/>
                    </w:pPr>
                    <w:r>
                      <w:fldChar w:fldCharType="begin"/>
                    </w:r>
                    <w:r>
                      <w:instrText xml:space="preserve"> PAGE  \* MERGEFORMAT </w:instrText>
                    </w:r>
                    <w:r>
                      <w:fldChar w:fldCharType="separate"/>
                    </w:r>
                    <w:r>
                      <w:t>- 1 -</w:t>
                    </w:r>
                    <w:r>
                      <w:fldChar w:fldCharType="end"/>
                    </w:r>
                  </w:p>
                </w:txbxContent>
              </v:textbox>
            </v:shape>
          </w:pict>
        </mc:Fallback>
      </mc:AlternateContent>
    </w:r>
  </w:p>
  <w:p w14:paraId="1E981FB5">
    <w:pPr>
      <w:pStyle w:val="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F229E">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5B40C1">
                          <w:pPr>
                            <w:pStyle w:val="11"/>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715B40C1">
                    <w:pPr>
                      <w:pStyle w:val="11"/>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171A07">
    <w:pPr>
      <w:pStyle w:val="11"/>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C33E0B">
                          <w:pPr>
                            <w:pStyle w:val="11"/>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09C33E0B">
                    <w:pPr>
                      <w:pStyle w:val="11"/>
                    </w:pPr>
                    <w:r>
                      <w:fldChar w:fldCharType="begin"/>
                    </w:r>
                    <w:r>
                      <w:instrText xml:space="preserve"> PAGE  \* MERGEFORMAT </w:instrText>
                    </w:r>
                    <w:r>
                      <w:fldChar w:fldCharType="separate"/>
                    </w:r>
                    <w:r>
                      <w:t>- 2 -</w:t>
                    </w:r>
                    <w:r>
                      <w:fldChar w:fldCharType="end"/>
                    </w:r>
                  </w:p>
                </w:txbxContent>
              </v:textbox>
            </v:shape>
          </w:pict>
        </mc:Fallback>
      </mc:AlternateContent>
    </w:r>
  </w:p>
  <w:p w14:paraId="475A92C1">
    <w:pPr>
      <w:pStyle w:val="11"/>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E6B484">
    <w:pPr>
      <w:pStyle w:val="11"/>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6E8A0B">
                          <w:pPr>
                            <w:pStyle w:val="11"/>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676E8A0B">
                    <w:pPr>
                      <w:pStyle w:val="11"/>
                    </w:pPr>
                    <w:r>
                      <w:fldChar w:fldCharType="begin"/>
                    </w:r>
                    <w:r>
                      <w:instrText xml:space="preserve"> PAGE  \* MERGEFORMAT </w:instrText>
                    </w:r>
                    <w:r>
                      <w:fldChar w:fldCharType="separate"/>
                    </w:r>
                    <w:r>
                      <w:t>- 2 -</w:t>
                    </w:r>
                    <w:r>
                      <w:fldChar w:fldCharType="end"/>
                    </w:r>
                  </w:p>
                </w:txbxContent>
              </v:textbox>
            </v:shape>
          </w:pict>
        </mc:Fallback>
      </mc:AlternateContent>
    </w:r>
  </w:p>
  <w:p w14:paraId="256F16BD">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2C356B">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CE07EC"/>
    <w:multiLevelType w:val="singleLevel"/>
    <w:tmpl w:val="FDCE07E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07004"/>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3795B"/>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22A3"/>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02FE1"/>
    <w:rsid w:val="00D114F0"/>
    <w:rsid w:val="00D20620"/>
    <w:rsid w:val="00D254F7"/>
    <w:rsid w:val="00D26091"/>
    <w:rsid w:val="00D2685C"/>
    <w:rsid w:val="00D34E7C"/>
    <w:rsid w:val="00D35489"/>
    <w:rsid w:val="00D36AFE"/>
    <w:rsid w:val="00D51276"/>
    <w:rsid w:val="00D5444D"/>
    <w:rsid w:val="00D7035F"/>
    <w:rsid w:val="00DA634F"/>
    <w:rsid w:val="00DA65AC"/>
    <w:rsid w:val="00DB1913"/>
    <w:rsid w:val="00DC2C99"/>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FEBE30"/>
    <w:rsid w:val="04916F1E"/>
    <w:rsid w:val="061E35DE"/>
    <w:rsid w:val="066E0107"/>
    <w:rsid w:val="07996F6E"/>
    <w:rsid w:val="07DFD8BA"/>
    <w:rsid w:val="09867E8F"/>
    <w:rsid w:val="0A2032A3"/>
    <w:rsid w:val="0CA8290A"/>
    <w:rsid w:val="0D35B1ED"/>
    <w:rsid w:val="0E254B6B"/>
    <w:rsid w:val="0F98263C"/>
    <w:rsid w:val="101860EC"/>
    <w:rsid w:val="101F47CC"/>
    <w:rsid w:val="10C055FF"/>
    <w:rsid w:val="11694EBD"/>
    <w:rsid w:val="11772AA4"/>
    <w:rsid w:val="118107EC"/>
    <w:rsid w:val="12E24EE2"/>
    <w:rsid w:val="13D50BC4"/>
    <w:rsid w:val="14B17F78"/>
    <w:rsid w:val="165E0673"/>
    <w:rsid w:val="16B831D5"/>
    <w:rsid w:val="16BB723D"/>
    <w:rsid w:val="17E50567"/>
    <w:rsid w:val="186504BB"/>
    <w:rsid w:val="19A445FC"/>
    <w:rsid w:val="1BE8440E"/>
    <w:rsid w:val="1CC6347C"/>
    <w:rsid w:val="1D155CEE"/>
    <w:rsid w:val="1D1638FE"/>
    <w:rsid w:val="1E312DEB"/>
    <w:rsid w:val="1E740ACF"/>
    <w:rsid w:val="1FF35744"/>
    <w:rsid w:val="1FF6BC77"/>
    <w:rsid w:val="2186353C"/>
    <w:rsid w:val="23860B96"/>
    <w:rsid w:val="240371BF"/>
    <w:rsid w:val="244F3473"/>
    <w:rsid w:val="249C1E7B"/>
    <w:rsid w:val="24C97D99"/>
    <w:rsid w:val="25A718F0"/>
    <w:rsid w:val="25BB59F6"/>
    <w:rsid w:val="260F557C"/>
    <w:rsid w:val="26970054"/>
    <w:rsid w:val="27393E97"/>
    <w:rsid w:val="281408E2"/>
    <w:rsid w:val="29FD04D3"/>
    <w:rsid w:val="2BFF7BC6"/>
    <w:rsid w:val="2C8A61B5"/>
    <w:rsid w:val="2DBC7637"/>
    <w:rsid w:val="2DF04E50"/>
    <w:rsid w:val="2E586DFA"/>
    <w:rsid w:val="2EE39CED"/>
    <w:rsid w:val="2F040D46"/>
    <w:rsid w:val="2F6B035B"/>
    <w:rsid w:val="2FAE5751"/>
    <w:rsid w:val="2FB1A395"/>
    <w:rsid w:val="2FD9A7D8"/>
    <w:rsid w:val="2FDBF714"/>
    <w:rsid w:val="30AB6865"/>
    <w:rsid w:val="319F7F4E"/>
    <w:rsid w:val="32BD1EF1"/>
    <w:rsid w:val="3304709D"/>
    <w:rsid w:val="33A773CB"/>
    <w:rsid w:val="349D6851"/>
    <w:rsid w:val="35E6413B"/>
    <w:rsid w:val="36AA5135"/>
    <w:rsid w:val="36BE0DA7"/>
    <w:rsid w:val="376B6AA6"/>
    <w:rsid w:val="376D39B2"/>
    <w:rsid w:val="37E16F03"/>
    <w:rsid w:val="37F53A3B"/>
    <w:rsid w:val="389B6C89"/>
    <w:rsid w:val="38D469F0"/>
    <w:rsid w:val="39627CCD"/>
    <w:rsid w:val="397BAF1F"/>
    <w:rsid w:val="3AB79AF3"/>
    <w:rsid w:val="3AE834C0"/>
    <w:rsid w:val="3B690F34"/>
    <w:rsid w:val="3B7EF35A"/>
    <w:rsid w:val="3B9FDB6C"/>
    <w:rsid w:val="3BF5BC2F"/>
    <w:rsid w:val="3CEBA265"/>
    <w:rsid w:val="3D98207C"/>
    <w:rsid w:val="3DEE7CF3"/>
    <w:rsid w:val="3E740A63"/>
    <w:rsid w:val="3E78745D"/>
    <w:rsid w:val="3EE17838"/>
    <w:rsid w:val="3EFDBC7C"/>
    <w:rsid w:val="3F55381A"/>
    <w:rsid w:val="3F7F7599"/>
    <w:rsid w:val="3FF4CAE0"/>
    <w:rsid w:val="3FF7B227"/>
    <w:rsid w:val="44E268DA"/>
    <w:rsid w:val="450D13D7"/>
    <w:rsid w:val="45506656"/>
    <w:rsid w:val="486A6C7A"/>
    <w:rsid w:val="4A627F82"/>
    <w:rsid w:val="4B0E749A"/>
    <w:rsid w:val="4B2477C4"/>
    <w:rsid w:val="4B4F25DA"/>
    <w:rsid w:val="4BE068DB"/>
    <w:rsid w:val="4D577224"/>
    <w:rsid w:val="4DBF1CEB"/>
    <w:rsid w:val="4DF0007C"/>
    <w:rsid w:val="4EAB630A"/>
    <w:rsid w:val="4ECE2238"/>
    <w:rsid w:val="4F833267"/>
    <w:rsid w:val="4FE9BD67"/>
    <w:rsid w:val="4FFB052F"/>
    <w:rsid w:val="52CB2873"/>
    <w:rsid w:val="537E6D0A"/>
    <w:rsid w:val="53F74C96"/>
    <w:rsid w:val="54CA35A8"/>
    <w:rsid w:val="55170BA8"/>
    <w:rsid w:val="553218C9"/>
    <w:rsid w:val="567E1AA5"/>
    <w:rsid w:val="56E47B74"/>
    <w:rsid w:val="57175D52"/>
    <w:rsid w:val="577940E8"/>
    <w:rsid w:val="57BD3DD4"/>
    <w:rsid w:val="5AF92295"/>
    <w:rsid w:val="5B250254"/>
    <w:rsid w:val="5BDD79E6"/>
    <w:rsid w:val="5BF561CA"/>
    <w:rsid w:val="5BFF5DFC"/>
    <w:rsid w:val="5CD71FC4"/>
    <w:rsid w:val="5D1F11B5"/>
    <w:rsid w:val="5D695134"/>
    <w:rsid w:val="5DAE1B18"/>
    <w:rsid w:val="5DE7D9E5"/>
    <w:rsid w:val="5ECEC941"/>
    <w:rsid w:val="5FBF9FF3"/>
    <w:rsid w:val="5FCD4E2C"/>
    <w:rsid w:val="5FEF394A"/>
    <w:rsid w:val="5FF67715"/>
    <w:rsid w:val="62BF3928"/>
    <w:rsid w:val="63B3701E"/>
    <w:rsid w:val="647F5392"/>
    <w:rsid w:val="65E66580"/>
    <w:rsid w:val="664B1D71"/>
    <w:rsid w:val="664B4E8E"/>
    <w:rsid w:val="67277B67"/>
    <w:rsid w:val="67AA3209"/>
    <w:rsid w:val="698D0931"/>
    <w:rsid w:val="6A7FE5F3"/>
    <w:rsid w:val="6B053271"/>
    <w:rsid w:val="6BDD78B3"/>
    <w:rsid w:val="6C4A05C8"/>
    <w:rsid w:val="6C8742B8"/>
    <w:rsid w:val="6DBF5E93"/>
    <w:rsid w:val="6DFF077E"/>
    <w:rsid w:val="6E714EF0"/>
    <w:rsid w:val="6E7E3605"/>
    <w:rsid w:val="6E7FDCC7"/>
    <w:rsid w:val="6ED6A62E"/>
    <w:rsid w:val="6EE00B15"/>
    <w:rsid w:val="6F6FB3EB"/>
    <w:rsid w:val="6F8731EA"/>
    <w:rsid w:val="6FCE6052"/>
    <w:rsid w:val="6FD57C00"/>
    <w:rsid w:val="6FEFFFD8"/>
    <w:rsid w:val="6FF5CC65"/>
    <w:rsid w:val="6FFB47EC"/>
    <w:rsid w:val="6FFF034A"/>
    <w:rsid w:val="70484440"/>
    <w:rsid w:val="712A28F1"/>
    <w:rsid w:val="715C0E4B"/>
    <w:rsid w:val="71992E7C"/>
    <w:rsid w:val="72233669"/>
    <w:rsid w:val="72734D90"/>
    <w:rsid w:val="73160E6D"/>
    <w:rsid w:val="7332FE48"/>
    <w:rsid w:val="73AB61DA"/>
    <w:rsid w:val="73AD73D5"/>
    <w:rsid w:val="73B6EB34"/>
    <w:rsid w:val="73FA497D"/>
    <w:rsid w:val="744731E5"/>
    <w:rsid w:val="74BBD01D"/>
    <w:rsid w:val="74ED5379"/>
    <w:rsid w:val="75DEEEC2"/>
    <w:rsid w:val="75E32345"/>
    <w:rsid w:val="76E3355F"/>
    <w:rsid w:val="76FF5125"/>
    <w:rsid w:val="776F6FFA"/>
    <w:rsid w:val="778769C8"/>
    <w:rsid w:val="77A75DCA"/>
    <w:rsid w:val="77DC22F5"/>
    <w:rsid w:val="783E271A"/>
    <w:rsid w:val="78616DE9"/>
    <w:rsid w:val="78E875D7"/>
    <w:rsid w:val="79086DAD"/>
    <w:rsid w:val="79D7FD79"/>
    <w:rsid w:val="79EE5BA4"/>
    <w:rsid w:val="7A894339"/>
    <w:rsid w:val="7AD284E8"/>
    <w:rsid w:val="7AFF7572"/>
    <w:rsid w:val="7B6C7DFB"/>
    <w:rsid w:val="7BBFBED0"/>
    <w:rsid w:val="7BC3E394"/>
    <w:rsid w:val="7C1F3737"/>
    <w:rsid w:val="7CBFC87B"/>
    <w:rsid w:val="7CFE0F48"/>
    <w:rsid w:val="7D272ABC"/>
    <w:rsid w:val="7D7EC23E"/>
    <w:rsid w:val="7DBB1566"/>
    <w:rsid w:val="7E8ADEBF"/>
    <w:rsid w:val="7EEF11D3"/>
    <w:rsid w:val="7EFE4840"/>
    <w:rsid w:val="7F0971A6"/>
    <w:rsid w:val="7F1D62E7"/>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93490"/>
    <w:rsid w:val="83DBFDE8"/>
    <w:rsid w:val="99FF2014"/>
    <w:rsid w:val="A6DD0D7F"/>
    <w:rsid w:val="ACFF4FBB"/>
    <w:rsid w:val="ADC6F725"/>
    <w:rsid w:val="B6FFCC71"/>
    <w:rsid w:val="B7CF06AB"/>
    <w:rsid w:val="B7CFA926"/>
    <w:rsid w:val="B7F8786B"/>
    <w:rsid w:val="BABB6AA1"/>
    <w:rsid w:val="BB2F4199"/>
    <w:rsid w:val="BCFFB442"/>
    <w:rsid w:val="BD079C78"/>
    <w:rsid w:val="BD733540"/>
    <w:rsid w:val="BE5E335F"/>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6E1876"/>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nhideWhenUsed="0"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27"/>
    <w:qFormat/>
    <w:uiPriority w:val="99"/>
    <w:pPr>
      <w:spacing w:beforeLines="30"/>
    </w:pPr>
    <w:rPr>
      <w:rFonts w:ascii="仿宋_GB2312" w:eastAsia="仿宋_GB2312"/>
      <w:kern w:val="0"/>
      <w:sz w:val="30"/>
    </w:rPr>
  </w:style>
  <w:style w:type="paragraph" w:styleId="6">
    <w:name w:val="toa heading"/>
    <w:basedOn w:val="1"/>
    <w:next w:val="1"/>
    <w:semiHidden/>
    <w:qFormat/>
    <w:uiPriority w:val="99"/>
    <w:pPr>
      <w:spacing w:before="120"/>
    </w:pPr>
    <w:rPr>
      <w:rFonts w:ascii="Cambria" w:hAnsi="Cambria" w:cs="Cambria"/>
      <w:sz w:val="24"/>
      <w:szCs w:val="24"/>
    </w:rPr>
  </w:style>
  <w:style w:type="paragraph" w:styleId="7">
    <w:name w:val="Body Text Indent"/>
    <w:basedOn w:val="1"/>
    <w:next w:val="8"/>
    <w:qFormat/>
    <w:uiPriority w:val="0"/>
    <w:pPr>
      <w:spacing w:after="120"/>
      <w:ind w:left="200" w:leftChars="200"/>
    </w:pPr>
    <w:rPr>
      <w:rFonts w:ascii="仿宋_GB2312"/>
      <w:szCs w:val="32"/>
    </w:rPr>
  </w:style>
  <w:style w:type="paragraph" w:styleId="8">
    <w:name w:val="Body Text First Indent 2"/>
    <w:basedOn w:val="7"/>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3"/>
    <w:semiHidden/>
    <w:unhideWhenUsed/>
    <w:qFormat/>
    <w:uiPriority w:val="99"/>
    <w:rPr>
      <w:sz w:val="18"/>
      <w:szCs w:val="18"/>
    </w:rPr>
  </w:style>
  <w:style w:type="paragraph" w:styleId="11">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paragraph" w:styleId="16">
    <w:name w:val="Normal (Web)"/>
    <w:basedOn w:val="1"/>
    <w:unhideWhenUsed/>
    <w:qFormat/>
    <w:uiPriority w:val="99"/>
    <w:pPr>
      <w:keepNext w:val="0"/>
      <w:keepLines w:val="0"/>
      <w:widowControl/>
      <w:suppressLineNumbers w:val="0"/>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字符"/>
    <w:link w:val="12"/>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字符"/>
    <w:link w:val="11"/>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字符"/>
    <w:link w:val="2"/>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字符"/>
    <w:basedOn w:val="18"/>
    <w:link w:val="3"/>
    <w:qFormat/>
    <w:uiPriority w:val="9"/>
    <w:rPr>
      <w:rFonts w:ascii="Times New Roman" w:hAnsi="Times New Roman"/>
      <w:b/>
      <w:bCs/>
      <w:kern w:val="44"/>
      <w:sz w:val="44"/>
      <w:szCs w:val="44"/>
    </w:rPr>
  </w:style>
  <w:style w:type="character" w:customStyle="1" w:styleId="31">
    <w:name w:val="标题 2 字符"/>
    <w:basedOn w:val="18"/>
    <w:link w:val="4"/>
    <w:qFormat/>
    <w:uiPriority w:val="9"/>
    <w:rPr>
      <w:rFonts w:asciiTheme="majorHAnsi" w:hAnsiTheme="majorHAnsi" w:eastAsiaTheme="majorEastAsia" w:cstheme="majorBidi"/>
      <w:b/>
      <w:bCs/>
      <w:kern w:val="2"/>
      <w:sz w:val="32"/>
      <w:szCs w:val="32"/>
    </w:rPr>
  </w:style>
  <w:style w:type="paragraph" w:customStyle="1" w:styleId="32">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字符"/>
    <w:basedOn w:val="18"/>
    <w:link w:val="10"/>
    <w:semiHidden/>
    <w:qFormat/>
    <w:uiPriority w:val="99"/>
    <w:rPr>
      <w:rFonts w:ascii="Times New Roman" w:hAnsi="Times New Roman"/>
      <w:kern w:val="2"/>
      <w:sz w:val="18"/>
      <w:szCs w:val="18"/>
    </w:rPr>
  </w:style>
  <w:style w:type="character" w:customStyle="1" w:styleId="34">
    <w:name w:val="标题 3 字符"/>
    <w:basedOn w:val="18"/>
    <w:link w:val="5"/>
    <w:qFormat/>
    <w:uiPriority w:val="9"/>
    <w:rPr>
      <w:rFonts w:ascii="Times New Roman" w:hAnsi="Times New Roman"/>
      <w:b/>
      <w:bCs/>
      <w:kern w:val="2"/>
      <w:sz w:val="32"/>
      <w:szCs w:val="32"/>
    </w:rPr>
  </w:style>
  <w:style w:type="paragraph" w:customStyle="1" w:styleId="35">
    <w:name w:val="TOC 标题2"/>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color w:val="000000"/>
      <w:kern w:val="0"/>
      <w:sz w:val="28"/>
      <w:szCs w:val="21"/>
      <w:lang w:val="zh-CN"/>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7.xml"/><Relationship Id="rId17" Type="http://schemas.openxmlformats.org/officeDocument/2006/relationships/chart" Target="charts/chart6.xml"/><Relationship Id="rId16" Type="http://schemas.openxmlformats.org/officeDocument/2006/relationships/chart" Target="charts/chart5.xml"/><Relationship Id="rId15" Type="http://schemas.openxmlformats.org/officeDocument/2006/relationships/chart" Target="charts/chart4.xml"/><Relationship Id="rId14" Type="http://schemas.openxmlformats.org/officeDocument/2006/relationships/chart" Target="charts/chart3.xml"/><Relationship Id="rId13" Type="http://schemas.openxmlformats.org/officeDocument/2006/relationships/chart" Target="charts/chart2.xml"/><Relationship Id="rId12" Type="http://schemas.openxmlformats.org/officeDocument/2006/relationships/chart" Target="charts/chart1.xml"/><Relationship Id="rId11" Type="http://schemas.openxmlformats.org/officeDocument/2006/relationships/theme" Target="theme/theme1.xml"/><Relationship Id="rId10" Type="http://schemas.openxmlformats.org/officeDocument/2006/relationships/footer" Target="footer7.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24037;&#20316;&#31807;1"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24037;&#20316;&#31807;2"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24037;&#20316;&#31807;2"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24037;&#20316;&#31807;1"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24037;&#20316;&#31807;1"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24037;&#20316;&#31807;2"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24037;&#20316;&#31807;2"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收入、支出决算总体变动情况</a:t>
            </a:r>
          </a:p>
        </c:rich>
      </c:tx>
      <c:layout/>
      <c:overlay val="0"/>
      <c:spPr>
        <a:noFill/>
        <a:ln>
          <a:noFill/>
        </a:ln>
        <a:effectLst/>
      </c:spPr>
    </c:title>
    <c:autoTitleDeleted val="0"/>
    <c:plotArea>
      <c:layout>
        <c:manualLayout>
          <c:layoutTarget val="inner"/>
          <c:xMode val="edge"/>
          <c:yMode val="edge"/>
          <c:x val="0.135605263157895"/>
          <c:y val="0.176388888888889"/>
          <c:w val="0.833473684210526"/>
          <c:h val="0.510509259259259"/>
        </c:manualLayout>
      </c:layout>
      <c:barChart>
        <c:barDir val="col"/>
        <c:grouping val="clustered"/>
        <c:varyColors val="0"/>
        <c:ser>
          <c:idx val="0"/>
          <c:order val="0"/>
          <c:tx>
            <c:strRef>
              <c:f>"收入"</c:f>
              <c:strCache>
                <c:ptCount val="1"/>
                <c:pt idx="0">
                  <c:v>收入</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errBars>
            <c:errBarType val="both"/>
            <c:errValType val="percentage"/>
            <c:noEndCap val="0"/>
            <c:val val="5"/>
            <c:spPr>
              <a:noFill/>
              <a:ln w="9525" cap="flat" cmpd="sng" algn="ctr">
                <a:solidFill>
                  <a:schemeClr val="tx1">
                    <a:lumMod val="65000"/>
                    <a:lumOff val="35000"/>
                  </a:schemeClr>
                </a:solidFill>
                <a:round/>
              </a:ln>
              <a:effectLst/>
            </c:spPr>
          </c:errBars>
          <c:cat>
            <c:strRef>
              <c:f>[工作簿1]Sheet1!$A$1:$B$1</c:f>
              <c:strCache>
                <c:ptCount val="2"/>
                <c:pt idx="0">
                  <c:v>2024年</c:v>
                </c:pt>
                <c:pt idx="1">
                  <c:v>2025年</c:v>
                </c:pt>
              </c:strCache>
            </c:strRef>
          </c:cat>
          <c:val>
            <c:numRef>
              <c:f>[工作簿1]Sheet1!$A$2:$B$2</c:f>
              <c:numCache>
                <c:formatCode>General</c:formatCode>
                <c:ptCount val="2"/>
                <c:pt idx="0">
                  <c:v>2743.37</c:v>
                </c:pt>
                <c:pt idx="1">
                  <c:v>2368.17</c:v>
                </c:pt>
              </c:numCache>
            </c:numRef>
          </c:val>
        </c:ser>
        <c:ser>
          <c:idx val="1"/>
          <c:order val="1"/>
          <c:tx>
            <c:strRef>
              <c:f>"支出"</c:f>
              <c:strCache>
                <c:ptCount val="1"/>
                <c:pt idx="0">
                  <c:v>支出</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errBars>
            <c:errBarType val="both"/>
            <c:errValType val="percentage"/>
            <c:noEndCap val="0"/>
            <c:val val="5"/>
            <c:spPr>
              <a:noFill/>
              <a:ln w="9525" cap="flat" cmpd="sng" algn="ctr">
                <a:solidFill>
                  <a:schemeClr val="tx1">
                    <a:lumMod val="65000"/>
                    <a:lumOff val="35000"/>
                  </a:schemeClr>
                </a:solidFill>
                <a:round/>
              </a:ln>
              <a:effectLst/>
            </c:spPr>
          </c:errBars>
          <c:cat>
            <c:strRef>
              <c:f>[工作簿1]Sheet1!$A$1:$B$1</c:f>
              <c:strCache>
                <c:ptCount val="2"/>
                <c:pt idx="0">
                  <c:v>2024年</c:v>
                </c:pt>
                <c:pt idx="1">
                  <c:v>2025年</c:v>
                </c:pt>
              </c:strCache>
            </c:strRef>
          </c:cat>
          <c:val>
            <c:numRef>
              <c:f>[工作簿1]Sheet1!$A$3:$B$3</c:f>
              <c:numCache>
                <c:formatCode>General</c:formatCode>
                <c:ptCount val="2"/>
                <c:pt idx="0">
                  <c:v>2664.64</c:v>
                </c:pt>
                <c:pt idx="1">
                  <c:v>2406.34</c:v>
                </c:pt>
              </c:numCache>
            </c:numRef>
          </c:val>
        </c:ser>
        <c:ser>
          <c:idx val="2"/>
          <c:order val="2"/>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errBars>
            <c:errBarType val="both"/>
            <c:errValType val="percentage"/>
            <c:noEndCap val="0"/>
            <c:val val="5"/>
            <c:spPr>
              <a:noFill/>
              <a:ln w="9525" cap="flat" cmpd="sng" algn="ctr">
                <a:solidFill>
                  <a:schemeClr val="tx1">
                    <a:lumMod val="65000"/>
                    <a:lumOff val="35000"/>
                  </a:schemeClr>
                </a:solidFill>
                <a:round/>
              </a:ln>
              <a:effectLst/>
            </c:spPr>
          </c:errBars>
          <c:cat>
            <c:strRef>
              <c:f>[工作簿1]Sheet1!$A$1:$B$1</c:f>
              <c:strCache>
                <c:ptCount val="2"/>
                <c:pt idx="0">
                  <c:v>2024年</c:v>
                </c:pt>
                <c:pt idx="1">
                  <c:v>2025年</c:v>
                </c:pt>
              </c:strCache>
            </c:strRef>
          </c:cat>
          <c:val>
            <c:numRef>
              <c:f>[工作簿1]Sheet1!$A$4:$B$4</c:f>
              <c:numCache>
                <c:formatCode>General</c:formatCode>
                <c:ptCount val="2"/>
              </c:numCache>
            </c:numRef>
          </c:val>
        </c:ser>
        <c:dLbls>
          <c:showLegendKey val="0"/>
          <c:showVal val="1"/>
          <c:showCatName val="0"/>
          <c:showSerName val="0"/>
          <c:showPercent val="0"/>
          <c:showBubbleSize val="0"/>
        </c:dLbls>
        <c:gapWidth val="246"/>
        <c:overlap val="-28"/>
        <c:axId val="846291121"/>
        <c:axId val="167826739"/>
      </c:barChart>
      <c:catAx>
        <c:axId val="846291121"/>
        <c:scaling>
          <c:orientation val="minMax"/>
        </c:scaling>
        <c:delete val="0"/>
        <c:axPos val="b"/>
        <c:title>
          <c:layout/>
          <c:overlay val="0"/>
          <c:spPr>
            <a:noFill/>
            <a:ln>
              <a:noFill/>
            </a:ln>
            <a:effectLst/>
          </c:spPr>
          <c:txPr>
            <a:bodyPr rot="0" spcFirstLastPara="0"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p>
          </c:txPr>
        </c:title>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7826739"/>
        <c:crosses val="autoZero"/>
        <c:auto val="1"/>
        <c:lblAlgn val="ctr"/>
        <c:lblOffset val="100"/>
        <c:noMultiLvlLbl val="0"/>
      </c:catAx>
      <c:valAx>
        <c:axId val="167826739"/>
        <c:scaling>
          <c:orientation val="minMax"/>
        </c:scaling>
        <c:delete val="0"/>
        <c:axPos val="l"/>
        <c:majorGridlines>
          <c:spPr>
            <a:ln w="9525" cap="flat" cmpd="sng" algn="ctr">
              <a:solidFill>
                <a:schemeClr val="lt1">
                  <a:lumMod val="90200"/>
                </a:schemeClr>
              </a:solidFill>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t>单位：万元</a:t>
                </a:r>
              </a:p>
            </c:rich>
          </c:tx>
          <c:layout/>
          <c:overlay val="0"/>
          <c:spPr>
            <a:noFill/>
            <a:ln>
              <a:noFill/>
            </a:ln>
            <a:effectLst/>
          </c:spPr>
        </c:title>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46291121"/>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p>
        </c:txPr>
      </c:legendEntry>
      <c:legendEntry>
        <c:idx val="2"/>
        <c:delete val="1"/>
      </c:legendEntry>
      <c:layout>
        <c:manualLayout>
          <c:xMode val="edge"/>
          <c:yMode val="edge"/>
          <c:x val="0.372368421052632"/>
          <c:y val="0.83912037037037"/>
          <c:w val="0.223815789473684"/>
          <c:h val="0.133101851851852"/>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c7d9cd1-0798-4dfe-8d2c-1a4d0908761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收入决算结构图</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manualLayout>
                  <c:x val="-0.0451178532950738"/>
                  <c:y val="-0.143375277605691"/>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1863.95</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415045294090188"/>
                  <c:y val="0.129742561714913"/>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5</a:t>
                    </a:r>
                    <a:r>
                      <a:rPr lang="en-US" altLang="zh-CN"/>
                      <a:t>04.22</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[工作簿2]Sheet1!$B$16:$B$17</c:f>
              <c:strCache>
                <c:ptCount val="2"/>
                <c:pt idx="0">
                  <c:v>般公共预算财政拨款收入</c:v>
                </c:pt>
                <c:pt idx="1">
                  <c:v>其他收入</c:v>
                </c:pt>
              </c:strCache>
            </c:strRef>
          </c:cat>
          <c:val>
            <c:numRef>
              <c:f>[工作簿2]Sheet1!$C$16:$C$17</c:f>
              <c:numCache>
                <c:formatCode>General</c:formatCode>
                <c:ptCount val="2"/>
                <c:pt idx="0">
                  <c:v>2190.32</c:v>
                </c:pt>
                <c:pt idx="1">
                  <c:v>553.05</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ca52a18-4403-4a53-ac80-dc551a6def8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支出决算结构图</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1</a:t>
                    </a:r>
                    <a:r>
                      <a:rPr lang="en-US" altLang="zh-CN"/>
                      <a:t>854.78</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551.56</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[工作簿2]Sheet1!$B$16:$B$17</c:f>
              <c:strCache>
                <c:ptCount val="2"/>
                <c:pt idx="0">
                  <c:v>基本支出</c:v>
                </c:pt>
                <c:pt idx="1">
                  <c:v>项目支出</c:v>
                </c:pt>
              </c:strCache>
            </c:strRef>
          </c:cat>
          <c:val>
            <c:numRef>
              <c:f>[工作簿2]Sheet1!$C$16:$C$17</c:f>
              <c:numCache>
                <c:formatCode>General</c:formatCode>
                <c:ptCount val="2"/>
                <c:pt idx="0">
                  <c:v>1860.31</c:v>
                </c:pt>
                <c:pt idx="1">
                  <c:v>804.34</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e12f612-2da0-4bc9-b319-b9a40c92fb3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财政拨款收、支决算总体情况变动表</a:t>
            </a:r>
          </a:p>
        </c:rich>
      </c:tx>
      <c:layout/>
      <c:overlay val="0"/>
      <c:spPr>
        <a:noFill/>
        <a:ln>
          <a:noFill/>
        </a:ln>
        <a:effectLst/>
      </c:spPr>
    </c:title>
    <c:autoTitleDeleted val="0"/>
    <c:plotArea>
      <c:layout>
        <c:manualLayout>
          <c:layoutTarget val="inner"/>
          <c:xMode val="edge"/>
          <c:yMode val="edge"/>
          <c:x val="0.135605263157895"/>
          <c:y val="0.176388888888889"/>
          <c:w val="0.833473684210526"/>
          <c:h val="0.510509259259259"/>
        </c:manualLayout>
      </c:layout>
      <c:barChart>
        <c:barDir val="col"/>
        <c:grouping val="clustered"/>
        <c:varyColors val="0"/>
        <c:ser>
          <c:idx val="0"/>
          <c:order val="0"/>
          <c:tx>
            <c:strRef>
              <c:f>"财政拨款收入"</c:f>
              <c:strCache>
                <c:ptCount val="1"/>
                <c:pt idx="0">
                  <c:v>财政拨款收入</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errBars>
            <c:errBarType val="both"/>
            <c:errValType val="percentage"/>
            <c:noEndCap val="0"/>
            <c:val val="5"/>
            <c:spPr>
              <a:noFill/>
              <a:ln w="9525" cap="flat" cmpd="sng" algn="ctr">
                <a:solidFill>
                  <a:schemeClr val="tx1">
                    <a:lumMod val="65000"/>
                    <a:lumOff val="35000"/>
                  </a:schemeClr>
                </a:solidFill>
                <a:round/>
              </a:ln>
              <a:effectLst/>
            </c:spPr>
          </c:errBars>
          <c:cat>
            <c:strRef>
              <c:f>[工作簿1]Sheet1!$A$1:$B$1</c:f>
              <c:strCache>
                <c:ptCount val="2"/>
                <c:pt idx="0">
                  <c:v>2024年</c:v>
                </c:pt>
                <c:pt idx="1">
                  <c:v>2025年</c:v>
                </c:pt>
              </c:strCache>
            </c:strRef>
          </c:cat>
          <c:val>
            <c:numRef>
              <c:f>[工作簿1]Sheet1!$A$2:$B$2</c:f>
              <c:numCache>
                <c:formatCode>General</c:formatCode>
                <c:ptCount val="2"/>
                <c:pt idx="0">
                  <c:v>2190.32</c:v>
                </c:pt>
                <c:pt idx="1">
                  <c:v>1863.95</c:v>
                </c:pt>
              </c:numCache>
            </c:numRef>
          </c:val>
        </c:ser>
        <c:ser>
          <c:idx val="1"/>
          <c:order val="1"/>
          <c:tx>
            <c:strRef>
              <c:f>"财政拨款支出"</c:f>
              <c:strCache>
                <c:ptCount val="1"/>
                <c:pt idx="0">
                  <c:v>财政拨款支出</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errBars>
            <c:errBarType val="both"/>
            <c:errValType val="percentage"/>
            <c:noEndCap val="0"/>
            <c:val val="5"/>
            <c:spPr>
              <a:noFill/>
              <a:ln w="9525" cap="flat" cmpd="sng" algn="ctr">
                <a:solidFill>
                  <a:schemeClr val="tx1">
                    <a:lumMod val="65000"/>
                    <a:lumOff val="35000"/>
                  </a:schemeClr>
                </a:solidFill>
                <a:round/>
              </a:ln>
              <a:effectLst/>
            </c:spPr>
          </c:errBars>
          <c:cat>
            <c:strRef>
              <c:f>[工作簿1]Sheet1!$A$1:$B$1</c:f>
              <c:strCache>
                <c:ptCount val="2"/>
                <c:pt idx="0">
                  <c:v>2024年</c:v>
                </c:pt>
                <c:pt idx="1">
                  <c:v>2025年</c:v>
                </c:pt>
              </c:strCache>
            </c:strRef>
          </c:cat>
          <c:val>
            <c:numRef>
              <c:f>[工作簿1]Sheet1!$A$3:$B$3</c:f>
              <c:numCache>
                <c:formatCode>General</c:formatCode>
                <c:ptCount val="2"/>
                <c:pt idx="0">
                  <c:v>2190.32</c:v>
                </c:pt>
                <c:pt idx="1">
                  <c:v>1863.95</c:v>
                </c:pt>
              </c:numCache>
            </c:numRef>
          </c:val>
        </c:ser>
        <c:ser>
          <c:idx val="2"/>
          <c:order val="2"/>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errBars>
            <c:errBarType val="both"/>
            <c:errValType val="percentage"/>
            <c:noEndCap val="0"/>
            <c:val val="5"/>
            <c:spPr>
              <a:noFill/>
              <a:ln w="9525" cap="flat" cmpd="sng" algn="ctr">
                <a:solidFill>
                  <a:schemeClr val="tx1">
                    <a:lumMod val="65000"/>
                    <a:lumOff val="35000"/>
                  </a:schemeClr>
                </a:solidFill>
                <a:round/>
              </a:ln>
              <a:effectLst/>
            </c:spPr>
          </c:errBars>
          <c:cat>
            <c:strRef>
              <c:f>[工作簿1]Sheet1!$A$1:$B$1</c:f>
              <c:strCache>
                <c:ptCount val="2"/>
                <c:pt idx="0">
                  <c:v>2024年</c:v>
                </c:pt>
                <c:pt idx="1">
                  <c:v>2025年</c:v>
                </c:pt>
              </c:strCache>
            </c:strRef>
          </c:cat>
          <c:val>
            <c:numRef>
              <c:f>[工作簿1]Sheet1!$A$4:$B$4</c:f>
              <c:numCache>
                <c:formatCode>General</c:formatCode>
                <c:ptCount val="2"/>
              </c:numCache>
            </c:numRef>
          </c:val>
        </c:ser>
        <c:dLbls>
          <c:showLegendKey val="0"/>
          <c:showVal val="1"/>
          <c:showCatName val="0"/>
          <c:showSerName val="0"/>
          <c:showPercent val="0"/>
          <c:showBubbleSize val="0"/>
        </c:dLbls>
        <c:gapWidth val="246"/>
        <c:overlap val="-28"/>
        <c:axId val="846291121"/>
        <c:axId val="167826739"/>
      </c:barChart>
      <c:catAx>
        <c:axId val="846291121"/>
        <c:scaling>
          <c:orientation val="minMax"/>
        </c:scaling>
        <c:delete val="0"/>
        <c:axPos val="b"/>
        <c:title>
          <c:layout/>
          <c:overlay val="0"/>
          <c:spPr>
            <a:noFill/>
            <a:ln>
              <a:noFill/>
            </a:ln>
            <a:effectLst/>
          </c:spPr>
          <c:tx>
            <c:rich>
              <a:bodyPr/>
              <a:lstStyle/>
              <a:p>
                <a:pPr>
                  <a:defRPr/>
                </a:pPr>
              </a:p>
            </c:rich>
          </c:tx>
        </c:title>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7826739"/>
        <c:crosses val="autoZero"/>
        <c:auto val="1"/>
        <c:lblAlgn val="ctr"/>
        <c:lblOffset val="100"/>
        <c:noMultiLvlLbl val="0"/>
      </c:catAx>
      <c:valAx>
        <c:axId val="167826739"/>
        <c:scaling>
          <c:orientation val="minMax"/>
        </c:scaling>
        <c:delete val="0"/>
        <c:axPos val="l"/>
        <c:majorGridlines>
          <c:spPr>
            <a:ln w="9525" cap="flat" cmpd="sng" algn="ctr">
              <a:solidFill>
                <a:schemeClr val="lt1">
                  <a:lumMod val="90200"/>
                </a:schemeClr>
              </a:solidFill>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t>单位：万元</a:t>
                </a:r>
              </a:p>
            </c:rich>
          </c:tx>
          <c:layout/>
          <c:overlay val="0"/>
          <c:spPr>
            <a:noFill/>
            <a:ln>
              <a:noFill/>
            </a:ln>
            <a:effectLst/>
          </c:spPr>
        </c:title>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46291121"/>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p>
        </c:txPr>
      </c:legendEntry>
      <c:legendEntry>
        <c:idx val="2"/>
        <c:delete val="1"/>
      </c:legendEntry>
      <c:layout>
        <c:manualLayout>
          <c:xMode val="edge"/>
          <c:yMode val="edge"/>
          <c:x val="0.372368421052632"/>
          <c:y val="0.835648148148148"/>
          <c:w val="0.223815789473684"/>
          <c:h val="0.133101851851852"/>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3846c62-38dd-49ee-bbdb-decf9a338bd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一般公共预算财政拨款支出决算变动情况</a:t>
            </a:r>
          </a:p>
        </c:rich>
      </c:tx>
      <c:layout>
        <c:manualLayout>
          <c:xMode val="edge"/>
          <c:yMode val="edge"/>
          <c:x val="0.164733178654292"/>
          <c:y val="0.0285636561479869"/>
        </c:manualLayout>
      </c:layout>
      <c:overlay val="0"/>
      <c:spPr>
        <a:noFill/>
        <a:ln>
          <a:noFill/>
        </a:ln>
        <a:effectLst/>
      </c:spPr>
    </c:title>
    <c:autoTitleDeleted val="0"/>
    <c:plotArea>
      <c:layout>
        <c:manualLayout>
          <c:layoutTarget val="inner"/>
          <c:xMode val="edge"/>
          <c:yMode val="edge"/>
          <c:x val="0.135605263157895"/>
          <c:y val="0.176388888888889"/>
          <c:w val="0.833473684210526"/>
          <c:h val="0.510509259259259"/>
        </c:manualLayout>
      </c:layout>
      <c:barChart>
        <c:barDir val="col"/>
        <c:grouping val="clustered"/>
        <c:varyColors val="0"/>
        <c:ser>
          <c:idx val="0"/>
          <c:order val="0"/>
          <c:tx>
            <c:strRef>
              <c:f>"一般公共预算财政拨款支出"</c:f>
              <c:strCache>
                <c:ptCount val="1"/>
                <c:pt idx="0">
                  <c:v>一般公共预算财政拨款支出</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errBars>
            <c:errBarType val="both"/>
            <c:errValType val="percentage"/>
            <c:noEndCap val="0"/>
            <c:val val="5"/>
            <c:spPr>
              <a:noFill/>
              <a:ln w="9525" cap="flat" cmpd="sng" algn="ctr">
                <a:solidFill>
                  <a:schemeClr val="tx1">
                    <a:lumMod val="65000"/>
                    <a:lumOff val="35000"/>
                  </a:schemeClr>
                </a:solidFill>
                <a:round/>
              </a:ln>
              <a:effectLst/>
            </c:spPr>
          </c:errBars>
          <c:cat>
            <c:strRef>
              <c:f>[工作簿1]Sheet1!$A$1:$B$1</c:f>
              <c:strCache>
                <c:ptCount val="2"/>
                <c:pt idx="0">
                  <c:v>2024年</c:v>
                </c:pt>
                <c:pt idx="1">
                  <c:v>2025年</c:v>
                </c:pt>
              </c:strCache>
            </c:strRef>
          </c:cat>
          <c:val>
            <c:numRef>
              <c:f>[工作簿1]Sheet1!$A$2:$B$2</c:f>
              <c:numCache>
                <c:formatCode>General</c:formatCode>
                <c:ptCount val="2"/>
                <c:pt idx="0">
                  <c:v>2190.32</c:v>
                </c:pt>
                <c:pt idx="1">
                  <c:v>1863.95</c:v>
                </c:pt>
              </c:numCache>
            </c:numRef>
          </c:val>
        </c:ser>
        <c:ser>
          <c:idx val="2"/>
          <c:order val="2"/>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errBars>
            <c:errBarType val="both"/>
            <c:errValType val="percentage"/>
            <c:noEndCap val="0"/>
            <c:val val="5"/>
            <c:spPr>
              <a:noFill/>
              <a:ln w="9525" cap="flat" cmpd="sng" algn="ctr">
                <a:solidFill>
                  <a:schemeClr val="tx1">
                    <a:lumMod val="65000"/>
                    <a:lumOff val="35000"/>
                  </a:schemeClr>
                </a:solidFill>
                <a:round/>
              </a:ln>
              <a:effectLst/>
            </c:spPr>
          </c:errBars>
          <c:cat>
            <c:strRef>
              <c:f>[工作簿1]Sheet1!$A$1:$B$1</c:f>
              <c:strCache>
                <c:ptCount val="2"/>
                <c:pt idx="0">
                  <c:v>2024年</c:v>
                </c:pt>
                <c:pt idx="1">
                  <c:v>2025年</c:v>
                </c:pt>
              </c:strCache>
            </c:strRef>
          </c:cat>
          <c:val>
            <c:numRef>
              <c:f>[工作簿1]Sheet1!$A$4:$B$4</c:f>
              <c:numCache>
                <c:formatCode>General</c:formatCode>
                <c:ptCount val="2"/>
              </c:numCache>
            </c:numRef>
          </c:val>
        </c:ser>
        <c:dLbls>
          <c:showLegendKey val="0"/>
          <c:showVal val="1"/>
          <c:showCatName val="0"/>
          <c:showSerName val="0"/>
          <c:showPercent val="0"/>
          <c:showBubbleSize val="0"/>
        </c:dLbls>
        <c:gapWidth val="246"/>
        <c:overlap val="-28"/>
        <c:axId val="846291121"/>
        <c:axId val="167826739"/>
        <c:extLst>
          <c:ext xmlns:c15="http://schemas.microsoft.com/office/drawing/2012/chart" uri="{02D57815-91ED-43cb-92C2-25804820EDAC}">
            <c15:filteredBarSeries>
              <c15:ser>
                <c:idx val="1"/>
                <c:order val="1"/>
                <c:tx>
                  <c:strRef>
                    <c:extLst>
                      <c:ext uri="{02D57815-91ED-43cb-92C2-25804820EDAC}">
                        <c15:formulaRef>
                          <c15:sqref>"财政拨款支出"</c15:sqref>
                        </c15:formulaRef>
                      </c:ext>
                    </c:extLst>
                    <c:strCache>
                      <c:ptCount val="1"/>
                      <c:pt idx="0">
                        <c:v>财政拨款支出</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errBars>
                  <c:errBarType val="both"/>
                  <c:errValType val="percentage"/>
                  <c:noEndCap val="0"/>
                  <c:val val="5"/>
                  <c:spPr>
                    <a:noFill/>
                    <a:ln w="9525" cap="flat" cmpd="sng" algn="ctr">
                      <a:solidFill>
                        <a:schemeClr val="tx1">
                          <a:lumMod val="65000"/>
                          <a:lumOff val="35000"/>
                        </a:schemeClr>
                      </a:solidFill>
                      <a:round/>
                    </a:ln>
                    <a:effectLst/>
                  </c:spPr>
                </c:errBars>
                <c:cat>
                  <c:strRef>
                    <c:extLst>
                      <c:ext uri="{02D57815-91ED-43cb-92C2-25804820EDAC}">
                        <c15:fullRef>
                          <c15:sqref/>
                        </c15:fullRef>
                        <c15:formulaRef>
                          <c15:sqref>[工作簿1]Sheet1!$A$1:$B$1</c15:sqref>
                        </c15:formulaRef>
                      </c:ext>
                    </c:extLst>
                    <c:strCache>
                      <c:ptCount val="2"/>
                      <c:pt idx="0">
                        <c:v>2024年</c:v>
                      </c:pt>
                      <c:pt idx="1">
                        <c:v>2025年</c:v>
                      </c:pt>
                    </c:strCache>
                  </c:strRef>
                </c:cat>
                <c:val>
                  <c:numRef>
                    <c:extLst>
                      <c:ext uri="{02D57815-91ED-43cb-92C2-25804820EDAC}">
                        <c15:formulaRef>
                          <c15:sqref>{#N/A,#N/A}</c15:sqref>
                        </c15:formulaRef>
                      </c:ext>
                    </c:extLst>
                    <c:numCache>
                      <c:formatCode>General</c:formatCode>
                      <c:ptCount val="2"/>
                    </c:numCache>
                  </c:numRef>
                </c:val>
              </c15:ser>
            </c15:filteredBarSeries>
          </c:ext>
        </c:extLst>
      </c:barChart>
      <c:catAx>
        <c:axId val="846291121"/>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7826739"/>
        <c:crosses val="autoZero"/>
        <c:auto val="1"/>
        <c:lblAlgn val="ctr"/>
        <c:lblOffset val="100"/>
        <c:noMultiLvlLbl val="0"/>
      </c:catAx>
      <c:valAx>
        <c:axId val="167826739"/>
        <c:scaling>
          <c:orientation val="minMax"/>
        </c:scaling>
        <c:delete val="0"/>
        <c:axPos val="l"/>
        <c:majorGridlines>
          <c:spPr>
            <a:ln w="9525" cap="flat" cmpd="sng" algn="ctr">
              <a:solidFill>
                <a:schemeClr val="lt1">
                  <a:lumMod val="90200"/>
                </a:schemeClr>
              </a:solidFill>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t>单位：万元</a:t>
                </a:r>
              </a:p>
            </c:rich>
          </c:tx>
          <c:layout/>
          <c:overlay val="0"/>
          <c:spPr>
            <a:noFill/>
            <a:ln>
              <a:noFill/>
            </a:ln>
            <a:effectLst/>
          </c:spPr>
        </c:title>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46291121"/>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p>
        </c:txPr>
      </c:legendEntry>
      <c:legendEntry>
        <c:idx val="1"/>
        <c:delete val="1"/>
      </c:legendEntry>
      <c:layout>
        <c:manualLayout>
          <c:xMode val="edge"/>
          <c:yMode val="edge"/>
          <c:x val="0.372368421052632"/>
          <c:y val="0.827487103534437"/>
          <c:w val="0.357236842105263"/>
          <c:h val="0.133101851851852"/>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d0648d6-5195-47fc-8911-89c92913d22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一般公共预算财政拨款支出决算结构</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1</a:t>
                    </a:r>
                    <a:r>
                      <a:rPr lang="en-US" altLang="zh-CN"/>
                      <a:t>501.22</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dLbl>
              <c:idx val="1"/>
              <c:layout>
                <c:manualLayout>
                  <c:x val="0.0987942025116235"/>
                  <c:y val="0.0298695789730274"/>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1</a:t>
                    </a:r>
                    <a:r>
                      <a:rPr lang="en-US" altLang="zh-CN"/>
                      <a:t>73.29</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70.56</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dLbl>
              <c:idx val="3"/>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1</a:t>
                    </a:r>
                    <a:r>
                      <a:rPr lang="en-US" altLang="zh-CN"/>
                      <a:t>18.88</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[工作簿2]Sheet1!$B$16:$B$19</c:f>
              <c:strCache>
                <c:ptCount val="4"/>
                <c:pt idx="0">
                  <c:v>公共安全支出</c:v>
                </c:pt>
                <c:pt idx="1">
                  <c:v>社会保障和就业支出</c:v>
                </c:pt>
                <c:pt idx="2">
                  <c:v>卫生健康支出</c:v>
                </c:pt>
                <c:pt idx="3">
                  <c:v>住房保障支出</c:v>
                </c:pt>
              </c:strCache>
            </c:strRef>
          </c:cat>
          <c:val>
            <c:numRef>
              <c:f>[工作簿2]Sheet1!$C$16:$C$19</c:f>
              <c:numCache>
                <c:formatCode>General</c:formatCode>
                <c:ptCount val="4"/>
                <c:pt idx="0">
                  <c:v>1011.24</c:v>
                </c:pt>
                <c:pt idx="1">
                  <c:v>184.26</c:v>
                </c:pt>
                <c:pt idx="2">
                  <c:v>76.17</c:v>
                </c:pt>
                <c:pt idx="3">
                  <c:v>114.32</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b28b165-4e02-4abb-8b44-c86194e4325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“三公”经费财政拨款支出结构</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manualLayout>
                  <c:x val="0.00935946254136669"/>
                  <c:y val="-0.12370318639634"/>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34.37</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1.</a:t>
                    </a:r>
                    <a:r>
                      <a:rPr lang="en-US" altLang="zh-CN"/>
                      <a:t>18</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[工作簿2]Sheet1!$B$21:$B$22</c:f>
              <c:strCache>
                <c:ptCount val="2"/>
                <c:pt idx="0">
                  <c:v>公务用车购置及运行维护费</c:v>
                </c:pt>
                <c:pt idx="1">
                  <c:v>公务接待费</c:v>
                </c:pt>
              </c:strCache>
            </c:strRef>
          </c:cat>
          <c:val>
            <c:numRef>
              <c:f>[工作簿2]Sheet1!$C$21:$C$22</c:f>
              <c:numCache>
                <c:formatCode>General</c:formatCode>
                <c:ptCount val="2"/>
                <c:pt idx="0">
                  <c:v>100.32</c:v>
                </c:pt>
                <c:pt idx="1">
                  <c:v>1.41</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8e7bf6b-2b73-4809-99f7-ddc75d4354a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24</Pages>
  <Words>3598</Words>
  <Characters>5443</Characters>
  <Lines>60</Lines>
  <Paragraphs>17</Paragraphs>
  <TotalTime>0</TotalTime>
  <ScaleCrop>false</ScaleCrop>
  <LinksUpToDate>false</LinksUpToDate>
  <CharactersWithSpaces>5485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2020-08-11T01:49:00Z</dcterms:created>
  <dc:creator>曹颖</dc:creator>
  <cp:lastModifiedBy>xuoxuo</cp:lastModifiedBy>
  <cp:lastPrinted>2025-09-18T01:39:00Z</cp:lastPrinted>
  <dcterms:modified xsi:type="dcterms:W3CDTF">2026-09-18T07:53:39Z</dcterms:modified>
  <dc:title>四川省***</dc:title>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138AB123984F4E3F96DF926CDBD21E05_13</vt:lpwstr>
  </property>
  <property fmtid="{D5CDD505-2E9C-101B-9397-08002B2CF9AE}" pid="4" name="KSOTemplateDocerSaveRecord">
    <vt:lpwstr>eyJoZGlkIjoiYjM4YzYxNjg5MTJiMGFkYWVmMDlkYWE4YTc1ZWIzM2EiLCJ1c2VySWQiOiIyNzQ0NTY4OTEifQ==</vt:lpwstr>
  </property>
</Properties>
</file>