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colors6.xml" ContentType="application/vnd.ms-office.chartcolorstyle+xml"/>
  <Override PartName="/word/charts/colors7.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charts/style6.xml" ContentType="application/vnd.ms-office.chartstyle+xml"/>
  <Override PartName="/word/charts/style7.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8DFCDA8">
      <w:pPr>
        <w:spacing w:line="600" w:lineRule="exact"/>
        <w:jc w:val="center"/>
        <w:outlineLvl w:val="9"/>
        <w:rPr>
          <w:rFonts w:ascii="方正小标宋简体" w:hAnsi="宋体" w:eastAsia="方正小标宋简体"/>
          <w:sz w:val="72"/>
          <w:szCs w:val="72"/>
        </w:rPr>
      </w:pPr>
      <w:bookmarkStart w:id="0" w:name="_Toc15377193"/>
      <w:bookmarkStart w:id="1" w:name="_Toc15396475"/>
      <w:bookmarkStart w:id="2" w:name="_Toc15396597"/>
      <w:bookmarkStart w:id="3" w:name="_Toc15378441"/>
      <w:bookmarkStart w:id="4" w:name="_Toc15306267"/>
      <w:bookmarkStart w:id="5" w:name="_Toc15377425"/>
    </w:p>
    <w:p w14:paraId="0561229C">
      <w:pPr>
        <w:pStyle w:val="5"/>
        <w:spacing w:before="93"/>
      </w:pPr>
    </w:p>
    <w:p w14:paraId="71A891D1">
      <w:pPr>
        <w:spacing w:line="600" w:lineRule="exact"/>
        <w:jc w:val="center"/>
        <w:outlineLvl w:val="9"/>
        <w:rPr>
          <w:rFonts w:ascii="方正小标宋简体" w:hAnsi="宋体" w:eastAsia="方正小标宋简体"/>
          <w:sz w:val="72"/>
          <w:szCs w:val="72"/>
        </w:rPr>
      </w:pPr>
    </w:p>
    <w:p w14:paraId="1C13F918">
      <w:pPr>
        <w:spacing w:line="600" w:lineRule="exact"/>
        <w:jc w:val="center"/>
        <w:outlineLvl w:val="9"/>
        <w:rPr>
          <w:rFonts w:ascii="方正小标宋简体" w:hAnsi="宋体" w:eastAsia="方正小标宋简体"/>
          <w:sz w:val="72"/>
          <w:szCs w:val="72"/>
        </w:rPr>
      </w:pPr>
    </w:p>
    <w:bookmarkEnd w:id="0"/>
    <w:bookmarkEnd w:id="1"/>
    <w:bookmarkEnd w:id="2"/>
    <w:bookmarkEnd w:id="3"/>
    <w:bookmarkEnd w:id="4"/>
    <w:bookmarkEnd w:id="5"/>
    <w:p w14:paraId="7184C6E8">
      <w:pPr>
        <w:pStyle w:val="5"/>
        <w:spacing w:before="93"/>
        <w:jc w:val="center"/>
        <w:rPr>
          <w:rFonts w:hint="eastAsia" w:ascii="Times New Roman" w:eastAsia="方正小标宋简体"/>
          <w:kern w:val="2"/>
          <w:sz w:val="44"/>
          <w:szCs w:val="44"/>
          <w:lang w:val="en-US" w:eastAsia="zh-CN"/>
        </w:rPr>
      </w:pPr>
      <w:r>
        <w:rPr>
          <w:rFonts w:hint="eastAsia" w:ascii="Times New Roman" w:eastAsia="方正小标宋简体"/>
          <w:kern w:val="2"/>
          <w:sz w:val="44"/>
          <w:szCs w:val="44"/>
        </w:rPr>
        <w:t>202</w:t>
      </w:r>
      <w:r>
        <w:rPr>
          <w:rFonts w:hint="eastAsia" w:ascii="Times New Roman" w:eastAsia="方正小标宋简体"/>
          <w:kern w:val="2"/>
          <w:sz w:val="44"/>
          <w:szCs w:val="44"/>
          <w:lang w:val="en-US" w:eastAsia="zh-CN"/>
        </w:rPr>
        <w:t>5</w:t>
      </w:r>
      <w:r>
        <w:rPr>
          <w:rFonts w:hint="eastAsia" w:ascii="Times New Roman" w:eastAsia="方正小标宋简体"/>
          <w:kern w:val="2"/>
          <w:sz w:val="44"/>
          <w:szCs w:val="44"/>
        </w:rPr>
        <w:t>年度</w:t>
      </w:r>
      <w:bookmarkStart w:id="6" w:name="_Toc15306268"/>
      <w:r>
        <w:rPr>
          <w:rFonts w:hint="eastAsia" w:ascii="Times New Roman" w:eastAsia="方正小标宋简体"/>
          <w:kern w:val="2"/>
          <w:sz w:val="44"/>
          <w:szCs w:val="44"/>
        </w:rPr>
        <w:t>阿坝州</w:t>
      </w:r>
      <w:r>
        <w:rPr>
          <w:rFonts w:hint="eastAsia" w:ascii="Times New Roman" w:eastAsia="方正小标宋简体"/>
          <w:kern w:val="2"/>
          <w:sz w:val="44"/>
          <w:szCs w:val="44"/>
          <w:lang w:val="en-US" w:eastAsia="zh-CN"/>
        </w:rPr>
        <w:t>理县人民检察院</w:t>
      </w:r>
    </w:p>
    <w:p w14:paraId="47AEF975">
      <w:pPr>
        <w:pStyle w:val="5"/>
        <w:spacing w:before="93"/>
        <w:jc w:val="center"/>
        <w:rPr>
          <w:rFonts w:ascii="Times New Roman" w:eastAsia="方正小标宋简体"/>
          <w:kern w:val="2"/>
          <w:sz w:val="44"/>
          <w:szCs w:val="44"/>
        </w:rPr>
      </w:pPr>
      <w:r>
        <w:rPr>
          <w:rFonts w:hint="eastAsia" w:ascii="Times New Roman" w:eastAsia="方正小标宋简体"/>
          <w:kern w:val="2"/>
          <w:sz w:val="44"/>
          <w:szCs w:val="44"/>
        </w:rPr>
        <w:t>部门决算</w:t>
      </w:r>
      <w:bookmarkEnd w:id="6"/>
    </w:p>
    <w:p w14:paraId="2BFF7AF9">
      <w:pPr>
        <w:widowControl/>
        <w:jc w:val="center"/>
        <w:rPr>
          <w:rFonts w:ascii="黑体" w:hAnsi="黑体" w:eastAsia="黑体" w:cstheme="minorBidi"/>
          <w:sz w:val="28"/>
          <w:szCs w:val="28"/>
        </w:rPr>
      </w:pPr>
      <w:r>
        <w:rPr>
          <w:rFonts w:ascii="方正小标宋简体" w:hAnsi="宋体" w:eastAsia="方正小标宋简体"/>
          <w:sz w:val="36"/>
          <w:szCs w:val="36"/>
        </w:rPr>
        <w:br w:type="page"/>
      </w:r>
      <w:r>
        <w:rPr>
          <w:rFonts w:hint="eastAsia" w:ascii="黑体" w:hAnsi="黑体" w:eastAsia="黑体"/>
          <w:sz w:val="48"/>
          <w:szCs w:val="48"/>
        </w:rPr>
        <w:t>目</w:t>
      </w:r>
      <w:r>
        <w:rPr>
          <w:rFonts w:hint="eastAsia" w:ascii="黑体" w:hAnsi="黑体" w:eastAsia="黑体"/>
          <w:sz w:val="48"/>
          <w:szCs w:val="48"/>
          <w:lang w:val="en-US" w:eastAsia="zh-CN"/>
        </w:rPr>
        <w:t xml:space="preserve">  </w:t>
      </w:r>
      <w:r>
        <w:rPr>
          <w:rFonts w:hint="eastAsia" w:ascii="黑体" w:hAnsi="黑体" w:eastAsia="黑体"/>
          <w:sz w:val="48"/>
          <w:szCs w:val="48"/>
        </w:rPr>
        <w:t>录</w:t>
      </w:r>
    </w:p>
    <w:p w14:paraId="3B7C17F4">
      <w:pPr>
        <w:pStyle w:val="12"/>
        <w:rPr>
          <w:rFonts w:hint="eastAsia" w:ascii="方正仿宋_GBK" w:hAnsi="方正仿宋_GBK" w:eastAsia="方正仿宋_GBK" w:cs="方正仿宋_GBK"/>
          <w:sz w:val="32"/>
          <w:szCs w:val="32"/>
        </w:rPr>
      </w:pPr>
      <w:r>
        <w:rPr>
          <w:rFonts w:hint="default" w:ascii="Times New Roman" w:hAnsi="Times New Roman" w:cs="Times New Roman"/>
        </w:rPr>
        <w:t>公开时间：202</w:t>
      </w:r>
      <w:r>
        <w:rPr>
          <w:rFonts w:hint="eastAsia" w:ascii="Times New Roman" w:hAnsi="Times New Roman" w:cs="Times New Roman"/>
          <w:lang w:val="en-US" w:eastAsia="zh-CN"/>
        </w:rPr>
        <w:t>6</w:t>
      </w:r>
      <w:r>
        <w:rPr>
          <w:rFonts w:hint="default" w:ascii="Times New Roman" w:hAnsi="Times New Roman" w:cs="Times New Roman"/>
        </w:rPr>
        <w:t>年</w:t>
      </w:r>
      <w:r>
        <w:rPr>
          <w:rFonts w:hint="default" w:ascii="Times New Roman" w:hAnsi="Times New Roman" w:cs="Times New Roman"/>
          <w:lang w:val="en-US" w:eastAsia="zh-CN"/>
        </w:rPr>
        <w:t>9</w:t>
      </w:r>
      <w:r>
        <w:rPr>
          <w:rFonts w:hint="default" w:ascii="Times New Roman" w:hAnsi="Times New Roman" w:cs="Times New Roman"/>
        </w:rPr>
        <w:t>月</w:t>
      </w:r>
      <w:r>
        <w:rPr>
          <w:rFonts w:hint="eastAsia" w:ascii="Times New Roman" w:hAnsi="Times New Roman" w:cs="Times New Roman"/>
          <w:lang w:val="en-US" w:eastAsia="zh-CN"/>
        </w:rPr>
        <w:t>11</w:t>
      </w:r>
      <w:r>
        <w:rPr>
          <w:rFonts w:hint="default" w:ascii="Times New Roman" w:hAnsi="Times New Roman" w:cs="Times New Roman"/>
        </w:rPr>
        <w:t>日</w:t>
      </w:r>
      <w:r>
        <w:rPr>
          <w:rFonts w:hint="eastAsia" w:ascii="方正仿宋_GBK" w:hAnsi="方正仿宋_GBK" w:eastAsia="方正仿宋_GBK" w:cs="方正仿宋_GBK"/>
          <w:b w:val="0"/>
          <w:sz w:val="32"/>
          <w:szCs w:val="32"/>
        </w:rPr>
        <w:fldChar w:fldCharType="begin"/>
      </w:r>
      <w:r>
        <w:rPr>
          <w:rFonts w:hint="eastAsia" w:ascii="方正仿宋_GBK" w:hAnsi="方正仿宋_GBK" w:eastAsia="方正仿宋_GBK" w:cs="方正仿宋_GBK"/>
          <w:b w:val="0"/>
          <w:sz w:val="32"/>
          <w:szCs w:val="32"/>
        </w:rPr>
        <w:instrText xml:space="preserve">TOC \o "1-3" \h \u </w:instrText>
      </w:r>
      <w:r>
        <w:rPr>
          <w:rFonts w:hint="eastAsia" w:ascii="方正仿宋_GBK" w:hAnsi="方正仿宋_GBK" w:eastAsia="方正仿宋_GBK" w:cs="方正仿宋_GBK"/>
          <w:b w:val="0"/>
          <w:sz w:val="32"/>
          <w:szCs w:val="32"/>
        </w:rPr>
        <w:fldChar w:fldCharType="separate"/>
      </w:r>
    </w:p>
    <w:p w14:paraId="7FFAD771">
      <w:pPr>
        <w:pStyle w:val="36"/>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_Toc3495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b/>
          <w:bCs/>
          <w:sz w:val="32"/>
          <w:szCs w:val="32"/>
        </w:rPr>
        <w:t>第一部分 部门概况</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_Toc3495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214D084">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_Toc24897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一、部门职责</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_Toc24897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4EB0892">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_Toc11848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二、机构设置</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_Toc11848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B8433E9">
      <w:pPr>
        <w:pStyle w:val="36"/>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_Toc16221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b/>
          <w:bCs/>
          <w:sz w:val="32"/>
          <w:szCs w:val="32"/>
        </w:rPr>
        <w:t>第二部分 20</w:t>
      </w:r>
      <w:r>
        <w:rPr>
          <w:rFonts w:hint="eastAsia" w:ascii="Times New Roman" w:hAnsi="Times New Roman" w:eastAsia="方正仿宋_GBK" w:cs="Times New Roman"/>
          <w:b/>
          <w:bCs/>
          <w:sz w:val="32"/>
          <w:szCs w:val="32"/>
          <w:lang w:val="en-US" w:eastAsia="zh-CN"/>
        </w:rPr>
        <w:t>25</w:t>
      </w:r>
      <w:r>
        <w:rPr>
          <w:rFonts w:hint="default" w:ascii="Times New Roman" w:hAnsi="Times New Roman" w:eastAsia="方正仿宋_GBK" w:cs="Times New Roman"/>
          <w:b/>
          <w:bCs/>
          <w:sz w:val="32"/>
          <w:szCs w:val="32"/>
        </w:rPr>
        <w:t>年度部门决算情况说明</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_Toc16221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AB90C63">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_Toc21020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一、 收入支出决算总体情况说明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_Toc21020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CD5F980">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_Toc13014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二、 收入决算情况说明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_Toc13014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EA75534">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_Toc17655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三、 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_Toc17655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1EF12911">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_Toc13338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四、财政拨款收入支出决算总体情况说明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_Toc13338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21557A2D">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_Toc28364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五、一般公共预算财政拨款支出决算情况说明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_Toc28364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03228BF">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_Toc4634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六、一般公共预算财政拨款基本支出决算情况说明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_Toc4634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7</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4B748712">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_Toc1863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七、财政拨款“三公”经费支出决算情况说明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_Toc1863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8</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3EDA2D7C">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_Toc16382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八、政府性基金预算支出决算情况说明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_Toc16382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073E16AF">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_Toc8452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九、 国有资本经营预算支出决算情况说明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_Toc8452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55D122F1">
      <w:pPr>
        <w:pStyle w:val="37"/>
        <w:tabs>
          <w:tab w:val="right" w:leader="dot" w:pos="8306"/>
        </w:tabs>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HYPERLINK \l _Toc10275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十、 其他重要事项的情况说明</w:t>
      </w:r>
      <w:r>
        <w:rPr>
          <w:rFonts w:hint="default" w:ascii="Times New Roman" w:hAnsi="Times New Roman" w:eastAsia="方正仿宋_GBK" w:cs="Times New Roman"/>
          <w:sz w:val="32"/>
          <w:szCs w:val="32"/>
        </w:rPr>
        <w:tab/>
      </w:r>
      <w:r>
        <w:rPr>
          <w:rFonts w:hint="default" w:ascii="Times New Roman" w:hAnsi="Times New Roman" w:eastAsia="方正仿宋_GBK" w:cs="Times New Roman"/>
          <w:sz w:val="32"/>
          <w:szCs w:val="32"/>
        </w:rPr>
        <w:fldChar w:fldCharType="begin"/>
      </w:r>
      <w:r>
        <w:rPr>
          <w:rFonts w:hint="default" w:ascii="Times New Roman" w:hAnsi="Times New Roman" w:eastAsia="方正仿宋_GBK" w:cs="Times New Roman"/>
          <w:sz w:val="32"/>
          <w:szCs w:val="32"/>
        </w:rPr>
        <w:instrText xml:space="preserve"> PAGEREF _Toc10275 \h </w:instrText>
      </w:r>
      <w:r>
        <w:rPr>
          <w:rFonts w:hint="default" w:ascii="Times New Roman" w:hAnsi="Times New Roman" w:eastAsia="方正仿宋_GBK" w:cs="Times New Roman"/>
          <w:sz w:val="32"/>
          <w:szCs w:val="32"/>
        </w:rPr>
        <w:fldChar w:fldCharType="separate"/>
      </w:r>
      <w:r>
        <w:rPr>
          <w:rFonts w:hint="default" w:ascii="Times New Roman" w:hAnsi="Times New Roman" w:eastAsia="方正仿宋_GBK" w:cs="Times New Roman"/>
          <w:sz w:val="32"/>
          <w:szCs w:val="32"/>
        </w:rPr>
        <w:t>10</w:t>
      </w:r>
      <w:r>
        <w:rPr>
          <w:rFonts w:hint="default" w:ascii="Times New Roman" w:hAnsi="Times New Roman" w:eastAsia="方正仿宋_GBK" w:cs="Times New Roman"/>
          <w:sz w:val="32"/>
          <w:szCs w:val="32"/>
        </w:rPr>
        <w:fldChar w:fldCharType="end"/>
      </w:r>
      <w:r>
        <w:rPr>
          <w:rFonts w:hint="default" w:ascii="Times New Roman" w:hAnsi="Times New Roman" w:eastAsia="方正仿宋_GBK" w:cs="Times New Roman"/>
          <w:sz w:val="32"/>
          <w:szCs w:val="32"/>
        </w:rPr>
        <w:fldChar w:fldCharType="end"/>
      </w:r>
    </w:p>
    <w:p w14:paraId="7455FC7D">
      <w:pPr>
        <w:pStyle w:val="36"/>
        <w:tabs>
          <w:tab w:val="right" w:leader="dot" w:pos="8306"/>
        </w:tabs>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HYPERLINK \l _Toc30998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第三部分 名词解释</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_Toc30998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12</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2F0571EC">
      <w:pPr>
        <w:pStyle w:val="36"/>
        <w:tabs>
          <w:tab w:val="right" w:leader="dot" w:pos="8306"/>
        </w:tabs>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HYPERLINK \l _Toc22083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第四部分 附件</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_Toc22083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15</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57C85EB4">
      <w:pPr>
        <w:pStyle w:val="36"/>
        <w:tabs>
          <w:tab w:val="right" w:leader="dot" w:pos="8306"/>
        </w:tabs>
        <w:rPr>
          <w:rFonts w:hint="default" w:ascii="Times New Roman" w:hAnsi="Times New Roman" w:eastAsia="方正仿宋_GBK" w:cs="Times New Roman"/>
          <w:b/>
          <w:bCs/>
          <w:sz w:val="32"/>
          <w:szCs w:val="32"/>
        </w:rPr>
      </w:pP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HYPERLINK \l _Toc30602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第五部分 附表</w:t>
      </w:r>
      <w:r>
        <w:rPr>
          <w:rFonts w:hint="default" w:ascii="Times New Roman" w:hAnsi="Times New Roman" w:eastAsia="方正仿宋_GBK" w:cs="Times New Roman"/>
          <w:b/>
          <w:bCs/>
          <w:sz w:val="32"/>
          <w:szCs w:val="32"/>
        </w:rPr>
        <w:tab/>
      </w:r>
      <w:r>
        <w:rPr>
          <w:rFonts w:hint="default" w:ascii="Times New Roman" w:hAnsi="Times New Roman" w:eastAsia="方正仿宋_GBK" w:cs="Times New Roman"/>
          <w:b/>
          <w:bCs/>
          <w:sz w:val="32"/>
          <w:szCs w:val="32"/>
        </w:rPr>
        <w:fldChar w:fldCharType="begin"/>
      </w:r>
      <w:r>
        <w:rPr>
          <w:rFonts w:hint="default" w:ascii="Times New Roman" w:hAnsi="Times New Roman" w:eastAsia="方正仿宋_GBK" w:cs="Times New Roman"/>
          <w:b/>
          <w:bCs/>
          <w:sz w:val="32"/>
          <w:szCs w:val="32"/>
        </w:rPr>
        <w:instrText xml:space="preserve"> PAGEREF _Toc30602 \h </w:instrText>
      </w:r>
      <w:r>
        <w:rPr>
          <w:rFonts w:hint="default" w:ascii="Times New Roman" w:hAnsi="Times New Roman" w:eastAsia="方正仿宋_GBK" w:cs="Times New Roman"/>
          <w:b/>
          <w:bCs/>
          <w:sz w:val="32"/>
          <w:szCs w:val="32"/>
        </w:rPr>
        <w:fldChar w:fldCharType="separate"/>
      </w:r>
      <w:r>
        <w:rPr>
          <w:rFonts w:hint="default" w:ascii="Times New Roman" w:hAnsi="Times New Roman" w:eastAsia="方正仿宋_GBK" w:cs="Times New Roman"/>
          <w:b/>
          <w:bCs/>
          <w:sz w:val="32"/>
          <w:szCs w:val="32"/>
        </w:rPr>
        <w:t>26</w:t>
      </w:r>
      <w:r>
        <w:rPr>
          <w:rFonts w:hint="default" w:ascii="Times New Roman" w:hAnsi="Times New Roman" w:eastAsia="方正仿宋_GBK" w:cs="Times New Roman"/>
          <w:b/>
          <w:bCs/>
          <w:sz w:val="32"/>
          <w:szCs w:val="32"/>
        </w:rPr>
        <w:fldChar w:fldCharType="end"/>
      </w:r>
      <w:r>
        <w:rPr>
          <w:rFonts w:hint="default" w:ascii="Times New Roman" w:hAnsi="Times New Roman" w:eastAsia="方正仿宋_GBK" w:cs="Times New Roman"/>
          <w:b/>
          <w:bCs/>
          <w:sz w:val="32"/>
          <w:szCs w:val="32"/>
        </w:rPr>
        <w:fldChar w:fldCharType="end"/>
      </w:r>
    </w:p>
    <w:p w14:paraId="7E9D5EBB">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一、收入支出决算总表</w:t>
      </w:r>
    </w:p>
    <w:p w14:paraId="78CE0E65">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二、收入决算表</w:t>
      </w:r>
    </w:p>
    <w:p w14:paraId="5DCF9784">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三、支出决算表</w:t>
      </w:r>
    </w:p>
    <w:p w14:paraId="61DE6E0B">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四、财政拨款收入支出决算总表</w:t>
      </w:r>
    </w:p>
    <w:p w14:paraId="03E924FA">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五、财政拨款支出决算明细表</w:t>
      </w:r>
    </w:p>
    <w:p w14:paraId="283F2D78">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六、一般公共预算财政拨款支出决算表</w:t>
      </w:r>
    </w:p>
    <w:p w14:paraId="7F707624">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七、一般公共预算财政拨款支出决算明细表</w:t>
      </w:r>
    </w:p>
    <w:p w14:paraId="630CB92E">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八、一般公共预算财政拨款基本支出决算表</w:t>
      </w:r>
    </w:p>
    <w:p w14:paraId="5492E157">
      <w:pPr>
        <w:pStyle w:val="14"/>
        <w:spacing w:line="576" w:lineRule="exact"/>
        <w:jc w:val="both"/>
        <w:rPr>
          <w:rFonts w:hint="default" w:ascii="Times New Roman" w:hAnsi="Times New Roman" w:eastAsia="方正仿宋_GBK" w:cs="Times New Roman"/>
          <w:b w:val="0"/>
          <w:bCs w:val="0"/>
          <w:smallCaps w:val="0"/>
          <w:sz w:val="32"/>
          <w:szCs w:val="32"/>
        </w:rPr>
      </w:pPr>
      <w:r>
        <w:rPr>
          <w:rFonts w:hint="default" w:ascii="Times New Roman" w:hAnsi="Times New Roman" w:eastAsia="方正仿宋_GBK" w:cs="Times New Roman"/>
          <w:b w:val="0"/>
          <w:bCs w:val="0"/>
          <w:smallCaps w:val="0"/>
          <w:sz w:val="32"/>
          <w:szCs w:val="32"/>
        </w:rPr>
        <w:t>九、一般公共预算财政拨款项目支出决算表</w:t>
      </w:r>
    </w:p>
    <w:p w14:paraId="7B5B314A">
      <w:pPr>
        <w:pStyle w:val="14"/>
        <w:spacing w:line="576" w:lineRule="exact"/>
        <w:jc w:val="both"/>
        <w:rPr>
          <w:rFonts w:hint="default" w:ascii="Times New Roman" w:hAnsi="Times New Roman" w:eastAsia="方正仿宋_GBK" w:cs="Times New Roman"/>
          <w:b w:val="0"/>
          <w:bCs w:val="0"/>
          <w:smallCaps w:val="0"/>
          <w:sz w:val="32"/>
          <w:szCs w:val="32"/>
        </w:rPr>
      </w:pPr>
      <w:r>
        <w:rPr>
          <w:rFonts w:hint="eastAsia" w:ascii="Times New Roman" w:hAnsi="Times New Roman" w:eastAsia="方正仿宋_GBK" w:cs="Times New Roman"/>
          <w:b w:val="0"/>
          <w:bCs w:val="0"/>
          <w:smallCaps w:val="0"/>
          <w:sz w:val="32"/>
          <w:szCs w:val="32"/>
        </w:rPr>
        <w:t>十、政府性基金预算财政拨款收入支出决算表</w:t>
      </w:r>
    </w:p>
    <w:p w14:paraId="4468E681">
      <w:pPr>
        <w:pStyle w:val="14"/>
        <w:spacing w:line="576" w:lineRule="exact"/>
        <w:jc w:val="both"/>
        <w:rPr>
          <w:rFonts w:hint="default" w:ascii="Times New Roman" w:hAnsi="Times New Roman" w:eastAsia="方正仿宋_GBK" w:cs="Times New Roman"/>
          <w:b w:val="0"/>
          <w:bCs w:val="0"/>
          <w:smallCaps w:val="0"/>
          <w:sz w:val="32"/>
          <w:szCs w:val="32"/>
        </w:rPr>
      </w:pPr>
      <w:r>
        <w:rPr>
          <w:rFonts w:hint="eastAsia" w:ascii="Times New Roman" w:hAnsi="Times New Roman" w:eastAsia="方正仿宋_GBK" w:cs="Times New Roman"/>
          <w:b w:val="0"/>
          <w:bCs w:val="0"/>
          <w:smallCaps w:val="0"/>
          <w:sz w:val="32"/>
          <w:szCs w:val="32"/>
        </w:rPr>
        <w:t>十一、国有资本经营预算财政拨款收入支出决算表</w:t>
      </w:r>
    </w:p>
    <w:p w14:paraId="51DA040F">
      <w:pPr>
        <w:pStyle w:val="14"/>
        <w:spacing w:line="576" w:lineRule="exact"/>
        <w:jc w:val="both"/>
        <w:rPr>
          <w:rFonts w:hint="default" w:ascii="Times New Roman" w:hAnsi="Times New Roman" w:eastAsia="方正仿宋_GBK" w:cs="Times New Roman"/>
          <w:b w:val="0"/>
          <w:bCs w:val="0"/>
          <w:smallCaps w:val="0"/>
          <w:sz w:val="32"/>
          <w:szCs w:val="32"/>
        </w:rPr>
      </w:pPr>
      <w:r>
        <w:rPr>
          <w:rFonts w:hint="eastAsia" w:ascii="Times New Roman" w:hAnsi="Times New Roman" w:eastAsia="方正仿宋_GBK" w:cs="Times New Roman"/>
          <w:b w:val="0"/>
          <w:bCs w:val="0"/>
          <w:smallCaps w:val="0"/>
          <w:sz w:val="32"/>
          <w:szCs w:val="32"/>
        </w:rPr>
        <w:t>十二、国有资本经营预算财政拨款支出决算表</w:t>
      </w:r>
    </w:p>
    <w:p w14:paraId="1AD5A15B">
      <w:pPr>
        <w:pStyle w:val="14"/>
        <w:spacing w:line="576" w:lineRule="exact"/>
        <w:jc w:val="both"/>
        <w:rPr>
          <w:rFonts w:hint="default" w:ascii="Times New Roman" w:hAnsi="Times New Roman" w:eastAsia="方正仿宋_GBK" w:cs="Times New Roman"/>
          <w:b w:val="0"/>
          <w:bCs w:val="0"/>
          <w:smallCaps w:val="0"/>
          <w:sz w:val="32"/>
          <w:szCs w:val="32"/>
        </w:rPr>
      </w:pPr>
      <w:r>
        <w:rPr>
          <w:rFonts w:hint="eastAsia" w:ascii="Times New Roman" w:hAnsi="Times New Roman" w:eastAsia="方正仿宋_GBK" w:cs="Times New Roman"/>
          <w:b w:val="0"/>
          <w:bCs w:val="0"/>
          <w:smallCaps w:val="0"/>
          <w:sz w:val="32"/>
          <w:szCs w:val="32"/>
        </w:rPr>
        <w:t>十三、财政拨款“三公”经费支出决算表</w:t>
      </w:r>
    </w:p>
    <w:p w14:paraId="069B47C0">
      <w:pPr>
        <w:pStyle w:val="36"/>
        <w:tabs>
          <w:tab w:val="right" w:leader="dot" w:pos="8306"/>
        </w:tabs>
        <w:rPr>
          <w:rFonts w:hint="eastAsia" w:ascii="方正仿宋_GBK" w:hAnsi="方正仿宋_GBK" w:eastAsia="方正仿宋_GBK" w:cs="方正仿宋_GBK"/>
          <w:sz w:val="32"/>
          <w:szCs w:val="32"/>
        </w:rPr>
      </w:pPr>
    </w:p>
    <w:p w14:paraId="0C54FF2C">
      <w:pPr>
        <w:pStyle w:val="14"/>
        <w:adjustRightInd w:val="0"/>
        <w:snapToGrid w:val="0"/>
        <w:spacing w:line="440" w:lineRule="exact"/>
        <w:ind w:left="0" w:leftChars="0" w:firstLine="0" w:firstLineChars="0"/>
        <w:jc w:val="left"/>
        <w:rPr>
          <w:rFonts w:hint="eastAsia" w:ascii="方正仿宋_GBK" w:hAnsi="方正仿宋_GBK" w:eastAsia="方正仿宋_GBK" w:cs="方正仿宋_GBK"/>
          <w:b/>
          <w:bCs/>
          <w:kern w:val="44"/>
          <w:sz w:val="32"/>
          <w:szCs w:val="32"/>
          <w:lang w:val="en-US" w:eastAsia="zh-CN" w:bidi="ar-SA"/>
        </w:rPr>
      </w:pPr>
      <w:r>
        <w:rPr>
          <w:rFonts w:hint="eastAsia" w:ascii="方正仿宋_GBK" w:hAnsi="方正仿宋_GBK" w:eastAsia="方正仿宋_GBK" w:cs="方正仿宋_GBK"/>
          <w:sz w:val="32"/>
          <w:szCs w:val="32"/>
        </w:rPr>
        <w:fldChar w:fldCharType="end"/>
      </w:r>
      <w:bookmarkStart w:id="7" w:name="_Toc15396599"/>
      <w:bookmarkStart w:id="8" w:name="_Toc15377196"/>
    </w:p>
    <w:p w14:paraId="32CF71A9">
      <w:pPr>
        <w:rPr>
          <w:rFonts w:hint="eastAsia" w:ascii="方正仿宋_GBK" w:hAnsi="方正仿宋_GBK" w:eastAsia="方正仿宋_GBK" w:cs="方正仿宋_GBK"/>
          <w:sz w:val="32"/>
          <w:szCs w:val="32"/>
        </w:rPr>
        <w:sectPr>
          <w:headerReference r:id="rId3" w:type="default"/>
          <w:pgSz w:w="11906" w:h="16838"/>
          <w:pgMar w:top="1440" w:right="1800" w:bottom="1440" w:left="1800" w:header="851" w:footer="992" w:gutter="0"/>
          <w:pgNumType w:start="1"/>
          <w:cols w:space="425" w:num="1"/>
          <w:titlePg/>
          <w:docGrid w:type="lines" w:linePitch="312" w:charSpace="0"/>
        </w:sectPr>
      </w:pPr>
    </w:p>
    <w:p w14:paraId="1C273849">
      <w:pPr>
        <w:pStyle w:val="2"/>
        <w:jc w:val="center"/>
        <w:rPr>
          <w:rFonts w:ascii="黑体" w:eastAsia="黑体"/>
          <w:sz w:val="32"/>
          <w:szCs w:val="32"/>
        </w:rPr>
      </w:pPr>
      <w:bookmarkStart w:id="9" w:name="_Toc3495"/>
      <w:r>
        <w:rPr>
          <w:rFonts w:hint="eastAsia" w:ascii="黑体" w:hAnsi="黑体" w:eastAsia="黑体"/>
          <w:b w:val="0"/>
        </w:rPr>
        <w:t xml:space="preserve">第一部分 </w:t>
      </w:r>
      <w:r>
        <w:rPr>
          <w:rStyle w:val="29"/>
          <w:rFonts w:hint="eastAsia" w:ascii="黑体" w:hAnsi="黑体" w:eastAsia="黑体"/>
          <w:b w:val="0"/>
          <w:bCs w:val="0"/>
        </w:rPr>
        <w:t>部门概况</w:t>
      </w:r>
      <w:bookmarkEnd w:id="7"/>
      <w:bookmarkEnd w:id="8"/>
      <w:bookmarkEnd w:id="9"/>
    </w:p>
    <w:p w14:paraId="0B1A00CA">
      <w:pPr>
        <w:pStyle w:val="3"/>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b w:val="0"/>
        </w:rPr>
      </w:pPr>
      <w:bookmarkStart w:id="10" w:name="_Toc15396600"/>
      <w:bookmarkStart w:id="11" w:name="_Toc15377197"/>
      <w:bookmarkStart w:id="12" w:name="_Toc24897"/>
      <w:r>
        <w:rPr>
          <w:rFonts w:hint="eastAsia" w:ascii="黑体" w:hAnsi="黑体" w:eastAsia="黑体"/>
          <w:b w:val="0"/>
        </w:rPr>
        <w:t>一、</w:t>
      </w:r>
      <w:bookmarkEnd w:id="10"/>
      <w:bookmarkEnd w:id="11"/>
      <w:r>
        <w:rPr>
          <w:rFonts w:hint="eastAsia" w:ascii="黑体" w:hAnsi="黑体" w:eastAsia="黑体"/>
          <w:b w:val="0"/>
        </w:rPr>
        <w:t>部门职责</w:t>
      </w:r>
      <w:bookmarkEnd w:id="12"/>
    </w:p>
    <w:p w14:paraId="60BE4A4A">
      <w:pPr>
        <w:spacing w:line="600" w:lineRule="exact"/>
        <w:ind w:firstLine="643" w:firstLineChars="200"/>
        <w:outlineLvl w:val="2"/>
        <w:rPr>
          <w:rFonts w:hint="eastAsia" w:ascii="Times New Roman" w:hAnsi="Times New Roman" w:eastAsia="方正楷体_GBK" w:cs="Times New Roman"/>
          <w:b/>
          <w:sz w:val="32"/>
          <w:szCs w:val="32"/>
        </w:rPr>
      </w:pPr>
      <w:bookmarkStart w:id="13" w:name="_Toc27440"/>
      <w:bookmarkStart w:id="14" w:name="_Toc19592"/>
      <w:bookmarkStart w:id="15" w:name="_Toc79163603"/>
      <w:bookmarkStart w:id="16" w:name="_Toc15377198"/>
      <w:bookmarkStart w:id="17" w:name="_Toc15378445"/>
      <w:r>
        <w:rPr>
          <w:rFonts w:hint="eastAsia" w:ascii="Times New Roman" w:hAnsi="Times New Roman" w:eastAsia="方正楷体_GBK" w:cs="Times New Roman"/>
          <w:b/>
          <w:sz w:val="32"/>
          <w:szCs w:val="32"/>
        </w:rPr>
        <w:t>（一）主要职能</w:t>
      </w:r>
      <w:bookmarkEnd w:id="13"/>
      <w:bookmarkEnd w:id="14"/>
      <w:bookmarkEnd w:id="15"/>
    </w:p>
    <w:bookmarkEnd w:id="16"/>
    <w:bookmarkEnd w:id="17"/>
    <w:p w14:paraId="1EC5385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1.</w:t>
      </w:r>
      <w:r>
        <w:rPr>
          <w:rFonts w:hint="default" w:ascii="Times New Roman" w:hAnsi="Times New Roman" w:eastAsia="方正仿宋_GBK" w:cs="Times New Roman"/>
          <w:sz w:val="32"/>
          <w:szCs w:val="32"/>
          <w:lang w:val="zh-CN"/>
        </w:rPr>
        <w:t>第一检察部</w:t>
      </w:r>
    </w:p>
    <w:p w14:paraId="59F0BA8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主要职责：负责刑事案件的审查逮捕、审查起诉、出庭支持公诉、抗诉及相关案件的补充侦查。负责未成年人犯罪和侵害未成年人犯罪案件的审查逮捕、审查起诉、出庭支持公诉、抗诉及相关案件的补充侦查。开展未成年人司法保护和预防未成年人犯罪工作。</w:t>
      </w:r>
    </w:p>
    <w:p w14:paraId="26A42AC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2.</w:t>
      </w:r>
      <w:r>
        <w:rPr>
          <w:rFonts w:hint="default" w:ascii="Times New Roman" w:hAnsi="Times New Roman" w:eastAsia="方正仿宋_GBK" w:cs="Times New Roman"/>
          <w:sz w:val="32"/>
          <w:szCs w:val="32"/>
          <w:lang w:val="zh-CN"/>
        </w:rPr>
        <w:t>第二检察部</w:t>
      </w:r>
    </w:p>
    <w:p w14:paraId="6CCD524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主要职责：负责办理向县人民检察院申请监督的民事、行政案件的审查。承办对县人民法院民事诉讼活动的法律监督，对审判监督程序以外的其他民事、行政审判程序中审判人员的违法行为提出检察建议，对民事执行活动、行政案件判决裁定和非诉行政执行活动实行法律监督。开展民事支持起诉工作。</w:t>
      </w:r>
    </w:p>
    <w:p w14:paraId="2AFE620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3.</w:t>
      </w:r>
      <w:r>
        <w:rPr>
          <w:rFonts w:hint="default" w:ascii="Times New Roman" w:hAnsi="Times New Roman" w:eastAsia="方正仿宋_GBK" w:cs="Times New Roman"/>
          <w:sz w:val="32"/>
          <w:szCs w:val="32"/>
          <w:lang w:val="zh-CN"/>
        </w:rPr>
        <w:t>第三检察部</w:t>
      </w:r>
    </w:p>
    <w:p w14:paraId="306762F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主要职责：负责对看守所和社区矫正机构等执法活动的监督，对刑事判决、裁定执行、强制医疗执行、羁押和办案期限的监督。负责受理向县人民检察院的刑事申诉控告，承办县人民检察院管辖的刑事案件方面的国家赔偿案件和国家司法救助案件等。</w:t>
      </w:r>
    </w:p>
    <w:p w14:paraId="0548BA0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4.</w:t>
      </w:r>
      <w:r>
        <w:rPr>
          <w:rFonts w:hint="default" w:ascii="Times New Roman" w:hAnsi="Times New Roman" w:eastAsia="方正仿宋_GBK" w:cs="Times New Roman"/>
          <w:sz w:val="32"/>
          <w:szCs w:val="32"/>
          <w:lang w:val="zh-CN"/>
        </w:rPr>
        <w:t>办公室</w:t>
      </w:r>
    </w:p>
    <w:p w14:paraId="20E034E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主要职责：负责机关文电、会务、机要、档案、保密等工作。协助院领导处理检察政务，组织协调院重要工作部署、重大决策的贯彻实施。编制支出规划和部门预决算。负责财务管理、国有资产管理、政府采购等工作。</w:t>
      </w:r>
    </w:p>
    <w:p w14:paraId="4933907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rPr>
        <w:t>5.</w:t>
      </w:r>
      <w:r>
        <w:rPr>
          <w:rFonts w:hint="default" w:ascii="Times New Roman" w:hAnsi="Times New Roman" w:eastAsia="方正仿宋_GBK" w:cs="Times New Roman"/>
          <w:sz w:val="32"/>
          <w:szCs w:val="32"/>
          <w:lang w:val="zh-CN"/>
        </w:rPr>
        <w:t>政治部</w:t>
      </w:r>
    </w:p>
    <w:p w14:paraId="6B69D10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lang w:val="zh-CN"/>
        </w:rPr>
      </w:pPr>
      <w:r>
        <w:rPr>
          <w:rFonts w:hint="default" w:ascii="Times New Roman" w:hAnsi="Times New Roman" w:eastAsia="方正仿宋_GBK" w:cs="Times New Roman"/>
          <w:sz w:val="32"/>
          <w:szCs w:val="32"/>
          <w:lang w:val="zh-CN"/>
        </w:rPr>
        <w:t>主要职责：负责本院思想政治工作和队伍建设。负责院机关干部政治学习、机关党建、人事、工资、教育培训、纪检监察、争先创优，负责司法体制改革综合协调相关工作，负责机关人事制度改革、检察人员分类、管理；负责争优创先活动，承办表彰奖励工作；负责学历教育和岗位培训工作及有关考务工作。</w:t>
      </w:r>
    </w:p>
    <w:p w14:paraId="2E3DD9B1">
      <w:pPr>
        <w:pStyle w:val="3"/>
        <w:keepNext/>
        <w:keepLines/>
        <w:pageBreakBefore w:val="0"/>
        <w:widowControl w:val="0"/>
        <w:kinsoku/>
        <w:wordWrap/>
        <w:overflowPunct/>
        <w:topLinePunct w:val="0"/>
        <w:autoSpaceDE/>
        <w:autoSpaceDN/>
        <w:bidi w:val="0"/>
        <w:adjustRightInd/>
        <w:snapToGrid/>
        <w:spacing w:before="0" w:after="0" w:line="576" w:lineRule="exact"/>
        <w:ind w:firstLine="640" w:firstLineChars="200"/>
        <w:textAlignment w:val="auto"/>
        <w:rPr>
          <w:rFonts w:hint="eastAsia" w:ascii="黑体" w:hAnsi="黑体" w:eastAsia="黑体"/>
          <w:b w:val="0"/>
        </w:rPr>
      </w:pPr>
      <w:bookmarkStart w:id="18" w:name="_Toc15396601"/>
      <w:bookmarkStart w:id="19" w:name="_Toc15377200"/>
      <w:bookmarkStart w:id="20" w:name="_Toc11848"/>
      <w:r>
        <w:rPr>
          <w:rFonts w:hint="eastAsia" w:ascii="黑体" w:hAnsi="黑体" w:eastAsia="黑体"/>
          <w:b w:val="0"/>
        </w:rPr>
        <w:t>二、机构设置</w:t>
      </w:r>
      <w:bookmarkEnd w:id="18"/>
      <w:bookmarkEnd w:id="19"/>
      <w:bookmarkEnd w:id="20"/>
    </w:p>
    <w:p w14:paraId="49EC6FA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四川省阿坝州理县人民检察院属行政单位，无下属二级预算单位。</w:t>
      </w:r>
    </w:p>
    <w:p w14:paraId="61432A3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p>
    <w:p w14:paraId="00003A5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p>
    <w:p w14:paraId="3731948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p>
    <w:p w14:paraId="112654F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p>
    <w:p w14:paraId="5BC18FD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p>
    <w:p w14:paraId="37CF98B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p>
    <w:p w14:paraId="4FC5FAA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p>
    <w:p w14:paraId="74286A1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p>
    <w:p w14:paraId="1B250806">
      <w:pPr>
        <w:pStyle w:val="2"/>
        <w:ind w:right="440"/>
        <w:jc w:val="center"/>
        <w:rPr>
          <w:rStyle w:val="29"/>
          <w:rFonts w:ascii="黑体" w:hAnsi="黑体" w:eastAsia="黑体"/>
          <w:b w:val="0"/>
          <w:bCs/>
        </w:rPr>
      </w:pPr>
      <w:bookmarkStart w:id="21" w:name="_Toc15377204"/>
      <w:bookmarkStart w:id="22" w:name="_Toc15396602"/>
      <w:bookmarkStart w:id="23" w:name="_Toc16221"/>
      <w:r>
        <w:rPr>
          <w:rFonts w:hint="eastAsia" w:ascii="黑体" w:hAnsi="黑体" w:eastAsia="黑体"/>
          <w:b w:val="0"/>
        </w:rPr>
        <w:t>第二部分 202</w:t>
      </w:r>
      <w:r>
        <w:rPr>
          <w:rFonts w:hint="eastAsia" w:ascii="黑体" w:hAnsi="黑体" w:eastAsia="黑体"/>
          <w:b w:val="0"/>
          <w:lang w:val="en-US" w:eastAsia="zh-CN"/>
        </w:rPr>
        <w:t>5</w:t>
      </w:r>
      <w:r>
        <w:rPr>
          <w:rFonts w:hint="eastAsia" w:ascii="黑体" w:hAnsi="黑体" w:eastAsia="黑体"/>
          <w:b w:val="0"/>
        </w:rPr>
        <w:t>年度</w:t>
      </w:r>
      <w:r>
        <w:rPr>
          <w:rStyle w:val="29"/>
          <w:rFonts w:hint="eastAsia" w:ascii="黑体" w:hAnsi="黑体" w:eastAsia="黑体"/>
          <w:b w:val="0"/>
          <w:bCs/>
        </w:rPr>
        <w:t>部门决算情况说明</w:t>
      </w:r>
      <w:bookmarkEnd w:id="21"/>
      <w:bookmarkEnd w:id="22"/>
      <w:bookmarkEnd w:id="23"/>
    </w:p>
    <w:p w14:paraId="3D817E07"/>
    <w:p w14:paraId="580B8315">
      <w:pPr>
        <w:pStyle w:val="28"/>
        <w:numPr>
          <w:ilvl w:val="0"/>
          <w:numId w:val="1"/>
        </w:numPr>
        <w:spacing w:line="600" w:lineRule="exact"/>
        <w:ind w:firstLineChars="0"/>
        <w:outlineLvl w:val="1"/>
        <w:rPr>
          <w:rStyle w:val="30"/>
          <w:rFonts w:ascii="黑体" w:hAnsi="黑体" w:eastAsia="黑体"/>
          <w:b w:val="0"/>
        </w:rPr>
      </w:pPr>
      <w:bookmarkStart w:id="24" w:name="_Toc21020"/>
      <w:bookmarkStart w:id="25" w:name="_Toc15396603"/>
      <w:bookmarkStart w:id="26" w:name="_Toc15377205"/>
      <w:r>
        <w:rPr>
          <w:rFonts w:hint="eastAsia" w:ascii="黑体" w:hAnsi="黑体" w:eastAsia="黑体"/>
          <w:sz w:val="32"/>
          <w:szCs w:val="32"/>
        </w:rPr>
        <w:t>收</w:t>
      </w:r>
      <w:r>
        <w:rPr>
          <w:rStyle w:val="30"/>
          <w:rFonts w:hint="eastAsia" w:ascii="黑体" w:hAnsi="黑体" w:eastAsia="黑体"/>
          <w:b w:val="0"/>
        </w:rPr>
        <w:t>入支出决算总体情况说明</w:t>
      </w:r>
      <w:bookmarkEnd w:id="24"/>
      <w:bookmarkEnd w:id="25"/>
      <w:bookmarkEnd w:id="26"/>
    </w:p>
    <w:p w14:paraId="2358644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hint="default" w:ascii="Times New Roman" w:hAnsi="Times New Roman" w:eastAsia="方正仿宋_GBK" w:cs="Times New Roman"/>
          <w:sz w:val="32"/>
          <w:szCs w:val="32"/>
        </w:rPr>
        <w:t>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年度</w:t>
      </w:r>
      <w:r>
        <w:rPr>
          <w:rFonts w:hint="eastAsia" w:eastAsia="方正仿宋_GBK" w:cs="Times New Roman"/>
          <w:sz w:val="32"/>
          <w:szCs w:val="32"/>
          <w:lang w:val="en-US" w:eastAsia="zh-CN"/>
        </w:rPr>
        <w:t>收入总计为964.55万元</w:t>
      </w:r>
      <w:r>
        <w:rPr>
          <w:rFonts w:hint="default" w:ascii="Times New Roman" w:hAnsi="Times New Roman" w:eastAsia="方正仿宋_GBK" w:cs="Times New Roman"/>
          <w:sz w:val="32"/>
          <w:szCs w:val="32"/>
        </w:rPr>
        <w:t>、</w:t>
      </w:r>
      <w:r>
        <w:rPr>
          <w:rFonts w:hint="eastAsia" w:eastAsia="方正仿宋_GBK" w:cs="Times New Roman"/>
          <w:sz w:val="32"/>
          <w:szCs w:val="32"/>
          <w:lang w:val="en-US" w:eastAsia="zh-CN"/>
        </w:rPr>
        <w:t>支出</w:t>
      </w:r>
      <w:r>
        <w:rPr>
          <w:rFonts w:hint="default" w:ascii="Times New Roman" w:hAnsi="Times New Roman" w:eastAsia="方正仿宋_GBK" w:cs="Times New Roman"/>
          <w:sz w:val="32"/>
          <w:szCs w:val="32"/>
        </w:rPr>
        <w:t>总计为</w:t>
      </w:r>
      <w:r>
        <w:rPr>
          <w:rFonts w:hint="eastAsia" w:eastAsia="方正仿宋_GBK" w:cs="Times New Roman"/>
          <w:sz w:val="32"/>
          <w:szCs w:val="32"/>
          <w:lang w:val="en-US" w:eastAsia="zh-CN"/>
        </w:rPr>
        <w:t>945.02</w:t>
      </w:r>
      <w:r>
        <w:rPr>
          <w:rFonts w:hint="default" w:ascii="Times New Roman" w:hAnsi="Times New Roman" w:eastAsia="方正仿宋_GBK" w:cs="Times New Roman"/>
          <w:sz w:val="32"/>
          <w:szCs w:val="32"/>
        </w:rPr>
        <w:t>万元。与上年度相比，</w:t>
      </w:r>
      <w:r>
        <w:rPr>
          <w:rFonts w:hint="eastAsia" w:eastAsia="方正仿宋_GBK" w:cs="Times New Roman"/>
          <w:sz w:val="32"/>
          <w:szCs w:val="32"/>
          <w:lang w:val="en-US" w:eastAsia="zh-CN"/>
        </w:rPr>
        <w:t>收入</w:t>
      </w:r>
      <w:r>
        <w:rPr>
          <w:rFonts w:hint="default" w:ascii="Times New Roman" w:hAnsi="Times New Roman" w:eastAsia="方正仿宋_GBK" w:cs="Times New Roman"/>
          <w:sz w:val="32"/>
          <w:szCs w:val="32"/>
        </w:rPr>
        <w:t>总计</w:t>
      </w:r>
      <w:r>
        <w:rPr>
          <w:rFonts w:hint="eastAsia" w:eastAsia="方正仿宋_GBK" w:cs="Times New Roman"/>
          <w:sz w:val="32"/>
          <w:szCs w:val="32"/>
          <w:lang w:val="en-US" w:eastAsia="zh-CN"/>
        </w:rPr>
        <w:t>减少11.12</w:t>
      </w:r>
      <w:r>
        <w:rPr>
          <w:rFonts w:hint="default" w:ascii="Times New Roman" w:hAnsi="Times New Roman" w:eastAsia="方正仿宋_GBK" w:cs="Times New Roman"/>
          <w:sz w:val="32"/>
          <w:szCs w:val="32"/>
        </w:rPr>
        <w:t>万元，</w:t>
      </w:r>
      <w:r>
        <w:rPr>
          <w:rFonts w:hint="eastAsia" w:eastAsia="方正仿宋_GBK" w:cs="Times New Roman"/>
          <w:sz w:val="32"/>
          <w:szCs w:val="32"/>
          <w:lang w:val="en-US" w:eastAsia="zh-CN"/>
        </w:rPr>
        <w:t>下降1.14</w:t>
      </w:r>
      <w:r>
        <w:rPr>
          <w:rFonts w:hint="default" w:ascii="Times New Roman" w:hAnsi="Times New Roman" w:eastAsia="方正仿宋_GBK" w:cs="Times New Roman"/>
          <w:sz w:val="32"/>
          <w:szCs w:val="32"/>
        </w:rPr>
        <w:t>%</w:t>
      </w:r>
      <w:r>
        <w:rPr>
          <w:rFonts w:hint="eastAsia" w:eastAsia="方正仿宋_GBK" w:cs="Times New Roman"/>
          <w:sz w:val="32"/>
          <w:szCs w:val="32"/>
          <w:lang w:eastAsia="zh-CN"/>
        </w:rPr>
        <w:t>；</w:t>
      </w:r>
      <w:r>
        <w:rPr>
          <w:rFonts w:hint="eastAsia" w:eastAsia="方正仿宋_GBK" w:cs="Times New Roman"/>
          <w:sz w:val="32"/>
          <w:szCs w:val="32"/>
          <w:lang w:val="en-US" w:eastAsia="zh-CN"/>
        </w:rPr>
        <w:t>支出</w:t>
      </w:r>
      <w:r>
        <w:rPr>
          <w:rFonts w:hint="default" w:ascii="Times New Roman" w:hAnsi="Times New Roman" w:eastAsia="方正仿宋_GBK" w:cs="Times New Roman"/>
          <w:sz w:val="32"/>
          <w:szCs w:val="32"/>
        </w:rPr>
        <w:t>总计</w:t>
      </w:r>
      <w:r>
        <w:rPr>
          <w:rFonts w:hint="eastAsia" w:eastAsia="方正仿宋_GBK" w:cs="Times New Roman"/>
          <w:sz w:val="32"/>
          <w:szCs w:val="32"/>
          <w:lang w:val="en-US" w:eastAsia="zh-CN"/>
        </w:rPr>
        <w:t>减少15.67</w:t>
      </w:r>
      <w:r>
        <w:rPr>
          <w:rFonts w:hint="default" w:ascii="Times New Roman" w:hAnsi="Times New Roman" w:eastAsia="方正仿宋_GBK" w:cs="Times New Roman"/>
          <w:sz w:val="32"/>
          <w:szCs w:val="32"/>
        </w:rPr>
        <w:t>万元，</w:t>
      </w:r>
      <w:r>
        <w:rPr>
          <w:rFonts w:hint="eastAsia" w:eastAsia="方正仿宋_GBK" w:cs="Times New Roman"/>
          <w:sz w:val="32"/>
          <w:szCs w:val="32"/>
          <w:lang w:val="en-US" w:eastAsia="zh-CN"/>
        </w:rPr>
        <w:t>下降1.63</w:t>
      </w:r>
      <w:r>
        <w:rPr>
          <w:rFonts w:hint="default" w:ascii="Times New Roman" w:hAnsi="Times New Roman" w:eastAsia="方正仿宋_GBK" w:cs="Times New Roman"/>
          <w:sz w:val="32"/>
          <w:szCs w:val="32"/>
        </w:rPr>
        <w:t>%</w:t>
      </w:r>
      <w:r>
        <w:rPr>
          <w:rFonts w:hint="eastAsia" w:eastAsia="方正仿宋_GBK" w:cs="Times New Roman"/>
          <w:sz w:val="32"/>
          <w:szCs w:val="32"/>
          <w:lang w:eastAsia="zh-CN"/>
        </w:rPr>
        <w:t>。</w:t>
      </w:r>
      <w:r>
        <w:rPr>
          <w:rFonts w:hint="default" w:ascii="Times New Roman" w:hAnsi="Times New Roman" w:eastAsia="方正仿宋_GBK" w:cs="Times New Roman"/>
          <w:sz w:val="32"/>
          <w:szCs w:val="32"/>
        </w:rPr>
        <w:t>主要变动原因</w:t>
      </w:r>
      <w:r>
        <w:rPr>
          <w:rFonts w:hint="default" w:ascii="Times New Roman" w:hAnsi="Times New Roman" w:eastAsia="方正仿宋_GBK" w:cs="Times New Roman"/>
          <w:sz w:val="32"/>
          <w:szCs w:val="32"/>
          <w:lang w:val="en-US" w:eastAsia="zh-CN"/>
        </w:rPr>
        <w:t>是</w:t>
      </w:r>
      <w:r>
        <w:rPr>
          <w:rFonts w:hint="default" w:ascii="Times New Roman" w:hAnsi="Times New Roman" w:eastAsia="方正仿宋_GBK" w:cs="Times New Roman"/>
          <w:sz w:val="32"/>
          <w:szCs w:val="32"/>
        </w:rPr>
        <w:t>本年</w:t>
      </w:r>
      <w:r>
        <w:rPr>
          <w:rFonts w:hint="eastAsia" w:eastAsia="方正仿宋_GBK" w:cs="Times New Roman"/>
          <w:sz w:val="32"/>
          <w:szCs w:val="32"/>
          <w:lang w:val="en-US" w:eastAsia="zh-CN"/>
        </w:rPr>
        <w:t>采购</w:t>
      </w:r>
      <w:r>
        <w:rPr>
          <w:rFonts w:hint="default" w:ascii="Times New Roman" w:hAnsi="Times New Roman" w:eastAsia="方正仿宋_GBK" w:cs="Times New Roman"/>
          <w:sz w:val="32"/>
          <w:szCs w:val="32"/>
        </w:rPr>
        <w:t>项目支出较去年减少，</w:t>
      </w:r>
      <w:r>
        <w:rPr>
          <w:rFonts w:hint="eastAsia" w:eastAsia="方正仿宋_GBK" w:cs="Times New Roman"/>
          <w:sz w:val="32"/>
          <w:szCs w:val="32"/>
          <w:lang w:val="en-US" w:eastAsia="zh-CN"/>
        </w:rPr>
        <w:t>部分项目仍在进行中，需2026年完成支付</w:t>
      </w:r>
      <w:r>
        <w:rPr>
          <w:rFonts w:hint="default" w:ascii="Times New Roman" w:hAnsi="Times New Roman" w:eastAsia="方正仿宋_GBK" w:cs="Times New Roman"/>
          <w:sz w:val="32"/>
          <w:szCs w:val="32"/>
        </w:rPr>
        <w:t>。</w:t>
      </w:r>
    </w:p>
    <w:p w14:paraId="0017DA65">
      <w:pPr>
        <w:keepNext w:val="0"/>
        <w:keepLines w:val="0"/>
        <w:pageBreakBefore w:val="0"/>
        <w:widowControl w:val="0"/>
        <w:kinsoku/>
        <w:wordWrap/>
        <w:overflowPunct/>
        <w:topLinePunct w:val="0"/>
        <w:autoSpaceDE/>
        <w:autoSpaceDN/>
        <w:bidi w:val="0"/>
        <w:adjustRightInd/>
        <w:snapToGrid/>
        <w:spacing w:line="576" w:lineRule="exact"/>
        <w:ind w:firstLine="420" w:firstLineChars="200"/>
        <w:textAlignment w:val="auto"/>
        <w:rPr>
          <w:rFonts w:hint="eastAsia" w:ascii="Times New Roman" w:hAnsi="Times New Roman" w:eastAsia="方正仿宋_GBK" w:cs="Times New Roman"/>
          <w:sz w:val="32"/>
          <w:szCs w:val="32"/>
        </w:rPr>
      </w:pPr>
      <w:r>
        <w:drawing>
          <wp:anchor distT="0" distB="0" distL="114300" distR="114300" simplePos="0" relativeHeight="251659264" behindDoc="0" locked="0" layoutInCell="1" allowOverlap="1">
            <wp:simplePos x="0" y="0"/>
            <wp:positionH relativeFrom="column">
              <wp:posOffset>51435</wp:posOffset>
            </wp:positionH>
            <wp:positionV relativeFrom="paragraph">
              <wp:posOffset>55880</wp:posOffset>
            </wp:positionV>
            <wp:extent cx="5218430" cy="2900680"/>
            <wp:effectExtent l="4445" t="4445" r="9525" b="15875"/>
            <wp:wrapNone/>
            <wp:docPr id="1"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anchor>
        </w:drawing>
      </w:r>
    </w:p>
    <w:p w14:paraId="77C5CD9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p>
    <w:p w14:paraId="62421B2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p>
    <w:p w14:paraId="76EDF7C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p>
    <w:p w14:paraId="7BD2B6C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p>
    <w:p w14:paraId="79836B04">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eastAsia="方正仿宋_GBK" w:cs="Times New Roman"/>
          <w:sz w:val="32"/>
          <w:szCs w:val="32"/>
        </w:rPr>
      </w:pPr>
    </w:p>
    <w:p w14:paraId="4CBAA6C6">
      <w:pPr>
        <w:pStyle w:val="13"/>
        <w:rPr>
          <w:rFonts w:hint="eastAsia" w:ascii="Times New Roman" w:hAnsi="Times New Roman" w:eastAsia="方正仿宋_GBK" w:cs="Times New Roman"/>
          <w:sz w:val="32"/>
          <w:szCs w:val="32"/>
        </w:rPr>
      </w:pPr>
    </w:p>
    <w:p w14:paraId="704C73F1">
      <w:pPr>
        <w:pStyle w:val="7"/>
        <w:ind w:left="0" w:leftChars="0" w:firstLine="0" w:firstLineChars="0"/>
        <w:rPr>
          <w:rFonts w:hint="eastAsia" w:ascii="Times New Roman" w:hAnsi="Times New Roman" w:eastAsia="方正仿宋_GBK" w:cs="Times New Roman"/>
          <w:sz w:val="32"/>
          <w:szCs w:val="32"/>
        </w:rPr>
      </w:pPr>
    </w:p>
    <w:p w14:paraId="3C0B916B">
      <w:pPr>
        <w:spacing w:line="600" w:lineRule="exact"/>
        <w:jc w:val="center"/>
        <w:rPr>
          <w:rFonts w:ascii="仿宋_GB2312" w:eastAsia="仿宋_GB2312"/>
          <w:sz w:val="32"/>
          <w:szCs w:val="32"/>
        </w:rPr>
      </w:pPr>
      <w:r>
        <w:rPr>
          <w:rFonts w:hint="eastAsia" w:ascii="仿宋" w:hAnsi="仿宋" w:eastAsia="仿宋"/>
          <w:sz w:val="32"/>
          <w:szCs w:val="32"/>
        </w:rPr>
        <w:t>图</w:t>
      </w:r>
      <w:r>
        <w:rPr>
          <w:rFonts w:ascii="仿宋" w:hAnsi="仿宋" w:eastAsia="仿宋"/>
          <w:sz w:val="32"/>
          <w:szCs w:val="32"/>
        </w:rPr>
        <w:t>1</w:t>
      </w:r>
      <w:r>
        <w:rPr>
          <w:rFonts w:hint="eastAsia" w:ascii="仿宋" w:hAnsi="仿宋" w:eastAsia="仿宋"/>
          <w:sz w:val="32"/>
          <w:szCs w:val="32"/>
        </w:rPr>
        <w:t>：收、支决算总计变动情况图</w:t>
      </w:r>
    </w:p>
    <w:p w14:paraId="439252E1">
      <w:pPr>
        <w:pStyle w:val="28"/>
        <w:numPr>
          <w:ilvl w:val="0"/>
          <w:numId w:val="1"/>
        </w:numPr>
        <w:spacing w:line="600" w:lineRule="exact"/>
        <w:ind w:firstLineChars="0"/>
        <w:outlineLvl w:val="1"/>
        <w:rPr>
          <w:rStyle w:val="30"/>
          <w:rFonts w:ascii="黑体" w:hAnsi="黑体" w:eastAsia="黑体"/>
          <w:b w:val="0"/>
        </w:rPr>
      </w:pPr>
      <w:bookmarkStart w:id="27" w:name="_Toc13014"/>
      <w:bookmarkStart w:id="28" w:name="_Toc15396604"/>
      <w:bookmarkStart w:id="29" w:name="_Toc15377206"/>
      <w:r>
        <w:rPr>
          <w:rFonts w:hint="eastAsia" w:ascii="黑体" w:hAnsi="黑体" w:eastAsia="黑体"/>
          <w:sz w:val="32"/>
          <w:szCs w:val="32"/>
        </w:rPr>
        <w:t>收</w:t>
      </w:r>
      <w:r>
        <w:rPr>
          <w:rStyle w:val="30"/>
          <w:rFonts w:hint="eastAsia" w:ascii="黑体" w:hAnsi="黑体" w:eastAsia="黑体"/>
          <w:b w:val="0"/>
        </w:rPr>
        <w:t>入决算情况说明</w:t>
      </w:r>
      <w:bookmarkEnd w:id="27"/>
      <w:bookmarkEnd w:id="28"/>
      <w:bookmarkEnd w:id="29"/>
    </w:p>
    <w:p w14:paraId="29C0B46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eastAsia" w:ascii="Times New Roman" w:hAnsi="Times New Roman" w:eastAsia="方正仿宋_GBK" w:cs="Times New Roman"/>
          <w:sz w:val="32"/>
          <w:szCs w:val="32"/>
        </w:rPr>
        <w:t>年度本年收入合计</w:t>
      </w:r>
      <w:r>
        <w:rPr>
          <w:rFonts w:hint="eastAsia" w:eastAsia="方正仿宋_GBK" w:cs="Times New Roman"/>
          <w:sz w:val="32"/>
          <w:szCs w:val="32"/>
          <w:lang w:val="en-US" w:eastAsia="zh-CN"/>
        </w:rPr>
        <w:t>964.55</w:t>
      </w:r>
      <w:r>
        <w:rPr>
          <w:rFonts w:hint="eastAsia" w:ascii="Times New Roman" w:hAnsi="Times New Roman" w:eastAsia="方正仿宋_GBK" w:cs="Times New Roman"/>
          <w:sz w:val="32"/>
          <w:szCs w:val="32"/>
        </w:rPr>
        <w:t>万元，其中：一般公共预算财政拨款收入</w:t>
      </w:r>
      <w:r>
        <w:rPr>
          <w:rFonts w:hint="eastAsia" w:eastAsia="方正仿宋_GBK" w:cs="Times New Roman"/>
          <w:sz w:val="32"/>
          <w:szCs w:val="32"/>
          <w:lang w:val="en-US" w:eastAsia="zh-CN"/>
        </w:rPr>
        <w:t>826.28</w:t>
      </w:r>
      <w:r>
        <w:rPr>
          <w:rFonts w:hint="eastAsia" w:ascii="Times New Roman" w:hAnsi="Times New Roman" w:eastAsia="方正仿宋_GBK" w:cs="Times New Roman"/>
          <w:sz w:val="32"/>
          <w:szCs w:val="32"/>
        </w:rPr>
        <w:t>万元，占</w:t>
      </w:r>
      <w:r>
        <w:rPr>
          <w:rFonts w:hint="eastAsia" w:eastAsia="方正仿宋_GBK" w:cs="Times New Roman"/>
          <w:sz w:val="32"/>
          <w:szCs w:val="32"/>
          <w:lang w:val="en-US" w:eastAsia="zh-CN"/>
        </w:rPr>
        <w:t>84.7</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；其他收入</w:t>
      </w:r>
      <w:r>
        <w:rPr>
          <w:rFonts w:hint="eastAsia" w:eastAsia="方正仿宋_GBK" w:cs="Times New Roman"/>
          <w:sz w:val="32"/>
          <w:szCs w:val="32"/>
          <w:lang w:val="en-US" w:eastAsia="zh-CN"/>
        </w:rPr>
        <w:t>149.39</w:t>
      </w:r>
      <w:r>
        <w:rPr>
          <w:rFonts w:hint="eastAsia" w:ascii="Times New Roman" w:hAnsi="Times New Roman" w:eastAsia="方正仿宋_GBK" w:cs="Times New Roman"/>
          <w:sz w:val="32"/>
          <w:szCs w:val="32"/>
        </w:rPr>
        <w:t>万元，占</w:t>
      </w:r>
      <w:r>
        <w:rPr>
          <w:rFonts w:hint="eastAsia" w:eastAsia="方正仿宋_GBK" w:cs="Times New Roman"/>
          <w:sz w:val="32"/>
          <w:szCs w:val="32"/>
          <w:lang w:val="en-US" w:eastAsia="zh-CN"/>
        </w:rPr>
        <w:t>15.3</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w:t>
      </w:r>
    </w:p>
    <w:p w14:paraId="389FDC01">
      <w:pPr>
        <w:pStyle w:val="13"/>
        <w:rPr>
          <w:rFonts w:hint="eastAsia" w:ascii="Times New Roman" w:hAnsi="Times New Roman" w:eastAsia="方正仿宋_GBK" w:cs="Times New Roman"/>
          <w:sz w:val="32"/>
          <w:szCs w:val="32"/>
        </w:rPr>
      </w:pPr>
    </w:p>
    <w:p w14:paraId="18972E33">
      <w:pPr>
        <w:pStyle w:val="7"/>
        <w:rPr>
          <w:rFonts w:hint="eastAsia" w:ascii="Times New Roman" w:hAnsi="Times New Roman" w:eastAsia="方正仿宋_GBK" w:cs="Times New Roman"/>
          <w:sz w:val="32"/>
          <w:szCs w:val="32"/>
        </w:rPr>
      </w:pPr>
    </w:p>
    <w:p w14:paraId="47805AB4">
      <w:pPr>
        <w:pStyle w:val="7"/>
        <w:rPr>
          <w:rFonts w:hint="eastAsia" w:ascii="Times New Roman" w:hAnsi="Times New Roman" w:eastAsia="方正仿宋_GBK" w:cs="Times New Roman"/>
          <w:sz w:val="32"/>
          <w:szCs w:val="32"/>
        </w:rPr>
      </w:pPr>
      <w:r>
        <w:drawing>
          <wp:anchor distT="0" distB="0" distL="114300" distR="114300" simplePos="0" relativeHeight="251660288" behindDoc="0" locked="0" layoutInCell="1" allowOverlap="1">
            <wp:simplePos x="0" y="0"/>
            <wp:positionH relativeFrom="column">
              <wp:posOffset>64770</wp:posOffset>
            </wp:positionH>
            <wp:positionV relativeFrom="paragraph">
              <wp:posOffset>195580</wp:posOffset>
            </wp:positionV>
            <wp:extent cx="5208905" cy="2762885"/>
            <wp:effectExtent l="4445" t="4445" r="6350" b="13970"/>
            <wp:wrapNone/>
            <wp:docPr id="10242"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anchor>
        </w:drawing>
      </w:r>
    </w:p>
    <w:p w14:paraId="44A250BF">
      <w:pPr>
        <w:spacing w:line="600" w:lineRule="exact"/>
        <w:jc w:val="center"/>
        <w:rPr>
          <w:rFonts w:hint="eastAsia" w:ascii="仿宋" w:hAnsi="仿宋" w:eastAsia="仿宋"/>
          <w:sz w:val="32"/>
          <w:szCs w:val="32"/>
        </w:rPr>
      </w:pPr>
    </w:p>
    <w:p w14:paraId="5BC84C41">
      <w:pPr>
        <w:spacing w:line="600" w:lineRule="exact"/>
        <w:jc w:val="center"/>
        <w:rPr>
          <w:rFonts w:hint="eastAsia" w:ascii="仿宋" w:hAnsi="仿宋" w:eastAsia="仿宋"/>
          <w:sz w:val="32"/>
          <w:szCs w:val="32"/>
        </w:rPr>
      </w:pPr>
    </w:p>
    <w:p w14:paraId="512B8F36">
      <w:pPr>
        <w:spacing w:line="600" w:lineRule="exact"/>
        <w:jc w:val="center"/>
        <w:rPr>
          <w:rFonts w:hint="eastAsia" w:ascii="仿宋" w:hAnsi="仿宋" w:eastAsia="仿宋"/>
          <w:sz w:val="32"/>
          <w:szCs w:val="32"/>
        </w:rPr>
      </w:pPr>
    </w:p>
    <w:p w14:paraId="4920DB74">
      <w:pPr>
        <w:spacing w:line="600" w:lineRule="exact"/>
        <w:jc w:val="center"/>
        <w:rPr>
          <w:rFonts w:hint="eastAsia" w:ascii="仿宋" w:hAnsi="仿宋" w:eastAsia="仿宋"/>
          <w:sz w:val="32"/>
          <w:szCs w:val="32"/>
        </w:rPr>
      </w:pPr>
    </w:p>
    <w:p w14:paraId="4FA91698">
      <w:pPr>
        <w:pStyle w:val="13"/>
        <w:rPr>
          <w:rFonts w:hint="eastAsia"/>
        </w:rPr>
      </w:pPr>
    </w:p>
    <w:p w14:paraId="4020F19F">
      <w:pPr>
        <w:spacing w:line="600" w:lineRule="exact"/>
        <w:jc w:val="center"/>
        <w:rPr>
          <w:rFonts w:hint="eastAsia" w:ascii="仿宋" w:hAnsi="仿宋" w:eastAsia="仿宋"/>
          <w:sz w:val="32"/>
          <w:szCs w:val="32"/>
        </w:rPr>
      </w:pPr>
    </w:p>
    <w:p w14:paraId="02FA35C8">
      <w:pPr>
        <w:spacing w:line="600" w:lineRule="exact"/>
        <w:jc w:val="both"/>
        <w:rPr>
          <w:rFonts w:hint="eastAsia" w:ascii="仿宋" w:hAnsi="仿宋" w:eastAsia="仿宋"/>
          <w:sz w:val="32"/>
          <w:szCs w:val="32"/>
        </w:rPr>
      </w:pPr>
    </w:p>
    <w:p w14:paraId="235EFF78">
      <w:pPr>
        <w:spacing w:line="600" w:lineRule="exact"/>
        <w:jc w:val="center"/>
        <w:rPr>
          <w:rFonts w:ascii="仿宋_GB2312" w:eastAsia="仿宋_GB2312"/>
          <w:sz w:val="32"/>
          <w:szCs w:val="32"/>
        </w:rPr>
      </w:pPr>
      <w:r>
        <w:rPr>
          <w:rFonts w:hint="eastAsia" w:ascii="仿宋" w:hAnsi="仿宋" w:eastAsia="仿宋"/>
          <w:sz w:val="32"/>
          <w:szCs w:val="32"/>
        </w:rPr>
        <w:t>图2：收入决算结构图</w:t>
      </w:r>
    </w:p>
    <w:p w14:paraId="1594095F">
      <w:pPr>
        <w:pStyle w:val="28"/>
        <w:numPr>
          <w:ilvl w:val="0"/>
          <w:numId w:val="1"/>
        </w:numPr>
        <w:spacing w:line="600" w:lineRule="exact"/>
        <w:ind w:firstLineChars="0"/>
        <w:outlineLvl w:val="1"/>
        <w:rPr>
          <w:rStyle w:val="30"/>
          <w:rFonts w:ascii="黑体" w:hAnsi="黑体" w:eastAsia="黑体"/>
          <w:b w:val="0"/>
        </w:rPr>
      </w:pPr>
      <w:bookmarkStart w:id="30" w:name="_Toc17655"/>
      <w:bookmarkStart w:id="31" w:name="_Toc15396605"/>
      <w:bookmarkStart w:id="32" w:name="_Toc15377207"/>
      <w:r>
        <w:rPr>
          <w:rFonts w:hint="eastAsia" w:ascii="黑体" w:hAnsi="黑体" w:eastAsia="黑体"/>
          <w:sz w:val="32"/>
          <w:szCs w:val="32"/>
        </w:rPr>
        <w:t>支</w:t>
      </w:r>
      <w:r>
        <w:rPr>
          <w:rStyle w:val="30"/>
          <w:rFonts w:hint="eastAsia" w:ascii="黑体" w:hAnsi="黑体" w:eastAsia="黑体"/>
          <w:b w:val="0"/>
        </w:rPr>
        <w:t>出决算情况说明</w:t>
      </w:r>
      <w:bookmarkEnd w:id="30"/>
      <w:bookmarkEnd w:id="31"/>
      <w:bookmarkEnd w:id="32"/>
    </w:p>
    <w:p w14:paraId="3245EEE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eastAsia" w:ascii="Times New Roman" w:hAnsi="Times New Roman" w:eastAsia="方正仿宋_GBK" w:cs="Times New Roman"/>
          <w:sz w:val="32"/>
          <w:szCs w:val="32"/>
        </w:rPr>
        <w:t>年度本年支出合计</w:t>
      </w:r>
      <w:r>
        <w:rPr>
          <w:rFonts w:hint="eastAsia" w:eastAsia="方正仿宋_GBK" w:cs="Times New Roman"/>
          <w:sz w:val="32"/>
          <w:szCs w:val="32"/>
          <w:lang w:val="en-US" w:eastAsia="zh-CN"/>
        </w:rPr>
        <w:t>945.02</w:t>
      </w:r>
      <w:r>
        <w:rPr>
          <w:rFonts w:hint="eastAsia" w:ascii="Times New Roman" w:hAnsi="Times New Roman" w:eastAsia="方正仿宋_GBK" w:cs="Times New Roman"/>
          <w:sz w:val="32"/>
          <w:szCs w:val="32"/>
        </w:rPr>
        <w:t>万元，其中：基本支出</w:t>
      </w:r>
      <w:r>
        <w:rPr>
          <w:rFonts w:hint="eastAsia" w:eastAsia="方正仿宋_GBK" w:cs="Times New Roman"/>
          <w:sz w:val="32"/>
          <w:szCs w:val="32"/>
          <w:lang w:val="en-US" w:eastAsia="zh-CN"/>
        </w:rPr>
        <w:t>773.98</w:t>
      </w:r>
      <w:r>
        <w:rPr>
          <w:rFonts w:hint="eastAsia" w:ascii="Times New Roman" w:hAnsi="Times New Roman" w:eastAsia="方正仿宋_GBK" w:cs="Times New Roman"/>
          <w:sz w:val="32"/>
          <w:szCs w:val="32"/>
        </w:rPr>
        <w:t>万元，占</w:t>
      </w:r>
      <w:r>
        <w:rPr>
          <w:rFonts w:hint="eastAsia" w:eastAsia="方正仿宋_GBK" w:cs="Times New Roman"/>
          <w:sz w:val="32"/>
          <w:szCs w:val="32"/>
          <w:lang w:val="en-US" w:eastAsia="zh-CN"/>
        </w:rPr>
        <w:t>81.90</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；项目支出</w:t>
      </w:r>
      <w:r>
        <w:rPr>
          <w:rFonts w:hint="eastAsia" w:eastAsia="方正仿宋_GBK" w:cs="Times New Roman"/>
          <w:sz w:val="32"/>
          <w:szCs w:val="32"/>
          <w:lang w:val="en-US" w:eastAsia="zh-CN"/>
        </w:rPr>
        <w:t>171.04</w:t>
      </w:r>
      <w:r>
        <w:rPr>
          <w:rFonts w:hint="eastAsia" w:ascii="Times New Roman" w:hAnsi="Times New Roman" w:eastAsia="方正仿宋_GBK" w:cs="Times New Roman"/>
          <w:sz w:val="32"/>
          <w:szCs w:val="32"/>
        </w:rPr>
        <w:t>万元，占</w:t>
      </w:r>
      <w:r>
        <w:rPr>
          <w:rFonts w:hint="eastAsia" w:eastAsia="方正仿宋_GBK" w:cs="Times New Roman"/>
          <w:sz w:val="32"/>
          <w:szCs w:val="32"/>
          <w:lang w:val="en-US" w:eastAsia="zh-CN"/>
        </w:rPr>
        <w:t>18.10</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w:t>
      </w:r>
    </w:p>
    <w:p w14:paraId="3C4D3F44">
      <w:pPr>
        <w:keepNext w:val="0"/>
        <w:keepLines w:val="0"/>
        <w:pageBreakBefore w:val="0"/>
        <w:widowControl w:val="0"/>
        <w:kinsoku/>
        <w:wordWrap/>
        <w:overflowPunct/>
        <w:topLinePunct w:val="0"/>
        <w:autoSpaceDE/>
        <w:autoSpaceDN/>
        <w:bidi w:val="0"/>
        <w:adjustRightInd/>
        <w:snapToGrid/>
        <w:spacing w:line="576" w:lineRule="exact"/>
        <w:ind w:firstLine="420" w:firstLineChars="200"/>
        <w:textAlignment w:val="auto"/>
        <w:rPr>
          <w:rFonts w:hint="eastAsia" w:ascii="Times New Roman" w:hAnsi="Times New Roman" w:eastAsia="方正仿宋_GBK" w:cs="Times New Roman"/>
          <w:sz w:val="32"/>
          <w:szCs w:val="32"/>
        </w:rPr>
      </w:pPr>
      <w:r>
        <w:drawing>
          <wp:anchor distT="0" distB="0" distL="114300" distR="114300" simplePos="0" relativeHeight="251661312" behindDoc="0" locked="0" layoutInCell="1" allowOverlap="1">
            <wp:simplePos x="0" y="0"/>
            <wp:positionH relativeFrom="column">
              <wp:posOffset>32385</wp:posOffset>
            </wp:positionH>
            <wp:positionV relativeFrom="paragraph">
              <wp:posOffset>43180</wp:posOffset>
            </wp:positionV>
            <wp:extent cx="5262245" cy="2943860"/>
            <wp:effectExtent l="4445" t="4445" r="16510" b="10795"/>
            <wp:wrapNone/>
            <wp:docPr id="4108"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anchor>
        </w:drawing>
      </w:r>
    </w:p>
    <w:p w14:paraId="752FC32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p>
    <w:p w14:paraId="5C7AFA9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p>
    <w:p w14:paraId="1174829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p>
    <w:p w14:paraId="612C90E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p>
    <w:p w14:paraId="63139EF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p>
    <w:p w14:paraId="4948CEE4">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eastAsia="方正仿宋_GBK" w:cs="Times New Roman"/>
          <w:sz w:val="32"/>
          <w:szCs w:val="32"/>
        </w:rPr>
      </w:pPr>
    </w:p>
    <w:p w14:paraId="2A7572F4">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eastAsia="方正仿宋_GBK" w:cs="Times New Roman"/>
          <w:sz w:val="32"/>
          <w:szCs w:val="32"/>
        </w:rPr>
      </w:pPr>
    </w:p>
    <w:p w14:paraId="629E534B">
      <w:pPr>
        <w:spacing w:line="600" w:lineRule="exact"/>
        <w:jc w:val="center"/>
        <w:rPr>
          <w:rFonts w:ascii="仿宋_GB2312" w:eastAsia="仿宋_GB2312"/>
          <w:sz w:val="32"/>
          <w:szCs w:val="32"/>
        </w:rPr>
      </w:pPr>
      <w:r>
        <w:rPr>
          <w:rFonts w:hint="eastAsia" w:ascii="仿宋" w:hAnsi="仿宋" w:eastAsia="仿宋"/>
          <w:sz w:val="32"/>
          <w:szCs w:val="32"/>
        </w:rPr>
        <w:t>图3：支出决算结构图</w:t>
      </w:r>
    </w:p>
    <w:p w14:paraId="7BFEBADB">
      <w:pPr>
        <w:spacing w:line="600" w:lineRule="exact"/>
        <w:ind w:firstLine="640" w:firstLineChars="200"/>
        <w:outlineLvl w:val="1"/>
        <w:rPr>
          <w:rStyle w:val="30"/>
          <w:rFonts w:ascii="黑体" w:hAnsi="黑体" w:eastAsia="黑体"/>
          <w:b w:val="0"/>
        </w:rPr>
      </w:pPr>
      <w:bookmarkStart w:id="33" w:name="_Toc15396606"/>
      <w:bookmarkStart w:id="34" w:name="_Toc13338"/>
      <w:bookmarkStart w:id="35" w:name="_Toc15377208"/>
      <w:r>
        <w:rPr>
          <w:rFonts w:hint="eastAsia" w:ascii="黑体" w:hAnsi="黑体" w:eastAsia="黑体"/>
          <w:sz w:val="32"/>
          <w:szCs w:val="32"/>
        </w:rPr>
        <w:t>四、财</w:t>
      </w:r>
      <w:r>
        <w:rPr>
          <w:rStyle w:val="30"/>
          <w:rFonts w:hint="eastAsia" w:ascii="黑体" w:hAnsi="黑体" w:eastAsia="黑体"/>
          <w:b w:val="0"/>
        </w:rPr>
        <w:t>政拨款收入支出决算总体情况说明</w:t>
      </w:r>
      <w:bookmarkEnd w:id="33"/>
      <w:bookmarkEnd w:id="34"/>
      <w:bookmarkEnd w:id="35"/>
    </w:p>
    <w:p w14:paraId="64D10BC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年度财政拨款收、支总计均为</w:t>
      </w:r>
      <w:r>
        <w:rPr>
          <w:rFonts w:hint="eastAsia" w:eastAsia="方正仿宋_GBK" w:cs="Times New Roman"/>
          <w:sz w:val="32"/>
          <w:szCs w:val="32"/>
          <w:lang w:val="en-US" w:eastAsia="zh-CN"/>
        </w:rPr>
        <w:t>716.66</w:t>
      </w:r>
      <w:r>
        <w:rPr>
          <w:rFonts w:hint="default" w:ascii="Times New Roman" w:hAnsi="Times New Roman" w:eastAsia="方正仿宋_GBK" w:cs="Times New Roman"/>
          <w:sz w:val="32"/>
          <w:szCs w:val="32"/>
        </w:rPr>
        <w:t>万元。与202</w:t>
      </w:r>
      <w:r>
        <w:rPr>
          <w:rFonts w:hint="eastAsia" w:eastAsia="方正仿宋_GBK" w:cs="Times New Roman"/>
          <w:sz w:val="32"/>
          <w:szCs w:val="32"/>
          <w:lang w:val="en-US" w:eastAsia="zh-CN"/>
        </w:rPr>
        <w:t>4</w:t>
      </w:r>
      <w:r>
        <w:rPr>
          <w:rFonts w:hint="default" w:ascii="Times New Roman" w:hAnsi="Times New Roman" w:eastAsia="方正仿宋_GBK" w:cs="Times New Roman"/>
          <w:sz w:val="32"/>
          <w:szCs w:val="32"/>
        </w:rPr>
        <w:t>年度</w:t>
      </w:r>
      <w:r>
        <w:rPr>
          <w:rFonts w:hint="eastAsia" w:eastAsia="方正仿宋_GBK" w:cs="Times New Roman"/>
          <w:sz w:val="32"/>
          <w:szCs w:val="32"/>
          <w:lang w:val="en-US" w:eastAsia="zh-CN"/>
        </w:rPr>
        <w:t>826.28万元</w:t>
      </w:r>
      <w:r>
        <w:rPr>
          <w:rFonts w:hint="default" w:ascii="Times New Roman" w:hAnsi="Times New Roman" w:eastAsia="方正仿宋_GBK" w:cs="Times New Roman"/>
          <w:sz w:val="32"/>
          <w:szCs w:val="32"/>
        </w:rPr>
        <w:t>相比，财政拨款收、支总计各</w:t>
      </w:r>
      <w:r>
        <w:rPr>
          <w:rFonts w:hint="eastAsia" w:eastAsia="方正仿宋_GBK" w:cs="Times New Roman"/>
          <w:sz w:val="32"/>
          <w:szCs w:val="32"/>
          <w:lang w:val="en-US" w:eastAsia="zh-CN"/>
        </w:rPr>
        <w:t>减少109.62</w:t>
      </w:r>
      <w:r>
        <w:rPr>
          <w:rFonts w:hint="default" w:ascii="Times New Roman" w:hAnsi="Times New Roman" w:eastAsia="方正仿宋_GBK" w:cs="Times New Roman"/>
          <w:sz w:val="32"/>
          <w:szCs w:val="32"/>
        </w:rPr>
        <w:t>万元，</w:t>
      </w:r>
      <w:r>
        <w:rPr>
          <w:rFonts w:hint="eastAsia" w:eastAsia="方正仿宋_GBK" w:cs="Times New Roman"/>
          <w:sz w:val="32"/>
          <w:szCs w:val="32"/>
          <w:lang w:val="en-US" w:eastAsia="zh-CN"/>
        </w:rPr>
        <w:t>下降13.27</w:t>
      </w:r>
      <w:r>
        <w:rPr>
          <w:rFonts w:hint="default" w:ascii="Times New Roman" w:hAnsi="Times New Roman" w:eastAsia="方正仿宋_GBK" w:cs="Times New Roman"/>
          <w:sz w:val="32"/>
          <w:szCs w:val="32"/>
        </w:rPr>
        <w:t>%。主要变动原因是本年</w:t>
      </w:r>
      <w:r>
        <w:rPr>
          <w:rFonts w:hint="eastAsia" w:eastAsia="方正仿宋_GBK" w:cs="Times New Roman"/>
          <w:sz w:val="32"/>
          <w:szCs w:val="32"/>
          <w:lang w:val="en-US" w:eastAsia="zh-CN"/>
        </w:rPr>
        <w:t>采购</w:t>
      </w:r>
      <w:r>
        <w:rPr>
          <w:rFonts w:hint="default" w:ascii="Times New Roman" w:hAnsi="Times New Roman" w:eastAsia="方正仿宋_GBK" w:cs="Times New Roman"/>
          <w:sz w:val="32"/>
          <w:szCs w:val="32"/>
        </w:rPr>
        <w:t>项目支出较去年减少，</w:t>
      </w:r>
      <w:r>
        <w:rPr>
          <w:rFonts w:hint="eastAsia" w:eastAsia="方正仿宋_GBK" w:cs="Times New Roman"/>
          <w:sz w:val="32"/>
          <w:szCs w:val="32"/>
          <w:lang w:val="en-US" w:eastAsia="zh-CN"/>
        </w:rPr>
        <w:t>部分项目仍在进行中，需2026年完成支付</w:t>
      </w:r>
      <w:r>
        <w:rPr>
          <w:rFonts w:hint="default" w:ascii="Times New Roman" w:hAnsi="Times New Roman" w:eastAsia="方正仿宋_GBK" w:cs="Times New Roman"/>
          <w:sz w:val="32"/>
          <w:szCs w:val="32"/>
        </w:rPr>
        <w:t>。</w:t>
      </w:r>
    </w:p>
    <w:p w14:paraId="147893BD">
      <w:pPr>
        <w:pStyle w:val="13"/>
        <w:rPr>
          <w:rFonts w:hint="default" w:ascii="Times New Roman" w:hAnsi="Times New Roman" w:eastAsia="方正仿宋_GBK" w:cs="Times New Roman"/>
          <w:sz w:val="32"/>
          <w:szCs w:val="32"/>
        </w:rPr>
      </w:pPr>
      <w:r>
        <w:drawing>
          <wp:anchor distT="0" distB="0" distL="114300" distR="114300" simplePos="0" relativeHeight="251662336" behindDoc="0" locked="0" layoutInCell="1" allowOverlap="1">
            <wp:simplePos x="0" y="0"/>
            <wp:positionH relativeFrom="column">
              <wp:posOffset>10795</wp:posOffset>
            </wp:positionH>
            <wp:positionV relativeFrom="paragraph">
              <wp:posOffset>3810</wp:posOffset>
            </wp:positionV>
            <wp:extent cx="5332095" cy="2453640"/>
            <wp:effectExtent l="4445" t="4445" r="10160" b="5715"/>
            <wp:wrapNone/>
            <wp:docPr id="13316"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anchor>
        </w:drawing>
      </w:r>
    </w:p>
    <w:p w14:paraId="38C99174">
      <w:pPr>
        <w:pStyle w:val="7"/>
        <w:rPr>
          <w:rFonts w:hint="default"/>
        </w:rPr>
      </w:pPr>
    </w:p>
    <w:p w14:paraId="3994B9C8">
      <w:pPr>
        <w:spacing w:line="600" w:lineRule="exact"/>
        <w:ind w:firstLine="640"/>
        <w:rPr>
          <w:rFonts w:hint="eastAsia" w:ascii="仿宋" w:hAnsi="仿宋" w:eastAsia="仿宋"/>
          <w:sz w:val="32"/>
          <w:szCs w:val="32"/>
        </w:rPr>
      </w:pPr>
    </w:p>
    <w:p w14:paraId="6A59451B">
      <w:pPr>
        <w:spacing w:line="600" w:lineRule="exact"/>
        <w:ind w:firstLine="640"/>
        <w:rPr>
          <w:rFonts w:hint="eastAsia" w:ascii="仿宋" w:hAnsi="仿宋" w:eastAsia="仿宋"/>
          <w:sz w:val="32"/>
          <w:szCs w:val="32"/>
        </w:rPr>
      </w:pPr>
    </w:p>
    <w:p w14:paraId="469554E2">
      <w:pPr>
        <w:spacing w:line="600" w:lineRule="exact"/>
        <w:rPr>
          <w:rFonts w:ascii="仿宋" w:hAnsi="仿宋" w:eastAsia="仿宋"/>
          <w:sz w:val="32"/>
          <w:szCs w:val="32"/>
        </w:rPr>
      </w:pPr>
    </w:p>
    <w:p w14:paraId="620C5B04">
      <w:pPr>
        <w:spacing w:line="600" w:lineRule="exact"/>
        <w:rPr>
          <w:rFonts w:ascii="仿宋" w:hAnsi="仿宋" w:eastAsia="仿宋"/>
          <w:sz w:val="32"/>
          <w:szCs w:val="32"/>
        </w:rPr>
      </w:pPr>
    </w:p>
    <w:p w14:paraId="412736C9">
      <w:pPr>
        <w:spacing w:line="600" w:lineRule="exact"/>
        <w:rPr>
          <w:rFonts w:ascii="仿宋" w:hAnsi="仿宋" w:eastAsia="仿宋"/>
          <w:sz w:val="32"/>
          <w:szCs w:val="32"/>
        </w:rPr>
      </w:pPr>
    </w:p>
    <w:p w14:paraId="14E07E6A">
      <w:pPr>
        <w:spacing w:line="600" w:lineRule="exact"/>
        <w:jc w:val="center"/>
        <w:rPr>
          <w:rFonts w:ascii="仿宋" w:hAnsi="仿宋" w:eastAsia="仿宋"/>
          <w:b/>
          <w:sz w:val="32"/>
          <w:szCs w:val="32"/>
        </w:rPr>
      </w:pPr>
      <w:r>
        <w:rPr>
          <w:rFonts w:hint="eastAsia" w:ascii="仿宋" w:hAnsi="仿宋" w:eastAsia="仿宋"/>
          <w:sz w:val="32"/>
          <w:szCs w:val="32"/>
        </w:rPr>
        <w:t>图4：财政拨款收、支决算总计变动情况</w:t>
      </w:r>
    </w:p>
    <w:p w14:paraId="45133D15">
      <w:pPr>
        <w:spacing w:line="600" w:lineRule="exact"/>
        <w:ind w:firstLine="640" w:firstLineChars="200"/>
        <w:outlineLvl w:val="1"/>
        <w:rPr>
          <w:rStyle w:val="30"/>
          <w:rFonts w:ascii="黑体" w:hAnsi="黑体" w:eastAsia="黑体"/>
          <w:b w:val="0"/>
        </w:rPr>
      </w:pPr>
      <w:bookmarkStart w:id="36" w:name="_Toc28364"/>
      <w:bookmarkStart w:id="37" w:name="_Toc15377209"/>
      <w:bookmarkStart w:id="38" w:name="_Toc15396607"/>
      <w:r>
        <w:rPr>
          <w:rFonts w:hint="eastAsia" w:ascii="黑体" w:hAnsi="黑体" w:eastAsia="黑体"/>
          <w:sz w:val="32"/>
          <w:szCs w:val="32"/>
        </w:rPr>
        <w:t>五、</w:t>
      </w:r>
      <w:r>
        <w:rPr>
          <w:rFonts w:hint="eastAsia" w:ascii="黑体" w:hAnsi="黑体" w:eastAsia="黑体"/>
          <w:b/>
          <w:sz w:val="32"/>
          <w:szCs w:val="32"/>
        </w:rPr>
        <w:t>一</w:t>
      </w:r>
      <w:r>
        <w:rPr>
          <w:rStyle w:val="30"/>
          <w:rFonts w:hint="eastAsia" w:ascii="黑体" w:hAnsi="黑体" w:eastAsia="黑体"/>
          <w:b w:val="0"/>
        </w:rPr>
        <w:t>般公共预算财政拨款支出决算情况说明</w:t>
      </w:r>
      <w:bookmarkEnd w:id="36"/>
      <w:bookmarkEnd w:id="37"/>
      <w:bookmarkEnd w:id="38"/>
    </w:p>
    <w:p w14:paraId="1EF622ED">
      <w:pPr>
        <w:spacing w:line="600" w:lineRule="exact"/>
        <w:ind w:firstLine="643" w:firstLineChars="200"/>
        <w:outlineLvl w:val="2"/>
        <w:rPr>
          <w:rFonts w:hint="eastAsia" w:ascii="Times New Roman" w:hAnsi="Times New Roman" w:eastAsia="方正楷体_GBK" w:cs="Times New Roman"/>
          <w:b/>
          <w:sz w:val="32"/>
          <w:szCs w:val="32"/>
        </w:rPr>
      </w:pPr>
      <w:bookmarkStart w:id="39" w:name="_Toc31824"/>
      <w:bookmarkStart w:id="40" w:name="_Toc15377210"/>
      <w:r>
        <w:rPr>
          <w:rFonts w:hint="eastAsia" w:ascii="Times New Roman" w:hAnsi="Times New Roman" w:eastAsia="方正楷体_GBK" w:cs="Times New Roman"/>
          <w:b/>
          <w:sz w:val="32"/>
          <w:szCs w:val="32"/>
        </w:rPr>
        <w:t>（一）一般公共预算财政拨款支出决算总体情况</w:t>
      </w:r>
      <w:bookmarkEnd w:id="39"/>
      <w:bookmarkEnd w:id="40"/>
    </w:p>
    <w:p w14:paraId="03B586D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eastAsia="方正仿宋_GBK" w:cs="Times New Roman"/>
          <w:sz w:val="32"/>
          <w:szCs w:val="32"/>
          <w:lang w:val="en-US" w:eastAsia="zh-CN"/>
        </w:rPr>
        <w:t>2025</w:t>
      </w:r>
      <w:r>
        <w:rPr>
          <w:rFonts w:hint="eastAsia" w:ascii="Times New Roman" w:hAnsi="Times New Roman" w:eastAsia="方正仿宋_GBK" w:cs="Times New Roman"/>
          <w:sz w:val="32"/>
          <w:szCs w:val="32"/>
        </w:rPr>
        <w:t>年度一般公共预算财政拨款支出</w:t>
      </w:r>
      <w:r>
        <w:rPr>
          <w:rFonts w:hint="eastAsia" w:eastAsia="方正仿宋_GBK" w:cs="Times New Roman"/>
          <w:sz w:val="32"/>
          <w:szCs w:val="32"/>
          <w:lang w:val="en-US" w:eastAsia="zh-CN"/>
        </w:rPr>
        <w:t>716.66</w:t>
      </w:r>
      <w:r>
        <w:rPr>
          <w:rFonts w:hint="eastAsia" w:ascii="Times New Roman" w:hAnsi="Times New Roman" w:eastAsia="方正仿宋_GBK" w:cs="Times New Roman"/>
          <w:sz w:val="32"/>
          <w:szCs w:val="32"/>
        </w:rPr>
        <w:t>万元，占本年支出合计的</w:t>
      </w:r>
      <w:r>
        <w:rPr>
          <w:rFonts w:hint="eastAsia" w:eastAsia="方正仿宋_GBK" w:cs="Times New Roman"/>
          <w:sz w:val="32"/>
          <w:szCs w:val="32"/>
          <w:lang w:val="en-US" w:eastAsia="zh-CN"/>
        </w:rPr>
        <w:t>75.84</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。与202</w:t>
      </w:r>
      <w:r>
        <w:rPr>
          <w:rFonts w:hint="eastAsia" w:eastAsia="方正仿宋_GBK" w:cs="Times New Roman"/>
          <w:sz w:val="32"/>
          <w:szCs w:val="32"/>
          <w:lang w:val="en-US" w:eastAsia="zh-CN"/>
        </w:rPr>
        <w:t>4</w:t>
      </w:r>
      <w:r>
        <w:rPr>
          <w:rFonts w:hint="eastAsia" w:ascii="Times New Roman" w:hAnsi="Times New Roman" w:eastAsia="方正仿宋_GBK" w:cs="Times New Roman"/>
          <w:sz w:val="32"/>
          <w:szCs w:val="32"/>
        </w:rPr>
        <w:t>年度相比，一般公共预算财政拨款支出</w:t>
      </w:r>
      <w:r>
        <w:rPr>
          <w:rFonts w:hint="eastAsia" w:eastAsia="方正仿宋_GBK" w:cs="Times New Roman"/>
          <w:sz w:val="32"/>
          <w:szCs w:val="32"/>
          <w:lang w:val="en-US" w:eastAsia="zh-CN"/>
        </w:rPr>
        <w:t>减少109.62</w:t>
      </w:r>
      <w:r>
        <w:rPr>
          <w:rFonts w:hint="eastAsia" w:ascii="Times New Roman" w:hAnsi="Times New Roman" w:eastAsia="方正仿宋_GBK" w:cs="Times New Roman"/>
          <w:sz w:val="32"/>
          <w:szCs w:val="32"/>
        </w:rPr>
        <w:t>万元，</w:t>
      </w:r>
      <w:r>
        <w:rPr>
          <w:rFonts w:hint="eastAsia" w:eastAsia="方正仿宋_GBK" w:cs="Times New Roman"/>
          <w:sz w:val="32"/>
          <w:szCs w:val="32"/>
          <w:lang w:val="en-US" w:eastAsia="zh-CN"/>
        </w:rPr>
        <w:t>下降13.27</w:t>
      </w:r>
      <w:r>
        <w:rPr>
          <w:rFonts w:hint="default" w:ascii="Times New Roman" w:hAnsi="Times New Roman" w:eastAsia="方正仿宋_GBK" w:cs="Times New Roman"/>
          <w:sz w:val="32"/>
          <w:szCs w:val="32"/>
        </w:rPr>
        <w:t>%</w:t>
      </w:r>
      <w:r>
        <w:rPr>
          <w:rFonts w:hint="eastAsia" w:ascii="Times New Roman" w:hAnsi="Times New Roman" w:eastAsia="方正仿宋_GBK" w:cs="Times New Roman"/>
          <w:sz w:val="32"/>
          <w:szCs w:val="32"/>
        </w:rPr>
        <w:t>。</w:t>
      </w:r>
      <w:r>
        <w:rPr>
          <w:rFonts w:hint="default" w:ascii="Times New Roman" w:hAnsi="Times New Roman" w:eastAsia="方正仿宋_GBK" w:cs="Times New Roman"/>
          <w:sz w:val="32"/>
          <w:szCs w:val="32"/>
        </w:rPr>
        <w:t>主要变动原因是本年</w:t>
      </w:r>
      <w:r>
        <w:rPr>
          <w:rFonts w:hint="eastAsia" w:eastAsia="方正仿宋_GBK" w:cs="Times New Roman"/>
          <w:sz w:val="32"/>
          <w:szCs w:val="32"/>
          <w:lang w:val="en-US" w:eastAsia="zh-CN"/>
        </w:rPr>
        <w:t>采购</w:t>
      </w:r>
      <w:r>
        <w:rPr>
          <w:rFonts w:hint="default" w:ascii="Times New Roman" w:hAnsi="Times New Roman" w:eastAsia="方正仿宋_GBK" w:cs="Times New Roman"/>
          <w:sz w:val="32"/>
          <w:szCs w:val="32"/>
        </w:rPr>
        <w:t>项目支出较去年减少，</w:t>
      </w:r>
      <w:r>
        <w:rPr>
          <w:rFonts w:hint="eastAsia" w:eastAsia="方正仿宋_GBK" w:cs="Times New Roman"/>
          <w:sz w:val="32"/>
          <w:szCs w:val="32"/>
          <w:lang w:val="en-US" w:eastAsia="zh-CN"/>
        </w:rPr>
        <w:t>部分项目仍在进行中，需2026年完成支付</w:t>
      </w:r>
      <w:r>
        <w:rPr>
          <w:rFonts w:hint="default" w:ascii="Times New Roman" w:hAnsi="Times New Roman" w:eastAsia="方正仿宋_GBK" w:cs="Times New Roman"/>
          <w:sz w:val="32"/>
          <w:szCs w:val="32"/>
        </w:rPr>
        <w:t>。</w:t>
      </w:r>
    </w:p>
    <w:p w14:paraId="3881976C">
      <w:pPr>
        <w:spacing w:line="600" w:lineRule="exact"/>
        <w:ind w:firstLine="420" w:firstLineChars="200"/>
        <w:rPr>
          <w:rFonts w:hint="eastAsia" w:ascii="仿宋" w:hAnsi="仿宋" w:eastAsia="仿宋"/>
          <w:sz w:val="32"/>
          <w:szCs w:val="32"/>
        </w:rPr>
      </w:pPr>
      <w:r>
        <w:drawing>
          <wp:anchor distT="0" distB="0" distL="114300" distR="114300" simplePos="0" relativeHeight="251663360" behindDoc="0" locked="0" layoutInCell="1" allowOverlap="1">
            <wp:simplePos x="0" y="0"/>
            <wp:positionH relativeFrom="column">
              <wp:posOffset>13970</wp:posOffset>
            </wp:positionH>
            <wp:positionV relativeFrom="paragraph">
              <wp:posOffset>55880</wp:posOffset>
            </wp:positionV>
            <wp:extent cx="5332095" cy="2295525"/>
            <wp:effectExtent l="4445" t="4445" r="10160" b="11430"/>
            <wp:wrapNone/>
            <wp:docPr id="5" name="图表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anchor>
        </w:drawing>
      </w:r>
    </w:p>
    <w:p w14:paraId="78EC14E8">
      <w:pPr>
        <w:spacing w:line="600" w:lineRule="exact"/>
        <w:ind w:firstLine="640" w:firstLineChars="200"/>
        <w:rPr>
          <w:rFonts w:hint="eastAsia" w:ascii="仿宋" w:hAnsi="仿宋" w:eastAsia="仿宋"/>
          <w:sz w:val="32"/>
          <w:szCs w:val="32"/>
        </w:rPr>
      </w:pPr>
    </w:p>
    <w:p w14:paraId="452C665C">
      <w:pPr>
        <w:spacing w:line="600" w:lineRule="exact"/>
        <w:ind w:firstLine="640" w:firstLineChars="200"/>
        <w:rPr>
          <w:rFonts w:hint="eastAsia" w:ascii="仿宋" w:hAnsi="仿宋" w:eastAsia="仿宋"/>
          <w:sz w:val="32"/>
          <w:szCs w:val="32"/>
        </w:rPr>
      </w:pPr>
    </w:p>
    <w:p w14:paraId="2D218F91">
      <w:pPr>
        <w:spacing w:line="600" w:lineRule="exact"/>
        <w:ind w:firstLine="640" w:firstLineChars="200"/>
        <w:rPr>
          <w:rFonts w:hint="eastAsia" w:ascii="仿宋" w:hAnsi="仿宋" w:eastAsia="仿宋"/>
          <w:sz w:val="32"/>
          <w:szCs w:val="32"/>
        </w:rPr>
      </w:pPr>
    </w:p>
    <w:p w14:paraId="5F8F440F">
      <w:pPr>
        <w:spacing w:line="600" w:lineRule="exact"/>
        <w:rPr>
          <w:rFonts w:hint="eastAsia" w:ascii="仿宋" w:hAnsi="仿宋" w:eastAsia="仿宋"/>
          <w:sz w:val="32"/>
          <w:szCs w:val="32"/>
        </w:rPr>
      </w:pPr>
    </w:p>
    <w:p w14:paraId="5760395C">
      <w:pPr>
        <w:spacing w:line="600" w:lineRule="exact"/>
        <w:jc w:val="center"/>
        <w:rPr>
          <w:rFonts w:hint="eastAsia" w:ascii="仿宋" w:hAnsi="仿宋" w:eastAsia="仿宋"/>
          <w:sz w:val="32"/>
          <w:szCs w:val="32"/>
        </w:rPr>
      </w:pPr>
    </w:p>
    <w:p w14:paraId="501ACD43">
      <w:pPr>
        <w:spacing w:line="600" w:lineRule="exact"/>
        <w:jc w:val="center"/>
        <w:rPr>
          <w:rFonts w:ascii="仿宋" w:hAnsi="仿宋" w:eastAsia="仿宋"/>
          <w:sz w:val="32"/>
          <w:szCs w:val="32"/>
        </w:rPr>
      </w:pPr>
      <w:r>
        <w:rPr>
          <w:rFonts w:hint="eastAsia" w:ascii="仿宋" w:hAnsi="仿宋" w:eastAsia="仿宋"/>
          <w:sz w:val="32"/>
          <w:szCs w:val="32"/>
        </w:rPr>
        <w:t>图5：一般公共预算财政拨款支出决算变动情况</w:t>
      </w:r>
    </w:p>
    <w:p w14:paraId="08C4DFAD">
      <w:pPr>
        <w:spacing w:line="600" w:lineRule="exact"/>
        <w:ind w:firstLine="643" w:firstLineChars="200"/>
        <w:outlineLvl w:val="2"/>
        <w:rPr>
          <w:rFonts w:hint="eastAsia" w:ascii="Times New Roman" w:hAnsi="Times New Roman" w:eastAsia="方正楷体_GBK" w:cs="Times New Roman"/>
          <w:b/>
          <w:sz w:val="32"/>
          <w:szCs w:val="32"/>
        </w:rPr>
      </w:pPr>
      <w:bookmarkStart w:id="41" w:name="_Toc15377211"/>
      <w:bookmarkStart w:id="42" w:name="_Toc22824"/>
      <w:r>
        <w:rPr>
          <w:rFonts w:hint="eastAsia" w:ascii="Times New Roman" w:hAnsi="Times New Roman" w:eastAsia="方正楷体_GBK" w:cs="Times New Roman"/>
          <w:b/>
          <w:sz w:val="32"/>
          <w:szCs w:val="32"/>
        </w:rPr>
        <w:t>（二）一般公共预算财政拨款支出决算结构情况</w:t>
      </w:r>
      <w:bookmarkEnd w:id="41"/>
      <w:bookmarkEnd w:id="42"/>
    </w:p>
    <w:p w14:paraId="34DD17A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年度一般公共预算财政拨款支出</w:t>
      </w:r>
      <w:r>
        <w:rPr>
          <w:rFonts w:hint="eastAsia" w:eastAsia="方正仿宋_GBK" w:cs="Times New Roman"/>
          <w:sz w:val="32"/>
          <w:szCs w:val="32"/>
          <w:lang w:val="en-US" w:eastAsia="zh-CN"/>
        </w:rPr>
        <w:t>716.66</w:t>
      </w:r>
      <w:r>
        <w:rPr>
          <w:rFonts w:hint="default" w:ascii="Times New Roman" w:hAnsi="Times New Roman" w:eastAsia="方正仿宋_GBK" w:cs="Times New Roman"/>
          <w:sz w:val="32"/>
          <w:szCs w:val="32"/>
        </w:rPr>
        <w:t>万元，主要用于以下方面:公共安全支出</w:t>
      </w:r>
      <w:r>
        <w:rPr>
          <w:rFonts w:hint="eastAsia" w:eastAsia="方正仿宋_GBK" w:cs="Times New Roman"/>
          <w:sz w:val="32"/>
          <w:szCs w:val="32"/>
          <w:lang w:val="en-US" w:eastAsia="zh-CN"/>
        </w:rPr>
        <w:t>564.91</w:t>
      </w:r>
      <w:r>
        <w:rPr>
          <w:rFonts w:hint="default" w:ascii="Times New Roman" w:hAnsi="Times New Roman" w:eastAsia="方正仿宋_GBK" w:cs="Times New Roman"/>
          <w:sz w:val="32"/>
          <w:szCs w:val="32"/>
        </w:rPr>
        <w:t>万元，占</w:t>
      </w:r>
      <w:r>
        <w:rPr>
          <w:rFonts w:hint="eastAsia" w:eastAsia="方正仿宋_GBK" w:cs="Times New Roman"/>
          <w:sz w:val="32"/>
          <w:szCs w:val="32"/>
          <w:lang w:val="en-US" w:eastAsia="zh-CN"/>
        </w:rPr>
        <w:t>78.83</w:t>
      </w:r>
      <w:r>
        <w:rPr>
          <w:rFonts w:hint="default" w:ascii="Times New Roman" w:hAnsi="Times New Roman" w:eastAsia="方正仿宋_GBK" w:cs="Times New Roman"/>
          <w:sz w:val="32"/>
          <w:szCs w:val="32"/>
        </w:rPr>
        <w:t>%;社会保障和就业支出</w:t>
      </w:r>
      <w:r>
        <w:rPr>
          <w:rFonts w:hint="eastAsia" w:eastAsia="方正仿宋_GBK" w:cs="Times New Roman"/>
          <w:sz w:val="32"/>
          <w:szCs w:val="32"/>
          <w:lang w:val="en-US" w:eastAsia="zh-CN"/>
        </w:rPr>
        <w:t>71.61</w:t>
      </w:r>
      <w:r>
        <w:rPr>
          <w:rFonts w:hint="default" w:ascii="Times New Roman" w:hAnsi="Times New Roman" w:eastAsia="方正仿宋_GBK" w:cs="Times New Roman"/>
          <w:sz w:val="32"/>
          <w:szCs w:val="32"/>
        </w:rPr>
        <w:t>万元，占</w:t>
      </w:r>
      <w:r>
        <w:rPr>
          <w:rFonts w:hint="eastAsia" w:eastAsia="方正仿宋_GBK" w:cs="Times New Roman"/>
          <w:sz w:val="32"/>
          <w:szCs w:val="32"/>
          <w:lang w:val="en-US" w:eastAsia="zh-CN"/>
        </w:rPr>
        <w:t>9.99</w:t>
      </w:r>
      <w:r>
        <w:rPr>
          <w:rFonts w:hint="default" w:ascii="Times New Roman" w:hAnsi="Times New Roman" w:eastAsia="方正仿宋_GBK" w:cs="Times New Roman"/>
          <w:sz w:val="32"/>
          <w:szCs w:val="32"/>
        </w:rPr>
        <w:t>%;卫生健康支出</w:t>
      </w:r>
      <w:r>
        <w:rPr>
          <w:rFonts w:hint="eastAsia" w:eastAsia="方正仿宋_GBK" w:cs="Times New Roman"/>
          <w:sz w:val="32"/>
          <w:szCs w:val="32"/>
          <w:lang w:val="en-US" w:eastAsia="zh-CN"/>
        </w:rPr>
        <w:t>33.03</w:t>
      </w:r>
      <w:r>
        <w:rPr>
          <w:rFonts w:hint="default" w:ascii="Times New Roman" w:hAnsi="Times New Roman" w:eastAsia="方正仿宋_GBK" w:cs="Times New Roman"/>
          <w:sz w:val="32"/>
          <w:szCs w:val="32"/>
        </w:rPr>
        <w:t>万元，占</w:t>
      </w:r>
      <w:r>
        <w:rPr>
          <w:rFonts w:hint="eastAsia" w:eastAsia="方正仿宋_GBK" w:cs="Times New Roman"/>
          <w:sz w:val="32"/>
          <w:szCs w:val="32"/>
          <w:lang w:val="en-US" w:eastAsia="zh-CN"/>
        </w:rPr>
        <w:t>4.61</w:t>
      </w:r>
      <w:r>
        <w:rPr>
          <w:rFonts w:hint="default" w:ascii="Times New Roman" w:hAnsi="Times New Roman" w:eastAsia="方正仿宋_GBK" w:cs="Times New Roman"/>
          <w:sz w:val="32"/>
          <w:szCs w:val="32"/>
        </w:rPr>
        <w:t>%;住房保障支出</w:t>
      </w:r>
      <w:r>
        <w:rPr>
          <w:rFonts w:hint="eastAsia" w:eastAsia="方正仿宋_GBK" w:cs="Times New Roman"/>
          <w:sz w:val="32"/>
          <w:szCs w:val="32"/>
          <w:lang w:val="en-US" w:eastAsia="zh-CN"/>
        </w:rPr>
        <w:t>47.11</w:t>
      </w:r>
      <w:r>
        <w:rPr>
          <w:rFonts w:hint="default" w:ascii="Times New Roman" w:hAnsi="Times New Roman" w:eastAsia="方正仿宋_GBK" w:cs="Times New Roman"/>
          <w:sz w:val="32"/>
          <w:szCs w:val="32"/>
        </w:rPr>
        <w:t>万元，占</w:t>
      </w:r>
      <w:r>
        <w:rPr>
          <w:rFonts w:hint="eastAsia" w:eastAsia="方正仿宋_GBK" w:cs="Times New Roman"/>
          <w:sz w:val="32"/>
          <w:szCs w:val="32"/>
          <w:lang w:val="en-US" w:eastAsia="zh-CN"/>
        </w:rPr>
        <w:t>6.57</w:t>
      </w:r>
      <w:r>
        <w:rPr>
          <w:rFonts w:hint="default" w:ascii="Times New Roman" w:hAnsi="Times New Roman" w:eastAsia="方正仿宋_GBK" w:cs="Times New Roman"/>
          <w:sz w:val="32"/>
          <w:szCs w:val="32"/>
        </w:rPr>
        <w:t>%。</w:t>
      </w:r>
    </w:p>
    <w:p w14:paraId="1D81F693">
      <w:pPr>
        <w:pStyle w:val="13"/>
        <w:rPr>
          <w:rFonts w:ascii="仿宋" w:hAnsi="仿宋" w:eastAsia="仿宋"/>
          <w:sz w:val="32"/>
          <w:szCs w:val="32"/>
        </w:rPr>
      </w:pPr>
      <w:r>
        <w:drawing>
          <wp:anchor distT="0" distB="0" distL="114300" distR="114300" simplePos="0" relativeHeight="251664384" behindDoc="0" locked="0" layoutInCell="1" allowOverlap="1">
            <wp:simplePos x="0" y="0"/>
            <wp:positionH relativeFrom="column">
              <wp:posOffset>-8890</wp:posOffset>
            </wp:positionH>
            <wp:positionV relativeFrom="paragraph">
              <wp:posOffset>228600</wp:posOffset>
            </wp:positionV>
            <wp:extent cx="5354320" cy="3154680"/>
            <wp:effectExtent l="4445" t="4445" r="13335" b="15875"/>
            <wp:wrapNone/>
            <wp:docPr id="2" name="图表 1" descr="7b0a202020202263686172745265734964223a20223230343736343734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anchor>
        </w:drawing>
      </w:r>
    </w:p>
    <w:p w14:paraId="0C25B25A">
      <w:pPr>
        <w:pStyle w:val="13"/>
        <w:rPr>
          <w:rFonts w:ascii="仿宋" w:hAnsi="仿宋" w:eastAsia="仿宋"/>
          <w:sz w:val="32"/>
          <w:szCs w:val="32"/>
        </w:rPr>
      </w:pPr>
    </w:p>
    <w:p w14:paraId="1BBFB0CE">
      <w:pPr>
        <w:pStyle w:val="13"/>
        <w:rPr>
          <w:rFonts w:ascii="仿宋" w:hAnsi="仿宋" w:eastAsia="仿宋"/>
          <w:sz w:val="32"/>
          <w:szCs w:val="32"/>
        </w:rPr>
      </w:pPr>
    </w:p>
    <w:p w14:paraId="3E5E20BE">
      <w:pPr>
        <w:pStyle w:val="13"/>
        <w:rPr>
          <w:rFonts w:ascii="仿宋" w:hAnsi="仿宋" w:eastAsia="仿宋"/>
          <w:sz w:val="32"/>
          <w:szCs w:val="32"/>
        </w:rPr>
      </w:pPr>
    </w:p>
    <w:p w14:paraId="4FDF10BF">
      <w:pPr>
        <w:pStyle w:val="7"/>
        <w:rPr>
          <w:rFonts w:ascii="仿宋" w:hAnsi="仿宋" w:eastAsia="仿宋"/>
          <w:sz w:val="32"/>
          <w:szCs w:val="32"/>
        </w:rPr>
      </w:pPr>
    </w:p>
    <w:p w14:paraId="06B2D7CB">
      <w:pPr>
        <w:pStyle w:val="7"/>
        <w:rPr>
          <w:rFonts w:ascii="仿宋" w:hAnsi="仿宋" w:eastAsia="仿宋"/>
          <w:sz w:val="32"/>
          <w:szCs w:val="32"/>
        </w:rPr>
      </w:pPr>
    </w:p>
    <w:p w14:paraId="561DF78F">
      <w:pPr>
        <w:pStyle w:val="7"/>
        <w:rPr>
          <w:rFonts w:ascii="仿宋" w:hAnsi="仿宋" w:eastAsia="仿宋"/>
          <w:sz w:val="32"/>
          <w:szCs w:val="32"/>
        </w:rPr>
      </w:pPr>
    </w:p>
    <w:p w14:paraId="0555B959">
      <w:pPr>
        <w:pStyle w:val="7"/>
        <w:rPr>
          <w:rFonts w:ascii="仿宋" w:hAnsi="仿宋" w:eastAsia="仿宋"/>
          <w:sz w:val="32"/>
          <w:szCs w:val="32"/>
        </w:rPr>
      </w:pPr>
    </w:p>
    <w:p w14:paraId="59FBB305">
      <w:pPr>
        <w:pStyle w:val="7"/>
        <w:ind w:left="0" w:leftChars="0" w:firstLine="0" w:firstLineChars="0"/>
        <w:rPr>
          <w:rFonts w:ascii="仿宋" w:hAnsi="仿宋" w:eastAsia="仿宋"/>
          <w:sz w:val="32"/>
          <w:szCs w:val="32"/>
        </w:rPr>
      </w:pPr>
    </w:p>
    <w:p w14:paraId="32293B02">
      <w:pPr>
        <w:spacing w:line="600" w:lineRule="exact"/>
        <w:jc w:val="center"/>
        <w:rPr>
          <w:rFonts w:ascii="仿宋" w:hAnsi="仿宋" w:eastAsia="仿宋"/>
          <w:sz w:val="32"/>
          <w:szCs w:val="32"/>
        </w:rPr>
      </w:pPr>
      <w:r>
        <w:rPr>
          <w:rFonts w:hint="eastAsia" w:ascii="仿宋" w:hAnsi="仿宋" w:eastAsia="仿宋"/>
          <w:sz w:val="32"/>
          <w:szCs w:val="32"/>
        </w:rPr>
        <w:t>图6：一般公共预算财政拨款支出决算结构</w:t>
      </w:r>
    </w:p>
    <w:p w14:paraId="5DA951AB">
      <w:pPr>
        <w:spacing w:line="600" w:lineRule="exact"/>
        <w:ind w:firstLine="643" w:firstLineChars="200"/>
        <w:outlineLvl w:val="2"/>
        <w:rPr>
          <w:rFonts w:hint="eastAsia" w:ascii="方正楷体_GBK" w:hAnsi="方正楷体_GBK" w:eastAsia="方正楷体_GBK" w:cs="方正楷体_GBK"/>
          <w:b/>
          <w:sz w:val="32"/>
          <w:szCs w:val="32"/>
        </w:rPr>
      </w:pPr>
      <w:bookmarkStart w:id="43" w:name="_Toc15377212"/>
      <w:bookmarkStart w:id="44" w:name="_Toc14311"/>
      <w:r>
        <w:rPr>
          <w:rFonts w:hint="eastAsia" w:ascii="方正楷体_GBK" w:hAnsi="方正楷体_GBK" w:eastAsia="方正楷体_GBK" w:cs="方正楷体_GBK"/>
          <w:b/>
          <w:sz w:val="32"/>
          <w:szCs w:val="32"/>
        </w:rPr>
        <w:t>（三）一般公共预算财政拨款支出决算具体情况</w:t>
      </w:r>
      <w:bookmarkEnd w:id="43"/>
      <w:bookmarkEnd w:id="44"/>
    </w:p>
    <w:p w14:paraId="51AA81D5">
      <w:pPr>
        <w:spacing w:line="600" w:lineRule="exact"/>
        <w:ind w:firstLine="640" w:firstLineChars="200"/>
        <w:outlineLvl w:val="1"/>
        <w:rPr>
          <w:rFonts w:hint="default" w:ascii="Times New Roman" w:hAnsi="Times New Roman" w:eastAsia="方正仿宋_GBK" w:cs="Times New Roman"/>
          <w:sz w:val="32"/>
          <w:szCs w:val="32"/>
        </w:rPr>
      </w:pPr>
      <w:bookmarkStart w:id="45" w:name="_Toc27522"/>
      <w:bookmarkStart w:id="46" w:name="_Toc15378460"/>
      <w:bookmarkStart w:id="47" w:name="_Toc15377213"/>
      <w:bookmarkStart w:id="48" w:name="_Toc15377444"/>
      <w:r>
        <w:rPr>
          <w:rFonts w:hint="default" w:ascii="Times New Roman" w:hAnsi="Times New Roman" w:eastAsia="方正仿宋_GBK" w:cs="Times New Roman"/>
          <w:b w:val="0"/>
          <w:bCs/>
          <w:sz w:val="32"/>
          <w:szCs w:val="32"/>
        </w:rPr>
        <w:t>202</w:t>
      </w:r>
      <w:r>
        <w:rPr>
          <w:rFonts w:hint="eastAsia" w:eastAsia="方正仿宋_GBK" w:cs="Times New Roman"/>
          <w:b w:val="0"/>
          <w:bCs/>
          <w:sz w:val="32"/>
          <w:szCs w:val="32"/>
          <w:lang w:val="en-US" w:eastAsia="zh-CN"/>
        </w:rPr>
        <w:t>5</w:t>
      </w:r>
      <w:r>
        <w:rPr>
          <w:rFonts w:hint="default" w:ascii="Times New Roman" w:hAnsi="Times New Roman" w:eastAsia="方正仿宋_GBK" w:cs="Times New Roman"/>
          <w:b/>
          <w:bCs w:val="0"/>
          <w:sz w:val="32"/>
          <w:szCs w:val="32"/>
        </w:rPr>
        <w:t>年度一般公共预算支出决算数为</w:t>
      </w:r>
      <w:r>
        <w:rPr>
          <w:rFonts w:hint="eastAsia" w:eastAsia="方正仿宋_GBK" w:cs="Times New Roman"/>
          <w:b w:val="0"/>
          <w:bCs/>
          <w:sz w:val="32"/>
          <w:szCs w:val="32"/>
          <w:lang w:val="en-US" w:eastAsia="zh-CN"/>
        </w:rPr>
        <w:t>716.66</w:t>
      </w:r>
      <w:r>
        <w:rPr>
          <w:rFonts w:hint="eastAsia" w:eastAsia="方正仿宋_GBK" w:cs="Times New Roman"/>
          <w:b/>
          <w:bCs w:val="0"/>
          <w:sz w:val="32"/>
          <w:szCs w:val="32"/>
          <w:lang w:val="en-US" w:eastAsia="zh-CN"/>
        </w:rPr>
        <w:t>万元</w:t>
      </w:r>
      <w:r>
        <w:rPr>
          <w:rFonts w:hint="default" w:ascii="Times New Roman" w:hAnsi="Times New Roman" w:eastAsia="方正仿宋_GBK" w:cs="Times New Roman"/>
          <w:b/>
          <w:bCs w:val="0"/>
          <w:sz w:val="32"/>
          <w:szCs w:val="32"/>
        </w:rPr>
        <w:t>，</w:t>
      </w:r>
      <w:r>
        <w:rPr>
          <w:rStyle w:val="18"/>
          <w:rFonts w:hint="default" w:ascii="Times New Roman" w:hAnsi="Times New Roman" w:eastAsia="方正仿宋_GBK" w:cs="Times New Roman"/>
          <w:b/>
          <w:bCs w:val="0"/>
          <w:sz w:val="32"/>
          <w:szCs w:val="32"/>
        </w:rPr>
        <w:t>完成预算</w:t>
      </w:r>
      <w:r>
        <w:rPr>
          <w:rStyle w:val="18"/>
          <w:rFonts w:hint="default" w:ascii="Times New Roman" w:hAnsi="Times New Roman" w:eastAsia="方正仿宋_GBK" w:cs="Times New Roman"/>
          <w:b w:val="0"/>
          <w:bCs/>
          <w:sz w:val="32"/>
          <w:szCs w:val="32"/>
          <w:lang w:val="en-US" w:eastAsia="zh-CN"/>
        </w:rPr>
        <w:t>100</w:t>
      </w:r>
      <w:r>
        <w:rPr>
          <w:rStyle w:val="18"/>
          <w:rFonts w:hint="default" w:ascii="Times New Roman" w:hAnsi="Times New Roman" w:eastAsia="方正仿宋_GBK" w:cs="Times New Roman"/>
          <w:b w:val="0"/>
          <w:bCs/>
          <w:sz w:val="32"/>
          <w:szCs w:val="32"/>
        </w:rPr>
        <w:t>%</w:t>
      </w:r>
      <w:r>
        <w:rPr>
          <w:rStyle w:val="18"/>
          <w:rFonts w:hint="default" w:ascii="Times New Roman" w:hAnsi="Times New Roman" w:eastAsia="方正仿宋_GBK" w:cs="Times New Roman"/>
          <w:b/>
          <w:bCs w:val="0"/>
          <w:sz w:val="32"/>
          <w:szCs w:val="32"/>
        </w:rPr>
        <w:t>。</w:t>
      </w:r>
      <w:r>
        <w:rPr>
          <w:rStyle w:val="18"/>
          <w:rFonts w:hint="default" w:ascii="Times New Roman" w:hAnsi="Times New Roman" w:eastAsia="方正仿宋_GBK" w:cs="Times New Roman"/>
          <w:bCs/>
          <w:sz w:val="32"/>
          <w:szCs w:val="32"/>
        </w:rPr>
        <w:t>其中：</w:t>
      </w:r>
      <w:bookmarkEnd w:id="45"/>
      <w:bookmarkEnd w:id="46"/>
      <w:bookmarkEnd w:id="47"/>
      <w:bookmarkEnd w:id="48"/>
    </w:p>
    <w:p w14:paraId="2971D949">
      <w:pPr>
        <w:spacing w:line="600" w:lineRule="exact"/>
        <w:ind w:firstLine="640" w:firstLineChars="200"/>
        <w:rPr>
          <w:rFonts w:hint="default" w:ascii="Times New Roman" w:hAnsi="Times New Roman" w:eastAsia="方正仿宋_GBK" w:cs="Times New Roman"/>
          <w:sz w:val="32"/>
          <w:szCs w:val="32"/>
        </w:rPr>
      </w:pPr>
      <w:r>
        <w:rPr>
          <w:rStyle w:val="18"/>
          <w:rFonts w:hint="eastAsia" w:eastAsia="方正仿宋_GBK" w:cs="Times New Roman"/>
          <w:b w:val="0"/>
          <w:bCs w:val="0"/>
          <w:sz w:val="32"/>
          <w:szCs w:val="32"/>
          <w:lang w:val="en-US" w:eastAsia="zh-CN"/>
        </w:rPr>
        <w:t>1.</w:t>
      </w:r>
      <w:r>
        <w:rPr>
          <w:rStyle w:val="18"/>
          <w:rFonts w:hint="default" w:ascii="Times New Roman" w:hAnsi="Times New Roman" w:eastAsia="方正仿宋_GBK" w:cs="Times New Roman"/>
          <w:bCs/>
          <w:sz w:val="32"/>
          <w:szCs w:val="32"/>
        </w:rPr>
        <w:t>公共安全支出（类）检察（款）行政运行</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项</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w:t>
      </w:r>
      <w:r>
        <w:rPr>
          <w:rFonts w:hint="default" w:ascii="Times New Roman" w:hAnsi="Times New Roman" w:eastAsia="方正仿宋_GBK" w:cs="Times New Roman"/>
          <w:sz w:val="32"/>
          <w:szCs w:val="32"/>
        </w:rPr>
        <w:t>支出决算</w:t>
      </w:r>
      <w:r>
        <w:rPr>
          <w:rFonts w:hint="eastAsia" w:eastAsia="方正仿宋_GBK" w:cs="Times New Roman"/>
          <w:sz w:val="32"/>
          <w:szCs w:val="32"/>
          <w:lang w:val="en-US" w:eastAsia="zh-CN"/>
        </w:rPr>
        <w:t>393.87</w:t>
      </w:r>
      <w:r>
        <w:rPr>
          <w:rFonts w:hint="default" w:ascii="Times New Roman" w:hAnsi="Times New Roman" w:eastAsia="方正仿宋_GBK" w:cs="Times New Roman"/>
          <w:sz w:val="32"/>
          <w:szCs w:val="32"/>
        </w:rPr>
        <w:t>万元，完成预算100%。</w:t>
      </w:r>
    </w:p>
    <w:p w14:paraId="5EE7E936">
      <w:pPr>
        <w:spacing w:line="600" w:lineRule="exact"/>
        <w:ind w:firstLine="640" w:firstLineChars="200"/>
        <w:rPr>
          <w:rStyle w:val="18"/>
          <w:rFonts w:hint="default" w:ascii="Times New Roman" w:hAnsi="Times New Roman" w:eastAsia="方正仿宋_GBK" w:cs="Times New Roman"/>
          <w:b w:val="0"/>
          <w:bCs/>
          <w:sz w:val="32"/>
          <w:szCs w:val="32"/>
        </w:rPr>
      </w:pPr>
      <w:r>
        <w:rPr>
          <w:rStyle w:val="18"/>
          <w:rFonts w:hint="eastAsia" w:eastAsia="方正仿宋_GBK" w:cs="Times New Roman"/>
          <w:b w:val="0"/>
          <w:bCs w:val="0"/>
          <w:sz w:val="32"/>
          <w:szCs w:val="32"/>
          <w:lang w:val="en-US" w:eastAsia="zh-CN"/>
        </w:rPr>
        <w:t>2.</w:t>
      </w:r>
      <w:r>
        <w:rPr>
          <w:rStyle w:val="18"/>
          <w:rFonts w:hint="default" w:ascii="Times New Roman" w:hAnsi="Times New Roman" w:eastAsia="方正仿宋_GBK" w:cs="Times New Roman"/>
          <w:bCs/>
          <w:sz w:val="32"/>
          <w:szCs w:val="32"/>
        </w:rPr>
        <w:t>公共安全支出（类）检察（款）一般行政管理事务</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项</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w:t>
      </w:r>
      <w:r>
        <w:rPr>
          <w:rStyle w:val="18"/>
          <w:rFonts w:hint="default" w:ascii="Times New Roman" w:hAnsi="Times New Roman" w:eastAsia="方正仿宋_GBK" w:cs="Times New Roman"/>
          <w:b w:val="0"/>
          <w:bCs/>
          <w:sz w:val="32"/>
          <w:szCs w:val="32"/>
        </w:rPr>
        <w:t>支出决算</w:t>
      </w:r>
      <w:r>
        <w:rPr>
          <w:rStyle w:val="18"/>
          <w:rFonts w:hint="eastAsia" w:eastAsia="方正仿宋_GBK" w:cs="Times New Roman"/>
          <w:b w:val="0"/>
          <w:bCs/>
          <w:sz w:val="32"/>
          <w:szCs w:val="32"/>
          <w:lang w:val="en-US" w:eastAsia="zh-CN"/>
        </w:rPr>
        <w:t>171.04</w:t>
      </w:r>
      <w:r>
        <w:rPr>
          <w:rStyle w:val="18"/>
          <w:rFonts w:hint="default" w:ascii="Times New Roman" w:hAnsi="Times New Roman" w:eastAsia="方正仿宋_GBK" w:cs="Times New Roman"/>
          <w:b w:val="0"/>
          <w:bCs/>
          <w:sz w:val="32"/>
          <w:szCs w:val="32"/>
        </w:rPr>
        <w:t>万元，完成预算100%。</w:t>
      </w:r>
    </w:p>
    <w:p w14:paraId="526B0E03">
      <w:pPr>
        <w:spacing w:line="600" w:lineRule="exact"/>
        <w:ind w:firstLine="640" w:firstLineChars="200"/>
        <w:rPr>
          <w:rStyle w:val="18"/>
          <w:rFonts w:hint="default" w:ascii="Times New Roman" w:hAnsi="Times New Roman" w:eastAsia="方正仿宋_GBK" w:cs="Times New Roman"/>
          <w:b w:val="0"/>
          <w:bCs/>
          <w:sz w:val="32"/>
          <w:szCs w:val="32"/>
        </w:rPr>
      </w:pPr>
      <w:r>
        <w:rPr>
          <w:rStyle w:val="18"/>
          <w:rFonts w:hint="default" w:ascii="Times New Roman" w:hAnsi="Times New Roman" w:eastAsia="方正仿宋_GBK" w:cs="Times New Roman"/>
          <w:b w:val="0"/>
          <w:bCs w:val="0"/>
          <w:sz w:val="32"/>
          <w:szCs w:val="32"/>
        </w:rPr>
        <w:t>3.</w:t>
      </w:r>
      <w:r>
        <w:rPr>
          <w:rStyle w:val="18"/>
          <w:rFonts w:hint="default" w:ascii="Times New Roman" w:hAnsi="Times New Roman" w:eastAsia="方正仿宋_GBK" w:cs="Times New Roman"/>
          <w:bCs/>
          <w:sz w:val="32"/>
          <w:szCs w:val="32"/>
        </w:rPr>
        <w:t>社会保障和就业支出（类）行政事业单位养老支出（款）机关事业单位基本养老保险缴费支出</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项</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w:t>
      </w:r>
      <w:r>
        <w:rPr>
          <w:rStyle w:val="18"/>
          <w:rFonts w:hint="default" w:ascii="Times New Roman" w:hAnsi="Times New Roman" w:eastAsia="方正仿宋_GBK" w:cs="Times New Roman"/>
          <w:b w:val="0"/>
          <w:bCs/>
          <w:sz w:val="32"/>
          <w:szCs w:val="32"/>
        </w:rPr>
        <w:t>支出决算</w:t>
      </w:r>
      <w:r>
        <w:rPr>
          <w:rStyle w:val="18"/>
          <w:rFonts w:hint="eastAsia" w:eastAsia="方正仿宋_GBK" w:cs="Times New Roman"/>
          <w:b w:val="0"/>
          <w:bCs/>
          <w:sz w:val="32"/>
          <w:szCs w:val="32"/>
          <w:lang w:val="en-US" w:eastAsia="zh-CN"/>
        </w:rPr>
        <w:t>47.74</w:t>
      </w:r>
      <w:r>
        <w:rPr>
          <w:rStyle w:val="18"/>
          <w:rFonts w:hint="default" w:ascii="Times New Roman" w:hAnsi="Times New Roman" w:eastAsia="方正仿宋_GBK" w:cs="Times New Roman"/>
          <w:b w:val="0"/>
          <w:bCs/>
          <w:sz w:val="32"/>
          <w:szCs w:val="32"/>
        </w:rPr>
        <w:t>万元，完成预算 100%。</w:t>
      </w:r>
    </w:p>
    <w:p w14:paraId="644CEBF8">
      <w:pPr>
        <w:spacing w:line="600" w:lineRule="exact"/>
        <w:ind w:firstLine="640" w:firstLineChars="200"/>
        <w:rPr>
          <w:rFonts w:hint="default" w:ascii="Times New Roman" w:hAnsi="Times New Roman" w:eastAsia="方正仿宋_GBK" w:cs="Times New Roman"/>
          <w:b/>
          <w:sz w:val="32"/>
          <w:szCs w:val="32"/>
        </w:rPr>
      </w:pPr>
      <w:r>
        <w:rPr>
          <w:rStyle w:val="18"/>
          <w:rFonts w:hint="default" w:ascii="Times New Roman" w:hAnsi="Times New Roman" w:eastAsia="方正仿宋_GBK" w:cs="Times New Roman"/>
          <w:b w:val="0"/>
          <w:bCs w:val="0"/>
          <w:sz w:val="32"/>
          <w:szCs w:val="32"/>
        </w:rPr>
        <w:t>4.</w:t>
      </w:r>
      <w:r>
        <w:rPr>
          <w:rStyle w:val="18"/>
          <w:rFonts w:hint="default" w:ascii="Times New Roman" w:hAnsi="Times New Roman" w:eastAsia="方正仿宋_GBK" w:cs="Times New Roman"/>
          <w:bCs/>
          <w:sz w:val="32"/>
          <w:szCs w:val="32"/>
        </w:rPr>
        <w:t>社会保障和就业支出（类）行政事业单位养老支出（款）机关事业单位职业年金缴费支出</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项</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w:t>
      </w:r>
      <w:r>
        <w:rPr>
          <w:rStyle w:val="18"/>
          <w:rFonts w:hint="default" w:ascii="Times New Roman" w:hAnsi="Times New Roman" w:eastAsia="方正仿宋_GBK" w:cs="Times New Roman"/>
          <w:b w:val="0"/>
          <w:bCs/>
          <w:sz w:val="32"/>
          <w:szCs w:val="32"/>
        </w:rPr>
        <w:t>支出决算</w:t>
      </w:r>
      <w:r>
        <w:rPr>
          <w:rStyle w:val="18"/>
          <w:rFonts w:hint="eastAsia" w:eastAsia="方正仿宋_GBK" w:cs="Times New Roman"/>
          <w:b w:val="0"/>
          <w:bCs/>
          <w:sz w:val="32"/>
          <w:szCs w:val="32"/>
          <w:lang w:val="en-US" w:eastAsia="zh-CN"/>
        </w:rPr>
        <w:t>23.87</w:t>
      </w:r>
      <w:r>
        <w:rPr>
          <w:rStyle w:val="18"/>
          <w:rFonts w:hint="default" w:ascii="Times New Roman" w:hAnsi="Times New Roman" w:eastAsia="方正仿宋_GBK" w:cs="Times New Roman"/>
          <w:b w:val="0"/>
          <w:bCs/>
          <w:sz w:val="32"/>
          <w:szCs w:val="32"/>
        </w:rPr>
        <w:t>万元，完成预算 100%。</w:t>
      </w:r>
    </w:p>
    <w:p w14:paraId="194A0094">
      <w:pPr>
        <w:spacing w:line="600" w:lineRule="exact"/>
        <w:ind w:firstLine="640" w:firstLineChars="200"/>
        <w:rPr>
          <w:rStyle w:val="18"/>
          <w:rFonts w:hint="default" w:ascii="Times New Roman" w:hAnsi="Times New Roman" w:eastAsia="方正仿宋_GBK" w:cs="Times New Roman"/>
          <w:bCs/>
          <w:color w:val="auto"/>
          <w:sz w:val="32"/>
          <w:szCs w:val="32"/>
        </w:rPr>
      </w:pPr>
      <w:r>
        <w:rPr>
          <w:rStyle w:val="18"/>
          <w:rFonts w:hint="default" w:ascii="Times New Roman" w:hAnsi="Times New Roman" w:eastAsia="方正仿宋_GBK" w:cs="Times New Roman"/>
          <w:b w:val="0"/>
          <w:bCs w:val="0"/>
          <w:sz w:val="32"/>
          <w:szCs w:val="32"/>
        </w:rPr>
        <w:t>5.</w:t>
      </w:r>
      <w:r>
        <w:rPr>
          <w:rStyle w:val="18"/>
          <w:rFonts w:hint="default" w:ascii="Times New Roman" w:hAnsi="Times New Roman" w:eastAsia="方正仿宋_GBK" w:cs="Times New Roman"/>
          <w:bCs/>
          <w:sz w:val="32"/>
          <w:szCs w:val="32"/>
        </w:rPr>
        <w:t>卫生健康支（类）行政事业单位医疗（款）行政单位医疗</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项</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w:t>
      </w:r>
      <w:r>
        <w:rPr>
          <w:rStyle w:val="18"/>
          <w:rFonts w:hint="default" w:ascii="Times New Roman" w:hAnsi="Times New Roman" w:eastAsia="方正仿宋_GBK" w:cs="Times New Roman"/>
          <w:b w:val="0"/>
          <w:bCs/>
          <w:sz w:val="32"/>
          <w:szCs w:val="32"/>
        </w:rPr>
        <w:t>支出决算</w:t>
      </w:r>
      <w:r>
        <w:rPr>
          <w:rStyle w:val="18"/>
          <w:rFonts w:hint="eastAsia" w:eastAsia="方正仿宋_GBK" w:cs="Times New Roman"/>
          <w:b w:val="0"/>
          <w:bCs/>
          <w:color w:val="auto"/>
          <w:sz w:val="32"/>
          <w:szCs w:val="32"/>
          <w:lang w:val="en-US" w:eastAsia="zh-CN"/>
        </w:rPr>
        <w:t>26.67</w:t>
      </w:r>
      <w:r>
        <w:rPr>
          <w:rStyle w:val="18"/>
          <w:rFonts w:hint="default" w:ascii="Times New Roman" w:hAnsi="Times New Roman" w:eastAsia="方正仿宋_GBK" w:cs="Times New Roman"/>
          <w:b w:val="0"/>
          <w:bCs/>
          <w:color w:val="auto"/>
          <w:sz w:val="32"/>
          <w:szCs w:val="32"/>
        </w:rPr>
        <w:t>万元，完成预算 100%。</w:t>
      </w:r>
    </w:p>
    <w:p w14:paraId="68A9A87F">
      <w:pPr>
        <w:spacing w:line="600" w:lineRule="exact"/>
        <w:ind w:firstLine="640" w:firstLineChars="200"/>
        <w:rPr>
          <w:rStyle w:val="18"/>
          <w:rFonts w:hint="default" w:ascii="Times New Roman" w:hAnsi="Times New Roman" w:eastAsia="方正仿宋_GBK" w:cs="Times New Roman"/>
          <w:bCs/>
          <w:sz w:val="32"/>
          <w:szCs w:val="32"/>
        </w:rPr>
      </w:pPr>
      <w:r>
        <w:rPr>
          <w:rStyle w:val="18"/>
          <w:rFonts w:hint="default" w:ascii="Times New Roman" w:hAnsi="Times New Roman" w:eastAsia="方正仿宋_GBK" w:cs="Times New Roman"/>
          <w:b w:val="0"/>
          <w:bCs w:val="0"/>
          <w:color w:val="auto"/>
          <w:sz w:val="32"/>
          <w:szCs w:val="32"/>
        </w:rPr>
        <w:t>6.</w:t>
      </w:r>
      <w:r>
        <w:rPr>
          <w:rStyle w:val="18"/>
          <w:rFonts w:hint="default" w:ascii="Times New Roman" w:hAnsi="Times New Roman" w:eastAsia="方正仿宋_GBK" w:cs="Times New Roman"/>
          <w:bCs/>
          <w:color w:val="auto"/>
          <w:sz w:val="32"/>
          <w:szCs w:val="32"/>
        </w:rPr>
        <w:t>卫生健康支出（类）行政事业单位医疗（款）公务员医疗补助</w:t>
      </w:r>
      <w:r>
        <w:rPr>
          <w:rStyle w:val="18"/>
          <w:rFonts w:hint="eastAsia" w:eastAsia="方正仿宋_GBK" w:cs="Times New Roman"/>
          <w:bCs/>
          <w:color w:val="auto"/>
          <w:sz w:val="32"/>
          <w:szCs w:val="32"/>
          <w:lang w:eastAsia="zh-CN"/>
        </w:rPr>
        <w:t>（</w:t>
      </w:r>
      <w:r>
        <w:rPr>
          <w:rStyle w:val="18"/>
          <w:rFonts w:hint="default" w:ascii="Times New Roman" w:hAnsi="Times New Roman" w:eastAsia="方正仿宋_GBK" w:cs="Times New Roman"/>
          <w:bCs/>
          <w:color w:val="auto"/>
          <w:sz w:val="32"/>
          <w:szCs w:val="32"/>
        </w:rPr>
        <w:t>项</w:t>
      </w:r>
      <w:r>
        <w:rPr>
          <w:rStyle w:val="18"/>
          <w:rFonts w:hint="eastAsia" w:eastAsia="方正仿宋_GBK" w:cs="Times New Roman"/>
          <w:bCs/>
          <w:color w:val="auto"/>
          <w:sz w:val="32"/>
          <w:szCs w:val="32"/>
          <w:lang w:eastAsia="zh-CN"/>
        </w:rPr>
        <w:t>）</w:t>
      </w:r>
      <w:r>
        <w:rPr>
          <w:rStyle w:val="18"/>
          <w:rFonts w:hint="default" w:ascii="Times New Roman" w:hAnsi="Times New Roman" w:eastAsia="方正仿宋_GBK" w:cs="Times New Roman"/>
          <w:bCs/>
          <w:color w:val="auto"/>
          <w:sz w:val="32"/>
          <w:szCs w:val="32"/>
        </w:rPr>
        <w:t>:</w:t>
      </w:r>
      <w:r>
        <w:rPr>
          <w:rStyle w:val="18"/>
          <w:rFonts w:hint="default" w:ascii="Times New Roman" w:hAnsi="Times New Roman" w:eastAsia="方正仿宋_GBK" w:cs="Times New Roman"/>
          <w:b w:val="0"/>
          <w:bCs/>
          <w:color w:val="auto"/>
          <w:sz w:val="32"/>
          <w:szCs w:val="32"/>
        </w:rPr>
        <w:t>支出决算</w:t>
      </w:r>
      <w:r>
        <w:rPr>
          <w:rStyle w:val="18"/>
          <w:rFonts w:hint="eastAsia" w:eastAsia="方正仿宋_GBK" w:cs="Times New Roman"/>
          <w:b w:val="0"/>
          <w:bCs/>
          <w:color w:val="auto"/>
          <w:sz w:val="32"/>
          <w:szCs w:val="32"/>
          <w:lang w:val="en-US" w:eastAsia="zh-CN"/>
        </w:rPr>
        <w:t>6.36</w:t>
      </w:r>
      <w:r>
        <w:rPr>
          <w:rStyle w:val="18"/>
          <w:rFonts w:hint="default" w:ascii="Times New Roman" w:hAnsi="Times New Roman" w:eastAsia="方正仿宋_GBK" w:cs="Times New Roman"/>
          <w:b w:val="0"/>
          <w:bCs/>
          <w:color w:val="auto"/>
          <w:sz w:val="32"/>
          <w:szCs w:val="32"/>
        </w:rPr>
        <w:t>万元，</w:t>
      </w:r>
      <w:r>
        <w:rPr>
          <w:rStyle w:val="18"/>
          <w:rFonts w:hint="default" w:ascii="Times New Roman" w:hAnsi="Times New Roman" w:eastAsia="方正仿宋_GBK" w:cs="Times New Roman"/>
          <w:b w:val="0"/>
          <w:bCs/>
          <w:sz w:val="32"/>
          <w:szCs w:val="32"/>
        </w:rPr>
        <w:t>完成预算100%。</w:t>
      </w:r>
    </w:p>
    <w:p w14:paraId="4FF57D2D">
      <w:pPr>
        <w:spacing w:line="600" w:lineRule="exact"/>
        <w:ind w:firstLine="640" w:firstLineChars="200"/>
        <w:rPr>
          <w:rFonts w:ascii="仿宋" w:hAnsi="仿宋" w:eastAsia="仿宋"/>
          <w:b/>
          <w:sz w:val="32"/>
          <w:szCs w:val="32"/>
        </w:rPr>
      </w:pPr>
      <w:r>
        <w:rPr>
          <w:rStyle w:val="18"/>
          <w:rFonts w:hint="default" w:ascii="Times New Roman" w:hAnsi="Times New Roman" w:eastAsia="方正仿宋_GBK" w:cs="Times New Roman"/>
          <w:b w:val="0"/>
          <w:bCs w:val="0"/>
          <w:sz w:val="32"/>
          <w:szCs w:val="32"/>
        </w:rPr>
        <w:t>7.</w:t>
      </w:r>
      <w:r>
        <w:rPr>
          <w:rStyle w:val="18"/>
          <w:rFonts w:hint="default" w:ascii="Times New Roman" w:hAnsi="Times New Roman" w:eastAsia="方正仿宋_GBK" w:cs="Times New Roman"/>
          <w:bCs/>
          <w:sz w:val="32"/>
          <w:szCs w:val="32"/>
        </w:rPr>
        <w:t>住房保障支出（类）住房改革支出（款）住房公积金</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项</w:t>
      </w:r>
      <w:r>
        <w:rPr>
          <w:rStyle w:val="18"/>
          <w:rFonts w:hint="eastAsia" w:eastAsia="方正仿宋_GBK" w:cs="Times New Roman"/>
          <w:bCs/>
          <w:sz w:val="32"/>
          <w:szCs w:val="32"/>
          <w:lang w:eastAsia="zh-CN"/>
        </w:rPr>
        <w:t>）</w:t>
      </w:r>
      <w:r>
        <w:rPr>
          <w:rStyle w:val="18"/>
          <w:rFonts w:hint="default" w:ascii="Times New Roman" w:hAnsi="Times New Roman" w:eastAsia="方正仿宋_GBK" w:cs="Times New Roman"/>
          <w:bCs/>
          <w:sz w:val="32"/>
          <w:szCs w:val="32"/>
        </w:rPr>
        <w:t>:</w:t>
      </w:r>
      <w:r>
        <w:rPr>
          <w:rStyle w:val="18"/>
          <w:rFonts w:hint="default" w:ascii="Times New Roman" w:hAnsi="Times New Roman" w:eastAsia="方正仿宋_GBK" w:cs="Times New Roman"/>
          <w:b w:val="0"/>
          <w:bCs/>
          <w:sz w:val="32"/>
          <w:szCs w:val="32"/>
        </w:rPr>
        <w:t>支出决算</w:t>
      </w:r>
      <w:r>
        <w:rPr>
          <w:rStyle w:val="18"/>
          <w:rFonts w:hint="eastAsia" w:eastAsia="方正仿宋_GBK" w:cs="Times New Roman"/>
          <w:b w:val="0"/>
          <w:bCs/>
          <w:sz w:val="32"/>
          <w:szCs w:val="32"/>
          <w:lang w:val="en-US" w:eastAsia="zh-CN"/>
        </w:rPr>
        <w:t>47.11</w:t>
      </w:r>
      <w:r>
        <w:rPr>
          <w:rStyle w:val="18"/>
          <w:rFonts w:hint="default" w:ascii="Times New Roman" w:hAnsi="Times New Roman" w:eastAsia="方正仿宋_GBK" w:cs="Times New Roman"/>
          <w:b w:val="0"/>
          <w:bCs/>
          <w:sz w:val="32"/>
          <w:szCs w:val="32"/>
        </w:rPr>
        <w:t>万元，完成预算100%。</w:t>
      </w:r>
    </w:p>
    <w:p w14:paraId="5C2942BD">
      <w:pPr>
        <w:tabs>
          <w:tab w:val="right" w:pos="8306"/>
        </w:tabs>
        <w:spacing w:line="600" w:lineRule="exact"/>
        <w:ind w:firstLine="640"/>
        <w:outlineLvl w:val="1"/>
        <w:rPr>
          <w:rStyle w:val="30"/>
        </w:rPr>
      </w:pPr>
      <w:bookmarkStart w:id="49" w:name="_Toc15377214"/>
      <w:bookmarkStart w:id="50" w:name="_Toc4634"/>
      <w:bookmarkStart w:id="51" w:name="_Toc15396608"/>
      <w:r>
        <w:rPr>
          <w:rFonts w:hint="eastAsia" w:ascii="黑体" w:eastAsia="黑体"/>
          <w:sz w:val="32"/>
          <w:szCs w:val="32"/>
        </w:rPr>
        <w:t>六</w:t>
      </w:r>
      <w:r>
        <w:rPr>
          <w:rFonts w:hint="eastAsia" w:ascii="黑体" w:eastAsia="黑体"/>
          <w:b/>
          <w:sz w:val="32"/>
          <w:szCs w:val="32"/>
        </w:rPr>
        <w:t>、</w:t>
      </w:r>
      <w:r>
        <w:rPr>
          <w:rFonts w:hint="eastAsia" w:ascii="黑体" w:hAnsi="黑体" w:eastAsia="黑体"/>
          <w:b/>
          <w:sz w:val="32"/>
          <w:szCs w:val="32"/>
        </w:rPr>
        <w:t>一</w:t>
      </w:r>
      <w:r>
        <w:rPr>
          <w:rStyle w:val="30"/>
          <w:rFonts w:hint="eastAsia" w:ascii="黑体" w:hAnsi="黑体" w:eastAsia="黑体"/>
          <w:b w:val="0"/>
        </w:rPr>
        <w:t>般公共预算财政拨款基本支出决算情况说明</w:t>
      </w:r>
      <w:bookmarkEnd w:id="49"/>
      <w:bookmarkEnd w:id="50"/>
      <w:bookmarkEnd w:id="51"/>
      <w:r>
        <w:rPr>
          <w:rStyle w:val="30"/>
          <w:rFonts w:ascii="黑体" w:hAnsi="黑体" w:eastAsia="黑体"/>
          <w:b w:val="0"/>
        </w:rPr>
        <w:tab/>
      </w:r>
    </w:p>
    <w:p w14:paraId="1C6F619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K" w:cs="Times New Roman"/>
          <w:sz w:val="32"/>
          <w:szCs w:val="32"/>
        </w:rPr>
      </w:pPr>
      <w:r>
        <w:rPr>
          <w:rFonts w:hint="eastAsia"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eastAsia" w:ascii="Times New Roman" w:hAnsi="Times New Roman" w:eastAsia="方正仿宋_GBK" w:cs="Times New Roman"/>
          <w:sz w:val="32"/>
          <w:szCs w:val="32"/>
        </w:rPr>
        <w:t>年度一般公共预算财政拨款基本支出</w:t>
      </w:r>
      <w:r>
        <w:rPr>
          <w:rFonts w:hint="eastAsia" w:eastAsia="方正仿宋_GBK" w:cs="Times New Roman"/>
          <w:sz w:val="32"/>
          <w:szCs w:val="32"/>
          <w:lang w:val="en-US" w:eastAsia="zh-CN"/>
        </w:rPr>
        <w:t>545.62</w:t>
      </w:r>
      <w:r>
        <w:rPr>
          <w:rFonts w:hint="eastAsia" w:ascii="Times New Roman" w:hAnsi="Times New Roman" w:eastAsia="方正仿宋_GBK" w:cs="Times New Roman"/>
          <w:sz w:val="32"/>
          <w:szCs w:val="32"/>
        </w:rPr>
        <w:t>万元，其中：</w:t>
      </w:r>
    </w:p>
    <w:p w14:paraId="60D970C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Times New Roman" w:hAnsi="Times New Roman" w:eastAsia="方正仿宋_GBK" w:cs="Times New Roman"/>
          <w:sz w:val="32"/>
          <w:szCs w:val="32"/>
        </w:rPr>
        <w:t>人员经费</w:t>
      </w:r>
      <w:r>
        <w:rPr>
          <w:rFonts w:hint="eastAsia" w:eastAsia="方正仿宋_GBK" w:cs="Times New Roman"/>
          <w:sz w:val="32"/>
          <w:szCs w:val="32"/>
          <w:lang w:val="en-US" w:eastAsia="zh-CN"/>
        </w:rPr>
        <w:t>474.94</w:t>
      </w:r>
      <w:r>
        <w:rPr>
          <w:rFonts w:hint="eastAsia" w:ascii="Times New Roman" w:hAnsi="Times New Roman" w:eastAsia="方正仿宋_GBK" w:cs="Times New Roman"/>
          <w:sz w:val="32"/>
          <w:szCs w:val="32"/>
        </w:rPr>
        <w:t>万元，主要包括：基本工资、津贴补贴、奖金、伙食补助费</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rPr>
        <w:t>机关事业单位基本养老保险缴费、职业年金缴费</w:t>
      </w:r>
      <w:r>
        <w:rPr>
          <w:rFonts w:hint="eastAsia" w:eastAsia="方正仿宋_GBK" w:cs="Times New Roman"/>
          <w:sz w:val="32"/>
          <w:szCs w:val="32"/>
          <w:lang w:eastAsia="zh-CN"/>
        </w:rPr>
        <w:t>、</w:t>
      </w:r>
      <w:r>
        <w:rPr>
          <w:rFonts w:hint="eastAsia" w:ascii="Times New Roman" w:hAnsi="Times New Roman" w:eastAsia="方正仿宋_GBK" w:cs="Times New Roman"/>
          <w:sz w:val="32"/>
          <w:szCs w:val="32"/>
        </w:rPr>
        <w:t>职工基本医疗保险缴费</w:t>
      </w:r>
      <w:r>
        <w:rPr>
          <w:rFonts w:hint="eastAsia" w:eastAsia="方正仿宋_GBK" w:cs="Times New Roman"/>
          <w:sz w:val="32"/>
          <w:szCs w:val="32"/>
          <w:lang w:eastAsia="zh-CN"/>
        </w:rPr>
        <w:t>、公务员医疗补助缴费、</w:t>
      </w:r>
      <w:r>
        <w:rPr>
          <w:rFonts w:hint="eastAsia" w:ascii="Times New Roman" w:hAnsi="Times New Roman" w:eastAsia="方正仿宋_GBK" w:cs="Times New Roman"/>
          <w:sz w:val="32"/>
          <w:szCs w:val="32"/>
        </w:rPr>
        <w:t>其他社会保障缴费、</w:t>
      </w:r>
      <w:r>
        <w:rPr>
          <w:rFonts w:hint="eastAsia" w:ascii="Times New Roman" w:hAnsi="Times New Roman" w:eastAsia="方正仿宋_GBK" w:cs="Times New Roman"/>
          <w:sz w:val="32"/>
          <w:szCs w:val="32"/>
          <w:lang w:val="en-US" w:eastAsia="zh-CN"/>
        </w:rPr>
        <w:t>住房公积金、</w:t>
      </w:r>
      <w:r>
        <w:rPr>
          <w:rFonts w:hint="eastAsia" w:ascii="Times New Roman" w:hAnsi="Times New Roman" w:eastAsia="方正仿宋_GBK" w:cs="Times New Roman"/>
          <w:sz w:val="32"/>
          <w:szCs w:val="32"/>
        </w:rPr>
        <w:t>其他工资福利支出、生活补助、奖励金。</w:t>
      </w:r>
    </w:p>
    <w:p w14:paraId="304353F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ascii="仿宋" w:hAnsi="仿宋" w:eastAsia="仿宋"/>
          <w:b/>
          <w:sz w:val="32"/>
          <w:szCs w:val="32"/>
        </w:rPr>
      </w:pPr>
      <w:r>
        <w:rPr>
          <w:rFonts w:hint="eastAsia" w:ascii="Times New Roman" w:hAnsi="Times New Roman" w:eastAsia="方正仿宋_GBK" w:cs="Times New Roman"/>
          <w:sz w:val="32"/>
          <w:szCs w:val="32"/>
        </w:rPr>
        <w:t>公用经费</w:t>
      </w:r>
      <w:r>
        <w:rPr>
          <w:rFonts w:hint="eastAsia" w:eastAsia="方正仿宋_GBK" w:cs="Times New Roman"/>
          <w:sz w:val="32"/>
          <w:szCs w:val="32"/>
          <w:lang w:val="en-US" w:eastAsia="zh-CN"/>
        </w:rPr>
        <w:t>70.68</w:t>
      </w:r>
      <w:r>
        <w:rPr>
          <w:rFonts w:hint="eastAsia" w:ascii="Times New Roman" w:hAnsi="Times New Roman" w:eastAsia="方正仿宋_GBK" w:cs="Times New Roman"/>
          <w:sz w:val="32"/>
          <w:szCs w:val="32"/>
        </w:rPr>
        <w:t>万元，主要包括：办公费、水费、电费、邮电费、</w:t>
      </w:r>
      <w:r>
        <w:rPr>
          <w:rFonts w:hint="eastAsia" w:eastAsia="方正仿宋_GBK" w:cs="Times New Roman"/>
          <w:sz w:val="32"/>
          <w:szCs w:val="32"/>
          <w:lang w:val="en-US" w:eastAsia="zh-CN"/>
        </w:rPr>
        <w:t>物业管理费、</w:t>
      </w:r>
      <w:r>
        <w:rPr>
          <w:rFonts w:hint="eastAsia" w:ascii="Times New Roman" w:hAnsi="Times New Roman" w:eastAsia="方正仿宋_GBK" w:cs="Times New Roman"/>
          <w:sz w:val="32"/>
          <w:szCs w:val="32"/>
        </w:rPr>
        <w:t>差旅费、维修（护）费、培训费、公务接待费、劳务费、委托业务费、</w:t>
      </w:r>
      <w:r>
        <w:rPr>
          <w:rFonts w:hint="eastAsia" w:eastAsia="方正仿宋_GBK" w:cs="Times New Roman"/>
          <w:sz w:val="32"/>
          <w:szCs w:val="32"/>
          <w:lang w:val="en-US" w:eastAsia="zh-CN"/>
        </w:rPr>
        <w:t>工会经费、</w:t>
      </w:r>
      <w:r>
        <w:rPr>
          <w:rFonts w:hint="eastAsia" w:ascii="Times New Roman" w:hAnsi="Times New Roman" w:eastAsia="方正仿宋_GBK" w:cs="Times New Roman"/>
          <w:sz w:val="32"/>
          <w:szCs w:val="32"/>
        </w:rPr>
        <w:t>福利费、公务用车运行维护费、其他商品和服务支出、办公设备购置。</w:t>
      </w:r>
    </w:p>
    <w:p w14:paraId="647DC397">
      <w:pPr>
        <w:spacing w:line="600" w:lineRule="exact"/>
        <w:ind w:firstLine="640"/>
        <w:outlineLvl w:val="1"/>
        <w:rPr>
          <w:rStyle w:val="30"/>
          <w:rFonts w:ascii="黑体" w:hAnsi="黑体" w:eastAsia="黑体"/>
          <w:b w:val="0"/>
        </w:rPr>
      </w:pPr>
      <w:bookmarkStart w:id="52" w:name="_Toc1863"/>
      <w:bookmarkStart w:id="53" w:name="_Toc15396609"/>
      <w:bookmarkStart w:id="54" w:name="_Toc15377215"/>
      <w:r>
        <w:rPr>
          <w:rFonts w:hint="eastAsia" w:ascii="黑体" w:eastAsia="黑体"/>
          <w:sz w:val="32"/>
          <w:szCs w:val="32"/>
        </w:rPr>
        <w:t>七、</w:t>
      </w:r>
      <w:r>
        <w:rPr>
          <w:rStyle w:val="30"/>
          <w:rFonts w:hint="eastAsia" w:ascii="黑体" w:hAnsi="黑体" w:eastAsia="黑体"/>
          <w:b w:val="0"/>
        </w:rPr>
        <w:t>财政拨款</w:t>
      </w:r>
      <w:r>
        <w:rPr>
          <w:rStyle w:val="30"/>
          <w:rFonts w:hint="eastAsia" w:ascii="黑体" w:hAnsi="黑体" w:eastAsia="黑体"/>
        </w:rPr>
        <w:t>“</w:t>
      </w:r>
      <w:r>
        <w:rPr>
          <w:rStyle w:val="30"/>
          <w:rFonts w:hint="eastAsia" w:ascii="黑体" w:hAnsi="黑体" w:eastAsia="黑体"/>
          <w:b w:val="0"/>
        </w:rPr>
        <w:t>三公”经费支出决算情况说明</w:t>
      </w:r>
      <w:bookmarkEnd w:id="52"/>
      <w:bookmarkEnd w:id="53"/>
      <w:bookmarkEnd w:id="54"/>
    </w:p>
    <w:p w14:paraId="51D1B8DD">
      <w:pPr>
        <w:spacing w:line="600" w:lineRule="exact"/>
        <w:ind w:firstLine="643" w:firstLineChars="200"/>
        <w:outlineLvl w:val="2"/>
        <w:rPr>
          <w:rFonts w:hint="eastAsia" w:ascii="Times New Roman" w:hAnsi="Times New Roman" w:eastAsia="方正楷体_GBK" w:cs="Times New Roman"/>
          <w:b/>
          <w:sz w:val="32"/>
          <w:szCs w:val="32"/>
        </w:rPr>
      </w:pPr>
      <w:bookmarkStart w:id="55" w:name="_Toc9558"/>
      <w:bookmarkStart w:id="56" w:name="_Toc15377216"/>
      <w:r>
        <w:rPr>
          <w:rFonts w:hint="eastAsia" w:ascii="Times New Roman" w:hAnsi="Times New Roman" w:eastAsia="方正楷体_GBK" w:cs="Times New Roman"/>
          <w:b/>
          <w:sz w:val="32"/>
          <w:szCs w:val="32"/>
        </w:rPr>
        <w:t>（一）“三公”经费财政拨款支出决算总体情况说明</w:t>
      </w:r>
      <w:bookmarkEnd w:id="55"/>
      <w:bookmarkEnd w:id="56"/>
    </w:p>
    <w:p w14:paraId="40E7B33B">
      <w:pPr>
        <w:rPr>
          <w:rFonts w:hint="default" w:ascii="Times New Roman" w:hAnsi="Times New Roman" w:eastAsia="方正仿宋_GBK" w:cs="Times New Roman"/>
          <w:sz w:val="32"/>
          <w:szCs w:val="32"/>
        </w:rPr>
      </w:pPr>
      <w:r>
        <w:rPr>
          <w:rFonts w:hint="default"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default" w:ascii="Times New Roman" w:hAnsi="Times New Roman" w:eastAsia="方正仿宋_GBK" w:cs="Times New Roman"/>
          <w:sz w:val="32"/>
          <w:szCs w:val="32"/>
        </w:rPr>
        <w:t>年度“三公”经费财政拨款支出决算为</w:t>
      </w:r>
      <w:r>
        <w:rPr>
          <w:rFonts w:hint="eastAsia" w:eastAsia="方正仿宋_GBK" w:cs="Times New Roman"/>
          <w:sz w:val="32"/>
          <w:szCs w:val="32"/>
          <w:lang w:val="en-US" w:eastAsia="zh-CN"/>
        </w:rPr>
        <w:t>7.83</w:t>
      </w:r>
      <w:r>
        <w:rPr>
          <w:rFonts w:hint="default" w:ascii="Times New Roman" w:hAnsi="Times New Roman" w:eastAsia="方正仿宋_GBK" w:cs="Times New Roman"/>
          <w:sz w:val="32"/>
          <w:szCs w:val="32"/>
        </w:rPr>
        <w:t>万元，完成预算</w:t>
      </w:r>
      <w:r>
        <w:rPr>
          <w:rFonts w:hint="eastAsia" w:eastAsia="方正仿宋_GBK" w:cs="Times New Roman"/>
          <w:sz w:val="32"/>
          <w:szCs w:val="32"/>
          <w:lang w:val="en-US" w:eastAsia="zh-CN"/>
        </w:rPr>
        <w:t>100</w:t>
      </w:r>
      <w:r>
        <w:rPr>
          <w:rFonts w:hint="default" w:ascii="Times New Roman" w:hAnsi="Times New Roman" w:eastAsia="方正仿宋_GBK" w:cs="Times New Roman"/>
          <w:sz w:val="32"/>
          <w:szCs w:val="32"/>
        </w:rPr>
        <w:t>%，较上年度</w:t>
      </w:r>
      <w:r>
        <w:rPr>
          <w:rFonts w:hint="eastAsia" w:eastAsia="方正仿宋_GBK" w:cs="Times New Roman"/>
          <w:sz w:val="32"/>
          <w:szCs w:val="32"/>
          <w:lang w:val="en-US" w:eastAsia="zh-CN"/>
        </w:rPr>
        <w:t>增加1.26</w:t>
      </w:r>
      <w:r>
        <w:rPr>
          <w:rFonts w:hint="default" w:ascii="Times New Roman" w:hAnsi="Times New Roman" w:eastAsia="方正仿宋_GBK" w:cs="Times New Roman"/>
          <w:sz w:val="32"/>
          <w:szCs w:val="32"/>
        </w:rPr>
        <w:t>万元，</w:t>
      </w:r>
      <w:r>
        <w:rPr>
          <w:rFonts w:hint="eastAsia" w:eastAsia="方正仿宋_GBK" w:cs="Times New Roman"/>
          <w:sz w:val="32"/>
          <w:szCs w:val="32"/>
          <w:lang w:val="en-US" w:eastAsia="zh-CN"/>
        </w:rPr>
        <w:t>增长19.26</w:t>
      </w:r>
      <w:r>
        <w:rPr>
          <w:rFonts w:hint="default" w:ascii="Times New Roman" w:hAnsi="Times New Roman" w:eastAsia="方正仿宋_GBK" w:cs="Times New Roman"/>
          <w:sz w:val="32"/>
          <w:szCs w:val="32"/>
        </w:rPr>
        <w:t>%。</w:t>
      </w:r>
      <w:r>
        <w:rPr>
          <w:rFonts w:hint="eastAsia" w:eastAsia="方正仿宋_GBK" w:cs="Times New Roman"/>
          <w:sz w:val="32"/>
          <w:szCs w:val="32"/>
          <w:lang w:val="en-US" w:eastAsia="zh-CN"/>
        </w:rPr>
        <w:t>增加的</w:t>
      </w:r>
      <w:r>
        <w:rPr>
          <w:rFonts w:hint="default" w:ascii="Times New Roman" w:hAnsi="Times New Roman" w:eastAsia="方正仿宋_GBK" w:cs="Times New Roman"/>
          <w:sz w:val="32"/>
          <w:szCs w:val="32"/>
        </w:rPr>
        <w:t>主要原因是</w:t>
      </w:r>
      <w:r>
        <w:rPr>
          <w:rFonts w:hint="eastAsia" w:eastAsia="方正仿宋_GBK" w:cs="Times New Roman"/>
          <w:sz w:val="32"/>
          <w:szCs w:val="32"/>
          <w:lang w:val="en-US" w:eastAsia="zh-CN"/>
        </w:rPr>
        <w:t>检察业务工作任务加大，大量工作需要下沉乡镇、深入现场，公务出行频次和车辆行驶里程相应增加，公务用车购置及运行维护费较去年增加</w:t>
      </w:r>
      <w:r>
        <w:rPr>
          <w:rFonts w:hint="default" w:ascii="Times New Roman" w:hAnsi="Times New Roman" w:eastAsia="方正仿宋_GBK" w:cs="Times New Roman"/>
          <w:sz w:val="32"/>
          <w:szCs w:val="32"/>
        </w:rPr>
        <w:t>。</w:t>
      </w:r>
    </w:p>
    <w:p w14:paraId="250DBD3D">
      <w:pPr>
        <w:spacing w:line="600" w:lineRule="exact"/>
        <w:ind w:firstLine="643" w:firstLineChars="200"/>
        <w:outlineLvl w:val="2"/>
        <w:rPr>
          <w:rFonts w:hint="default" w:ascii="Times New Roman" w:hAnsi="Times New Roman" w:eastAsia="方正楷体_GBK" w:cs="Times New Roman"/>
          <w:b/>
          <w:sz w:val="32"/>
          <w:szCs w:val="32"/>
        </w:rPr>
      </w:pPr>
      <w:bookmarkStart w:id="57" w:name="_Toc15377217"/>
      <w:bookmarkStart w:id="58" w:name="_Toc26901"/>
      <w:r>
        <w:rPr>
          <w:rFonts w:hint="eastAsia" w:ascii="Times New Roman" w:hAnsi="Times New Roman" w:eastAsia="方正楷体_GBK" w:cs="Times New Roman"/>
          <w:b/>
          <w:sz w:val="32"/>
          <w:szCs w:val="32"/>
        </w:rPr>
        <w:t>（二）“三公”经费财政拨款支出决算具体情况说明</w:t>
      </w:r>
      <w:bookmarkEnd w:id="57"/>
      <w:bookmarkEnd w:id="58"/>
    </w:p>
    <w:p w14:paraId="19F7E729">
      <w:pPr>
        <w:keepNext w:val="0"/>
        <w:keepLines w:val="0"/>
        <w:pageBreakBefore w:val="0"/>
        <w:widowControl w:val="0"/>
        <w:kinsoku/>
        <w:wordWrap/>
        <w:overflowPunct/>
        <w:topLinePunct w:val="0"/>
        <w:autoSpaceDE/>
        <w:autoSpaceDN/>
        <w:bidi w:val="0"/>
        <w:adjustRightInd/>
        <w:snapToGrid/>
        <w:spacing w:line="576" w:lineRule="exact"/>
        <w:ind w:firstLine="420" w:firstLineChars="200"/>
        <w:textAlignment w:val="auto"/>
        <w:rPr>
          <w:rFonts w:hint="eastAsia" w:ascii="Times New Roman" w:hAnsi="Times New Roman" w:eastAsia="方正仿宋_GBK" w:cs="Times New Roman"/>
          <w:sz w:val="32"/>
          <w:szCs w:val="32"/>
        </w:rPr>
      </w:pPr>
      <w:r>
        <w:drawing>
          <wp:anchor distT="0" distB="0" distL="114300" distR="114300" simplePos="0" relativeHeight="251665408" behindDoc="0" locked="0" layoutInCell="1" allowOverlap="1">
            <wp:simplePos x="0" y="0"/>
            <wp:positionH relativeFrom="column">
              <wp:posOffset>90805</wp:posOffset>
            </wp:positionH>
            <wp:positionV relativeFrom="paragraph">
              <wp:posOffset>1440815</wp:posOffset>
            </wp:positionV>
            <wp:extent cx="5274310" cy="2761615"/>
            <wp:effectExtent l="4445" t="4445" r="17145" b="15240"/>
            <wp:wrapNone/>
            <wp:docPr id="7172" name="图表 2" descr="7b0a202020202263686172745265734964223a20223230343732323036220a7d0a"/>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anchor>
        </w:drawing>
      </w:r>
      <w:r>
        <w:rPr>
          <w:rFonts w:hint="eastAsia" w:ascii="Times New Roman" w:hAnsi="Times New Roman" w:eastAsia="方正仿宋_GBK" w:cs="Times New Roman"/>
          <w:sz w:val="32"/>
          <w:szCs w:val="32"/>
        </w:rPr>
        <w:t>202</w:t>
      </w:r>
      <w:r>
        <w:rPr>
          <w:rFonts w:hint="eastAsia" w:eastAsia="方正仿宋_GBK" w:cs="Times New Roman"/>
          <w:sz w:val="32"/>
          <w:szCs w:val="32"/>
          <w:lang w:val="en-US" w:eastAsia="zh-CN"/>
        </w:rPr>
        <w:t>5</w:t>
      </w:r>
      <w:r>
        <w:rPr>
          <w:rFonts w:hint="eastAsia" w:ascii="Times New Roman" w:hAnsi="Times New Roman" w:eastAsia="方正仿宋_GBK" w:cs="Times New Roman"/>
          <w:sz w:val="32"/>
          <w:szCs w:val="32"/>
        </w:rPr>
        <w:t>年度“三公”经费财政拨款支出决算中，因公出国（境）费支出决算</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万元，占0%；公务用车购置及运行维护费支出决算</w:t>
      </w:r>
      <w:r>
        <w:rPr>
          <w:rFonts w:hint="eastAsia" w:eastAsia="方正仿宋_GBK" w:cs="Times New Roman"/>
          <w:sz w:val="32"/>
          <w:szCs w:val="32"/>
          <w:lang w:val="en-US" w:eastAsia="zh-CN"/>
        </w:rPr>
        <w:t>6.83</w:t>
      </w:r>
      <w:r>
        <w:rPr>
          <w:rFonts w:hint="eastAsia" w:ascii="Times New Roman" w:hAnsi="Times New Roman" w:eastAsia="方正仿宋_GBK" w:cs="Times New Roman"/>
          <w:sz w:val="32"/>
          <w:szCs w:val="32"/>
        </w:rPr>
        <w:t>万元，占</w:t>
      </w:r>
      <w:r>
        <w:rPr>
          <w:rFonts w:hint="eastAsia" w:eastAsia="方正仿宋_GBK" w:cs="Times New Roman"/>
          <w:sz w:val="32"/>
          <w:szCs w:val="32"/>
          <w:lang w:val="en-US" w:eastAsia="zh-CN"/>
        </w:rPr>
        <w:t>87.23</w:t>
      </w:r>
      <w:r>
        <w:rPr>
          <w:rFonts w:hint="eastAsia" w:ascii="Times New Roman" w:hAnsi="Times New Roman" w:eastAsia="方正仿宋_GBK" w:cs="Times New Roman"/>
          <w:sz w:val="32"/>
          <w:szCs w:val="32"/>
        </w:rPr>
        <w:t>%；公务接待费支出决算</w:t>
      </w:r>
      <w:r>
        <w:rPr>
          <w:rFonts w:hint="eastAsia" w:eastAsia="方正仿宋_GBK" w:cs="Times New Roman"/>
          <w:sz w:val="32"/>
          <w:szCs w:val="32"/>
          <w:lang w:val="en-US" w:eastAsia="zh-CN"/>
        </w:rPr>
        <w:t>0.10</w:t>
      </w:r>
      <w:r>
        <w:rPr>
          <w:rFonts w:hint="eastAsia" w:ascii="Times New Roman" w:hAnsi="Times New Roman" w:eastAsia="方正仿宋_GBK" w:cs="Times New Roman"/>
          <w:sz w:val="32"/>
          <w:szCs w:val="32"/>
        </w:rPr>
        <w:t>万元，占</w:t>
      </w:r>
      <w:r>
        <w:rPr>
          <w:rFonts w:hint="eastAsia" w:eastAsia="方正仿宋_GBK" w:cs="Times New Roman"/>
          <w:sz w:val="32"/>
          <w:szCs w:val="32"/>
          <w:lang w:val="en-US" w:eastAsia="zh-CN"/>
        </w:rPr>
        <w:t>12.77</w:t>
      </w:r>
      <w:r>
        <w:rPr>
          <w:rFonts w:hint="eastAsia" w:ascii="Times New Roman" w:hAnsi="Times New Roman" w:eastAsia="方正仿宋_GBK" w:cs="Times New Roman"/>
          <w:sz w:val="32"/>
          <w:szCs w:val="32"/>
        </w:rPr>
        <w:t>%。具体情况如下：</w:t>
      </w:r>
    </w:p>
    <w:p w14:paraId="6229636B">
      <w:pPr>
        <w:spacing w:line="600" w:lineRule="exact"/>
        <w:ind w:firstLine="640"/>
        <w:rPr>
          <w:rFonts w:hint="eastAsia" w:ascii="仿宋" w:hAnsi="仿宋" w:eastAsia="仿宋"/>
          <w:sz w:val="32"/>
          <w:szCs w:val="32"/>
        </w:rPr>
      </w:pPr>
    </w:p>
    <w:p w14:paraId="7A0E65C0">
      <w:pPr>
        <w:spacing w:line="600" w:lineRule="exact"/>
        <w:ind w:firstLine="640"/>
        <w:rPr>
          <w:rFonts w:hint="eastAsia" w:ascii="仿宋" w:hAnsi="仿宋" w:eastAsia="仿宋"/>
          <w:sz w:val="32"/>
          <w:szCs w:val="32"/>
        </w:rPr>
      </w:pPr>
    </w:p>
    <w:p w14:paraId="78EB9D1B">
      <w:pPr>
        <w:spacing w:line="600" w:lineRule="exact"/>
        <w:ind w:firstLine="640"/>
        <w:rPr>
          <w:rFonts w:hint="eastAsia" w:ascii="仿宋" w:hAnsi="仿宋" w:eastAsia="仿宋"/>
          <w:sz w:val="32"/>
          <w:szCs w:val="32"/>
        </w:rPr>
      </w:pPr>
    </w:p>
    <w:p w14:paraId="4DF0E7EA">
      <w:pPr>
        <w:spacing w:line="600" w:lineRule="exact"/>
        <w:ind w:firstLine="640"/>
        <w:rPr>
          <w:rFonts w:hint="eastAsia" w:ascii="仿宋" w:hAnsi="仿宋" w:eastAsia="仿宋"/>
          <w:sz w:val="32"/>
          <w:szCs w:val="32"/>
        </w:rPr>
      </w:pPr>
    </w:p>
    <w:p w14:paraId="0F40BB9F">
      <w:pPr>
        <w:spacing w:line="600" w:lineRule="exact"/>
        <w:ind w:firstLine="640"/>
        <w:rPr>
          <w:rFonts w:hint="eastAsia" w:ascii="仿宋" w:hAnsi="仿宋" w:eastAsia="仿宋"/>
          <w:sz w:val="32"/>
          <w:szCs w:val="32"/>
        </w:rPr>
      </w:pPr>
    </w:p>
    <w:p w14:paraId="7F0274B3">
      <w:pPr>
        <w:spacing w:line="600" w:lineRule="exact"/>
        <w:ind w:firstLine="640"/>
        <w:rPr>
          <w:rFonts w:hint="eastAsia" w:ascii="仿宋" w:hAnsi="仿宋" w:eastAsia="仿宋"/>
          <w:sz w:val="32"/>
          <w:szCs w:val="32"/>
        </w:rPr>
      </w:pPr>
    </w:p>
    <w:p w14:paraId="0FADB712">
      <w:pPr>
        <w:spacing w:line="600" w:lineRule="exact"/>
        <w:ind w:firstLine="640"/>
        <w:rPr>
          <w:rFonts w:hint="eastAsia" w:ascii="仿宋" w:hAnsi="仿宋" w:eastAsia="仿宋"/>
          <w:sz w:val="32"/>
          <w:szCs w:val="32"/>
        </w:rPr>
      </w:pPr>
    </w:p>
    <w:p w14:paraId="3C3D6635">
      <w:pPr>
        <w:spacing w:line="600" w:lineRule="exact"/>
        <w:jc w:val="center"/>
        <w:rPr>
          <w:rFonts w:ascii="仿宋" w:hAnsi="仿宋" w:eastAsia="仿宋"/>
          <w:sz w:val="32"/>
          <w:szCs w:val="32"/>
        </w:rPr>
      </w:pPr>
      <w:r>
        <w:rPr>
          <w:rFonts w:hint="eastAsia" w:ascii="仿宋" w:hAnsi="仿宋" w:eastAsia="仿宋"/>
          <w:sz w:val="32"/>
          <w:szCs w:val="32"/>
        </w:rPr>
        <w:t>图7：“三公”经费财政拨款支出结构</w:t>
      </w:r>
    </w:p>
    <w:p w14:paraId="6B091111">
      <w:pPr>
        <w:spacing w:line="600" w:lineRule="exact"/>
        <w:ind w:firstLine="640"/>
        <w:rPr>
          <w:rFonts w:hint="default" w:ascii="Times New Roman" w:hAnsi="Times New Roman" w:eastAsia="方正仿宋_GBK" w:cs="Times New Roman"/>
          <w:sz w:val="30"/>
          <w:szCs w:val="30"/>
        </w:rPr>
      </w:pPr>
      <w:r>
        <w:rPr>
          <w:rFonts w:hint="default" w:ascii="Times New Roman" w:hAnsi="Times New Roman" w:eastAsia="仿宋" w:cs="Times New Roman"/>
          <w:b/>
          <w:bCs/>
          <w:sz w:val="32"/>
          <w:szCs w:val="32"/>
          <w:lang w:val="en-US" w:eastAsia="zh-CN"/>
        </w:rPr>
        <w:t>1.因公出国（境）经费支出</w:t>
      </w:r>
      <w:r>
        <w:rPr>
          <w:rFonts w:hint="default" w:ascii="Times New Roman" w:hAnsi="Times New Roman" w:eastAsia="方正仿宋_GBK" w:cs="Times New Roman"/>
          <w:sz w:val="32"/>
          <w:szCs w:val="32"/>
          <w:lang w:val="en-US" w:eastAsia="zh-CN"/>
        </w:rPr>
        <w:t>0</w:t>
      </w:r>
      <w:r>
        <w:rPr>
          <w:rFonts w:hint="default" w:ascii="Times New Roman" w:hAnsi="Times New Roman" w:eastAsia="方正仿宋_GBK" w:cs="Times New Roman"/>
          <w:sz w:val="32"/>
          <w:szCs w:val="32"/>
        </w:rPr>
        <w:t>万元，完成预算0%。全年安排因公出国（境）</w:t>
      </w:r>
      <w:r>
        <w:rPr>
          <w:rFonts w:hint="default" w:ascii="Times New Roman" w:hAnsi="Times New Roman" w:eastAsia="方正仿宋_GBK" w:cs="Times New Roman"/>
          <w:sz w:val="30"/>
          <w:szCs w:val="30"/>
        </w:rPr>
        <w:t>团组0次，出国（境）0人。因公出国（境）支出决算</w:t>
      </w:r>
      <w:r>
        <w:rPr>
          <w:rFonts w:hint="default" w:ascii="Times New Roman" w:hAnsi="Times New Roman" w:eastAsia="方正仿宋_GBK" w:cs="Times New Roman"/>
          <w:sz w:val="30"/>
          <w:szCs w:val="30"/>
          <w:lang w:val="en-US" w:eastAsia="zh-CN"/>
        </w:rPr>
        <w:t>与</w:t>
      </w:r>
      <w:r>
        <w:rPr>
          <w:rFonts w:hint="eastAsia" w:eastAsia="方正仿宋_GBK" w:cs="Times New Roman"/>
          <w:sz w:val="30"/>
          <w:szCs w:val="30"/>
          <w:lang w:val="en-US" w:eastAsia="zh-CN"/>
        </w:rPr>
        <w:t>2024</w:t>
      </w:r>
      <w:r>
        <w:rPr>
          <w:rFonts w:hint="default" w:ascii="Times New Roman" w:hAnsi="Times New Roman" w:eastAsia="方正仿宋_GBK" w:cs="Times New Roman"/>
          <w:sz w:val="30"/>
          <w:szCs w:val="30"/>
        </w:rPr>
        <w:t>年</w:t>
      </w:r>
      <w:r>
        <w:rPr>
          <w:rFonts w:hint="default" w:ascii="Times New Roman" w:hAnsi="Times New Roman" w:eastAsia="方正仿宋_GBK" w:cs="Times New Roman"/>
          <w:sz w:val="30"/>
          <w:szCs w:val="30"/>
          <w:lang w:val="en-US" w:eastAsia="zh-CN"/>
        </w:rPr>
        <w:t>持平</w:t>
      </w:r>
      <w:r>
        <w:rPr>
          <w:rFonts w:hint="default" w:ascii="Times New Roman" w:hAnsi="Times New Roman" w:eastAsia="方正仿宋_GBK" w:cs="Times New Roman"/>
          <w:sz w:val="30"/>
          <w:szCs w:val="30"/>
        </w:rPr>
        <w:t>。</w:t>
      </w:r>
    </w:p>
    <w:p w14:paraId="798B5CF9">
      <w:pPr>
        <w:spacing w:line="600" w:lineRule="exact"/>
        <w:ind w:firstLine="640"/>
        <w:rPr>
          <w:rFonts w:hint="default" w:ascii="Times New Roman" w:hAnsi="Times New Roman" w:eastAsia="方正仿宋_GBK" w:cs="Times New Roman"/>
          <w:sz w:val="32"/>
          <w:szCs w:val="32"/>
          <w:lang w:val="en-US"/>
        </w:rPr>
      </w:pPr>
      <w:r>
        <w:rPr>
          <w:rFonts w:hint="default" w:ascii="Times New Roman" w:hAnsi="Times New Roman" w:eastAsia="仿宋" w:cs="Times New Roman"/>
          <w:b/>
          <w:bCs/>
          <w:sz w:val="32"/>
          <w:szCs w:val="32"/>
          <w:lang w:val="en-US" w:eastAsia="zh-CN"/>
        </w:rPr>
        <w:t>2.公务用车购置及运行维护费支</w:t>
      </w:r>
      <w:r>
        <w:rPr>
          <w:rFonts w:hint="eastAsia" w:ascii="仿宋" w:hAnsi="仿宋" w:eastAsia="仿宋" w:cs="Times New Roman"/>
          <w:b/>
          <w:bCs/>
          <w:sz w:val="32"/>
          <w:szCs w:val="32"/>
          <w:lang w:val="en-US" w:eastAsia="zh-CN"/>
        </w:rPr>
        <w:t>出</w:t>
      </w:r>
      <w:r>
        <w:rPr>
          <w:rFonts w:hint="eastAsia" w:eastAsia="方正仿宋_GBK" w:cs="Times New Roman"/>
          <w:sz w:val="32"/>
          <w:szCs w:val="32"/>
          <w:lang w:val="en-US" w:eastAsia="zh-CN"/>
        </w:rPr>
        <w:t>6.83</w:t>
      </w:r>
      <w:r>
        <w:rPr>
          <w:rFonts w:hint="eastAsia" w:ascii="Times New Roman" w:hAnsi="Times New Roman" w:eastAsia="方正仿宋_GBK" w:cs="Times New Roman"/>
          <w:sz w:val="32"/>
          <w:szCs w:val="32"/>
        </w:rPr>
        <w:t>万元,完成预算100%。公务用车购置及运行维护费支出决算比</w:t>
      </w:r>
      <w:r>
        <w:rPr>
          <w:rFonts w:hint="eastAsia" w:eastAsia="方正仿宋_GBK" w:cs="Times New Roman"/>
          <w:sz w:val="32"/>
          <w:szCs w:val="32"/>
          <w:lang w:val="en-US" w:eastAsia="zh-CN"/>
        </w:rPr>
        <w:t>2024</w:t>
      </w:r>
      <w:r>
        <w:rPr>
          <w:rFonts w:hint="eastAsia" w:ascii="Times New Roman" w:hAnsi="Times New Roman" w:eastAsia="方正仿宋_GBK" w:cs="Times New Roman"/>
          <w:sz w:val="32"/>
          <w:szCs w:val="32"/>
        </w:rPr>
        <w:t>年度</w:t>
      </w:r>
      <w:r>
        <w:rPr>
          <w:rFonts w:hint="eastAsia" w:eastAsia="方正仿宋_GBK" w:cs="Times New Roman"/>
          <w:sz w:val="32"/>
          <w:szCs w:val="32"/>
          <w:lang w:val="en-US" w:eastAsia="zh-CN"/>
        </w:rPr>
        <w:t>增加1.40</w:t>
      </w:r>
      <w:r>
        <w:rPr>
          <w:rFonts w:hint="eastAsia" w:ascii="Times New Roman" w:hAnsi="Times New Roman" w:eastAsia="方正仿宋_GBK" w:cs="Times New Roman"/>
          <w:sz w:val="32"/>
          <w:szCs w:val="32"/>
        </w:rPr>
        <w:t>万元，</w:t>
      </w:r>
      <w:r>
        <w:rPr>
          <w:rFonts w:hint="eastAsia" w:eastAsia="方正仿宋_GBK" w:cs="Times New Roman"/>
          <w:sz w:val="32"/>
          <w:szCs w:val="32"/>
          <w:lang w:val="en-US" w:eastAsia="zh-CN"/>
        </w:rPr>
        <w:t>增长25.73</w:t>
      </w:r>
      <w:r>
        <w:rPr>
          <w:rFonts w:hint="eastAsia" w:ascii="Times New Roman" w:hAnsi="Times New Roman" w:eastAsia="方正仿宋_GBK" w:cs="Times New Roman"/>
          <w:sz w:val="32"/>
          <w:szCs w:val="32"/>
        </w:rPr>
        <w:t>%。主要原因</w:t>
      </w:r>
      <w:r>
        <w:rPr>
          <w:rFonts w:hint="eastAsia" w:eastAsia="方正仿宋_GBK" w:cs="Times New Roman"/>
          <w:sz w:val="32"/>
          <w:szCs w:val="32"/>
          <w:lang w:val="en-US" w:eastAsia="zh-CN"/>
        </w:rPr>
        <w:t>是检察业务工作任务加大，刑事检察现场核查、公益诉讼实地勘查、巡回检察、社区矫正监督、基层普法等工作增多，大量工作需要下沉乡镇、深入现场，公务出行频次和车辆行驶里程相应增加。</w:t>
      </w:r>
    </w:p>
    <w:p w14:paraId="13007105">
      <w:pPr>
        <w:spacing w:line="600" w:lineRule="exact"/>
        <w:ind w:firstLine="640" w:firstLineChars="200"/>
        <w:rPr>
          <w:rFonts w:hint="eastAsia" w:ascii="Times New Roman" w:hAnsi="Times New Roman" w:eastAsia="方正仿宋_GBK" w:cs="Times New Roman"/>
          <w:sz w:val="32"/>
          <w:szCs w:val="32"/>
        </w:rPr>
      </w:pPr>
      <w:r>
        <w:rPr>
          <w:rFonts w:hint="eastAsia" w:ascii="仿宋" w:hAnsi="仿宋" w:eastAsia="仿宋" w:cs="Times New Roman"/>
          <w:sz w:val="32"/>
          <w:szCs w:val="32"/>
        </w:rPr>
        <w:t>其中：</w:t>
      </w:r>
      <w:r>
        <w:rPr>
          <w:rFonts w:hint="eastAsia" w:ascii="仿宋" w:hAnsi="仿宋" w:eastAsia="仿宋" w:cs="Times New Roman"/>
          <w:b/>
          <w:bCs/>
          <w:sz w:val="32"/>
          <w:szCs w:val="32"/>
          <w:lang w:val="en-US" w:eastAsia="zh-CN"/>
        </w:rPr>
        <w:t>公务用车购置支出</w:t>
      </w:r>
      <w:r>
        <w:rPr>
          <w:rFonts w:hint="default" w:ascii="Times New Roman" w:hAnsi="Times New Roman" w:eastAsia="方正仿宋_GBK" w:cs="Times New Roman"/>
          <w:sz w:val="32"/>
          <w:szCs w:val="32"/>
        </w:rPr>
        <w:t>0</w:t>
      </w:r>
      <w:r>
        <w:rPr>
          <w:rFonts w:hint="eastAsia" w:ascii="Times New Roman" w:hAnsi="Times New Roman" w:eastAsia="方正仿宋_GBK" w:cs="Times New Roman"/>
          <w:sz w:val="32"/>
          <w:szCs w:val="32"/>
        </w:rPr>
        <w:t>万元。全年按规定更新购置公务用车</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辆，其中：轿车</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辆、金额</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万元，越野车</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辆、金额</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万元，载客汽车</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辆、金额</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万元。截至20</w:t>
      </w:r>
      <w:r>
        <w:rPr>
          <w:rFonts w:hint="eastAsia" w:eastAsia="方正仿宋_GBK" w:cs="Times New Roman"/>
          <w:sz w:val="32"/>
          <w:szCs w:val="32"/>
          <w:lang w:val="en-US" w:eastAsia="zh-CN"/>
        </w:rPr>
        <w:t>25</w:t>
      </w:r>
      <w:r>
        <w:rPr>
          <w:rFonts w:hint="eastAsia" w:ascii="Times New Roman" w:hAnsi="Times New Roman" w:eastAsia="方正仿宋_GBK" w:cs="Times New Roman"/>
          <w:sz w:val="32"/>
          <w:szCs w:val="32"/>
        </w:rPr>
        <w:t>年12月31日，单位共有公务用车</w:t>
      </w: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辆，其中：轿车</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辆、越野车</w:t>
      </w:r>
      <w:r>
        <w:rPr>
          <w:rFonts w:hint="eastAsia" w:ascii="Times New Roman" w:hAnsi="Times New Roman" w:eastAsia="方正仿宋_GBK" w:cs="Times New Roman"/>
          <w:sz w:val="32"/>
          <w:szCs w:val="32"/>
          <w:lang w:val="en-US" w:eastAsia="zh-CN"/>
        </w:rPr>
        <w:t>5</w:t>
      </w:r>
      <w:r>
        <w:rPr>
          <w:rFonts w:hint="eastAsia" w:ascii="Times New Roman" w:hAnsi="Times New Roman" w:eastAsia="方正仿宋_GBK" w:cs="Times New Roman"/>
          <w:sz w:val="32"/>
          <w:szCs w:val="32"/>
        </w:rPr>
        <w:t>辆、载客汽车</w:t>
      </w:r>
      <w:r>
        <w:rPr>
          <w:rFonts w:hint="eastAsia" w:ascii="Times New Roman" w:hAnsi="Times New Roman" w:eastAsia="方正仿宋_GBK" w:cs="Times New Roman"/>
          <w:sz w:val="32"/>
          <w:szCs w:val="32"/>
          <w:lang w:val="en-US" w:eastAsia="zh-CN"/>
        </w:rPr>
        <w:t>0</w:t>
      </w:r>
      <w:r>
        <w:rPr>
          <w:rFonts w:hint="eastAsia" w:ascii="Times New Roman" w:hAnsi="Times New Roman" w:eastAsia="方正仿宋_GBK" w:cs="Times New Roman"/>
          <w:sz w:val="32"/>
          <w:szCs w:val="32"/>
        </w:rPr>
        <w:t>辆。</w:t>
      </w:r>
    </w:p>
    <w:p w14:paraId="71589A50">
      <w:pPr>
        <w:spacing w:line="600" w:lineRule="exact"/>
        <w:ind w:firstLine="640"/>
        <w:rPr>
          <w:rFonts w:hint="default" w:ascii="Times New Roman" w:hAnsi="Times New Roman" w:eastAsia="方正仿宋_GBK" w:cs="Times New Roman"/>
          <w:sz w:val="32"/>
          <w:szCs w:val="32"/>
        </w:rPr>
      </w:pPr>
      <w:r>
        <w:rPr>
          <w:rFonts w:hint="eastAsia" w:ascii="仿宋" w:hAnsi="仿宋" w:eastAsia="仿宋" w:cs="Times New Roman"/>
          <w:b/>
          <w:bCs/>
          <w:sz w:val="32"/>
          <w:szCs w:val="32"/>
          <w:lang w:val="en-US" w:eastAsia="zh-CN"/>
        </w:rPr>
        <w:t>公务用车运行维护费支出6.83</w:t>
      </w:r>
      <w:r>
        <w:rPr>
          <w:rFonts w:hint="default" w:ascii="Times New Roman" w:hAnsi="Times New Roman" w:eastAsia="方正仿宋_GBK" w:cs="Times New Roman"/>
          <w:sz w:val="32"/>
          <w:szCs w:val="32"/>
          <w:lang w:val="en-US" w:eastAsia="zh-CN"/>
        </w:rPr>
        <w:t>万元。主要用于检察办案、日常办公、巡山巡林巡河等</w:t>
      </w:r>
      <w:r>
        <w:rPr>
          <w:rFonts w:hint="default" w:ascii="Times New Roman" w:hAnsi="Times New Roman" w:eastAsia="方正仿宋_GBK" w:cs="Times New Roman"/>
          <w:sz w:val="32"/>
          <w:szCs w:val="32"/>
        </w:rPr>
        <w:t>所需的公务用车燃料费、维修费、过路过桥费、保险费等支出。</w:t>
      </w:r>
    </w:p>
    <w:p w14:paraId="2D885299">
      <w:pPr>
        <w:spacing w:line="600" w:lineRule="exact"/>
        <w:ind w:firstLine="640"/>
        <w:rPr>
          <w:rFonts w:hint="eastAsia" w:ascii="Times New Roman" w:hAnsi="Times New Roman" w:eastAsia="方正仿宋_GBK" w:cs="Times New Roman"/>
          <w:sz w:val="32"/>
          <w:szCs w:val="32"/>
          <w:lang w:val="en-US" w:eastAsia="zh-CN"/>
        </w:rPr>
      </w:pPr>
      <w:r>
        <w:rPr>
          <w:rFonts w:hint="eastAsia" w:ascii="仿宋" w:hAnsi="仿宋" w:eastAsia="仿宋" w:cs="Times New Roman"/>
          <w:b/>
          <w:bCs/>
          <w:sz w:val="32"/>
          <w:szCs w:val="32"/>
          <w:lang w:val="en-US" w:eastAsia="zh-CN"/>
        </w:rPr>
        <w:t>3.公务接待费支出1.00</w:t>
      </w:r>
      <w:r>
        <w:rPr>
          <w:rFonts w:hint="eastAsia" w:ascii="Times New Roman" w:hAnsi="Times New Roman" w:eastAsia="方正仿宋_GBK" w:cs="Times New Roman"/>
          <w:sz w:val="32"/>
          <w:szCs w:val="32"/>
          <w:lang w:val="en-US" w:eastAsia="zh-CN"/>
        </w:rPr>
        <w:t>万元，完成预算</w:t>
      </w:r>
      <w:r>
        <w:rPr>
          <w:rFonts w:hint="eastAsia" w:eastAsia="方正仿宋_GBK" w:cs="Times New Roman"/>
          <w:sz w:val="32"/>
          <w:szCs w:val="32"/>
          <w:lang w:val="en-US" w:eastAsia="zh-CN"/>
        </w:rPr>
        <w:t>100</w:t>
      </w:r>
      <w:r>
        <w:rPr>
          <w:rFonts w:hint="eastAsia" w:ascii="Times New Roman" w:hAnsi="Times New Roman" w:eastAsia="方正仿宋_GBK" w:cs="Times New Roman"/>
          <w:sz w:val="32"/>
          <w:szCs w:val="32"/>
          <w:lang w:val="en-US" w:eastAsia="zh-CN"/>
        </w:rPr>
        <w:t>%。公务接待费支出决算比</w:t>
      </w:r>
      <w:r>
        <w:rPr>
          <w:rFonts w:hint="eastAsia" w:eastAsia="方正仿宋_GBK" w:cs="Times New Roman"/>
          <w:sz w:val="32"/>
          <w:szCs w:val="32"/>
          <w:lang w:val="en-US" w:eastAsia="zh-CN"/>
        </w:rPr>
        <w:t>2024</w:t>
      </w:r>
      <w:r>
        <w:rPr>
          <w:rFonts w:hint="eastAsia" w:ascii="Times New Roman" w:hAnsi="Times New Roman" w:eastAsia="方正仿宋_GBK" w:cs="Times New Roman"/>
          <w:sz w:val="32"/>
          <w:szCs w:val="32"/>
          <w:lang w:val="en-US" w:eastAsia="zh-CN"/>
        </w:rPr>
        <w:t>年度</w:t>
      </w:r>
      <w:r>
        <w:rPr>
          <w:rFonts w:hint="eastAsia" w:eastAsia="方正仿宋_GBK" w:cs="Times New Roman"/>
          <w:sz w:val="32"/>
          <w:szCs w:val="32"/>
          <w:lang w:val="en-US" w:eastAsia="zh-CN"/>
        </w:rPr>
        <w:t>减少0.13</w:t>
      </w:r>
      <w:r>
        <w:rPr>
          <w:rFonts w:hint="eastAsia" w:ascii="Times New Roman" w:hAnsi="Times New Roman" w:eastAsia="方正仿宋_GBK" w:cs="Times New Roman"/>
          <w:sz w:val="32"/>
          <w:szCs w:val="32"/>
          <w:lang w:val="en-US" w:eastAsia="zh-CN"/>
        </w:rPr>
        <w:t>万元，</w:t>
      </w:r>
      <w:r>
        <w:rPr>
          <w:rFonts w:hint="eastAsia" w:eastAsia="方正仿宋_GBK" w:cs="Times New Roman"/>
          <w:sz w:val="32"/>
          <w:szCs w:val="32"/>
          <w:lang w:val="en-US" w:eastAsia="zh-CN"/>
        </w:rPr>
        <w:t>降低11.86</w:t>
      </w:r>
      <w:r>
        <w:rPr>
          <w:rFonts w:hint="eastAsia" w:ascii="Times New Roman" w:hAnsi="Times New Roman" w:eastAsia="方正仿宋_GBK" w:cs="Times New Roman"/>
          <w:sz w:val="32"/>
          <w:szCs w:val="32"/>
          <w:lang w:val="en-US" w:eastAsia="zh-CN"/>
        </w:rPr>
        <w:t>%。</w:t>
      </w:r>
      <w:r>
        <w:rPr>
          <w:rFonts w:hint="eastAsia" w:eastAsia="方正仿宋_GBK" w:cs="Times New Roman"/>
          <w:sz w:val="32"/>
          <w:szCs w:val="32"/>
          <w:lang w:val="en-US" w:eastAsia="zh-CN"/>
        </w:rPr>
        <w:t>主要原因是</w:t>
      </w:r>
      <w:r>
        <w:rPr>
          <w:rFonts w:hint="eastAsia" w:ascii="Times New Roman" w:hAnsi="Times New Roman" w:eastAsia="方正仿宋_GBK" w:cs="Times New Roman"/>
          <w:sz w:val="32"/>
          <w:szCs w:val="32"/>
          <w:lang w:val="en-US" w:eastAsia="zh-CN"/>
        </w:rPr>
        <w:t>贯彻落实过紧日子</w:t>
      </w:r>
      <w:r>
        <w:rPr>
          <w:rFonts w:hint="eastAsia" w:eastAsia="方正仿宋_GBK" w:cs="Times New Roman"/>
          <w:sz w:val="32"/>
          <w:szCs w:val="32"/>
          <w:lang w:val="en-US" w:eastAsia="zh-CN"/>
        </w:rPr>
        <w:t>要求，例行节约</w:t>
      </w:r>
      <w:r>
        <w:rPr>
          <w:rFonts w:hint="eastAsia" w:ascii="Times New Roman" w:hAnsi="Times New Roman" w:eastAsia="方正仿宋_GBK" w:cs="Times New Roman"/>
          <w:sz w:val="32"/>
          <w:szCs w:val="32"/>
          <w:lang w:val="en-US" w:eastAsia="zh-CN"/>
        </w:rPr>
        <w:t>。其中：</w:t>
      </w:r>
    </w:p>
    <w:p w14:paraId="037CE2F9">
      <w:pPr>
        <w:spacing w:line="600" w:lineRule="exact"/>
        <w:ind w:firstLine="640"/>
        <w:rPr>
          <w:rFonts w:hint="eastAsia" w:ascii="Times New Roman" w:hAnsi="Times New Roman" w:eastAsia="方正仿宋_GBK" w:cs="Times New Roman"/>
          <w:color w:val="auto"/>
          <w:sz w:val="32"/>
          <w:szCs w:val="32"/>
          <w:lang w:val="en-US" w:eastAsia="zh-CN"/>
        </w:rPr>
      </w:pPr>
      <w:r>
        <w:rPr>
          <w:rFonts w:hint="eastAsia" w:ascii="仿宋" w:hAnsi="仿宋" w:eastAsia="仿宋"/>
          <w:b/>
          <w:sz w:val="32"/>
          <w:szCs w:val="32"/>
        </w:rPr>
        <w:t>国内公务接</w:t>
      </w:r>
      <w:r>
        <w:rPr>
          <w:rFonts w:hint="eastAsia" w:ascii="仿宋" w:hAnsi="仿宋" w:eastAsia="仿宋"/>
          <w:b/>
          <w:color w:val="auto"/>
          <w:sz w:val="32"/>
          <w:szCs w:val="32"/>
        </w:rPr>
        <w:t>待支出</w:t>
      </w:r>
      <w:r>
        <w:rPr>
          <w:rFonts w:hint="eastAsia" w:eastAsia="方正仿宋_GBK" w:cs="Times New Roman"/>
          <w:color w:val="auto"/>
          <w:sz w:val="32"/>
          <w:szCs w:val="32"/>
          <w:lang w:val="en-US" w:eastAsia="zh-CN"/>
        </w:rPr>
        <w:t>1.00</w:t>
      </w:r>
      <w:r>
        <w:rPr>
          <w:rFonts w:hint="eastAsia" w:ascii="Times New Roman" w:hAnsi="Times New Roman" w:eastAsia="方正仿宋_GBK" w:cs="Times New Roman"/>
          <w:color w:val="auto"/>
          <w:sz w:val="32"/>
          <w:szCs w:val="32"/>
          <w:lang w:val="en-US" w:eastAsia="zh-CN"/>
        </w:rPr>
        <w:t>万元，主要用于执行公务、开展业务活动开支的</w:t>
      </w:r>
      <w:r>
        <w:rPr>
          <w:rFonts w:hint="eastAsia" w:ascii="Times New Roman" w:hAnsi="Times New Roman" w:eastAsia="方正仿宋_GBK" w:cs="Times New Roman"/>
          <w:color w:val="auto"/>
          <w:sz w:val="32"/>
          <w:szCs w:val="32"/>
          <w:highlight w:val="none"/>
          <w:lang w:val="en-US" w:eastAsia="zh-CN"/>
        </w:rPr>
        <w:t>用餐费等。国内公务接待</w:t>
      </w:r>
      <w:r>
        <w:rPr>
          <w:rFonts w:hint="eastAsia" w:eastAsia="方正仿宋_GBK" w:cs="Times New Roman"/>
          <w:color w:val="auto"/>
          <w:sz w:val="32"/>
          <w:szCs w:val="32"/>
          <w:highlight w:val="none"/>
          <w:lang w:val="en-US" w:eastAsia="zh-CN"/>
        </w:rPr>
        <w:t>4</w:t>
      </w:r>
      <w:r>
        <w:rPr>
          <w:rFonts w:hint="eastAsia" w:ascii="Times New Roman" w:hAnsi="Times New Roman" w:eastAsia="方正仿宋_GBK" w:cs="Times New Roman"/>
          <w:color w:val="auto"/>
          <w:sz w:val="32"/>
          <w:szCs w:val="32"/>
          <w:highlight w:val="none"/>
          <w:lang w:val="en-US" w:eastAsia="zh-CN"/>
        </w:rPr>
        <w:t>批次，</w:t>
      </w:r>
      <w:r>
        <w:rPr>
          <w:rFonts w:hint="eastAsia" w:eastAsia="方正仿宋_GBK" w:cs="Times New Roman"/>
          <w:color w:val="auto"/>
          <w:sz w:val="32"/>
          <w:szCs w:val="32"/>
          <w:highlight w:val="none"/>
          <w:lang w:val="en-US" w:eastAsia="zh-CN"/>
        </w:rPr>
        <w:t>62</w:t>
      </w:r>
      <w:r>
        <w:rPr>
          <w:rFonts w:hint="eastAsia" w:ascii="Times New Roman" w:hAnsi="Times New Roman" w:eastAsia="方正仿宋_GBK" w:cs="Times New Roman"/>
          <w:color w:val="auto"/>
          <w:sz w:val="32"/>
          <w:szCs w:val="32"/>
          <w:highlight w:val="none"/>
          <w:lang w:val="en-US" w:eastAsia="zh-CN"/>
        </w:rPr>
        <w:t>人次，共计支出</w:t>
      </w:r>
      <w:r>
        <w:rPr>
          <w:rFonts w:hint="eastAsia" w:eastAsia="方正仿宋_GBK" w:cs="Times New Roman"/>
          <w:color w:val="auto"/>
          <w:sz w:val="32"/>
          <w:szCs w:val="32"/>
          <w:highlight w:val="none"/>
          <w:lang w:val="en-US" w:eastAsia="zh-CN"/>
        </w:rPr>
        <w:t>1.0</w:t>
      </w:r>
      <w:r>
        <w:rPr>
          <w:rFonts w:hint="eastAsia" w:ascii="Times New Roman" w:hAnsi="Times New Roman" w:eastAsia="方正仿宋_GBK" w:cs="Times New Roman"/>
          <w:color w:val="auto"/>
          <w:sz w:val="32"/>
          <w:szCs w:val="32"/>
          <w:highlight w:val="none"/>
          <w:lang w:val="en-US" w:eastAsia="zh-CN"/>
        </w:rPr>
        <w:t>万元，具体内容包括：</w:t>
      </w:r>
      <w:r>
        <w:rPr>
          <w:rFonts w:hint="eastAsia" w:eastAsia="方正仿宋_GBK" w:cs="Times New Roman"/>
          <w:color w:val="auto"/>
          <w:sz w:val="32"/>
          <w:szCs w:val="32"/>
          <w:highlight w:val="none"/>
          <w:lang w:val="en-US" w:eastAsia="zh-CN"/>
        </w:rPr>
        <w:t>工作考察交流接待1批次，11人次，金额0.17万元；援助工作接待2批次，47人次，金额0.75万元；调研工作接待1批次，4人次，金额0.08万元</w:t>
      </w:r>
      <w:r>
        <w:rPr>
          <w:rFonts w:hint="eastAsia" w:ascii="Times New Roman" w:hAnsi="Times New Roman" w:eastAsia="方正仿宋_GBK" w:cs="Times New Roman"/>
          <w:color w:val="auto"/>
          <w:sz w:val="32"/>
          <w:szCs w:val="32"/>
          <w:highlight w:val="none"/>
          <w:lang w:val="en-US" w:eastAsia="zh-CN"/>
        </w:rPr>
        <w:t>。</w:t>
      </w:r>
    </w:p>
    <w:p w14:paraId="6BEF63D6">
      <w:pPr>
        <w:spacing w:line="600" w:lineRule="exact"/>
        <w:ind w:firstLine="643" w:firstLineChars="200"/>
        <w:rPr>
          <w:rFonts w:hint="eastAsia" w:ascii="Times New Roman" w:hAnsi="Times New Roman" w:eastAsia="方正仿宋_GBK" w:cs="Times New Roman"/>
          <w:sz w:val="32"/>
          <w:szCs w:val="32"/>
          <w:lang w:val="en-US" w:eastAsia="zh-CN"/>
        </w:rPr>
      </w:pPr>
      <w:r>
        <w:rPr>
          <w:rFonts w:hint="eastAsia" w:ascii="仿宋" w:hAnsi="仿宋" w:eastAsia="仿宋"/>
          <w:b/>
          <w:color w:val="auto"/>
          <w:sz w:val="32"/>
          <w:szCs w:val="32"/>
        </w:rPr>
        <w:t>外事接待支出</w:t>
      </w:r>
      <w:r>
        <w:rPr>
          <w:rFonts w:hint="eastAsia" w:ascii="Times New Roman" w:hAnsi="Times New Roman" w:eastAsia="方正仿宋_GBK" w:cs="Times New Roman"/>
          <w:color w:val="auto"/>
          <w:sz w:val="32"/>
          <w:szCs w:val="32"/>
          <w:lang w:val="en-US" w:eastAsia="zh-CN"/>
        </w:rPr>
        <w:t>0</w:t>
      </w:r>
      <w:r>
        <w:rPr>
          <w:rFonts w:hint="eastAsia" w:ascii="Times New Roman" w:hAnsi="Times New Roman" w:eastAsia="方正仿宋_GBK" w:cs="Times New Roman"/>
          <w:color w:val="auto"/>
          <w:sz w:val="32"/>
          <w:szCs w:val="32"/>
        </w:rPr>
        <w:t>万元。</w:t>
      </w:r>
      <w:r>
        <w:rPr>
          <w:rFonts w:hint="eastAsia" w:ascii="Times New Roman" w:hAnsi="Times New Roman" w:eastAsia="方正仿宋_GBK" w:cs="Times New Roman"/>
          <w:color w:val="auto"/>
          <w:sz w:val="32"/>
          <w:szCs w:val="32"/>
          <w:lang w:val="en-US" w:eastAsia="zh-CN"/>
        </w:rPr>
        <w:t>外事接待0批次，0</w:t>
      </w:r>
      <w:r>
        <w:rPr>
          <w:rFonts w:hint="eastAsia" w:ascii="Times New Roman" w:hAnsi="Times New Roman" w:eastAsia="方正仿宋_GBK" w:cs="Times New Roman"/>
          <w:sz w:val="32"/>
          <w:szCs w:val="32"/>
          <w:lang w:val="en-US" w:eastAsia="zh-CN"/>
        </w:rPr>
        <w:t>人次，共计支出0万元。</w:t>
      </w:r>
      <w:bookmarkStart w:id="59" w:name="_Toc15396610"/>
      <w:bookmarkStart w:id="60" w:name="_Toc15377218"/>
    </w:p>
    <w:p w14:paraId="50094621">
      <w:pPr>
        <w:spacing w:line="600" w:lineRule="exact"/>
        <w:ind w:firstLine="640"/>
        <w:outlineLvl w:val="1"/>
        <w:rPr>
          <w:rStyle w:val="30"/>
          <w:rFonts w:ascii="黑体" w:hAnsi="黑体" w:eastAsia="黑体"/>
        </w:rPr>
      </w:pPr>
      <w:bookmarkStart w:id="61" w:name="_Toc16382"/>
      <w:r>
        <w:rPr>
          <w:rFonts w:hint="eastAsia" w:ascii="黑体" w:eastAsia="黑体"/>
          <w:sz w:val="32"/>
          <w:szCs w:val="32"/>
        </w:rPr>
        <w:t>八、</w:t>
      </w:r>
      <w:r>
        <w:rPr>
          <w:rStyle w:val="30"/>
          <w:rFonts w:hint="eastAsia" w:ascii="黑体" w:hAnsi="黑体" w:eastAsia="黑体"/>
          <w:b w:val="0"/>
        </w:rPr>
        <w:t>政府性基金预算支出决算情况说明</w:t>
      </w:r>
      <w:bookmarkEnd w:id="59"/>
      <w:bookmarkEnd w:id="60"/>
      <w:bookmarkEnd w:id="61"/>
    </w:p>
    <w:p w14:paraId="542DD7C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w:t>
      </w:r>
      <w:r>
        <w:rPr>
          <w:rFonts w:hint="eastAsia"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年度政府性基金预算财政拨款支出0万元。</w:t>
      </w:r>
    </w:p>
    <w:p w14:paraId="0553526C">
      <w:pPr>
        <w:numPr>
          <w:ilvl w:val="0"/>
          <w:numId w:val="2"/>
        </w:numPr>
        <w:spacing w:line="600" w:lineRule="exact"/>
        <w:ind w:firstLine="640"/>
        <w:outlineLvl w:val="1"/>
        <w:rPr>
          <w:rStyle w:val="30"/>
          <w:rFonts w:ascii="黑体" w:hAnsi="黑体" w:eastAsia="黑体"/>
          <w:b w:val="0"/>
        </w:rPr>
      </w:pPr>
      <w:bookmarkStart w:id="62" w:name="_Toc15377219"/>
      <w:bookmarkStart w:id="63" w:name="_Toc8452"/>
      <w:bookmarkStart w:id="64" w:name="_Toc15396611"/>
      <w:r>
        <w:rPr>
          <w:rStyle w:val="30"/>
          <w:rFonts w:hint="eastAsia" w:ascii="黑体" w:hAnsi="黑体" w:eastAsia="黑体"/>
          <w:b w:val="0"/>
        </w:rPr>
        <w:t>国有资本经营预算支出决算情况说明</w:t>
      </w:r>
      <w:bookmarkEnd w:id="62"/>
      <w:bookmarkEnd w:id="63"/>
      <w:bookmarkEnd w:id="64"/>
    </w:p>
    <w:p w14:paraId="19CD8DA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w:t>
      </w:r>
      <w:r>
        <w:rPr>
          <w:rFonts w:hint="eastAsia"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年度国有资本经营预算财政拨款支出0万元。</w:t>
      </w:r>
    </w:p>
    <w:p w14:paraId="7CF99C84">
      <w:pPr>
        <w:numPr>
          <w:ilvl w:val="0"/>
          <w:numId w:val="2"/>
        </w:numPr>
        <w:spacing w:line="600" w:lineRule="exact"/>
        <w:ind w:firstLine="640"/>
        <w:outlineLvl w:val="1"/>
        <w:rPr>
          <w:rStyle w:val="30"/>
          <w:rFonts w:ascii="黑体" w:hAnsi="黑体" w:eastAsia="黑体"/>
          <w:b w:val="0"/>
        </w:rPr>
      </w:pPr>
      <w:bookmarkStart w:id="65" w:name="_Toc15377221"/>
      <w:bookmarkStart w:id="66" w:name="_Toc15396612"/>
      <w:bookmarkStart w:id="67" w:name="_Toc10275"/>
      <w:r>
        <w:rPr>
          <w:rStyle w:val="30"/>
          <w:rFonts w:hint="eastAsia" w:ascii="黑体" w:hAnsi="黑体" w:eastAsia="黑体"/>
          <w:b w:val="0"/>
        </w:rPr>
        <w:t>其他重要事项的情况说明</w:t>
      </w:r>
      <w:bookmarkEnd w:id="65"/>
      <w:bookmarkEnd w:id="66"/>
      <w:bookmarkEnd w:id="67"/>
    </w:p>
    <w:p w14:paraId="17F2CCBB">
      <w:pPr>
        <w:spacing w:line="600" w:lineRule="exact"/>
        <w:ind w:firstLine="643" w:firstLineChars="200"/>
        <w:outlineLvl w:val="2"/>
        <w:rPr>
          <w:rFonts w:hint="default" w:ascii="Times New Roman" w:hAnsi="Times New Roman" w:eastAsia="方正楷体_GBK" w:cs="Times New Roman"/>
          <w:b/>
          <w:sz w:val="32"/>
          <w:szCs w:val="32"/>
        </w:rPr>
      </w:pPr>
      <w:bookmarkStart w:id="68" w:name="_Toc16871"/>
      <w:bookmarkStart w:id="69" w:name="_Toc15377222"/>
      <w:r>
        <w:rPr>
          <w:rFonts w:hint="eastAsia" w:ascii="Times New Roman" w:hAnsi="Times New Roman" w:eastAsia="方正楷体_GBK" w:cs="Times New Roman"/>
          <w:b/>
          <w:sz w:val="32"/>
          <w:szCs w:val="32"/>
        </w:rPr>
        <w:t>（一）机关运行经费支出情况</w:t>
      </w:r>
      <w:bookmarkEnd w:id="68"/>
      <w:bookmarkEnd w:id="69"/>
    </w:p>
    <w:p w14:paraId="26F2EBC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lang w:val="en-US" w:eastAsia="zh-CN"/>
        </w:rPr>
      </w:pPr>
      <w:r>
        <w:rPr>
          <w:rFonts w:hint="eastAsia" w:ascii="Times New Roman" w:hAnsi="Times New Roman" w:eastAsia="方正仿宋_GBK" w:cs="Times New Roman"/>
          <w:sz w:val="32"/>
          <w:szCs w:val="32"/>
          <w:lang w:val="en-US" w:eastAsia="zh-CN"/>
        </w:rPr>
        <w:t>202</w:t>
      </w:r>
      <w:r>
        <w:rPr>
          <w:rFonts w:hint="eastAsia" w:eastAsia="方正仿宋_GBK" w:cs="Times New Roman"/>
          <w:sz w:val="32"/>
          <w:szCs w:val="32"/>
          <w:lang w:val="en-US" w:eastAsia="zh-CN"/>
        </w:rPr>
        <w:t>5</w:t>
      </w:r>
      <w:r>
        <w:rPr>
          <w:rFonts w:hint="eastAsia" w:ascii="Times New Roman" w:hAnsi="Times New Roman" w:eastAsia="方正仿宋_GBK" w:cs="Times New Roman"/>
          <w:sz w:val="32"/>
          <w:szCs w:val="32"/>
          <w:lang w:val="en-US" w:eastAsia="zh-CN"/>
        </w:rPr>
        <w:t>年度，四川省阿坝州理县人民检察院机关运行经费支出</w:t>
      </w:r>
      <w:r>
        <w:rPr>
          <w:rFonts w:hint="eastAsia" w:eastAsia="方正仿宋_GBK" w:cs="Times New Roman"/>
          <w:sz w:val="32"/>
          <w:szCs w:val="32"/>
          <w:lang w:val="en-US" w:eastAsia="zh-CN"/>
        </w:rPr>
        <w:t>70.68</w:t>
      </w:r>
      <w:r>
        <w:rPr>
          <w:rFonts w:hint="eastAsia" w:ascii="Times New Roman" w:hAnsi="Times New Roman" w:eastAsia="方正仿宋_GBK" w:cs="Times New Roman"/>
          <w:sz w:val="32"/>
          <w:szCs w:val="32"/>
          <w:lang w:val="en-US" w:eastAsia="zh-CN"/>
        </w:rPr>
        <w:t>万元，比202</w:t>
      </w:r>
      <w:r>
        <w:rPr>
          <w:rFonts w:hint="eastAsia" w:eastAsia="方正仿宋_GBK" w:cs="Times New Roman"/>
          <w:sz w:val="32"/>
          <w:szCs w:val="32"/>
          <w:lang w:val="en-US" w:eastAsia="zh-CN"/>
        </w:rPr>
        <w:t>4</w:t>
      </w:r>
      <w:r>
        <w:rPr>
          <w:rFonts w:hint="eastAsia" w:ascii="Times New Roman" w:hAnsi="Times New Roman" w:eastAsia="方正仿宋_GBK" w:cs="Times New Roman"/>
          <w:sz w:val="32"/>
          <w:szCs w:val="32"/>
          <w:lang w:val="en-US" w:eastAsia="zh-CN"/>
        </w:rPr>
        <w:t>年度</w:t>
      </w:r>
      <w:r>
        <w:rPr>
          <w:rFonts w:hint="eastAsia" w:eastAsia="方正仿宋_GBK" w:cs="Times New Roman"/>
          <w:sz w:val="32"/>
          <w:szCs w:val="32"/>
          <w:lang w:val="en-US" w:eastAsia="zh-CN"/>
        </w:rPr>
        <w:t>增加0.75</w:t>
      </w:r>
      <w:r>
        <w:rPr>
          <w:rFonts w:hint="eastAsia" w:ascii="Times New Roman" w:hAnsi="Times New Roman" w:eastAsia="方正仿宋_GBK" w:cs="Times New Roman"/>
          <w:sz w:val="32"/>
          <w:szCs w:val="32"/>
          <w:lang w:val="en-US" w:eastAsia="zh-CN"/>
        </w:rPr>
        <w:t>万元，增长</w:t>
      </w:r>
      <w:r>
        <w:rPr>
          <w:rFonts w:hint="eastAsia" w:eastAsia="方正仿宋_GBK" w:cs="Times New Roman"/>
          <w:sz w:val="32"/>
          <w:szCs w:val="32"/>
          <w:lang w:val="en-US" w:eastAsia="zh-CN"/>
        </w:rPr>
        <w:t>1.07</w:t>
      </w:r>
      <w:r>
        <w:rPr>
          <w:rFonts w:hint="eastAsia" w:ascii="Times New Roman" w:hAnsi="Times New Roman" w:eastAsia="方正仿宋_GBK" w:cs="Times New Roman"/>
          <w:sz w:val="32"/>
          <w:szCs w:val="32"/>
          <w:lang w:val="en-US" w:eastAsia="zh-CN"/>
        </w:rPr>
        <w:t>%。主要原因是</w:t>
      </w:r>
      <w:r>
        <w:rPr>
          <w:rFonts w:hint="eastAsia" w:eastAsia="方正仿宋_GBK" w:cs="Times New Roman"/>
          <w:sz w:val="32"/>
          <w:szCs w:val="32"/>
          <w:lang w:val="en-US" w:eastAsia="zh-CN"/>
        </w:rPr>
        <w:t>本年案件增加，相应差旅费增加</w:t>
      </w:r>
      <w:r>
        <w:rPr>
          <w:rFonts w:hint="eastAsia" w:ascii="Times New Roman" w:hAnsi="Times New Roman" w:eastAsia="方正仿宋_GBK" w:cs="Times New Roman"/>
          <w:sz w:val="32"/>
          <w:szCs w:val="32"/>
          <w:lang w:val="en-US" w:eastAsia="zh-CN"/>
        </w:rPr>
        <w:t>。</w:t>
      </w:r>
    </w:p>
    <w:p w14:paraId="616AD9AF">
      <w:pPr>
        <w:spacing w:line="600" w:lineRule="exact"/>
        <w:ind w:firstLine="643" w:firstLineChars="200"/>
        <w:outlineLvl w:val="2"/>
        <w:rPr>
          <w:rFonts w:hint="default" w:ascii="Times New Roman" w:hAnsi="Times New Roman" w:eastAsia="方正楷体_GBK" w:cs="Times New Roman"/>
          <w:b/>
          <w:sz w:val="32"/>
          <w:szCs w:val="32"/>
        </w:rPr>
      </w:pPr>
      <w:bookmarkStart w:id="70" w:name="_Toc15377223"/>
      <w:bookmarkStart w:id="71" w:name="_Toc7720"/>
      <w:r>
        <w:rPr>
          <w:rFonts w:hint="eastAsia" w:ascii="Times New Roman" w:hAnsi="Times New Roman" w:eastAsia="方正楷体_GBK" w:cs="Times New Roman"/>
          <w:b/>
          <w:sz w:val="32"/>
          <w:szCs w:val="32"/>
        </w:rPr>
        <w:t>（二）政府采购支出情况</w:t>
      </w:r>
      <w:bookmarkEnd w:id="70"/>
      <w:bookmarkEnd w:id="71"/>
    </w:p>
    <w:p w14:paraId="13BD774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仿宋_GBK" w:cs="Times New Roman"/>
          <w:color w:val="auto"/>
          <w:sz w:val="32"/>
          <w:szCs w:val="32"/>
          <w:lang w:val="en-US" w:eastAsia="zh-CN"/>
        </w:rPr>
        <w:t>202</w:t>
      </w:r>
      <w:r>
        <w:rPr>
          <w:rFonts w:hint="eastAsia" w:eastAsia="方正仿宋_GBK" w:cs="Times New Roman"/>
          <w:color w:val="auto"/>
          <w:sz w:val="32"/>
          <w:szCs w:val="32"/>
          <w:lang w:val="en-US" w:eastAsia="zh-CN"/>
        </w:rPr>
        <w:t>5</w:t>
      </w:r>
      <w:r>
        <w:rPr>
          <w:rFonts w:hint="eastAsia" w:ascii="Times New Roman" w:hAnsi="Times New Roman" w:eastAsia="方正仿宋_GBK" w:cs="Times New Roman"/>
          <w:color w:val="auto"/>
          <w:sz w:val="32"/>
          <w:szCs w:val="32"/>
          <w:lang w:val="en-US" w:eastAsia="zh-CN"/>
        </w:rPr>
        <w:t>年度，四川省阿坝州理县人民检察院政府采购支出总额</w:t>
      </w:r>
      <w:r>
        <w:rPr>
          <w:rFonts w:hint="eastAsia" w:eastAsia="方正仿宋_GBK" w:cs="Times New Roman"/>
          <w:color w:val="auto"/>
          <w:sz w:val="32"/>
          <w:szCs w:val="32"/>
          <w:lang w:val="en-US" w:eastAsia="zh-CN"/>
        </w:rPr>
        <w:t>52.20</w:t>
      </w:r>
      <w:r>
        <w:rPr>
          <w:rFonts w:hint="eastAsia" w:ascii="Times New Roman" w:hAnsi="Times New Roman" w:eastAsia="方正仿宋_GBK" w:cs="Times New Roman"/>
          <w:color w:val="auto"/>
          <w:sz w:val="32"/>
          <w:szCs w:val="32"/>
          <w:lang w:val="en-US" w:eastAsia="zh-CN"/>
        </w:rPr>
        <w:t>万元，其中：政府采购货物支出</w:t>
      </w:r>
      <w:r>
        <w:rPr>
          <w:rFonts w:hint="eastAsia" w:eastAsia="方正仿宋_GBK" w:cs="Times New Roman"/>
          <w:color w:val="auto"/>
          <w:sz w:val="32"/>
          <w:szCs w:val="32"/>
          <w:lang w:val="en-US" w:eastAsia="zh-CN"/>
        </w:rPr>
        <w:t>45.28</w:t>
      </w:r>
      <w:r>
        <w:rPr>
          <w:rFonts w:hint="eastAsia" w:ascii="Times New Roman" w:hAnsi="Times New Roman" w:eastAsia="方正仿宋_GBK" w:cs="Times New Roman"/>
          <w:color w:val="auto"/>
          <w:sz w:val="32"/>
          <w:szCs w:val="32"/>
          <w:lang w:val="en-US" w:eastAsia="zh-CN"/>
        </w:rPr>
        <w:t>万元、政府采购工程支出0万元、政府采购服务支出</w:t>
      </w:r>
      <w:r>
        <w:rPr>
          <w:rFonts w:hint="eastAsia" w:eastAsia="方正仿宋_GBK" w:cs="Times New Roman"/>
          <w:color w:val="auto"/>
          <w:sz w:val="32"/>
          <w:szCs w:val="32"/>
          <w:lang w:val="en-US" w:eastAsia="zh-CN"/>
        </w:rPr>
        <w:t>6.92</w:t>
      </w:r>
      <w:r>
        <w:rPr>
          <w:rFonts w:hint="eastAsia" w:ascii="Times New Roman" w:hAnsi="Times New Roman" w:eastAsia="方正仿宋_GBK" w:cs="Times New Roman"/>
          <w:color w:val="auto"/>
          <w:sz w:val="32"/>
          <w:szCs w:val="32"/>
          <w:lang w:val="en-US" w:eastAsia="zh-CN"/>
        </w:rPr>
        <w:t>万元。主要用于</w:t>
      </w:r>
      <w:r>
        <w:rPr>
          <w:rFonts w:hint="eastAsia" w:eastAsia="方正仿宋_GBK" w:cs="Times New Roman"/>
          <w:color w:val="auto"/>
          <w:sz w:val="32"/>
          <w:szCs w:val="32"/>
          <w:lang w:val="en-US" w:eastAsia="zh-CN"/>
        </w:rPr>
        <w:t>未成年人刑事检察办案区提档升级项目、12309大厅LED显示屏采购项目、车辆维修保养项目</w:t>
      </w:r>
      <w:r>
        <w:rPr>
          <w:rFonts w:hint="eastAsia" w:ascii="Times New Roman" w:hAnsi="Times New Roman" w:eastAsia="方正仿宋_GBK" w:cs="Times New Roman"/>
          <w:color w:val="auto"/>
          <w:sz w:val="32"/>
          <w:szCs w:val="32"/>
          <w:lang w:val="en-US" w:eastAsia="zh-CN"/>
        </w:rPr>
        <w:t>。授予中小企业合同金额</w:t>
      </w:r>
      <w:r>
        <w:rPr>
          <w:rFonts w:hint="eastAsia" w:eastAsia="方正仿宋_GBK" w:cs="Times New Roman"/>
          <w:color w:val="auto"/>
          <w:sz w:val="32"/>
          <w:szCs w:val="32"/>
          <w:lang w:val="en-US" w:eastAsia="zh-CN"/>
        </w:rPr>
        <w:t>0</w:t>
      </w:r>
      <w:r>
        <w:rPr>
          <w:rFonts w:hint="eastAsia" w:ascii="Times New Roman" w:hAnsi="Times New Roman" w:eastAsia="方正仿宋_GBK" w:cs="Times New Roman"/>
          <w:color w:val="auto"/>
          <w:sz w:val="32"/>
          <w:szCs w:val="32"/>
          <w:lang w:val="en-US" w:eastAsia="zh-CN"/>
        </w:rPr>
        <w:t>万元，占政府采购支出总额的</w:t>
      </w:r>
      <w:r>
        <w:rPr>
          <w:rFonts w:hint="eastAsia" w:eastAsia="方正仿宋_GBK" w:cs="Times New Roman"/>
          <w:color w:val="auto"/>
          <w:sz w:val="32"/>
          <w:szCs w:val="32"/>
          <w:lang w:val="en-US" w:eastAsia="zh-CN"/>
        </w:rPr>
        <w:t>0</w:t>
      </w:r>
      <w:r>
        <w:rPr>
          <w:rFonts w:hint="eastAsia" w:ascii="Times New Roman" w:hAnsi="Times New Roman" w:eastAsia="方正仿宋_GBK" w:cs="Times New Roman"/>
          <w:color w:val="auto"/>
          <w:sz w:val="32"/>
          <w:szCs w:val="32"/>
          <w:lang w:val="en-US" w:eastAsia="zh-CN"/>
        </w:rPr>
        <w:t>%，其中：授予小微企业合同金额0万元，占政府采购支出总额的0%。</w:t>
      </w:r>
    </w:p>
    <w:p w14:paraId="6DCFE361">
      <w:pPr>
        <w:spacing w:line="600" w:lineRule="exact"/>
        <w:ind w:firstLine="643" w:firstLineChars="200"/>
        <w:outlineLvl w:val="2"/>
        <w:rPr>
          <w:rFonts w:hint="default" w:ascii="Times New Roman" w:hAnsi="Times New Roman" w:eastAsia="方正楷体_GBK" w:cs="Times New Roman"/>
          <w:b/>
          <w:sz w:val="32"/>
          <w:szCs w:val="32"/>
        </w:rPr>
      </w:pPr>
      <w:bookmarkStart w:id="72" w:name="_Toc10222"/>
      <w:bookmarkStart w:id="73" w:name="_Toc15377224"/>
      <w:r>
        <w:rPr>
          <w:rFonts w:hint="eastAsia" w:ascii="Times New Roman" w:hAnsi="Times New Roman" w:eastAsia="方正楷体_GBK" w:cs="Times New Roman"/>
          <w:b/>
          <w:sz w:val="32"/>
          <w:szCs w:val="32"/>
        </w:rPr>
        <w:t>（三）国有资产占有使用情况</w:t>
      </w:r>
      <w:bookmarkEnd w:id="72"/>
      <w:bookmarkEnd w:id="73"/>
    </w:p>
    <w:p w14:paraId="193CFFE3">
      <w:pPr>
        <w:keepNext w:val="0"/>
        <w:keepLines w:val="0"/>
        <w:pageBreakBefore w:val="0"/>
        <w:widowControl w:val="0"/>
        <w:kinsoku/>
        <w:wordWrap/>
        <w:overflowPunct/>
        <w:topLinePunct w:val="0"/>
        <w:autoSpaceDE/>
        <w:autoSpaceDN/>
        <w:bidi w:val="0"/>
        <w:adjustRightInd/>
        <w:snapToGrid/>
        <w:spacing w:line="576" w:lineRule="exact"/>
        <w:ind w:firstLine="600" w:firstLineChars="200"/>
        <w:textAlignment w:val="auto"/>
        <w:rPr>
          <w:rFonts w:hint="eastAsia" w:ascii="Times New Roman" w:hAnsi="Times New Roman" w:eastAsia="方正仿宋_GBK" w:cs="Times New Roman"/>
          <w:sz w:val="30"/>
          <w:szCs w:val="30"/>
          <w:lang w:val="en-US" w:eastAsia="zh-CN"/>
        </w:rPr>
      </w:pPr>
      <w:r>
        <w:rPr>
          <w:rFonts w:hint="eastAsia" w:ascii="Times New Roman" w:hAnsi="Times New Roman" w:eastAsia="方正仿宋_GBK" w:cs="Times New Roman"/>
          <w:sz w:val="30"/>
          <w:szCs w:val="30"/>
          <w:lang w:val="en-US" w:eastAsia="zh-CN"/>
        </w:rPr>
        <w:t>截至202</w:t>
      </w:r>
      <w:r>
        <w:rPr>
          <w:rFonts w:hint="eastAsia" w:eastAsia="方正仿宋_GBK" w:cs="Times New Roman"/>
          <w:sz w:val="30"/>
          <w:szCs w:val="30"/>
          <w:lang w:val="en-US" w:eastAsia="zh-CN"/>
        </w:rPr>
        <w:t>5</w:t>
      </w:r>
      <w:r>
        <w:rPr>
          <w:rFonts w:hint="eastAsia" w:ascii="Times New Roman" w:hAnsi="Times New Roman" w:eastAsia="方正仿宋_GBK" w:cs="Times New Roman"/>
          <w:sz w:val="30"/>
          <w:szCs w:val="30"/>
          <w:lang w:val="en-US" w:eastAsia="zh-CN"/>
        </w:rPr>
        <w:t>年12月31日，四川省阿坝州理县人民检察院共有车辆5辆，其中：机要通信用车1辆、执法执勤用车3辆、特种专业技术用车1辆。单价100万元以上设备（不含车辆）0台（套）。</w:t>
      </w:r>
    </w:p>
    <w:p w14:paraId="18382F84">
      <w:pPr>
        <w:spacing w:line="600" w:lineRule="exact"/>
        <w:ind w:firstLine="643" w:firstLineChars="200"/>
        <w:outlineLvl w:val="2"/>
        <w:rPr>
          <w:rFonts w:hint="default" w:ascii="Times New Roman" w:hAnsi="Times New Roman" w:eastAsia="方正楷体_GBK" w:cs="Times New Roman"/>
          <w:b/>
          <w:sz w:val="32"/>
          <w:szCs w:val="32"/>
        </w:rPr>
      </w:pPr>
      <w:bookmarkStart w:id="74" w:name="_Toc7537"/>
      <w:r>
        <w:rPr>
          <w:rFonts w:hint="eastAsia" w:ascii="Times New Roman" w:hAnsi="Times New Roman" w:eastAsia="方正楷体_GBK" w:cs="Times New Roman"/>
          <w:b/>
          <w:sz w:val="32"/>
          <w:szCs w:val="32"/>
        </w:rPr>
        <w:t>（四）预算绩效管理情况</w:t>
      </w:r>
      <w:bookmarkEnd w:id="74"/>
    </w:p>
    <w:p w14:paraId="7BBAE08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eastAsia" w:ascii="Times New Roman" w:hAnsi="Times New Roman" w:eastAsia="方正仿宋_GBK" w:cs="Times New Roman"/>
          <w:sz w:val="32"/>
          <w:szCs w:val="32"/>
        </w:rPr>
        <w:t>根据预算绩效管理要求，本部门在20</w:t>
      </w:r>
      <w:r>
        <w:rPr>
          <w:rFonts w:hint="eastAsia" w:eastAsia="方正仿宋_GBK" w:cs="Times New Roman"/>
          <w:sz w:val="32"/>
          <w:szCs w:val="32"/>
          <w:lang w:val="en-US" w:eastAsia="zh-CN"/>
        </w:rPr>
        <w:t>25</w:t>
      </w:r>
      <w:r>
        <w:rPr>
          <w:rFonts w:hint="eastAsia" w:ascii="Times New Roman" w:hAnsi="Times New Roman" w:eastAsia="方正仿宋_GBK" w:cs="Times New Roman"/>
          <w:sz w:val="32"/>
          <w:szCs w:val="32"/>
        </w:rPr>
        <w:t>年度预算编制阶段，组织对20</w:t>
      </w:r>
      <w:r>
        <w:rPr>
          <w:rFonts w:hint="eastAsia" w:eastAsia="方正仿宋_GBK" w:cs="Times New Roman"/>
          <w:sz w:val="32"/>
          <w:szCs w:val="32"/>
          <w:lang w:val="en-US" w:eastAsia="zh-CN"/>
        </w:rPr>
        <w:t>25</w:t>
      </w:r>
      <w:r>
        <w:rPr>
          <w:rFonts w:hint="eastAsia" w:ascii="Times New Roman" w:hAnsi="Times New Roman" w:eastAsia="方正仿宋_GBK" w:cs="Times New Roman"/>
          <w:sz w:val="32"/>
          <w:szCs w:val="32"/>
        </w:rPr>
        <w:t>年度一般公共预算、政府性基金预算、国有资本经营预算、社会保险基金预算以及资本资产、债券资金等全面开展绩效自评，形成</w:t>
      </w:r>
      <w:r>
        <w:rPr>
          <w:rFonts w:hint="eastAsia" w:ascii="Times New Roman" w:hAnsi="Times New Roman" w:eastAsia="方正仿宋_GBK" w:cs="Times New Roman"/>
          <w:sz w:val="32"/>
          <w:szCs w:val="32"/>
          <w:lang w:val="en-US" w:eastAsia="zh-CN"/>
        </w:rPr>
        <w:t>理县人民检察院</w:t>
      </w:r>
      <w:r>
        <w:rPr>
          <w:rFonts w:hint="eastAsia" w:ascii="Times New Roman" w:hAnsi="Times New Roman" w:eastAsia="方正仿宋_GBK" w:cs="Times New Roman"/>
          <w:sz w:val="32"/>
          <w:szCs w:val="32"/>
        </w:rPr>
        <w:t>部门整体绩效自评报告，自评得分为</w:t>
      </w:r>
      <w:r>
        <w:rPr>
          <w:rFonts w:hint="eastAsia" w:eastAsia="方正仿宋_GB2312" w:cs="Times New Roman"/>
          <w:sz w:val="32"/>
          <w:szCs w:val="32"/>
          <w:lang w:val="en-US" w:eastAsia="zh-CN"/>
        </w:rPr>
        <w:t>88.89</w:t>
      </w:r>
      <w:r>
        <w:rPr>
          <w:rFonts w:hint="eastAsia" w:ascii="Times New Roman" w:hAnsi="Times New Roman" w:eastAsia="方正仿宋_GB2312" w:cs="Times New Roman"/>
          <w:sz w:val="32"/>
          <w:szCs w:val="32"/>
          <w:lang w:val="zh-CN" w:eastAsia="zh-CN"/>
        </w:rPr>
        <w:t>分</w:t>
      </w:r>
      <w:r>
        <w:rPr>
          <w:rFonts w:hint="eastAsia" w:ascii="Times New Roman" w:hAnsi="Times New Roman" w:eastAsia="方正仿宋_GBK" w:cs="Times New Roman"/>
          <w:sz w:val="32"/>
          <w:szCs w:val="32"/>
        </w:rPr>
        <w:t>，绩效自评综述：</w:t>
      </w:r>
      <w:r>
        <w:rPr>
          <w:rFonts w:hint="eastAsia" w:eastAsia="方正仿宋_GB2312" w:cs="Times New Roman"/>
          <w:sz w:val="32"/>
          <w:szCs w:val="32"/>
          <w:lang w:val="en-US" w:eastAsia="zh-CN"/>
        </w:rPr>
        <w:t>2025</w:t>
      </w:r>
      <w:r>
        <w:rPr>
          <w:rFonts w:hint="default" w:ascii="Times New Roman" w:hAnsi="Times New Roman" w:eastAsia="方正仿宋_GB2312" w:cs="Times New Roman"/>
          <w:sz w:val="32"/>
          <w:szCs w:val="32"/>
          <w:lang w:val="en-US" w:eastAsia="zh-CN"/>
        </w:rPr>
        <w:t>年，我院进一步加强机关财务管理工作，认真贯彻《会计法》、《预算法》，严格执行《行政单位会计制度》、《行政单位财务规则》及各项费用管理办法，规范资金收支管理及会计核算，强化预算管理，加强项目经费支出绩效考核，从严从紧控制和节减经费支出，规范现金报销制度，进一步加强公务卡使用管理，严格执行政府采购政策。确保单位工作任务的顺利完成。</w:t>
      </w:r>
    </w:p>
    <w:p w14:paraId="056D1B6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default" w:ascii="Times New Roman" w:hAnsi="Times New Roman" w:eastAsia="方正仿宋_GB2312" w:cs="Times New Roman"/>
          <w:sz w:val="32"/>
          <w:szCs w:val="32"/>
          <w:lang w:val="en-US" w:eastAsia="zh-CN"/>
        </w:rPr>
        <w:t>我院根据部门整体支出绩效评价指标体系对部门预算绩效管理工作开展情况进行自评。从年初指标细则到指标完成情况，进行全面自查及自评，通过落实目标明确、目标合理、工作可量化等各项要求，保障了本单位工作高效运行，各项工作按照计划有序实施，完成数量及质量均得到有效控制；工作实施所需的人员及经费均得到充分保障，审判及执行工作质量显著提升。</w:t>
      </w:r>
    </w:p>
    <w:p w14:paraId="340A6B2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bookmarkStart w:id="75" w:name="_Toc30998"/>
    </w:p>
    <w:p w14:paraId="5E77AFE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p>
    <w:p w14:paraId="74204053">
      <w:pPr>
        <w:keepNext w:val="0"/>
        <w:keepLines w:val="0"/>
        <w:pageBreakBefore w:val="0"/>
        <w:widowControl w:val="0"/>
        <w:kinsoku/>
        <w:wordWrap/>
        <w:overflowPunct/>
        <w:topLinePunct w:val="0"/>
        <w:autoSpaceDE/>
        <w:autoSpaceDN/>
        <w:bidi w:val="0"/>
        <w:adjustRightInd/>
        <w:snapToGrid/>
        <w:spacing w:line="576" w:lineRule="exact"/>
        <w:textAlignment w:val="auto"/>
        <w:rPr>
          <w:rFonts w:hint="eastAsia" w:ascii="Times New Roman" w:hAnsi="Times New Roman" w:eastAsia="方正仿宋_GBK" w:cs="Times New Roman"/>
          <w:sz w:val="32"/>
          <w:szCs w:val="32"/>
        </w:rPr>
      </w:pPr>
    </w:p>
    <w:p w14:paraId="6A0A4A1A">
      <w:pPr>
        <w:pStyle w:val="2"/>
        <w:jc w:val="center"/>
      </w:pPr>
      <w:r>
        <w:rPr>
          <w:rFonts w:hint="eastAsia"/>
        </w:rPr>
        <w:t>第三部分 名词解释</w:t>
      </w:r>
      <w:bookmarkEnd w:id="75"/>
    </w:p>
    <w:p w14:paraId="030D8FA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bookmarkStart w:id="76" w:name="_Toc4999"/>
      <w:r>
        <w:rPr>
          <w:rFonts w:hint="eastAsia" w:ascii="Times New Roman" w:hAnsi="Times New Roman" w:eastAsia="方正仿宋_GBK" w:cs="Times New Roman"/>
          <w:sz w:val="32"/>
          <w:szCs w:val="32"/>
        </w:rPr>
        <w:t>1.财政拨款收入：指单位从同级财政部门取得的财政预算资金。</w:t>
      </w:r>
      <w:bookmarkEnd w:id="76"/>
    </w:p>
    <w:p w14:paraId="1A98AFC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2.经营收入：指事业单位在专业业务活动及其辅助活动之外开展非独立核算经营活动取得的收入。</w:t>
      </w:r>
    </w:p>
    <w:p w14:paraId="0BC50AC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3.其他收入：指除上述“财政拨款收入”、“事业收入”、“经营收入”等以外的收入。</w:t>
      </w:r>
    </w:p>
    <w:p w14:paraId="408D003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4.年初结转和结余：指以前年度尚未完成、结转到本年按有关规定继续使用的资金。</w:t>
      </w:r>
    </w:p>
    <w:p w14:paraId="2CA6A23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5.结余分配：指事业单位按照事业单位会计制度的规定从非财政补助结余中分配的事业基金和职工福利基金等。</w:t>
      </w:r>
    </w:p>
    <w:p w14:paraId="7ED6A2C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6.年末结转和结余：指单位按有关规定结转到下年或以后年度继续使用的资金。</w:t>
      </w:r>
    </w:p>
    <w:p w14:paraId="0FB0330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7.公共安全支出（类）公安（款）一般行政管理事务（项）：指反映行政单位（包括实行公务员管理的事业单位）未单独设置项级科目的其他项目支出。</w:t>
      </w:r>
    </w:p>
    <w:p w14:paraId="4385972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8.公共安全支出（类）检察（款）行政运行（项）：指反映行政单位（包括实行公务员管理的事业单位）的基本支出。</w:t>
      </w:r>
    </w:p>
    <w:p w14:paraId="43EAB36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9.公共安全支出（类）检察（款）一般行政管理事务（项）：指反映行政单位（包括实行公务员管理的事业单位）未单独设置项级科目的其他项目支出。</w:t>
      </w:r>
    </w:p>
    <w:p w14:paraId="753254C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10.社会保障和就业（类）行政事业单位养老支出（款）机关事业单位基本养老保险缴费支出（项）：指反映机关事业单位实施养老保险制度由单位缴纳的基本养老保险支出。</w:t>
      </w:r>
    </w:p>
    <w:p w14:paraId="41782FC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11.社会保障和就业（类）行政事业单位养老支出（款）机关事业单位职业年金缴费支出（项）：指反映机关事业单位实施养老保险制度由单位实际缴纳的职业年金支出。</w:t>
      </w:r>
    </w:p>
    <w:p w14:paraId="0E7B6EB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12.卫生健康支出（类）行政事业单位医疗（款）行政单位医疗（项）：指反映财政部门集中安排的行政单位基本医疗保险缴费经费，未参加医疗保险的行政单位的公费医疗经费，按国家规定享受离休人员待遇的医疗经费。</w:t>
      </w:r>
    </w:p>
    <w:p w14:paraId="3CB8247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13.住房保障支出（类）住房改革支出（款）住房公积金（项）：指反映行政事业单位按人力资源和社会保障部、财政部规定的基本工资和津贴补贴以及规定比例为职工缴纳的脂肪公积金。</w:t>
      </w:r>
    </w:p>
    <w:p w14:paraId="3ECFDE7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14.基本支出：指为保障机构正常运转、完成日常工作任务而发生的人员支出和公用支出。</w:t>
      </w:r>
    </w:p>
    <w:p w14:paraId="336E4CF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15.项目支出：指在基本支出之外为完成特定行政任务和事业发展目标所发生的支出。</w:t>
      </w:r>
    </w:p>
    <w:p w14:paraId="7AA78B6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16.“三公”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6BCB9E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eastAsia" w:ascii="Times New Roman" w:hAnsi="Times New Roman" w:eastAsia="方正仿宋_GBK" w:cs="Times New Roman"/>
          <w:sz w:val="32"/>
          <w:szCs w:val="32"/>
        </w:rPr>
      </w:pPr>
      <w:r>
        <w:rPr>
          <w:rFonts w:hint="eastAsia" w:ascii="Times New Roman" w:hAnsi="Times New Roman" w:eastAsia="方正仿宋_GBK" w:cs="Times New Roman"/>
          <w:sz w:val="32"/>
          <w:szCs w:val="32"/>
        </w:rPr>
        <w:t>17.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r>
        <w:rPr>
          <w:rFonts w:hint="eastAsia" w:ascii="Times New Roman" w:hAnsi="Times New Roman" w:eastAsia="方正仿宋_GBK" w:cs="Times New Roman"/>
          <w:sz w:val="32"/>
          <w:szCs w:val="32"/>
        </w:rPr>
        <w:br w:type="page"/>
      </w:r>
    </w:p>
    <w:p w14:paraId="379E0890">
      <w:pPr>
        <w:pStyle w:val="2"/>
        <w:jc w:val="center"/>
      </w:pPr>
      <w:bookmarkStart w:id="77" w:name="_Toc22083"/>
      <w:r>
        <w:rPr>
          <w:rFonts w:hint="eastAsia" w:ascii="黑体" w:hAnsi="黑体" w:eastAsia="黑体"/>
          <w:b w:val="0"/>
        </w:rPr>
        <w:t>第四部分 附件</w:t>
      </w:r>
      <w:bookmarkEnd w:id="77"/>
    </w:p>
    <w:p w14:paraId="0C7688DB">
      <w:pPr>
        <w:outlineLvl w:val="1"/>
        <w:rPr>
          <w:rFonts w:ascii="黑体" w:hAnsi="黑体" w:eastAsia="黑体"/>
          <w:sz w:val="32"/>
          <w:szCs w:val="32"/>
        </w:rPr>
      </w:pPr>
      <w:bookmarkStart w:id="78" w:name="_Toc18774"/>
      <w:r>
        <w:rPr>
          <w:rFonts w:hint="eastAsia" w:ascii="黑体" w:hAnsi="黑体" w:eastAsia="黑体"/>
          <w:sz w:val="32"/>
          <w:szCs w:val="32"/>
        </w:rPr>
        <w:t>附件1</w:t>
      </w:r>
      <w:bookmarkEnd w:id="78"/>
    </w:p>
    <w:p w14:paraId="2284548C">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lang w:val="en-US" w:eastAsia="zh-CN"/>
        </w:rPr>
      </w:pPr>
      <w:r>
        <w:rPr>
          <w:rFonts w:hint="eastAsia" w:ascii="方正小标宋_GBK" w:hAnsi="方正小标宋_GBK" w:eastAsia="方正小标宋_GBK" w:cs="方正小标宋_GBK"/>
          <w:b w:val="0"/>
          <w:bCs/>
          <w:sz w:val="44"/>
          <w:szCs w:val="44"/>
          <w:highlight w:val="none"/>
          <w:shd w:val="clear" w:color="auto" w:fill="FFFFFF"/>
          <w:lang w:val="en-US" w:eastAsia="zh-CN"/>
        </w:rPr>
        <w:t>理县人民检察院</w:t>
      </w:r>
    </w:p>
    <w:p w14:paraId="35203D12">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eastAsia" w:ascii="方正小标宋_GBK" w:hAnsi="方正小标宋_GBK" w:eastAsia="方正小标宋_GBK" w:cs="方正小标宋_GBK"/>
          <w:b w:val="0"/>
          <w:bCs/>
          <w:sz w:val="44"/>
          <w:szCs w:val="44"/>
          <w:highlight w:val="none"/>
          <w:shd w:val="clear" w:color="auto" w:fill="FFFFFF"/>
        </w:rPr>
      </w:pPr>
      <w:r>
        <w:rPr>
          <w:rFonts w:hint="eastAsia" w:ascii="方正小标宋_GBK" w:hAnsi="方正小标宋_GBK" w:eastAsia="方正小标宋_GBK" w:cs="方正小标宋_GBK"/>
          <w:b w:val="0"/>
          <w:bCs/>
          <w:sz w:val="44"/>
          <w:szCs w:val="44"/>
          <w:highlight w:val="none"/>
          <w:shd w:val="clear" w:color="auto" w:fill="FFFFFF"/>
          <w:lang w:val="en-US" w:eastAsia="zh-CN"/>
        </w:rPr>
        <w:t>2025年度</w:t>
      </w:r>
      <w:r>
        <w:rPr>
          <w:rFonts w:hint="eastAsia" w:ascii="方正小标宋_GBK" w:hAnsi="方正小标宋_GBK" w:eastAsia="方正小标宋_GBK" w:cs="方正小标宋_GBK"/>
          <w:b w:val="0"/>
          <w:bCs/>
          <w:sz w:val="44"/>
          <w:szCs w:val="44"/>
          <w:highlight w:val="none"/>
          <w:shd w:val="clear" w:color="auto" w:fill="FFFFFF"/>
        </w:rPr>
        <w:t>部门</w:t>
      </w:r>
      <w:r>
        <w:rPr>
          <w:rFonts w:hint="eastAsia" w:ascii="方正小标宋_GBK" w:hAnsi="方正小标宋_GBK" w:eastAsia="方正小标宋_GBK" w:cs="方正小标宋_GBK"/>
          <w:b w:val="0"/>
          <w:bCs/>
          <w:sz w:val="44"/>
          <w:szCs w:val="44"/>
          <w:highlight w:val="none"/>
          <w:shd w:val="clear" w:color="auto" w:fill="FFFFFF"/>
          <w:lang w:eastAsia="zh-CN"/>
        </w:rPr>
        <w:t>预算</w:t>
      </w:r>
      <w:r>
        <w:rPr>
          <w:rFonts w:hint="eastAsia" w:ascii="方正小标宋_GBK" w:hAnsi="方正小标宋_GBK" w:eastAsia="方正小标宋_GBK" w:cs="方正小标宋_GBK"/>
          <w:b w:val="0"/>
          <w:bCs/>
          <w:sz w:val="44"/>
          <w:szCs w:val="44"/>
          <w:highlight w:val="none"/>
          <w:shd w:val="clear" w:color="auto" w:fill="FFFFFF"/>
        </w:rPr>
        <w:t>绩效</w:t>
      </w:r>
      <w:r>
        <w:rPr>
          <w:rFonts w:hint="eastAsia" w:ascii="方正小标宋_GBK" w:hAnsi="方正小标宋_GBK" w:eastAsia="方正小标宋_GBK" w:cs="方正小标宋_GBK"/>
          <w:b w:val="0"/>
          <w:bCs/>
          <w:sz w:val="44"/>
          <w:szCs w:val="44"/>
          <w:highlight w:val="none"/>
          <w:shd w:val="clear" w:color="auto" w:fill="FFFFFF"/>
          <w:lang w:eastAsia="zh-CN"/>
        </w:rPr>
        <w:t>评价</w:t>
      </w:r>
      <w:r>
        <w:rPr>
          <w:rFonts w:hint="eastAsia" w:ascii="方正小标宋_GBK" w:hAnsi="方正小标宋_GBK" w:eastAsia="方正小标宋_GBK" w:cs="方正小标宋_GBK"/>
          <w:b w:val="0"/>
          <w:bCs/>
          <w:sz w:val="44"/>
          <w:szCs w:val="44"/>
          <w:highlight w:val="none"/>
          <w:shd w:val="clear" w:color="auto" w:fill="FFFFFF"/>
        </w:rPr>
        <w:t>报告</w:t>
      </w:r>
    </w:p>
    <w:p w14:paraId="288A6ADF">
      <w:pPr>
        <w:keepNext w:val="0"/>
        <w:keepLines w:val="0"/>
        <w:pageBreakBefore w:val="0"/>
        <w:widowControl/>
        <w:kinsoku/>
        <w:wordWrap/>
        <w:overflowPunct/>
        <w:topLinePunct w:val="0"/>
        <w:autoSpaceDE/>
        <w:autoSpaceDN/>
        <w:bidi w:val="0"/>
        <w:adjustRightInd w:val="0"/>
        <w:snapToGrid w:val="0"/>
        <w:spacing w:line="360" w:lineRule="exact"/>
        <w:contextualSpacing/>
        <w:jc w:val="left"/>
        <w:textAlignment w:val="auto"/>
        <w:outlineLvl w:val="9"/>
        <w:rPr>
          <w:rFonts w:hint="default" w:ascii="Times New Roman" w:hAnsi="Times New Roman" w:eastAsia="黑体" w:cs="Times New Roman"/>
          <w:color w:val="000000"/>
          <w:kern w:val="0"/>
          <w:sz w:val="24"/>
          <w:szCs w:val="32"/>
          <w:highlight w:val="none"/>
          <w:shd w:val="clear" w:color="auto" w:fill="FFFFFF"/>
        </w:rPr>
      </w:pPr>
    </w:p>
    <w:p w14:paraId="3F84D62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0" w:firstLineChars="200"/>
        <w:jc w:val="both"/>
        <w:textAlignment w:val="auto"/>
        <w:outlineLvl w:val="0"/>
        <w:rPr>
          <w:rFonts w:hint="default" w:ascii="Times New Roman" w:hAnsi="Times New Roman" w:eastAsia="黑体" w:cs="Times New Roman"/>
          <w:caps w:val="0"/>
          <w:color w:val="auto"/>
          <w:sz w:val="32"/>
          <w:szCs w:val="32"/>
          <w:u w:val="none"/>
          <w:vertAlign w:val="baseline"/>
        </w:rPr>
      </w:pPr>
      <w:r>
        <w:rPr>
          <w:rFonts w:hint="default" w:ascii="Times New Roman" w:hAnsi="Times New Roman" w:eastAsia="黑体" w:cs="Times New Roman"/>
          <w:b w:val="0"/>
          <w:bCs w:val="0"/>
          <w:caps w:val="0"/>
          <w:color w:val="auto"/>
          <w:kern w:val="2"/>
          <w:sz w:val="32"/>
          <w:szCs w:val="32"/>
          <w:u w:val="none"/>
          <w:vertAlign w:val="baseline"/>
          <w:lang w:val="en-US" w:eastAsia="zh-CN" w:bidi="ar"/>
        </w:rPr>
        <w:t>一、部门整体概况</w:t>
      </w:r>
    </w:p>
    <w:p w14:paraId="219D98B0">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rPr>
      </w:pPr>
      <w:r>
        <w:rPr>
          <w:rFonts w:hint="default" w:ascii="Times New Roman" w:hAnsi="Times New Roman" w:eastAsia="方正楷体_GB2312" w:cs="Times New Roman"/>
          <w:b/>
          <w:sz w:val="32"/>
          <w:szCs w:val="32"/>
          <w:lang w:val="zh-CN"/>
        </w:rPr>
        <w:t>（一）机构组成</w:t>
      </w:r>
    </w:p>
    <w:p w14:paraId="341221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理县人民检察院共设置内设机构5个。</w:t>
      </w:r>
    </w:p>
    <w:p w14:paraId="3988D587">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rPr>
      </w:pPr>
      <w:r>
        <w:rPr>
          <w:rFonts w:hint="default" w:ascii="Times New Roman" w:hAnsi="Times New Roman" w:eastAsia="方正楷体_GB2312" w:cs="Times New Roman"/>
          <w:b/>
          <w:sz w:val="32"/>
          <w:szCs w:val="32"/>
          <w:lang w:val="zh-CN"/>
        </w:rPr>
        <w:t>（</w:t>
      </w:r>
      <w:r>
        <w:rPr>
          <w:rFonts w:hint="default" w:ascii="Times New Roman" w:hAnsi="Times New Roman" w:eastAsia="方正楷体_GB2312" w:cs="Times New Roman"/>
          <w:b/>
          <w:sz w:val="32"/>
          <w:szCs w:val="32"/>
          <w:lang w:val="en-US" w:eastAsia="zh-CN"/>
        </w:rPr>
        <w:t>二</w:t>
      </w:r>
      <w:r>
        <w:rPr>
          <w:rFonts w:hint="default" w:ascii="Times New Roman" w:hAnsi="Times New Roman" w:eastAsia="方正楷体_GB2312" w:cs="Times New Roman"/>
          <w:b/>
          <w:sz w:val="32"/>
          <w:szCs w:val="32"/>
          <w:lang w:val="zh-CN"/>
        </w:rPr>
        <w:t>）机构职能</w:t>
      </w:r>
    </w:p>
    <w:p w14:paraId="7176A40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理县人民检察院共设置内设机构5个。</w:t>
      </w:r>
    </w:p>
    <w:p w14:paraId="092C027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办公室</w:t>
      </w:r>
      <w:r>
        <w:rPr>
          <w:rFonts w:hint="default"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zh-CN" w:eastAsia="zh-CN"/>
        </w:rPr>
        <w:t>负责机关文电、会务、机要、档案、保密</w:t>
      </w:r>
      <w:r>
        <w:rPr>
          <w:rFonts w:hint="default" w:ascii="Times New Roman" w:hAnsi="Times New Roman" w:eastAsia="方正仿宋_GB2312" w:cs="Times New Roman"/>
          <w:sz w:val="32"/>
          <w:szCs w:val="32"/>
          <w:lang w:val="en-US" w:eastAsia="zh-CN"/>
        </w:rPr>
        <w:t>、财务、代表委员联络</w:t>
      </w:r>
      <w:r>
        <w:rPr>
          <w:rFonts w:hint="default" w:ascii="Times New Roman" w:hAnsi="Times New Roman" w:eastAsia="方正仿宋_GB2312" w:cs="Times New Roman"/>
          <w:sz w:val="32"/>
          <w:szCs w:val="32"/>
          <w:lang w:val="zh-CN" w:eastAsia="zh-CN"/>
        </w:rPr>
        <w:t>等工作</w:t>
      </w:r>
    </w:p>
    <w:p w14:paraId="68BD768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第一检察部</w:t>
      </w:r>
      <w:r>
        <w:rPr>
          <w:rFonts w:hint="default"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zh-CN" w:eastAsia="zh-CN"/>
        </w:rPr>
        <w:t>办理刑事案件的审查逮捕、审查起诉、出庭支持公诉、抗诉，开展相关立案监督、侦查监督、审判监督以及相关案件的补充侦查等工作。</w:t>
      </w:r>
    </w:p>
    <w:p w14:paraId="68348CF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第二检察部</w:t>
      </w:r>
      <w:r>
        <w:rPr>
          <w:rFonts w:hint="default"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zh-CN" w:eastAsia="zh-CN"/>
        </w:rPr>
        <w:t>负责办理向理县人民检察院申请监督的民事行政案件的审查、抗诉，承办对同级人民法院民事行政诉讼活动的法律监督，对审判监督程序以外的其他民事行政审判程序中审判人员的违法行为提出检察建议。对民事行政执行活动实行法律监督。开展民事行政支持起诉工作。办理理县人民检察院管辖的民事行政申诉案件。负责办理法律规定由理县人民检察院办理的公益诉讼案件。</w:t>
      </w:r>
    </w:p>
    <w:p w14:paraId="5A6394E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第三检察部</w:t>
      </w:r>
      <w:r>
        <w:rPr>
          <w:rFonts w:hint="default"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zh-CN" w:eastAsia="zh-CN"/>
        </w:rPr>
        <w:t>负责对看守所和社区矫正机构等执法活动的监督。负责受理向理县人民检察院的控告和申诉。承办理县人民检察院管辖的国家赔偿案件和国家司法救助案件。</w:t>
      </w:r>
    </w:p>
    <w:p w14:paraId="6158BF3E">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负责案件的统一受理流转、办案流程监控、涉案财物的监管、法律文书监管、案件信息公开。统一组织办案质量评查、业务考评和业务统计分析研判。</w:t>
      </w:r>
    </w:p>
    <w:p w14:paraId="58D0DE1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政治部</w:t>
      </w:r>
      <w:r>
        <w:rPr>
          <w:rFonts w:hint="default" w:ascii="Times New Roman" w:hAnsi="Times New Roman" w:eastAsia="方正仿宋_GB2312" w:cs="Times New Roman"/>
          <w:sz w:val="32"/>
          <w:szCs w:val="32"/>
          <w:lang w:val="en-US" w:eastAsia="zh-CN"/>
        </w:rPr>
        <w:t>:</w:t>
      </w:r>
      <w:r>
        <w:rPr>
          <w:rFonts w:hint="default" w:ascii="Times New Roman" w:hAnsi="Times New Roman" w:eastAsia="方正仿宋_GB2312" w:cs="Times New Roman"/>
          <w:sz w:val="32"/>
          <w:szCs w:val="32"/>
          <w:lang w:val="zh-CN" w:eastAsia="zh-CN"/>
        </w:rPr>
        <w:t>负责本部门本系统思想政治工作、新闻宣传、舆论引导、组织人事及教育培训等工作。负责离退休干部管理工作。组织司法警察履行职责工作。</w:t>
      </w:r>
    </w:p>
    <w:p w14:paraId="40408E04">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rPr>
      </w:pPr>
      <w:r>
        <w:rPr>
          <w:rFonts w:hint="default" w:ascii="Times New Roman" w:hAnsi="Times New Roman" w:eastAsia="方正楷体_GB2312" w:cs="Times New Roman"/>
          <w:b/>
          <w:sz w:val="32"/>
          <w:szCs w:val="32"/>
          <w:lang w:val="zh-CN"/>
        </w:rPr>
        <w:t>（</w:t>
      </w:r>
      <w:r>
        <w:rPr>
          <w:rFonts w:hint="default" w:ascii="Times New Roman" w:hAnsi="Times New Roman" w:eastAsia="方正楷体_GB2312" w:cs="Times New Roman"/>
          <w:b/>
          <w:sz w:val="32"/>
          <w:szCs w:val="32"/>
          <w:lang w:val="en-US" w:eastAsia="zh-CN"/>
        </w:rPr>
        <w:t>三</w:t>
      </w:r>
      <w:r>
        <w:rPr>
          <w:rFonts w:hint="default" w:ascii="Times New Roman" w:hAnsi="Times New Roman" w:eastAsia="方正楷体_GB2312" w:cs="Times New Roman"/>
          <w:b/>
          <w:sz w:val="32"/>
          <w:szCs w:val="32"/>
          <w:lang w:val="zh-CN"/>
        </w:rPr>
        <w:t>）人员概况</w:t>
      </w:r>
    </w:p>
    <w:p w14:paraId="552E2AB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en-US" w:eastAsia="zh-CN"/>
        </w:rPr>
        <w:t>理县人民检察院为一级行政单位，无下属二级单位。人员编制25人，其中政法编制22人，工勤人员3人。截止2024年12月实有人数22人，其中政法机关人员19人，工勤人员3人，退休人员13名。</w:t>
      </w:r>
    </w:p>
    <w:p w14:paraId="5568666B">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0" w:firstLineChars="200"/>
        <w:jc w:val="both"/>
        <w:textAlignment w:val="auto"/>
        <w:outlineLvl w:val="0"/>
        <w:rPr>
          <w:rFonts w:hint="default" w:ascii="Times New Roman" w:hAnsi="Times New Roman" w:eastAsia="黑体" w:cs="Times New Roman"/>
          <w:b w:val="0"/>
          <w:bCs w:val="0"/>
          <w:caps w:val="0"/>
          <w:color w:val="auto"/>
          <w:kern w:val="2"/>
          <w:sz w:val="32"/>
          <w:szCs w:val="32"/>
          <w:u w:val="none"/>
          <w:vertAlign w:val="baseline"/>
          <w:lang w:val="en-US" w:eastAsia="zh-CN" w:bidi="ar"/>
        </w:rPr>
      </w:pPr>
      <w:r>
        <w:rPr>
          <w:rFonts w:hint="default" w:ascii="Times New Roman" w:hAnsi="Times New Roman" w:eastAsia="黑体" w:cs="Times New Roman"/>
          <w:b w:val="0"/>
          <w:bCs w:val="0"/>
          <w:caps w:val="0"/>
          <w:color w:val="auto"/>
          <w:kern w:val="2"/>
          <w:sz w:val="32"/>
          <w:szCs w:val="32"/>
          <w:u w:val="none"/>
          <w:vertAlign w:val="baseline"/>
          <w:lang w:val="en-US" w:eastAsia="zh-CN" w:bidi="ar"/>
        </w:rPr>
        <w:t>二、部门资金收支情况</w:t>
      </w:r>
    </w:p>
    <w:p w14:paraId="325BB191">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rPr>
      </w:pPr>
      <w:r>
        <w:rPr>
          <w:rFonts w:hint="default" w:ascii="Times New Roman" w:hAnsi="Times New Roman" w:eastAsia="方正楷体_GB2312" w:cs="Times New Roman"/>
          <w:b/>
          <w:sz w:val="32"/>
          <w:szCs w:val="32"/>
          <w:lang w:val="zh-CN"/>
        </w:rPr>
        <w:t>（一）收入情况</w:t>
      </w:r>
    </w:p>
    <w:p w14:paraId="0C625B5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2025年收入年初预算安排525.86万元，上年度收入的年初预算数为527.92万元，本年度比上年减少2.06万元，降低0.39%，主要原因为每年的公用经费压减。2025年年初预算安排525.86万元，上年度收入的年初预算数为527.92万元，本年度比上年减少2.06万元，降低0.39%，主要原因为每年的公用经费压减。</w:t>
      </w:r>
    </w:p>
    <w:p w14:paraId="5C26808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 xml:space="preserve"> 2025年总收入993.73万元，与上年987.81万元对比增加5.91万元，增长比率0.59%，主要原因为本年度新进人员后经费上涨。2025年支出993.72万元，与上年987.81万元对比增加5.91万元，增长比率0.59%，主要原因为本年度新进人员后经费上涨。</w:t>
      </w:r>
    </w:p>
    <w:p w14:paraId="2666AED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其中：一般公共预算财政拨款收入为716.66万元，占比72.11%；其他收入228.37万元，占比22.98%</w:t>
      </w:r>
      <w:r>
        <w:rPr>
          <w:rFonts w:hint="eastAsia" w:eastAsia="方正仿宋_GB2312" w:cs="Times New Roman"/>
          <w:sz w:val="32"/>
          <w:szCs w:val="32"/>
          <w:lang w:val="en-US" w:eastAsia="zh-CN"/>
        </w:rPr>
        <w:t>。</w:t>
      </w:r>
    </w:p>
    <w:p w14:paraId="38FCA3CA">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en-US" w:eastAsia="zh-CN"/>
        </w:rPr>
      </w:pPr>
      <w:r>
        <w:rPr>
          <w:rFonts w:hint="default" w:ascii="Times New Roman" w:hAnsi="Times New Roman" w:eastAsia="方正楷体_GB2312" w:cs="Times New Roman"/>
          <w:b/>
          <w:sz w:val="32"/>
          <w:szCs w:val="32"/>
          <w:lang w:val="zh-CN" w:eastAsia="zh-CN"/>
        </w:rPr>
        <w:t>（</w:t>
      </w:r>
      <w:r>
        <w:rPr>
          <w:rFonts w:hint="default" w:ascii="Times New Roman" w:hAnsi="Times New Roman" w:eastAsia="方正楷体_GB2312" w:cs="Times New Roman"/>
          <w:b/>
          <w:sz w:val="32"/>
          <w:szCs w:val="32"/>
          <w:lang w:val="en-US" w:eastAsia="zh-CN"/>
        </w:rPr>
        <w:t>二）</w:t>
      </w:r>
      <w:r>
        <w:rPr>
          <w:rFonts w:hint="default" w:ascii="Times New Roman" w:hAnsi="Times New Roman" w:eastAsia="方正楷体_GB2312" w:cs="Times New Roman"/>
          <w:b/>
          <w:sz w:val="32"/>
          <w:szCs w:val="32"/>
          <w:lang w:val="zh-CN" w:eastAsia="zh-CN"/>
        </w:rPr>
        <w:t>支出情况</w:t>
      </w:r>
    </w:p>
    <w:p w14:paraId="0261D71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0" w:firstLineChars="200"/>
        <w:jc w:val="both"/>
        <w:textAlignment w:val="auto"/>
        <w:outlineLvl w:val="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本年总支出945.02万元，一般公共预算财政拨款支出716.66万元，占比75.83%，其他资金支出228.37万元，占比24.16%。其中工资福利支出700.88万元，占总支出74.16%；商品和服务支出186.92万元，占总支出19.77%；对个人和家庭补助3.12万元，占总支出0.33%；资本性支出54.1万元，占一般公共预算财政拨款支出5.74%。主要原因是预算时，县级发放的在职人员基础绩效、目标奖等未纳入年初预算，同时保险及公积金基数减少。</w:t>
      </w:r>
    </w:p>
    <w:p w14:paraId="60B269DB">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eastAsia="zh-CN"/>
        </w:rPr>
      </w:pPr>
      <w:r>
        <w:rPr>
          <w:rFonts w:hint="default" w:ascii="Times New Roman" w:hAnsi="Times New Roman" w:eastAsia="方正楷体_GB2312" w:cs="Times New Roman"/>
          <w:b/>
          <w:sz w:val="32"/>
          <w:szCs w:val="32"/>
          <w:lang w:val="zh-CN" w:eastAsia="zh-CN"/>
        </w:rPr>
        <w:t>（</w:t>
      </w:r>
      <w:r>
        <w:rPr>
          <w:rFonts w:hint="default" w:ascii="Times New Roman" w:hAnsi="Times New Roman" w:eastAsia="方正楷体_GB2312" w:cs="Times New Roman"/>
          <w:b/>
          <w:sz w:val="32"/>
          <w:szCs w:val="32"/>
          <w:lang w:val="en-US" w:eastAsia="zh-CN"/>
        </w:rPr>
        <w:t>三）</w:t>
      </w:r>
      <w:r>
        <w:rPr>
          <w:rFonts w:hint="default" w:ascii="Times New Roman" w:hAnsi="Times New Roman" w:eastAsia="方正楷体_GB2312" w:cs="Times New Roman"/>
          <w:b/>
          <w:sz w:val="32"/>
          <w:szCs w:val="32"/>
          <w:lang w:val="zh-CN" w:eastAsia="zh-CN"/>
        </w:rPr>
        <w:t>结余分配和结转结余情况</w:t>
      </w:r>
    </w:p>
    <w:p w14:paraId="3AEEB1CC">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0" w:firstLineChars="200"/>
        <w:jc w:val="both"/>
        <w:textAlignment w:val="auto"/>
        <w:outlineLvl w:val="0"/>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理县人民检察院2025年结转资金48.7万元，其中遂宁援助经费36.7万元，2025年交办案件经费12万元。</w:t>
      </w:r>
    </w:p>
    <w:p w14:paraId="7DD20074">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0" w:firstLineChars="200"/>
        <w:jc w:val="both"/>
        <w:textAlignment w:val="auto"/>
        <w:outlineLvl w:val="0"/>
        <w:rPr>
          <w:rFonts w:hint="default" w:ascii="Times New Roman" w:hAnsi="Times New Roman" w:eastAsia="黑体" w:cs="Times New Roman"/>
          <w:b w:val="0"/>
          <w:bCs w:val="0"/>
          <w:caps w:val="0"/>
          <w:color w:val="auto"/>
          <w:kern w:val="2"/>
          <w:sz w:val="32"/>
          <w:szCs w:val="32"/>
          <w:u w:val="none"/>
          <w:vertAlign w:val="baseline"/>
          <w:lang w:val="en-US" w:eastAsia="zh-CN" w:bidi="ar"/>
        </w:rPr>
      </w:pPr>
      <w:r>
        <w:rPr>
          <w:rFonts w:hint="default" w:ascii="Times New Roman" w:hAnsi="Times New Roman" w:eastAsia="黑体" w:cs="Times New Roman"/>
          <w:b w:val="0"/>
          <w:bCs w:val="0"/>
          <w:caps w:val="0"/>
          <w:color w:val="auto"/>
          <w:kern w:val="2"/>
          <w:sz w:val="32"/>
          <w:szCs w:val="32"/>
          <w:u w:val="none"/>
          <w:vertAlign w:val="baseline"/>
          <w:lang w:val="en-US" w:eastAsia="zh-CN" w:bidi="ar"/>
        </w:rPr>
        <w:t>三、部门预算绩效分析</w:t>
      </w:r>
    </w:p>
    <w:p w14:paraId="4C3DC9FC">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eastAsia="zh-CN"/>
        </w:rPr>
      </w:pPr>
      <w:r>
        <w:rPr>
          <w:rFonts w:hint="default" w:ascii="Times New Roman" w:hAnsi="Times New Roman" w:eastAsia="方正楷体_GB2312" w:cs="Times New Roman"/>
          <w:b/>
          <w:sz w:val="32"/>
          <w:szCs w:val="32"/>
          <w:lang w:val="zh-CN" w:eastAsia="zh-CN"/>
        </w:rPr>
        <w:t>（一）部门预算总体绩效分析</w:t>
      </w:r>
    </w:p>
    <w:p w14:paraId="584025E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我院根据部门预算绩效评价指标体系“总体绩效”涉及二、三级指标进行逐项绩效分析并评分，依次包括履职效能、预算管理、财务管理、资产管理、采购管理等情况。</w:t>
      </w:r>
    </w:p>
    <w:p w14:paraId="12D9D42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1.履职效能。指标分值15分，得分14分。部门整体绩效目标中选定3个核心职能目标，对职能目标完成效果情况绩效分析。</w:t>
      </w:r>
    </w:p>
    <w:p w14:paraId="142BB17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数量指标：全年开展公开听证案件数大于等于5件。完成司法救助案件数大于等于3件，开展法治进校园等活动大于等于3次。2025年我院实际开展公开听证案件数7件，完成司法救助案件3件，开展法治进校园等活动8次，指标完成率达100%。</w:t>
      </w:r>
    </w:p>
    <w:p w14:paraId="22D709F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（2）生态效益指标：办理涉及我县生态环境保护案件10件。2025年我院实际涉及我县生态环境保护案件20件，指标完成率达100%。</w:t>
      </w:r>
    </w:p>
    <w:p w14:paraId="5141E0B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（3）满意度指标：全县群众对我院各项工作的满意度情况为优。根据2025年考核情况，全县群众对我院各项工作的满意度情况为优。</w:t>
      </w:r>
    </w:p>
    <w:p w14:paraId="6376EB3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2.预算管理。指标分值25分，得分18.56分。围绕预算编制质量、单位收入统筹、支出执行进度、预算年终结余、严控一般性支出进行绩效分析。</w:t>
      </w:r>
    </w:p>
    <w:p w14:paraId="43DBCD2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（1）预算编制质量：指标分值8分，得分7.84分。2025年全年预算数为993.73万元，实际支出数为945.02万元，偏离度为4.9%。产生偏离度的原因是遂宁援助经费存在结转结余和交办案件经费结余情况。</w:t>
      </w:r>
    </w:p>
    <w:p w14:paraId="4EE2EA7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（2）单位收入统筹：指标分值4分，得分4分。2025年自有资金收入为援助经费及职工缴纳伙食费，均转入财政代管账户统筹收支。</w:t>
      </w:r>
    </w:p>
    <w:p w14:paraId="65C3959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（3）支出执行进度：指标分值6分，得分4.8分。</w:t>
      </w:r>
    </w:p>
    <w:p w14:paraId="47AAE64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（4）预算年终结余：指标分值2分，得分1.95分。2025年我单位结转资金48.7万元。</w:t>
      </w:r>
    </w:p>
    <w:p w14:paraId="046374E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（5）严控一般性支出：指标分值5分，得分4分。</w:t>
      </w:r>
    </w:p>
    <w:p w14:paraId="0AA9433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3.财务管理。指标分值10分，得分10分。围绕财务管理制度、财务岗位设置、资金使用规范进行绩效分析。</w:t>
      </w:r>
    </w:p>
    <w:p w14:paraId="714BA9D2">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（1）财务管理制度：指标分值4分，得分4分。我单位已制定内部财务管理制度等，并在2025年完善更新，各项财务审核、开支均按照制度严格执行。</w:t>
      </w:r>
    </w:p>
    <w:p w14:paraId="734F952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（2）财务岗位设置：指标分值2分，得分2分。我单位建立《理县检察院岗位职责清单及说明》、《理县人民检察院不相容岗位分离表》，合理设置财务工作岗位，明确职责权限，并严格实行不相容岗位分离制度。</w:t>
      </w:r>
    </w:p>
    <w:p w14:paraId="37AA21C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（3）资金使用规范：指标分值4分，得分4分。我单位资金使用严格按照财经纪律等法律法规和相关制度执行，不存在违规开支。</w:t>
      </w:r>
    </w:p>
    <w:p w14:paraId="5B95487B">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4.资产管理。指标分值9分，得分7.8分。围绕人均资产变化率、资产利用率、资产盘活率进行绩效分析。</w:t>
      </w:r>
    </w:p>
    <w:p w14:paraId="32D208D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人均资产变化率：指标分值3分，得分0.3分。我单位2025年人均资产变化率为14.08%，州直行政事业单位人均资产变化率为24.28%，得1.5分。部门人均资产增长率为14.08%，州直行政事业单位人均资产增长率为24.28%，得0.9分。</w:t>
      </w:r>
    </w:p>
    <w:p w14:paraId="5F7A662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部门资产超最低使用年限情况：指标分值3分，得分1分。我单位办公家具超最低使用年限资产利用率为98.67%，州直单位办公家具超最低使用年限资产利用率10.03%，得1.5分。我单位办公设备超最低使用年限资产利用率52.74%，州直单位办公设备超最低使用年限资产利用率47.86%，得0.9分。</w:t>
      </w:r>
    </w:p>
    <w:p w14:paraId="6E68222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（3）部门闲置一年以上的资产盘活情况：部门闲置资产占比变化率为0.00%，今年及去年均无闲置资产，得3分。</w:t>
      </w:r>
    </w:p>
    <w:p w14:paraId="5F66341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5.采购管理。指标分值6分，得分6分。围绕支持中小企业发展、采购执行率进行绩效分析。</w:t>
      </w:r>
    </w:p>
    <w:p w14:paraId="227B97F9">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部门是否严格执行政府采购促进中小企业发展相关管理办法。指标分值3分，得分3分。2025年采购业务中，对适宜由中小企业提供的采购项目和采购包，我单位预留采购份额专门面向中小企业采购，并在采购预算中单独列示。</w:t>
      </w:r>
    </w:p>
    <w:p w14:paraId="7A9B790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（2）部门政府采购项目资金支付比例情况。指标分值3分，得分3分。</w:t>
      </w:r>
    </w:p>
    <w:p w14:paraId="63256720">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eastAsia="zh-CN"/>
        </w:rPr>
      </w:pPr>
      <w:r>
        <w:rPr>
          <w:rFonts w:hint="default" w:ascii="Times New Roman" w:hAnsi="Times New Roman" w:eastAsia="方正楷体_GB2312" w:cs="Times New Roman"/>
          <w:b/>
          <w:sz w:val="32"/>
          <w:szCs w:val="32"/>
          <w:lang w:val="zh-CN" w:eastAsia="zh-CN"/>
        </w:rPr>
        <w:t>（二）部门预算项目绩效分析</w:t>
      </w:r>
    </w:p>
    <w:p w14:paraId="67F744C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我单位根据部门预算绩效评价指标体系“项目绩效”涉及二、三级指标进行逐项绩效分析并评分，依次包括项目决策、项目执行、目标实现等情况。</w:t>
      </w:r>
    </w:p>
    <w:p w14:paraId="246E329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常年项目绩效分析。该类项目总数6个，涉及预算总金额330.82万元，1—12月预算执行总体进度为100.00%，其中：预算结余率大于10%的项目共计0个。</w:t>
      </w:r>
    </w:p>
    <w:p w14:paraId="5ACC722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阶段（一次性）项目绩效分析。该类项目总数5个，涉及预算总金额318.36万元，1—12月预算执行总体进度为100%，其中：预算结余率大于10%的项目共计0个。</w:t>
      </w:r>
    </w:p>
    <w:p w14:paraId="00B6EDE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1.项目决策。指标分值12分，得分12分。围绕决策程序、目标设置、项目入库进行绩效分析。</w:t>
      </w:r>
    </w:p>
    <w:p w14:paraId="21E95D9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（1）部门预算项目设立是否按规定履行评估论证、申报程序。指标分值4分，得分4分。我单位一次性项目均按照规定履行事前绩效评估，按照审批流程进行申报。</w:t>
      </w:r>
    </w:p>
    <w:p w14:paraId="2C2A9B0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部门预算项目绩效目标与计划期内的任务量、预算安排的资金量匹配情况，绩效目标设置是否科学合理、规范完整、量化细化、预算匹配。指标分值4分，得分4分。我单位绩效目标设置均科学合理、规范完整，做到预算项目绩效目标与项目实际情况相匹配。</w:t>
      </w:r>
    </w:p>
    <w:p w14:paraId="2C0B46E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（3）部门预算项目是否在规定时间完成项目入库。指标分值4分，得分4分。我单位预算项目均在规定时间内完成项目入库。</w:t>
      </w:r>
    </w:p>
    <w:p w14:paraId="6C9499D5">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2.项目执行。指标分值12分，得分12分。围绕资金执行同向、项目调整、执行结果进行绩效分析。</w:t>
      </w:r>
    </w:p>
    <w:p w14:paraId="263EDA8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（1）部门预算项目实际列支内容是否与绩效目标设置方向相符。指标分值4分，得分4分。我单位预算项目实际支付内容与项目目标一致，不存在资金支付不规范的情况。</w:t>
      </w:r>
    </w:p>
    <w:p w14:paraId="0A9B0DE8">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（2）部门预算项目是否采取对应调整措施。指标分值4分，得分4分。我单位预算项目根据实际执行情况，在年中等阶段监控时进行调整，应采取收回预算、调整目标的项目均已处置。</w:t>
      </w:r>
    </w:p>
    <w:p w14:paraId="4D5D38D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（3）部门预算项目预算执行情况。指标分值4分，得分4分。我单位本年度常年项目数量共6个，阶段（一次性）项目共5个，预算结余率均小于10%。</w:t>
      </w:r>
    </w:p>
    <w:p w14:paraId="53EA39F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3.目标实现。指标分值11分，得分11分。围绕目标完成、目标偏离、实现效果进行绩效分析。</w:t>
      </w:r>
    </w:p>
    <w:p w14:paraId="2CC0E5DC">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（1）部门预算项目绩效目标数量指标完成情况。指标分值4分，得分4分。我单位预算项目均已完成绩效目标。</w:t>
      </w:r>
    </w:p>
    <w:p w14:paraId="186EE57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（2）部门预算项目绩效目标数量指标实现程度与预期目标的偏离情况。指标分值4分，得分4分。我单位预算项目均已完成绩效目标，无偏离情况。</w:t>
      </w:r>
    </w:p>
    <w:p w14:paraId="6863294F">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（3）部门预算项目绩效目标效益指标实施效果。指标分值3分，得分3分。我单位预算项目均已完成效益指标绩效目标，无偏离情况。</w:t>
      </w:r>
    </w:p>
    <w:p w14:paraId="6FB38ECA">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en-US" w:eastAsia="zh-CN"/>
        </w:rPr>
      </w:pPr>
      <w:r>
        <w:rPr>
          <w:rFonts w:hint="default" w:ascii="Times New Roman" w:hAnsi="Times New Roman" w:eastAsia="方正楷体_GB2312" w:cs="Times New Roman"/>
          <w:b/>
          <w:sz w:val="32"/>
          <w:szCs w:val="32"/>
          <w:lang w:val="zh-CN" w:eastAsia="zh-CN"/>
        </w:rPr>
        <w:t>（三）重点领域绩效分析</w:t>
      </w:r>
    </w:p>
    <w:p w14:paraId="3E51F1DB">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1.政府采购实施情况。严格执行《政府采购法》及各项政府采购政策规定，严格按政府采购预算实施采购计划。</w:t>
      </w:r>
    </w:p>
    <w:p w14:paraId="0B3332EB">
      <w:pPr>
        <w:keepNext w:val="0"/>
        <w:keepLines w:val="0"/>
        <w:pageBreakBefore w:val="0"/>
        <w:kinsoku/>
        <w:wordWrap/>
        <w:overflowPunct/>
        <w:topLinePunct w:val="0"/>
        <w:autoSpaceDE/>
        <w:autoSpaceDN/>
        <w:bidi w:val="0"/>
        <w:adjustRightInd w:val="0"/>
        <w:snapToGrid w:val="0"/>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资产管理情况。进一步加强单位资产管理，建立完善资产配置、审批、采购及报废相关制度，全面开展固定资产清查工作，把所有固定资产全部纳入资产信息系统管理，落实专人负责，规范程序，及时分类登记、建卡，确保账实一致，资产报表数据真实、准确、全面。</w:t>
      </w:r>
    </w:p>
    <w:p w14:paraId="48BD06C5">
      <w:pPr>
        <w:keepNext w:val="0"/>
        <w:keepLines w:val="0"/>
        <w:pageBreakBefore w:val="0"/>
        <w:kinsoku/>
        <w:wordWrap/>
        <w:overflowPunct/>
        <w:topLinePunct w:val="0"/>
        <w:autoSpaceDE/>
        <w:autoSpaceDN/>
        <w:bidi w:val="0"/>
        <w:adjustRightInd w:val="0"/>
        <w:snapToGrid w:val="0"/>
        <w:spacing w:line="576" w:lineRule="exact"/>
        <w:ind w:firstLine="643" w:firstLineChars="200"/>
        <w:textAlignment w:val="auto"/>
        <w:rPr>
          <w:rFonts w:hint="default" w:ascii="Times New Roman" w:hAnsi="Times New Roman" w:eastAsia="方正楷体_GB2312" w:cs="Times New Roman"/>
          <w:b/>
          <w:sz w:val="32"/>
          <w:szCs w:val="32"/>
          <w:lang w:val="zh-CN" w:eastAsia="zh-CN"/>
        </w:rPr>
      </w:pPr>
      <w:r>
        <w:rPr>
          <w:rFonts w:hint="default" w:ascii="Times New Roman" w:hAnsi="Times New Roman" w:eastAsia="方正楷体_GB2312" w:cs="Times New Roman"/>
          <w:b/>
          <w:sz w:val="32"/>
          <w:szCs w:val="32"/>
          <w:lang w:val="zh-CN" w:eastAsia="zh-CN"/>
        </w:rPr>
        <w:t>（四）绩效结果应用情况</w:t>
      </w:r>
    </w:p>
    <w:p w14:paraId="3878A507">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2025年，我院进一步加强机关财务管理工作，认真贯彻《会计法》、《预算法》，严格执行《行政单位会计制度》、《行政单位财务规则》及各项费用管理办法，规范资金收支管理及会计核算，强化预算管理，加强项目经费支出绩效考核，从严从紧控制和节减经费支出，规范现金报销制度，进一步加强公务卡使用管理，严格执行政府采购政策。确保单位工作任务的顺利完成。</w:t>
      </w:r>
    </w:p>
    <w:p w14:paraId="7E392F04">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1.绩效评价及依法接受财政监督情况。按照财政要求及时准确进行绩效评价自评并自觉接受财政监督。</w:t>
      </w:r>
    </w:p>
    <w:p w14:paraId="3DC1464A">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en-US" w:eastAsia="zh-CN"/>
        </w:rPr>
        <w:t>2.我院根据部门整体支出绩效评价指标体系对部门预算绩效管理工作开展情况进行自评。从年初指标细则到指标完成情况，进行全面自查及自评，通过落实目标明确、目标合理、工作可量化等各项要求，保障了本单位工作高效运行，各项工作按照计划有序实施，完成数量及质量均得到有效控制；工作实施所需的人员及经费均得到充分保障，审判及执行工作质量显著提升。</w:t>
      </w:r>
    </w:p>
    <w:p w14:paraId="5B246B1D">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0" w:firstLineChars="200"/>
        <w:jc w:val="both"/>
        <w:textAlignment w:val="auto"/>
        <w:outlineLvl w:val="0"/>
        <w:rPr>
          <w:rFonts w:hint="default" w:ascii="Times New Roman" w:hAnsi="Times New Roman" w:eastAsia="黑体" w:cs="Times New Roman"/>
          <w:b w:val="0"/>
          <w:bCs w:val="0"/>
          <w:caps w:val="0"/>
          <w:color w:val="auto"/>
          <w:kern w:val="2"/>
          <w:sz w:val="32"/>
          <w:szCs w:val="32"/>
          <w:u w:val="none"/>
          <w:vertAlign w:val="baseline"/>
          <w:lang w:val="en-US" w:eastAsia="zh-CN" w:bidi="ar"/>
        </w:rPr>
      </w:pPr>
      <w:r>
        <w:rPr>
          <w:rFonts w:hint="default" w:ascii="Times New Roman" w:hAnsi="Times New Roman" w:eastAsia="黑体" w:cs="Times New Roman"/>
          <w:b w:val="0"/>
          <w:bCs w:val="0"/>
          <w:caps w:val="0"/>
          <w:color w:val="auto"/>
          <w:kern w:val="2"/>
          <w:sz w:val="32"/>
          <w:szCs w:val="32"/>
          <w:u w:val="none"/>
          <w:vertAlign w:val="baseline"/>
          <w:lang w:val="en-US" w:eastAsia="zh-CN" w:bidi="ar"/>
        </w:rPr>
        <w:t>四、评价结论及建议</w:t>
      </w:r>
    </w:p>
    <w:p w14:paraId="2F43B12C">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eastAsia="zh-CN"/>
        </w:rPr>
      </w:pPr>
      <w:r>
        <w:rPr>
          <w:rFonts w:hint="default" w:ascii="Times New Roman" w:hAnsi="Times New Roman" w:eastAsia="方正楷体_GB2312" w:cs="Times New Roman"/>
          <w:b/>
          <w:sz w:val="32"/>
          <w:szCs w:val="32"/>
          <w:lang w:val="zh-CN" w:eastAsia="zh-CN"/>
        </w:rPr>
        <w:t>（一）评价结论</w:t>
      </w:r>
    </w:p>
    <w:p w14:paraId="1AAB7816">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zh-CN" w:eastAsia="zh-CN"/>
        </w:rPr>
        <w:t>通过支出绩效评价可知，单位支出中基本支出占绝大比重，要控制支出必须降低行政成本。通过绩效评价，排除因工资标准调整等增加的基本支出外，我院经费支出情况符合保障日常工作开展所必须的经费支出数额，无超额、超标支付情况。理县人民检察院综合绩效评价得分88.89分。</w:t>
      </w:r>
    </w:p>
    <w:p w14:paraId="75DB59B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eastAsia="zh-CN"/>
        </w:rPr>
      </w:pPr>
      <w:r>
        <w:rPr>
          <w:rFonts w:hint="default" w:ascii="Times New Roman" w:hAnsi="Times New Roman" w:eastAsia="方正楷体_GB2312" w:cs="Times New Roman"/>
          <w:b/>
          <w:sz w:val="32"/>
          <w:szCs w:val="32"/>
          <w:lang w:val="zh-CN" w:eastAsia="zh-CN"/>
        </w:rPr>
        <w:t>（二）存在问题</w:t>
      </w:r>
    </w:p>
    <w:p w14:paraId="7C60E2CD">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en-US" w:eastAsia="zh-CN"/>
        </w:rPr>
      </w:pPr>
      <w:r>
        <w:rPr>
          <w:rFonts w:hint="default" w:ascii="Times New Roman" w:hAnsi="Times New Roman" w:eastAsia="方正仿宋_GB2312" w:cs="Times New Roman"/>
          <w:sz w:val="32"/>
          <w:szCs w:val="32"/>
          <w:lang w:val="zh-CN" w:eastAsia="zh-CN"/>
        </w:rPr>
        <w:t>在预算执行过程中，由于各种客观原因存在指标之间调剂使用的现象，预算编制、使用需要更加科学、及时。</w:t>
      </w:r>
    </w:p>
    <w:p w14:paraId="377D574E">
      <w:pPr>
        <w:keepNext w:val="0"/>
        <w:keepLines w:val="0"/>
        <w:pageBreakBefore w:val="0"/>
        <w:widowControl w:val="0"/>
        <w:suppressLineNumbers w:val="0"/>
        <w:suppressAutoHyphens w:val="0"/>
        <w:kinsoku/>
        <w:wordWrap/>
        <w:overflowPunct/>
        <w:topLinePunct w:val="0"/>
        <w:autoSpaceDE/>
        <w:autoSpaceDN w:val="0"/>
        <w:bidi w:val="0"/>
        <w:adjustRightInd/>
        <w:snapToGrid/>
        <w:spacing w:before="0" w:beforeAutospacing="0" w:after="0" w:afterAutospacing="0" w:line="576" w:lineRule="exact"/>
        <w:ind w:left="0" w:right="0" w:firstLine="643" w:firstLineChars="200"/>
        <w:jc w:val="both"/>
        <w:textAlignment w:val="auto"/>
        <w:outlineLvl w:val="0"/>
        <w:rPr>
          <w:rFonts w:hint="default" w:ascii="Times New Roman" w:hAnsi="Times New Roman" w:eastAsia="方正楷体_GB2312" w:cs="Times New Roman"/>
          <w:b/>
          <w:sz w:val="32"/>
          <w:szCs w:val="32"/>
          <w:lang w:val="zh-CN" w:eastAsia="zh-CN"/>
        </w:rPr>
      </w:pPr>
      <w:r>
        <w:rPr>
          <w:rFonts w:hint="default" w:ascii="Times New Roman" w:hAnsi="Times New Roman" w:eastAsia="方正楷体_GB2312" w:cs="Times New Roman"/>
          <w:b/>
          <w:sz w:val="32"/>
          <w:szCs w:val="32"/>
          <w:lang w:val="zh-CN" w:eastAsia="zh-CN"/>
        </w:rPr>
        <w:t>（</w:t>
      </w:r>
      <w:r>
        <w:rPr>
          <w:rFonts w:hint="default" w:ascii="Times New Roman" w:hAnsi="Times New Roman" w:eastAsia="方正楷体_GB2312" w:cs="Times New Roman"/>
          <w:b/>
          <w:sz w:val="32"/>
          <w:szCs w:val="32"/>
          <w:lang w:val="en-US" w:eastAsia="zh-CN"/>
        </w:rPr>
        <w:t>三）</w:t>
      </w:r>
      <w:r>
        <w:rPr>
          <w:rFonts w:hint="default" w:ascii="Times New Roman" w:hAnsi="Times New Roman" w:eastAsia="方正楷体_GB2312" w:cs="Times New Roman"/>
          <w:b/>
          <w:sz w:val="32"/>
          <w:szCs w:val="32"/>
          <w:lang w:val="zh-CN" w:eastAsia="zh-CN"/>
        </w:rPr>
        <w:t>改进建议</w:t>
      </w:r>
    </w:p>
    <w:p w14:paraId="180CF381">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一是细化预算编制。结合上年度经费支出情况和当年度经费需求，细化基本支出预算编制。根据检察工作安排，合理安排项目经费支出。编制范围尽可能的细化、全面、完整，做到能编尽编，减少预算执行时指标间的调剂，切实提高部门预算收支管理水平。</w:t>
      </w:r>
    </w:p>
    <w:p w14:paraId="5B831693">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二是加强资产管理。严格按照《固定资产管理办法》规定加强固定资产管理，单位资产管理员要掌握资产动态，对新增资产及时登记入账，对报废资产进行报废处置。定期对资产进行一次全面的清查盘点，确保资产账账、账实相符。</w:t>
      </w:r>
    </w:p>
    <w:p w14:paraId="3D362D10">
      <w:pPr>
        <w:keepNext w:val="0"/>
        <w:keepLines w:val="0"/>
        <w:pageBreakBefore w:val="0"/>
        <w:widowControl w:val="0"/>
        <w:kinsoku/>
        <w:wordWrap/>
        <w:overflowPunct/>
        <w:topLinePunct w:val="0"/>
        <w:autoSpaceDE/>
        <w:autoSpaceDN/>
        <w:bidi w:val="0"/>
        <w:adjustRightInd/>
        <w:snapToGrid/>
        <w:spacing w:line="576" w:lineRule="exact"/>
        <w:ind w:firstLine="640" w:firstLineChars="200"/>
        <w:textAlignment w:val="auto"/>
        <w:rPr>
          <w:rFonts w:hint="default" w:ascii="Times New Roman" w:hAnsi="Times New Roman" w:eastAsia="方正仿宋_GB2312" w:cs="Times New Roman"/>
          <w:sz w:val="32"/>
          <w:szCs w:val="32"/>
          <w:lang w:val="zh-CN" w:eastAsia="zh-CN"/>
        </w:rPr>
      </w:pPr>
      <w:r>
        <w:rPr>
          <w:rFonts w:hint="default" w:ascii="Times New Roman" w:hAnsi="Times New Roman" w:eastAsia="方正仿宋_GB2312" w:cs="Times New Roman"/>
          <w:sz w:val="32"/>
          <w:szCs w:val="32"/>
          <w:lang w:val="zh-CN" w:eastAsia="zh-CN"/>
        </w:rPr>
        <w:t>三是强化绩效管理意识。进一步强化绩效理念，将绩效管理理念贯穿于资金分配到资金使用全过程，加大资金整合力度，强化专项资金管理，把有限的资金用在刀刃上，提高资金使用效益。同时，抓好内控制度建设，进一步降低行政成本，确保资金安全，进一步推进廉洁高效建设。</w:t>
      </w:r>
    </w:p>
    <w:p w14:paraId="72F2D181">
      <w:pPr>
        <w:ind w:firstLine="640" w:firstLineChars="200"/>
        <w:rPr>
          <w:rFonts w:hint="eastAsia" w:ascii="Times New Roman" w:hAnsi="Times New Roman" w:eastAsia="方正仿宋_GB2312" w:cs="Times New Roman"/>
          <w:sz w:val="32"/>
          <w:szCs w:val="32"/>
          <w:lang w:val="zh-CN" w:eastAsia="zh-CN"/>
        </w:rPr>
      </w:pPr>
    </w:p>
    <w:p w14:paraId="391C1EE2">
      <w:pPr>
        <w:ind w:firstLine="640" w:firstLineChars="200"/>
        <w:rPr>
          <w:rFonts w:hint="eastAsia" w:ascii="Times New Roman" w:hAnsi="Times New Roman" w:eastAsia="方正仿宋_GB2312" w:cs="Times New Roman"/>
          <w:sz w:val="32"/>
          <w:szCs w:val="32"/>
          <w:lang w:val="zh-CN" w:eastAsia="zh-CN"/>
        </w:rPr>
      </w:pPr>
    </w:p>
    <w:p w14:paraId="1B76B8DC"/>
    <w:p w14:paraId="6420CD7E"/>
    <w:p w14:paraId="4CF6398D"/>
    <w:p w14:paraId="3A3C3BE1"/>
    <w:p w14:paraId="179D9A35"/>
    <w:p w14:paraId="058C0023"/>
    <w:p w14:paraId="2E98E941"/>
    <w:p w14:paraId="3D5402D7"/>
    <w:p w14:paraId="348FFC36"/>
    <w:p w14:paraId="5DF733B1"/>
    <w:p w14:paraId="193B8AE5"/>
    <w:p w14:paraId="5624AD79"/>
    <w:p w14:paraId="0E4679B1"/>
    <w:p w14:paraId="14C736F7"/>
    <w:p w14:paraId="6AF0581A"/>
    <w:p w14:paraId="7C8841B1"/>
    <w:p w14:paraId="22C61C42"/>
    <w:p w14:paraId="1102818B"/>
    <w:p w14:paraId="3FC0C2B4"/>
    <w:p w14:paraId="3C9CD61D"/>
    <w:tbl>
      <w:tblPr>
        <w:tblStyle w:val="16"/>
        <w:tblpPr w:leftFromText="180" w:rightFromText="180" w:vertAnchor="text" w:horzAnchor="page" w:tblpX="1800" w:tblpY="211"/>
        <w:tblOverlap w:val="never"/>
        <w:tblW w:w="4974"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51"/>
        <w:gridCol w:w="1023"/>
        <w:gridCol w:w="975"/>
        <w:gridCol w:w="1565"/>
        <w:gridCol w:w="884"/>
        <w:gridCol w:w="764"/>
        <w:gridCol w:w="783"/>
        <w:gridCol w:w="554"/>
        <w:gridCol w:w="764"/>
      </w:tblGrid>
      <w:tr w14:paraId="5CD002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4537" w:type="pct"/>
            <w:gridSpan w:val="8"/>
            <w:tcBorders>
              <w:top w:val="nil"/>
              <w:left w:val="nil"/>
              <w:bottom w:val="nil"/>
              <w:right w:val="nil"/>
            </w:tcBorders>
            <w:shd w:val="clear" w:color="auto" w:fill="auto"/>
            <w:vAlign w:val="center"/>
          </w:tcPr>
          <w:p w14:paraId="41DB3DA4">
            <w:pPr>
              <w:keepNext w:val="0"/>
              <w:keepLines w:val="0"/>
              <w:widowControl/>
              <w:suppressLineNumbers w:val="0"/>
              <w:jc w:val="center"/>
              <w:textAlignment w:val="center"/>
              <w:rPr>
                <w:rFonts w:ascii="黑体" w:hAnsi="宋体" w:eastAsia="黑体" w:cs="黑体"/>
                <w:i w:val="0"/>
                <w:iCs w:val="0"/>
                <w:color w:val="000000"/>
                <w:sz w:val="30"/>
                <w:szCs w:val="30"/>
                <w:u w:val="none"/>
              </w:rPr>
            </w:pPr>
            <w:r>
              <w:rPr>
                <w:rFonts w:hint="eastAsia" w:ascii="黑体" w:hAnsi="宋体" w:eastAsia="黑体" w:cs="黑体"/>
                <w:i w:val="0"/>
                <w:iCs w:val="0"/>
                <w:color w:val="000000"/>
                <w:kern w:val="0"/>
                <w:sz w:val="30"/>
                <w:szCs w:val="30"/>
                <w:u w:val="none"/>
                <w:lang w:val="en-US" w:eastAsia="zh-CN" w:bidi="ar"/>
              </w:rPr>
              <w:t xml:space="preserve">       部门整体支出绩效自评表</w:t>
            </w:r>
          </w:p>
        </w:tc>
        <w:tc>
          <w:tcPr>
            <w:tcW w:w="462" w:type="pct"/>
            <w:tcBorders>
              <w:top w:val="nil"/>
              <w:left w:val="nil"/>
              <w:bottom w:val="nil"/>
              <w:right w:val="nil"/>
            </w:tcBorders>
            <w:shd w:val="clear" w:color="auto" w:fill="auto"/>
            <w:noWrap/>
            <w:vAlign w:val="center"/>
          </w:tcPr>
          <w:p w14:paraId="5C19AB60">
            <w:pPr>
              <w:rPr>
                <w:rFonts w:hint="eastAsia" w:ascii="宋体" w:hAnsi="宋体" w:eastAsia="宋体" w:cs="宋体"/>
                <w:i w:val="0"/>
                <w:iCs w:val="0"/>
                <w:color w:val="000000"/>
                <w:sz w:val="22"/>
                <w:szCs w:val="22"/>
                <w:u w:val="none"/>
              </w:rPr>
            </w:pPr>
          </w:p>
        </w:tc>
      </w:tr>
      <w:tr w14:paraId="37157C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4537" w:type="pct"/>
            <w:gridSpan w:val="8"/>
            <w:tcBorders>
              <w:top w:val="nil"/>
              <w:left w:val="nil"/>
              <w:bottom w:val="nil"/>
              <w:right w:val="nil"/>
            </w:tcBorders>
            <w:shd w:val="clear" w:color="auto" w:fill="auto"/>
            <w:vAlign w:val="center"/>
          </w:tcPr>
          <w:p w14:paraId="4FB659D2">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 xml:space="preserve">           </w:t>
            </w:r>
            <w:r>
              <w:rPr>
                <w:rFonts w:ascii="宋体" w:hAnsi="宋体" w:eastAsia="宋体" w:cs="宋体"/>
                <w:i w:val="0"/>
                <w:iCs w:val="0"/>
                <w:color w:val="000000"/>
                <w:kern w:val="0"/>
                <w:sz w:val="18"/>
                <w:szCs w:val="18"/>
                <w:u w:val="none"/>
                <w:lang w:val="en-US" w:eastAsia="zh-CN" w:bidi="ar"/>
              </w:rPr>
              <w:t>（202</w:t>
            </w:r>
            <w:r>
              <w:rPr>
                <w:rFonts w:hint="eastAsia" w:ascii="宋体" w:hAnsi="宋体" w:cs="宋体"/>
                <w:i w:val="0"/>
                <w:iCs w:val="0"/>
                <w:color w:val="000000"/>
                <w:kern w:val="0"/>
                <w:sz w:val="18"/>
                <w:szCs w:val="18"/>
                <w:u w:val="none"/>
                <w:lang w:val="en-US" w:eastAsia="zh-CN" w:bidi="ar"/>
              </w:rPr>
              <w:t>4</w:t>
            </w:r>
            <w:r>
              <w:rPr>
                <w:rFonts w:ascii="宋体" w:hAnsi="宋体" w:eastAsia="宋体" w:cs="宋体"/>
                <w:i w:val="0"/>
                <w:iCs w:val="0"/>
                <w:color w:val="000000"/>
                <w:kern w:val="0"/>
                <w:sz w:val="18"/>
                <w:szCs w:val="18"/>
                <w:u w:val="none"/>
                <w:lang w:val="en-US" w:eastAsia="zh-CN" w:bidi="ar"/>
              </w:rPr>
              <w:t>年度）</w:t>
            </w:r>
          </w:p>
        </w:tc>
        <w:tc>
          <w:tcPr>
            <w:tcW w:w="462" w:type="pct"/>
            <w:tcBorders>
              <w:top w:val="nil"/>
              <w:left w:val="nil"/>
              <w:bottom w:val="nil"/>
              <w:right w:val="nil"/>
            </w:tcBorders>
            <w:shd w:val="clear" w:color="auto" w:fill="auto"/>
            <w:noWrap/>
            <w:vAlign w:val="center"/>
          </w:tcPr>
          <w:p w14:paraId="7FBD73CE">
            <w:pPr>
              <w:rPr>
                <w:rFonts w:hint="eastAsia" w:ascii="宋体" w:hAnsi="宋体" w:eastAsia="宋体" w:cs="宋体"/>
                <w:i w:val="0"/>
                <w:iCs w:val="0"/>
                <w:color w:val="000000"/>
                <w:sz w:val="22"/>
                <w:szCs w:val="22"/>
                <w:u w:val="none"/>
              </w:rPr>
            </w:pPr>
          </w:p>
        </w:tc>
      </w:tr>
      <w:tr w14:paraId="419F8E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3" w:hRule="atLeast"/>
        </w:trPr>
        <w:tc>
          <w:tcPr>
            <w:tcW w:w="4537" w:type="pct"/>
            <w:gridSpan w:val="8"/>
            <w:tcBorders>
              <w:top w:val="nil"/>
              <w:left w:val="nil"/>
              <w:bottom w:val="nil"/>
              <w:right w:val="nil"/>
            </w:tcBorders>
            <w:shd w:val="clear" w:color="auto" w:fill="auto"/>
            <w:vAlign w:val="center"/>
          </w:tcPr>
          <w:p w14:paraId="1BFC524A">
            <w:pPr>
              <w:keepNext w:val="0"/>
              <w:keepLines w:val="0"/>
              <w:widowControl/>
              <w:suppressLineNumbers w:val="0"/>
              <w:jc w:val="righ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单位：万元</w:t>
            </w:r>
          </w:p>
        </w:tc>
        <w:tc>
          <w:tcPr>
            <w:tcW w:w="462" w:type="pct"/>
            <w:tcBorders>
              <w:top w:val="nil"/>
              <w:left w:val="nil"/>
              <w:bottom w:val="nil"/>
              <w:right w:val="nil"/>
            </w:tcBorders>
            <w:shd w:val="clear" w:color="auto" w:fill="auto"/>
            <w:noWrap/>
            <w:vAlign w:val="center"/>
          </w:tcPr>
          <w:p w14:paraId="7EAB717E">
            <w:pPr>
              <w:rPr>
                <w:rFonts w:hint="eastAsia" w:ascii="宋体" w:hAnsi="宋体" w:eastAsia="宋体" w:cs="宋体"/>
                <w:i w:val="0"/>
                <w:iCs w:val="0"/>
                <w:color w:val="000000"/>
                <w:sz w:val="22"/>
                <w:szCs w:val="22"/>
                <w:u w:val="none"/>
              </w:rPr>
            </w:pPr>
          </w:p>
        </w:tc>
      </w:tr>
      <w:tr w14:paraId="510FE76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1785" w:type="pct"/>
            <w:gridSpan w:val="3"/>
            <w:tcBorders>
              <w:top w:val="single" w:color="000000" w:sz="4" w:space="0"/>
              <w:left w:val="single" w:color="000000" w:sz="4" w:space="0"/>
              <w:bottom w:val="single" w:color="000000" w:sz="4" w:space="0"/>
              <w:right w:val="single" w:color="000000" w:sz="4" w:space="0"/>
            </w:tcBorders>
            <w:shd w:val="clear" w:color="auto" w:fill="auto"/>
            <w:vAlign w:val="center"/>
          </w:tcPr>
          <w:p w14:paraId="478FD33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部门名称</w:t>
            </w:r>
          </w:p>
        </w:tc>
        <w:tc>
          <w:tcPr>
            <w:tcW w:w="32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750EE0A9">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理县人民检察院部门</w:t>
            </w:r>
          </w:p>
        </w:tc>
      </w:tr>
      <w:tr w14:paraId="3993DC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4" w:hRule="atLeast"/>
        </w:trPr>
        <w:tc>
          <w:tcPr>
            <w:tcW w:w="5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6ED60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年度部门整体支出预算</w:t>
            </w:r>
          </w:p>
        </w:tc>
        <w:tc>
          <w:tcPr>
            <w:tcW w:w="12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C402D60">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资金总额</w:t>
            </w:r>
          </w:p>
        </w:tc>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A11477F">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财政拨款</w:t>
            </w:r>
          </w:p>
        </w:tc>
        <w:tc>
          <w:tcPr>
            <w:tcW w:w="1732" w:type="pct"/>
            <w:gridSpan w:val="4"/>
            <w:tcBorders>
              <w:top w:val="single" w:color="000000" w:sz="4" w:space="0"/>
              <w:left w:val="single" w:color="000000" w:sz="4" w:space="0"/>
              <w:bottom w:val="single" w:color="000000" w:sz="4" w:space="0"/>
              <w:right w:val="single" w:color="000000" w:sz="4" w:space="0"/>
            </w:tcBorders>
            <w:shd w:val="clear" w:color="auto" w:fill="auto"/>
            <w:vAlign w:val="center"/>
          </w:tcPr>
          <w:p w14:paraId="1D049714">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其他资金</w:t>
            </w:r>
          </w:p>
        </w:tc>
      </w:tr>
      <w:tr w14:paraId="643FD4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7"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F80FAE">
            <w:pPr>
              <w:jc w:val="center"/>
              <w:rPr>
                <w:rFonts w:hint="eastAsia" w:ascii="宋体" w:hAnsi="宋体" w:eastAsia="宋体" w:cs="宋体"/>
                <w:i w:val="0"/>
                <w:iCs w:val="0"/>
                <w:color w:val="000000"/>
                <w:sz w:val="18"/>
                <w:szCs w:val="18"/>
                <w:u w:val="none"/>
              </w:rPr>
            </w:pPr>
          </w:p>
        </w:tc>
        <w:tc>
          <w:tcPr>
            <w:tcW w:w="12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7FC1219E">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945.02</w:t>
            </w:r>
          </w:p>
        </w:tc>
        <w:tc>
          <w:tcPr>
            <w:tcW w:w="1482"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0FAC1043">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716.66</w:t>
            </w:r>
          </w:p>
        </w:tc>
        <w:tc>
          <w:tcPr>
            <w:tcW w:w="1732" w:type="pct"/>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6205B4">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228.36</w:t>
            </w:r>
          </w:p>
        </w:tc>
      </w:tr>
      <w:tr w14:paraId="207BA1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7" w:hRule="atLeast"/>
        </w:trPr>
        <w:tc>
          <w:tcPr>
            <w:tcW w:w="57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94AF5">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年度总体目标</w:t>
            </w:r>
          </w:p>
        </w:tc>
        <w:tc>
          <w:tcPr>
            <w:tcW w:w="4423" w:type="pct"/>
            <w:gridSpan w:val="8"/>
            <w:tcBorders>
              <w:top w:val="single" w:color="000000" w:sz="4" w:space="0"/>
              <w:left w:val="single" w:color="000000" w:sz="4" w:space="0"/>
              <w:bottom w:val="single" w:color="000000" w:sz="4" w:space="0"/>
              <w:right w:val="single" w:color="000000" w:sz="4" w:space="0"/>
            </w:tcBorders>
            <w:shd w:val="clear" w:color="auto" w:fill="auto"/>
            <w:vAlign w:val="center"/>
          </w:tcPr>
          <w:p w14:paraId="099DD1C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依照法律规定对由省人民检察院直接受理的刑事案件行使侦查权，领导全省各级人民检察院和专门人民检察院开展对依照法律规定由人民检察院直接受理的刑事案件的侦查工作。负责依法对贪污贿赂犯罪、国家工作人员的渎职侵权,国家工作人员利用职权实施侵犯公民人身权利的犯罪以及侵犯公民民主权利的犯罪案件的进行侦查,依法对本省需要直接受理的国家机关工作人员利用职权实施的其他重大犯罪案件进行侦查;领导本省各级人民检察院的侦查工作。;负责对本省检察干部进行培训、表彰奖励、查办违法乱纪案件、巡视工作、印刷、业务报刊、人民监督员工作、保密工作等综合管理事务。</w:t>
            </w:r>
          </w:p>
        </w:tc>
      </w:tr>
      <w:tr w14:paraId="42512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4" w:hRule="atLeast"/>
        </w:trPr>
        <w:tc>
          <w:tcPr>
            <w:tcW w:w="5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192B6C">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年度主要任务</w:t>
            </w:r>
          </w:p>
        </w:tc>
        <w:tc>
          <w:tcPr>
            <w:tcW w:w="12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801379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任务名称</w:t>
            </w:r>
          </w:p>
        </w:tc>
        <w:tc>
          <w:tcPr>
            <w:tcW w:w="32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1D468D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主要内容</w:t>
            </w:r>
          </w:p>
        </w:tc>
      </w:tr>
      <w:tr w14:paraId="198E33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CEF18">
            <w:pPr>
              <w:jc w:val="center"/>
              <w:rPr>
                <w:rFonts w:hint="eastAsia" w:ascii="宋体" w:hAnsi="宋体" w:eastAsia="宋体" w:cs="宋体"/>
                <w:i w:val="0"/>
                <w:iCs w:val="0"/>
                <w:color w:val="000000"/>
                <w:sz w:val="18"/>
                <w:szCs w:val="18"/>
                <w:u w:val="none"/>
              </w:rPr>
            </w:pPr>
          </w:p>
        </w:tc>
        <w:tc>
          <w:tcPr>
            <w:tcW w:w="12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331D962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做强民事检察工作，切实维护民生民利</w:t>
            </w:r>
          </w:p>
        </w:tc>
        <w:tc>
          <w:tcPr>
            <w:tcW w:w="32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564BBA0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办理民事生效裁判、调解检察监督案件，办理民事审判程序检察监督案件，办理民事执行检察监督案件等。</w:t>
            </w:r>
          </w:p>
        </w:tc>
      </w:tr>
      <w:tr w14:paraId="148E39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027939">
            <w:pPr>
              <w:jc w:val="center"/>
              <w:rPr>
                <w:rFonts w:hint="eastAsia" w:ascii="宋体" w:hAnsi="宋体" w:eastAsia="宋体" w:cs="宋体"/>
                <w:i w:val="0"/>
                <w:iCs w:val="0"/>
                <w:color w:val="000000"/>
                <w:sz w:val="18"/>
                <w:szCs w:val="18"/>
                <w:u w:val="none"/>
              </w:rPr>
            </w:pPr>
          </w:p>
        </w:tc>
        <w:tc>
          <w:tcPr>
            <w:tcW w:w="12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151D95C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做实行政检察工作，助推依法行政</w:t>
            </w:r>
          </w:p>
        </w:tc>
        <w:tc>
          <w:tcPr>
            <w:tcW w:w="32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3149246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积极开展各种专项活动，办理行政执法机关非诉执行案件，推动检察机关与行政执法机关共同化解行政争议等</w:t>
            </w:r>
          </w:p>
        </w:tc>
      </w:tr>
      <w:tr w14:paraId="29853A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3AD860">
            <w:pPr>
              <w:jc w:val="center"/>
              <w:rPr>
                <w:rFonts w:hint="eastAsia" w:ascii="宋体" w:hAnsi="宋体" w:eastAsia="宋体" w:cs="宋体"/>
                <w:i w:val="0"/>
                <w:iCs w:val="0"/>
                <w:color w:val="000000"/>
                <w:sz w:val="18"/>
                <w:szCs w:val="18"/>
                <w:u w:val="none"/>
              </w:rPr>
            </w:pPr>
          </w:p>
        </w:tc>
        <w:tc>
          <w:tcPr>
            <w:tcW w:w="12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47DB5EC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着力做好公益诉讼工作，推进科学发展</w:t>
            </w:r>
          </w:p>
        </w:tc>
        <w:tc>
          <w:tcPr>
            <w:tcW w:w="32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09BF3F9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办理行政公益诉讼诉前检察建议案件，办理刑事附带民事公益诉讼案件，办理食品安全领域民事公益所能够案件</w:t>
            </w:r>
          </w:p>
        </w:tc>
      </w:tr>
      <w:tr w14:paraId="3EF797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1"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515841">
            <w:pPr>
              <w:jc w:val="center"/>
              <w:rPr>
                <w:rFonts w:hint="eastAsia" w:ascii="宋体" w:hAnsi="宋体" w:eastAsia="宋体" w:cs="宋体"/>
                <w:i w:val="0"/>
                <w:iCs w:val="0"/>
                <w:color w:val="000000"/>
                <w:sz w:val="18"/>
                <w:szCs w:val="18"/>
                <w:u w:val="none"/>
              </w:rPr>
            </w:pPr>
          </w:p>
        </w:tc>
        <w:tc>
          <w:tcPr>
            <w:tcW w:w="1208" w:type="pct"/>
            <w:gridSpan w:val="2"/>
            <w:tcBorders>
              <w:top w:val="single" w:color="000000" w:sz="4" w:space="0"/>
              <w:left w:val="single" w:color="000000" w:sz="4" w:space="0"/>
              <w:bottom w:val="single" w:color="000000" w:sz="4" w:space="0"/>
              <w:right w:val="single" w:color="000000" w:sz="4" w:space="0"/>
            </w:tcBorders>
            <w:shd w:val="clear" w:color="auto" w:fill="auto"/>
            <w:vAlign w:val="center"/>
          </w:tcPr>
          <w:p w14:paraId="2C785EC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做优刑事检察工作，坚决维护社会稳定</w:t>
            </w:r>
          </w:p>
        </w:tc>
        <w:tc>
          <w:tcPr>
            <w:tcW w:w="3214" w:type="pct"/>
            <w:gridSpan w:val="6"/>
            <w:tcBorders>
              <w:top w:val="single" w:color="000000" w:sz="4" w:space="0"/>
              <w:left w:val="single" w:color="000000" w:sz="4" w:space="0"/>
              <w:bottom w:val="single" w:color="000000" w:sz="4" w:space="0"/>
              <w:right w:val="single" w:color="000000" w:sz="4" w:space="0"/>
            </w:tcBorders>
            <w:shd w:val="clear" w:color="auto" w:fill="auto"/>
            <w:vAlign w:val="center"/>
          </w:tcPr>
          <w:p w14:paraId="4C7F6ED5">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认真履行批捕、起诉职能，切实保障社会安定有序、人民安居乐业。办理公安机关提请批捕案件，移送审查起诉案件，本院提起公诉案件，移送其他检察院管辖案件。</w:t>
            </w:r>
          </w:p>
        </w:tc>
      </w:tr>
      <w:tr w14:paraId="7A796A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1" w:hRule="atLeast"/>
        </w:trPr>
        <w:tc>
          <w:tcPr>
            <w:tcW w:w="57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ABC4E8E">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年度绩效指标</w:t>
            </w: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871226">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一级指标</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15EB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二级指标</w:t>
            </w: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3B9B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三级指标</w:t>
            </w:r>
          </w:p>
        </w:tc>
        <w:tc>
          <w:tcPr>
            <w:tcW w:w="5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727D8A">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绩效指标性质</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FBB3D">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绩效指标值</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E960B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绩效度量单位</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F9A743">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权重</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3396B">
            <w:pPr>
              <w:keepNext w:val="0"/>
              <w:keepLines w:val="0"/>
              <w:widowControl/>
              <w:suppressLineNumbers w:val="0"/>
              <w:jc w:val="center"/>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实际完成</w:t>
            </w:r>
            <w:r>
              <w:rPr>
                <w:rFonts w:ascii="宋体" w:hAnsi="宋体" w:eastAsia="宋体" w:cs="宋体"/>
                <w:i w:val="0"/>
                <w:iCs w:val="0"/>
                <w:color w:val="000000"/>
                <w:kern w:val="0"/>
                <w:sz w:val="18"/>
                <w:szCs w:val="18"/>
                <w:u w:val="none"/>
                <w:lang w:val="en-US" w:eastAsia="zh-CN" w:bidi="ar"/>
              </w:rPr>
              <w:br w:type="textWrapping"/>
            </w:r>
            <w:r>
              <w:rPr>
                <w:rFonts w:ascii="宋体" w:hAnsi="宋体" w:eastAsia="宋体" w:cs="宋体"/>
                <w:i w:val="0"/>
                <w:iCs w:val="0"/>
                <w:color w:val="000000"/>
                <w:kern w:val="0"/>
                <w:sz w:val="18"/>
                <w:szCs w:val="18"/>
                <w:u w:val="none"/>
                <w:lang w:val="en-US" w:eastAsia="zh-CN" w:bidi="ar"/>
              </w:rPr>
              <w:t>指标值</w:t>
            </w:r>
          </w:p>
        </w:tc>
      </w:tr>
      <w:tr w14:paraId="58864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8"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BE3406D">
            <w:pPr>
              <w:jc w:val="center"/>
              <w:rPr>
                <w:rFonts w:hint="eastAsia" w:ascii="宋体" w:hAnsi="宋体" w:eastAsia="宋体" w:cs="宋体"/>
                <w:i w:val="0"/>
                <w:iCs w:val="0"/>
                <w:color w:val="000000"/>
                <w:sz w:val="18"/>
                <w:szCs w:val="18"/>
                <w:u w:val="none"/>
              </w:rPr>
            </w:pPr>
          </w:p>
        </w:tc>
        <w:tc>
          <w:tcPr>
            <w:tcW w:w="619" w:type="pct"/>
            <w:vMerge w:val="restart"/>
            <w:tcBorders>
              <w:top w:val="single" w:color="000000" w:sz="4" w:space="0"/>
              <w:left w:val="single" w:color="000000" w:sz="4" w:space="0"/>
              <w:right w:val="single" w:color="000000" w:sz="4" w:space="0"/>
            </w:tcBorders>
            <w:shd w:val="clear" w:color="auto" w:fill="auto"/>
            <w:vAlign w:val="center"/>
          </w:tcPr>
          <w:p w14:paraId="33E89D0A">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产出指标</w:t>
            </w:r>
          </w:p>
        </w:tc>
        <w:tc>
          <w:tcPr>
            <w:tcW w:w="589" w:type="pct"/>
            <w:vMerge w:val="restart"/>
            <w:tcBorders>
              <w:top w:val="single" w:color="000000" w:sz="4" w:space="0"/>
              <w:left w:val="single" w:color="000000" w:sz="4" w:space="0"/>
              <w:right w:val="single" w:color="000000" w:sz="4" w:space="0"/>
            </w:tcBorders>
            <w:shd w:val="clear" w:color="auto" w:fill="auto"/>
            <w:vAlign w:val="center"/>
          </w:tcPr>
          <w:p w14:paraId="01EC2A02">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数量指标</w:t>
            </w: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ABE08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全年开展公开听证案件数</w:t>
            </w:r>
          </w:p>
        </w:tc>
        <w:tc>
          <w:tcPr>
            <w:tcW w:w="5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1991B">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37EEBD">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5</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745C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案件数</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9006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092988">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7</w:t>
            </w:r>
          </w:p>
        </w:tc>
      </w:tr>
      <w:tr w14:paraId="18DDAE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4CEEEE">
            <w:pPr>
              <w:jc w:val="center"/>
              <w:rPr>
                <w:rFonts w:hint="eastAsia" w:ascii="宋体" w:hAnsi="宋体" w:eastAsia="宋体" w:cs="宋体"/>
                <w:i w:val="0"/>
                <w:iCs w:val="0"/>
                <w:color w:val="000000"/>
                <w:sz w:val="18"/>
                <w:szCs w:val="18"/>
                <w:u w:val="none"/>
              </w:rPr>
            </w:pPr>
          </w:p>
        </w:tc>
        <w:tc>
          <w:tcPr>
            <w:tcW w:w="619" w:type="pct"/>
            <w:vMerge w:val="continue"/>
            <w:tcBorders>
              <w:left w:val="single" w:color="000000" w:sz="4" w:space="0"/>
              <w:right w:val="single" w:color="000000" w:sz="4" w:space="0"/>
            </w:tcBorders>
            <w:shd w:val="clear" w:color="auto" w:fill="auto"/>
            <w:vAlign w:val="center"/>
          </w:tcPr>
          <w:p w14:paraId="15DF33D5">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589" w:type="pct"/>
            <w:vMerge w:val="continue"/>
            <w:tcBorders>
              <w:left w:val="single" w:color="000000" w:sz="4" w:space="0"/>
              <w:right w:val="single" w:color="000000" w:sz="4" w:space="0"/>
            </w:tcBorders>
            <w:shd w:val="clear" w:color="auto" w:fill="auto"/>
            <w:vAlign w:val="center"/>
          </w:tcPr>
          <w:p w14:paraId="47890683">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B5A439">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完成司法救助案件数</w:t>
            </w:r>
          </w:p>
        </w:tc>
        <w:tc>
          <w:tcPr>
            <w:tcW w:w="5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2787B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9815F">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3</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B0AEF">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案件数</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52BA99">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4EABF">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r>
      <w:tr w14:paraId="30E389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1443BB">
            <w:pPr>
              <w:jc w:val="center"/>
              <w:rPr>
                <w:rFonts w:hint="eastAsia" w:ascii="宋体" w:hAnsi="宋体" w:eastAsia="宋体" w:cs="宋体"/>
                <w:i w:val="0"/>
                <w:iCs w:val="0"/>
                <w:color w:val="000000"/>
                <w:sz w:val="18"/>
                <w:szCs w:val="18"/>
                <w:u w:val="none"/>
              </w:rPr>
            </w:pPr>
          </w:p>
        </w:tc>
        <w:tc>
          <w:tcPr>
            <w:tcW w:w="619" w:type="pct"/>
            <w:vMerge w:val="continue"/>
            <w:tcBorders>
              <w:left w:val="single" w:color="000000" w:sz="4" w:space="0"/>
              <w:right w:val="single" w:color="000000" w:sz="4" w:space="0"/>
            </w:tcBorders>
            <w:shd w:val="clear" w:color="auto" w:fill="auto"/>
            <w:vAlign w:val="center"/>
          </w:tcPr>
          <w:p w14:paraId="263ABC2E">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589" w:type="pct"/>
            <w:vMerge w:val="continue"/>
            <w:tcBorders>
              <w:left w:val="single" w:color="000000" w:sz="4" w:space="0"/>
              <w:bottom w:val="single" w:color="000000" w:sz="4" w:space="0"/>
              <w:right w:val="single" w:color="000000" w:sz="4" w:space="0"/>
            </w:tcBorders>
            <w:shd w:val="clear" w:color="auto" w:fill="auto"/>
            <w:vAlign w:val="center"/>
          </w:tcPr>
          <w:p w14:paraId="34098B87">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62D381">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开展法治进校园等活动</w:t>
            </w:r>
          </w:p>
        </w:tc>
        <w:tc>
          <w:tcPr>
            <w:tcW w:w="5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9080C">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9B2A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3</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9FFE35">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次</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743FE">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4D1EF5">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8</w:t>
            </w:r>
          </w:p>
        </w:tc>
      </w:tr>
      <w:tr w14:paraId="480A9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1"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0DFA60">
            <w:pPr>
              <w:jc w:val="center"/>
              <w:rPr>
                <w:rFonts w:hint="eastAsia" w:ascii="宋体" w:hAnsi="宋体" w:eastAsia="宋体" w:cs="宋体"/>
                <w:i w:val="0"/>
                <w:iCs w:val="0"/>
                <w:color w:val="000000"/>
                <w:sz w:val="18"/>
                <w:szCs w:val="18"/>
                <w:u w:val="none"/>
              </w:rPr>
            </w:pPr>
          </w:p>
        </w:tc>
        <w:tc>
          <w:tcPr>
            <w:tcW w:w="619" w:type="pct"/>
            <w:vMerge w:val="continue"/>
            <w:tcBorders>
              <w:left w:val="single" w:color="000000" w:sz="4" w:space="0"/>
              <w:bottom w:val="single" w:color="000000" w:sz="4" w:space="0"/>
              <w:right w:val="single" w:color="000000" w:sz="4" w:space="0"/>
            </w:tcBorders>
            <w:shd w:val="clear" w:color="auto" w:fill="auto"/>
            <w:vAlign w:val="center"/>
          </w:tcPr>
          <w:p w14:paraId="36862002">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F0F1B3">
            <w:pPr>
              <w:keepNext w:val="0"/>
              <w:keepLines w:val="0"/>
              <w:widowControl/>
              <w:suppressLineNumbers w:val="0"/>
              <w:jc w:val="left"/>
              <w:textAlignment w:val="center"/>
              <w:rPr>
                <w:rFonts w:ascii="宋体" w:hAnsi="宋体" w:eastAsia="宋体" w:cs="宋体"/>
                <w:i w:val="0"/>
                <w:iCs w:val="0"/>
                <w:color w:val="000000"/>
                <w:kern w:val="2"/>
                <w:sz w:val="18"/>
                <w:szCs w:val="18"/>
                <w:u w:val="none"/>
                <w:lang w:val="en-US" w:eastAsia="zh-CN" w:bidi="ar-SA"/>
              </w:rPr>
            </w:pPr>
            <w:r>
              <w:rPr>
                <w:rFonts w:ascii="宋体" w:hAnsi="宋体" w:eastAsia="宋体" w:cs="宋体"/>
                <w:i w:val="0"/>
                <w:iCs w:val="0"/>
                <w:color w:val="000000"/>
                <w:kern w:val="0"/>
                <w:sz w:val="18"/>
                <w:szCs w:val="18"/>
                <w:u w:val="none"/>
                <w:lang w:val="en-US" w:eastAsia="zh-CN" w:bidi="ar"/>
              </w:rPr>
              <w:t>质量指标</w:t>
            </w: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4E9865">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诉前整改率</w:t>
            </w:r>
          </w:p>
        </w:tc>
        <w:tc>
          <w:tcPr>
            <w:tcW w:w="5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8EF6D">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A542A">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80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25CE0">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11686">
            <w:pPr>
              <w:keepNext w:val="0"/>
              <w:keepLines w:val="0"/>
              <w:widowControl/>
              <w:suppressLineNumbers w:val="0"/>
              <w:jc w:val="left"/>
              <w:textAlignment w:val="center"/>
              <w:rPr>
                <w:rFonts w:ascii="宋体" w:hAnsi="宋体" w:eastAsia="宋体" w:cs="宋体"/>
                <w:i w:val="0"/>
                <w:iCs w:val="0"/>
                <w:color w:val="000000"/>
                <w:kern w:val="0"/>
                <w:sz w:val="18"/>
                <w:szCs w:val="18"/>
                <w:u w:val="none"/>
                <w:lang w:val="en-US" w:eastAsia="zh-CN" w:bidi="ar"/>
              </w:rPr>
            </w:pPr>
            <w:r>
              <w:rPr>
                <w:rFonts w:ascii="宋体" w:hAnsi="宋体" w:eastAsia="宋体" w:cs="宋体"/>
                <w:i w:val="0"/>
                <w:iCs w:val="0"/>
                <w:color w:val="000000"/>
                <w:kern w:val="0"/>
                <w:sz w:val="18"/>
                <w:szCs w:val="18"/>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ADBB1">
            <w:pPr>
              <w:keepNext w:val="0"/>
              <w:keepLines w:val="0"/>
              <w:widowControl/>
              <w:suppressLineNumbers w:val="0"/>
              <w:jc w:val="center"/>
              <w:textAlignment w:val="center"/>
              <w:rPr>
                <w:rFonts w:hint="default" w:ascii="宋体" w:hAnsi="宋体" w:eastAsia="宋体" w:cs="宋体"/>
                <w:i w:val="0"/>
                <w:iCs w:val="0"/>
                <w:color w:val="000000"/>
                <w:kern w:val="0"/>
                <w:sz w:val="18"/>
                <w:szCs w:val="18"/>
                <w:u w:val="none"/>
                <w:lang w:val="en-US" w:eastAsia="zh-CN" w:bidi="ar"/>
              </w:rPr>
            </w:pPr>
            <w:r>
              <w:rPr>
                <w:rFonts w:hint="eastAsia" w:ascii="宋体" w:hAnsi="宋体" w:cs="宋体"/>
                <w:i w:val="0"/>
                <w:iCs w:val="0"/>
                <w:color w:val="000000"/>
                <w:kern w:val="0"/>
                <w:sz w:val="18"/>
                <w:szCs w:val="18"/>
                <w:u w:val="none"/>
                <w:lang w:val="en-US" w:eastAsia="zh-CN" w:bidi="ar"/>
              </w:rPr>
              <w:t>100%</w:t>
            </w:r>
          </w:p>
        </w:tc>
      </w:tr>
      <w:tr w14:paraId="6076A3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8"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E73F3E">
            <w:pPr>
              <w:jc w:val="center"/>
              <w:rPr>
                <w:rFonts w:hint="eastAsia" w:ascii="宋体" w:hAnsi="宋体" w:eastAsia="宋体" w:cs="宋体"/>
                <w:i w:val="0"/>
                <w:iCs w:val="0"/>
                <w:color w:val="000000"/>
                <w:sz w:val="18"/>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B072E4">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效益指标</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AE2E2C">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生态效益指标</w:t>
            </w: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3F4D7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hint="eastAsia" w:ascii="宋体" w:hAnsi="宋体" w:eastAsia="宋体" w:cs="宋体"/>
                <w:i w:val="0"/>
                <w:iCs w:val="0"/>
                <w:color w:val="000000"/>
                <w:kern w:val="0"/>
                <w:sz w:val="18"/>
                <w:szCs w:val="18"/>
                <w:u w:val="none"/>
                <w:lang w:val="en-US" w:eastAsia="zh-CN" w:bidi="ar"/>
              </w:rPr>
              <w:t>办理涉及我县生态环境保护等公益诉讼案件</w:t>
            </w:r>
          </w:p>
        </w:tc>
        <w:tc>
          <w:tcPr>
            <w:tcW w:w="5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D560D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2CB62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EB3B53">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案件数</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938911">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20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EA4DA2">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20</w:t>
            </w:r>
            <w:bookmarkStart w:id="80" w:name="_GoBack"/>
            <w:bookmarkEnd w:id="80"/>
          </w:p>
        </w:tc>
      </w:tr>
      <w:tr w14:paraId="7F29BE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2" w:hRule="atLeast"/>
        </w:trPr>
        <w:tc>
          <w:tcPr>
            <w:tcW w:w="57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54A55A">
            <w:pPr>
              <w:jc w:val="center"/>
              <w:rPr>
                <w:rFonts w:hint="eastAsia" w:ascii="宋体" w:hAnsi="宋体" w:eastAsia="宋体" w:cs="宋体"/>
                <w:i w:val="0"/>
                <w:iCs w:val="0"/>
                <w:color w:val="000000"/>
                <w:sz w:val="18"/>
                <w:szCs w:val="18"/>
                <w:u w:val="none"/>
              </w:rPr>
            </w:pPr>
          </w:p>
        </w:tc>
        <w:tc>
          <w:tcPr>
            <w:tcW w:w="61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1B6E">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589"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8E6C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满意度指标</w:t>
            </w:r>
          </w:p>
        </w:tc>
        <w:tc>
          <w:tcPr>
            <w:tcW w:w="947"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541F18">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全县群众对我院各项工作的满意度情况</w:t>
            </w:r>
          </w:p>
        </w:tc>
        <w:tc>
          <w:tcPr>
            <w:tcW w:w="53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65D727">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0B2A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90</w:t>
            </w:r>
          </w:p>
        </w:tc>
        <w:tc>
          <w:tcPr>
            <w:tcW w:w="47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430C6">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w:t>
            </w:r>
          </w:p>
        </w:tc>
        <w:tc>
          <w:tcPr>
            <w:tcW w:w="33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B7B6F">
            <w:pPr>
              <w:keepNext w:val="0"/>
              <w:keepLines w:val="0"/>
              <w:widowControl/>
              <w:suppressLineNumbers w:val="0"/>
              <w:jc w:val="left"/>
              <w:textAlignment w:val="center"/>
              <w:rPr>
                <w:rFonts w:ascii="宋体" w:hAnsi="宋体" w:eastAsia="宋体" w:cs="宋体"/>
                <w:i w:val="0"/>
                <w:iCs w:val="0"/>
                <w:color w:val="000000"/>
                <w:sz w:val="18"/>
                <w:szCs w:val="18"/>
                <w:u w:val="none"/>
              </w:rPr>
            </w:pPr>
            <w:r>
              <w:rPr>
                <w:rFonts w:ascii="宋体" w:hAnsi="宋体" w:eastAsia="宋体" w:cs="宋体"/>
                <w:i w:val="0"/>
                <w:iCs w:val="0"/>
                <w:color w:val="000000"/>
                <w:kern w:val="0"/>
                <w:sz w:val="18"/>
                <w:szCs w:val="18"/>
                <w:u w:val="none"/>
                <w:lang w:val="en-US" w:eastAsia="zh-CN" w:bidi="ar"/>
              </w:rPr>
              <w:t>10</w:t>
            </w:r>
          </w:p>
        </w:tc>
        <w:tc>
          <w:tcPr>
            <w:tcW w:w="46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BE00E">
            <w:pPr>
              <w:keepNext w:val="0"/>
              <w:keepLines w:val="0"/>
              <w:widowControl/>
              <w:suppressLineNumbers w:val="0"/>
              <w:jc w:val="center"/>
              <w:textAlignment w:val="center"/>
              <w:rPr>
                <w:rFonts w:hint="default" w:ascii="宋体" w:hAnsi="宋体" w:eastAsia="宋体" w:cs="宋体"/>
                <w:i w:val="0"/>
                <w:iCs w:val="0"/>
                <w:color w:val="000000"/>
                <w:sz w:val="18"/>
                <w:szCs w:val="18"/>
                <w:u w:val="none"/>
                <w:lang w:val="en-US" w:eastAsia="zh-CN"/>
              </w:rPr>
            </w:pPr>
            <w:r>
              <w:rPr>
                <w:rFonts w:hint="eastAsia" w:ascii="宋体" w:hAnsi="宋体" w:cs="宋体"/>
                <w:i w:val="0"/>
                <w:iCs w:val="0"/>
                <w:color w:val="000000"/>
                <w:sz w:val="18"/>
                <w:szCs w:val="18"/>
                <w:u w:val="none"/>
                <w:lang w:val="en-US" w:eastAsia="zh-CN"/>
              </w:rPr>
              <w:t>98</w:t>
            </w:r>
          </w:p>
        </w:tc>
      </w:tr>
    </w:tbl>
    <w:p w14:paraId="7DB75699">
      <w:pPr>
        <w:pStyle w:val="2"/>
        <w:jc w:val="center"/>
        <w:rPr>
          <w:rFonts w:ascii="黑体" w:hAnsi="黑体" w:eastAsia="黑体"/>
        </w:rPr>
      </w:pPr>
      <w:bookmarkStart w:id="79" w:name="_Toc30602"/>
      <w:r>
        <w:rPr>
          <w:rFonts w:hint="eastAsia" w:ascii="黑体" w:hAnsi="黑体" w:eastAsia="黑体"/>
        </w:rPr>
        <w:t>第五部分 附表</w:t>
      </w:r>
      <w:bookmarkEnd w:id="79"/>
    </w:p>
    <w:p w14:paraId="19915CDD">
      <w:pPr>
        <w:rPr>
          <w:rFonts w:ascii="仿宋" w:hAnsi="仿宋" w:eastAsia="仿宋"/>
          <w:sz w:val="32"/>
          <w:szCs w:val="32"/>
        </w:rPr>
      </w:pPr>
      <w:r>
        <w:rPr>
          <w:rFonts w:hint="eastAsia" w:ascii="仿宋" w:hAnsi="仿宋" w:eastAsia="仿宋"/>
          <w:sz w:val="32"/>
          <w:szCs w:val="32"/>
        </w:rPr>
        <w:t>一、收入支出决算总表</w:t>
      </w:r>
    </w:p>
    <w:p w14:paraId="16C8303D">
      <w:pPr>
        <w:rPr>
          <w:rFonts w:ascii="仿宋" w:hAnsi="仿宋" w:eastAsia="仿宋"/>
          <w:sz w:val="32"/>
          <w:szCs w:val="32"/>
        </w:rPr>
      </w:pPr>
      <w:r>
        <w:rPr>
          <w:rFonts w:hint="eastAsia" w:ascii="仿宋" w:hAnsi="仿宋" w:eastAsia="仿宋"/>
          <w:sz w:val="32"/>
          <w:szCs w:val="32"/>
        </w:rPr>
        <w:t>二、收入决算表</w:t>
      </w:r>
    </w:p>
    <w:p w14:paraId="46F64A9C">
      <w:pPr>
        <w:rPr>
          <w:rFonts w:ascii="仿宋" w:hAnsi="仿宋" w:eastAsia="仿宋"/>
          <w:sz w:val="32"/>
          <w:szCs w:val="32"/>
        </w:rPr>
      </w:pPr>
      <w:r>
        <w:rPr>
          <w:rFonts w:hint="eastAsia" w:ascii="仿宋" w:hAnsi="仿宋" w:eastAsia="仿宋"/>
          <w:sz w:val="32"/>
          <w:szCs w:val="32"/>
        </w:rPr>
        <w:t>三、支出决算表</w:t>
      </w:r>
    </w:p>
    <w:p w14:paraId="4034C823">
      <w:pPr>
        <w:rPr>
          <w:rFonts w:ascii="仿宋" w:hAnsi="仿宋" w:eastAsia="仿宋"/>
          <w:sz w:val="32"/>
          <w:szCs w:val="32"/>
        </w:rPr>
      </w:pPr>
      <w:r>
        <w:rPr>
          <w:rFonts w:hint="eastAsia" w:ascii="仿宋" w:hAnsi="仿宋" w:eastAsia="仿宋"/>
          <w:sz w:val="32"/>
          <w:szCs w:val="32"/>
        </w:rPr>
        <w:t>四、财政拨款收入支出决算总表</w:t>
      </w:r>
    </w:p>
    <w:p w14:paraId="039101C4">
      <w:pPr>
        <w:rPr>
          <w:rFonts w:ascii="仿宋" w:hAnsi="仿宋" w:eastAsia="仿宋"/>
          <w:sz w:val="32"/>
          <w:szCs w:val="32"/>
        </w:rPr>
      </w:pPr>
      <w:r>
        <w:rPr>
          <w:rFonts w:hint="eastAsia" w:ascii="仿宋" w:hAnsi="仿宋" w:eastAsia="仿宋"/>
          <w:sz w:val="32"/>
          <w:szCs w:val="32"/>
        </w:rPr>
        <w:t>五、财政拨款支出决算明细表</w:t>
      </w:r>
    </w:p>
    <w:p w14:paraId="5D1A50A1">
      <w:pPr>
        <w:rPr>
          <w:rFonts w:ascii="仿宋" w:hAnsi="仿宋" w:eastAsia="仿宋"/>
          <w:sz w:val="32"/>
          <w:szCs w:val="32"/>
        </w:rPr>
      </w:pPr>
      <w:r>
        <w:rPr>
          <w:rFonts w:hint="eastAsia" w:ascii="仿宋" w:hAnsi="仿宋" w:eastAsia="仿宋"/>
          <w:sz w:val="32"/>
          <w:szCs w:val="32"/>
        </w:rPr>
        <w:t>六、一般公共预算财政拨款支出决算表</w:t>
      </w:r>
    </w:p>
    <w:p w14:paraId="152A0E79">
      <w:pPr>
        <w:rPr>
          <w:rFonts w:ascii="仿宋" w:hAnsi="仿宋" w:eastAsia="仿宋"/>
          <w:sz w:val="32"/>
          <w:szCs w:val="32"/>
        </w:rPr>
      </w:pPr>
      <w:r>
        <w:rPr>
          <w:rFonts w:hint="eastAsia" w:ascii="仿宋" w:hAnsi="仿宋" w:eastAsia="仿宋"/>
          <w:sz w:val="32"/>
          <w:szCs w:val="32"/>
        </w:rPr>
        <w:t>七、一般公共预算财政拨款支出决算明细表</w:t>
      </w:r>
    </w:p>
    <w:p w14:paraId="3D2D1EED">
      <w:pPr>
        <w:rPr>
          <w:rFonts w:ascii="仿宋" w:hAnsi="仿宋" w:eastAsia="仿宋"/>
          <w:sz w:val="32"/>
          <w:szCs w:val="32"/>
        </w:rPr>
      </w:pPr>
      <w:r>
        <w:rPr>
          <w:rFonts w:hint="eastAsia" w:ascii="仿宋" w:hAnsi="仿宋" w:eastAsia="仿宋"/>
          <w:sz w:val="32"/>
          <w:szCs w:val="32"/>
        </w:rPr>
        <w:t>八、一般公共预算财政拨款基本支出决算表</w:t>
      </w:r>
    </w:p>
    <w:p w14:paraId="5124324D">
      <w:pPr>
        <w:rPr>
          <w:rFonts w:ascii="仿宋" w:hAnsi="仿宋" w:eastAsia="仿宋"/>
          <w:sz w:val="32"/>
          <w:szCs w:val="32"/>
        </w:rPr>
      </w:pPr>
      <w:r>
        <w:rPr>
          <w:rFonts w:hint="eastAsia" w:ascii="仿宋" w:hAnsi="仿宋" w:eastAsia="仿宋"/>
          <w:sz w:val="32"/>
          <w:szCs w:val="32"/>
        </w:rPr>
        <w:t>九、一般公共预算财政拨款项目支出决算表</w:t>
      </w:r>
    </w:p>
    <w:p w14:paraId="6C9D09A4">
      <w:pPr>
        <w:rPr>
          <w:rFonts w:ascii="仿宋" w:hAnsi="仿宋" w:eastAsia="仿宋"/>
          <w:sz w:val="32"/>
          <w:szCs w:val="32"/>
        </w:rPr>
      </w:pPr>
      <w:r>
        <w:rPr>
          <w:rFonts w:hint="eastAsia" w:ascii="仿宋" w:hAnsi="仿宋" w:eastAsia="仿宋"/>
          <w:sz w:val="32"/>
          <w:szCs w:val="32"/>
        </w:rPr>
        <w:t>十、政府性基金预算财政拨款收入支出决算表</w:t>
      </w:r>
    </w:p>
    <w:p w14:paraId="7C2A096D">
      <w:pPr>
        <w:rPr>
          <w:rFonts w:ascii="仿宋" w:hAnsi="仿宋" w:eastAsia="仿宋"/>
          <w:sz w:val="32"/>
          <w:szCs w:val="32"/>
        </w:rPr>
      </w:pPr>
      <w:r>
        <w:rPr>
          <w:rFonts w:hint="eastAsia" w:ascii="仿宋" w:hAnsi="仿宋" w:eastAsia="仿宋"/>
          <w:sz w:val="32"/>
          <w:szCs w:val="32"/>
        </w:rPr>
        <w:t>十一、国有资本经营预算财政拨款收入支出决算表</w:t>
      </w:r>
    </w:p>
    <w:p w14:paraId="660F4061">
      <w:pPr>
        <w:rPr>
          <w:rFonts w:ascii="仿宋" w:hAnsi="仿宋" w:eastAsia="仿宋"/>
          <w:sz w:val="32"/>
          <w:szCs w:val="32"/>
        </w:rPr>
      </w:pPr>
      <w:r>
        <w:rPr>
          <w:rFonts w:hint="eastAsia" w:ascii="仿宋" w:hAnsi="仿宋" w:eastAsia="仿宋"/>
          <w:sz w:val="32"/>
          <w:szCs w:val="32"/>
        </w:rPr>
        <w:t>十二、国有资本经营预算财政拨款支出决算表</w:t>
      </w:r>
    </w:p>
    <w:p w14:paraId="19DD8179">
      <w:pPr>
        <w:rPr>
          <w:rFonts w:ascii="仿宋" w:hAnsi="仿宋" w:eastAsia="仿宋"/>
          <w:sz w:val="32"/>
          <w:szCs w:val="32"/>
        </w:rPr>
      </w:pPr>
      <w:r>
        <w:rPr>
          <w:rFonts w:hint="eastAsia" w:ascii="仿宋" w:hAnsi="仿宋" w:eastAsia="仿宋"/>
          <w:sz w:val="32"/>
          <w:szCs w:val="32"/>
        </w:rPr>
        <w:t>十三、财政拨款“三公”经费支出决算表</w:t>
      </w:r>
    </w:p>
    <w:sectPr>
      <w:footerReference r:id="rId5" w:type="first"/>
      <w:footerReference r:id="rId4" w:type="default"/>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F1E1375C-9F43-463B-9CCA-69635A09A47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embedRegular r:id="rId2" w:fontKey="{BFB5BEDF-6931-4EC5-8545-7B5ED5A8F224}"/>
  </w:font>
  <w:font w:name="仿宋_GB2312">
    <w:panose1 w:val="02010609030101010101"/>
    <w:charset w:val="86"/>
    <w:family w:val="modern"/>
    <w:pitch w:val="default"/>
    <w:sig w:usb0="00000001" w:usb1="080E0000" w:usb2="00000000" w:usb3="00000000" w:csb0="00040000" w:csb1="00000000"/>
    <w:embedRegular r:id="rId3" w:fontKey="{899A7560-390E-49D3-A188-3C2B5C4468B9}"/>
  </w:font>
  <w:font w:name="仿宋">
    <w:panose1 w:val="02010609060101010101"/>
    <w:charset w:val="86"/>
    <w:family w:val="modern"/>
    <w:pitch w:val="default"/>
    <w:sig w:usb0="800002BF" w:usb1="38CF7CFA" w:usb2="00000016" w:usb3="00000000" w:csb0="00040001" w:csb1="00000000"/>
    <w:embedRegular r:id="rId4" w:fontKey="{1EAFD8B6-37B9-4B63-8C26-DEA4A21D5967}"/>
  </w:font>
  <w:font w:name="??">
    <w:altName w:val="Times New Roman"/>
    <w:panose1 w:val="00000000000000000000"/>
    <w:charset w:val="00"/>
    <w:family w:val="roman"/>
    <w:pitch w:val="default"/>
    <w:sig w:usb0="00000000" w:usb1="00000000" w:usb2="00000000" w:usb3="00000000" w:csb0="00000000" w:csb1="00000000"/>
  </w:font>
  <w:font w:name="方正小标宋简体">
    <w:panose1 w:val="02010600010101010101"/>
    <w:charset w:val="86"/>
    <w:family w:val="script"/>
    <w:pitch w:val="default"/>
    <w:sig w:usb0="00000001" w:usb1="080E0000" w:usb2="00000000" w:usb3="00000000" w:csb0="00040000" w:csb1="00000000"/>
    <w:embedRegular r:id="rId5" w:fontKey="{257AA2B0-2298-40F8-BDB0-C2F24BAE2D96}"/>
  </w:font>
  <w:font w:name="方正仿宋_GBK">
    <w:panose1 w:val="02000000000000000000"/>
    <w:charset w:val="86"/>
    <w:family w:val="auto"/>
    <w:pitch w:val="default"/>
    <w:sig w:usb0="A00002BF" w:usb1="38CF7CFA" w:usb2="00082016" w:usb3="00000000" w:csb0="00040001" w:csb1="00000000"/>
    <w:embedRegular r:id="rId6" w:fontKey="{3A7AA0D9-1497-4042-A9B2-28480E297B8D}"/>
  </w:font>
  <w:font w:name="方正楷体_GBK">
    <w:panose1 w:val="02000000000000000000"/>
    <w:charset w:val="86"/>
    <w:family w:val="auto"/>
    <w:pitch w:val="default"/>
    <w:sig w:usb0="800002BF" w:usb1="38CF7CFA" w:usb2="00000016" w:usb3="00000000" w:csb0="00040000" w:csb1="00000000"/>
    <w:embedRegular r:id="rId7" w:fontKey="{5EEC1C3E-4589-4F81-A8CA-CEB56FA1BDEA}"/>
  </w:font>
  <w:font w:name="方正仿宋_GB2312">
    <w:panose1 w:val="02000000000000000000"/>
    <w:charset w:val="86"/>
    <w:family w:val="auto"/>
    <w:pitch w:val="default"/>
    <w:sig w:usb0="A00002BF" w:usb1="184F6CFA" w:usb2="00000012" w:usb3="00000000" w:csb0="00040001" w:csb1="00000000"/>
    <w:embedRegular r:id="rId8" w:fontKey="{160643BB-57B7-4E17-89C5-E253331F1FEB}"/>
  </w:font>
  <w:font w:name="方正小标宋_GBK">
    <w:panose1 w:val="02000000000000000000"/>
    <w:charset w:val="86"/>
    <w:family w:val="auto"/>
    <w:pitch w:val="default"/>
    <w:sig w:usb0="A00002BF" w:usb1="38CF7CFA" w:usb2="00082016" w:usb3="00000000" w:csb0="00040001" w:csb1="00000000"/>
    <w:embedRegular r:id="rId9" w:fontKey="{996143DD-1DE6-487D-AB19-4C56D79684B7}"/>
  </w:font>
  <w:font w:name="方正楷体_GB2312">
    <w:panose1 w:val="02000000000000000000"/>
    <w:charset w:val="86"/>
    <w:family w:val="auto"/>
    <w:pitch w:val="default"/>
    <w:sig w:usb0="A00002BF" w:usb1="184F6CFA" w:usb2="00000012" w:usb3="00000000" w:csb0="00040001" w:csb1="00000000"/>
    <w:embedRegular r:id="rId10" w:fontKey="{E76113D9-A7F0-4003-B2C0-B70B7B9196DA}"/>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52772"/>
    </w:sdtPr>
    <w:sdtContent>
      <w:p w14:paraId="29798716">
        <w:pPr>
          <w:pStyle w:val="10"/>
          <w:jc w:val="center"/>
        </w:pPr>
        <w:r>
          <w:fldChar w:fldCharType="begin"/>
        </w:r>
        <w:r>
          <w:instrText xml:space="preserve">PAGE   \* MERGEFORMAT</w:instrText>
        </w:r>
        <w:r>
          <w:fldChar w:fldCharType="separate"/>
        </w:r>
        <w:r>
          <w:rPr>
            <w:lang w:val="zh-CN"/>
          </w:rPr>
          <w:t>23</w:t>
        </w:r>
        <w:r>
          <w:fldChar w:fldCharType="end"/>
        </w:r>
      </w:p>
    </w:sdtContent>
  </w:sdt>
  <w:p w14:paraId="518256D9">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E4B1E4">
    <w:pPr>
      <w:pStyle w:val="1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7DD44">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652CEC"/>
    <w:multiLevelType w:val="singleLevel"/>
    <w:tmpl w:val="CF652CEC"/>
    <w:lvl w:ilvl="0" w:tentative="0">
      <w:start w:val="9"/>
      <w:numFmt w:val="chineseCounting"/>
      <w:suff w:val="nothing"/>
      <w:lvlText w:val="%1、"/>
      <w:lvlJc w:val="left"/>
      <w:rPr>
        <w:rFonts w:hint="eastAsia"/>
      </w:rPr>
    </w:lvl>
  </w:abstractNum>
  <w:abstractNum w:abstractNumId="1">
    <w:nsid w:val="1272550B"/>
    <w:multiLevelType w:val="multilevel"/>
    <w:tmpl w:val="1272550B"/>
    <w:lvl w:ilvl="0" w:tentative="0">
      <w:start w:val="1"/>
      <w:numFmt w:val="japaneseCounting"/>
      <w:lvlText w:val="%1、"/>
      <w:lvlJc w:val="left"/>
      <w:pPr>
        <w:ind w:left="1360" w:hanging="720"/>
      </w:pPr>
      <w:rPr>
        <w:rFonts w:hint="default"/>
        <w:b w:val="0"/>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1"/>
  <w:embedTrueTypeFonts/>
  <w:saveSubset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jhlOThhOGU3YzZjZDVlZWVmOWJmYjhhZjE2OGRjZTQifQ=="/>
  </w:docVars>
  <w:rsids>
    <w:rsidRoot w:val="00F1361C"/>
    <w:rsid w:val="00014A1C"/>
    <w:rsid w:val="000222C6"/>
    <w:rsid w:val="0002549F"/>
    <w:rsid w:val="00035392"/>
    <w:rsid w:val="000468DB"/>
    <w:rsid w:val="0006487A"/>
    <w:rsid w:val="00065F8F"/>
    <w:rsid w:val="00070A43"/>
    <w:rsid w:val="000768F2"/>
    <w:rsid w:val="00082EAC"/>
    <w:rsid w:val="0009184B"/>
    <w:rsid w:val="00094236"/>
    <w:rsid w:val="0009593C"/>
    <w:rsid w:val="00097322"/>
    <w:rsid w:val="00097358"/>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30E5"/>
    <w:rsid w:val="00174518"/>
    <w:rsid w:val="0018106D"/>
    <w:rsid w:val="001877A7"/>
    <w:rsid w:val="00191536"/>
    <w:rsid w:val="00196687"/>
    <w:rsid w:val="001C0962"/>
    <w:rsid w:val="001C2738"/>
    <w:rsid w:val="001D7531"/>
    <w:rsid w:val="001E737D"/>
    <w:rsid w:val="001F0592"/>
    <w:rsid w:val="001F6419"/>
    <w:rsid w:val="001F7506"/>
    <w:rsid w:val="002006CD"/>
    <w:rsid w:val="00202B36"/>
    <w:rsid w:val="00204B7A"/>
    <w:rsid w:val="00204CDE"/>
    <w:rsid w:val="0021101A"/>
    <w:rsid w:val="00220536"/>
    <w:rsid w:val="00235629"/>
    <w:rsid w:val="00260289"/>
    <w:rsid w:val="00260C38"/>
    <w:rsid w:val="002616C0"/>
    <w:rsid w:val="002643DB"/>
    <w:rsid w:val="00265372"/>
    <w:rsid w:val="002662AA"/>
    <w:rsid w:val="00280496"/>
    <w:rsid w:val="00283D47"/>
    <w:rsid w:val="00294DC9"/>
    <w:rsid w:val="00295495"/>
    <w:rsid w:val="002A31DE"/>
    <w:rsid w:val="002A62F7"/>
    <w:rsid w:val="002B2613"/>
    <w:rsid w:val="002C1468"/>
    <w:rsid w:val="002D6D05"/>
    <w:rsid w:val="002F1818"/>
    <w:rsid w:val="002F5109"/>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2919"/>
    <w:rsid w:val="003D66DA"/>
    <w:rsid w:val="003E1310"/>
    <w:rsid w:val="003E2E6A"/>
    <w:rsid w:val="003E6F55"/>
    <w:rsid w:val="00406254"/>
    <w:rsid w:val="00410559"/>
    <w:rsid w:val="0041585D"/>
    <w:rsid w:val="00420B47"/>
    <w:rsid w:val="004223DE"/>
    <w:rsid w:val="00434489"/>
    <w:rsid w:val="00437085"/>
    <w:rsid w:val="00443880"/>
    <w:rsid w:val="004464F4"/>
    <w:rsid w:val="00447329"/>
    <w:rsid w:val="00471401"/>
    <w:rsid w:val="00473F31"/>
    <w:rsid w:val="0048263A"/>
    <w:rsid w:val="004826A2"/>
    <w:rsid w:val="00487E5D"/>
    <w:rsid w:val="004A711F"/>
    <w:rsid w:val="004B199D"/>
    <w:rsid w:val="004B4690"/>
    <w:rsid w:val="004E0A2D"/>
    <w:rsid w:val="004E206B"/>
    <w:rsid w:val="004E3607"/>
    <w:rsid w:val="004E6DF7"/>
    <w:rsid w:val="004F0FBD"/>
    <w:rsid w:val="00505A47"/>
    <w:rsid w:val="00512FDA"/>
    <w:rsid w:val="00520DA0"/>
    <w:rsid w:val="005664BB"/>
    <w:rsid w:val="00566FFA"/>
    <w:rsid w:val="0057481D"/>
    <w:rsid w:val="0058486E"/>
    <w:rsid w:val="00585B33"/>
    <w:rsid w:val="0059014D"/>
    <w:rsid w:val="005A09FD"/>
    <w:rsid w:val="005A7830"/>
    <w:rsid w:val="005B0198"/>
    <w:rsid w:val="005B321C"/>
    <w:rsid w:val="005B5C64"/>
    <w:rsid w:val="005C5337"/>
    <w:rsid w:val="005C6BD0"/>
    <w:rsid w:val="005D1C8B"/>
    <w:rsid w:val="005D468D"/>
    <w:rsid w:val="005D5CED"/>
    <w:rsid w:val="005F1A4C"/>
    <w:rsid w:val="00605688"/>
    <w:rsid w:val="006070AF"/>
    <w:rsid w:val="00607E6C"/>
    <w:rsid w:val="006101B1"/>
    <w:rsid w:val="00614E44"/>
    <w:rsid w:val="00620030"/>
    <w:rsid w:val="0062270A"/>
    <w:rsid w:val="00622830"/>
    <w:rsid w:val="00623DA0"/>
    <w:rsid w:val="00630AEF"/>
    <w:rsid w:val="006325F8"/>
    <w:rsid w:val="00633463"/>
    <w:rsid w:val="00634C9A"/>
    <w:rsid w:val="00640417"/>
    <w:rsid w:val="00641F56"/>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516B"/>
    <w:rsid w:val="00746F48"/>
    <w:rsid w:val="0075404D"/>
    <w:rsid w:val="0076182A"/>
    <w:rsid w:val="00762406"/>
    <w:rsid w:val="0076493D"/>
    <w:rsid w:val="00767B7E"/>
    <w:rsid w:val="007770C3"/>
    <w:rsid w:val="00784D24"/>
    <w:rsid w:val="00785FBA"/>
    <w:rsid w:val="00786E4A"/>
    <w:rsid w:val="007875EB"/>
    <w:rsid w:val="0079426B"/>
    <w:rsid w:val="007D1682"/>
    <w:rsid w:val="007D312A"/>
    <w:rsid w:val="007D3F19"/>
    <w:rsid w:val="007E23B0"/>
    <w:rsid w:val="007E23E5"/>
    <w:rsid w:val="007E6A82"/>
    <w:rsid w:val="007F1991"/>
    <w:rsid w:val="007F2C2F"/>
    <w:rsid w:val="007F55FC"/>
    <w:rsid w:val="007F5665"/>
    <w:rsid w:val="007F7385"/>
    <w:rsid w:val="00800112"/>
    <w:rsid w:val="00813348"/>
    <w:rsid w:val="008253BB"/>
    <w:rsid w:val="0083706E"/>
    <w:rsid w:val="008408F6"/>
    <w:rsid w:val="008423A5"/>
    <w:rsid w:val="00850625"/>
    <w:rsid w:val="00853718"/>
    <w:rsid w:val="00855221"/>
    <w:rsid w:val="00860645"/>
    <w:rsid w:val="0087167F"/>
    <w:rsid w:val="00871F71"/>
    <w:rsid w:val="00872FD8"/>
    <w:rsid w:val="00875641"/>
    <w:rsid w:val="00885AF4"/>
    <w:rsid w:val="00887F08"/>
    <w:rsid w:val="008914B9"/>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34F0"/>
    <w:rsid w:val="00935C98"/>
    <w:rsid w:val="00946945"/>
    <w:rsid w:val="00951248"/>
    <w:rsid w:val="0095152F"/>
    <w:rsid w:val="009546E4"/>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E50C8"/>
    <w:rsid w:val="009F1185"/>
    <w:rsid w:val="009F18CD"/>
    <w:rsid w:val="009F2A13"/>
    <w:rsid w:val="009F7527"/>
    <w:rsid w:val="00A04EB0"/>
    <w:rsid w:val="00A13CC1"/>
    <w:rsid w:val="00A16847"/>
    <w:rsid w:val="00A237D8"/>
    <w:rsid w:val="00A25C9F"/>
    <w:rsid w:val="00A268C4"/>
    <w:rsid w:val="00A27C77"/>
    <w:rsid w:val="00A307CD"/>
    <w:rsid w:val="00A331C8"/>
    <w:rsid w:val="00A40A00"/>
    <w:rsid w:val="00A4142F"/>
    <w:rsid w:val="00A422EB"/>
    <w:rsid w:val="00A45BB7"/>
    <w:rsid w:val="00A56DF2"/>
    <w:rsid w:val="00A56E6E"/>
    <w:rsid w:val="00A67AB5"/>
    <w:rsid w:val="00A733B2"/>
    <w:rsid w:val="00A741C2"/>
    <w:rsid w:val="00A74A9E"/>
    <w:rsid w:val="00A91760"/>
    <w:rsid w:val="00A93B00"/>
    <w:rsid w:val="00A93C21"/>
    <w:rsid w:val="00AB64C9"/>
    <w:rsid w:val="00AC2E50"/>
    <w:rsid w:val="00AC3C6A"/>
    <w:rsid w:val="00AD5620"/>
    <w:rsid w:val="00AD656B"/>
    <w:rsid w:val="00AD7C1B"/>
    <w:rsid w:val="00AE16BA"/>
    <w:rsid w:val="00AE1EBE"/>
    <w:rsid w:val="00B03C9D"/>
    <w:rsid w:val="00B060AE"/>
    <w:rsid w:val="00B10517"/>
    <w:rsid w:val="00B12E8B"/>
    <w:rsid w:val="00B14E76"/>
    <w:rsid w:val="00B161B8"/>
    <w:rsid w:val="00B2048C"/>
    <w:rsid w:val="00B30A36"/>
    <w:rsid w:val="00B310B9"/>
    <w:rsid w:val="00B35F3F"/>
    <w:rsid w:val="00B36CBB"/>
    <w:rsid w:val="00B411A6"/>
    <w:rsid w:val="00B425E0"/>
    <w:rsid w:val="00B440AA"/>
    <w:rsid w:val="00B44B70"/>
    <w:rsid w:val="00B53C56"/>
    <w:rsid w:val="00B57DAF"/>
    <w:rsid w:val="00B76F9D"/>
    <w:rsid w:val="00B77EA6"/>
    <w:rsid w:val="00B81598"/>
    <w:rsid w:val="00B841F1"/>
    <w:rsid w:val="00B944D6"/>
    <w:rsid w:val="00BA579E"/>
    <w:rsid w:val="00BB4DF0"/>
    <w:rsid w:val="00BC289F"/>
    <w:rsid w:val="00BC2D50"/>
    <w:rsid w:val="00BC5361"/>
    <w:rsid w:val="00BC5460"/>
    <w:rsid w:val="00BC6B50"/>
    <w:rsid w:val="00BD0E25"/>
    <w:rsid w:val="00BF5BD6"/>
    <w:rsid w:val="00C03E31"/>
    <w:rsid w:val="00C33E72"/>
    <w:rsid w:val="00C354B2"/>
    <w:rsid w:val="00C35554"/>
    <w:rsid w:val="00C42709"/>
    <w:rsid w:val="00C46119"/>
    <w:rsid w:val="00C533CC"/>
    <w:rsid w:val="00C5751C"/>
    <w:rsid w:val="00C61BFC"/>
    <w:rsid w:val="00C62B85"/>
    <w:rsid w:val="00C65438"/>
    <w:rsid w:val="00C860D5"/>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950A1"/>
    <w:rsid w:val="00DA634F"/>
    <w:rsid w:val="00DA65AC"/>
    <w:rsid w:val="00DB1913"/>
    <w:rsid w:val="00DC410D"/>
    <w:rsid w:val="00DC5A81"/>
    <w:rsid w:val="00DC68CA"/>
    <w:rsid w:val="00DC7CBA"/>
    <w:rsid w:val="00DD73B7"/>
    <w:rsid w:val="00DF24DF"/>
    <w:rsid w:val="00DF28BC"/>
    <w:rsid w:val="00DF34B9"/>
    <w:rsid w:val="00E01053"/>
    <w:rsid w:val="00E01B70"/>
    <w:rsid w:val="00E07ACF"/>
    <w:rsid w:val="00E11813"/>
    <w:rsid w:val="00E331A1"/>
    <w:rsid w:val="00E33202"/>
    <w:rsid w:val="00E336A9"/>
    <w:rsid w:val="00E472B1"/>
    <w:rsid w:val="00E50624"/>
    <w:rsid w:val="00E568DF"/>
    <w:rsid w:val="00E64269"/>
    <w:rsid w:val="00E82267"/>
    <w:rsid w:val="00E853CE"/>
    <w:rsid w:val="00E867B6"/>
    <w:rsid w:val="00EA010F"/>
    <w:rsid w:val="00EB0FAE"/>
    <w:rsid w:val="00ED1B63"/>
    <w:rsid w:val="00ED3C1F"/>
    <w:rsid w:val="00ED4085"/>
    <w:rsid w:val="00ED420E"/>
    <w:rsid w:val="00ED6FBE"/>
    <w:rsid w:val="00EE2F57"/>
    <w:rsid w:val="00EF4C34"/>
    <w:rsid w:val="00EF77C6"/>
    <w:rsid w:val="00F03938"/>
    <w:rsid w:val="00F05438"/>
    <w:rsid w:val="00F1361C"/>
    <w:rsid w:val="00F156F0"/>
    <w:rsid w:val="00F160C7"/>
    <w:rsid w:val="00F2408F"/>
    <w:rsid w:val="00F240E9"/>
    <w:rsid w:val="00F36D8F"/>
    <w:rsid w:val="00F417B1"/>
    <w:rsid w:val="00F45853"/>
    <w:rsid w:val="00F5561B"/>
    <w:rsid w:val="00F602DF"/>
    <w:rsid w:val="00F754A1"/>
    <w:rsid w:val="00F81FD9"/>
    <w:rsid w:val="00F841AA"/>
    <w:rsid w:val="00F84A94"/>
    <w:rsid w:val="00F87E96"/>
    <w:rsid w:val="00FA23E8"/>
    <w:rsid w:val="00FA789D"/>
    <w:rsid w:val="00FC02BF"/>
    <w:rsid w:val="00FC7DA4"/>
    <w:rsid w:val="00FD3CC1"/>
    <w:rsid w:val="00FF1E02"/>
    <w:rsid w:val="00FF30B4"/>
    <w:rsid w:val="01040081"/>
    <w:rsid w:val="015975B8"/>
    <w:rsid w:val="01E4322D"/>
    <w:rsid w:val="022D0FD6"/>
    <w:rsid w:val="026043E7"/>
    <w:rsid w:val="02963DFC"/>
    <w:rsid w:val="02ED4364"/>
    <w:rsid w:val="02EE59E6"/>
    <w:rsid w:val="02FEBE30"/>
    <w:rsid w:val="0341020B"/>
    <w:rsid w:val="036F8141"/>
    <w:rsid w:val="051C765B"/>
    <w:rsid w:val="05353F49"/>
    <w:rsid w:val="055703A3"/>
    <w:rsid w:val="056337F9"/>
    <w:rsid w:val="056D178C"/>
    <w:rsid w:val="057B7B58"/>
    <w:rsid w:val="057C7CDC"/>
    <w:rsid w:val="066E0107"/>
    <w:rsid w:val="06846D8D"/>
    <w:rsid w:val="06862B05"/>
    <w:rsid w:val="06B37672"/>
    <w:rsid w:val="06E36073"/>
    <w:rsid w:val="07107A8D"/>
    <w:rsid w:val="073C31C4"/>
    <w:rsid w:val="07442078"/>
    <w:rsid w:val="07717112"/>
    <w:rsid w:val="07996F6E"/>
    <w:rsid w:val="07DC178A"/>
    <w:rsid w:val="07DFD8BA"/>
    <w:rsid w:val="085B1D6F"/>
    <w:rsid w:val="08601134"/>
    <w:rsid w:val="08EC29C7"/>
    <w:rsid w:val="091E3FC1"/>
    <w:rsid w:val="093D7704"/>
    <w:rsid w:val="099866AB"/>
    <w:rsid w:val="09B47989"/>
    <w:rsid w:val="09FE0C04"/>
    <w:rsid w:val="0A2032A3"/>
    <w:rsid w:val="0ADD625D"/>
    <w:rsid w:val="0AF81B05"/>
    <w:rsid w:val="0B4765DB"/>
    <w:rsid w:val="0B8D0F28"/>
    <w:rsid w:val="0BF12D0A"/>
    <w:rsid w:val="0CC46135"/>
    <w:rsid w:val="0CD65E68"/>
    <w:rsid w:val="0D35B1ED"/>
    <w:rsid w:val="0DC42165"/>
    <w:rsid w:val="0DDD048E"/>
    <w:rsid w:val="0DF62C9E"/>
    <w:rsid w:val="0E625C06"/>
    <w:rsid w:val="0E7ED1F5"/>
    <w:rsid w:val="0ECF2B6F"/>
    <w:rsid w:val="0EE626FA"/>
    <w:rsid w:val="0F0C791F"/>
    <w:rsid w:val="0F4C15B7"/>
    <w:rsid w:val="0F544D4B"/>
    <w:rsid w:val="0F7A2ADB"/>
    <w:rsid w:val="0F8A6A96"/>
    <w:rsid w:val="0F98263C"/>
    <w:rsid w:val="0FAE09D7"/>
    <w:rsid w:val="100D7DF3"/>
    <w:rsid w:val="101860EC"/>
    <w:rsid w:val="10B65D95"/>
    <w:rsid w:val="10C055FF"/>
    <w:rsid w:val="118107EC"/>
    <w:rsid w:val="11C95F9C"/>
    <w:rsid w:val="11ED2CA9"/>
    <w:rsid w:val="12D1335A"/>
    <w:rsid w:val="12DA08F3"/>
    <w:rsid w:val="13B660AC"/>
    <w:rsid w:val="13BA0C00"/>
    <w:rsid w:val="13D50BC4"/>
    <w:rsid w:val="13F5616D"/>
    <w:rsid w:val="141379A2"/>
    <w:rsid w:val="142E0338"/>
    <w:rsid w:val="147E1869"/>
    <w:rsid w:val="151529B4"/>
    <w:rsid w:val="16BB723D"/>
    <w:rsid w:val="16E75D71"/>
    <w:rsid w:val="16FE2244"/>
    <w:rsid w:val="173914CE"/>
    <w:rsid w:val="174E33E4"/>
    <w:rsid w:val="1796247C"/>
    <w:rsid w:val="17B80644"/>
    <w:rsid w:val="17F9714D"/>
    <w:rsid w:val="187D53EA"/>
    <w:rsid w:val="188B7E33"/>
    <w:rsid w:val="18A60196"/>
    <w:rsid w:val="18D21BDA"/>
    <w:rsid w:val="19067AD5"/>
    <w:rsid w:val="1918F934"/>
    <w:rsid w:val="19C06C23"/>
    <w:rsid w:val="1AE87493"/>
    <w:rsid w:val="1B0D1BF6"/>
    <w:rsid w:val="1B1D492B"/>
    <w:rsid w:val="1B5039D4"/>
    <w:rsid w:val="1B522B5E"/>
    <w:rsid w:val="1BBE1FA1"/>
    <w:rsid w:val="1BE8440E"/>
    <w:rsid w:val="1C1B5646"/>
    <w:rsid w:val="1C3F2B21"/>
    <w:rsid w:val="1C4D4F83"/>
    <w:rsid w:val="1C8E0291"/>
    <w:rsid w:val="1CEE2D5A"/>
    <w:rsid w:val="1D155CEE"/>
    <w:rsid w:val="1D320CC5"/>
    <w:rsid w:val="1D814134"/>
    <w:rsid w:val="1DA82F09"/>
    <w:rsid w:val="1DFBC4B3"/>
    <w:rsid w:val="1E6257AE"/>
    <w:rsid w:val="1E740ACF"/>
    <w:rsid w:val="1EE04AC5"/>
    <w:rsid w:val="1EF36406"/>
    <w:rsid w:val="1F19C781"/>
    <w:rsid w:val="1F3009E7"/>
    <w:rsid w:val="1F33FCE5"/>
    <w:rsid w:val="1F7F7398"/>
    <w:rsid w:val="1F8852E1"/>
    <w:rsid w:val="1FAA1CAD"/>
    <w:rsid w:val="1FD2DB6F"/>
    <w:rsid w:val="1FF35744"/>
    <w:rsid w:val="1FF6BC77"/>
    <w:rsid w:val="1FF9236D"/>
    <w:rsid w:val="200B3D12"/>
    <w:rsid w:val="202820DF"/>
    <w:rsid w:val="204752C1"/>
    <w:rsid w:val="20564E9E"/>
    <w:rsid w:val="2079211C"/>
    <w:rsid w:val="214F086A"/>
    <w:rsid w:val="21D84D67"/>
    <w:rsid w:val="22A55C69"/>
    <w:rsid w:val="22AC6FF8"/>
    <w:rsid w:val="22F56BF1"/>
    <w:rsid w:val="23104268"/>
    <w:rsid w:val="2333840E"/>
    <w:rsid w:val="23690890"/>
    <w:rsid w:val="2383244E"/>
    <w:rsid w:val="23860B96"/>
    <w:rsid w:val="23D9206E"/>
    <w:rsid w:val="240371BF"/>
    <w:rsid w:val="241C77B7"/>
    <w:rsid w:val="24561B4D"/>
    <w:rsid w:val="24DD16E3"/>
    <w:rsid w:val="25186BC6"/>
    <w:rsid w:val="253C0680"/>
    <w:rsid w:val="25494C57"/>
    <w:rsid w:val="257C638F"/>
    <w:rsid w:val="25C105E1"/>
    <w:rsid w:val="25CC5A3B"/>
    <w:rsid w:val="25DF5936"/>
    <w:rsid w:val="2779092B"/>
    <w:rsid w:val="278247CB"/>
    <w:rsid w:val="281F64BE"/>
    <w:rsid w:val="28CB3F50"/>
    <w:rsid w:val="29547444"/>
    <w:rsid w:val="296A7E47"/>
    <w:rsid w:val="29722DFF"/>
    <w:rsid w:val="297840D8"/>
    <w:rsid w:val="297E088B"/>
    <w:rsid w:val="29CD76AD"/>
    <w:rsid w:val="29FD04D3"/>
    <w:rsid w:val="2A2E769B"/>
    <w:rsid w:val="2A8D3BB3"/>
    <w:rsid w:val="2ABC3174"/>
    <w:rsid w:val="2BFF7BC6"/>
    <w:rsid w:val="2C56006A"/>
    <w:rsid w:val="2C8A61B5"/>
    <w:rsid w:val="2C994A91"/>
    <w:rsid w:val="2C9C632F"/>
    <w:rsid w:val="2C9F5E1F"/>
    <w:rsid w:val="2CD23AFF"/>
    <w:rsid w:val="2CD59C95"/>
    <w:rsid w:val="2D9D410D"/>
    <w:rsid w:val="2DCC054E"/>
    <w:rsid w:val="2DF04E50"/>
    <w:rsid w:val="2E222864"/>
    <w:rsid w:val="2E3D58F0"/>
    <w:rsid w:val="2EFC1307"/>
    <w:rsid w:val="2EFD05E5"/>
    <w:rsid w:val="2F040D46"/>
    <w:rsid w:val="2F097580"/>
    <w:rsid w:val="2F4F95CE"/>
    <w:rsid w:val="2F59456D"/>
    <w:rsid w:val="2FACAFDD"/>
    <w:rsid w:val="2FAE5751"/>
    <w:rsid w:val="2FB1A395"/>
    <w:rsid w:val="2FCF0B76"/>
    <w:rsid w:val="2FD9A7D8"/>
    <w:rsid w:val="30224D9D"/>
    <w:rsid w:val="31523460"/>
    <w:rsid w:val="319F7F4E"/>
    <w:rsid w:val="31EC7411"/>
    <w:rsid w:val="32F91AE7"/>
    <w:rsid w:val="3304709D"/>
    <w:rsid w:val="331F3816"/>
    <w:rsid w:val="3326373F"/>
    <w:rsid w:val="33606A6A"/>
    <w:rsid w:val="336B6A5B"/>
    <w:rsid w:val="33EF31E8"/>
    <w:rsid w:val="34126ED7"/>
    <w:rsid w:val="342C1CDF"/>
    <w:rsid w:val="34745E84"/>
    <w:rsid w:val="356674DA"/>
    <w:rsid w:val="358A2CF1"/>
    <w:rsid w:val="35A70F55"/>
    <w:rsid w:val="36062474"/>
    <w:rsid w:val="360A3779"/>
    <w:rsid w:val="3642157C"/>
    <w:rsid w:val="36AA5135"/>
    <w:rsid w:val="36B77ECB"/>
    <w:rsid w:val="36BE0DA7"/>
    <w:rsid w:val="37114AE6"/>
    <w:rsid w:val="376B6AA6"/>
    <w:rsid w:val="376D39B2"/>
    <w:rsid w:val="37904CE2"/>
    <w:rsid w:val="37B7226F"/>
    <w:rsid w:val="37C30C14"/>
    <w:rsid w:val="37E16F03"/>
    <w:rsid w:val="37F53A3B"/>
    <w:rsid w:val="380115FE"/>
    <w:rsid w:val="38305B7D"/>
    <w:rsid w:val="3843357E"/>
    <w:rsid w:val="389A4932"/>
    <w:rsid w:val="38D469F0"/>
    <w:rsid w:val="38F78389"/>
    <w:rsid w:val="39006B30"/>
    <w:rsid w:val="396106E4"/>
    <w:rsid w:val="397BAF1F"/>
    <w:rsid w:val="397D6B0A"/>
    <w:rsid w:val="39D746A9"/>
    <w:rsid w:val="39E10B33"/>
    <w:rsid w:val="39E7B272"/>
    <w:rsid w:val="39F7642F"/>
    <w:rsid w:val="39FF7B37"/>
    <w:rsid w:val="3A306505"/>
    <w:rsid w:val="3A5B15D7"/>
    <w:rsid w:val="3A7B6A1B"/>
    <w:rsid w:val="3AB79AF3"/>
    <w:rsid w:val="3AE535C6"/>
    <w:rsid w:val="3AEF1D0C"/>
    <w:rsid w:val="3AFDCB77"/>
    <w:rsid w:val="3B1B48C3"/>
    <w:rsid w:val="3B6252ED"/>
    <w:rsid w:val="3B7EF35A"/>
    <w:rsid w:val="3B8107CA"/>
    <w:rsid w:val="3B8F28D0"/>
    <w:rsid w:val="3B901576"/>
    <w:rsid w:val="3B9FDB6C"/>
    <w:rsid w:val="3BCA0E0F"/>
    <w:rsid w:val="3BF5BC2F"/>
    <w:rsid w:val="3BF7C23A"/>
    <w:rsid w:val="3BFF223E"/>
    <w:rsid w:val="3C6EC0A1"/>
    <w:rsid w:val="3C910D7C"/>
    <w:rsid w:val="3C9C1A33"/>
    <w:rsid w:val="3CC03FCC"/>
    <w:rsid w:val="3CDB0824"/>
    <w:rsid w:val="3CEBA265"/>
    <w:rsid w:val="3D17730C"/>
    <w:rsid w:val="3D6A7F9F"/>
    <w:rsid w:val="3D7E7F4D"/>
    <w:rsid w:val="3D98207C"/>
    <w:rsid w:val="3D9CF30A"/>
    <w:rsid w:val="3DDA0A65"/>
    <w:rsid w:val="3DFF5A3E"/>
    <w:rsid w:val="3E585D59"/>
    <w:rsid w:val="3E78745D"/>
    <w:rsid w:val="3E8F1850"/>
    <w:rsid w:val="3EA9370C"/>
    <w:rsid w:val="3EBF1A09"/>
    <w:rsid w:val="3EC3774B"/>
    <w:rsid w:val="3EEE77E9"/>
    <w:rsid w:val="3F394AF5"/>
    <w:rsid w:val="3FBC2F4A"/>
    <w:rsid w:val="3FBE5714"/>
    <w:rsid w:val="3FDD8615"/>
    <w:rsid w:val="3FDFB2FF"/>
    <w:rsid w:val="3FF4CAE0"/>
    <w:rsid w:val="3FF75FAF"/>
    <w:rsid w:val="3FF7B227"/>
    <w:rsid w:val="3FF83425"/>
    <w:rsid w:val="409C2EB6"/>
    <w:rsid w:val="40FE2CBD"/>
    <w:rsid w:val="410D4CAE"/>
    <w:rsid w:val="41232723"/>
    <w:rsid w:val="412A075C"/>
    <w:rsid w:val="42907DEC"/>
    <w:rsid w:val="42DA1581"/>
    <w:rsid w:val="42E07240"/>
    <w:rsid w:val="432E715D"/>
    <w:rsid w:val="43B6787E"/>
    <w:rsid w:val="43C755E8"/>
    <w:rsid w:val="44763304"/>
    <w:rsid w:val="44E268DA"/>
    <w:rsid w:val="44EB79FC"/>
    <w:rsid w:val="454B6A4A"/>
    <w:rsid w:val="457F4F6B"/>
    <w:rsid w:val="4585575A"/>
    <w:rsid w:val="46081EE8"/>
    <w:rsid w:val="462431C5"/>
    <w:rsid w:val="462D194E"/>
    <w:rsid w:val="463D7DE3"/>
    <w:rsid w:val="4667066F"/>
    <w:rsid w:val="46D22C21"/>
    <w:rsid w:val="4737FB58"/>
    <w:rsid w:val="4742291B"/>
    <w:rsid w:val="47881532"/>
    <w:rsid w:val="479E48B1"/>
    <w:rsid w:val="47CB141F"/>
    <w:rsid w:val="47ECCB02"/>
    <w:rsid w:val="47FA6A3F"/>
    <w:rsid w:val="487E491C"/>
    <w:rsid w:val="489878D5"/>
    <w:rsid w:val="48AE6D76"/>
    <w:rsid w:val="49177011"/>
    <w:rsid w:val="49D7AE48"/>
    <w:rsid w:val="4A112982"/>
    <w:rsid w:val="4A161077"/>
    <w:rsid w:val="4A195E7A"/>
    <w:rsid w:val="4A3F6C7E"/>
    <w:rsid w:val="4A627F82"/>
    <w:rsid w:val="4AC40AD3"/>
    <w:rsid w:val="4B061D18"/>
    <w:rsid w:val="4B0E749A"/>
    <w:rsid w:val="4B4F25DA"/>
    <w:rsid w:val="4B591C6B"/>
    <w:rsid w:val="4BBB4781"/>
    <w:rsid w:val="4BC13445"/>
    <w:rsid w:val="4BC93EC7"/>
    <w:rsid w:val="4BD709A5"/>
    <w:rsid w:val="4BDD9BFF"/>
    <w:rsid w:val="4BE068DB"/>
    <w:rsid w:val="4C084AEB"/>
    <w:rsid w:val="4C13385C"/>
    <w:rsid w:val="4CDD5E7C"/>
    <w:rsid w:val="4D573E80"/>
    <w:rsid w:val="4D577224"/>
    <w:rsid w:val="4D84279B"/>
    <w:rsid w:val="4DBF1CEB"/>
    <w:rsid w:val="4DBF6A6B"/>
    <w:rsid w:val="4DF06083"/>
    <w:rsid w:val="4DF6A672"/>
    <w:rsid w:val="4EAB630A"/>
    <w:rsid w:val="4ECE2238"/>
    <w:rsid w:val="4F021A89"/>
    <w:rsid w:val="4F7EA413"/>
    <w:rsid w:val="4F99115C"/>
    <w:rsid w:val="4FAB812F"/>
    <w:rsid w:val="4FE9BD67"/>
    <w:rsid w:val="4FEE4C07"/>
    <w:rsid w:val="4FFB052F"/>
    <w:rsid w:val="50AE11F8"/>
    <w:rsid w:val="51136310"/>
    <w:rsid w:val="5245699D"/>
    <w:rsid w:val="529F5982"/>
    <w:rsid w:val="52A82A88"/>
    <w:rsid w:val="537E6D0A"/>
    <w:rsid w:val="53887A7F"/>
    <w:rsid w:val="539C385A"/>
    <w:rsid w:val="53AB6B88"/>
    <w:rsid w:val="53B05634"/>
    <w:rsid w:val="53F74C96"/>
    <w:rsid w:val="541A5E66"/>
    <w:rsid w:val="5531719E"/>
    <w:rsid w:val="55467A74"/>
    <w:rsid w:val="5583522D"/>
    <w:rsid w:val="55D87B28"/>
    <w:rsid w:val="55E262B1"/>
    <w:rsid w:val="56197654"/>
    <w:rsid w:val="56301712"/>
    <w:rsid w:val="56312D95"/>
    <w:rsid w:val="57BD3DD4"/>
    <w:rsid w:val="57D34F8E"/>
    <w:rsid w:val="57F9CD1E"/>
    <w:rsid w:val="58450D79"/>
    <w:rsid w:val="588836A3"/>
    <w:rsid w:val="589F66DB"/>
    <w:rsid w:val="591A3FB4"/>
    <w:rsid w:val="596B480F"/>
    <w:rsid w:val="59A71F8F"/>
    <w:rsid w:val="5A3635F9"/>
    <w:rsid w:val="5AC82A05"/>
    <w:rsid w:val="5AD9504A"/>
    <w:rsid w:val="5AE72137"/>
    <w:rsid w:val="5AF92295"/>
    <w:rsid w:val="5AF9D8E9"/>
    <w:rsid w:val="5B2E3D47"/>
    <w:rsid w:val="5B5E0D4A"/>
    <w:rsid w:val="5B733DF5"/>
    <w:rsid w:val="5BA30291"/>
    <w:rsid w:val="5BDD38BD"/>
    <w:rsid w:val="5BDD79E6"/>
    <w:rsid w:val="5BEFC772"/>
    <w:rsid w:val="5BFF5DFC"/>
    <w:rsid w:val="5C327B4C"/>
    <w:rsid w:val="5C655F2A"/>
    <w:rsid w:val="5CAE3391"/>
    <w:rsid w:val="5CBC7642"/>
    <w:rsid w:val="5CD71FC4"/>
    <w:rsid w:val="5D1F11B5"/>
    <w:rsid w:val="5D3647F9"/>
    <w:rsid w:val="5DA644D4"/>
    <w:rsid w:val="5DAE1B18"/>
    <w:rsid w:val="5DDF5E8A"/>
    <w:rsid w:val="5DE7D9E5"/>
    <w:rsid w:val="5E6230CD"/>
    <w:rsid w:val="5E7F4FE5"/>
    <w:rsid w:val="5ECEC941"/>
    <w:rsid w:val="5EDF45D6"/>
    <w:rsid w:val="5EFF8FC6"/>
    <w:rsid w:val="5F0279C4"/>
    <w:rsid w:val="5F2D41D5"/>
    <w:rsid w:val="5F2E2567"/>
    <w:rsid w:val="5F5BA39A"/>
    <w:rsid w:val="5F7D3B79"/>
    <w:rsid w:val="5F7F4610"/>
    <w:rsid w:val="5FA23C0D"/>
    <w:rsid w:val="5FBF9FF3"/>
    <w:rsid w:val="5FCD4E2C"/>
    <w:rsid w:val="5FD6518C"/>
    <w:rsid w:val="5FEF394A"/>
    <w:rsid w:val="5FF67715"/>
    <w:rsid w:val="60031C46"/>
    <w:rsid w:val="600B4546"/>
    <w:rsid w:val="601B0D3D"/>
    <w:rsid w:val="604B0A34"/>
    <w:rsid w:val="61587D6F"/>
    <w:rsid w:val="61CA71D5"/>
    <w:rsid w:val="620D559E"/>
    <w:rsid w:val="621517BC"/>
    <w:rsid w:val="625247BE"/>
    <w:rsid w:val="627EE9EA"/>
    <w:rsid w:val="62834465"/>
    <w:rsid w:val="63576530"/>
    <w:rsid w:val="63894210"/>
    <w:rsid w:val="63B23AA5"/>
    <w:rsid w:val="64010ED9"/>
    <w:rsid w:val="64322AF9"/>
    <w:rsid w:val="647F5392"/>
    <w:rsid w:val="64DC3870"/>
    <w:rsid w:val="64DC4BF4"/>
    <w:rsid w:val="64E322C4"/>
    <w:rsid w:val="64FA7F9E"/>
    <w:rsid w:val="65FB93B9"/>
    <w:rsid w:val="662E5105"/>
    <w:rsid w:val="6633C463"/>
    <w:rsid w:val="66886A01"/>
    <w:rsid w:val="66E46287"/>
    <w:rsid w:val="66E856F1"/>
    <w:rsid w:val="66F83B86"/>
    <w:rsid w:val="67254250"/>
    <w:rsid w:val="677347DE"/>
    <w:rsid w:val="677456CA"/>
    <w:rsid w:val="67B101D9"/>
    <w:rsid w:val="67D55B77"/>
    <w:rsid w:val="67EE7F84"/>
    <w:rsid w:val="6809591F"/>
    <w:rsid w:val="686F5F53"/>
    <w:rsid w:val="68D50F0A"/>
    <w:rsid w:val="6A711BCD"/>
    <w:rsid w:val="6ADB5DB0"/>
    <w:rsid w:val="6AFFCEAF"/>
    <w:rsid w:val="6B4F5D3F"/>
    <w:rsid w:val="6B96E9E6"/>
    <w:rsid w:val="6BCE57B5"/>
    <w:rsid w:val="6BF568E6"/>
    <w:rsid w:val="6BFEA4DB"/>
    <w:rsid w:val="6BFFB662"/>
    <w:rsid w:val="6C4A05C8"/>
    <w:rsid w:val="6CAE6A95"/>
    <w:rsid w:val="6CFF4FB8"/>
    <w:rsid w:val="6D6BD6E0"/>
    <w:rsid w:val="6D77E73C"/>
    <w:rsid w:val="6D9043F0"/>
    <w:rsid w:val="6DBF5E93"/>
    <w:rsid w:val="6DE24C48"/>
    <w:rsid w:val="6DFF077E"/>
    <w:rsid w:val="6E531FEA"/>
    <w:rsid w:val="6E5F7FBC"/>
    <w:rsid w:val="6E7116EB"/>
    <w:rsid w:val="6E7E3605"/>
    <w:rsid w:val="6E7FDCC7"/>
    <w:rsid w:val="6ED6A62E"/>
    <w:rsid w:val="6EE00B15"/>
    <w:rsid w:val="6EE737B2"/>
    <w:rsid w:val="6EEB2329"/>
    <w:rsid w:val="6EECE67A"/>
    <w:rsid w:val="6F267133"/>
    <w:rsid w:val="6F3A0AB4"/>
    <w:rsid w:val="6F6F90A8"/>
    <w:rsid w:val="6F6FB3EB"/>
    <w:rsid w:val="6F7F4719"/>
    <w:rsid w:val="6F8731EA"/>
    <w:rsid w:val="6FBC2ADD"/>
    <w:rsid w:val="6FD57C00"/>
    <w:rsid w:val="6FEFFFD8"/>
    <w:rsid w:val="6FF5CC65"/>
    <w:rsid w:val="6FFB47EC"/>
    <w:rsid w:val="6FFF034A"/>
    <w:rsid w:val="70BB79D3"/>
    <w:rsid w:val="70CB2BBE"/>
    <w:rsid w:val="70F57389"/>
    <w:rsid w:val="70FA74AF"/>
    <w:rsid w:val="712A28F1"/>
    <w:rsid w:val="715C0E4B"/>
    <w:rsid w:val="71E20FCC"/>
    <w:rsid w:val="71F15DA2"/>
    <w:rsid w:val="71FFD401"/>
    <w:rsid w:val="72042F0F"/>
    <w:rsid w:val="72233669"/>
    <w:rsid w:val="72435ED2"/>
    <w:rsid w:val="7251239D"/>
    <w:rsid w:val="72734D90"/>
    <w:rsid w:val="7332FE48"/>
    <w:rsid w:val="73AD73D5"/>
    <w:rsid w:val="73B452D9"/>
    <w:rsid w:val="73B6EB34"/>
    <w:rsid w:val="73BB6F57"/>
    <w:rsid w:val="73CE5B38"/>
    <w:rsid w:val="73FA497D"/>
    <w:rsid w:val="744731E5"/>
    <w:rsid w:val="74621EBF"/>
    <w:rsid w:val="74BBD01D"/>
    <w:rsid w:val="74ED5379"/>
    <w:rsid w:val="75071439"/>
    <w:rsid w:val="750E0A19"/>
    <w:rsid w:val="754206C3"/>
    <w:rsid w:val="759F78C3"/>
    <w:rsid w:val="75BE5F9B"/>
    <w:rsid w:val="75DEEEC2"/>
    <w:rsid w:val="76361FD5"/>
    <w:rsid w:val="767F479D"/>
    <w:rsid w:val="769B2359"/>
    <w:rsid w:val="76B348A4"/>
    <w:rsid w:val="76DF266D"/>
    <w:rsid w:val="76E3355F"/>
    <w:rsid w:val="76F742AF"/>
    <w:rsid w:val="76F7BE7D"/>
    <w:rsid w:val="76FF5125"/>
    <w:rsid w:val="77004391"/>
    <w:rsid w:val="773570D3"/>
    <w:rsid w:val="77597F31"/>
    <w:rsid w:val="776F5BB0"/>
    <w:rsid w:val="776F6FFA"/>
    <w:rsid w:val="7777A522"/>
    <w:rsid w:val="77858688"/>
    <w:rsid w:val="778769C8"/>
    <w:rsid w:val="77CB741A"/>
    <w:rsid w:val="77D7BE3A"/>
    <w:rsid w:val="77DC22F5"/>
    <w:rsid w:val="77F81524"/>
    <w:rsid w:val="780C2FB1"/>
    <w:rsid w:val="78B673FD"/>
    <w:rsid w:val="797E3A6C"/>
    <w:rsid w:val="79CA5DB8"/>
    <w:rsid w:val="79CF70E2"/>
    <w:rsid w:val="79D7FD79"/>
    <w:rsid w:val="79E75806"/>
    <w:rsid w:val="79EE5BA4"/>
    <w:rsid w:val="7A3D64BC"/>
    <w:rsid w:val="7A641148"/>
    <w:rsid w:val="7A6F8BF5"/>
    <w:rsid w:val="7A7F4301"/>
    <w:rsid w:val="7A894339"/>
    <w:rsid w:val="7AAB7479"/>
    <w:rsid w:val="7ACF82B5"/>
    <w:rsid w:val="7AF27D19"/>
    <w:rsid w:val="7AFF28C9"/>
    <w:rsid w:val="7AFF72A0"/>
    <w:rsid w:val="7AFF7572"/>
    <w:rsid w:val="7B3867F0"/>
    <w:rsid w:val="7B4A207F"/>
    <w:rsid w:val="7B6C7DFB"/>
    <w:rsid w:val="7B7D76A7"/>
    <w:rsid w:val="7BAE2FE2"/>
    <w:rsid w:val="7BAF6951"/>
    <w:rsid w:val="7BBFBED0"/>
    <w:rsid w:val="7BC3E394"/>
    <w:rsid w:val="7BD858DD"/>
    <w:rsid w:val="7BF3FE4C"/>
    <w:rsid w:val="7BFB5035"/>
    <w:rsid w:val="7BFDE17E"/>
    <w:rsid w:val="7C0E57A2"/>
    <w:rsid w:val="7C1E3C37"/>
    <w:rsid w:val="7C39785E"/>
    <w:rsid w:val="7C5A74C6"/>
    <w:rsid w:val="7C656F85"/>
    <w:rsid w:val="7C7750F6"/>
    <w:rsid w:val="7CBFC87B"/>
    <w:rsid w:val="7CD05E42"/>
    <w:rsid w:val="7CE81B50"/>
    <w:rsid w:val="7CFE0F48"/>
    <w:rsid w:val="7D3DE31C"/>
    <w:rsid w:val="7D407BDD"/>
    <w:rsid w:val="7D423956"/>
    <w:rsid w:val="7D4C20DE"/>
    <w:rsid w:val="7D6531A0"/>
    <w:rsid w:val="7D7EC23E"/>
    <w:rsid w:val="7D7F8A13"/>
    <w:rsid w:val="7DBBCB01"/>
    <w:rsid w:val="7DC765D0"/>
    <w:rsid w:val="7DDB0EE0"/>
    <w:rsid w:val="7DFF51D8"/>
    <w:rsid w:val="7E5020A2"/>
    <w:rsid w:val="7E634199"/>
    <w:rsid w:val="7E8ADEBF"/>
    <w:rsid w:val="7EAB02A1"/>
    <w:rsid w:val="7ED56E6A"/>
    <w:rsid w:val="7EEA1BAF"/>
    <w:rsid w:val="7EEF11D3"/>
    <w:rsid w:val="7EF78C20"/>
    <w:rsid w:val="7F200A7F"/>
    <w:rsid w:val="7F392227"/>
    <w:rsid w:val="7F3F679B"/>
    <w:rsid w:val="7F4FC4EF"/>
    <w:rsid w:val="7F5E4D54"/>
    <w:rsid w:val="7F6B75FA"/>
    <w:rsid w:val="7F78097A"/>
    <w:rsid w:val="7F9F518D"/>
    <w:rsid w:val="7FA30C79"/>
    <w:rsid w:val="7FAF8ABF"/>
    <w:rsid w:val="7FB7269E"/>
    <w:rsid w:val="7FBD6753"/>
    <w:rsid w:val="7FBFABB4"/>
    <w:rsid w:val="7FC65084"/>
    <w:rsid w:val="7FC96657"/>
    <w:rsid w:val="7FD72595"/>
    <w:rsid w:val="7FDA9588"/>
    <w:rsid w:val="7FDF220F"/>
    <w:rsid w:val="7FDF4542"/>
    <w:rsid w:val="7FDF5405"/>
    <w:rsid w:val="7FEDC251"/>
    <w:rsid w:val="7FEDC5F7"/>
    <w:rsid w:val="7FEDD9DE"/>
    <w:rsid w:val="7FEFCDB9"/>
    <w:rsid w:val="7FF52F01"/>
    <w:rsid w:val="7FF5890D"/>
    <w:rsid w:val="7FF5EB09"/>
    <w:rsid w:val="7FF89B92"/>
    <w:rsid w:val="7FF8F2E7"/>
    <w:rsid w:val="7FF93490"/>
    <w:rsid w:val="7FFA6237"/>
    <w:rsid w:val="7FFB5275"/>
    <w:rsid w:val="7FFD14DE"/>
    <w:rsid w:val="7FFFF783"/>
    <w:rsid w:val="93F70A9E"/>
    <w:rsid w:val="997D060E"/>
    <w:rsid w:val="99FF2014"/>
    <w:rsid w:val="9E59F895"/>
    <w:rsid w:val="9E7DEDC1"/>
    <w:rsid w:val="9EEF2B0D"/>
    <w:rsid w:val="9FF6F2A6"/>
    <w:rsid w:val="9FFE4AD9"/>
    <w:rsid w:val="9FFF61B9"/>
    <w:rsid w:val="A6DD0D7F"/>
    <w:rsid w:val="A7955197"/>
    <w:rsid w:val="A7FE5E0E"/>
    <w:rsid w:val="ADC6F725"/>
    <w:rsid w:val="AF0FFA84"/>
    <w:rsid w:val="AF9F0A5E"/>
    <w:rsid w:val="AFEF7964"/>
    <w:rsid w:val="B27A6F28"/>
    <w:rsid w:val="B35F0D5A"/>
    <w:rsid w:val="B3F7F693"/>
    <w:rsid w:val="B3FBBB6C"/>
    <w:rsid w:val="B5FFE407"/>
    <w:rsid w:val="B7CF06AB"/>
    <w:rsid w:val="B7CFA926"/>
    <w:rsid w:val="B7F8786B"/>
    <w:rsid w:val="B9EF5647"/>
    <w:rsid w:val="BABB6AA1"/>
    <w:rsid w:val="BAFCD398"/>
    <w:rsid w:val="BAFFDA0F"/>
    <w:rsid w:val="BB2F4199"/>
    <w:rsid w:val="BBFBD24E"/>
    <w:rsid w:val="BD079C78"/>
    <w:rsid w:val="BD2DD278"/>
    <w:rsid w:val="BD733540"/>
    <w:rsid w:val="BDF7970E"/>
    <w:rsid w:val="BDFE68BD"/>
    <w:rsid w:val="BE6FC990"/>
    <w:rsid w:val="BEBE9537"/>
    <w:rsid w:val="BEFF0D62"/>
    <w:rsid w:val="BEFF90EF"/>
    <w:rsid w:val="BF3735D5"/>
    <w:rsid w:val="BF7F09AC"/>
    <w:rsid w:val="BFB3380D"/>
    <w:rsid w:val="BFB7E7A2"/>
    <w:rsid w:val="BFC2F103"/>
    <w:rsid w:val="BFD475C3"/>
    <w:rsid w:val="BFDE5EA6"/>
    <w:rsid w:val="BFEF99E9"/>
    <w:rsid w:val="BFF9E564"/>
    <w:rsid w:val="BFFF3A69"/>
    <w:rsid w:val="C7BFEF9C"/>
    <w:rsid w:val="C8BD8F25"/>
    <w:rsid w:val="C94DA72E"/>
    <w:rsid w:val="CBEEAA00"/>
    <w:rsid w:val="CC7E9ECE"/>
    <w:rsid w:val="CDBFF9FF"/>
    <w:rsid w:val="CDF78664"/>
    <w:rsid w:val="CE3FF57E"/>
    <w:rsid w:val="CF3AB4AC"/>
    <w:rsid w:val="CF6FC6F3"/>
    <w:rsid w:val="CFD3D3D7"/>
    <w:rsid w:val="CFDF1009"/>
    <w:rsid w:val="D6B7E4F6"/>
    <w:rsid w:val="D6CB2739"/>
    <w:rsid w:val="D776A8DB"/>
    <w:rsid w:val="D7B6B268"/>
    <w:rsid w:val="D7D7B16A"/>
    <w:rsid w:val="D7EF2E2A"/>
    <w:rsid w:val="D8D6DB89"/>
    <w:rsid w:val="DB6F4CAB"/>
    <w:rsid w:val="DB777682"/>
    <w:rsid w:val="DBDDA52A"/>
    <w:rsid w:val="DCFFC0D1"/>
    <w:rsid w:val="DD1FB521"/>
    <w:rsid w:val="DDCB2E5E"/>
    <w:rsid w:val="DDFE75CA"/>
    <w:rsid w:val="DEFBBE33"/>
    <w:rsid w:val="DEFBFEAE"/>
    <w:rsid w:val="DF1F3B80"/>
    <w:rsid w:val="DF6F9789"/>
    <w:rsid w:val="DF9B8D55"/>
    <w:rsid w:val="DF9D198A"/>
    <w:rsid w:val="DFDF1D8E"/>
    <w:rsid w:val="DFEFC58B"/>
    <w:rsid w:val="DFF5F241"/>
    <w:rsid w:val="DFFFA9E8"/>
    <w:rsid w:val="E37D5D3F"/>
    <w:rsid w:val="E3FFE98D"/>
    <w:rsid w:val="E5F4E9DC"/>
    <w:rsid w:val="E67FF583"/>
    <w:rsid w:val="E70FE695"/>
    <w:rsid w:val="E7676621"/>
    <w:rsid w:val="E76B2B9A"/>
    <w:rsid w:val="E7AB7A34"/>
    <w:rsid w:val="E7DF1E20"/>
    <w:rsid w:val="E7FF6381"/>
    <w:rsid w:val="E9A30291"/>
    <w:rsid w:val="EBBF924C"/>
    <w:rsid w:val="ECFED1BC"/>
    <w:rsid w:val="ED1D69BB"/>
    <w:rsid w:val="ED2C2584"/>
    <w:rsid w:val="ED7FD312"/>
    <w:rsid w:val="EDBE03E0"/>
    <w:rsid w:val="EDD1A84A"/>
    <w:rsid w:val="EDFF8263"/>
    <w:rsid w:val="EE1FA0C7"/>
    <w:rsid w:val="EF53993F"/>
    <w:rsid w:val="EF7B8152"/>
    <w:rsid w:val="EF8E27E2"/>
    <w:rsid w:val="EFBFB2F4"/>
    <w:rsid w:val="EFBFFA21"/>
    <w:rsid w:val="EFDF4337"/>
    <w:rsid w:val="EFF7097E"/>
    <w:rsid w:val="F2BEBCB8"/>
    <w:rsid w:val="F36FB518"/>
    <w:rsid w:val="F3DE1A04"/>
    <w:rsid w:val="F3E244FA"/>
    <w:rsid w:val="F3EFB7CA"/>
    <w:rsid w:val="F3F722E5"/>
    <w:rsid w:val="F699BB1A"/>
    <w:rsid w:val="F6DEABFE"/>
    <w:rsid w:val="F7B650C7"/>
    <w:rsid w:val="F7EF9033"/>
    <w:rsid w:val="F7FDC2B1"/>
    <w:rsid w:val="F8DDDAC6"/>
    <w:rsid w:val="F96B55C8"/>
    <w:rsid w:val="FA2F5BEB"/>
    <w:rsid w:val="FA5F1E70"/>
    <w:rsid w:val="FA5FDB97"/>
    <w:rsid w:val="FB1BB959"/>
    <w:rsid w:val="FB75E3C8"/>
    <w:rsid w:val="FB7F461B"/>
    <w:rsid w:val="FB7F486A"/>
    <w:rsid w:val="FB7F6E28"/>
    <w:rsid w:val="FB8778F4"/>
    <w:rsid w:val="FBB61866"/>
    <w:rsid w:val="FBEE055A"/>
    <w:rsid w:val="FBF91527"/>
    <w:rsid w:val="FBFD1260"/>
    <w:rsid w:val="FBFF5B2E"/>
    <w:rsid w:val="FC833EBB"/>
    <w:rsid w:val="FCFE0B49"/>
    <w:rsid w:val="FD4B388D"/>
    <w:rsid w:val="FD77A83C"/>
    <w:rsid w:val="FD7FFE2B"/>
    <w:rsid w:val="FDADA43D"/>
    <w:rsid w:val="FDBDC432"/>
    <w:rsid w:val="FDEB412A"/>
    <w:rsid w:val="FDEE196B"/>
    <w:rsid w:val="FDEF50BC"/>
    <w:rsid w:val="FDFD5EC3"/>
    <w:rsid w:val="FDFE6575"/>
    <w:rsid w:val="FE9E11AB"/>
    <w:rsid w:val="FEBF38CD"/>
    <w:rsid w:val="FEDFDDC2"/>
    <w:rsid w:val="FEEB4E4D"/>
    <w:rsid w:val="FEED32F6"/>
    <w:rsid w:val="FEF781DD"/>
    <w:rsid w:val="FEF9D8C4"/>
    <w:rsid w:val="FF3F7E3F"/>
    <w:rsid w:val="FF3FF759"/>
    <w:rsid w:val="FF4749A3"/>
    <w:rsid w:val="FF4D3A28"/>
    <w:rsid w:val="FF5913BC"/>
    <w:rsid w:val="FF7F1E7E"/>
    <w:rsid w:val="FF9BAA5C"/>
    <w:rsid w:val="FFA57884"/>
    <w:rsid w:val="FFB513DD"/>
    <w:rsid w:val="FFBA12D7"/>
    <w:rsid w:val="FFBFE8C6"/>
    <w:rsid w:val="FFCF2925"/>
    <w:rsid w:val="FFD33B6C"/>
    <w:rsid w:val="FFDAD824"/>
    <w:rsid w:val="FFDE4064"/>
    <w:rsid w:val="FFDEA9D8"/>
    <w:rsid w:val="FFDF2DEC"/>
    <w:rsid w:val="FFDF624E"/>
    <w:rsid w:val="FFDF6BC0"/>
    <w:rsid w:val="FFDFFAEE"/>
    <w:rsid w:val="FFE3BA41"/>
    <w:rsid w:val="FFE3BED4"/>
    <w:rsid w:val="FFF316C1"/>
    <w:rsid w:val="FFF63ECC"/>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9"/>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30"/>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33"/>
    <w:unhideWhenUsed/>
    <w:qFormat/>
    <w:uiPriority w:val="9"/>
    <w:pPr>
      <w:keepNext/>
      <w:keepLines/>
      <w:spacing w:before="260" w:after="260" w:line="416" w:lineRule="auto"/>
      <w:outlineLvl w:val="2"/>
    </w:pPr>
    <w:rPr>
      <w:b/>
      <w:bCs/>
      <w:sz w:val="32"/>
      <w:szCs w:val="32"/>
    </w:rPr>
  </w:style>
  <w:style w:type="character" w:default="1" w:styleId="17">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Body Text"/>
    <w:basedOn w:val="1"/>
    <w:link w:val="26"/>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200" w:leftChars="200"/>
    </w:pPr>
    <w:rPr>
      <w:rFonts w:ascii="仿宋_GB2312"/>
      <w:szCs w:val="32"/>
    </w:rPr>
  </w:style>
  <w:style w:type="paragraph" w:styleId="7">
    <w:name w:val="Body Text First Indent 2"/>
    <w:basedOn w:val="6"/>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2"/>
    <w:semiHidden/>
    <w:unhideWhenUsed/>
    <w:qFormat/>
    <w:uiPriority w:val="99"/>
    <w:rPr>
      <w:sz w:val="18"/>
      <w:szCs w:val="18"/>
    </w:rPr>
  </w:style>
  <w:style w:type="paragraph" w:styleId="10">
    <w:name w:val="footer"/>
    <w:basedOn w:val="1"/>
    <w:link w:val="24"/>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2"/>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paragraph" w:styleId="15">
    <w:name w:val="Normal (Web)"/>
    <w:basedOn w:val="1"/>
    <w:qFormat/>
    <w:uiPriority w:val="99"/>
    <w:pPr>
      <w:spacing w:beforeAutospacing="1" w:afterAutospacing="1"/>
      <w:jc w:val="left"/>
    </w:pPr>
    <w:rPr>
      <w:kern w:val="0"/>
      <w:sz w:val="24"/>
    </w:r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paragraph" w:customStyle="1" w:styleId="20">
    <w:name w:val="标题 5（有编号）（绿盟科技）"/>
    <w:next w:val="1"/>
    <w:qFormat/>
    <w:uiPriority w:val="99"/>
    <w:pPr>
      <w:keepNext/>
      <w:keepLines/>
      <w:widowControl w:val="0"/>
      <w:spacing w:before="280" w:after="156" w:line="377" w:lineRule="auto"/>
      <w:outlineLvl w:val="4"/>
    </w:pPr>
    <w:rPr>
      <w:rFonts w:ascii="Arial" w:hAnsi="Arial" w:eastAsia="黑体" w:cs="Times New Roman"/>
      <w:b/>
      <w:kern w:val="2"/>
      <w:sz w:val="24"/>
      <w:szCs w:val="28"/>
      <w:lang w:val="en-US" w:eastAsia="zh-CN" w:bidi="ar-SA"/>
    </w:rPr>
  </w:style>
  <w:style w:type="character" w:customStyle="1" w:styleId="21">
    <w:name w:val="Header Char"/>
    <w:basedOn w:val="17"/>
    <w:semiHidden/>
    <w:qFormat/>
    <w:uiPriority w:val="99"/>
    <w:rPr>
      <w:rFonts w:ascii="Times New Roman" w:hAnsi="Times New Roman"/>
      <w:sz w:val="18"/>
      <w:szCs w:val="18"/>
    </w:rPr>
  </w:style>
  <w:style w:type="character" w:customStyle="1" w:styleId="22">
    <w:name w:val="页眉 字符"/>
    <w:link w:val="11"/>
    <w:semiHidden/>
    <w:qFormat/>
    <w:locked/>
    <w:uiPriority w:val="99"/>
    <w:rPr>
      <w:sz w:val="18"/>
    </w:rPr>
  </w:style>
  <w:style w:type="character" w:customStyle="1" w:styleId="23">
    <w:name w:val="Footer Char"/>
    <w:basedOn w:val="17"/>
    <w:semiHidden/>
    <w:qFormat/>
    <w:uiPriority w:val="99"/>
    <w:rPr>
      <w:rFonts w:ascii="Times New Roman" w:hAnsi="Times New Roman"/>
      <w:sz w:val="18"/>
      <w:szCs w:val="18"/>
    </w:rPr>
  </w:style>
  <w:style w:type="character" w:customStyle="1" w:styleId="24">
    <w:name w:val="页脚 字符"/>
    <w:link w:val="10"/>
    <w:qFormat/>
    <w:locked/>
    <w:uiPriority w:val="99"/>
    <w:rPr>
      <w:sz w:val="18"/>
    </w:rPr>
  </w:style>
  <w:style w:type="character" w:customStyle="1" w:styleId="25">
    <w:name w:val="Body Text Char"/>
    <w:basedOn w:val="17"/>
    <w:semiHidden/>
    <w:qFormat/>
    <w:uiPriority w:val="99"/>
    <w:rPr>
      <w:rFonts w:ascii="Times New Roman" w:hAnsi="Times New Roman"/>
      <w:szCs w:val="24"/>
    </w:rPr>
  </w:style>
  <w:style w:type="character" w:customStyle="1" w:styleId="26">
    <w:name w:val="正文文本 字符"/>
    <w:link w:val="5"/>
    <w:qFormat/>
    <w:locked/>
    <w:uiPriority w:val="99"/>
    <w:rPr>
      <w:rFonts w:ascii="仿宋_GB2312" w:hAnsi="Times New Roman" w:eastAsia="仿宋_GB2312"/>
      <w:sz w:val="24"/>
    </w:rPr>
  </w:style>
  <w:style w:type="paragraph" w:customStyle="1" w:styleId="27">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8">
    <w:name w:val="List Paragraph"/>
    <w:basedOn w:val="1"/>
    <w:qFormat/>
    <w:uiPriority w:val="34"/>
    <w:pPr>
      <w:ind w:firstLine="420" w:firstLineChars="200"/>
    </w:pPr>
  </w:style>
  <w:style w:type="character" w:customStyle="1" w:styleId="29">
    <w:name w:val="标题 1 字符"/>
    <w:basedOn w:val="17"/>
    <w:link w:val="2"/>
    <w:qFormat/>
    <w:uiPriority w:val="9"/>
    <w:rPr>
      <w:rFonts w:ascii="Times New Roman" w:hAnsi="Times New Roman"/>
      <w:b/>
      <w:bCs/>
      <w:kern w:val="44"/>
      <w:sz w:val="44"/>
      <w:szCs w:val="44"/>
    </w:rPr>
  </w:style>
  <w:style w:type="character" w:customStyle="1" w:styleId="30">
    <w:name w:val="标题 2 字符"/>
    <w:basedOn w:val="17"/>
    <w:link w:val="3"/>
    <w:qFormat/>
    <w:uiPriority w:val="9"/>
    <w:rPr>
      <w:rFonts w:asciiTheme="majorHAnsi" w:hAnsiTheme="majorHAnsi" w:eastAsiaTheme="majorEastAsia" w:cstheme="majorBidi"/>
      <w:b/>
      <w:bCs/>
      <w:kern w:val="2"/>
      <w:sz w:val="32"/>
      <w:szCs w:val="32"/>
    </w:rPr>
  </w:style>
  <w:style w:type="paragraph" w:customStyle="1" w:styleId="31">
    <w:name w:val="TOC 标题1"/>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2">
    <w:name w:val="批注框文本 字符"/>
    <w:basedOn w:val="17"/>
    <w:link w:val="9"/>
    <w:semiHidden/>
    <w:qFormat/>
    <w:uiPriority w:val="99"/>
    <w:rPr>
      <w:rFonts w:ascii="Times New Roman" w:hAnsi="Times New Roman"/>
      <w:kern w:val="2"/>
      <w:sz w:val="18"/>
      <w:szCs w:val="18"/>
    </w:rPr>
  </w:style>
  <w:style w:type="character" w:customStyle="1" w:styleId="33">
    <w:name w:val="标题 3 字符"/>
    <w:basedOn w:val="17"/>
    <w:link w:val="4"/>
    <w:qFormat/>
    <w:uiPriority w:val="9"/>
    <w:rPr>
      <w:rFonts w:ascii="Times New Roman" w:hAnsi="Times New Roman"/>
      <w:b/>
      <w:bCs/>
      <w:kern w:val="2"/>
      <w:sz w:val="32"/>
      <w:szCs w:val="32"/>
    </w:rPr>
  </w:style>
  <w:style w:type="paragraph" w:customStyle="1" w:styleId="34">
    <w:name w:val="TOC 标题2"/>
    <w:basedOn w:val="2"/>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5">
    <w:name w:val="四号正文"/>
    <w:basedOn w:val="1"/>
    <w:qFormat/>
    <w:uiPriority w:val="0"/>
    <w:pPr>
      <w:spacing w:line="360" w:lineRule="auto"/>
    </w:pPr>
    <w:rPr>
      <w:rFonts w:ascii="??" w:hAnsi="??"/>
      <w:color w:val="000000"/>
      <w:kern w:val="0"/>
      <w:sz w:val="28"/>
      <w:szCs w:val="21"/>
      <w:lang w:val="zh-CN"/>
    </w:rPr>
  </w:style>
  <w:style w:type="paragraph" w:customStyle="1" w:styleId="36">
    <w:name w:val="WPSOffice手动目录 1"/>
    <w:qFormat/>
    <w:uiPriority w:val="0"/>
    <w:pPr>
      <w:ind w:leftChars="0"/>
    </w:pPr>
    <w:rPr>
      <w:rFonts w:asciiTheme="minorHAnsi" w:hAnsiTheme="minorHAnsi" w:eastAsiaTheme="minorEastAsia" w:cstheme="minorBidi"/>
      <w:sz w:val="20"/>
      <w:szCs w:val="20"/>
    </w:rPr>
  </w:style>
  <w:style w:type="paragraph" w:customStyle="1" w:styleId="37">
    <w:name w:val="WPSOffice手动目录 2"/>
    <w:qFormat/>
    <w:uiPriority w:val="0"/>
    <w:pPr>
      <w:ind w:leftChars="200"/>
    </w:pPr>
    <w:rPr>
      <w:rFonts w:asciiTheme="minorHAnsi" w:hAnsiTheme="minorHAnsi" w:eastAsiaTheme="minorEastAsia" w:cstheme="minorBidi"/>
      <w:sz w:val="20"/>
      <w:szCs w:val="20"/>
    </w:rPr>
  </w:style>
  <w:style w:type="paragraph" w:customStyle="1" w:styleId="38">
    <w:name w:val="WPSOffice手动目录 3"/>
    <w:qFormat/>
    <w:uiPriority w:val="0"/>
    <w:pPr>
      <w:ind w:leftChars="40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9" Type="http://schemas.openxmlformats.org/officeDocument/2006/relationships/chart" Target="charts/chart3.xml"/><Relationship Id="rId8" Type="http://schemas.openxmlformats.org/officeDocument/2006/relationships/chart" Target="charts/chart2.xml"/><Relationship Id="rId7" Type="http://schemas.openxmlformats.org/officeDocument/2006/relationships/chart" Target="charts/chart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chart" Target="charts/chart7.xml"/><Relationship Id="rId12" Type="http://schemas.openxmlformats.org/officeDocument/2006/relationships/chart" Target="charts/chart6.xml"/><Relationship Id="rId11" Type="http://schemas.openxmlformats.org/officeDocument/2006/relationships/chart" Target="charts/chart5.xml"/><Relationship Id="rId10" Type="http://schemas.openxmlformats.org/officeDocument/2006/relationships/chart" Target="charts/chart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charts/_rels/chart1.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oleObject" Target="file:///G:\2026.8.18&#25509;&#25163;&#36164;&#26009;\&#20915;&#31639;&#20844;&#24320;\&#20915;&#31639;&#20844;&#24320;&#22270;&#29255;.xls" TargetMode="External"/></Relationships>
</file>

<file path=word/charts/_rels/chart2.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oleObject" Target="file:///G:\2026.8.18&#25509;&#25163;&#36164;&#26009;\&#20915;&#31639;&#20844;&#24320;\&#20915;&#31639;&#20844;&#24320;&#22270;&#29255;.xls" TargetMode="External"/></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oleObject" Target="file:///G:\2026.8.18&#25509;&#25163;&#36164;&#26009;\&#20915;&#31639;&#20844;&#24320;\&#20915;&#31639;&#20844;&#24320;&#22270;&#29255;.xls" TargetMode="External"/></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oleObject" Target="file:///G:\2026.8.18&#25509;&#25163;&#36164;&#26009;\&#20915;&#31639;&#20844;&#24320;\&#20915;&#31639;&#20844;&#24320;&#22270;&#29255;.xls" TargetMode="External"/></Relationships>
</file>

<file path=word/charts/_rels/chart5.xml.rels><?xml version="1.0" encoding="UTF-8" standalone="yes"?>
<Relationships xmlns="http://schemas.openxmlformats.org/package/2006/relationships"><Relationship Id="rId3" Type="http://schemas.microsoft.com/office/2011/relationships/chartColorStyle" Target="colors6.xml"/><Relationship Id="rId2" Type="http://schemas.microsoft.com/office/2011/relationships/chartStyle" Target="style6.xml"/><Relationship Id="rId1" Type="http://schemas.openxmlformats.org/officeDocument/2006/relationships/oleObject" Target="file:///G:\2026.8.18&#25509;&#25163;&#36164;&#26009;\&#20915;&#31639;&#20844;&#24320;\&#20915;&#31639;&#20844;&#24320;&#22270;&#29255;.xls" TargetMode="External"/></Relationships>
</file>

<file path=word/charts/_rels/chart6.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oleObject" Target="file:///G:\2026.8.18&#25509;&#25163;&#36164;&#26009;\&#20915;&#31639;&#20844;&#24320;\&#20915;&#31639;&#20844;&#24320;&#22270;&#29255;.xls" TargetMode="External"/></Relationships>
</file>

<file path=word/charts/_rels/chart7.xml.rels><?xml version="1.0" encoding="UTF-8" standalone="yes"?>
<Relationships xmlns="http://schemas.openxmlformats.org/package/2006/relationships"><Relationship Id="rId3" Type="http://schemas.microsoft.com/office/2011/relationships/chartColorStyle" Target="colors7.xml"/><Relationship Id="rId2" Type="http://schemas.microsoft.com/office/2011/relationships/chartStyle" Target="style7.xml"/><Relationship Id="rId1" Type="http://schemas.openxmlformats.org/officeDocument/2006/relationships/oleObject" Target="file:///G:\2026.8.18&#25509;&#25163;&#36164;&#26009;\&#20915;&#31639;&#20844;&#24320;\&#20915;&#31639;&#20844;&#24320;&#22270;&#2925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'[决算公开图片.xls]一、 收入支出决算总体情况说明'!$A$16</c:f>
              <c:strCache>
                <c:ptCount val="1"/>
                <c:pt idx="0">
                  <c:v>2024年</c:v>
                </c:pt>
              </c:strCache>
            </c:strRef>
          </c:tx>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Pt>
            <c:idx val="0"/>
            <c:invertIfNegative val="0"/>
            <c:bubble3D val="0"/>
          </c:dPt>
          <c:dPt>
            <c:idx val="1"/>
            <c:invertIfNegative val="0"/>
            <c:bubble3D val="0"/>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'[决算公开图片.xls]一、 收入支出决算总体情况说明'!$B$15:$C$15</c:f>
              <c:strCache>
                <c:ptCount val="2"/>
                <c:pt idx="0" c:formatCode="@">
                  <c:v>本年收入</c:v>
                </c:pt>
                <c:pt idx="1">
                  <c:v>本年支出</c:v>
                </c:pt>
              </c:strCache>
            </c:strRef>
          </c:cat>
          <c:val>
            <c:numRef>
              <c:f>'[决算公开图片.xls]一、 收入支出决算总体情况说明'!$B$16:$C$16</c:f>
              <c:numCache>
                <c:formatCode>General</c:formatCode>
                <c:ptCount val="2"/>
                <c:pt idx="0">
                  <c:v>975.67</c:v>
                </c:pt>
                <c:pt idx="1">
                  <c:v>960.69</c:v>
                </c:pt>
              </c:numCache>
            </c:numRef>
          </c:val>
        </c:ser>
        <c:ser>
          <c:idx val="1"/>
          <c:order val="1"/>
          <c:tx>
            <c:strRef>
              <c:f>'[决算公开图片.xls]一、 收入支出决算总体情况说明'!$A$17</c:f>
              <c:strCache>
                <c:ptCount val="1"/>
                <c:pt idx="0">
                  <c:v>2025年</c:v>
                </c:pt>
              </c:strCache>
            </c:strRef>
          </c:tx>
          <c:spPr>
            <a:gradFill>
              <a:gsLst>
                <a:gs pos="0">
                  <a:schemeClr val="accent2">
                    <a:lumMod val="40000"/>
                    <a:lumOff val="60000"/>
                  </a:schemeClr>
                </a:gs>
                <a:gs pos="90000">
                  <a:schemeClr val="accent2"/>
                </a:gs>
              </a:gsLst>
              <a:lin ang="5400000" scaled="0"/>
            </a:gradFill>
            <a:ln>
              <a:gradFill>
                <a:gsLst>
                  <a:gs pos="0">
                    <a:schemeClr val="accent2"/>
                  </a:gs>
                  <a:gs pos="100000">
                    <a:schemeClr val="accent2">
                      <a:lumMod val="75000"/>
                    </a:schemeClr>
                  </a:gs>
                </a:gsLst>
                <a:lin ang="5400000" scaled="1"/>
              </a:gradFill>
            </a:ln>
            <a:effectLst>
              <a:outerShdw blurRad="76200" dist="25400" dir="2700000" algn="tl" rotWithShape="0">
                <a:schemeClr val="accent2">
                  <a:lumMod val="50000"/>
                  <a:alpha val="30000"/>
                </a:schemeClr>
              </a:outerShdw>
            </a:effectLst>
          </c:spPr>
          <c:invertIfNegative val="0"/>
          <c:dPt>
            <c:idx val="0"/>
            <c:invertIfNegative val="0"/>
            <c:bubble3D val="0"/>
          </c:dPt>
          <c:dPt>
            <c:idx val="1"/>
            <c:invertIfNegative val="0"/>
            <c:bubble3D val="0"/>
          </c:dPt>
          <c:dLbls>
            <c:dLbl>
              <c:idx val="0"/>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dLbl>
              <c:idx val="1"/>
              <c:layout/>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extLst>
                <c:ext xmlns:c15="http://schemas.microsoft.com/office/drawing/2012/chart" uri="{CE6537A1-D6FC-4f65-9D91-7224C49458BB}"/>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'[决算公开图片.xls]一、 收入支出决算总体情况说明'!$B$15:$C$15</c:f>
              <c:strCache>
                <c:ptCount val="2"/>
                <c:pt idx="0" c:formatCode="@">
                  <c:v>本年收入</c:v>
                </c:pt>
                <c:pt idx="1">
                  <c:v>本年支出</c:v>
                </c:pt>
              </c:strCache>
            </c:strRef>
          </c:cat>
          <c:val>
            <c:numRef>
              <c:f>'[决算公开图片.xls]一、 收入支出决算总体情况说明'!$B$17:$C$17</c:f>
              <c:numCache>
                <c:formatCode>General</c:formatCode>
                <c:ptCount val="2"/>
                <c:pt idx="0">
                  <c:v>964.55</c:v>
                </c:pt>
                <c:pt idx="1">
                  <c:v>945.02</c:v>
                </c:pt>
              </c:numCache>
            </c:numRef>
          </c:val>
        </c:ser>
        <c:dLbls>
          <c:showLegendKey val="0"/>
          <c:showVal val="1"/>
          <c:showCatName val="0"/>
          <c:showSerName val="0"/>
          <c:showPercent val="0"/>
          <c:showBubbleSize val="0"/>
        </c:dLbls>
        <c:gapWidth val="246"/>
        <c:overlap val="-28"/>
        <c:axId val="135590872"/>
        <c:axId val="296960543"/>
      </c:barChart>
      <c:catAx>
        <c:axId val="1355908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96960543"/>
        <c:crosses val="autoZero"/>
        <c:auto val="1"/>
        <c:lblAlgn val="ctr"/>
        <c:lblOffset val="100"/>
        <c:noMultiLvlLbl val="0"/>
      </c:catAx>
      <c:valAx>
        <c:axId val="296960543"/>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none"/>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135590872"/>
        <c:crosses val="autoZero"/>
        <c:crossBetween val="between"/>
      </c:valAx>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extLst>
      <c:ext uri="{0b15fc19-7d7d-44ad-8c2d-2c3a37ce22c3}">
        <chartProps xmlns="https://web.wps.cn/et/2018/main" chartId="{675d8bbb-ba95-4ded-8cdb-ca4bfd1babf0}"/>
      </c:ext>
    </c:extLst>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376691454345971"/>
          <c:y val="0.0613200006781779"/>
          <c:w val="0.946361087407046"/>
          <c:h val="0.820826645264847"/>
        </c:manualLayout>
      </c:layout>
      <c:pie3DChart>
        <c:varyColors val="1"/>
        <c:ser>
          <c:idx val="0"/>
          <c:order val="0"/>
          <c:spPr>
            <a:scene3d>
              <a:camera prst="orthographicFront"/>
              <a:lightRig rig="threePt" dir="t"/>
            </a:scene3d>
            <a:sp3d contourW="9525"/>
          </c:spPr>
          <c:explosion val="0"/>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16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160000" scaled="1"/>
                </a:gradFill>
              </a:ln>
              <a:effectLst/>
            </c:spPr>
          </c:dPt>
          <c:dLbls>
            <c:dLbl>
              <c:idx val="0"/>
              <c:layout/>
              <c:tx>
                <c:rich>
                  <a:bodyPr rot="0" spcFirstLastPara="0" vertOverflow="ellipsis" vert="horz" wrap="square" lIns="38100" tIns="19050" rIns="38100" bIns="19050" anchor="ctr" anchorCtr="1"/>
                  <a:lstStyle/>
                  <a:p>
                    <a:pPr defTabSz="914400">
                      <a:defRPr lang="zh-CN" sz="1200" b="0" i="0" u="none" strike="noStrike" kern="1200" baseline="0">
                        <a:solidFill>
                          <a:sysClr val="windowText" lastClr="000000"/>
                        </a:solidFill>
                        <a:latin typeface="+mn-lt"/>
                        <a:ea typeface="+mn-ea"/>
                        <a:cs typeface="+mn-cs"/>
                      </a:defRPr>
                    </a:pPr>
                    <a:r>
                      <a:rPr sz="1200">
                        <a:solidFill>
                          <a:sysClr val="windowText" lastClr="000000"/>
                        </a:solidFill>
                      </a:rPr>
                      <a:t>一般公共预算财政拨款收入, 716.66万元, 74.30%</a:t>
                    </a:r>
                    <a:endParaRPr sz="1200">
                      <a:solidFill>
                        <a:sysClr val="windowText" lastClr="000000"/>
                      </a:solidFill>
                    </a:endParaRPr>
                  </a:p>
                </c:rich>
              </c:tx>
              <c:dLblPos val="inEnd"/>
              <c:showLegendKey val="0"/>
              <c:showVal val="1"/>
              <c:showCatName val="1"/>
              <c:showSerName val="0"/>
              <c:showPercent val="1"/>
              <c:showBubbleSize val="0"/>
              <c:extLst>
                <c:ext xmlns:c15="http://schemas.microsoft.com/office/drawing/2012/chart" uri="{CE6537A1-D6FC-4f65-9D91-7224C49458BB}">
                  <c15:layout>
                    <c:manualLayout>
                      <c:w val="0.310374253321955"/>
                      <c:h val="0.243178170144462"/>
                    </c:manualLayout>
                  </c15:layout>
                </c:ext>
              </c:extLst>
            </c:dLbl>
            <c:dLbl>
              <c:idx val="1"/>
              <c:layout>
                <c:manualLayout>
                  <c:x val="-0.0157847677097825"/>
                  <c:y val="0.00378204059162427"/>
                </c:manualLayout>
              </c:layout>
              <c:tx>
                <c:rich>
                  <a:bodyPr rot="0" spcFirstLastPara="0" vertOverflow="ellipsis" vert="horz" wrap="square" lIns="38100" tIns="19050" rIns="38100" bIns="19050" anchor="ctr" anchorCtr="1"/>
                  <a:lstStyle/>
                  <a:p>
                    <a:pPr defTabSz="914400">
                      <a:defRPr lang="zh-CN" sz="1200" b="0" i="0" u="none" strike="noStrike" kern="1200" baseline="0">
                        <a:solidFill>
                          <a:sysClr val="windowText" lastClr="000000"/>
                        </a:solidFill>
                        <a:latin typeface="+mn-lt"/>
                        <a:ea typeface="+mn-ea"/>
                        <a:cs typeface="+mn-cs"/>
                      </a:defRPr>
                    </a:pPr>
                    <a:r>
                      <a:rPr sz="1200">
                        <a:solidFill>
                          <a:sysClr val="windowText" lastClr="000000"/>
                        </a:solidFill>
                      </a:rPr>
                      <a:t>其他收入, 247.89万元, 25.70%</a:t>
                    </a:r>
                    <a:endParaRPr sz="1200">
                      <a:solidFill>
                        <a:sysClr val="windowText" lastClr="000000"/>
                      </a:solidFill>
                    </a:endParaRPr>
                  </a:p>
                </c:rich>
              </c:tx>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0_);[Red]\(#,##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'[决算公开图片.xls]二、 收入决算情况说明'!$A$1:$B$1</c:f>
              <c:strCache>
                <c:ptCount val="2"/>
                <c:pt idx="0">
                  <c:v>一般公共预算财政拨款收入</c:v>
                </c:pt>
                <c:pt idx="1">
                  <c:v>其他收入</c:v>
                </c:pt>
              </c:strCache>
            </c:strRef>
          </c:cat>
          <c:val>
            <c:numRef>
              <c:f>'[决算公开图片.xls]二、 收入决算情况说明'!$A$2:$B$2</c:f>
              <c:numCache>
                <c:formatCode>General</c:formatCode>
                <c:ptCount val="2"/>
                <c:pt idx="0">
                  <c:v>716.66</c:v>
                </c:pt>
                <c:pt idx="1">
                  <c:v>247.89</c:v>
                </c:pt>
              </c:numCache>
            </c:numRef>
          </c:val>
        </c:ser>
        <c:dLbls>
          <c:showLegendKey val="0"/>
          <c:showVal val="0"/>
          <c:showCatName val="0"/>
          <c:showSerName val="0"/>
          <c:showPercent val="1"/>
          <c:showBubbleSize val="0"/>
        </c:dLbls>
      </c:pie3DChart>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baseline="0">
                <a:solidFill>
                  <a:sysClr val="windowText" lastClr="000000"/>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ysClr val="windowText" lastClr="000000"/>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2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b3edf388-daf6-4472-a07d-713251622817}"/>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sz="1200">
          <a:solidFill>
            <a:sysClr val="windowText" lastClr="000000"/>
          </a:solidFill>
        </a:defRPr>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33618921201882"/>
          <c:y val="0.183343399482312"/>
          <c:w val="0.833276215759624"/>
          <c:h val="0.718084555651424"/>
        </c:manualLayout>
      </c:layout>
      <c:pie3DChart>
        <c:varyColors val="1"/>
        <c:ser>
          <c:idx val="0"/>
          <c:order val="0"/>
          <c:spPr>
            <a:scene3d>
              <a:camera prst="orthographicFront"/>
              <a:lightRig rig="threePt" dir="t"/>
            </a:scene3d>
            <a:sp3d contourW="9525"/>
          </c:spPr>
          <c:explosion val="0"/>
          <c:dPt>
            <c:idx val="0"/>
            <c:bubble3D val="0"/>
            <c:explosion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160000" scaled="1"/>
                </a:gradFill>
              </a:ln>
              <a:effectLst/>
            </c:spPr>
          </c:dPt>
          <c:dPt>
            <c:idx val="1"/>
            <c:bubble3D val="0"/>
            <c:explosion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160000" scaled="1"/>
                </a:gradFill>
              </a:ln>
              <a:effectLst/>
            </c:spPr>
          </c:dPt>
          <c:dLbls>
            <c:dLbl>
              <c:idx val="0"/>
              <c:layout>
                <c:manualLayout>
                  <c:x val="-0.107568989496581"/>
                  <c:y val="-0.365065473008754"/>
                </c:manualLayout>
              </c:layout>
              <c:tx>
                <c:rich>
                  <a:bodyPr rot="0" spcFirstLastPara="0" vertOverflow="ellipsis" vert="horz" wrap="square" lIns="38100" tIns="19050" rIns="38100" bIns="19050" anchor="ctr" anchorCtr="1"/>
                  <a:lstStyle/>
                  <a:p>
                    <a:pPr defTabSz="914400">
                      <a:defRPr lang="zh-CN" sz="1200" b="0" i="0" u="none" strike="noStrike" kern="1200" baseline="0">
                        <a:solidFill>
                          <a:sysClr val="windowText" lastClr="000000"/>
                        </a:solidFill>
                        <a:latin typeface="+mn-lt"/>
                        <a:ea typeface="+mn-ea"/>
                        <a:cs typeface="+mn-cs"/>
                      </a:defRPr>
                    </a:pPr>
                    <a:r>
                      <a:rPr sz="1200">
                        <a:solidFill>
                          <a:sysClr val="windowText" lastClr="000000"/>
                        </a:solidFill>
                      </a:rPr>
                      <a:t>基本支出, 773.98万元, </a:t>
                    </a:r>
                    <a:r>
                      <a:rPr lang="en-US" altLang="zh-CN" sz="1200">
                        <a:solidFill>
                          <a:sysClr val="windowText" lastClr="000000"/>
                        </a:solidFill>
                      </a:rPr>
                      <a:t>81.90</a:t>
                    </a:r>
                    <a:r>
                      <a:rPr sz="1200">
                        <a:solidFill>
                          <a:sysClr val="windowText" lastClr="000000"/>
                        </a:solidFill>
                      </a:rPr>
                      <a:t>%</a:t>
                    </a:r>
                    <a:endParaRPr sz="1200">
                      <a:solidFill>
                        <a:sysClr val="windowText" lastClr="000000"/>
                      </a:solidFill>
                    </a:endParaRPr>
                  </a:p>
                </c:rich>
              </c:tx>
              <c:dLblPos val="bestFit"/>
              <c:showLegendKey val="0"/>
              <c:showVal val="1"/>
              <c:showCatName val="1"/>
              <c:showSerName val="0"/>
              <c:showPercent val="1"/>
              <c:showBubbleSize val="0"/>
              <c:extLst>
                <c:ext xmlns:c15="http://schemas.microsoft.com/office/drawing/2012/chart" uri="{CE6537A1-D6FC-4f65-9D91-7224C49458BB}">
                  <c15:layout/>
                </c:ext>
              </c:extLst>
            </c:dLbl>
            <c:dLbl>
              <c:idx val="1"/>
              <c:layout>
                <c:manualLayout>
                  <c:x val="-0.084181484782928"/>
                  <c:y val="-0.00744566166103284"/>
                </c:manualLayout>
              </c:layout>
              <c:tx>
                <c:rich>
                  <a:bodyPr rot="0" spcFirstLastPara="0" vertOverflow="ellipsis" vert="horz" wrap="square" lIns="38100" tIns="19050" rIns="38100" bIns="19050" anchor="ctr" anchorCtr="1"/>
                  <a:lstStyle/>
                  <a:p>
                    <a:pPr defTabSz="914400">
                      <a:defRPr lang="zh-CN" sz="1200" b="0" i="0" u="none" strike="noStrike" kern="1200" baseline="0">
                        <a:solidFill>
                          <a:sysClr val="windowText" lastClr="000000"/>
                        </a:solidFill>
                        <a:latin typeface="+mn-lt"/>
                        <a:ea typeface="+mn-ea"/>
                        <a:cs typeface="+mn-cs"/>
                      </a:defRPr>
                    </a:pPr>
                    <a:r>
                      <a:rPr sz="1200">
                        <a:solidFill>
                          <a:sysClr val="windowText" lastClr="000000"/>
                        </a:solidFill>
                      </a:rPr>
                      <a:t>项目支出, 171.04万元, 18.10%</a:t>
                    </a:r>
                    <a:endParaRPr sz="1200">
                      <a:solidFill>
                        <a:sysClr val="windowText" lastClr="000000"/>
                      </a:solidFill>
                    </a:endParaRPr>
                  </a:p>
                </c:rich>
              </c:tx>
              <c:dLblPos val="bestFit"/>
              <c:showLegendKey val="0"/>
              <c:showVal val="1"/>
              <c:showCatName val="1"/>
              <c:showSerName val="0"/>
              <c:showPercent val="1"/>
              <c:showBubbleSize val="0"/>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'[决算公开图片.xls]三、 支出决算情况说明'!$A$3:$B$3</c:f>
              <c:strCache>
                <c:ptCount val="2"/>
                <c:pt idx="0">
                  <c:v>基本支出</c:v>
                </c:pt>
                <c:pt idx="1">
                  <c:v>项目支出</c:v>
                </c:pt>
              </c:strCache>
            </c:strRef>
          </c:cat>
          <c:val>
            <c:numRef>
              <c:f>'[决算公开图片.xls]三、 支出决算情况说明'!$A$4:$B$4</c:f>
              <c:numCache>
                <c:formatCode>General</c:formatCode>
                <c:ptCount val="2"/>
                <c:pt idx="0">
                  <c:v>773.98</c:v>
                </c:pt>
                <c:pt idx="1" c:formatCode="#,##0.00">
                  <c:v>171.04</c:v>
                </c:pt>
              </c:numCache>
            </c:numRef>
          </c:val>
        </c:ser>
        <c:dLbls>
          <c:showLegendKey val="0"/>
          <c:showVal val="1"/>
          <c:showCatName val="0"/>
          <c:showSerName val="0"/>
          <c:showPercent val="0"/>
          <c:showBubbleSize val="0"/>
        </c:dLbls>
      </c:pie3DChart>
      <c:spPr>
        <a:noFill/>
        <a:ln>
          <a:noFill/>
        </a:ln>
        <a:effectLst/>
      </c:spPr>
    </c:plotArea>
    <c:legend>
      <c:legendPos val="b"/>
      <c:legendEntry>
        <c:idx val="0"/>
        <c:txPr>
          <a:bodyPr rot="0" spcFirstLastPara="0" vertOverflow="ellipsis" vert="horz" wrap="square" anchor="ctr" anchorCtr="1"/>
          <a:lstStyle/>
          <a:p>
            <a:pPr>
              <a:defRPr lang="zh-CN" sz="1200" b="0" i="0" u="none" strike="noStrike" kern="1200" baseline="0">
                <a:solidFill>
                  <a:sysClr val="windowText" lastClr="000000"/>
                </a:solidFill>
                <a:latin typeface="+mn-lt"/>
                <a:ea typeface="+mn-ea"/>
                <a:cs typeface="+mn-cs"/>
              </a:defRPr>
            </a:pPr>
          </a:p>
        </c:txPr>
      </c:legendEntry>
      <c:legendEntry>
        <c:idx val="1"/>
        <c:txPr>
          <a:bodyPr rot="0" spcFirstLastPara="0" vertOverflow="ellipsis" vert="horz" wrap="square" anchor="ctr" anchorCtr="1"/>
          <a:lstStyle/>
          <a:p>
            <a:pPr>
              <a:defRPr lang="zh-CN" sz="1200" b="0" i="0" u="none" strike="noStrike" kern="1200" baseline="0">
                <a:solidFill>
                  <a:sysClr val="windowText" lastClr="000000"/>
                </a:solidFill>
                <a:latin typeface="+mn-lt"/>
                <a:ea typeface="+mn-ea"/>
                <a:cs typeface="+mn-cs"/>
              </a:defRPr>
            </a:pPr>
          </a:p>
        </c:txPr>
      </c:legendEntry>
      <c:layout/>
      <c:overlay val="0"/>
      <c:spPr>
        <a:noFill/>
        <a:ln>
          <a:noFill/>
        </a:ln>
        <a:effectLst/>
      </c:spPr>
      <c:txPr>
        <a:bodyPr rot="0" spcFirstLastPara="0" vertOverflow="ellipsis" vert="horz" wrap="square" anchor="ctr" anchorCtr="1"/>
        <a:lstStyle/>
        <a:p>
          <a:pPr>
            <a:defRPr lang="zh-CN" sz="12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68421496-9823-4788-af65-09e0cdcbab48}"/>
      </c:ext>
    </c:extLst>
  </c:chart>
  <c:spPr>
    <a:solidFill>
      <a:schemeClr val="lt1">
        <a:lumMod val="96000"/>
      </a:schemeClr>
    </a:solidFill>
    <a:ln w="9525" cap="flat" cmpd="sng" algn="ctr">
      <a:solidFill>
        <a:schemeClr val="tx1">
          <a:lumMod val="15000"/>
          <a:lumOff val="85000"/>
        </a:schemeClr>
      </a:solidFill>
      <a:round/>
    </a:ln>
    <a:effectLst/>
  </c:spPr>
  <c:txPr>
    <a:bodyPr wrap="square"/>
    <a:lstStyle/>
    <a:p>
      <a:pPr>
        <a:defRPr lang="zh-CN" sz="1200">
          <a:solidFill>
            <a:sysClr val="windowText" lastClr="000000"/>
          </a:solidFill>
        </a:defRPr>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[决算公开图片.xls]财政拨款收、支决算总计变动情况1!$A$2:$A$3</c:f>
              <c:strCache>
                <c:ptCount val="2"/>
                <c:pt idx="0">
                  <c:v>2025年</c:v>
                </c:pt>
                <c:pt idx="1">
                  <c:v>2024年</c:v>
                </c:pt>
              </c:strCache>
            </c:strRef>
          </c:cat>
          <c:val>
            <c:numRef>
              <c:f>[决算公开图片.xls]财政拨款收、支决算总计变动情况1!$B$2:$B$3</c:f>
              <c:numCache>
                <c:formatCode>General</c:formatCode>
                <c:ptCount val="2"/>
                <c:pt idx="0">
                  <c:v>716.66</c:v>
                </c:pt>
                <c:pt idx="1">
                  <c:v>826.28</c:v>
                </c:pt>
              </c:numCache>
            </c:numRef>
          </c:val>
        </c:ser>
        <c:dLbls>
          <c:showLegendKey val="0"/>
          <c:showVal val="1"/>
          <c:showCatName val="0"/>
          <c:showSerName val="0"/>
          <c:showPercent val="0"/>
          <c:showBubbleSize val="0"/>
        </c:dLbls>
        <c:gapWidth val="216"/>
        <c:overlap val="-32"/>
        <c:axId val="525805364"/>
        <c:axId val="277272578"/>
      </c:barChart>
      <c:catAx>
        <c:axId val="525805364"/>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272578"/>
        <c:crosses val="autoZero"/>
        <c:auto val="1"/>
        <c:lblAlgn val="ctr"/>
        <c:lblOffset val="100"/>
        <c:noMultiLvlLbl val="0"/>
      </c:catAx>
      <c:valAx>
        <c:axId val="27727257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5805364"/>
        <c:crosses val="autoZero"/>
        <c:crossBetween val="between"/>
      </c:valAx>
      <c:spPr>
        <a:noFill/>
        <a:ln>
          <a:noFill/>
        </a:ln>
        <a:effectLst/>
      </c:spPr>
    </c:plotArea>
    <c:plotVisOnly val="1"/>
    <c:dispBlanksAs val="gap"/>
    <c:showDLblsOverMax val="0"/>
    <c:extLst>
      <c:ext uri="{0b15fc19-7d7d-44ad-8c2d-2c3a37ce22c3}">
        <chartProps xmlns="https://web.wps.cn/et/2018/main" chartId="{933386c1-4da5-47a3-aa87-ace8cd4bcfbb}"/>
      </c:ext>
    </c:extLst>
  </c:chart>
  <c:spPr>
    <a:solidFill>
      <a:schemeClr val="bg1"/>
    </a:solidFill>
    <a:ln w="9525" cap="flat" cmpd="sng" algn="ctr">
      <a:solidFill>
        <a:schemeClr val="tx1">
          <a:lumMod val="15000"/>
          <a:lumOff val="85000"/>
        </a:schemeClr>
      </a:solidFill>
      <a:round/>
    </a:ln>
    <a:effectLst/>
  </c:spPr>
  <c:txPr>
    <a:bodyPr wrap="square"/>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gradFill>
              <a:gsLst>
                <a:gs pos="0">
                  <a:schemeClr val="accent1">
                    <a:lumMod val="40000"/>
                    <a:lumOff val="60000"/>
                  </a:schemeClr>
                </a:gs>
                <a:gs pos="90000">
                  <a:schemeClr val="accent1"/>
                </a:gs>
              </a:gsLst>
              <a:lin ang="5400000" scaled="0"/>
            </a:gradFill>
            <a:ln>
              <a:gradFill>
                <a:gsLst>
                  <a:gs pos="0">
                    <a:schemeClr val="accent1"/>
                  </a:gs>
                  <a:gs pos="100000">
                    <a:schemeClr val="accent1">
                      <a:lumMod val="75000"/>
                    </a:schemeClr>
                  </a:gs>
                </a:gsLst>
                <a:lin ang="5400000" scaled="1"/>
              </a:gradFill>
            </a:ln>
            <a:effectLst>
              <a:outerShdw blurRad="76200" dist="25400" dir="2700000" algn="tl" rotWithShape="0">
                <a:schemeClr val="accent1">
                  <a:lumMod val="50000"/>
                  <a:alpha val="30000"/>
                </a:schemeClr>
              </a:outerShdw>
            </a:effectLst>
          </c:spPr>
          <c:invertIfNegative val="0"/>
          <c:dLbls>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0"/>
                <c15:leaderLines>
                  <c:spPr>
                    <a:ln w="9525" cap="flat" cmpd="sng" algn="ctr">
                      <a:solidFill>
                        <a:schemeClr val="tx1">
                          <a:lumMod val="35000"/>
                          <a:lumOff val="65000"/>
                        </a:schemeClr>
                      </a:solidFill>
                      <a:round/>
                    </a:ln>
                    <a:effectLst/>
                  </c:spPr>
                </c15:leaderLines>
              </c:ext>
            </c:extLst>
          </c:dLbls>
          <c:cat>
            <c:strRef>
              <c:f>[决算公开图片.xls]财政拨款收、支决算总计变动情况1!$A$2:$A$3</c:f>
              <c:strCache>
                <c:ptCount val="2"/>
                <c:pt idx="0">
                  <c:v>2025年</c:v>
                </c:pt>
                <c:pt idx="1">
                  <c:v>2024年</c:v>
                </c:pt>
              </c:strCache>
            </c:strRef>
          </c:cat>
          <c:val>
            <c:numRef>
              <c:f>[决算公开图片.xls]财政拨款收、支决算总计变动情况1!$B$2:$B$3</c:f>
              <c:numCache>
                <c:formatCode>General</c:formatCode>
                <c:ptCount val="2"/>
                <c:pt idx="0">
                  <c:v>716.66</c:v>
                </c:pt>
                <c:pt idx="1">
                  <c:v>826.28</c:v>
                </c:pt>
              </c:numCache>
            </c:numRef>
          </c:val>
        </c:ser>
        <c:dLbls>
          <c:showLegendKey val="0"/>
          <c:showVal val="1"/>
          <c:showCatName val="0"/>
          <c:showSerName val="0"/>
          <c:showPercent val="0"/>
          <c:showBubbleSize val="0"/>
        </c:dLbls>
        <c:gapWidth val="216"/>
        <c:overlap val="-32"/>
        <c:axId val="525805364"/>
        <c:axId val="277272578"/>
      </c:barChart>
      <c:catAx>
        <c:axId val="525805364"/>
        <c:scaling>
          <c:orientation val="minMax"/>
        </c:scaling>
        <c:delete val="0"/>
        <c:axPos val="b"/>
        <c:majorTickMark val="out"/>
        <c:min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277272578"/>
        <c:crosses val="autoZero"/>
        <c:auto val="1"/>
        <c:lblAlgn val="ctr"/>
        <c:lblOffset val="100"/>
        <c:noMultiLvlLbl val="0"/>
      </c:catAx>
      <c:valAx>
        <c:axId val="277272578"/>
        <c:scaling>
          <c:orientation val="minMax"/>
        </c:scaling>
        <c:delete val="0"/>
        <c:axPos val="l"/>
        <c:majorGridlines>
          <c:spPr>
            <a:ln w="9525" cap="flat" cmpd="sng" algn="ctr">
              <a:solidFill>
                <a:schemeClr val="lt1">
                  <a:lumMod val="90200"/>
                </a:schemeClr>
              </a:solidFill>
              <a:round/>
            </a:ln>
            <a:effectLst/>
          </c:spPr>
        </c:majorGridlines>
        <c:numFmt formatCode="General" sourceLinked="1"/>
        <c:majorTickMark val="out"/>
        <c:minorTickMark val="none"/>
        <c:tickLblPos val="nextTo"/>
        <c:spPr>
          <a:noFill/>
          <a:ln>
            <a:noFill/>
          </a:ln>
          <a:effectLst/>
        </c:spPr>
        <c:txPr>
          <a:bodyPr rot="-6000000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crossAx val="525805364"/>
        <c:crosses val="autoZero"/>
        <c:crossBetween val="between"/>
      </c:valAx>
      <c:spPr>
        <a:noFill/>
        <a:ln>
          <a:noFill/>
        </a:ln>
        <a:effectLst/>
      </c:spPr>
    </c:plotArea>
    <c:plotVisOnly val="1"/>
    <c:dispBlanksAs val="gap"/>
    <c:showDLblsOverMax val="0"/>
    <c:extLst>
      <c:ext uri="{0b15fc19-7d7d-44ad-8c2d-2c3a37ce22c3}">
        <chartProps xmlns="https://web.wps.cn/et/2018/main" chartId="{933386c1-4da5-47a3-aa87-ace8cd4bcfbb}"/>
      </c:ext>
    </c:extLst>
  </c:chart>
  <c:spPr>
    <a:solidFill>
      <a:schemeClr val="bg1"/>
    </a:solidFill>
    <a:ln w="9525" cap="flat" cmpd="sng" algn="ctr">
      <a:solidFill>
        <a:schemeClr val="tx1">
          <a:lumMod val="15000"/>
          <a:lumOff val="85000"/>
        </a:schemeClr>
      </a:solidFill>
      <a:round/>
    </a:ln>
    <a:effectLst/>
  </c:spPr>
  <c:txPr>
    <a:bodyPr wrap="square"/>
    <a:lstStyle/>
    <a:p>
      <a:pPr>
        <a:defRPr lang="zh-CN"/>
      </a:pPr>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543368620792966"/>
          <c:y val="0.0494392272210991"/>
          <c:w val="0.942105263157895"/>
          <c:h val="0.898148148148148"/>
        </c:manualLayout>
      </c:layout>
      <c:pie3DChart>
        <c:varyColors val="1"/>
        <c:ser>
          <c:idx val="0"/>
          <c:order val="0"/>
          <c:spPr>
            <a:scene3d>
              <a:camera prst="orthographicFront"/>
              <a:lightRig rig="threePt" dir="t"/>
            </a:scene3d>
            <a:sp3d contourW="9525"/>
          </c:spPr>
          <c:explosion val="3"/>
          <c:dPt>
            <c:idx val="0"/>
            <c:bubble3D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160000" scaled="1"/>
                </a:gradFill>
              </a:ln>
              <a:effectLst/>
            </c:spPr>
          </c:dPt>
          <c:dPt>
            <c:idx val="1"/>
            <c:bubble3D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160000" scaled="1"/>
                </a:gradFill>
              </a:ln>
              <a:effectLst/>
            </c:spPr>
          </c:dPt>
          <c:dPt>
            <c:idx val="2"/>
            <c:bubble3D val="0"/>
            <c:spPr>
              <a:gradFill>
                <a:gsLst>
                  <a:gs pos="0">
                    <a:schemeClr val="accent3">
                      <a:hueOff val="-1670000"/>
                    </a:schemeClr>
                  </a:gs>
                  <a:gs pos="100000">
                    <a:schemeClr val="accent3"/>
                  </a:gs>
                </a:gsLst>
                <a:lin ang="5400000" scaled="0"/>
              </a:gradFill>
              <a:ln>
                <a:gradFill>
                  <a:gsLst>
                    <a:gs pos="0">
                      <a:schemeClr val="accent3">
                        <a:lumMod val="75000"/>
                        <a:hueOff val="-1670000"/>
                      </a:schemeClr>
                    </a:gs>
                    <a:gs pos="100000">
                      <a:schemeClr val="accent3">
                        <a:lumMod val="75000"/>
                      </a:schemeClr>
                    </a:gs>
                  </a:gsLst>
                  <a:lin ang="5160000" scaled="1"/>
                </a:gradFill>
              </a:ln>
              <a:effectLst/>
            </c:spPr>
          </c:dPt>
          <c:dPt>
            <c:idx val="3"/>
            <c:bubble3D val="0"/>
            <c:spPr>
              <a:gradFill>
                <a:gsLst>
                  <a:gs pos="0">
                    <a:schemeClr val="accent4">
                      <a:hueOff val="-1670000"/>
                    </a:schemeClr>
                  </a:gs>
                  <a:gs pos="100000">
                    <a:schemeClr val="accent4"/>
                  </a:gs>
                </a:gsLst>
                <a:lin ang="5400000" scaled="0"/>
              </a:gradFill>
              <a:ln>
                <a:gradFill>
                  <a:gsLst>
                    <a:gs pos="0">
                      <a:schemeClr val="accent4">
                        <a:lumMod val="75000"/>
                        <a:hueOff val="-1670000"/>
                      </a:schemeClr>
                    </a:gs>
                    <a:gs pos="100000">
                      <a:schemeClr val="accent4">
                        <a:lumMod val="75000"/>
                      </a:schemeClr>
                    </a:gs>
                  </a:gsLst>
                  <a:lin ang="5160000" scaled="1"/>
                </a:gradFill>
              </a:ln>
              <a:effectLst/>
            </c:spPr>
          </c:dPt>
          <c:dLbls>
            <c:dLbl>
              <c:idx val="0"/>
              <c:layout>
                <c:manualLayout>
                  <c:x val="-0.204412113302168"/>
                  <c:y val="-0.368935787066626"/>
                </c:manualLayout>
              </c:layout>
              <c:tx>
                <c:rich>
                  <a:bodyPr rot="0" spcFirstLastPara="0" vertOverflow="ellipsis" vert="horz" wrap="square" lIns="38100" tIns="19050" rIns="38100" bIns="19050" anchor="ctr" anchorCtr="1"/>
                  <a:lstStyle/>
                  <a:p>
                    <a:pPr defTabSz="914400">
                      <a:defRPr lang="zh-CN" sz="1200" b="0" i="0" u="none" strike="noStrike" kern="1200" baseline="0">
                        <a:solidFill>
                          <a:sysClr val="windowText" lastClr="000000"/>
                        </a:solidFill>
                        <a:latin typeface="+mn-lt"/>
                        <a:ea typeface="+mn-ea"/>
                        <a:cs typeface="+mn-cs"/>
                      </a:defRPr>
                    </a:pPr>
                    <a:r>
                      <a:rPr sz="1200">
                        <a:solidFill>
                          <a:sysClr val="windowText" lastClr="000000"/>
                        </a:solidFill>
                      </a:rPr>
                      <a:t>公共安全支出（类）, 564.91万元, </a:t>
                    </a:r>
                    <a:r>
                      <a:rPr lang="en-US" altLang="zh-CN" sz="1200">
                        <a:solidFill>
                          <a:sysClr val="windowText" lastClr="000000"/>
                        </a:solidFill>
                      </a:rPr>
                      <a:t>78.83</a:t>
                    </a:r>
                    <a:r>
                      <a:rPr sz="1200">
                        <a:solidFill>
                          <a:sysClr val="windowText" lastClr="000000"/>
                        </a:solidFill>
                      </a:rPr>
                      <a:t>%</a:t>
                    </a:r>
                    <a:endParaRPr sz="1200">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287832068311195"/>
                      <c:h val="0.200782268578879"/>
                    </c:manualLayout>
                  </c15:layout>
                </c:ext>
              </c:extLst>
            </c:dLbl>
            <c:dLbl>
              <c:idx val="1"/>
              <c:layout>
                <c:manualLayout>
                  <c:x val="0"/>
                  <c:y val="0.0987843369043414"/>
                </c:manualLayout>
              </c:layout>
              <c:tx>
                <c:rich>
                  <a:bodyPr rot="0" spcFirstLastPara="0" vertOverflow="ellipsis" vert="horz" wrap="square" lIns="38100" tIns="19050" rIns="38100" bIns="19050" anchor="ctr" anchorCtr="1"/>
                  <a:lstStyle/>
                  <a:p>
                    <a:pPr defTabSz="914400">
                      <a:defRPr lang="zh-CN" sz="1200" b="0" i="0" u="none" strike="noStrike" kern="1200" baseline="0">
                        <a:solidFill>
                          <a:sysClr val="windowText" lastClr="000000"/>
                        </a:solidFill>
                        <a:latin typeface="+mn-lt"/>
                        <a:ea typeface="+mn-ea"/>
                        <a:cs typeface="+mn-cs"/>
                      </a:defRPr>
                    </a:pPr>
                    <a:r>
                      <a:rPr sz="1200">
                        <a:solidFill>
                          <a:sysClr val="windowText" lastClr="000000"/>
                        </a:solidFill>
                      </a:rPr>
                      <a:t>社会保障和就业支出（类）71.61万元,</a:t>
                    </a:r>
                    <a:r>
                      <a:rPr lang="en-US" altLang="zh-CN" sz="1200">
                        <a:solidFill>
                          <a:sysClr val="windowText" lastClr="000000"/>
                        </a:solidFill>
                      </a:rPr>
                      <a:t>9.99</a:t>
                    </a:r>
                    <a:r>
                      <a:rPr sz="1200">
                        <a:solidFill>
                          <a:sysClr val="windowText" lastClr="000000"/>
                        </a:solidFill>
                      </a:rPr>
                      <a:t>%</a:t>
                    </a:r>
                    <a:endParaRPr sz="1200">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221537001897533"/>
                      <c:h val="0.263363754889179"/>
                    </c:manualLayout>
                  </c15:layout>
                </c:ext>
              </c:extLst>
            </c:dLbl>
            <c:dLbl>
              <c:idx val="2"/>
              <c:layout>
                <c:manualLayout>
                  <c:x val="-0.0530638764608865"/>
                  <c:y val="-0.0371716672433959"/>
                </c:manualLayout>
              </c:layout>
              <c:tx>
                <c:rich>
                  <a:bodyPr rot="0" spcFirstLastPara="0" vertOverflow="ellipsis" vert="horz" wrap="square" lIns="38100" tIns="19050" rIns="38100" bIns="19050" anchor="ctr" anchorCtr="1"/>
                  <a:lstStyle/>
                  <a:p>
                    <a:pPr defTabSz="914400">
                      <a:defRPr lang="zh-CN" sz="1200" b="0" i="0" u="none" strike="noStrike" kern="1200" baseline="0">
                        <a:solidFill>
                          <a:sysClr val="windowText" lastClr="000000"/>
                        </a:solidFill>
                        <a:latin typeface="+mn-lt"/>
                        <a:ea typeface="+mn-ea"/>
                        <a:cs typeface="+mn-cs"/>
                      </a:defRPr>
                    </a:pPr>
                    <a:r>
                      <a:rPr sz="1200">
                        <a:solidFill>
                          <a:sysClr val="windowText" lastClr="000000"/>
                        </a:solidFill>
                      </a:rPr>
                      <a:t>卫生健康支出（类）33.03万元, </a:t>
                    </a:r>
                    <a:r>
                      <a:rPr lang="en-US" altLang="zh-CN" sz="1200">
                        <a:solidFill>
                          <a:sysClr val="windowText" lastClr="000000"/>
                        </a:solidFill>
                      </a:rPr>
                      <a:t>4.61</a:t>
                    </a:r>
                    <a:r>
                      <a:rPr sz="1200">
                        <a:solidFill>
                          <a:sysClr val="windowText" lastClr="000000"/>
                        </a:solidFill>
                      </a:rPr>
                      <a:t>%</a:t>
                    </a:r>
                    <a:endParaRPr sz="1200">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227822580645161"/>
                      <c:h val="0.200782268578879"/>
                    </c:manualLayout>
                  </c15:layout>
                </c:ext>
              </c:extLst>
            </c:dLbl>
            <c:dLbl>
              <c:idx val="3"/>
              <c:layout>
                <c:manualLayout>
                  <c:x val="0.142624465364747"/>
                  <c:y val="-9.9610351803605e-5"/>
                </c:manualLayout>
              </c:layout>
              <c:tx>
                <c:rich>
                  <a:bodyPr rot="0" spcFirstLastPara="0" vertOverflow="ellipsis" vert="horz" wrap="square" lIns="38100" tIns="19050" rIns="38100" bIns="19050" anchor="ctr" anchorCtr="1"/>
                  <a:lstStyle/>
                  <a:p>
                    <a:pPr defTabSz="914400">
                      <a:defRPr lang="zh-CN" sz="1200" b="0" i="0" u="none" strike="noStrike" kern="1200" baseline="0">
                        <a:solidFill>
                          <a:sysClr val="windowText" lastClr="000000"/>
                        </a:solidFill>
                        <a:latin typeface="+mn-lt"/>
                        <a:ea typeface="+mn-ea"/>
                        <a:cs typeface="+mn-cs"/>
                      </a:defRPr>
                    </a:pPr>
                    <a:r>
                      <a:rPr sz="1200">
                        <a:solidFill>
                          <a:sysClr val="windowText" lastClr="000000"/>
                        </a:solidFill>
                      </a:rPr>
                      <a:t>住房保障支出（类）47.11万元, </a:t>
                    </a:r>
                    <a:r>
                      <a:rPr lang="en-US" altLang="zh-CN" sz="1200">
                        <a:solidFill>
                          <a:sysClr val="windowText" lastClr="000000"/>
                        </a:solidFill>
                      </a:rPr>
                      <a:t>6.57</a:t>
                    </a:r>
                    <a:r>
                      <a:rPr sz="1200">
                        <a:solidFill>
                          <a:sysClr val="windowText" lastClr="000000"/>
                        </a:solidFill>
                      </a:rPr>
                      <a:t>%</a:t>
                    </a:r>
                    <a:endParaRPr sz="1200">
                      <a:solidFill>
                        <a:sysClr val="windowText" lastClr="000000"/>
                      </a:solidFill>
                    </a:endParaRPr>
                  </a:p>
                </c:rich>
              </c:tx>
              <c:numFmt formatCode="General" sourceLinked="1"/>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bestFit"/>
              <c:showLegendKey val="0"/>
              <c:showVal val="1"/>
              <c:showCatName val="1"/>
              <c:showSerName val="0"/>
              <c:showPercent val="1"/>
              <c:showBubbleSize val="0"/>
              <c:extLst>
                <c:ext xmlns:c15="http://schemas.microsoft.com/office/drawing/2012/chart" uri="{CE6537A1-D6FC-4f65-9D91-7224C49458BB}">
                  <c15:layout>
                    <c:manualLayout>
                      <c:w val="0.299098671726755"/>
                      <c:h val="0.169056931768796"/>
                    </c:manualLayout>
                  </c15:layout>
                </c:ext>
              </c:extLst>
            </c:dLbl>
            <c:numFmt formatCode="General" sourceLinked="1"/>
            <c:spPr>
              <a:noFill/>
              <a:ln>
                <a:noFill/>
              </a:ln>
              <a:effectLst/>
            </c:spPr>
            <c:txPr>
              <a:bodyPr rot="0" spcFirstLastPara="0" vertOverflow="ellipsis" vert="horz" wrap="square" lIns="38100" tIns="19050" rIns="38100" bIns="19050" anchor="ctr" anchorCtr="1"/>
              <a:lstStyle/>
              <a:p>
                <a:pPr>
                  <a:defRPr lang="zh-CN" sz="1000" b="0" i="0" u="none" strike="noStrike" kern="1200" baseline="0">
                    <a:solidFill>
                      <a:sysClr val="windowText" lastClr="000000"/>
                    </a:solidFill>
                    <a:latin typeface="+mn-lt"/>
                    <a:ea typeface="+mn-ea"/>
                    <a:cs typeface="+mn-cs"/>
                  </a:defRPr>
                </a:pPr>
              </a:p>
            </c:txPr>
            <c:dLblPos val="inEnd"/>
            <c:showLegendKey val="0"/>
            <c:showVal val="1"/>
            <c:showCatName val="1"/>
            <c:showSerName val="0"/>
            <c:showPercent val="1"/>
            <c:showBubbleSize val="0"/>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'[决算公开图片.xls]（二）一般公共预算财政拨款支出决算结构情况'!$A$2:$A$5</c:f>
              <c:strCache>
                <c:ptCount val="4"/>
                <c:pt idx="0">
                  <c:v>公共安全支出（类）</c:v>
                </c:pt>
                <c:pt idx="1">
                  <c:v>社会保障和就业支出（类）</c:v>
                </c:pt>
                <c:pt idx="2">
                  <c:v>卫生健康支出（类）</c:v>
                </c:pt>
                <c:pt idx="3">
                  <c:v>住房保障支出（类）</c:v>
                </c:pt>
              </c:strCache>
            </c:strRef>
          </c:cat>
          <c:val>
            <c:numRef>
              <c:f>'[决算公开图片.xls]（二）一般公共预算财政拨款支出决算结构情况'!$B$2:$B$5</c:f>
              <c:numCache>
                <c:formatCode>General</c:formatCode>
                <c:ptCount val="4"/>
                <c:pt idx="0">
                  <c:v>564.91</c:v>
                </c:pt>
                <c:pt idx="1">
                  <c:v>71.61</c:v>
                </c:pt>
                <c:pt idx="2">
                  <c:v>33.03</c:v>
                </c:pt>
                <c:pt idx="3">
                  <c:v>47.11</c:v>
                </c:pt>
              </c:numCache>
            </c:numRef>
          </c:val>
        </c:ser>
        <c:dLbls>
          <c:showLegendKey val="0"/>
          <c:showVal val="1"/>
          <c:showCatName val="0"/>
          <c:showSerName val="0"/>
          <c:showPercent val="0"/>
          <c:showBubbleSize val="0"/>
        </c:dLbls>
      </c:pie3DChart>
      <c:spPr>
        <a:noFill/>
        <a:ln>
          <a:noFill/>
        </a:ln>
        <a:effectLst/>
      </c:spPr>
    </c:plotArea>
    <c:legend>
      <c:legendPos val="b"/>
      <c:legendEntry>
        <c:idx val="0"/>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1"/>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2"/>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egendEntry>
        <c:idx val="3"/>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Entry>
      <c:layout>
        <c:manualLayout>
          <c:xMode val="edge"/>
          <c:yMode val="edge"/>
          <c:x val="0.019449715370019"/>
          <c:y val="0.922101449275362"/>
          <c:w val="0.946750474383302"/>
          <c:h val="0.0718599033816425"/>
        </c:manualLayout>
      </c:layout>
      <c:overlay val="0"/>
      <c:spPr>
        <a:noFill/>
        <a:ln>
          <a:noFill/>
        </a:ln>
        <a:effectLst/>
      </c:spPr>
      <c:txPr>
        <a:bodyPr rot="0" spcFirstLastPara="0" vertOverflow="ellipsis" vert="horz" wrap="square" anchor="ctr" anchorCtr="1"/>
        <a:lstStyle/>
        <a:p>
          <a:pPr>
            <a:defRPr lang="zh-CN" sz="900" b="0" i="0" u="none" strike="noStrike" kern="1200" baseline="0">
              <a:solidFill>
                <a:sysClr val="windowText" lastClr="000000"/>
              </a:solidFill>
              <a:latin typeface="+mn-lt"/>
              <a:ea typeface="+mn-ea"/>
              <a:cs typeface="+mn-cs"/>
            </a:defRPr>
          </a:pPr>
        </a:p>
      </c:txPr>
    </c:legend>
    <c:plotVisOnly val="1"/>
    <c:dispBlanksAs val="gap"/>
    <c:showDLblsOverMax val="0"/>
    <c:extLst>
      <c:ext uri="{0b15fc19-7d7d-44ad-8c2d-2c3a37ce22c3}">
        <chartProps xmlns="https://web.wps.cn/et/2018/main" chartId="{56cb39e3-3c52-4795-b142-a8598bb15ca0}"/>
      </c:ext>
    </c:extLst>
  </c:chart>
  <c:spPr>
    <a:solidFill>
      <a:schemeClr val="lt1">
        <a:lumMod val="96000"/>
      </a:schemeClr>
    </a:solidFill>
    <a:ln w="9525" cap="flat" cmpd="sng" algn="ctr">
      <a:solidFill>
        <a:schemeClr val="tx1">
          <a:lumMod val="15000"/>
          <a:lumOff val="85000"/>
        </a:schemeClr>
      </a:solidFill>
      <a:round/>
    </a:ln>
    <a:effectLst/>
  </c:spPr>
  <c:txPr>
    <a:bodyPr/>
    <a:lstStyle/>
    <a:p>
      <a:pPr>
        <a:defRPr lang="zh-CN">
          <a:solidFill>
            <a:sysClr val="windowText" lastClr="000000"/>
          </a:solidFill>
        </a:defRPr>
      </a:pPr>
    </a:p>
  </c:txPr>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50"/>
      <c:rotY val="90"/>
      <c:depthPercent val="100"/>
      <c:rAngAx val="0"/>
      <c:perspective val="30"/>
    </c:view3D>
    <c:floor>
      <c:thickness val="0"/>
      <c:spPr>
        <a:noFill/>
        <a:effectLst/>
      </c:spPr>
    </c:floor>
    <c:sideWall>
      <c:thickness val="0"/>
      <c:spPr>
        <a:noFill/>
        <a:effectLst/>
      </c:spPr>
    </c:sideWall>
    <c:backWall>
      <c:thickness val="0"/>
      <c:spPr>
        <a:noFill/>
        <a:effectLst/>
      </c:spPr>
    </c:backWall>
    <c:plotArea>
      <c:layout>
        <c:manualLayout>
          <c:layoutTarget val="inner"/>
          <c:xMode val="edge"/>
          <c:yMode val="edge"/>
          <c:x val="0.0885555555555555"/>
          <c:y val="0.104814814814815"/>
          <c:w val="0.826222222222222"/>
          <c:h val="0.79037037037037"/>
        </c:manualLayout>
      </c:layout>
      <c:pie3DChart>
        <c:varyColors val="1"/>
        <c:ser>
          <c:idx val="0"/>
          <c:order val="0"/>
          <c:spPr>
            <a:scene3d>
              <a:camera prst="orthographicFront"/>
              <a:lightRig rig="threePt" dir="t"/>
            </a:scene3d>
            <a:sp3d contourW="9525"/>
          </c:spPr>
          <c:explosion val="0"/>
          <c:dPt>
            <c:idx val="0"/>
            <c:bubble3D val="0"/>
            <c:explosion val="0"/>
            <c:spPr>
              <a:gradFill>
                <a:gsLst>
                  <a:gs pos="0">
                    <a:schemeClr val="accent1">
                      <a:hueOff val="-1670000"/>
                    </a:schemeClr>
                  </a:gs>
                  <a:gs pos="100000">
                    <a:schemeClr val="accent1"/>
                  </a:gs>
                </a:gsLst>
                <a:lin ang="5400000" scaled="0"/>
              </a:gradFill>
              <a:ln>
                <a:gradFill>
                  <a:gsLst>
                    <a:gs pos="0">
                      <a:schemeClr val="accent1">
                        <a:lumMod val="75000"/>
                        <a:hueOff val="-1670000"/>
                      </a:schemeClr>
                    </a:gs>
                    <a:gs pos="100000">
                      <a:schemeClr val="accent1">
                        <a:lumMod val="75000"/>
                      </a:schemeClr>
                    </a:gs>
                  </a:gsLst>
                  <a:lin ang="5160000" scaled="1"/>
                </a:gradFill>
              </a:ln>
              <a:effectLst/>
            </c:spPr>
          </c:dPt>
          <c:dPt>
            <c:idx val="1"/>
            <c:bubble3D val="0"/>
            <c:explosion val="0"/>
            <c:spPr>
              <a:gradFill>
                <a:gsLst>
                  <a:gs pos="0">
                    <a:schemeClr val="accent2">
                      <a:hueOff val="-1670000"/>
                    </a:schemeClr>
                  </a:gs>
                  <a:gs pos="100000">
                    <a:schemeClr val="accent2"/>
                  </a:gs>
                </a:gsLst>
                <a:lin ang="5400000" scaled="0"/>
              </a:gradFill>
              <a:ln>
                <a:gradFill>
                  <a:gsLst>
                    <a:gs pos="0">
                      <a:schemeClr val="accent2">
                        <a:lumMod val="75000"/>
                        <a:hueOff val="-1670000"/>
                      </a:schemeClr>
                    </a:gs>
                    <a:gs pos="100000">
                      <a:schemeClr val="accent2">
                        <a:lumMod val="75000"/>
                      </a:schemeClr>
                    </a:gs>
                  </a:gsLst>
                  <a:lin ang="5160000" scaled="1"/>
                </a:gradFill>
              </a:ln>
              <a:effectLst/>
            </c:spPr>
          </c:dPt>
          <c:dLbls>
            <c:dLbl>
              <c:idx val="0"/>
              <c:layout>
                <c:manualLayout>
                  <c:x val="0.189528606276672"/>
                  <c:y val="-0.439967774861666"/>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manualLayout>
                      <c:w val="0.313387912352516"/>
                      <c:h val="0.283941780004772"/>
                    </c:manualLayout>
                  </c15:layout>
                </c:ext>
              </c:extLst>
            </c:dLbl>
            <c:dLbl>
              <c:idx val="1"/>
              <c:layout>
                <c:manualLayout>
                  <c:x val="0.0494519370818331"/>
                  <c:y val="-0.0883223451894908"/>
                </c:manualLayout>
              </c:layout>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bestFit"/>
              <c:showLegendKey val="0"/>
              <c:showVal val="0"/>
              <c:showCatName val="1"/>
              <c:showSerName val="0"/>
              <c:showPercent val="1"/>
              <c:showBubbleSize val="0"/>
              <c:separator>
</c:separator>
              <c:extLst>
                <c:ext xmlns:c15="http://schemas.microsoft.com/office/drawing/2012/chart" uri="{CE6537A1-D6FC-4f65-9D91-7224C49458BB}">
                  <c15:layout/>
                </c:ext>
              </c:extLst>
            </c:dLbl>
            <c:numFmt formatCode="0.00%" sourceLinked="0"/>
            <c:spPr>
              <a:noFill/>
              <a:ln>
                <a:noFill/>
              </a:ln>
              <a:effectLst/>
            </c:spPr>
            <c:txPr>
              <a:bodyPr rot="0" spcFirstLastPara="0" vertOverflow="ellipsis" vert="horz" wrap="square" lIns="38100" tIns="19050" rIns="38100" bIns="19050" anchor="ctr" anchorCtr="1"/>
              <a:lstStyle/>
              <a:p>
                <a:pPr>
                  <a:defRPr lang="zh-CN" sz="1200" b="0" i="0" u="none" strike="noStrike" kern="1200" baseline="0">
                    <a:solidFill>
                      <a:sysClr val="windowText" lastClr="000000"/>
                    </a:solidFill>
                    <a:latin typeface="+mn-lt"/>
                    <a:ea typeface="+mn-ea"/>
                    <a:cs typeface="+mn-cs"/>
                  </a:defRPr>
                </a:pPr>
              </a:p>
            </c:txPr>
            <c:dLblPos val="inEnd"/>
            <c:showLegendKey val="0"/>
            <c:showVal val="0"/>
            <c:showCatName val="1"/>
            <c:showSerName val="0"/>
            <c:showPercent val="1"/>
            <c:showBubbleSize val="0"/>
            <c:separator>
</c:separator>
            <c:showLeaderLines val="1"/>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strRef>
              <c:f>[决算公开图片.xls]Sheet1!$A$2:$A$3</c:f>
              <c:strCache>
                <c:ptCount val="2"/>
                <c:pt idx="0">
                  <c:v>公务用车购置及运行维护费支出</c:v>
                </c:pt>
                <c:pt idx="1">
                  <c:v>公务接待费支出</c:v>
                </c:pt>
              </c:strCache>
            </c:strRef>
          </c:cat>
          <c:val>
            <c:numRef>
              <c:f>[决算公开图片.xls]Sheet1!$B$2:$B$3</c:f>
              <c:numCache>
                <c:formatCode>General</c:formatCode>
                <c:ptCount val="2"/>
                <c:pt idx="0">
                  <c:v>6.83</c:v>
                </c:pt>
                <c:pt idx="1">
                  <c:v>1</c:v>
                </c:pt>
              </c:numCache>
            </c:numRef>
          </c:val>
        </c:ser>
        <c:dLbls>
          <c:showLegendKey val="0"/>
          <c:showVal val="0"/>
          <c:showCatName val="0"/>
          <c:showSerName val="0"/>
          <c:showPercent val="1"/>
          <c:showBubbleSize val="0"/>
        </c:dLbls>
      </c:pie3DChart>
      <c:spPr>
        <a:noFill/>
        <a:ln>
          <a:noFill/>
        </a:ln>
        <a:effectLst/>
      </c:spPr>
    </c:plotArea>
    <c:plotVisOnly val="1"/>
    <c:dispBlanksAs val="gap"/>
    <c:showDLblsOverMax val="0"/>
    <c:extLst>
      <c:ext uri="{0b15fc19-7d7d-44ad-8c2d-2c3a37ce22c3}">
        <chartProps xmlns="https://web.wps.cn/et/2018/main" chartId="{295bb64d-60af-4e58-8210-a22e008d209a}"/>
      </c:ext>
    </c:extLst>
  </c:chart>
  <c:spPr>
    <a:solidFill>
      <a:schemeClr val="lt1">
        <a:lumMod val="96000"/>
      </a:schemeClr>
    </a:solidFill>
    <a:ln w="9525" cap="flat" cmpd="sng" algn="ctr">
      <a:solidFill>
        <a:schemeClr val="tx1">
          <a:lumMod val="15000"/>
          <a:lumOff val="85000"/>
        </a:schemeClr>
      </a:solidFill>
      <a:round/>
    </a:ln>
    <a:effectLst/>
  </c:spPr>
  <c:txPr>
    <a:bodyPr wrap="square"/>
    <a:lstStyle/>
    <a:p>
      <a:pPr>
        <a:defRPr lang="zh-CN">
          <a:solidFill>
            <a:sysClr val="windowText" lastClr="000000"/>
          </a:solidFill>
        </a:defRPr>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3.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4.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5.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6.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colors7.xml><?xml version="1.0" encoding="utf-8"?>
<cs:colorStyle xmlns:cs="http://schemas.microsoft.com/office/drawing/2012/chartStyle" xmlns:a="http://schemas.openxmlformats.org/drawingml/2006/main" meth="acrossLinear" id="2">
  <a:schemeClr val="accent1"/>
  <a:schemeClr val="accent2"/>
  <a:schemeClr val="accent3"/>
  <a:schemeClr val="accent4"/>
  <a:schemeClr val="accent5"/>
  <a:schemeClr val="accent6"/>
</cs:colorStyle>
</file>

<file path=word/charts/style1.xml><?xml version="1.0" encoding="utf-8"?>
<cs:chartStyle xmlns:cs="http://schemas.microsoft.com/office/drawing/2012/chartStyle" xmlns:a="http://schemas.openxmlformats.org/drawingml/2006/main" id="10004">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1009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1009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1000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1009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1000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styleClr val="auto"/>
    </cs:effectRef>
    <cs:fontRef idx="minor">
      <a:schemeClr val="dk1"/>
    </cs:fontRef>
    <cs:spPr>
      <a:gradFill>
        <a:gsLst>
          <a:gs pos="0">
            <a:schemeClr val="phClr">
              <a:lumMod val="40000"/>
              <a:lumOff val="60000"/>
            </a:schemeClr>
          </a:gs>
          <a:gs pos="90000">
            <a:schemeClr val="phClr"/>
          </a:gs>
        </a:gsLst>
        <a:lin ang="5400000" scaled="0"/>
      </a:gradFill>
      <a:ln>
        <a:gradFill>
          <a:gsLst>
            <a:gs pos="0">
              <a:schemeClr val="phClr"/>
            </a:gs>
            <a:gs pos="100000">
              <a:schemeClr val="phClr">
                <a:lumMod val="75000"/>
              </a:schemeClr>
            </a:gs>
          </a:gsLst>
          <a:lin ang="5400000" scaled="1"/>
        </a:gradFill>
      </a:ln>
      <a:effectLst>
        <a:outerShdw blurRad="76200" dist="25400" dir="2700000" algn="tl" rotWithShape="0">
          <a:schemeClr val="phClr">
            <a:lumMod val="50000"/>
            <a:alpha val="30000"/>
          </a:schemeClr>
        </a:outerShdw>
      </a:effectLst>
    </cs:spPr>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10098">
  <cs:axisTitle>
    <cs:lnRef idx="0"/>
    <cs:fillRef idx="0"/>
    <cs:effectRef idx="0"/>
    <cs:fontRef idx="minor">
      <a:schemeClr val="dk1">
        <a:lumMod val="65000"/>
        <a:lumOff val="35000"/>
      </a:schemeClr>
    </cs:fontRef>
    <cs:defRPr sz="10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lt1">
          <a:lumMod val="96000"/>
        </a:schemeClr>
      </a:solidFill>
      <a:ln w="9525" cap="flat" cmpd="sng" algn="ctr">
        <a:solidFill>
          <a:schemeClr val="tx1">
            <a:lumMod val="15000"/>
            <a:lumOff val="85000"/>
          </a:schemeClr>
        </a:solidFill>
        <a:round/>
      </a:ln>
    </cs:spPr>
    <cs:defRPr sz="1000" kern="1200"/>
  </cs:chartArea>
  <cs:dataLabel>
    <cs:lnRef idx="0"/>
    <cs:fillRef idx="0"/>
    <cs:effectRef idx="0"/>
    <cs:fontRef idx="minor">
      <a:schemeClr val="dk1">
        <a:lumMod val="75000"/>
        <a:lumOff val="25000"/>
      </a:schemeClr>
    </cs:fontRef>
    <cs:defRPr sz="10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10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styleClr val="auto"/>
    </cs:lnRef>
    <cs:fillRef idx="0">
      <cs:styleClr val="auto"/>
    </cs:fillRef>
    <cs:effectRef idx="0"/>
    <cs:fontRef idx="minor">
      <a:schemeClr val="dk1"/>
    </cs:fontRef>
    <cs:spPr>
      <a:gradFill>
        <a:gsLst>
          <a:gs pos="0">
            <a:schemeClr val="phClr">
              <a:hueOff val="-1670000"/>
            </a:schemeClr>
          </a:gs>
          <a:gs pos="100000">
            <a:schemeClr val="phClr"/>
          </a:gs>
        </a:gsLst>
        <a:lin ang="5400000" scaled="0"/>
      </a:gradFill>
      <a:ln>
        <a:gradFill>
          <a:gsLst>
            <a:gs pos="0">
              <a:schemeClr val="phClr">
                <a:lumMod val="75000"/>
                <a:hueOff val="-1670000"/>
              </a:schemeClr>
            </a:gs>
            <a:gs pos="100000">
              <a:schemeClr val="phClr">
                <a:lumMod val="75000"/>
              </a:schemeClr>
            </a:gs>
          </a:gsLst>
          <a:lin ang="5160000" scaled="1"/>
        </a:gradFill>
      </a:ln>
      <a:effectLst/>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a:solidFill>
          <a:schemeClr val="dk1">
            <a:lumMod val="35000"/>
            <a:lumOff val="65000"/>
          </a:schemeClr>
        </a:solidFill>
      </a:ln>
    </cs:spPr>
  </cs:dropLine>
  <cs:errorBar>
    <cs:lnRef idx="0"/>
    <cs:fillRef idx="0"/>
    <cs:effectRef idx="0"/>
    <cs:fontRef idx="minor">
      <a:schemeClr val="tx1"/>
    </cs:fontRef>
    <cs:spPr>
      <a:ln w="9525" cap="flat" cmpd="sng" algn="ctr">
        <a:solidFill>
          <a:schemeClr val="dk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lt1">
            <a:lumMod val="902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a:solidFill>
          <a:schemeClr val="dk1">
            <a:lumMod val="75000"/>
            <a:lumOff val="25000"/>
          </a:schemeClr>
        </a:solidFill>
      </a:ln>
    </cs:spPr>
  </cs:hiLoLine>
  <cs:leaderLine>
    <cs:lnRef idx="0"/>
    <cs:fillRef idx="0"/>
    <cs:effectRef idx="0"/>
    <cs:fontRef idx="minor">
      <a:schemeClr val="tx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tx1"/>
    </cs:fontRef>
    <cs:spPr>
      <a:ln w="9525">
        <a:solidFill>
          <a:schemeClr val="dk1">
            <a:lumMod val="35000"/>
            <a:lumOff val="65000"/>
          </a:schemeClr>
        </a:solidFill>
      </a:ln>
    </cs:spPr>
  </cs:seriesLine>
  <cs:title>
    <cs:lnRef idx="0"/>
    <cs:fillRef idx="0"/>
    <cs:effectRef idx="0"/>
    <cs:fontRef idx="minor">
      <a:schemeClr val="dk1">
        <a:lumMod val="75000"/>
        <a:lumOff val="25000"/>
      </a:schemeClr>
    </cs:fontRef>
    <cs:defRPr sz="1400" b="1" kern="120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四川省财政厅</Company>
  <Pages>29</Pages>
  <Words>10021</Words>
  <Characters>10879</Characters>
  <Lines>72</Lines>
  <Paragraphs>20</Paragraphs>
  <TotalTime>16</TotalTime>
  <ScaleCrop>false</ScaleCrop>
  <LinksUpToDate>false</LinksUpToDate>
  <CharactersWithSpaces>10935</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2024-08-05T07:12:00Z</dcterms:created>
  <dc:creator>曹颖</dc:creator>
  <cp:lastModifiedBy>小马</cp:lastModifiedBy>
  <cp:lastPrinted>2026-09-11T01:33:00Z</cp:lastPrinted>
  <dcterms:modified xsi:type="dcterms:W3CDTF">2026-09-11T08:29:06Z</dcterms:modified>
  <dc:title>四川省***</dc:title>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92E6B80AC4F047369429B4C017A8CB6B_13</vt:lpwstr>
  </property>
  <property fmtid="{D5CDD505-2E9C-101B-9397-08002B2CF9AE}" pid="4" name="KSOTemplateDocerSaveRecord">
    <vt:lpwstr>eyJoZGlkIjoiZjAxMDI1ZTg5Nzc2NjUyZWE4ODhmMmVmOWMyOTk0YzciLCJ1c2VySWQiOiI1MTgyMjczNDQifQ==</vt:lpwstr>
  </property>
</Properties>
</file>