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2EB5F">
      <w:pPr>
        <w:pStyle w:val="7"/>
        <w:spacing w:before="93"/>
        <w:outlineLvl w:val="9"/>
        <w:rPr>
          <w:rFonts w:ascii="Times New Roman" w:eastAsia="方正小标宋简体"/>
          <w:kern w:val="2"/>
          <w:sz w:val="72"/>
          <w:szCs w:val="72"/>
        </w:rPr>
      </w:pPr>
      <w:bookmarkStart w:id="0" w:name="_Toc15377425"/>
      <w:bookmarkStart w:id="1" w:name="_Toc15306267"/>
      <w:bookmarkStart w:id="2" w:name="_Toc15396597"/>
      <w:bookmarkStart w:id="3" w:name="_Toc15396475"/>
      <w:bookmarkStart w:id="4" w:name="_Toc15378441"/>
      <w:bookmarkStart w:id="5" w:name="_Toc15377193"/>
    </w:p>
    <w:p w14:paraId="5E45F6EF">
      <w:pPr>
        <w:pStyle w:val="7"/>
        <w:spacing w:before="93"/>
        <w:rPr>
          <w:rFonts w:ascii="Times New Roman" w:eastAsia="方正小标宋简体"/>
          <w:kern w:val="2"/>
          <w:sz w:val="72"/>
          <w:szCs w:val="72"/>
        </w:rPr>
      </w:pPr>
    </w:p>
    <w:p w14:paraId="5CEDB414">
      <w:pPr>
        <w:pStyle w:val="7"/>
        <w:spacing w:before="93"/>
        <w:rPr>
          <w:rFonts w:ascii="Times New Roman" w:eastAsia="方正小标宋简体"/>
          <w:kern w:val="2"/>
          <w:sz w:val="72"/>
          <w:szCs w:val="72"/>
        </w:rPr>
      </w:pPr>
    </w:p>
    <w:p w14:paraId="593A4470">
      <w:pPr>
        <w:pStyle w:val="7"/>
        <w:spacing w:before="93"/>
        <w:jc w:val="center"/>
        <w:rPr>
          <w:rFonts w:ascii="Times New Roman" w:eastAsia="方正小标宋简体"/>
          <w:kern w:val="2"/>
          <w:sz w:val="44"/>
          <w:szCs w:val="44"/>
        </w:rPr>
      </w:pPr>
      <w:r>
        <w:rPr>
          <w:rFonts w:hint="eastAsia" w:ascii="Times New Roman" w:eastAsia="方正小标宋简体"/>
          <w:kern w:val="2"/>
          <w:sz w:val="44"/>
          <w:szCs w:val="44"/>
        </w:rPr>
        <w:t>2024年度理县人民法院</w:t>
      </w:r>
      <w:r>
        <w:rPr>
          <w:rFonts w:hint="eastAsia" w:ascii="Times New Roman" w:eastAsia="方正小标宋简体"/>
          <w:kern w:val="2"/>
          <w:sz w:val="44"/>
          <w:szCs w:val="44"/>
          <w:lang w:val="en-US" w:eastAsia="zh-CN"/>
        </w:rPr>
        <w:t>部门</w:t>
      </w:r>
      <w:bookmarkStart w:id="103" w:name="_GoBack"/>
      <w:bookmarkEnd w:id="103"/>
      <w:r>
        <w:rPr>
          <w:rFonts w:hint="eastAsia" w:ascii="Times New Roman" w:eastAsia="方正小标宋简体"/>
          <w:kern w:val="2"/>
          <w:sz w:val="44"/>
          <w:szCs w:val="44"/>
        </w:rPr>
        <w:t>决算</w:t>
      </w:r>
    </w:p>
    <w:p w14:paraId="7B02A3A2">
      <w:pPr>
        <w:pStyle w:val="7"/>
        <w:spacing w:before="93"/>
        <w:jc w:val="center"/>
        <w:rPr>
          <w:rFonts w:ascii="Times New Roman" w:eastAsia="方正小标宋简体"/>
          <w:kern w:val="2"/>
          <w:sz w:val="44"/>
          <w:szCs w:val="44"/>
        </w:rPr>
      </w:pPr>
      <w:r>
        <w:rPr>
          <w:rFonts w:hint="eastAsia" w:ascii="Times New Roman" w:eastAsia="方正小标宋简体"/>
          <w:kern w:val="2"/>
          <w:sz w:val="44"/>
          <w:szCs w:val="44"/>
        </w:rPr>
        <w:t>公 开</w:t>
      </w:r>
    </w:p>
    <w:p w14:paraId="51006E8D">
      <w:pPr>
        <w:spacing w:line="600" w:lineRule="exact"/>
        <w:jc w:val="center"/>
        <w:rPr>
          <w:rFonts w:eastAsia="方正小标宋简体"/>
          <w:sz w:val="72"/>
          <w:szCs w:val="72"/>
        </w:rPr>
      </w:pPr>
    </w:p>
    <w:p w14:paraId="16C35C9E">
      <w:pPr>
        <w:pStyle w:val="22"/>
        <w:outlineLvl w:val="9"/>
        <w:rPr>
          <w:rFonts w:ascii="Times New Roman" w:hAnsi="Times New Roman"/>
        </w:rPr>
      </w:pPr>
    </w:p>
    <w:p w14:paraId="687DEACA"/>
    <w:p w14:paraId="4CEDB296"/>
    <w:p w14:paraId="69811712"/>
    <w:p w14:paraId="5640CCD7"/>
    <w:p w14:paraId="209F48F9"/>
    <w:p w14:paraId="4DF596F3"/>
    <w:p w14:paraId="267FD861"/>
    <w:p w14:paraId="6F8882B3"/>
    <w:p w14:paraId="3C3FE5C2"/>
    <w:p w14:paraId="59B0E8F7"/>
    <w:p w14:paraId="6C32A359"/>
    <w:p w14:paraId="6A65B71E"/>
    <w:p w14:paraId="3634B7BC"/>
    <w:p w14:paraId="6EDE5F0C"/>
    <w:p w14:paraId="295DBEFE"/>
    <w:p w14:paraId="18FCB6A1"/>
    <w:p w14:paraId="4495600B"/>
    <w:p w14:paraId="1275A400">
      <w:pPr>
        <w:pStyle w:val="16"/>
        <w:adjustRightInd w:val="0"/>
        <w:snapToGrid w:val="0"/>
        <w:spacing w:line="560" w:lineRule="exact"/>
        <w:ind w:left="0" w:leftChars="0" w:firstLine="640" w:firstLineChars="200"/>
        <w:jc w:val="left"/>
        <w:rPr>
          <w:rFonts w:eastAsia="仿宋_GB2312" w:cs="仿宋_GB2312"/>
          <w:sz w:val="32"/>
          <w:szCs w:val="32"/>
        </w:rPr>
      </w:pPr>
    </w:p>
    <w:p w14:paraId="7639D3DB">
      <w:pPr>
        <w:pStyle w:val="16"/>
        <w:adjustRightInd w:val="0"/>
        <w:snapToGrid w:val="0"/>
        <w:spacing w:line="560" w:lineRule="exact"/>
        <w:ind w:left="0" w:leftChars="0" w:firstLine="640" w:firstLineChars="200"/>
        <w:jc w:val="right"/>
        <w:rPr>
          <w:rFonts w:eastAsia="仿宋_GB2312" w:cs="仿宋_GB2312"/>
          <w:sz w:val="32"/>
          <w:szCs w:val="32"/>
        </w:rPr>
      </w:pPr>
      <w:r>
        <w:rPr>
          <w:rFonts w:hint="eastAsia" w:eastAsia="仿宋_GB2312" w:cs="仿宋_GB2312"/>
          <w:sz w:val="32"/>
          <w:szCs w:val="32"/>
        </w:rPr>
        <w:t xml:space="preserve">  已经保密审查，同意对外公开。</w:t>
      </w:r>
    </w:p>
    <w:p w14:paraId="541FAEA1">
      <w:pPr>
        <w:pStyle w:val="16"/>
        <w:adjustRightInd w:val="0"/>
        <w:snapToGrid w:val="0"/>
        <w:spacing w:line="560" w:lineRule="exact"/>
        <w:ind w:left="0" w:leftChars="0" w:firstLine="640" w:firstLineChars="200"/>
        <w:jc w:val="center"/>
        <w:rPr>
          <w:rFonts w:eastAsia="仿宋_GB2312" w:cs="仿宋_GB2312"/>
          <w:sz w:val="32"/>
          <w:szCs w:val="32"/>
        </w:rPr>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start="1"/>
          <w:cols w:space="425" w:num="1"/>
          <w:titlePg/>
          <w:docGrid w:type="lines" w:linePitch="312" w:charSpace="0"/>
        </w:sectPr>
      </w:pPr>
      <w:r>
        <w:rPr>
          <w:rFonts w:hint="eastAsia" w:eastAsia="仿宋_GB2312" w:cs="仿宋_GB2312"/>
          <w:sz w:val="32"/>
          <w:szCs w:val="32"/>
        </w:rPr>
        <w:t xml:space="preserve">          2025年9月15日</w:t>
      </w:r>
    </w:p>
    <w:bookmarkEnd w:id="0"/>
    <w:bookmarkEnd w:id="1"/>
    <w:bookmarkEnd w:id="2"/>
    <w:bookmarkEnd w:id="3"/>
    <w:bookmarkEnd w:id="4"/>
    <w:bookmarkEnd w:id="5"/>
    <w:p w14:paraId="124E0FA0">
      <w:pPr>
        <w:pStyle w:val="7"/>
        <w:spacing w:before="93"/>
        <w:jc w:val="center"/>
        <w:rPr>
          <w:rFonts w:eastAsia="黑体"/>
          <w:sz w:val="48"/>
          <w:szCs w:val="48"/>
        </w:rPr>
      </w:pPr>
      <w:bookmarkStart w:id="6" w:name="_Toc15378442"/>
      <w:bookmarkStart w:id="7" w:name="_Toc15396598"/>
      <w:bookmarkStart w:id="8" w:name="_Toc15396476"/>
      <w:bookmarkStart w:id="9" w:name="_Toc15377426"/>
      <w:bookmarkStart w:id="10" w:name="_Toc15377194"/>
      <w:r>
        <w:rPr>
          <w:rFonts w:hint="eastAsia" w:ascii="Times New Roman" w:eastAsia="方正小标宋简体"/>
          <w:kern w:val="2"/>
          <w:sz w:val="44"/>
          <w:szCs w:val="44"/>
        </w:rPr>
        <w:t>2024年度</w:t>
      </w:r>
      <w:bookmarkStart w:id="11" w:name="_Toc15306268"/>
      <w:r>
        <w:rPr>
          <w:rFonts w:hint="eastAsia" w:ascii="Times New Roman" w:eastAsia="方正小标宋简体"/>
          <w:kern w:val="2"/>
          <w:sz w:val="44"/>
          <w:szCs w:val="44"/>
        </w:rPr>
        <w:t>理县人民法院部门决算</w:t>
      </w:r>
      <w:bookmarkEnd w:id="6"/>
      <w:bookmarkEnd w:id="7"/>
      <w:bookmarkEnd w:id="8"/>
      <w:bookmarkEnd w:id="9"/>
      <w:bookmarkEnd w:id="10"/>
      <w:bookmarkEnd w:id="11"/>
    </w:p>
    <w:p w14:paraId="734CA8B9">
      <w:pPr>
        <w:pStyle w:val="14"/>
        <w:rPr>
          <w:rFonts w:eastAsia="黑体"/>
          <w:sz w:val="48"/>
          <w:szCs w:val="48"/>
        </w:rPr>
      </w:pPr>
      <w:r>
        <w:rPr>
          <w:rFonts w:hint="eastAsia" w:eastAsia="黑体"/>
          <w:sz w:val="48"/>
          <w:szCs w:val="48"/>
        </w:rPr>
        <w:t>目 录</w:t>
      </w:r>
    </w:p>
    <w:p w14:paraId="01456CF1">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公开时间：2025年9月15日</w:t>
      </w:r>
    </w:p>
    <w:p w14:paraId="7A6C8FAB">
      <w:pPr>
        <w:pStyle w:val="14"/>
        <w:rPr>
          <w:rFonts w:ascii="Times New Roman" w:hAnsi="Times New Roman" w:eastAsia="仿宋_GB2312" w:cs="仿宋_GB2312"/>
          <w:sz w:val="32"/>
          <w:szCs w:val="32"/>
        </w:rPr>
      </w:pPr>
    </w:p>
    <w:sdt>
      <w:sdtPr>
        <w:rPr>
          <w:rFonts w:ascii="宋体" w:hAnsi="宋体" w:eastAsia="宋体" w:cs="Times New Roman"/>
          <w:kern w:val="2"/>
          <w:sz w:val="21"/>
          <w:szCs w:val="24"/>
          <w:lang w:val="en-US" w:eastAsia="zh-CN" w:bidi="ar-SA"/>
        </w:rPr>
        <w:id w:val="147453326"/>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789726C1">
          <w:pPr>
            <w:spacing w:before="0" w:beforeLines="0" w:after="0" w:afterLines="0" w:line="240" w:lineRule="auto"/>
            <w:ind w:left="0" w:leftChars="0" w:right="0" w:rightChars="0" w:firstLine="0" w:firstLineChars="0"/>
            <w:jc w:val="center"/>
          </w:pPr>
        </w:p>
        <w:p w14:paraId="6110E6C1">
          <w:pPr>
            <w:pStyle w:val="14"/>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_Toc8749 </w:instrText>
          </w:r>
          <w:r>
            <w:fldChar w:fldCharType="separate"/>
          </w:r>
          <w:r>
            <w:rPr>
              <w:rFonts w:hint="eastAsia" w:eastAsia="方正小标宋简体" w:cs="方正小标宋简体"/>
            </w:rPr>
            <w:t xml:space="preserve">第一部分  </w:t>
          </w:r>
          <w:r>
            <w:rPr>
              <w:rFonts w:hint="eastAsia" w:eastAsia="方正小标宋简体" w:cs="方正小标宋简体"/>
              <w:bCs w:val="0"/>
            </w:rPr>
            <w:t>部门概况</w:t>
          </w:r>
          <w:r>
            <w:tab/>
          </w:r>
          <w:r>
            <w:fldChar w:fldCharType="begin"/>
          </w:r>
          <w:r>
            <w:instrText xml:space="preserve"> PAGEREF _Toc8749 \h </w:instrText>
          </w:r>
          <w:r>
            <w:fldChar w:fldCharType="separate"/>
          </w:r>
          <w:r>
            <w:t>- 1 -</w:t>
          </w:r>
          <w:r>
            <w:fldChar w:fldCharType="end"/>
          </w:r>
          <w:r>
            <w:fldChar w:fldCharType="end"/>
          </w:r>
        </w:p>
        <w:p w14:paraId="5B32BC77">
          <w:pPr>
            <w:pStyle w:val="16"/>
            <w:tabs>
              <w:tab w:val="right" w:leader="dot" w:pos="8306"/>
              <w:tab w:val="clear" w:pos="8296"/>
            </w:tabs>
          </w:pPr>
          <w:r>
            <w:fldChar w:fldCharType="begin"/>
          </w:r>
          <w:r>
            <w:instrText xml:space="preserve"> HYPERLINK \l _Toc25374 </w:instrText>
          </w:r>
          <w:r>
            <w:fldChar w:fldCharType="separate"/>
          </w:r>
          <w:r>
            <w:rPr>
              <w:rFonts w:hint="eastAsia" w:ascii="Times New Roman" w:hAnsi="Times New Roman" w:eastAsia="黑体"/>
            </w:rPr>
            <w:t>一、 部门职责</w:t>
          </w:r>
          <w:r>
            <w:tab/>
          </w:r>
          <w:r>
            <w:fldChar w:fldCharType="begin"/>
          </w:r>
          <w:r>
            <w:instrText xml:space="preserve"> PAGEREF _Toc25374 \h </w:instrText>
          </w:r>
          <w:r>
            <w:fldChar w:fldCharType="separate"/>
          </w:r>
          <w:r>
            <w:t>- 1 -</w:t>
          </w:r>
          <w:r>
            <w:fldChar w:fldCharType="end"/>
          </w:r>
          <w:r>
            <w:fldChar w:fldCharType="end"/>
          </w:r>
        </w:p>
        <w:p w14:paraId="41C3BBB4">
          <w:pPr>
            <w:pStyle w:val="10"/>
            <w:tabs>
              <w:tab w:val="right" w:leader="dot" w:pos="8306"/>
              <w:tab w:val="clear" w:pos="8296"/>
            </w:tabs>
          </w:pPr>
          <w:r>
            <w:fldChar w:fldCharType="begin"/>
          </w:r>
          <w:r>
            <w:instrText xml:space="preserve"> HYPERLINK \l _Toc16367 </w:instrText>
          </w:r>
          <w:r>
            <w:fldChar w:fldCharType="separate"/>
          </w:r>
          <w:r>
            <w:rPr>
              <w:rFonts w:hint="eastAsia"/>
              <w:szCs w:val="32"/>
            </w:rPr>
            <w:t>3、审理中级人民法院指定管辖的案件；</w:t>
          </w:r>
          <w:r>
            <w:tab/>
          </w:r>
          <w:r>
            <w:fldChar w:fldCharType="begin"/>
          </w:r>
          <w:r>
            <w:instrText xml:space="preserve"> PAGEREF _Toc16367 \h </w:instrText>
          </w:r>
          <w:r>
            <w:fldChar w:fldCharType="separate"/>
          </w:r>
          <w:r>
            <w:t>- 1 -</w:t>
          </w:r>
          <w:r>
            <w:fldChar w:fldCharType="end"/>
          </w:r>
          <w:r>
            <w:fldChar w:fldCharType="end"/>
          </w:r>
        </w:p>
        <w:p w14:paraId="70ED5D7D">
          <w:pPr>
            <w:pStyle w:val="10"/>
            <w:tabs>
              <w:tab w:val="right" w:leader="dot" w:pos="8306"/>
              <w:tab w:val="clear" w:pos="8296"/>
            </w:tabs>
          </w:pPr>
          <w:r>
            <w:fldChar w:fldCharType="begin"/>
          </w:r>
          <w:r>
            <w:instrText xml:space="preserve"> HYPERLINK \l _Toc22525 </w:instrText>
          </w:r>
          <w:r>
            <w:fldChar w:fldCharType="separate"/>
          </w:r>
          <w:r>
            <w:rPr>
              <w:rFonts w:hint="eastAsia"/>
              <w:szCs w:val="32"/>
            </w:rPr>
            <w:t>10、管理本院的有关经费和物质装备；</w:t>
          </w:r>
          <w:r>
            <w:tab/>
          </w:r>
          <w:r>
            <w:fldChar w:fldCharType="begin"/>
          </w:r>
          <w:r>
            <w:instrText xml:space="preserve"> PAGEREF _Toc22525 \h </w:instrText>
          </w:r>
          <w:r>
            <w:fldChar w:fldCharType="separate"/>
          </w:r>
          <w:r>
            <w:t>- 2 -</w:t>
          </w:r>
          <w:r>
            <w:fldChar w:fldCharType="end"/>
          </w:r>
          <w:r>
            <w:fldChar w:fldCharType="end"/>
          </w:r>
        </w:p>
        <w:p w14:paraId="43BAF4CA">
          <w:pPr>
            <w:pStyle w:val="16"/>
            <w:tabs>
              <w:tab w:val="right" w:leader="dot" w:pos="8306"/>
              <w:tab w:val="clear" w:pos="8296"/>
            </w:tabs>
          </w:pPr>
          <w:r>
            <w:fldChar w:fldCharType="begin"/>
          </w:r>
          <w:r>
            <w:instrText xml:space="preserve"> HYPERLINK \l _Toc7166 </w:instrText>
          </w:r>
          <w:r>
            <w:fldChar w:fldCharType="separate"/>
          </w:r>
          <w:r>
            <w:rPr>
              <w:rFonts w:hint="eastAsia" w:ascii="Times New Roman" w:hAnsi="Times New Roman" w:eastAsia="黑体"/>
            </w:rPr>
            <w:t>二、机</w:t>
          </w:r>
          <w:r>
            <w:rPr>
              <w:rFonts w:hint="eastAsia" w:ascii="Times New Roman" w:hAnsi="Times New Roman" w:eastAsia="黑体"/>
              <w:bCs w:val="0"/>
            </w:rPr>
            <w:t>构设置</w:t>
          </w:r>
          <w:r>
            <w:tab/>
          </w:r>
          <w:r>
            <w:fldChar w:fldCharType="begin"/>
          </w:r>
          <w:r>
            <w:instrText xml:space="preserve"> PAGEREF _Toc7166 \h </w:instrText>
          </w:r>
          <w:r>
            <w:fldChar w:fldCharType="separate"/>
          </w:r>
          <w:r>
            <w:t>- 2 -</w:t>
          </w:r>
          <w:r>
            <w:fldChar w:fldCharType="end"/>
          </w:r>
          <w:r>
            <w:fldChar w:fldCharType="end"/>
          </w:r>
        </w:p>
        <w:p w14:paraId="0A50E3C3">
          <w:pPr>
            <w:pStyle w:val="14"/>
            <w:tabs>
              <w:tab w:val="right" w:leader="dot" w:pos="8306"/>
              <w:tab w:val="clear" w:pos="8296"/>
            </w:tabs>
          </w:pPr>
          <w:r>
            <w:fldChar w:fldCharType="begin"/>
          </w:r>
          <w:r>
            <w:instrText xml:space="preserve"> HYPERLINK \l _Toc9328 </w:instrText>
          </w:r>
          <w:r>
            <w:fldChar w:fldCharType="separate"/>
          </w:r>
          <w:r>
            <w:rPr>
              <w:rFonts w:hint="eastAsia" w:eastAsia="方正小标宋简体" w:cs="方正小标宋简体"/>
            </w:rPr>
            <w:t>第二部分  2024年度部门决算情况说明</w:t>
          </w:r>
          <w:r>
            <w:tab/>
          </w:r>
          <w:r>
            <w:fldChar w:fldCharType="begin"/>
          </w:r>
          <w:r>
            <w:instrText xml:space="preserve"> PAGEREF _Toc9328 \h </w:instrText>
          </w:r>
          <w:r>
            <w:fldChar w:fldCharType="separate"/>
          </w:r>
          <w:r>
            <w:t>- 3 -</w:t>
          </w:r>
          <w:r>
            <w:fldChar w:fldCharType="end"/>
          </w:r>
          <w:r>
            <w:fldChar w:fldCharType="end"/>
          </w:r>
        </w:p>
        <w:p w14:paraId="1091FF6F">
          <w:pPr>
            <w:pStyle w:val="16"/>
            <w:tabs>
              <w:tab w:val="right" w:leader="dot" w:pos="8306"/>
              <w:tab w:val="clear" w:pos="8296"/>
            </w:tabs>
          </w:pPr>
          <w:r>
            <w:fldChar w:fldCharType="begin"/>
          </w:r>
          <w:r>
            <w:instrText xml:space="preserve"> HYPERLINK \l _Toc25327 </w:instrText>
          </w:r>
          <w:r>
            <w:fldChar w:fldCharType="separate"/>
          </w:r>
          <w:r>
            <w:rPr>
              <w:rFonts w:hint="eastAsia" w:eastAsia="黑体"/>
              <w:szCs w:val="32"/>
            </w:rPr>
            <w:t>一、收</w:t>
          </w:r>
          <w:r>
            <w:rPr>
              <w:rFonts w:hint="eastAsia" w:ascii="Times New Roman" w:hAnsi="Times New Roman" w:eastAsia="黑体"/>
            </w:rPr>
            <w:t>入支出决算总体情况说明</w:t>
          </w:r>
          <w:r>
            <w:tab/>
          </w:r>
          <w:r>
            <w:fldChar w:fldCharType="begin"/>
          </w:r>
          <w:r>
            <w:instrText xml:space="preserve"> PAGEREF _Toc25327 \h </w:instrText>
          </w:r>
          <w:r>
            <w:fldChar w:fldCharType="separate"/>
          </w:r>
          <w:r>
            <w:t>- 3 -</w:t>
          </w:r>
          <w:r>
            <w:fldChar w:fldCharType="end"/>
          </w:r>
          <w:r>
            <w:fldChar w:fldCharType="end"/>
          </w:r>
        </w:p>
        <w:p w14:paraId="402E83EC">
          <w:pPr>
            <w:pStyle w:val="16"/>
            <w:tabs>
              <w:tab w:val="right" w:leader="dot" w:pos="8306"/>
              <w:tab w:val="clear" w:pos="8296"/>
            </w:tabs>
          </w:pPr>
          <w:r>
            <w:fldChar w:fldCharType="begin"/>
          </w:r>
          <w:r>
            <w:instrText xml:space="preserve"> HYPERLINK \l _Toc24672 </w:instrText>
          </w:r>
          <w:r>
            <w:fldChar w:fldCharType="separate"/>
          </w:r>
          <w:r>
            <w:rPr>
              <w:rFonts w:hint="eastAsia" w:eastAsia="黑体"/>
              <w:szCs w:val="32"/>
            </w:rPr>
            <w:t>二、收入决算情况说明</w:t>
          </w:r>
          <w:r>
            <w:tab/>
          </w:r>
          <w:r>
            <w:fldChar w:fldCharType="begin"/>
          </w:r>
          <w:r>
            <w:instrText xml:space="preserve"> PAGEREF _Toc24672 \h </w:instrText>
          </w:r>
          <w:r>
            <w:fldChar w:fldCharType="separate"/>
          </w:r>
          <w:r>
            <w:t>- 3 -</w:t>
          </w:r>
          <w:r>
            <w:fldChar w:fldCharType="end"/>
          </w:r>
          <w:r>
            <w:fldChar w:fldCharType="end"/>
          </w:r>
        </w:p>
        <w:p w14:paraId="25F9DE91">
          <w:pPr>
            <w:pStyle w:val="16"/>
            <w:tabs>
              <w:tab w:val="right" w:leader="dot" w:pos="8306"/>
              <w:tab w:val="clear" w:pos="8296"/>
            </w:tabs>
          </w:pPr>
          <w:r>
            <w:fldChar w:fldCharType="begin"/>
          </w:r>
          <w:r>
            <w:instrText xml:space="preserve"> HYPERLINK \l _Toc15342 </w:instrText>
          </w:r>
          <w:r>
            <w:fldChar w:fldCharType="separate"/>
          </w:r>
          <w:r>
            <w:rPr>
              <w:rFonts w:hint="eastAsia" w:eastAsia="黑体"/>
              <w:szCs w:val="32"/>
            </w:rPr>
            <w:t>三、支</w:t>
          </w:r>
          <w:r>
            <w:rPr>
              <w:rFonts w:hint="eastAsia" w:ascii="Times New Roman" w:hAnsi="Times New Roman" w:eastAsia="黑体"/>
            </w:rPr>
            <w:t>出决算情况说明</w:t>
          </w:r>
          <w:r>
            <w:tab/>
          </w:r>
          <w:r>
            <w:fldChar w:fldCharType="begin"/>
          </w:r>
          <w:r>
            <w:instrText xml:space="preserve"> PAGEREF _Toc15342 \h </w:instrText>
          </w:r>
          <w:r>
            <w:fldChar w:fldCharType="separate"/>
          </w:r>
          <w:r>
            <w:t>- 4 -</w:t>
          </w:r>
          <w:r>
            <w:fldChar w:fldCharType="end"/>
          </w:r>
          <w:r>
            <w:fldChar w:fldCharType="end"/>
          </w:r>
        </w:p>
        <w:p w14:paraId="5A766FA6">
          <w:pPr>
            <w:pStyle w:val="16"/>
            <w:tabs>
              <w:tab w:val="right" w:leader="dot" w:pos="8306"/>
              <w:tab w:val="clear" w:pos="8296"/>
            </w:tabs>
          </w:pPr>
          <w:r>
            <w:fldChar w:fldCharType="begin"/>
          </w:r>
          <w:r>
            <w:instrText xml:space="preserve"> HYPERLINK \l _Toc29075 </w:instrText>
          </w:r>
          <w:r>
            <w:fldChar w:fldCharType="separate"/>
          </w:r>
          <w:r>
            <w:rPr>
              <w:rFonts w:hint="eastAsia" w:eastAsia="黑体"/>
              <w:szCs w:val="32"/>
            </w:rPr>
            <w:t>四、财</w:t>
          </w:r>
          <w:r>
            <w:rPr>
              <w:rFonts w:hint="eastAsia" w:ascii="Times New Roman" w:hAnsi="Times New Roman" w:eastAsia="黑体"/>
            </w:rPr>
            <w:t>政拨款收入支出决算总体情况说明</w:t>
          </w:r>
          <w:r>
            <w:tab/>
          </w:r>
          <w:r>
            <w:fldChar w:fldCharType="begin"/>
          </w:r>
          <w:r>
            <w:instrText xml:space="preserve"> PAGEREF _Toc29075 \h </w:instrText>
          </w:r>
          <w:r>
            <w:fldChar w:fldCharType="separate"/>
          </w:r>
          <w:r>
            <w:t>- 5 -</w:t>
          </w:r>
          <w:r>
            <w:fldChar w:fldCharType="end"/>
          </w:r>
          <w:r>
            <w:fldChar w:fldCharType="end"/>
          </w:r>
        </w:p>
        <w:p w14:paraId="374E5545">
          <w:pPr>
            <w:pStyle w:val="16"/>
            <w:tabs>
              <w:tab w:val="right" w:leader="dot" w:pos="8306"/>
              <w:tab w:val="clear" w:pos="8296"/>
            </w:tabs>
          </w:pPr>
          <w:r>
            <w:fldChar w:fldCharType="begin"/>
          </w:r>
          <w:r>
            <w:instrText xml:space="preserve"> HYPERLINK \l _Toc27624 </w:instrText>
          </w:r>
          <w:r>
            <w:fldChar w:fldCharType="separate"/>
          </w:r>
          <w:r>
            <w:rPr>
              <w:rFonts w:hint="eastAsia" w:eastAsia="黑体"/>
              <w:szCs w:val="32"/>
            </w:rPr>
            <w:t>五、一</w:t>
          </w:r>
          <w:r>
            <w:rPr>
              <w:rFonts w:hint="eastAsia" w:ascii="Times New Roman" w:hAnsi="Times New Roman" w:eastAsia="黑体"/>
            </w:rPr>
            <w:t>般公共预算财政拨款支出决算情况说明</w:t>
          </w:r>
          <w:r>
            <w:tab/>
          </w:r>
          <w:r>
            <w:fldChar w:fldCharType="begin"/>
          </w:r>
          <w:r>
            <w:instrText xml:space="preserve"> PAGEREF _Toc27624 \h </w:instrText>
          </w:r>
          <w:r>
            <w:fldChar w:fldCharType="separate"/>
          </w:r>
          <w:r>
            <w:t>- 5 -</w:t>
          </w:r>
          <w:r>
            <w:fldChar w:fldCharType="end"/>
          </w:r>
          <w:r>
            <w:fldChar w:fldCharType="end"/>
          </w:r>
        </w:p>
        <w:p w14:paraId="6E579D30">
          <w:pPr>
            <w:pStyle w:val="10"/>
            <w:tabs>
              <w:tab w:val="right" w:leader="dot" w:pos="8306"/>
              <w:tab w:val="clear" w:pos="8296"/>
            </w:tabs>
          </w:pPr>
          <w:r>
            <w:fldChar w:fldCharType="begin"/>
          </w:r>
          <w:r>
            <w:instrText xml:space="preserve"> HYPERLINK \l _Toc3730 </w:instrText>
          </w:r>
          <w:r>
            <w:fldChar w:fldCharType="separate"/>
          </w:r>
          <w:r>
            <w:rPr>
              <w:rFonts w:hint="eastAsia" w:eastAsia="楷体_GB2312" w:cs="楷体_GB2312"/>
              <w:szCs w:val="32"/>
            </w:rPr>
            <w:t>（一）一般公共预算财政拨款支出决算总体情况</w:t>
          </w:r>
          <w:r>
            <w:tab/>
          </w:r>
          <w:r>
            <w:fldChar w:fldCharType="begin"/>
          </w:r>
          <w:r>
            <w:instrText xml:space="preserve"> PAGEREF _Toc3730 \h </w:instrText>
          </w:r>
          <w:r>
            <w:fldChar w:fldCharType="separate"/>
          </w:r>
          <w:r>
            <w:t>- 6 -</w:t>
          </w:r>
          <w:r>
            <w:fldChar w:fldCharType="end"/>
          </w:r>
          <w:r>
            <w:fldChar w:fldCharType="end"/>
          </w:r>
        </w:p>
        <w:p w14:paraId="3A92E2F0">
          <w:pPr>
            <w:pStyle w:val="10"/>
            <w:tabs>
              <w:tab w:val="right" w:leader="dot" w:pos="8306"/>
              <w:tab w:val="clear" w:pos="8296"/>
            </w:tabs>
          </w:pPr>
          <w:r>
            <w:fldChar w:fldCharType="begin"/>
          </w:r>
          <w:r>
            <w:instrText xml:space="preserve"> HYPERLINK \l _Toc1862 </w:instrText>
          </w:r>
          <w:r>
            <w:fldChar w:fldCharType="separate"/>
          </w:r>
          <w:r>
            <w:rPr>
              <w:rFonts w:hint="eastAsia" w:eastAsia="楷体_GB2312" w:cs="楷体_GB2312"/>
              <w:szCs w:val="32"/>
            </w:rPr>
            <w:t>（二）一般公共预算财政拨款支出决算结构情况</w:t>
          </w:r>
          <w:r>
            <w:tab/>
          </w:r>
          <w:r>
            <w:fldChar w:fldCharType="begin"/>
          </w:r>
          <w:r>
            <w:instrText xml:space="preserve"> PAGEREF _Toc1862 \h </w:instrText>
          </w:r>
          <w:r>
            <w:fldChar w:fldCharType="separate"/>
          </w:r>
          <w:r>
            <w:t>- 6 -</w:t>
          </w:r>
          <w:r>
            <w:fldChar w:fldCharType="end"/>
          </w:r>
          <w:r>
            <w:fldChar w:fldCharType="end"/>
          </w:r>
        </w:p>
        <w:p w14:paraId="05C05B51">
          <w:pPr>
            <w:pStyle w:val="10"/>
            <w:tabs>
              <w:tab w:val="right" w:leader="dot" w:pos="8306"/>
              <w:tab w:val="clear" w:pos="8296"/>
            </w:tabs>
          </w:pPr>
          <w:r>
            <w:fldChar w:fldCharType="begin"/>
          </w:r>
          <w:r>
            <w:instrText xml:space="preserve"> HYPERLINK \l _Toc31232 </w:instrText>
          </w:r>
          <w:r>
            <w:fldChar w:fldCharType="separate"/>
          </w:r>
          <w:r>
            <w:rPr>
              <w:rFonts w:hint="eastAsia" w:eastAsia="楷体_GB2312" w:cs="楷体_GB2312"/>
              <w:szCs w:val="32"/>
            </w:rPr>
            <w:t>（三）一般公共预算财政拨款支出决算具体情况</w:t>
          </w:r>
          <w:r>
            <w:tab/>
          </w:r>
          <w:r>
            <w:fldChar w:fldCharType="begin"/>
          </w:r>
          <w:r>
            <w:instrText xml:space="preserve"> PAGEREF _Toc31232 \h </w:instrText>
          </w:r>
          <w:r>
            <w:fldChar w:fldCharType="separate"/>
          </w:r>
          <w:r>
            <w:t>- 7 -</w:t>
          </w:r>
          <w:r>
            <w:fldChar w:fldCharType="end"/>
          </w:r>
          <w:r>
            <w:fldChar w:fldCharType="end"/>
          </w:r>
        </w:p>
        <w:p w14:paraId="7EE62EF8">
          <w:pPr>
            <w:pStyle w:val="16"/>
            <w:tabs>
              <w:tab w:val="right" w:leader="dot" w:pos="8306"/>
              <w:tab w:val="clear" w:pos="8296"/>
            </w:tabs>
          </w:pPr>
          <w:r>
            <w:fldChar w:fldCharType="begin"/>
          </w:r>
          <w:r>
            <w:instrText xml:space="preserve"> HYPERLINK \l _Toc20093 </w:instrText>
          </w:r>
          <w:r>
            <w:fldChar w:fldCharType="separate"/>
          </w:r>
          <w:r>
            <w:rPr>
              <w:rFonts w:hint="eastAsia" w:eastAsia="黑体"/>
              <w:szCs w:val="32"/>
            </w:rPr>
            <w:t>六、一</w:t>
          </w:r>
          <w:r>
            <w:rPr>
              <w:rFonts w:hint="eastAsia" w:ascii="Times New Roman" w:hAnsi="Times New Roman" w:eastAsia="黑体"/>
            </w:rPr>
            <w:t>般公共预算财政拨款基本支出决算情况说明</w:t>
          </w:r>
          <w:r>
            <w:tab/>
          </w:r>
          <w:r>
            <w:fldChar w:fldCharType="begin"/>
          </w:r>
          <w:r>
            <w:instrText xml:space="preserve"> PAGEREF _Toc20093 \h </w:instrText>
          </w:r>
          <w:r>
            <w:fldChar w:fldCharType="separate"/>
          </w:r>
          <w:r>
            <w:t>- 7 -</w:t>
          </w:r>
          <w:r>
            <w:fldChar w:fldCharType="end"/>
          </w:r>
          <w:r>
            <w:fldChar w:fldCharType="end"/>
          </w:r>
        </w:p>
        <w:p w14:paraId="3AB2D792">
          <w:pPr>
            <w:pStyle w:val="16"/>
            <w:tabs>
              <w:tab w:val="right" w:leader="dot" w:pos="8306"/>
              <w:tab w:val="clear" w:pos="8296"/>
            </w:tabs>
          </w:pPr>
          <w:r>
            <w:fldChar w:fldCharType="begin"/>
          </w:r>
          <w:r>
            <w:instrText xml:space="preserve"> HYPERLINK \l _Toc16759 </w:instrText>
          </w:r>
          <w:r>
            <w:fldChar w:fldCharType="separate"/>
          </w:r>
          <w:r>
            <w:rPr>
              <w:rFonts w:hint="eastAsia" w:eastAsia="黑体"/>
              <w:szCs w:val="32"/>
            </w:rPr>
            <w:t>七、</w:t>
          </w:r>
          <w:r>
            <w:rPr>
              <w:rFonts w:hint="eastAsia" w:ascii="Times New Roman" w:hAnsi="Times New Roman" w:eastAsia="黑体"/>
            </w:rPr>
            <w:t>财政拨款“三公”经费支出决算情况说明</w:t>
          </w:r>
          <w:r>
            <w:tab/>
          </w:r>
          <w:r>
            <w:fldChar w:fldCharType="begin"/>
          </w:r>
          <w:r>
            <w:instrText xml:space="preserve"> PAGEREF _Toc16759 \h </w:instrText>
          </w:r>
          <w:r>
            <w:fldChar w:fldCharType="separate"/>
          </w:r>
          <w:r>
            <w:t>- 8 -</w:t>
          </w:r>
          <w:r>
            <w:fldChar w:fldCharType="end"/>
          </w:r>
          <w:r>
            <w:fldChar w:fldCharType="end"/>
          </w:r>
        </w:p>
        <w:p w14:paraId="6106B1CD">
          <w:pPr>
            <w:pStyle w:val="10"/>
            <w:tabs>
              <w:tab w:val="right" w:leader="dot" w:pos="8306"/>
              <w:tab w:val="clear" w:pos="8296"/>
            </w:tabs>
          </w:pPr>
          <w:r>
            <w:fldChar w:fldCharType="begin"/>
          </w:r>
          <w:r>
            <w:instrText xml:space="preserve"> HYPERLINK \l _Toc29676 </w:instrText>
          </w:r>
          <w:r>
            <w:fldChar w:fldCharType="separate"/>
          </w:r>
          <w:r>
            <w:rPr>
              <w:rFonts w:hint="eastAsia" w:eastAsia="楷体_GB2312" w:cs="楷体_GB2312"/>
              <w:szCs w:val="32"/>
            </w:rPr>
            <w:t>（一）“三公”经费财政拨款支出决算总体情况说明</w:t>
          </w:r>
          <w:r>
            <w:tab/>
          </w:r>
          <w:r>
            <w:fldChar w:fldCharType="begin"/>
          </w:r>
          <w:r>
            <w:instrText xml:space="preserve"> PAGEREF _Toc29676 \h </w:instrText>
          </w:r>
          <w:r>
            <w:fldChar w:fldCharType="separate"/>
          </w:r>
          <w:r>
            <w:t>- 8 -</w:t>
          </w:r>
          <w:r>
            <w:fldChar w:fldCharType="end"/>
          </w:r>
          <w:r>
            <w:fldChar w:fldCharType="end"/>
          </w:r>
        </w:p>
        <w:p w14:paraId="3EE4BF0E">
          <w:pPr>
            <w:pStyle w:val="10"/>
            <w:tabs>
              <w:tab w:val="right" w:leader="dot" w:pos="8306"/>
              <w:tab w:val="clear" w:pos="8296"/>
            </w:tabs>
          </w:pPr>
          <w:r>
            <w:fldChar w:fldCharType="begin"/>
          </w:r>
          <w:r>
            <w:instrText xml:space="preserve"> HYPERLINK \l _Toc25687 </w:instrText>
          </w:r>
          <w:r>
            <w:fldChar w:fldCharType="separate"/>
          </w:r>
          <w:r>
            <w:rPr>
              <w:rFonts w:hint="eastAsia" w:eastAsia="楷体_GB2312" w:cs="楷体_GB2312"/>
              <w:szCs w:val="32"/>
            </w:rPr>
            <w:t>（二）“三公”经费财政拨款支出决算具体情况说明</w:t>
          </w:r>
          <w:r>
            <w:tab/>
          </w:r>
          <w:r>
            <w:fldChar w:fldCharType="begin"/>
          </w:r>
          <w:r>
            <w:instrText xml:space="preserve"> PAGEREF _Toc25687 \h </w:instrText>
          </w:r>
          <w:r>
            <w:fldChar w:fldCharType="separate"/>
          </w:r>
          <w:r>
            <w:t>- 8 -</w:t>
          </w:r>
          <w:r>
            <w:fldChar w:fldCharType="end"/>
          </w:r>
          <w:r>
            <w:fldChar w:fldCharType="end"/>
          </w:r>
        </w:p>
        <w:p w14:paraId="3B260A57">
          <w:pPr>
            <w:pStyle w:val="16"/>
            <w:tabs>
              <w:tab w:val="right" w:leader="dot" w:pos="8306"/>
              <w:tab w:val="clear" w:pos="8296"/>
            </w:tabs>
          </w:pPr>
          <w:r>
            <w:fldChar w:fldCharType="begin"/>
          </w:r>
          <w:r>
            <w:instrText xml:space="preserve"> HYPERLINK \l _Toc15843 </w:instrText>
          </w:r>
          <w:r>
            <w:fldChar w:fldCharType="separate"/>
          </w:r>
          <w:r>
            <w:rPr>
              <w:rFonts w:hint="eastAsia" w:eastAsia="黑体"/>
              <w:szCs w:val="32"/>
            </w:rPr>
            <w:t>八、</w:t>
          </w:r>
          <w:r>
            <w:rPr>
              <w:rFonts w:hint="eastAsia" w:ascii="Times New Roman" w:hAnsi="Times New Roman" w:eastAsia="黑体"/>
            </w:rPr>
            <w:t>政府性基金预算支出决算情况说明</w:t>
          </w:r>
          <w:r>
            <w:tab/>
          </w:r>
          <w:r>
            <w:fldChar w:fldCharType="begin"/>
          </w:r>
          <w:r>
            <w:instrText xml:space="preserve"> PAGEREF _Toc15843 \h </w:instrText>
          </w:r>
          <w:r>
            <w:fldChar w:fldCharType="separate"/>
          </w:r>
          <w:r>
            <w:t>- 10 -</w:t>
          </w:r>
          <w:r>
            <w:fldChar w:fldCharType="end"/>
          </w:r>
          <w:r>
            <w:fldChar w:fldCharType="end"/>
          </w:r>
        </w:p>
        <w:p w14:paraId="287563DC">
          <w:pPr>
            <w:pStyle w:val="16"/>
            <w:tabs>
              <w:tab w:val="right" w:leader="dot" w:pos="8306"/>
              <w:tab w:val="clear" w:pos="8296"/>
            </w:tabs>
          </w:pPr>
          <w:r>
            <w:fldChar w:fldCharType="begin"/>
          </w:r>
          <w:r>
            <w:instrText xml:space="preserve"> HYPERLINK \l _Toc10816 </w:instrText>
          </w:r>
          <w:r>
            <w:fldChar w:fldCharType="separate"/>
          </w:r>
          <w:r>
            <w:rPr>
              <w:rFonts w:hint="eastAsia" w:ascii="Times New Roman" w:hAnsi="Times New Roman" w:eastAsia="黑体"/>
            </w:rPr>
            <w:t>九、国有资本经营预算支出决算情况说明</w:t>
          </w:r>
          <w:r>
            <w:tab/>
          </w:r>
          <w:r>
            <w:fldChar w:fldCharType="begin"/>
          </w:r>
          <w:r>
            <w:instrText xml:space="preserve"> PAGEREF _Toc10816 \h </w:instrText>
          </w:r>
          <w:r>
            <w:fldChar w:fldCharType="separate"/>
          </w:r>
          <w:r>
            <w:t>- 10 -</w:t>
          </w:r>
          <w:r>
            <w:fldChar w:fldCharType="end"/>
          </w:r>
          <w:r>
            <w:fldChar w:fldCharType="end"/>
          </w:r>
        </w:p>
        <w:p w14:paraId="0B5CD0FA">
          <w:pPr>
            <w:pStyle w:val="16"/>
            <w:tabs>
              <w:tab w:val="right" w:leader="dot" w:pos="8306"/>
              <w:tab w:val="clear" w:pos="8296"/>
            </w:tabs>
          </w:pPr>
          <w:r>
            <w:fldChar w:fldCharType="begin"/>
          </w:r>
          <w:r>
            <w:instrText xml:space="preserve"> HYPERLINK \l _Toc19926 </w:instrText>
          </w:r>
          <w:r>
            <w:fldChar w:fldCharType="separate"/>
          </w:r>
          <w:r>
            <w:rPr>
              <w:rFonts w:hint="eastAsia" w:ascii="Times New Roman" w:hAnsi="Times New Roman" w:eastAsia="黑体"/>
            </w:rPr>
            <w:t>十、其他重要事项的情况说明</w:t>
          </w:r>
          <w:r>
            <w:tab/>
          </w:r>
          <w:r>
            <w:fldChar w:fldCharType="begin"/>
          </w:r>
          <w:r>
            <w:instrText xml:space="preserve"> PAGEREF _Toc19926 \h </w:instrText>
          </w:r>
          <w:r>
            <w:fldChar w:fldCharType="separate"/>
          </w:r>
          <w:r>
            <w:t>- 10 -</w:t>
          </w:r>
          <w:r>
            <w:fldChar w:fldCharType="end"/>
          </w:r>
          <w:r>
            <w:fldChar w:fldCharType="end"/>
          </w:r>
        </w:p>
        <w:p w14:paraId="4DB58480">
          <w:pPr>
            <w:pStyle w:val="10"/>
            <w:tabs>
              <w:tab w:val="right" w:leader="dot" w:pos="8306"/>
              <w:tab w:val="clear" w:pos="8296"/>
            </w:tabs>
          </w:pPr>
          <w:r>
            <w:fldChar w:fldCharType="begin"/>
          </w:r>
          <w:r>
            <w:instrText xml:space="preserve"> HYPERLINK \l _Toc28159 </w:instrText>
          </w:r>
          <w:r>
            <w:fldChar w:fldCharType="separate"/>
          </w:r>
          <w:r>
            <w:rPr>
              <w:rFonts w:hint="eastAsia" w:eastAsia="楷体_GB2312" w:cs="楷体_GB2312"/>
              <w:szCs w:val="32"/>
            </w:rPr>
            <w:t>（一）机关运行经费支出情况</w:t>
          </w:r>
          <w:r>
            <w:tab/>
          </w:r>
          <w:r>
            <w:fldChar w:fldCharType="begin"/>
          </w:r>
          <w:r>
            <w:instrText xml:space="preserve"> PAGEREF _Toc28159 \h </w:instrText>
          </w:r>
          <w:r>
            <w:fldChar w:fldCharType="separate"/>
          </w:r>
          <w:r>
            <w:t>- 10 -</w:t>
          </w:r>
          <w:r>
            <w:fldChar w:fldCharType="end"/>
          </w:r>
          <w:r>
            <w:fldChar w:fldCharType="end"/>
          </w:r>
        </w:p>
        <w:p w14:paraId="1AD88343">
          <w:pPr>
            <w:pStyle w:val="10"/>
            <w:tabs>
              <w:tab w:val="right" w:leader="dot" w:pos="8306"/>
              <w:tab w:val="clear" w:pos="8296"/>
            </w:tabs>
          </w:pPr>
          <w:r>
            <w:fldChar w:fldCharType="begin"/>
          </w:r>
          <w:r>
            <w:instrText xml:space="preserve"> HYPERLINK \l _Toc24052 </w:instrText>
          </w:r>
          <w:r>
            <w:fldChar w:fldCharType="separate"/>
          </w:r>
          <w:r>
            <w:rPr>
              <w:rFonts w:hint="eastAsia" w:eastAsia="楷体_GB2312" w:cs="楷体_GB2312"/>
              <w:szCs w:val="32"/>
            </w:rPr>
            <w:t>（二）政府采购支出情况</w:t>
          </w:r>
          <w:r>
            <w:tab/>
          </w:r>
          <w:r>
            <w:fldChar w:fldCharType="begin"/>
          </w:r>
          <w:r>
            <w:instrText xml:space="preserve"> PAGEREF _Toc24052 \h </w:instrText>
          </w:r>
          <w:r>
            <w:fldChar w:fldCharType="separate"/>
          </w:r>
          <w:r>
            <w:t>- 10 -</w:t>
          </w:r>
          <w:r>
            <w:fldChar w:fldCharType="end"/>
          </w:r>
          <w:r>
            <w:fldChar w:fldCharType="end"/>
          </w:r>
        </w:p>
        <w:p w14:paraId="016F955A">
          <w:pPr>
            <w:pStyle w:val="10"/>
            <w:tabs>
              <w:tab w:val="right" w:leader="dot" w:pos="8306"/>
              <w:tab w:val="clear" w:pos="8296"/>
            </w:tabs>
          </w:pPr>
          <w:r>
            <w:fldChar w:fldCharType="begin"/>
          </w:r>
          <w:r>
            <w:instrText xml:space="preserve"> HYPERLINK \l _Toc2357 </w:instrText>
          </w:r>
          <w:r>
            <w:fldChar w:fldCharType="separate"/>
          </w:r>
          <w:r>
            <w:rPr>
              <w:rFonts w:hint="eastAsia" w:eastAsia="楷体_GB2312" w:cs="楷体_GB2312"/>
              <w:szCs w:val="32"/>
            </w:rPr>
            <w:t>（三）国有资产占有使用情况</w:t>
          </w:r>
          <w:r>
            <w:tab/>
          </w:r>
          <w:r>
            <w:fldChar w:fldCharType="begin"/>
          </w:r>
          <w:r>
            <w:instrText xml:space="preserve"> PAGEREF _Toc2357 \h </w:instrText>
          </w:r>
          <w:r>
            <w:fldChar w:fldCharType="separate"/>
          </w:r>
          <w:r>
            <w:t>- 11 -</w:t>
          </w:r>
          <w:r>
            <w:fldChar w:fldCharType="end"/>
          </w:r>
          <w:r>
            <w:fldChar w:fldCharType="end"/>
          </w:r>
        </w:p>
        <w:p w14:paraId="42F4593E">
          <w:pPr>
            <w:pStyle w:val="10"/>
            <w:tabs>
              <w:tab w:val="right" w:leader="dot" w:pos="8306"/>
              <w:tab w:val="clear" w:pos="8296"/>
            </w:tabs>
          </w:pPr>
          <w:r>
            <w:fldChar w:fldCharType="begin"/>
          </w:r>
          <w:r>
            <w:instrText xml:space="preserve"> HYPERLINK \l _Toc4292 </w:instrText>
          </w:r>
          <w:r>
            <w:fldChar w:fldCharType="separate"/>
          </w:r>
          <w:r>
            <w:rPr>
              <w:rFonts w:hint="eastAsia" w:eastAsia="楷体_GB2312" w:cs="楷体_GB2312"/>
              <w:szCs w:val="32"/>
            </w:rPr>
            <w:t>（四）预算绩效管理情况</w:t>
          </w:r>
          <w:r>
            <w:tab/>
          </w:r>
          <w:r>
            <w:fldChar w:fldCharType="begin"/>
          </w:r>
          <w:r>
            <w:instrText xml:space="preserve"> PAGEREF _Toc4292 \h </w:instrText>
          </w:r>
          <w:r>
            <w:fldChar w:fldCharType="separate"/>
          </w:r>
          <w:r>
            <w:t>- 11 -</w:t>
          </w:r>
          <w:r>
            <w:fldChar w:fldCharType="end"/>
          </w:r>
          <w:r>
            <w:fldChar w:fldCharType="end"/>
          </w:r>
        </w:p>
        <w:p w14:paraId="15CE3E3B">
          <w:pPr>
            <w:pStyle w:val="14"/>
            <w:tabs>
              <w:tab w:val="right" w:leader="dot" w:pos="8306"/>
              <w:tab w:val="clear" w:pos="8296"/>
            </w:tabs>
          </w:pPr>
          <w:r>
            <w:fldChar w:fldCharType="begin"/>
          </w:r>
          <w:r>
            <w:instrText xml:space="preserve"> HYPERLINK \l _Toc11789 </w:instrText>
          </w:r>
          <w:r>
            <w:fldChar w:fldCharType="separate"/>
          </w:r>
          <w:r>
            <w:rPr>
              <w:rFonts w:hint="eastAsia" w:eastAsia="黑体"/>
              <w:szCs w:val="44"/>
            </w:rPr>
            <w:t>第三部分  名词解释</w:t>
          </w:r>
          <w:r>
            <w:tab/>
          </w:r>
          <w:r>
            <w:fldChar w:fldCharType="begin"/>
          </w:r>
          <w:r>
            <w:instrText xml:space="preserve"> PAGEREF _Toc11789 \h </w:instrText>
          </w:r>
          <w:r>
            <w:fldChar w:fldCharType="separate"/>
          </w:r>
          <w:r>
            <w:t>- 12 -</w:t>
          </w:r>
          <w:r>
            <w:fldChar w:fldCharType="end"/>
          </w:r>
          <w:r>
            <w:fldChar w:fldCharType="end"/>
          </w:r>
        </w:p>
        <w:p w14:paraId="5729A912">
          <w:pPr>
            <w:pStyle w:val="16"/>
            <w:tabs>
              <w:tab w:val="right" w:leader="dot" w:pos="8306"/>
              <w:tab w:val="clear" w:pos="8296"/>
            </w:tabs>
          </w:pPr>
          <w:r>
            <w:fldChar w:fldCharType="begin"/>
          </w:r>
          <w:r>
            <w:instrText xml:space="preserve"> HYPERLINK \l _Toc2687 </w:instrText>
          </w:r>
          <w:r>
            <w:fldChar w:fldCharType="separate"/>
          </w:r>
          <w:r>
            <w:rPr>
              <w:rFonts w:hint="eastAsia" w:eastAsia="仿宋_GB2312" w:cs="仿宋_GB2312"/>
              <w:szCs w:val="32"/>
            </w:rPr>
            <w:t>1.财政拨款收入：指单位从同级财政部门取得的财政预算资金。</w:t>
          </w:r>
          <w:r>
            <w:tab/>
          </w:r>
          <w:r>
            <w:fldChar w:fldCharType="begin"/>
          </w:r>
          <w:r>
            <w:instrText xml:space="preserve"> PAGEREF _Toc2687 \h </w:instrText>
          </w:r>
          <w:r>
            <w:fldChar w:fldCharType="separate"/>
          </w:r>
          <w:r>
            <w:t>- 12 -</w:t>
          </w:r>
          <w:r>
            <w:fldChar w:fldCharType="end"/>
          </w:r>
          <w:r>
            <w:fldChar w:fldCharType="end"/>
          </w:r>
        </w:p>
        <w:p w14:paraId="48363EAD">
          <w:pPr>
            <w:pStyle w:val="14"/>
            <w:tabs>
              <w:tab w:val="right" w:leader="dot" w:pos="8306"/>
              <w:tab w:val="clear" w:pos="8296"/>
            </w:tabs>
          </w:pPr>
          <w:r>
            <w:fldChar w:fldCharType="begin"/>
          </w:r>
          <w:r>
            <w:instrText xml:space="preserve"> HYPERLINK \l _Toc10162 </w:instrText>
          </w:r>
          <w:r>
            <w:fldChar w:fldCharType="separate"/>
          </w:r>
          <w:r>
            <w:rPr>
              <w:rFonts w:hint="eastAsia" w:eastAsia="黑体"/>
              <w:szCs w:val="44"/>
            </w:rPr>
            <w:t>第四部分  附件</w:t>
          </w:r>
          <w:r>
            <w:tab/>
          </w:r>
          <w:r>
            <w:fldChar w:fldCharType="begin"/>
          </w:r>
          <w:r>
            <w:instrText xml:space="preserve"> PAGEREF _Toc10162 \h </w:instrText>
          </w:r>
          <w:r>
            <w:fldChar w:fldCharType="separate"/>
          </w:r>
          <w:r>
            <w:t>- 15 -</w:t>
          </w:r>
          <w:r>
            <w:fldChar w:fldCharType="end"/>
          </w:r>
          <w:r>
            <w:fldChar w:fldCharType="end"/>
          </w:r>
        </w:p>
        <w:p w14:paraId="5343BA16">
          <w:pPr>
            <w:pStyle w:val="16"/>
            <w:tabs>
              <w:tab w:val="right" w:leader="dot" w:pos="8306"/>
              <w:tab w:val="clear" w:pos="8296"/>
            </w:tabs>
          </w:pPr>
          <w:r>
            <w:fldChar w:fldCharType="begin"/>
          </w:r>
          <w:r>
            <w:instrText xml:space="preserve"> HYPERLINK \l _Toc2607 </w:instrText>
          </w:r>
          <w:r>
            <w:fldChar w:fldCharType="separate"/>
          </w:r>
          <w:r>
            <w:rPr>
              <w:rFonts w:eastAsia="方正小标宋简体"/>
              <w:bCs/>
              <w:szCs w:val="44"/>
              <w:shd w:val="clear" w:color="auto" w:fill="FFFFFF"/>
            </w:rPr>
            <w:t>理县人民法院部门预算绩效</w:t>
          </w:r>
          <w:r>
            <w:rPr>
              <w:rFonts w:hint="eastAsia" w:eastAsia="方正小标宋简体"/>
              <w:bCs/>
              <w:szCs w:val="44"/>
              <w:shd w:val="clear" w:color="auto" w:fill="FFFFFF"/>
            </w:rPr>
            <w:t>评价</w:t>
          </w:r>
          <w:r>
            <w:rPr>
              <w:rFonts w:eastAsia="方正小标宋简体"/>
              <w:bCs/>
              <w:szCs w:val="44"/>
              <w:shd w:val="clear" w:color="auto" w:fill="FFFFFF"/>
            </w:rPr>
            <w:t>报告</w:t>
          </w:r>
          <w:r>
            <w:tab/>
          </w:r>
          <w:r>
            <w:fldChar w:fldCharType="begin"/>
          </w:r>
          <w:r>
            <w:instrText xml:space="preserve"> PAGEREF _Toc2607 \h </w:instrText>
          </w:r>
          <w:r>
            <w:fldChar w:fldCharType="separate"/>
          </w:r>
          <w:r>
            <w:t>- 15 -</w:t>
          </w:r>
          <w:r>
            <w:fldChar w:fldCharType="end"/>
          </w:r>
          <w:r>
            <w:fldChar w:fldCharType="end"/>
          </w:r>
        </w:p>
        <w:p w14:paraId="7E1021AF">
          <w:pPr>
            <w:pStyle w:val="16"/>
            <w:tabs>
              <w:tab w:val="right" w:leader="dot" w:pos="8306"/>
              <w:tab w:val="clear" w:pos="8296"/>
            </w:tabs>
          </w:pPr>
          <w:r>
            <w:fldChar w:fldCharType="begin"/>
          </w:r>
          <w:r>
            <w:instrText xml:space="preserve"> HYPERLINK \l _Toc32616 </w:instrText>
          </w:r>
          <w:r>
            <w:fldChar w:fldCharType="separate"/>
          </w:r>
          <w:r>
            <w:rPr>
              <w:rFonts w:hint="eastAsia" w:eastAsia="仿宋_GB2312" w:cs="仿宋_GB2312"/>
              <w:szCs w:val="32"/>
              <w:lang w:val="zh-CN"/>
            </w:rPr>
            <w:t>一、</w:t>
          </w:r>
          <w:r>
            <w:rPr>
              <w:rFonts w:eastAsia="仿宋_GB2312" w:cs="仿宋_GB2312"/>
              <w:szCs w:val="32"/>
              <w:lang w:val="zh-CN"/>
            </w:rPr>
            <w:t>部门（单位）基本情况</w:t>
          </w:r>
          <w:r>
            <w:tab/>
          </w:r>
          <w:r>
            <w:fldChar w:fldCharType="begin"/>
          </w:r>
          <w:r>
            <w:instrText xml:space="preserve"> PAGEREF _Toc32616 \h </w:instrText>
          </w:r>
          <w:r>
            <w:fldChar w:fldCharType="separate"/>
          </w:r>
          <w:r>
            <w:t>- 15 -</w:t>
          </w:r>
          <w:r>
            <w:fldChar w:fldCharType="end"/>
          </w:r>
          <w:r>
            <w:fldChar w:fldCharType="end"/>
          </w:r>
        </w:p>
        <w:p w14:paraId="406F3FAE">
          <w:pPr>
            <w:pStyle w:val="10"/>
            <w:tabs>
              <w:tab w:val="right" w:leader="dot" w:pos="8306"/>
              <w:tab w:val="clear" w:pos="8296"/>
            </w:tabs>
          </w:pPr>
          <w:r>
            <w:fldChar w:fldCharType="begin"/>
          </w:r>
          <w:r>
            <w:instrText xml:space="preserve"> HYPERLINK \l _Toc10467 </w:instrText>
          </w:r>
          <w:r>
            <w:fldChar w:fldCharType="separate"/>
          </w:r>
          <w:r>
            <w:rPr>
              <w:rFonts w:hint="eastAsia" w:eastAsia="仿宋_GB2312" w:cs="仿宋_GB2312"/>
              <w:szCs w:val="32"/>
              <w:lang w:val="zh-CN"/>
            </w:rPr>
            <w:t>（一）</w:t>
          </w:r>
          <w:r>
            <w:rPr>
              <w:rFonts w:eastAsia="仿宋_GB2312" w:cs="仿宋_GB2312"/>
              <w:szCs w:val="32"/>
              <w:lang w:val="zh-CN"/>
            </w:rPr>
            <w:t>机构组成</w:t>
          </w:r>
          <w:r>
            <w:tab/>
          </w:r>
          <w:r>
            <w:fldChar w:fldCharType="begin"/>
          </w:r>
          <w:r>
            <w:instrText xml:space="preserve"> PAGEREF _Toc10467 \h </w:instrText>
          </w:r>
          <w:r>
            <w:fldChar w:fldCharType="separate"/>
          </w:r>
          <w:r>
            <w:t>- 15 -</w:t>
          </w:r>
          <w:r>
            <w:fldChar w:fldCharType="end"/>
          </w:r>
          <w:r>
            <w:fldChar w:fldCharType="end"/>
          </w:r>
        </w:p>
        <w:p w14:paraId="6FA261E8">
          <w:pPr>
            <w:pStyle w:val="10"/>
            <w:tabs>
              <w:tab w:val="right" w:leader="dot" w:pos="8306"/>
              <w:tab w:val="clear" w:pos="8296"/>
            </w:tabs>
          </w:pPr>
          <w:r>
            <w:fldChar w:fldCharType="begin"/>
          </w:r>
          <w:r>
            <w:instrText xml:space="preserve"> HYPERLINK \l _Toc13168 </w:instrText>
          </w:r>
          <w:r>
            <w:fldChar w:fldCharType="separate"/>
          </w:r>
          <w:r>
            <w:rPr>
              <w:rFonts w:hint="eastAsia" w:eastAsia="仿宋_GB2312" w:cs="仿宋_GB2312"/>
              <w:szCs w:val="32"/>
              <w:lang w:val="zh-CN"/>
            </w:rPr>
            <w:t>（</w:t>
          </w:r>
          <w:r>
            <w:rPr>
              <w:rFonts w:hint="eastAsia" w:eastAsia="仿宋_GB2312" w:cs="仿宋_GB2312"/>
              <w:szCs w:val="32"/>
            </w:rPr>
            <w:t>二）</w:t>
          </w:r>
          <w:r>
            <w:rPr>
              <w:rFonts w:eastAsia="仿宋_GB2312" w:cs="仿宋_GB2312"/>
              <w:szCs w:val="32"/>
              <w:lang w:val="zh-CN"/>
            </w:rPr>
            <w:t>机构职能</w:t>
          </w:r>
          <w:r>
            <w:tab/>
          </w:r>
          <w:r>
            <w:fldChar w:fldCharType="begin"/>
          </w:r>
          <w:r>
            <w:instrText xml:space="preserve"> PAGEREF _Toc13168 \h </w:instrText>
          </w:r>
          <w:r>
            <w:fldChar w:fldCharType="separate"/>
          </w:r>
          <w:r>
            <w:t>- 15 -</w:t>
          </w:r>
          <w:r>
            <w:fldChar w:fldCharType="end"/>
          </w:r>
          <w:r>
            <w:fldChar w:fldCharType="end"/>
          </w:r>
        </w:p>
        <w:p w14:paraId="0C1B5A52">
          <w:pPr>
            <w:pStyle w:val="10"/>
            <w:tabs>
              <w:tab w:val="right" w:leader="dot" w:pos="8306"/>
              <w:tab w:val="clear" w:pos="8296"/>
            </w:tabs>
          </w:pPr>
          <w:r>
            <w:fldChar w:fldCharType="begin"/>
          </w:r>
          <w:r>
            <w:instrText xml:space="preserve"> HYPERLINK \l _Toc22396 </w:instrText>
          </w:r>
          <w:r>
            <w:fldChar w:fldCharType="separate"/>
          </w:r>
          <w:r>
            <w:rPr>
              <w:rFonts w:eastAsia="仿宋_GB2312" w:cs="仿宋_GB2312"/>
              <w:szCs w:val="32"/>
              <w:lang w:val="zh-CN"/>
            </w:rPr>
            <w:t>（</w:t>
          </w:r>
          <w:r>
            <w:rPr>
              <w:rFonts w:hint="eastAsia" w:eastAsia="仿宋_GB2312" w:cs="仿宋_GB2312"/>
              <w:szCs w:val="32"/>
              <w:lang w:val="zh-CN"/>
            </w:rPr>
            <w:t>三</w:t>
          </w:r>
          <w:r>
            <w:rPr>
              <w:rFonts w:eastAsia="仿宋_GB2312" w:cs="仿宋_GB2312"/>
              <w:szCs w:val="32"/>
              <w:lang w:val="zh-CN"/>
            </w:rPr>
            <w:t>）人员概况</w:t>
          </w:r>
          <w:r>
            <w:tab/>
          </w:r>
          <w:r>
            <w:fldChar w:fldCharType="begin"/>
          </w:r>
          <w:r>
            <w:instrText xml:space="preserve"> PAGEREF _Toc22396 \h </w:instrText>
          </w:r>
          <w:r>
            <w:fldChar w:fldCharType="separate"/>
          </w:r>
          <w:r>
            <w:t>- 16 -</w:t>
          </w:r>
          <w:r>
            <w:fldChar w:fldCharType="end"/>
          </w:r>
          <w:r>
            <w:fldChar w:fldCharType="end"/>
          </w:r>
        </w:p>
        <w:p w14:paraId="266B8786">
          <w:pPr>
            <w:pStyle w:val="16"/>
            <w:tabs>
              <w:tab w:val="right" w:leader="dot" w:pos="8306"/>
              <w:tab w:val="clear" w:pos="8296"/>
            </w:tabs>
          </w:pPr>
          <w:r>
            <w:fldChar w:fldCharType="begin"/>
          </w:r>
          <w:r>
            <w:instrText xml:space="preserve"> HYPERLINK \l _Toc22058 </w:instrText>
          </w:r>
          <w:r>
            <w:fldChar w:fldCharType="separate"/>
          </w:r>
          <w:r>
            <w:rPr>
              <w:rFonts w:eastAsia="仿宋_GB2312" w:cs="仿宋_GB2312"/>
              <w:szCs w:val="32"/>
            </w:rPr>
            <w:t>二、部门资金收支情况</w:t>
          </w:r>
          <w:r>
            <w:tab/>
          </w:r>
          <w:r>
            <w:fldChar w:fldCharType="begin"/>
          </w:r>
          <w:r>
            <w:instrText xml:space="preserve"> PAGEREF _Toc22058 \h </w:instrText>
          </w:r>
          <w:r>
            <w:fldChar w:fldCharType="separate"/>
          </w:r>
          <w:r>
            <w:t>- 16 -</w:t>
          </w:r>
          <w:r>
            <w:fldChar w:fldCharType="end"/>
          </w:r>
          <w:r>
            <w:fldChar w:fldCharType="end"/>
          </w:r>
        </w:p>
        <w:p w14:paraId="47640A7A">
          <w:pPr>
            <w:pStyle w:val="10"/>
            <w:tabs>
              <w:tab w:val="right" w:leader="dot" w:pos="8306"/>
              <w:tab w:val="clear" w:pos="8296"/>
            </w:tabs>
          </w:pPr>
          <w:r>
            <w:fldChar w:fldCharType="begin"/>
          </w:r>
          <w:r>
            <w:instrText xml:space="preserve"> HYPERLINK \l _Toc14300 </w:instrText>
          </w:r>
          <w:r>
            <w:fldChar w:fldCharType="separate"/>
          </w:r>
          <w:r>
            <w:rPr>
              <w:rFonts w:eastAsia="仿宋_GB2312" w:cs="仿宋_GB2312"/>
              <w:szCs w:val="32"/>
              <w:lang w:val="zh-CN"/>
            </w:rPr>
            <w:t>（一）</w:t>
          </w:r>
          <w:r>
            <w:rPr>
              <w:rFonts w:hint="eastAsia" w:eastAsia="仿宋_GB2312" w:cs="仿宋_GB2312"/>
              <w:szCs w:val="32"/>
              <w:lang w:val="zh-CN"/>
            </w:rPr>
            <w:t>收入情况</w:t>
          </w:r>
          <w:r>
            <w:tab/>
          </w:r>
          <w:r>
            <w:fldChar w:fldCharType="begin"/>
          </w:r>
          <w:r>
            <w:instrText xml:space="preserve"> PAGEREF _Toc14300 \h </w:instrText>
          </w:r>
          <w:r>
            <w:fldChar w:fldCharType="separate"/>
          </w:r>
          <w:r>
            <w:t>- 16 -</w:t>
          </w:r>
          <w:r>
            <w:fldChar w:fldCharType="end"/>
          </w:r>
          <w:r>
            <w:fldChar w:fldCharType="end"/>
          </w:r>
        </w:p>
        <w:p w14:paraId="6F888E26">
          <w:pPr>
            <w:pStyle w:val="10"/>
            <w:tabs>
              <w:tab w:val="right" w:leader="dot" w:pos="8306"/>
              <w:tab w:val="clear" w:pos="8296"/>
            </w:tabs>
          </w:pPr>
          <w:r>
            <w:fldChar w:fldCharType="begin"/>
          </w:r>
          <w:r>
            <w:instrText xml:space="preserve"> HYPERLINK \l _Toc24326 </w:instrText>
          </w:r>
          <w:r>
            <w:fldChar w:fldCharType="separate"/>
          </w:r>
          <w:r>
            <w:rPr>
              <w:rFonts w:eastAsia="仿宋_GB2312" w:cs="仿宋_GB2312"/>
              <w:szCs w:val="32"/>
              <w:lang w:val="zh-CN"/>
            </w:rPr>
            <w:t>（</w:t>
          </w:r>
          <w:r>
            <w:rPr>
              <w:rFonts w:hint="eastAsia" w:eastAsia="仿宋_GB2312" w:cs="仿宋_GB2312"/>
              <w:szCs w:val="32"/>
              <w:lang w:val="zh-CN"/>
            </w:rPr>
            <w:t>二</w:t>
          </w:r>
          <w:r>
            <w:rPr>
              <w:rFonts w:eastAsia="仿宋_GB2312" w:cs="仿宋_GB2312"/>
              <w:szCs w:val="32"/>
              <w:lang w:val="zh-CN"/>
            </w:rPr>
            <w:t>）</w:t>
          </w:r>
          <w:r>
            <w:rPr>
              <w:rFonts w:hint="eastAsia" w:eastAsia="仿宋_GB2312" w:cs="仿宋_GB2312"/>
              <w:szCs w:val="32"/>
              <w:lang w:val="zh-CN"/>
            </w:rPr>
            <w:t>支出情况</w:t>
          </w:r>
          <w:r>
            <w:tab/>
          </w:r>
          <w:r>
            <w:fldChar w:fldCharType="begin"/>
          </w:r>
          <w:r>
            <w:instrText xml:space="preserve"> PAGEREF _Toc24326 \h </w:instrText>
          </w:r>
          <w:r>
            <w:fldChar w:fldCharType="separate"/>
          </w:r>
          <w:r>
            <w:t>- 17 -</w:t>
          </w:r>
          <w:r>
            <w:fldChar w:fldCharType="end"/>
          </w:r>
          <w:r>
            <w:fldChar w:fldCharType="end"/>
          </w:r>
        </w:p>
        <w:p w14:paraId="61434120">
          <w:pPr>
            <w:pStyle w:val="10"/>
            <w:tabs>
              <w:tab w:val="right" w:leader="dot" w:pos="8306"/>
              <w:tab w:val="clear" w:pos="8296"/>
            </w:tabs>
          </w:pPr>
          <w:r>
            <w:fldChar w:fldCharType="begin"/>
          </w:r>
          <w:r>
            <w:instrText xml:space="preserve"> HYPERLINK \l _Toc5238 </w:instrText>
          </w:r>
          <w:r>
            <w:fldChar w:fldCharType="separate"/>
          </w:r>
          <w:r>
            <w:rPr>
              <w:rFonts w:eastAsia="仿宋_GB2312" w:cs="仿宋_GB2312"/>
              <w:szCs w:val="32"/>
              <w:lang w:val="zh-CN"/>
            </w:rPr>
            <w:t>（</w:t>
          </w:r>
          <w:r>
            <w:rPr>
              <w:rFonts w:hint="eastAsia" w:eastAsia="仿宋_GB2312" w:cs="仿宋_GB2312"/>
              <w:szCs w:val="32"/>
              <w:lang w:val="zh-CN"/>
            </w:rPr>
            <w:t>三</w:t>
          </w:r>
          <w:r>
            <w:rPr>
              <w:rFonts w:eastAsia="仿宋_GB2312" w:cs="仿宋_GB2312"/>
              <w:szCs w:val="32"/>
              <w:lang w:val="zh-CN"/>
            </w:rPr>
            <w:t>）</w:t>
          </w:r>
          <w:r>
            <w:rPr>
              <w:rFonts w:eastAsia="仿宋_GB2312" w:cs="仿宋_GB2312"/>
              <w:szCs w:val="32"/>
            </w:rPr>
            <w:t>结余分配和结转结余情况</w:t>
          </w:r>
          <w:r>
            <w:tab/>
          </w:r>
          <w:r>
            <w:fldChar w:fldCharType="begin"/>
          </w:r>
          <w:r>
            <w:instrText xml:space="preserve"> PAGEREF _Toc5238 \h </w:instrText>
          </w:r>
          <w:r>
            <w:fldChar w:fldCharType="separate"/>
          </w:r>
          <w:r>
            <w:t>- 17 -</w:t>
          </w:r>
          <w:r>
            <w:fldChar w:fldCharType="end"/>
          </w:r>
          <w:r>
            <w:fldChar w:fldCharType="end"/>
          </w:r>
        </w:p>
        <w:p w14:paraId="7D53B9C7">
          <w:pPr>
            <w:pStyle w:val="16"/>
            <w:tabs>
              <w:tab w:val="right" w:leader="dot" w:pos="8306"/>
              <w:tab w:val="clear" w:pos="8296"/>
            </w:tabs>
          </w:pPr>
          <w:r>
            <w:fldChar w:fldCharType="begin"/>
          </w:r>
          <w:r>
            <w:instrText xml:space="preserve"> HYPERLINK \l _Toc1097 </w:instrText>
          </w:r>
          <w:r>
            <w:fldChar w:fldCharType="separate"/>
          </w:r>
          <w:r>
            <w:rPr>
              <w:rFonts w:eastAsia="仿宋_GB2312" w:cs="仿宋_GB2312"/>
              <w:szCs w:val="32"/>
            </w:rPr>
            <w:t>三、部门预算绩效分析</w:t>
          </w:r>
          <w:r>
            <w:tab/>
          </w:r>
          <w:r>
            <w:fldChar w:fldCharType="begin"/>
          </w:r>
          <w:r>
            <w:instrText xml:space="preserve"> PAGEREF _Toc1097 \h </w:instrText>
          </w:r>
          <w:r>
            <w:fldChar w:fldCharType="separate"/>
          </w:r>
          <w:r>
            <w:t>- 17 -</w:t>
          </w:r>
          <w:r>
            <w:fldChar w:fldCharType="end"/>
          </w:r>
          <w:r>
            <w:fldChar w:fldCharType="end"/>
          </w:r>
        </w:p>
        <w:p w14:paraId="06DAD84D">
          <w:pPr>
            <w:pStyle w:val="10"/>
            <w:tabs>
              <w:tab w:val="right" w:leader="dot" w:pos="8306"/>
              <w:tab w:val="clear" w:pos="8296"/>
            </w:tabs>
          </w:pPr>
          <w:r>
            <w:fldChar w:fldCharType="begin"/>
          </w:r>
          <w:r>
            <w:instrText xml:space="preserve"> HYPERLINK \l _Toc4508 </w:instrText>
          </w:r>
          <w:r>
            <w:fldChar w:fldCharType="separate"/>
          </w:r>
          <w:r>
            <w:rPr>
              <w:rFonts w:eastAsia="仿宋_GB2312" w:cs="仿宋_GB2312"/>
              <w:szCs w:val="32"/>
              <w:lang w:val="zh-CN"/>
            </w:rPr>
            <w:t>（一）</w:t>
          </w:r>
          <w:r>
            <w:rPr>
              <w:rFonts w:hint="eastAsia" w:eastAsia="仿宋_GB2312" w:cs="仿宋_GB2312"/>
              <w:szCs w:val="32"/>
              <w:lang w:val="zh-CN"/>
            </w:rPr>
            <w:t>部门预算</w:t>
          </w:r>
          <w:r>
            <w:rPr>
              <w:rFonts w:eastAsia="仿宋_GB2312" w:cs="仿宋_GB2312"/>
              <w:szCs w:val="32"/>
              <w:lang w:val="zh-CN"/>
            </w:rPr>
            <w:t>总体绩效分析</w:t>
          </w:r>
          <w:r>
            <w:tab/>
          </w:r>
          <w:r>
            <w:fldChar w:fldCharType="begin"/>
          </w:r>
          <w:r>
            <w:instrText xml:space="preserve"> PAGEREF _Toc4508 \h </w:instrText>
          </w:r>
          <w:r>
            <w:fldChar w:fldCharType="separate"/>
          </w:r>
          <w:r>
            <w:t>- 17 -</w:t>
          </w:r>
          <w:r>
            <w:fldChar w:fldCharType="end"/>
          </w:r>
          <w:r>
            <w:fldChar w:fldCharType="end"/>
          </w:r>
        </w:p>
        <w:p w14:paraId="630CBFE2">
          <w:pPr>
            <w:pStyle w:val="10"/>
            <w:tabs>
              <w:tab w:val="right" w:leader="dot" w:pos="8306"/>
              <w:tab w:val="clear" w:pos="8296"/>
            </w:tabs>
          </w:pPr>
          <w:r>
            <w:fldChar w:fldCharType="begin"/>
          </w:r>
          <w:r>
            <w:instrText xml:space="preserve"> HYPERLINK \l _Toc27568 </w:instrText>
          </w:r>
          <w:r>
            <w:fldChar w:fldCharType="separate"/>
          </w:r>
          <w:r>
            <w:rPr>
              <w:rFonts w:eastAsia="仿宋_GB2312" w:cs="仿宋_GB2312"/>
              <w:szCs w:val="32"/>
              <w:lang w:val="zh-CN"/>
            </w:rPr>
            <w:t>（二）部门预算项目绩效分析</w:t>
          </w:r>
          <w:r>
            <w:tab/>
          </w:r>
          <w:r>
            <w:fldChar w:fldCharType="begin"/>
          </w:r>
          <w:r>
            <w:instrText xml:space="preserve"> PAGEREF _Toc27568 \h </w:instrText>
          </w:r>
          <w:r>
            <w:fldChar w:fldCharType="separate"/>
          </w:r>
          <w:r>
            <w:t>- 24 -</w:t>
          </w:r>
          <w:r>
            <w:fldChar w:fldCharType="end"/>
          </w:r>
          <w:r>
            <w:fldChar w:fldCharType="end"/>
          </w:r>
        </w:p>
        <w:p w14:paraId="3A14D42D">
          <w:pPr>
            <w:pStyle w:val="10"/>
            <w:tabs>
              <w:tab w:val="right" w:leader="dot" w:pos="8306"/>
              <w:tab w:val="clear" w:pos="8296"/>
            </w:tabs>
          </w:pPr>
          <w:r>
            <w:fldChar w:fldCharType="begin"/>
          </w:r>
          <w:r>
            <w:instrText xml:space="preserve"> HYPERLINK \l _Toc19963 </w:instrText>
          </w:r>
          <w:r>
            <w:fldChar w:fldCharType="separate"/>
          </w:r>
          <w:r>
            <w:rPr>
              <w:rFonts w:eastAsia="仿宋_GB2312" w:cs="仿宋_GB2312"/>
              <w:szCs w:val="32"/>
              <w:lang w:val="zh-CN"/>
            </w:rPr>
            <w:t>（</w:t>
          </w:r>
          <w:r>
            <w:rPr>
              <w:rFonts w:hint="eastAsia" w:eastAsia="仿宋_GB2312" w:cs="仿宋_GB2312"/>
              <w:szCs w:val="32"/>
              <w:lang w:val="zh-CN"/>
            </w:rPr>
            <w:t>三</w:t>
          </w:r>
          <w:r>
            <w:rPr>
              <w:rFonts w:eastAsia="仿宋_GB2312" w:cs="仿宋_GB2312"/>
              <w:szCs w:val="32"/>
              <w:lang w:val="zh-CN"/>
            </w:rPr>
            <w:t>）重点领域绩效分析。</w:t>
          </w:r>
          <w:r>
            <w:tab/>
          </w:r>
          <w:r>
            <w:fldChar w:fldCharType="begin"/>
          </w:r>
          <w:r>
            <w:instrText xml:space="preserve"> PAGEREF _Toc19963 \h </w:instrText>
          </w:r>
          <w:r>
            <w:fldChar w:fldCharType="separate"/>
          </w:r>
          <w:r>
            <w:t>- 26 -</w:t>
          </w:r>
          <w:r>
            <w:fldChar w:fldCharType="end"/>
          </w:r>
          <w:r>
            <w:fldChar w:fldCharType="end"/>
          </w:r>
        </w:p>
        <w:p w14:paraId="76B70E20">
          <w:pPr>
            <w:pStyle w:val="10"/>
            <w:tabs>
              <w:tab w:val="right" w:leader="dot" w:pos="8306"/>
              <w:tab w:val="clear" w:pos="8296"/>
            </w:tabs>
          </w:pPr>
          <w:r>
            <w:fldChar w:fldCharType="begin"/>
          </w:r>
          <w:r>
            <w:instrText xml:space="preserve"> HYPERLINK \l _Toc12662 </w:instrText>
          </w:r>
          <w:r>
            <w:fldChar w:fldCharType="separate"/>
          </w:r>
          <w:r>
            <w:rPr>
              <w:rFonts w:eastAsia="仿宋_GB2312" w:cs="仿宋_GB2312"/>
              <w:szCs w:val="32"/>
              <w:lang w:val="zh-CN"/>
            </w:rPr>
            <w:t>（四）绩效结果应用情况。</w:t>
          </w:r>
          <w:r>
            <w:tab/>
          </w:r>
          <w:r>
            <w:fldChar w:fldCharType="begin"/>
          </w:r>
          <w:r>
            <w:instrText xml:space="preserve"> PAGEREF _Toc12662 \h </w:instrText>
          </w:r>
          <w:r>
            <w:fldChar w:fldCharType="separate"/>
          </w:r>
          <w:r>
            <w:t>- 26 -</w:t>
          </w:r>
          <w:r>
            <w:fldChar w:fldCharType="end"/>
          </w:r>
          <w:r>
            <w:fldChar w:fldCharType="end"/>
          </w:r>
        </w:p>
        <w:p w14:paraId="545DE984">
          <w:pPr>
            <w:pStyle w:val="16"/>
            <w:tabs>
              <w:tab w:val="right" w:leader="dot" w:pos="8306"/>
              <w:tab w:val="clear" w:pos="8296"/>
            </w:tabs>
          </w:pPr>
          <w:r>
            <w:fldChar w:fldCharType="begin"/>
          </w:r>
          <w:r>
            <w:instrText xml:space="preserve"> HYPERLINK \l _Toc5150 </w:instrText>
          </w:r>
          <w:r>
            <w:fldChar w:fldCharType="separate"/>
          </w:r>
          <w:r>
            <w:rPr>
              <w:rFonts w:eastAsia="仿宋_GB2312" w:cs="仿宋_GB2312"/>
              <w:szCs w:val="32"/>
            </w:rPr>
            <w:t>四、评价结论及建议</w:t>
          </w:r>
          <w:r>
            <w:tab/>
          </w:r>
          <w:r>
            <w:fldChar w:fldCharType="begin"/>
          </w:r>
          <w:r>
            <w:instrText xml:space="preserve"> PAGEREF _Toc5150 \h </w:instrText>
          </w:r>
          <w:r>
            <w:fldChar w:fldCharType="separate"/>
          </w:r>
          <w:r>
            <w:t>- 27 -</w:t>
          </w:r>
          <w:r>
            <w:fldChar w:fldCharType="end"/>
          </w:r>
          <w:r>
            <w:fldChar w:fldCharType="end"/>
          </w:r>
        </w:p>
        <w:p w14:paraId="419F1D23">
          <w:pPr>
            <w:pStyle w:val="10"/>
            <w:tabs>
              <w:tab w:val="right" w:leader="dot" w:pos="8306"/>
              <w:tab w:val="clear" w:pos="8296"/>
            </w:tabs>
          </w:pPr>
          <w:r>
            <w:fldChar w:fldCharType="begin"/>
          </w:r>
          <w:r>
            <w:instrText xml:space="preserve"> HYPERLINK \l _Toc78 </w:instrText>
          </w:r>
          <w:r>
            <w:fldChar w:fldCharType="separate"/>
          </w:r>
          <w:r>
            <w:rPr>
              <w:rFonts w:eastAsia="仿宋_GB2312" w:cs="仿宋_GB2312"/>
              <w:szCs w:val="32"/>
              <w:lang w:val="zh-CN"/>
            </w:rPr>
            <w:t>（一）评价结论。</w:t>
          </w:r>
          <w:r>
            <w:tab/>
          </w:r>
          <w:r>
            <w:fldChar w:fldCharType="begin"/>
          </w:r>
          <w:r>
            <w:instrText xml:space="preserve"> PAGEREF _Toc78 \h </w:instrText>
          </w:r>
          <w:r>
            <w:fldChar w:fldCharType="separate"/>
          </w:r>
          <w:r>
            <w:t>- 27 -</w:t>
          </w:r>
          <w:r>
            <w:fldChar w:fldCharType="end"/>
          </w:r>
          <w:r>
            <w:fldChar w:fldCharType="end"/>
          </w:r>
        </w:p>
        <w:p w14:paraId="2514B685">
          <w:pPr>
            <w:pStyle w:val="10"/>
            <w:tabs>
              <w:tab w:val="right" w:leader="dot" w:pos="8306"/>
              <w:tab w:val="clear" w:pos="8296"/>
            </w:tabs>
          </w:pPr>
          <w:r>
            <w:fldChar w:fldCharType="begin"/>
          </w:r>
          <w:r>
            <w:instrText xml:space="preserve"> HYPERLINK \l _Toc3317 </w:instrText>
          </w:r>
          <w:r>
            <w:fldChar w:fldCharType="separate"/>
          </w:r>
          <w:r>
            <w:rPr>
              <w:rFonts w:eastAsia="仿宋_GB2312" w:cs="仿宋_GB2312"/>
              <w:szCs w:val="32"/>
              <w:lang w:val="zh-CN"/>
            </w:rPr>
            <w:t>（二）存在问题。</w:t>
          </w:r>
          <w:r>
            <w:tab/>
          </w:r>
          <w:r>
            <w:fldChar w:fldCharType="begin"/>
          </w:r>
          <w:r>
            <w:instrText xml:space="preserve"> PAGEREF _Toc3317 \h </w:instrText>
          </w:r>
          <w:r>
            <w:fldChar w:fldCharType="separate"/>
          </w:r>
          <w:r>
            <w:t>- 27 -</w:t>
          </w:r>
          <w:r>
            <w:fldChar w:fldCharType="end"/>
          </w:r>
          <w:r>
            <w:fldChar w:fldCharType="end"/>
          </w:r>
        </w:p>
        <w:p w14:paraId="751323B5">
          <w:pPr>
            <w:pStyle w:val="10"/>
            <w:tabs>
              <w:tab w:val="right" w:leader="dot" w:pos="8306"/>
              <w:tab w:val="clear" w:pos="8296"/>
            </w:tabs>
          </w:pPr>
          <w:r>
            <w:fldChar w:fldCharType="begin"/>
          </w:r>
          <w:r>
            <w:instrText xml:space="preserve"> HYPERLINK \l _Toc2629 </w:instrText>
          </w:r>
          <w:r>
            <w:fldChar w:fldCharType="separate"/>
          </w:r>
          <w:r>
            <w:rPr>
              <w:rFonts w:eastAsia="仿宋_GB2312" w:cs="仿宋_GB2312"/>
              <w:szCs w:val="32"/>
              <w:lang w:val="zh-CN"/>
            </w:rPr>
            <w:t>（三）改进建议。</w:t>
          </w:r>
          <w:r>
            <w:tab/>
          </w:r>
          <w:r>
            <w:fldChar w:fldCharType="begin"/>
          </w:r>
          <w:r>
            <w:instrText xml:space="preserve"> PAGEREF _Toc2629 \h </w:instrText>
          </w:r>
          <w:r>
            <w:fldChar w:fldCharType="separate"/>
          </w:r>
          <w:r>
            <w:t>- 28 -</w:t>
          </w:r>
          <w:r>
            <w:fldChar w:fldCharType="end"/>
          </w:r>
          <w:r>
            <w:fldChar w:fldCharType="end"/>
          </w:r>
        </w:p>
        <w:p w14:paraId="4DDDBF0A">
          <w:pPr>
            <w:rPr>
              <w:rFonts w:ascii="Times New Roman" w:hAnsi="Times New Roman" w:eastAsia="宋体" w:cs="Times New Roman"/>
              <w:kern w:val="2"/>
              <w:sz w:val="21"/>
              <w:szCs w:val="24"/>
              <w:lang w:val="en-US" w:eastAsia="zh-CN" w:bidi="ar-SA"/>
            </w:rPr>
          </w:pPr>
          <w:r>
            <w:fldChar w:fldCharType="end"/>
          </w:r>
        </w:p>
      </w:sdtContent>
    </w:sdt>
    <w:p w14:paraId="58CDAE25">
      <w:pPr>
        <w:rPr>
          <w:rFonts w:ascii="Times New Roman" w:hAnsi="Times New Roman" w:eastAsia="宋体" w:cs="Times New Roman"/>
          <w:kern w:val="2"/>
          <w:sz w:val="21"/>
          <w:szCs w:val="24"/>
          <w:lang w:val="en-US" w:eastAsia="zh-CN" w:bidi="ar-SA"/>
        </w:rPr>
      </w:pPr>
    </w:p>
    <w:p w14:paraId="624A8EBC"/>
    <w:p w14:paraId="08E1C5DD"/>
    <w:p w14:paraId="29A83EB9"/>
    <w:p w14:paraId="00E05413"/>
    <w:p w14:paraId="6EF733C3"/>
    <w:p w14:paraId="4774614E"/>
    <w:p w14:paraId="2CB79F3A"/>
    <w:p w14:paraId="5BE196EB"/>
    <w:p w14:paraId="1A23004E"/>
    <w:p w14:paraId="2FC16DA8"/>
    <w:p w14:paraId="4DC4AFE2"/>
    <w:p w14:paraId="0C80459D"/>
    <w:p w14:paraId="68E2ADA0">
      <w:pPr>
        <w:pStyle w:val="16"/>
        <w:adjustRightInd w:val="0"/>
        <w:snapToGrid w:val="0"/>
        <w:spacing w:line="560" w:lineRule="exact"/>
        <w:jc w:val="left"/>
        <w:rPr>
          <w:rFonts w:eastAsia="仿宋_GB2312" w:cs="仿宋_GB2312"/>
          <w:sz w:val="32"/>
          <w:szCs w:val="32"/>
        </w:rPr>
      </w:pPr>
    </w:p>
    <w:p w14:paraId="3AE2FD15">
      <w:pPr>
        <w:keepNext/>
        <w:keepLines/>
        <w:widowControl w:val="0"/>
        <w:spacing w:before="340" w:after="330" w:line="578" w:lineRule="auto"/>
        <w:jc w:val="center"/>
        <w:outlineLvl w:val="9"/>
        <w:rPr>
          <w:rFonts w:hint="eastAsia" w:ascii="Times New Roman" w:hAnsi="Times New Roman" w:eastAsia="方正小标宋简体" w:cs="方正小标宋简体"/>
          <w:b w:val="0"/>
          <w:bCs/>
          <w:kern w:val="44"/>
          <w:sz w:val="44"/>
          <w:szCs w:val="44"/>
          <w:lang w:val="en-US" w:eastAsia="zh-CN" w:bidi="ar-SA"/>
        </w:rPr>
        <w:sectPr>
          <w:footerReference r:id="rId9" w:type="first"/>
          <w:headerReference r:id="rId7" w:type="default"/>
          <w:footerReference r:id="rId8" w:type="default"/>
          <w:pgSz w:w="11906" w:h="16838"/>
          <w:pgMar w:top="1440" w:right="1800" w:bottom="1440" w:left="1800" w:header="851" w:footer="992" w:gutter="0"/>
          <w:pgNumType w:fmt="numberInDash" w:start="1"/>
          <w:cols w:space="425" w:num="1"/>
          <w:docGrid w:type="lines" w:linePitch="312" w:charSpace="0"/>
        </w:sectPr>
      </w:pPr>
      <w:bookmarkStart w:id="12" w:name="_Toc15396599"/>
      <w:bookmarkStart w:id="13" w:name="_Toc15377196"/>
    </w:p>
    <w:p w14:paraId="29178E5A">
      <w:pPr>
        <w:pStyle w:val="2"/>
        <w:jc w:val="center"/>
        <w:rPr>
          <w:rStyle w:val="31"/>
          <w:rFonts w:eastAsia="方正小标宋简体" w:cs="方正小标宋简体"/>
          <w:b/>
          <w:bCs w:val="0"/>
        </w:rPr>
      </w:pPr>
      <w:bookmarkStart w:id="14" w:name="_Toc8749"/>
      <w:r>
        <w:rPr>
          <w:rFonts w:hint="eastAsia" w:eastAsia="方正小标宋简体" w:cs="方正小标宋简体"/>
          <w:b w:val="0"/>
        </w:rPr>
        <w:t xml:space="preserve">第一部分  </w:t>
      </w:r>
      <w:r>
        <w:rPr>
          <w:rStyle w:val="31"/>
          <w:rFonts w:hint="eastAsia" w:eastAsia="方正小标宋简体" w:cs="方正小标宋简体"/>
          <w:b w:val="0"/>
          <w:bCs w:val="0"/>
        </w:rPr>
        <w:t>部门概况</w:t>
      </w:r>
      <w:bookmarkEnd w:id="12"/>
      <w:bookmarkEnd w:id="13"/>
      <w:bookmarkEnd w:id="14"/>
    </w:p>
    <w:p w14:paraId="3220E3E7">
      <w:pPr>
        <w:widowControl/>
        <w:jc w:val="left"/>
        <w:rPr>
          <w:rFonts w:eastAsia="黑体"/>
          <w:sz w:val="32"/>
          <w:szCs w:val="32"/>
        </w:rPr>
      </w:pPr>
    </w:p>
    <w:p w14:paraId="58E6FFCD">
      <w:pPr>
        <w:pStyle w:val="3"/>
        <w:numPr>
          <w:ilvl w:val="0"/>
          <w:numId w:val="1"/>
        </w:numPr>
        <w:rPr>
          <w:rFonts w:ascii="Times New Roman" w:hAnsi="Times New Roman" w:eastAsia="黑体"/>
          <w:b w:val="0"/>
        </w:rPr>
      </w:pPr>
      <w:bookmarkStart w:id="15" w:name="_Toc25374"/>
      <w:r>
        <w:rPr>
          <w:rFonts w:hint="eastAsia" w:ascii="Times New Roman" w:hAnsi="Times New Roman" w:eastAsia="黑体"/>
          <w:b w:val="0"/>
        </w:rPr>
        <w:t>部门职责</w:t>
      </w:r>
      <w:bookmarkEnd w:id="15"/>
    </w:p>
    <w:p w14:paraId="62C11F80">
      <w:pPr>
        <w:pStyle w:val="38"/>
        <w:spacing w:before="0" w:line="360" w:lineRule="auto"/>
        <w:ind w:firstLine="640"/>
        <w:rPr>
          <w:sz w:val="32"/>
          <w:szCs w:val="32"/>
        </w:rPr>
      </w:pPr>
      <w:r>
        <w:rPr>
          <w:rFonts w:hint="eastAsia"/>
          <w:sz w:val="32"/>
          <w:szCs w:val="32"/>
        </w:rPr>
        <w:t>理县人民法院是国家审判机关，依法独立行使审判权，对理县人民代表大会及其常务委员会负责并报告工作。</w:t>
      </w:r>
    </w:p>
    <w:p w14:paraId="2240A7F6">
      <w:pPr>
        <w:pStyle w:val="38"/>
        <w:spacing w:before="0" w:line="360" w:lineRule="auto"/>
        <w:ind w:firstLine="640"/>
        <w:rPr>
          <w:sz w:val="32"/>
          <w:szCs w:val="32"/>
        </w:rPr>
      </w:pPr>
      <w:r>
        <w:rPr>
          <w:rFonts w:hint="eastAsia"/>
          <w:sz w:val="32"/>
          <w:szCs w:val="32"/>
        </w:rPr>
        <w:t>其主要职责是：</w:t>
      </w:r>
    </w:p>
    <w:p w14:paraId="1930BFAD">
      <w:pPr>
        <w:pStyle w:val="38"/>
        <w:spacing w:before="0" w:line="360" w:lineRule="auto"/>
        <w:ind w:firstLine="660"/>
        <w:rPr>
          <w:sz w:val="32"/>
          <w:szCs w:val="32"/>
        </w:rPr>
      </w:pPr>
      <w:r>
        <w:rPr>
          <w:rFonts w:hint="eastAsia"/>
          <w:sz w:val="32"/>
          <w:szCs w:val="32"/>
        </w:rPr>
        <w:t>1、审判法律规定由基层人民法院管辖的刑事、民事、经济和行政等一审案件；</w:t>
      </w:r>
    </w:p>
    <w:p w14:paraId="25310FEB">
      <w:pPr>
        <w:pStyle w:val="38"/>
        <w:spacing w:before="0" w:line="360" w:lineRule="auto"/>
        <w:ind w:firstLine="660"/>
        <w:rPr>
          <w:sz w:val="32"/>
          <w:szCs w:val="32"/>
        </w:rPr>
      </w:pPr>
      <w:r>
        <w:rPr>
          <w:rFonts w:hint="eastAsia"/>
          <w:sz w:val="32"/>
          <w:szCs w:val="32"/>
        </w:rPr>
        <w:t>2、审理中级人民法院指令再审的案件；受理不服本案判决、裁定的各种申诉和申请再审等案件；</w:t>
      </w:r>
    </w:p>
    <w:p w14:paraId="6BDF7FCC">
      <w:pPr>
        <w:pStyle w:val="38"/>
        <w:spacing w:before="0" w:line="360" w:lineRule="auto"/>
        <w:ind w:firstLine="660"/>
        <w:outlineLvl w:val="2"/>
        <w:rPr>
          <w:sz w:val="32"/>
          <w:szCs w:val="32"/>
        </w:rPr>
      </w:pPr>
      <w:bookmarkStart w:id="16" w:name="_Toc16367"/>
      <w:r>
        <w:rPr>
          <w:rFonts w:hint="eastAsia"/>
          <w:sz w:val="32"/>
          <w:szCs w:val="32"/>
        </w:rPr>
        <w:t>3、审理中级人民法院指定管辖的案件；</w:t>
      </w:r>
      <w:bookmarkEnd w:id="16"/>
    </w:p>
    <w:p w14:paraId="408603E3">
      <w:pPr>
        <w:pStyle w:val="38"/>
        <w:spacing w:before="0" w:line="360" w:lineRule="auto"/>
        <w:ind w:firstLine="660"/>
        <w:rPr>
          <w:sz w:val="32"/>
          <w:szCs w:val="32"/>
        </w:rPr>
      </w:pPr>
      <w:r>
        <w:rPr>
          <w:rFonts w:hint="eastAsia"/>
          <w:sz w:val="32"/>
          <w:szCs w:val="32"/>
        </w:rPr>
        <w:t>4、对已生效的各类法律文书有执行内容的财物执行；办理委托、协助执行机关工作；</w:t>
      </w:r>
    </w:p>
    <w:p w14:paraId="39FD2C8F">
      <w:pPr>
        <w:pStyle w:val="38"/>
        <w:spacing w:before="0" w:line="360" w:lineRule="auto"/>
        <w:ind w:firstLine="660"/>
        <w:rPr>
          <w:sz w:val="32"/>
          <w:szCs w:val="32"/>
        </w:rPr>
      </w:pPr>
      <w:r>
        <w:rPr>
          <w:rFonts w:hint="eastAsia"/>
          <w:sz w:val="32"/>
          <w:szCs w:val="32"/>
        </w:rPr>
        <w:t>5、监督和指导全县基层人民法院；人民调解委员会工作；</w:t>
      </w:r>
    </w:p>
    <w:p w14:paraId="42961FB4">
      <w:pPr>
        <w:pStyle w:val="38"/>
        <w:spacing w:before="0" w:line="360" w:lineRule="auto"/>
        <w:ind w:firstLine="660"/>
        <w:rPr>
          <w:sz w:val="32"/>
          <w:szCs w:val="32"/>
        </w:rPr>
      </w:pPr>
      <w:r>
        <w:rPr>
          <w:rFonts w:hint="eastAsia"/>
          <w:sz w:val="32"/>
          <w:szCs w:val="32"/>
        </w:rPr>
        <w:t>6、依法审理国家赔偿案件；</w:t>
      </w:r>
    </w:p>
    <w:p w14:paraId="26D470EB">
      <w:pPr>
        <w:pStyle w:val="38"/>
        <w:spacing w:before="0" w:line="360" w:lineRule="auto"/>
        <w:ind w:firstLine="660"/>
        <w:rPr>
          <w:sz w:val="32"/>
          <w:szCs w:val="32"/>
        </w:rPr>
      </w:pPr>
      <w:r>
        <w:rPr>
          <w:rFonts w:hint="eastAsia"/>
          <w:sz w:val="32"/>
          <w:szCs w:val="32"/>
        </w:rPr>
        <w:t>7、接待申诉来访，受理应由基层人民法院管辖的告诉、申诉案件；</w:t>
      </w:r>
    </w:p>
    <w:p w14:paraId="3975025C">
      <w:pPr>
        <w:pStyle w:val="38"/>
        <w:spacing w:before="0" w:line="360" w:lineRule="auto"/>
        <w:ind w:firstLine="660"/>
        <w:rPr>
          <w:sz w:val="32"/>
          <w:szCs w:val="32"/>
        </w:rPr>
      </w:pPr>
      <w:r>
        <w:rPr>
          <w:rFonts w:hint="eastAsia"/>
          <w:sz w:val="32"/>
          <w:szCs w:val="32"/>
        </w:rPr>
        <w:t>8、针对案件审理过程中发现的问题提出司法建议；</w:t>
      </w:r>
    </w:p>
    <w:p w14:paraId="1180A588">
      <w:pPr>
        <w:pStyle w:val="38"/>
        <w:spacing w:before="0" w:line="360" w:lineRule="auto"/>
        <w:ind w:firstLine="660"/>
        <w:rPr>
          <w:sz w:val="32"/>
          <w:szCs w:val="32"/>
        </w:rPr>
      </w:pPr>
      <w:r>
        <w:rPr>
          <w:rFonts w:hint="eastAsia"/>
          <w:sz w:val="32"/>
          <w:szCs w:val="32"/>
        </w:rPr>
        <w:t>9、领导本院干警的思想、政治、教育、培训、监察和纪检工作。依照权限法官、执行员、书记员、司法警察、司法鉴定人员及司法行政人员，协同主管部门管理人民法院设置、人员编制工作，领导本院社团工作；</w:t>
      </w:r>
    </w:p>
    <w:p w14:paraId="0D6C1867">
      <w:pPr>
        <w:pStyle w:val="38"/>
        <w:spacing w:before="0" w:line="360" w:lineRule="auto"/>
        <w:ind w:firstLine="660"/>
        <w:outlineLvl w:val="2"/>
        <w:rPr>
          <w:sz w:val="32"/>
          <w:szCs w:val="32"/>
        </w:rPr>
      </w:pPr>
      <w:bookmarkStart w:id="17" w:name="_Toc22525"/>
      <w:r>
        <w:rPr>
          <w:rFonts w:hint="eastAsia"/>
          <w:sz w:val="32"/>
          <w:szCs w:val="32"/>
        </w:rPr>
        <w:t>10、管理本院的有关经费和物质装备；</w:t>
      </w:r>
      <w:bookmarkEnd w:id="17"/>
    </w:p>
    <w:p w14:paraId="031355D1">
      <w:pPr>
        <w:pStyle w:val="38"/>
        <w:spacing w:before="0" w:line="360" w:lineRule="auto"/>
        <w:ind w:firstLine="660"/>
        <w:rPr>
          <w:sz w:val="32"/>
          <w:szCs w:val="32"/>
        </w:rPr>
      </w:pPr>
      <w:r>
        <w:rPr>
          <w:rFonts w:hint="eastAsia"/>
          <w:sz w:val="32"/>
          <w:szCs w:val="32"/>
        </w:rPr>
        <w:t>11、宣传法制，教育公民，忠于社会主义祖国；自觉地遵守宪法、法律和社会公德；</w:t>
      </w:r>
    </w:p>
    <w:p w14:paraId="7A9ACC7D">
      <w:pPr>
        <w:pStyle w:val="38"/>
        <w:spacing w:before="0" w:line="360" w:lineRule="auto"/>
        <w:ind w:firstLine="640" w:firstLineChars="200"/>
      </w:pPr>
      <w:r>
        <w:rPr>
          <w:rFonts w:hint="eastAsia"/>
          <w:sz w:val="32"/>
          <w:szCs w:val="32"/>
        </w:rPr>
        <w:t>12、承办其他应由本院负责的工作和县委、县人大及上级法院等上级组织和领导交办的其他工作。</w:t>
      </w:r>
    </w:p>
    <w:p w14:paraId="72B15F42">
      <w:pPr>
        <w:pStyle w:val="3"/>
        <w:rPr>
          <w:rStyle w:val="32"/>
          <w:rFonts w:ascii="Times New Roman" w:hAnsi="Times New Roman"/>
          <w:b w:val="0"/>
          <w:bCs w:val="0"/>
        </w:rPr>
      </w:pPr>
      <w:bookmarkStart w:id="18" w:name="_Toc15396601"/>
      <w:bookmarkStart w:id="19" w:name="_Toc15377200"/>
      <w:bookmarkStart w:id="20" w:name="_Toc7166"/>
      <w:r>
        <w:rPr>
          <w:rFonts w:hint="eastAsia" w:ascii="Times New Roman" w:hAnsi="Times New Roman" w:eastAsia="黑体"/>
          <w:b w:val="0"/>
        </w:rPr>
        <w:t>二、机</w:t>
      </w:r>
      <w:r>
        <w:rPr>
          <w:rStyle w:val="32"/>
          <w:rFonts w:hint="eastAsia" w:ascii="Times New Roman" w:hAnsi="Times New Roman" w:eastAsia="黑体"/>
          <w:b w:val="0"/>
          <w:bCs w:val="0"/>
        </w:rPr>
        <w:t>构设置</w:t>
      </w:r>
      <w:bookmarkEnd w:id="18"/>
      <w:bookmarkEnd w:id="19"/>
      <w:bookmarkEnd w:id="20"/>
    </w:p>
    <w:p w14:paraId="2A5E2297">
      <w:pPr>
        <w:pStyle w:val="38"/>
        <w:spacing w:before="0" w:line="360" w:lineRule="auto"/>
        <w:ind w:firstLine="640" w:firstLineChars="200"/>
        <w:rPr>
          <w:sz w:val="32"/>
          <w:szCs w:val="32"/>
        </w:rPr>
      </w:pPr>
      <w:r>
        <w:rPr>
          <w:rFonts w:hint="eastAsia"/>
          <w:sz w:val="32"/>
          <w:szCs w:val="32"/>
        </w:rPr>
        <w:t>理县人民法院属财政全额拨款的行政单位，内设</w:t>
      </w:r>
      <w:r>
        <w:rPr>
          <w:rFonts w:hint="eastAsia"/>
        </w:rPr>
        <w:t>综合办公室、政治部、立案庭、综合审判庭、执行局、法警队</w:t>
      </w:r>
      <w:r>
        <w:rPr>
          <w:rFonts w:hint="eastAsia"/>
          <w:sz w:val="32"/>
          <w:szCs w:val="32"/>
        </w:rPr>
        <w:t>6个股室。理县法院机关及全额拨款编制为51名，实有在职人员46人，车辆编制为12台,实有车辆12台。</w:t>
      </w:r>
    </w:p>
    <w:p w14:paraId="4ADCF847">
      <w:pPr>
        <w:widowControl/>
        <w:jc w:val="left"/>
        <w:rPr>
          <w:rFonts w:eastAsia="仿宋"/>
          <w:kern w:val="0"/>
          <w:sz w:val="32"/>
          <w:szCs w:val="32"/>
        </w:rPr>
      </w:pPr>
      <w:r>
        <w:rPr>
          <w:rFonts w:hint="eastAsia" w:ascii="仿宋" w:hAnsi="仿宋" w:eastAsia="仿宋"/>
          <w:sz w:val="32"/>
          <w:szCs w:val="32"/>
        </w:rPr>
        <w:t xml:space="preserve">    无下属二级预算单位。</w:t>
      </w:r>
      <w:r>
        <w:rPr>
          <w:rFonts w:ascii="仿宋" w:hAnsi="仿宋" w:eastAsia="仿宋"/>
          <w:sz w:val="32"/>
          <w:szCs w:val="32"/>
        </w:rPr>
        <w:br w:type="page"/>
      </w:r>
    </w:p>
    <w:p w14:paraId="40DC3D15">
      <w:pPr>
        <w:pStyle w:val="2"/>
        <w:jc w:val="center"/>
        <w:rPr>
          <w:rFonts w:eastAsia="方正小标宋简体" w:cs="方正小标宋简体"/>
          <w:b w:val="0"/>
        </w:rPr>
      </w:pPr>
      <w:bookmarkStart w:id="21" w:name="_Toc15396602"/>
      <w:bookmarkStart w:id="22" w:name="_Toc9328"/>
      <w:bookmarkStart w:id="23" w:name="_Toc15377204"/>
      <w:r>
        <w:rPr>
          <w:rFonts w:hint="eastAsia" w:eastAsia="方正小标宋简体" w:cs="方正小标宋简体"/>
          <w:b w:val="0"/>
        </w:rPr>
        <w:t>第二部分  2024年度部门决算情况说明</w:t>
      </w:r>
      <w:bookmarkEnd w:id="21"/>
      <w:bookmarkEnd w:id="22"/>
      <w:bookmarkEnd w:id="23"/>
    </w:p>
    <w:p w14:paraId="1125F5CA"/>
    <w:p w14:paraId="77AB2090">
      <w:pPr>
        <w:pStyle w:val="30"/>
        <w:spacing w:line="600" w:lineRule="exact"/>
        <w:ind w:firstLine="640"/>
        <w:outlineLvl w:val="1"/>
        <w:rPr>
          <w:rStyle w:val="32"/>
          <w:rFonts w:ascii="Times New Roman" w:hAnsi="Times New Roman" w:eastAsia="黑体"/>
          <w:b w:val="0"/>
        </w:rPr>
      </w:pPr>
      <w:bookmarkStart w:id="24" w:name="_Toc15377205"/>
      <w:bookmarkStart w:id="25" w:name="_Toc15396603"/>
      <w:bookmarkStart w:id="26" w:name="_Toc25327"/>
      <w:r>
        <w:rPr>
          <w:rFonts w:hint="eastAsia" w:eastAsia="黑体"/>
          <w:sz w:val="32"/>
          <w:szCs w:val="32"/>
        </w:rPr>
        <w:t>一、收</w:t>
      </w:r>
      <w:r>
        <w:rPr>
          <w:rStyle w:val="32"/>
          <w:rFonts w:hint="eastAsia" w:ascii="Times New Roman" w:hAnsi="Times New Roman" w:eastAsia="黑体"/>
          <w:b w:val="0"/>
        </w:rPr>
        <w:t>入支出决算总体情况说明</w:t>
      </w:r>
      <w:bookmarkEnd w:id="24"/>
      <w:bookmarkEnd w:id="25"/>
      <w:bookmarkEnd w:id="26"/>
    </w:p>
    <w:p w14:paraId="1A298D93">
      <w:pPr>
        <w:pStyle w:val="30"/>
        <w:spacing w:line="600" w:lineRule="exact"/>
        <w:ind w:firstLine="640"/>
        <w:rPr>
          <w:rFonts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1864.39</w:t>
      </w:r>
      <w:r>
        <w:rPr>
          <w:rFonts w:hint="eastAsia" w:eastAsia="仿宋_GB2312" w:cs="仿宋_GB2312"/>
          <w:sz w:val="32"/>
          <w:szCs w:val="32"/>
        </w:rPr>
        <w:t>万元。与2023年度相比，收入、支出总计各减少146.76万元，下降7.3%。主要变动原因是2024年7-12月月基础绩效奖县财政未兑付，在2025年1月兑付。</w:t>
      </w:r>
    </w:p>
    <w:p w14:paraId="4C68E5CF">
      <w:pPr>
        <w:ind w:firstLine="420" w:firstLineChars="200"/>
        <w:rPr>
          <w:rFonts w:eastAsia="仿宋_GB2312" w:cs="仿宋_GB2312"/>
          <w:sz w:val="32"/>
          <w:szCs w:val="32"/>
        </w:rPr>
      </w:pPr>
      <w:r>
        <w:drawing>
          <wp:inline distT="0" distB="0" distL="114300" distR="114300">
            <wp:extent cx="4916170" cy="2523490"/>
            <wp:effectExtent l="4445" t="4445" r="13335" b="5715"/>
            <wp:docPr id="1" name="图表 5"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00F5C5">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5A062FBF">
      <w:pPr>
        <w:pStyle w:val="30"/>
        <w:spacing w:line="600" w:lineRule="exact"/>
        <w:ind w:firstLine="640"/>
        <w:outlineLvl w:val="1"/>
        <w:rPr>
          <w:rFonts w:eastAsia="黑体"/>
          <w:sz w:val="32"/>
          <w:szCs w:val="32"/>
        </w:rPr>
      </w:pPr>
      <w:bookmarkStart w:id="27" w:name="_Toc15396604"/>
      <w:bookmarkStart w:id="28" w:name="_Toc15377206"/>
      <w:bookmarkStart w:id="29" w:name="_Toc24672"/>
      <w:r>
        <w:rPr>
          <w:rFonts w:hint="eastAsia" w:eastAsia="黑体"/>
          <w:sz w:val="32"/>
          <w:szCs w:val="32"/>
        </w:rPr>
        <w:t>二、收入决算情况说明</w:t>
      </w:r>
      <w:bookmarkEnd w:id="27"/>
      <w:bookmarkEnd w:id="28"/>
      <w:bookmarkEnd w:id="29"/>
    </w:p>
    <w:p w14:paraId="521FAE60">
      <w:pPr>
        <w:pStyle w:val="30"/>
        <w:spacing w:line="600" w:lineRule="exact"/>
        <w:ind w:firstLine="640"/>
        <w:jc w:val="left"/>
        <w:rPr>
          <w:rFonts w:eastAsia="仿宋_GB2312" w:cs="仿宋_GB2312"/>
          <w:b/>
          <w:bCs/>
          <w:sz w:val="32"/>
          <w:szCs w:val="32"/>
        </w:rPr>
      </w:pPr>
      <w:r>
        <w:rPr>
          <w:rFonts w:hint="eastAsia" w:ascii="仿宋_GB2312" w:hAnsi="仿宋_GB2312" w:eastAsia="仿宋_GB2312" w:cs="仿宋_GB2312"/>
          <w:sz w:val="32"/>
          <w:szCs w:val="32"/>
        </w:rPr>
        <w:t>2024年度本年收入合计1864.39万元，其中：一般公共预算财政拨款收入1599.73万元，占85.8%；政府性基金预算财政拨款收入0万元，占0%%；国有资本经营预算财政拨款收入0万元，占0%；上级补助收入0万元，占0%；事业收入0万元，占0%；经营收入0万元，占0%；附属单位上缴收入0万元，占0%；其他收入264.66万元，占14.19%。</w:t>
      </w:r>
      <w:r>
        <w:rPr>
          <w:rFonts w:hint="eastAsia" w:eastAsia="仿宋_GB2312" w:cs="仿宋_GB2312"/>
          <w:b/>
          <w:bCs/>
          <w:sz w:val="32"/>
          <w:szCs w:val="32"/>
        </w:rPr>
        <w:t>（注：仅罗列本部门涉及的收入）</w:t>
      </w:r>
    </w:p>
    <w:p w14:paraId="7D2250D2">
      <w:pPr>
        <w:ind w:firstLine="525" w:firstLineChars="250"/>
        <w:rPr>
          <w:rFonts w:eastAsia="仿宋_GB2312" w:cs="仿宋_GB2312"/>
          <w:sz w:val="32"/>
          <w:szCs w:val="32"/>
        </w:rPr>
      </w:pPr>
      <w:r>
        <w:drawing>
          <wp:inline distT="0" distB="0" distL="0" distR="0">
            <wp:extent cx="4572000" cy="27432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03AF35">
      <w:pPr>
        <w:ind w:firstLine="800" w:firstLineChars="250"/>
        <w:rPr>
          <w:rFonts w:eastAsia="仿宋_GB2312" w:cs="仿宋_GB2312"/>
          <w:sz w:val="32"/>
          <w:szCs w:val="32"/>
        </w:rPr>
      </w:pPr>
      <w:r>
        <w:rPr>
          <w:rFonts w:hint="eastAsia" w:eastAsia="仿宋_GB2312" w:cs="仿宋_GB2312"/>
          <w:sz w:val="32"/>
          <w:szCs w:val="32"/>
        </w:rPr>
        <w:t>（图2：</w:t>
      </w:r>
      <w:bookmarkStart w:id="30" w:name="OLE_LINK1"/>
      <w:r>
        <w:rPr>
          <w:rFonts w:hint="eastAsia" w:eastAsia="仿宋_GB2312" w:cs="仿宋_GB2312"/>
          <w:sz w:val="32"/>
          <w:szCs w:val="32"/>
        </w:rPr>
        <w:t>收入决算结构图</w:t>
      </w:r>
      <w:bookmarkEnd w:id="30"/>
      <w:r>
        <w:rPr>
          <w:rFonts w:hint="eastAsia" w:eastAsia="仿宋_GB2312" w:cs="仿宋_GB2312"/>
          <w:sz w:val="32"/>
          <w:szCs w:val="32"/>
        </w:rPr>
        <w:t>）（饼状图）</w:t>
      </w:r>
    </w:p>
    <w:p w14:paraId="63D91060">
      <w:pPr>
        <w:pStyle w:val="30"/>
        <w:spacing w:line="600" w:lineRule="exact"/>
        <w:ind w:firstLine="640"/>
        <w:outlineLvl w:val="1"/>
        <w:rPr>
          <w:rStyle w:val="32"/>
          <w:rFonts w:ascii="Times New Roman" w:hAnsi="Times New Roman" w:eastAsia="黑体"/>
          <w:b w:val="0"/>
        </w:rPr>
      </w:pPr>
      <w:bookmarkStart w:id="31" w:name="_Toc15396605"/>
      <w:bookmarkStart w:id="32" w:name="_Toc15377207"/>
      <w:bookmarkStart w:id="33" w:name="_Toc15342"/>
      <w:r>
        <w:rPr>
          <w:rFonts w:hint="eastAsia" w:eastAsia="黑体"/>
          <w:sz w:val="32"/>
          <w:szCs w:val="32"/>
        </w:rPr>
        <w:t>三、支</w:t>
      </w:r>
      <w:r>
        <w:rPr>
          <w:rStyle w:val="32"/>
          <w:rFonts w:hint="eastAsia" w:ascii="Times New Roman" w:hAnsi="Times New Roman" w:eastAsia="黑体"/>
          <w:b w:val="0"/>
        </w:rPr>
        <w:t>出决算情况说明</w:t>
      </w:r>
      <w:bookmarkEnd w:id="31"/>
      <w:bookmarkEnd w:id="32"/>
      <w:bookmarkEnd w:id="33"/>
    </w:p>
    <w:p w14:paraId="5D7268B1">
      <w:pPr>
        <w:pStyle w:val="30"/>
        <w:spacing w:line="600" w:lineRule="exact"/>
        <w:ind w:firstLine="640"/>
        <w:jc w:val="left"/>
        <w:rPr>
          <w:rFonts w:eastAsia="仿宋_GB2312" w:cs="仿宋_GB2312"/>
          <w:sz w:val="32"/>
          <w:szCs w:val="32"/>
        </w:rPr>
      </w:pPr>
      <w:r>
        <w:rPr>
          <w:rFonts w:hint="eastAsia" w:ascii="仿宋_GB2312" w:hAnsi="仿宋_GB2312" w:eastAsia="仿宋_GB2312" w:cs="仿宋_GB2312"/>
          <w:sz w:val="32"/>
          <w:szCs w:val="32"/>
        </w:rPr>
        <w:t>2024年度本年支出合计1864.39万元，其中：基本支出1267.25万元，占67.97%；项目支出597.13万元，占32.02%；上缴上级支出0万元，占0%；经营支出0万元，占0%；对附属单位补助支出0万元，占0%%。</w:t>
      </w:r>
      <w:r>
        <w:rPr>
          <w:rFonts w:hint="eastAsia" w:eastAsia="仿宋_GB2312" w:cs="仿宋_GB2312"/>
          <w:b/>
          <w:bCs/>
          <w:sz w:val="32"/>
          <w:szCs w:val="32"/>
        </w:rPr>
        <w:t>（注：仅罗列本部门涉及的支出）</w:t>
      </w:r>
    </w:p>
    <w:p w14:paraId="76E322F9">
      <w:pPr>
        <w:ind w:firstLine="800" w:firstLineChars="250"/>
        <w:rPr>
          <w:rFonts w:eastAsia="仿宋_GB2312" w:cs="仿宋_GB2312"/>
          <w:sz w:val="32"/>
          <w:szCs w:val="32"/>
        </w:rPr>
      </w:pPr>
    </w:p>
    <w:p w14:paraId="6A0210F3">
      <w:pPr>
        <w:rPr>
          <w:rFonts w:eastAsia="仿宋_GB2312" w:cs="仿宋_GB2312"/>
          <w:sz w:val="32"/>
          <w:szCs w:val="32"/>
        </w:rPr>
      </w:pPr>
      <w:r>
        <w:drawing>
          <wp:inline distT="0" distB="0" distL="114300" distR="114300">
            <wp:extent cx="4518660" cy="2742565"/>
            <wp:effectExtent l="4445" t="4445" r="10795"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7FD981">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00C2D75A">
      <w:pPr>
        <w:spacing w:line="600" w:lineRule="exact"/>
        <w:ind w:firstLine="640" w:firstLineChars="200"/>
        <w:outlineLvl w:val="1"/>
        <w:rPr>
          <w:rStyle w:val="32"/>
          <w:rFonts w:ascii="Times New Roman" w:hAnsi="Times New Roman" w:eastAsia="黑体"/>
          <w:b w:val="0"/>
        </w:rPr>
      </w:pPr>
      <w:bookmarkStart w:id="34" w:name="_Toc15377208"/>
      <w:bookmarkStart w:id="35" w:name="_Toc29075"/>
      <w:bookmarkStart w:id="36" w:name="_Toc15396606"/>
      <w:r>
        <w:rPr>
          <w:rFonts w:hint="eastAsia" w:eastAsia="黑体"/>
          <w:sz w:val="32"/>
          <w:szCs w:val="32"/>
        </w:rPr>
        <w:t>四、财</w:t>
      </w:r>
      <w:r>
        <w:rPr>
          <w:rStyle w:val="32"/>
          <w:rFonts w:hint="eastAsia" w:ascii="Times New Roman" w:hAnsi="Times New Roman" w:eastAsia="黑体"/>
          <w:b w:val="0"/>
        </w:rPr>
        <w:t>政拨款收入支出决算总体情况说明</w:t>
      </w:r>
      <w:bookmarkEnd w:id="34"/>
      <w:bookmarkEnd w:id="35"/>
      <w:bookmarkEnd w:id="36"/>
    </w:p>
    <w:p w14:paraId="50D17FC5">
      <w:pPr>
        <w:pStyle w:val="30"/>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1599.73</w:t>
      </w:r>
      <w:r>
        <w:rPr>
          <w:rFonts w:hint="eastAsia" w:eastAsia="仿宋_GB2312" w:cs="仿宋_GB2312"/>
          <w:sz w:val="32"/>
          <w:szCs w:val="32"/>
        </w:rPr>
        <w:t>万元。与2023年度相比，财政拨款收入总计、支出总计各减少1.12万元，下降0.07%。主要变动原因是2024年7-12月月基础绩效奖县财政未兑付，在2025年1月兑付。</w:t>
      </w:r>
    </w:p>
    <w:p w14:paraId="09C4BB6D">
      <w:pPr>
        <w:spacing w:line="600" w:lineRule="exact"/>
        <w:rPr>
          <w:rFonts w:eastAsia="仿宋_GB2312" w:cs="仿宋_GB2312"/>
          <w:sz w:val="32"/>
          <w:szCs w:val="32"/>
        </w:rPr>
      </w:pPr>
      <w:r>
        <w:drawing>
          <wp:anchor distT="0" distB="0" distL="114300" distR="114300" simplePos="0" relativeHeight="251659264" behindDoc="1" locked="0" layoutInCell="1" allowOverlap="1">
            <wp:simplePos x="0" y="0"/>
            <wp:positionH relativeFrom="column">
              <wp:posOffset>173990</wp:posOffset>
            </wp:positionH>
            <wp:positionV relativeFrom="paragraph">
              <wp:posOffset>240665</wp:posOffset>
            </wp:positionV>
            <wp:extent cx="5448300" cy="2185035"/>
            <wp:effectExtent l="4445" t="4445" r="14605" b="20320"/>
            <wp:wrapTight wrapText="bothSides">
              <wp:wrapPolygon>
                <wp:start x="-18" y="-44"/>
                <wp:lineTo x="-18" y="21424"/>
                <wp:lineTo x="21582" y="21424"/>
                <wp:lineTo x="21582" y="-44"/>
                <wp:lineTo x="-18" y="-44"/>
              </wp:wrapPolygon>
            </wp:wrapTight>
            <wp:docPr id="9" name="图表 8"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B165089">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6482AF2E">
      <w:pPr>
        <w:spacing w:line="600" w:lineRule="exact"/>
        <w:ind w:firstLine="640" w:firstLineChars="200"/>
        <w:outlineLvl w:val="1"/>
        <w:rPr>
          <w:rStyle w:val="32"/>
          <w:rFonts w:ascii="Times New Roman" w:hAnsi="Times New Roman" w:eastAsia="黑体"/>
          <w:b w:val="0"/>
        </w:rPr>
      </w:pPr>
      <w:bookmarkStart w:id="37" w:name="_Toc15396607"/>
      <w:bookmarkStart w:id="38" w:name="_Toc15377209"/>
      <w:bookmarkStart w:id="39" w:name="_Toc27624"/>
      <w:r>
        <w:rPr>
          <w:rFonts w:hint="eastAsia" w:eastAsia="黑体"/>
          <w:sz w:val="32"/>
          <w:szCs w:val="32"/>
        </w:rPr>
        <w:t>五、</w:t>
      </w:r>
      <w:r>
        <w:rPr>
          <w:rFonts w:hint="eastAsia" w:eastAsia="黑体"/>
          <w:b/>
          <w:sz w:val="32"/>
          <w:szCs w:val="32"/>
        </w:rPr>
        <w:t>一</w:t>
      </w:r>
      <w:r>
        <w:rPr>
          <w:rStyle w:val="32"/>
          <w:rFonts w:hint="eastAsia" w:ascii="Times New Roman" w:hAnsi="Times New Roman" w:eastAsia="黑体"/>
          <w:b w:val="0"/>
        </w:rPr>
        <w:t>般公共预算财政拨款支出决算情况说明</w:t>
      </w:r>
      <w:bookmarkEnd w:id="37"/>
      <w:bookmarkEnd w:id="38"/>
      <w:bookmarkEnd w:id="39"/>
    </w:p>
    <w:p w14:paraId="1F8F7040">
      <w:pPr>
        <w:spacing w:line="600" w:lineRule="exact"/>
        <w:ind w:firstLine="643" w:firstLineChars="200"/>
        <w:outlineLvl w:val="2"/>
        <w:rPr>
          <w:rFonts w:eastAsia="楷体_GB2312" w:cs="楷体_GB2312"/>
          <w:b/>
          <w:sz w:val="32"/>
          <w:szCs w:val="32"/>
        </w:rPr>
      </w:pPr>
      <w:bookmarkStart w:id="40" w:name="_Toc3730"/>
      <w:bookmarkStart w:id="41" w:name="_Toc15377210"/>
      <w:r>
        <w:rPr>
          <w:rFonts w:hint="eastAsia" w:eastAsia="楷体_GB2312" w:cs="楷体_GB2312"/>
          <w:b/>
          <w:sz w:val="32"/>
          <w:szCs w:val="32"/>
        </w:rPr>
        <w:t>（一）一般公共预算财政拨款支出决算总体情况</w:t>
      </w:r>
      <w:bookmarkEnd w:id="40"/>
      <w:bookmarkEnd w:id="41"/>
    </w:p>
    <w:p w14:paraId="33C61049">
      <w:pPr>
        <w:spacing w:line="600" w:lineRule="exact"/>
        <w:ind w:firstLine="640"/>
        <w:rPr>
          <w:rFonts w:hint="eastAsia" w:eastAsia="楷体_GB2312" w:cs="楷体_GB2312"/>
          <w:b/>
          <w:sz w:val="32"/>
          <w:szCs w:val="32"/>
        </w:rPr>
      </w:pPr>
      <w:r>
        <w:drawing>
          <wp:anchor distT="0" distB="0" distL="114300" distR="114300" simplePos="0" relativeHeight="251660288" behindDoc="1" locked="0" layoutInCell="1" allowOverlap="1">
            <wp:simplePos x="0" y="0"/>
            <wp:positionH relativeFrom="column">
              <wp:posOffset>457200</wp:posOffset>
            </wp:positionH>
            <wp:positionV relativeFrom="paragraph">
              <wp:posOffset>3053080</wp:posOffset>
            </wp:positionV>
            <wp:extent cx="5025390" cy="2111375"/>
            <wp:effectExtent l="5080" t="4445" r="55880" b="55880"/>
            <wp:wrapTight wrapText="bothSides">
              <wp:wrapPolygon>
                <wp:start x="-22" y="-45"/>
                <wp:lineTo x="-22" y="21392"/>
                <wp:lineTo x="21513" y="21392"/>
                <wp:lineTo x="21513" y="-45"/>
                <wp:lineTo x="-22" y="-45"/>
              </wp:wrapPolygon>
            </wp:wrapTight>
            <wp:docPr id="3" name="图表 8"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_GB2312" w:hAnsi="仿宋_GB2312" w:eastAsia="仿宋_GB2312" w:cs="仿宋_GB2312"/>
          <w:sz w:val="32"/>
          <w:szCs w:val="32"/>
        </w:rPr>
        <w:t>2024年度一般公共预算财政拨款支出1599.73万元，占本年支出合计的85.8%。与2023年度相比，一般公共预算财政拨款支出减少1.12万元，下降0.07%。主要变动原因是</w:t>
      </w:r>
      <w:r>
        <w:rPr>
          <w:rFonts w:hint="eastAsia" w:eastAsia="仿宋_GB2312" w:cs="仿宋_GB2312"/>
          <w:sz w:val="32"/>
          <w:szCs w:val="32"/>
        </w:rPr>
        <w:t>2024年7-12月月基础绩效奖县财政未兑付，在2025年1月兑付。</w:t>
      </w:r>
      <w:bookmarkStart w:id="42" w:name="_Toc15377211"/>
    </w:p>
    <w:p w14:paraId="5C2BD816">
      <w:pPr>
        <w:spacing w:line="600" w:lineRule="exact"/>
        <w:ind w:firstLine="643" w:firstLineChars="200"/>
        <w:outlineLvl w:val="2"/>
        <w:rPr>
          <w:rFonts w:eastAsia="楷体_GB2312" w:cs="楷体_GB2312"/>
          <w:b/>
          <w:sz w:val="32"/>
          <w:szCs w:val="32"/>
        </w:rPr>
      </w:pPr>
      <w:bookmarkStart w:id="43" w:name="_Toc1862"/>
      <w:r>
        <w:rPr>
          <w:rFonts w:hint="eastAsia" w:eastAsia="楷体_GB2312" w:cs="楷体_GB2312"/>
          <w:b/>
          <w:sz w:val="32"/>
          <w:szCs w:val="32"/>
        </w:rPr>
        <w:t>（二）一般公共预算财政拨款支出决算结构情况</w:t>
      </w:r>
      <w:bookmarkEnd w:id="42"/>
      <w:bookmarkEnd w:id="43"/>
    </w:p>
    <w:p w14:paraId="1B29827A">
      <w:pPr>
        <w:spacing w:line="600" w:lineRule="exact"/>
        <w:ind w:firstLine="640"/>
        <w:rPr>
          <w:rFonts w:hint="eastAsia" w:eastAsia="仿宋_GB2312" w:cs="仿宋_GB2312"/>
          <w:sz w:val="32"/>
          <w:szCs w:val="32"/>
        </w:rPr>
      </w:pPr>
      <w:r>
        <w:rPr>
          <w:rFonts w:hint="eastAsia" w:eastAsia="仿宋_GB2312" w:cs="仿宋_GB2312"/>
          <w:sz w:val="32"/>
          <w:szCs w:val="32"/>
        </w:rPr>
        <w:t>（图5：一般公共预算财政拨款支出决算变动情况）（柱状图）</w:t>
      </w:r>
    </w:p>
    <w:p w14:paraId="6BDD6775">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1599.73万元</w:t>
      </w:r>
      <w:r>
        <w:rPr>
          <w:rFonts w:hint="eastAsia" w:eastAsia="仿宋_GB2312" w:cs="仿宋_GB2312"/>
          <w:sz w:val="32"/>
          <w:szCs w:val="32"/>
        </w:rPr>
        <w:t>，主要用于以下方面：一般公共服务支出1,322.63万元，占82.68%；社会保障和就业支出131.68万元，占8.21%；卫生健康支出64.46万元，占4.0%；住房保障支出80.96万元，占5.11%；</w:t>
      </w:r>
    </w:p>
    <w:p w14:paraId="5C097464">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（注：仅罗列本部门涉及的全部功能分类科目，至类级）</w:t>
      </w:r>
    </w:p>
    <w:p w14:paraId="1366B2D8">
      <w:pPr>
        <w:spacing w:line="600" w:lineRule="exact"/>
        <w:ind w:firstLine="640"/>
        <w:rPr>
          <w:rFonts w:eastAsia="仿宋_GB2312" w:cs="仿宋_GB2312"/>
          <w:sz w:val="32"/>
          <w:szCs w:val="32"/>
        </w:rPr>
      </w:pPr>
    </w:p>
    <w:p w14:paraId="420904C1">
      <w:pPr>
        <w:spacing w:line="600" w:lineRule="exact"/>
        <w:rPr>
          <w:rFonts w:eastAsia="仿宋_GB2312" w:cs="仿宋_GB2312"/>
          <w:sz w:val="32"/>
          <w:szCs w:val="32"/>
        </w:rPr>
      </w:pPr>
    </w:p>
    <w:p w14:paraId="6707D327">
      <w:pPr>
        <w:spacing w:line="600" w:lineRule="exact"/>
        <w:ind w:firstLine="640"/>
        <w:rPr>
          <w:rFonts w:eastAsia="仿宋_GB2312" w:cs="仿宋_GB2312"/>
          <w:sz w:val="32"/>
          <w:szCs w:val="32"/>
        </w:rPr>
      </w:pPr>
    </w:p>
    <w:p w14:paraId="4F6A4A8B">
      <w:pPr>
        <w:spacing w:line="600" w:lineRule="exact"/>
        <w:ind w:firstLine="640"/>
        <w:rPr>
          <w:rFonts w:eastAsia="仿宋_GB2312" w:cs="仿宋_GB2312"/>
          <w:sz w:val="32"/>
          <w:szCs w:val="32"/>
        </w:rPr>
      </w:pPr>
    </w:p>
    <w:p w14:paraId="17963488">
      <w:pPr>
        <w:spacing w:line="600" w:lineRule="exact"/>
        <w:ind w:firstLine="640"/>
        <w:rPr>
          <w:rFonts w:eastAsia="仿宋_GB2312" w:cs="仿宋_GB2312"/>
          <w:sz w:val="32"/>
          <w:szCs w:val="32"/>
        </w:rPr>
      </w:pPr>
    </w:p>
    <w:p w14:paraId="27E1F22B">
      <w:pPr>
        <w:spacing w:line="600" w:lineRule="exact"/>
        <w:ind w:firstLine="640"/>
        <w:rPr>
          <w:rFonts w:eastAsia="仿宋_GB2312" w:cs="仿宋_GB2312"/>
          <w:sz w:val="32"/>
          <w:szCs w:val="32"/>
        </w:rPr>
      </w:pPr>
    </w:p>
    <w:p w14:paraId="28CFCB68">
      <w:pPr>
        <w:spacing w:line="600" w:lineRule="exact"/>
        <w:ind w:firstLine="640"/>
        <w:rPr>
          <w:rFonts w:eastAsia="仿宋_GB2312" w:cs="仿宋_GB2312"/>
          <w:sz w:val="32"/>
          <w:szCs w:val="32"/>
        </w:rPr>
      </w:pPr>
    </w:p>
    <w:p w14:paraId="4E3598E0">
      <w:pPr>
        <w:spacing w:line="600" w:lineRule="exact"/>
        <w:ind w:firstLine="640"/>
        <w:rPr>
          <w:rFonts w:eastAsia="仿宋_GB2312" w:cs="仿宋_GB2312"/>
          <w:sz w:val="32"/>
          <w:szCs w:val="32"/>
        </w:rPr>
      </w:pPr>
    </w:p>
    <w:p w14:paraId="2A1F0953">
      <w:pPr>
        <w:spacing w:line="600" w:lineRule="exact"/>
        <w:ind w:firstLine="640"/>
        <w:rPr>
          <w:rFonts w:eastAsia="仿宋_GB2312" w:cs="仿宋_GB2312"/>
          <w:sz w:val="32"/>
          <w:szCs w:val="32"/>
        </w:rPr>
      </w:pPr>
    </w:p>
    <w:p w14:paraId="7827FC35">
      <w:pPr>
        <w:spacing w:line="600" w:lineRule="exact"/>
        <w:ind w:firstLine="640"/>
        <w:rPr>
          <w:rFonts w:eastAsia="仿宋_GB2312" w:cs="仿宋_GB2312"/>
          <w:sz w:val="32"/>
          <w:szCs w:val="32"/>
        </w:rPr>
      </w:pPr>
      <w:r>
        <w:drawing>
          <wp:anchor distT="0" distB="0" distL="114300" distR="114300" simplePos="0" relativeHeight="251661312" behindDoc="1" locked="0" layoutInCell="1" allowOverlap="1">
            <wp:simplePos x="0" y="0"/>
            <wp:positionH relativeFrom="column">
              <wp:posOffset>410845</wp:posOffset>
            </wp:positionH>
            <wp:positionV relativeFrom="paragraph">
              <wp:posOffset>-2453005</wp:posOffset>
            </wp:positionV>
            <wp:extent cx="4572000" cy="2743200"/>
            <wp:effectExtent l="4445" t="4445" r="14605" b="14605"/>
            <wp:wrapTight wrapText="bothSides">
              <wp:wrapPolygon>
                <wp:start x="-21" y="-35"/>
                <wp:lineTo x="-21" y="21565"/>
                <wp:lineTo x="21579" y="21565"/>
                <wp:lineTo x="21579" y="-35"/>
                <wp:lineTo x="-21" y="-35"/>
              </wp:wrapPolygon>
            </wp:wrapTight>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6CB996DA">
      <w:pPr>
        <w:spacing w:line="600" w:lineRule="exact"/>
        <w:ind w:firstLine="640"/>
        <w:rPr>
          <w:rFonts w:eastAsia="仿宋_GB2312" w:cs="仿宋_GB2312"/>
          <w:sz w:val="32"/>
          <w:szCs w:val="32"/>
        </w:rPr>
      </w:pPr>
      <w:r>
        <w:rPr>
          <w:rFonts w:hint="eastAsia" w:eastAsia="仿宋_GB2312" w:cs="仿宋_GB2312"/>
          <w:sz w:val="32"/>
          <w:szCs w:val="32"/>
        </w:rPr>
        <w:t>（图6：</w:t>
      </w:r>
      <w:bookmarkStart w:id="44" w:name="OLE_LINK2"/>
      <w:r>
        <w:rPr>
          <w:rFonts w:hint="eastAsia" w:eastAsia="仿宋_GB2312" w:cs="仿宋_GB2312"/>
          <w:sz w:val="32"/>
          <w:szCs w:val="32"/>
        </w:rPr>
        <w:t>一般公共预算财政拨款支出决算结构</w:t>
      </w:r>
      <w:bookmarkEnd w:id="44"/>
      <w:r>
        <w:rPr>
          <w:rFonts w:hint="eastAsia" w:eastAsia="仿宋_GB2312" w:cs="仿宋_GB2312"/>
          <w:sz w:val="32"/>
          <w:szCs w:val="32"/>
        </w:rPr>
        <w:t>）（饼状图）</w:t>
      </w:r>
    </w:p>
    <w:p w14:paraId="10B4A7A5">
      <w:pPr>
        <w:spacing w:line="600" w:lineRule="exact"/>
        <w:ind w:firstLine="643" w:firstLineChars="200"/>
        <w:outlineLvl w:val="2"/>
        <w:rPr>
          <w:rFonts w:eastAsia="楷体_GB2312" w:cs="楷体_GB2312"/>
          <w:b/>
          <w:sz w:val="32"/>
          <w:szCs w:val="32"/>
        </w:rPr>
      </w:pPr>
      <w:bookmarkStart w:id="45" w:name="_Toc15377212"/>
      <w:bookmarkStart w:id="46" w:name="_Toc31232"/>
      <w:r>
        <w:rPr>
          <w:rFonts w:hint="eastAsia" w:eastAsia="楷体_GB2312" w:cs="楷体_GB2312"/>
          <w:b/>
          <w:sz w:val="32"/>
          <w:szCs w:val="32"/>
        </w:rPr>
        <w:t>（三）一般公共预算财政拨款支出决算具体情况</w:t>
      </w:r>
      <w:bookmarkEnd w:id="45"/>
      <w:bookmarkEnd w:id="46"/>
    </w:p>
    <w:p w14:paraId="0A3E4720">
      <w:pPr>
        <w:spacing w:line="600" w:lineRule="exact"/>
        <w:ind w:firstLine="640"/>
        <w:rPr>
          <w:rFonts w:eastAsia="仿宋_GB2312" w:cs="仿宋_GB2312"/>
          <w:sz w:val="32"/>
          <w:szCs w:val="32"/>
        </w:rPr>
      </w:pPr>
      <w:bookmarkStart w:id="47" w:name="_Toc15378460"/>
      <w:bookmarkStart w:id="48" w:name="_Toc15377444"/>
      <w:bookmarkStart w:id="49"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1599.73，</w:t>
      </w:r>
      <w:r>
        <w:rPr>
          <w:rFonts w:hint="eastAsia" w:eastAsia="仿宋_GB2312" w:cs="仿宋_GB2312"/>
          <w:sz w:val="32"/>
          <w:szCs w:val="32"/>
        </w:rPr>
        <w:t>完成预算100%。其中：</w:t>
      </w:r>
      <w:bookmarkEnd w:id="47"/>
      <w:bookmarkEnd w:id="48"/>
      <w:bookmarkEnd w:id="49"/>
    </w:p>
    <w:p w14:paraId="431BDAF3">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一般公共服务（类）（款）（项）204：支出决算为1322.63万元，完成预算100%，决算数等于预算数。</w:t>
      </w:r>
    </w:p>
    <w:p w14:paraId="099AF6FF">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社会保障和就业（类）（款）（项）208：支出决算为131.68万元，完成预算100%，决算数等于预算数。</w:t>
      </w:r>
    </w:p>
    <w:p w14:paraId="2A90B954">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卫生健康（类）（款）（项）210：支出决算为64.46万元，完成预算100%，决算数等于预算数。</w:t>
      </w:r>
    </w:p>
    <w:p w14:paraId="3BE0A9BD">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住房保障支出（类）（款）（项）221：支出决算为80.96万元，完成预算100%，决算数等于预算数。</w:t>
      </w:r>
    </w:p>
    <w:p w14:paraId="5199AA36">
      <w:pPr>
        <w:tabs>
          <w:tab w:val="right" w:pos="8306"/>
        </w:tabs>
        <w:spacing w:line="600" w:lineRule="exact"/>
        <w:ind w:firstLine="640"/>
        <w:outlineLvl w:val="1"/>
        <w:rPr>
          <w:rStyle w:val="32"/>
          <w:rFonts w:ascii="Times New Roman" w:hAnsi="Times New Roman"/>
        </w:rPr>
      </w:pPr>
      <w:bookmarkStart w:id="50" w:name="_Toc20093"/>
      <w:bookmarkStart w:id="51" w:name="_Toc15377214"/>
      <w:bookmarkStart w:id="52" w:name="_Toc15396608"/>
      <w:r>
        <w:rPr>
          <w:rFonts w:hint="eastAsia" w:eastAsia="黑体"/>
          <w:sz w:val="32"/>
          <w:szCs w:val="32"/>
        </w:rPr>
        <w:t>六</w:t>
      </w:r>
      <w:r>
        <w:rPr>
          <w:rFonts w:hint="eastAsia" w:eastAsia="黑体"/>
          <w:b/>
          <w:sz w:val="32"/>
          <w:szCs w:val="32"/>
        </w:rPr>
        <w:t>、一</w:t>
      </w:r>
      <w:r>
        <w:rPr>
          <w:rStyle w:val="32"/>
          <w:rFonts w:hint="eastAsia" w:ascii="Times New Roman" w:hAnsi="Times New Roman" w:eastAsia="黑体"/>
          <w:b w:val="0"/>
        </w:rPr>
        <w:t>般公共预算财政拨款基本支出决算情况说明</w:t>
      </w:r>
      <w:bookmarkEnd w:id="50"/>
      <w:bookmarkEnd w:id="51"/>
      <w:bookmarkEnd w:id="52"/>
      <w:r>
        <w:rPr>
          <w:rStyle w:val="32"/>
          <w:rFonts w:ascii="Times New Roman" w:hAnsi="Times New Roman" w:eastAsia="黑体"/>
          <w:b w:val="0"/>
        </w:rPr>
        <w:tab/>
      </w:r>
    </w:p>
    <w:p w14:paraId="27342E18">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1002.59万</w:t>
      </w:r>
      <w:r>
        <w:rPr>
          <w:rFonts w:hint="eastAsia" w:eastAsia="仿宋_GB2312" w:cs="仿宋_GB2312"/>
          <w:sz w:val="32"/>
          <w:szCs w:val="32"/>
        </w:rPr>
        <w:t>元，其中：</w:t>
      </w:r>
    </w:p>
    <w:p w14:paraId="16BBD592">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898.99万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103.6万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554D5EF">
      <w:pPr>
        <w:spacing w:line="600" w:lineRule="exact"/>
        <w:ind w:firstLine="640"/>
        <w:outlineLvl w:val="1"/>
        <w:rPr>
          <w:rStyle w:val="32"/>
          <w:rFonts w:ascii="Times New Roman" w:hAnsi="Times New Roman" w:eastAsia="黑体"/>
          <w:b w:val="0"/>
        </w:rPr>
      </w:pPr>
      <w:bookmarkStart w:id="53" w:name="_Toc15377215"/>
      <w:bookmarkStart w:id="54" w:name="_Toc16759"/>
      <w:bookmarkStart w:id="55" w:name="_Toc15396609"/>
      <w:r>
        <w:rPr>
          <w:rFonts w:hint="eastAsia" w:eastAsia="黑体"/>
          <w:sz w:val="32"/>
          <w:szCs w:val="32"/>
        </w:rPr>
        <w:t>七、</w:t>
      </w:r>
      <w:r>
        <w:rPr>
          <w:rStyle w:val="32"/>
          <w:rFonts w:hint="eastAsia" w:ascii="Times New Roman" w:hAnsi="Times New Roman" w:eastAsia="黑体"/>
          <w:b w:val="0"/>
        </w:rPr>
        <w:t>财政拨款</w:t>
      </w:r>
      <w:r>
        <w:rPr>
          <w:rStyle w:val="32"/>
          <w:rFonts w:hint="eastAsia" w:ascii="Times New Roman" w:hAnsi="Times New Roman" w:eastAsia="黑体"/>
        </w:rPr>
        <w:t>“</w:t>
      </w:r>
      <w:r>
        <w:rPr>
          <w:rStyle w:val="32"/>
          <w:rFonts w:hint="eastAsia" w:ascii="Times New Roman" w:hAnsi="Times New Roman" w:eastAsia="黑体"/>
          <w:b w:val="0"/>
        </w:rPr>
        <w:t>三公”经费支出决算情况说明</w:t>
      </w:r>
      <w:bookmarkEnd w:id="53"/>
      <w:bookmarkEnd w:id="54"/>
      <w:bookmarkEnd w:id="55"/>
    </w:p>
    <w:p w14:paraId="65E9237D">
      <w:pPr>
        <w:spacing w:line="600" w:lineRule="exact"/>
        <w:ind w:firstLine="643" w:firstLineChars="200"/>
        <w:outlineLvl w:val="2"/>
        <w:rPr>
          <w:rFonts w:eastAsia="楷体_GB2312" w:cs="楷体_GB2312"/>
          <w:b/>
          <w:sz w:val="32"/>
          <w:szCs w:val="32"/>
        </w:rPr>
      </w:pPr>
      <w:bookmarkStart w:id="56" w:name="_Toc15377216"/>
      <w:bookmarkStart w:id="57" w:name="_Toc29676"/>
      <w:r>
        <w:rPr>
          <w:rFonts w:hint="eastAsia" w:eastAsia="楷体_GB2312" w:cs="楷体_GB2312"/>
          <w:b/>
          <w:sz w:val="32"/>
          <w:szCs w:val="32"/>
        </w:rPr>
        <w:t>（一）“三公”经费财政拨款支出决算总体情况说明</w:t>
      </w:r>
      <w:bookmarkEnd w:id="56"/>
      <w:bookmarkEnd w:id="57"/>
    </w:p>
    <w:p w14:paraId="711DF1E4">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53.18万元，完成预算100%，</w:t>
      </w:r>
      <w:r>
        <w:rPr>
          <w:rFonts w:hint="eastAsia" w:eastAsia="仿宋_GB2312" w:cs="仿宋_GB2312"/>
          <w:sz w:val="32"/>
          <w:szCs w:val="32"/>
        </w:rPr>
        <w:t>较上年度减少22.51万元，下降29.74%。决算数等于预算数。</w:t>
      </w:r>
    </w:p>
    <w:p w14:paraId="48579E2B">
      <w:pPr>
        <w:spacing w:line="600" w:lineRule="exact"/>
        <w:ind w:firstLine="643" w:firstLineChars="200"/>
        <w:outlineLvl w:val="2"/>
        <w:rPr>
          <w:rFonts w:eastAsia="楷体_GB2312" w:cs="楷体_GB2312"/>
          <w:b/>
          <w:sz w:val="32"/>
          <w:szCs w:val="32"/>
        </w:rPr>
      </w:pPr>
      <w:bookmarkStart w:id="58" w:name="_Toc15377217"/>
      <w:bookmarkStart w:id="59" w:name="_Toc25687"/>
      <w:r>
        <w:rPr>
          <w:rFonts w:hint="eastAsia" w:eastAsia="楷体_GB2312" w:cs="楷体_GB2312"/>
          <w:b/>
          <w:sz w:val="32"/>
          <w:szCs w:val="32"/>
        </w:rPr>
        <w:t>（二）“三公”经费财政拨款支出决算具体情况说明</w:t>
      </w:r>
      <w:bookmarkEnd w:id="58"/>
      <w:bookmarkEnd w:id="59"/>
    </w:p>
    <w:p w14:paraId="4D5359ED">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2024年度“三公”经费财政拨款支出决算中，因公出国（境）费支出决算0万元，占0%；公务用车购置及运行维护费支出决算51.81万元，占97.42%；公务接待费支出决算1.38万元，占2.58%。具体情况如下：</w:t>
      </w:r>
    </w:p>
    <w:p w14:paraId="12939605">
      <w:pPr>
        <w:spacing w:line="600" w:lineRule="exact"/>
        <w:rPr>
          <w:rFonts w:hint="eastAsia" w:ascii="仿宋_GB2312" w:hAnsi="仿宋_GB2312" w:eastAsia="仿宋_GB2312" w:cs="仿宋_GB2312"/>
          <w:sz w:val="32"/>
          <w:szCs w:val="32"/>
        </w:rPr>
      </w:pPr>
    </w:p>
    <w:p w14:paraId="122F1688">
      <w:pPr>
        <w:spacing w:line="600" w:lineRule="exact"/>
        <w:rPr>
          <w:rFonts w:hint="eastAsia" w:ascii="仿宋_GB2312" w:hAnsi="仿宋_GB2312" w:eastAsia="仿宋_GB2312" w:cs="仿宋_GB2312"/>
          <w:sz w:val="32"/>
          <w:szCs w:val="32"/>
        </w:rPr>
      </w:pPr>
    </w:p>
    <w:p w14:paraId="78F39990">
      <w:pPr>
        <w:spacing w:line="600" w:lineRule="exact"/>
        <w:rPr>
          <w:rFonts w:hint="eastAsia" w:ascii="仿宋_GB2312" w:hAnsi="仿宋_GB2312" w:eastAsia="仿宋_GB2312" w:cs="仿宋_GB2312"/>
          <w:sz w:val="32"/>
          <w:szCs w:val="32"/>
        </w:rPr>
      </w:pPr>
    </w:p>
    <w:p w14:paraId="11D12889">
      <w:pPr>
        <w:spacing w:line="600" w:lineRule="exact"/>
        <w:rPr>
          <w:rFonts w:hint="eastAsia" w:ascii="仿宋_GB2312" w:hAnsi="仿宋_GB2312" w:eastAsia="仿宋_GB2312" w:cs="仿宋_GB2312"/>
          <w:sz w:val="32"/>
          <w:szCs w:val="32"/>
        </w:rPr>
      </w:pPr>
    </w:p>
    <w:p w14:paraId="43F6EBA1">
      <w:pPr>
        <w:spacing w:line="600" w:lineRule="exact"/>
        <w:rPr>
          <w:rFonts w:hint="eastAsia" w:ascii="仿宋_GB2312" w:hAnsi="仿宋_GB2312" w:eastAsia="仿宋_GB2312" w:cs="仿宋_GB2312"/>
          <w:sz w:val="32"/>
          <w:szCs w:val="32"/>
        </w:rPr>
      </w:pPr>
    </w:p>
    <w:p w14:paraId="53C1D610">
      <w:pPr>
        <w:spacing w:line="600" w:lineRule="exact"/>
        <w:ind w:firstLine="640"/>
        <w:rPr>
          <w:rFonts w:hint="eastAsia" w:eastAsia="仿宋_GB2312" w:cs="仿宋_GB2312"/>
          <w:sz w:val="32"/>
          <w:szCs w:val="32"/>
        </w:rPr>
      </w:pPr>
    </w:p>
    <w:p w14:paraId="3811BFA7">
      <w:pPr>
        <w:spacing w:line="600" w:lineRule="exact"/>
        <w:ind w:firstLine="640"/>
        <w:rPr>
          <w:rFonts w:hint="eastAsia" w:eastAsia="仿宋_GB2312" w:cs="仿宋_GB2312"/>
          <w:sz w:val="32"/>
          <w:szCs w:val="32"/>
        </w:rPr>
      </w:pPr>
    </w:p>
    <w:p w14:paraId="65CAFE75">
      <w:pPr>
        <w:spacing w:line="600" w:lineRule="exact"/>
        <w:ind w:firstLine="640"/>
        <w:rPr>
          <w:rFonts w:hint="eastAsia" w:eastAsia="仿宋_GB2312" w:cs="仿宋_GB2312"/>
          <w:sz w:val="32"/>
          <w:szCs w:val="32"/>
        </w:rPr>
      </w:pPr>
      <w:r>
        <w:drawing>
          <wp:anchor distT="0" distB="0" distL="114300" distR="114300" simplePos="0" relativeHeight="251662336" behindDoc="1" locked="0" layoutInCell="1" allowOverlap="1">
            <wp:simplePos x="0" y="0"/>
            <wp:positionH relativeFrom="column">
              <wp:posOffset>410845</wp:posOffset>
            </wp:positionH>
            <wp:positionV relativeFrom="paragraph">
              <wp:posOffset>-2453005</wp:posOffset>
            </wp:positionV>
            <wp:extent cx="4572000" cy="2743200"/>
            <wp:effectExtent l="4445" t="4445" r="14605" b="14605"/>
            <wp:wrapTight wrapText="bothSides">
              <wp:wrapPolygon>
                <wp:start x="-21" y="-35"/>
                <wp:lineTo x="-21" y="21565"/>
                <wp:lineTo x="21579" y="21565"/>
                <wp:lineTo x="21579" y="-35"/>
                <wp:lineTo x="-21" y="-35"/>
              </wp:wrapPolygon>
            </wp:wrapTight>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34A87F22">
      <w:pPr>
        <w:spacing w:line="600" w:lineRule="exact"/>
        <w:ind w:firstLine="640"/>
        <w:rPr>
          <w:rFonts w:eastAsia="仿宋_GB2312" w:cs="仿宋_GB2312"/>
          <w:sz w:val="32"/>
          <w:szCs w:val="32"/>
        </w:rPr>
      </w:pPr>
      <w:r>
        <w:rPr>
          <w:rFonts w:hint="eastAsia" w:eastAsia="仿宋_GB2312" w:cs="仿宋_GB2312"/>
          <w:sz w:val="32"/>
          <w:szCs w:val="32"/>
        </w:rPr>
        <w:t>（图7：“</w:t>
      </w:r>
      <w:bookmarkStart w:id="60" w:name="OLE_LINK3"/>
      <w:r>
        <w:rPr>
          <w:rFonts w:hint="eastAsia" w:eastAsia="仿宋_GB2312" w:cs="仿宋_GB2312"/>
          <w:sz w:val="32"/>
          <w:szCs w:val="32"/>
        </w:rPr>
        <w:t>三公”经费财政拨款支出结构</w:t>
      </w:r>
      <w:bookmarkEnd w:id="60"/>
      <w:r>
        <w:rPr>
          <w:rFonts w:hint="eastAsia" w:eastAsia="仿宋_GB2312" w:cs="仿宋_GB2312"/>
          <w:sz w:val="32"/>
          <w:szCs w:val="32"/>
        </w:rPr>
        <w:t>）（饼状图）</w:t>
      </w:r>
    </w:p>
    <w:p w14:paraId="502B250A">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14:paraId="2F73C1F4">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51.81万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公务用车购置及运行维护费支出决算比2023年度减少万元，下降29.85%。主要原因2023年度购置车价较高。其中：公务用车购置支</w:t>
      </w:r>
      <w:r>
        <w:rPr>
          <w:rFonts w:hint="eastAsia" w:ascii="仿宋_GB2312" w:hAnsi="仿宋_GB2312" w:eastAsia="仿宋_GB2312" w:cs="仿宋_GB2312"/>
          <w:sz w:val="32"/>
          <w:szCs w:val="32"/>
        </w:rPr>
        <w:t>出46.5</w:t>
      </w:r>
      <w:r>
        <w:rPr>
          <w:rFonts w:hint="eastAsia" w:eastAsia="仿宋_GB2312" w:cs="仿宋_GB2312"/>
          <w:sz w:val="32"/>
          <w:szCs w:val="32"/>
        </w:rPr>
        <w:t>万元。全年按规定更新购置公务用车2辆，其中：轿车1辆、金额23万元，越野车1辆、金额23.5万元，主要用于执法执勤。截至2024年12月31日，单位共有公务用车12辆，其中：</w:t>
      </w:r>
      <w:r>
        <w:rPr>
          <w:rFonts w:hint="eastAsia" w:ascii="仿宋_GB2312" w:eastAsia="仿宋_GB2312"/>
          <w:sz w:val="32"/>
          <w:szCs w:val="32"/>
        </w:rPr>
        <w:t>轿车2辆、越野车8辆、载客汽车2辆。</w:t>
      </w: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出5.31</w:t>
      </w:r>
      <w:r>
        <w:rPr>
          <w:rFonts w:hint="eastAsia" w:eastAsia="仿宋_GB2312" w:cs="仿宋_GB2312"/>
          <w:sz w:val="32"/>
          <w:szCs w:val="32"/>
        </w:rPr>
        <w:t>万元。主要用于审判、执行所需的公务用车燃料费、维修费、过路过桥费、保险费等支出。</w:t>
      </w:r>
    </w:p>
    <w:p w14:paraId="23B8264B">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1.38万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公务接待费支出决算比2023年度减少0.47万元，下降25.51%。主要原因是厉行勤俭节约。其中：</w:t>
      </w:r>
    </w:p>
    <w:p w14:paraId="37099FD1">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出1.38万</w:t>
      </w:r>
      <w:r>
        <w:rPr>
          <w:rFonts w:hint="eastAsia" w:eastAsia="仿宋_GB2312" w:cs="仿宋_GB2312"/>
          <w:sz w:val="32"/>
          <w:szCs w:val="32"/>
        </w:rPr>
        <w:t>元，主要用于执行公务、开展业务活动开支的交通费、住宿费、用餐费等。国内公务接</w:t>
      </w:r>
      <w:r>
        <w:rPr>
          <w:rFonts w:hint="eastAsia" w:ascii="仿宋_GB2312" w:hAnsi="仿宋_GB2312" w:eastAsia="仿宋_GB2312" w:cs="仿宋_GB2312"/>
          <w:sz w:val="32"/>
          <w:szCs w:val="32"/>
        </w:rPr>
        <w:t>待8批次，30</w:t>
      </w:r>
      <w:r>
        <w:rPr>
          <w:rFonts w:hint="eastAsia" w:eastAsia="仿宋_GB2312" w:cs="仿宋_GB2312"/>
          <w:sz w:val="32"/>
          <w:szCs w:val="32"/>
        </w:rPr>
        <w:t>人次（不包括陪同人员），共计支出1.38万元，具体内容包括：上级部门检查、调研，对口援助法院开展援助工作。</w:t>
      </w:r>
    </w:p>
    <w:p w14:paraId="7D3512EC">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bookmarkStart w:id="61" w:name="_Toc15377218"/>
      <w:bookmarkStart w:id="62" w:name="_Toc15396610"/>
    </w:p>
    <w:p w14:paraId="09B9404C">
      <w:pPr>
        <w:spacing w:line="600" w:lineRule="exact"/>
        <w:ind w:firstLine="640"/>
        <w:outlineLvl w:val="1"/>
        <w:rPr>
          <w:rStyle w:val="32"/>
          <w:rFonts w:ascii="Times New Roman" w:hAnsi="Times New Roman" w:eastAsia="黑体"/>
        </w:rPr>
      </w:pPr>
      <w:bookmarkStart w:id="63" w:name="_Toc15843"/>
      <w:r>
        <w:rPr>
          <w:rFonts w:hint="eastAsia" w:eastAsia="黑体"/>
          <w:sz w:val="32"/>
          <w:szCs w:val="32"/>
        </w:rPr>
        <w:t>八、</w:t>
      </w:r>
      <w:r>
        <w:rPr>
          <w:rStyle w:val="32"/>
          <w:rFonts w:hint="eastAsia" w:ascii="Times New Roman" w:hAnsi="Times New Roman" w:eastAsia="黑体"/>
          <w:b w:val="0"/>
        </w:rPr>
        <w:t>政府性基金预算支出决算情况说明</w:t>
      </w:r>
      <w:bookmarkEnd w:id="61"/>
      <w:bookmarkEnd w:id="62"/>
      <w:bookmarkEnd w:id="63"/>
    </w:p>
    <w:p w14:paraId="01FED87C">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。与2023年度相比，政府性基金预算财政拨款支出相等。</w:t>
      </w:r>
    </w:p>
    <w:p w14:paraId="6103881C">
      <w:pPr>
        <w:spacing w:line="600" w:lineRule="exact"/>
        <w:ind w:left="630"/>
        <w:outlineLvl w:val="1"/>
        <w:rPr>
          <w:rStyle w:val="32"/>
          <w:rFonts w:ascii="Times New Roman" w:hAnsi="Times New Roman" w:eastAsia="黑体"/>
          <w:b w:val="0"/>
        </w:rPr>
      </w:pPr>
      <w:bookmarkStart w:id="64" w:name="_Toc15396611"/>
      <w:bookmarkStart w:id="65" w:name="_Toc15377219"/>
      <w:bookmarkStart w:id="66" w:name="_Toc10816"/>
      <w:r>
        <w:rPr>
          <w:rStyle w:val="32"/>
          <w:rFonts w:hint="eastAsia" w:ascii="Times New Roman" w:hAnsi="Times New Roman" w:eastAsia="黑体"/>
          <w:b w:val="0"/>
        </w:rPr>
        <w:t>九、国有资本经营预算支出决算情况说明</w:t>
      </w:r>
      <w:bookmarkEnd w:id="64"/>
      <w:bookmarkEnd w:id="65"/>
      <w:bookmarkEnd w:id="66"/>
    </w:p>
    <w:p w14:paraId="531FE320">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。与2023年度相比，国有资本经营预算财政拨款支出相等。</w:t>
      </w:r>
    </w:p>
    <w:p w14:paraId="4748D8AE">
      <w:pPr>
        <w:spacing w:line="600" w:lineRule="exact"/>
        <w:ind w:left="630"/>
        <w:outlineLvl w:val="1"/>
        <w:rPr>
          <w:rStyle w:val="32"/>
          <w:rFonts w:ascii="Times New Roman" w:hAnsi="Times New Roman" w:eastAsia="黑体"/>
          <w:b w:val="0"/>
        </w:rPr>
      </w:pPr>
      <w:bookmarkStart w:id="67" w:name="_Toc15377221"/>
      <w:bookmarkStart w:id="68" w:name="_Toc19926"/>
      <w:bookmarkStart w:id="69" w:name="_Toc15396612"/>
      <w:r>
        <w:rPr>
          <w:rStyle w:val="32"/>
          <w:rFonts w:hint="eastAsia" w:ascii="Times New Roman" w:hAnsi="Times New Roman" w:eastAsia="黑体"/>
          <w:b w:val="0"/>
        </w:rPr>
        <w:t>十、其他重要事项的情况说明</w:t>
      </w:r>
      <w:bookmarkEnd w:id="67"/>
      <w:bookmarkEnd w:id="68"/>
      <w:bookmarkEnd w:id="69"/>
    </w:p>
    <w:p w14:paraId="3A5C9A8B">
      <w:pPr>
        <w:spacing w:line="600" w:lineRule="exact"/>
        <w:ind w:firstLine="643" w:firstLineChars="200"/>
        <w:outlineLvl w:val="2"/>
        <w:rPr>
          <w:rFonts w:eastAsia="楷体_GB2312" w:cs="楷体_GB2312"/>
          <w:b/>
          <w:sz w:val="32"/>
          <w:szCs w:val="32"/>
        </w:rPr>
      </w:pPr>
      <w:bookmarkStart w:id="70" w:name="_Toc15377222"/>
      <w:bookmarkStart w:id="71" w:name="_Toc28159"/>
      <w:r>
        <w:rPr>
          <w:rFonts w:hint="eastAsia" w:eastAsia="楷体_GB2312" w:cs="楷体_GB2312"/>
          <w:b/>
          <w:sz w:val="32"/>
          <w:szCs w:val="32"/>
        </w:rPr>
        <w:t>（一）机关运行经费支出情况</w:t>
      </w:r>
      <w:bookmarkEnd w:id="70"/>
      <w:bookmarkEnd w:id="71"/>
    </w:p>
    <w:p w14:paraId="5111A9F3">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，理县人民法院机关运行经费支出103.6万</w:t>
      </w:r>
      <w:r>
        <w:rPr>
          <w:rFonts w:hint="eastAsia" w:eastAsia="仿宋_GB2312" w:cs="仿宋_GB2312"/>
          <w:sz w:val="32"/>
          <w:szCs w:val="32"/>
        </w:rPr>
        <w:t>元，比2023年度增加32.03万元，增长44.75%，主要原因是本年度增加5人，人员经费增加。</w:t>
      </w:r>
    </w:p>
    <w:p w14:paraId="0E0EDF02">
      <w:pPr>
        <w:spacing w:line="600" w:lineRule="exact"/>
        <w:ind w:firstLine="643" w:firstLineChars="200"/>
        <w:outlineLvl w:val="2"/>
        <w:rPr>
          <w:rFonts w:eastAsia="楷体_GB2312" w:cs="楷体_GB2312"/>
          <w:b/>
          <w:sz w:val="32"/>
          <w:szCs w:val="32"/>
        </w:rPr>
      </w:pPr>
      <w:bookmarkStart w:id="72" w:name="_Toc15377223"/>
      <w:bookmarkStart w:id="73" w:name="_Toc24052"/>
      <w:r>
        <w:rPr>
          <w:rFonts w:hint="eastAsia" w:eastAsia="楷体_GB2312" w:cs="楷体_GB2312"/>
          <w:b/>
          <w:sz w:val="32"/>
          <w:szCs w:val="32"/>
        </w:rPr>
        <w:t>（二）政府采购支出情况</w:t>
      </w:r>
      <w:bookmarkEnd w:id="72"/>
      <w:bookmarkEnd w:id="73"/>
    </w:p>
    <w:p w14:paraId="61CD5888">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理县人民法院政府采购支出总额81.65万元，其中：政府采购货物支出81.65万元、政府采购工程支出0万元、政府采购服务支出0万元。主要用于办案装备采购。授予中小企业合同金额0万元，占政府采购支出总额的0%，其中：授予小微企业合同金额0万元，占政府采购支出总额的0%。</w:t>
      </w:r>
    </w:p>
    <w:p w14:paraId="68195C45">
      <w:pPr>
        <w:spacing w:line="600" w:lineRule="exact"/>
        <w:ind w:firstLine="643" w:firstLineChars="200"/>
        <w:outlineLvl w:val="2"/>
        <w:rPr>
          <w:rFonts w:eastAsia="楷体_GB2312" w:cs="楷体_GB2312"/>
          <w:b/>
          <w:sz w:val="32"/>
          <w:szCs w:val="32"/>
        </w:rPr>
      </w:pPr>
      <w:bookmarkStart w:id="74" w:name="_Toc15377224"/>
      <w:bookmarkStart w:id="75" w:name="_Toc2357"/>
      <w:r>
        <w:rPr>
          <w:rFonts w:hint="eastAsia" w:eastAsia="楷体_GB2312" w:cs="楷体_GB2312"/>
          <w:b/>
          <w:sz w:val="32"/>
          <w:szCs w:val="32"/>
        </w:rPr>
        <w:t>（三）国有资产占有使用情况</w:t>
      </w:r>
      <w:bookmarkEnd w:id="74"/>
      <w:bookmarkEnd w:id="75"/>
    </w:p>
    <w:p w14:paraId="28CC1EFB">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截至2024年12月31日，理县人民法院共有车辆12辆，其中：主要负责人用车0辆、机要通信用车0辆、应急保障用车0辆、其他用车0辆，执法执勤用车12辆。单价100万元（含）以上设备（不含车辆）0台（套）</w:t>
      </w:r>
      <w:r>
        <w:rPr>
          <w:rFonts w:hint="eastAsia" w:eastAsia="仿宋_GB2312" w:cs="仿宋_GB2312"/>
          <w:sz w:val="32"/>
          <w:szCs w:val="32"/>
        </w:rPr>
        <w:t>。</w:t>
      </w:r>
    </w:p>
    <w:p w14:paraId="1D30C499">
      <w:pPr>
        <w:spacing w:line="600" w:lineRule="exact"/>
        <w:ind w:firstLine="643" w:firstLineChars="200"/>
        <w:outlineLvl w:val="2"/>
        <w:rPr>
          <w:rFonts w:eastAsia="楷体_GB2312" w:cs="楷体_GB2312"/>
          <w:b/>
          <w:sz w:val="32"/>
          <w:szCs w:val="32"/>
        </w:rPr>
      </w:pPr>
      <w:bookmarkStart w:id="76" w:name="_Toc4292"/>
      <w:r>
        <w:rPr>
          <w:rFonts w:hint="eastAsia" w:eastAsia="楷体_GB2312" w:cs="楷体_GB2312"/>
          <w:b/>
          <w:sz w:val="32"/>
          <w:szCs w:val="32"/>
        </w:rPr>
        <w:t>（四）预算绩效管理情况</w:t>
      </w:r>
      <w:bookmarkEnd w:id="76"/>
    </w:p>
    <w:p w14:paraId="0D92FABE">
      <w:pPr>
        <w:spacing w:line="600" w:lineRule="exact"/>
        <w:ind w:firstLine="640"/>
        <w:rPr>
          <w:rFonts w:eastAsia="仿宋_GB2312" w:cs="仿宋_GB2312"/>
          <w:sz w:val="32"/>
          <w:szCs w:val="32"/>
        </w:rPr>
      </w:pPr>
      <w:r>
        <w:rPr>
          <w:rFonts w:hint="eastAsia" w:eastAsia="仿宋_GB2312" w:cs="仿宋_GB2312"/>
          <w:sz w:val="32"/>
          <w:szCs w:val="32"/>
        </w:rPr>
        <w:t>根据预算绩效管理要求，我院在2024年度预算编制阶段，组织对办案经费等3个项目开展了预算事前绩效评估，对3个项目编制了绩效目标，预算执行过程中，选取3个项目开展绩效监控。</w:t>
      </w:r>
    </w:p>
    <w:p w14:paraId="2FD48FFD">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部门整体（含部门预算项目）绩效自评报告、转移支付资金等专项预算项目绩效自评报告，其中，我院部门整体（含部门预算项目）绩效自评得分为95.80分，绩效自评综述优秀；转移支付专项预算项目绩效自评得分为90分，绩效自评综述优秀。绩效自评报告详见附件。</w:t>
      </w:r>
    </w:p>
    <w:p w14:paraId="529A1DBE">
      <w:pPr>
        <w:spacing w:line="600" w:lineRule="exact"/>
        <w:jc w:val="center"/>
        <w:outlineLvl w:val="9"/>
        <w:rPr>
          <w:rFonts w:hint="eastAsia" w:eastAsia="黑体"/>
          <w:sz w:val="44"/>
          <w:szCs w:val="44"/>
        </w:rPr>
      </w:pPr>
      <w:bookmarkStart w:id="77" w:name="_Toc15377225"/>
      <w:bookmarkStart w:id="78" w:name="_Toc15396613"/>
    </w:p>
    <w:p w14:paraId="766FE0F8">
      <w:pPr>
        <w:spacing w:line="600" w:lineRule="exact"/>
        <w:jc w:val="center"/>
        <w:outlineLvl w:val="9"/>
        <w:rPr>
          <w:rFonts w:hint="eastAsia" w:eastAsia="黑体"/>
          <w:sz w:val="44"/>
          <w:szCs w:val="44"/>
        </w:rPr>
      </w:pPr>
    </w:p>
    <w:p w14:paraId="00C9EC54">
      <w:pPr>
        <w:spacing w:line="600" w:lineRule="exact"/>
        <w:jc w:val="center"/>
        <w:outlineLvl w:val="9"/>
        <w:rPr>
          <w:rFonts w:hint="eastAsia" w:eastAsia="黑体"/>
          <w:sz w:val="44"/>
          <w:szCs w:val="44"/>
        </w:rPr>
      </w:pPr>
    </w:p>
    <w:p w14:paraId="2FCEF49B">
      <w:pPr>
        <w:spacing w:line="600" w:lineRule="exact"/>
        <w:jc w:val="center"/>
        <w:outlineLvl w:val="0"/>
        <w:rPr>
          <w:rFonts w:eastAsia="黑体"/>
          <w:sz w:val="44"/>
          <w:szCs w:val="44"/>
        </w:rPr>
      </w:pPr>
      <w:bookmarkStart w:id="79" w:name="_Toc11789"/>
      <w:r>
        <w:rPr>
          <w:rFonts w:hint="eastAsia" w:eastAsia="黑体"/>
          <w:sz w:val="44"/>
          <w:szCs w:val="44"/>
        </w:rPr>
        <w:t>第三部分  名词解释</w:t>
      </w:r>
      <w:bookmarkEnd w:id="77"/>
      <w:bookmarkEnd w:id="78"/>
      <w:bookmarkEnd w:id="79"/>
    </w:p>
    <w:p w14:paraId="5772DEB7">
      <w:pPr>
        <w:spacing w:line="600" w:lineRule="exact"/>
        <w:jc w:val="left"/>
        <w:rPr>
          <w:b/>
          <w:sz w:val="44"/>
          <w:szCs w:val="44"/>
        </w:rPr>
      </w:pPr>
    </w:p>
    <w:p w14:paraId="359808CF">
      <w:pPr>
        <w:spacing w:line="600" w:lineRule="exact"/>
        <w:ind w:firstLine="640"/>
        <w:outlineLvl w:val="1"/>
        <w:rPr>
          <w:rFonts w:eastAsia="仿宋_GB2312" w:cs="仿宋_GB2312"/>
          <w:sz w:val="32"/>
          <w:szCs w:val="32"/>
        </w:rPr>
      </w:pPr>
      <w:bookmarkStart w:id="80" w:name="_Toc2687"/>
      <w:r>
        <w:rPr>
          <w:rFonts w:hint="eastAsia" w:eastAsia="仿宋_GB2312" w:cs="仿宋_GB2312"/>
          <w:sz w:val="32"/>
          <w:szCs w:val="32"/>
        </w:rPr>
        <w:t>1.财政拨款收入：指单位从同级财政部门取得的财政预算资金。</w:t>
      </w:r>
      <w:bookmarkEnd w:id="80"/>
    </w:p>
    <w:p w14:paraId="6350ABEC">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2B6CDD8A">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39988163">
      <w:pPr>
        <w:spacing w:line="600" w:lineRule="exact"/>
        <w:ind w:firstLine="640"/>
        <w:rPr>
          <w:rFonts w:eastAsia="仿宋_GB2312" w:cs="仿宋_GB2312"/>
          <w:sz w:val="32"/>
          <w:szCs w:val="32"/>
        </w:rPr>
      </w:pPr>
      <w:r>
        <w:rPr>
          <w:rFonts w:hint="eastAsia" w:eastAsia="仿宋_GB2312" w:cs="仿宋_GB2312"/>
          <w:sz w:val="32"/>
          <w:szCs w:val="32"/>
        </w:rPr>
        <w:t>4.其他收入：指单位取得的除上述收入以外的各项收入。主要是县级财政保障的基础绩效奖、目标奖、法检绩效、退休人员生活补助等。</w:t>
      </w:r>
    </w:p>
    <w:p w14:paraId="477F4AE6">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3BCA326E">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181D48FB">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6338D2CC">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26946B91">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1FEB7A89">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6658545A">
      <w:pPr>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55548649">
      <w:pPr>
        <w:pStyle w:val="29"/>
        <w:spacing w:line="560" w:lineRule="exact"/>
        <w:ind w:firstLine="640" w:firstLineChars="200"/>
        <w:rPr>
          <w:rFonts w:eastAsia="仿宋_GB2312" w:cs="仿宋_GB2312"/>
          <w:sz w:val="32"/>
          <w:szCs w:val="32"/>
        </w:rPr>
      </w:pPr>
      <w:r>
        <w:rPr>
          <w:rFonts w:hint="eastAsia" w:ascii="仿宋_GB2312" w:eastAsia="仿宋_GB2312"/>
          <w:color w:val="auto"/>
          <w:sz w:val="32"/>
          <w:szCs w:val="32"/>
        </w:rPr>
        <w:t>12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0E358E">
      <w:pPr>
        <w:spacing w:line="600" w:lineRule="exact"/>
        <w:ind w:firstLine="640"/>
        <w:rPr>
          <w:rFonts w:eastAsia="仿宋_GB2312" w:cs="仿宋_GB2312"/>
          <w:sz w:val="32"/>
          <w:szCs w:val="32"/>
        </w:rPr>
      </w:pPr>
      <w:r>
        <w:rPr>
          <w:rFonts w:hint="eastAsia" w:eastAsia="仿宋_GB2312" w:cs="仿宋_GB2312"/>
          <w:sz w:val="32"/>
          <w:szCs w:val="32"/>
        </w:rPr>
        <w:t>13.经营支出：指事业单位在专业业务活动及其辅助活动之外开展非独立核算经营活动发生的支出。</w:t>
      </w:r>
    </w:p>
    <w:p w14:paraId="6EA014AD">
      <w:pPr>
        <w:spacing w:line="600" w:lineRule="exact"/>
        <w:ind w:firstLine="640"/>
        <w:rPr>
          <w:rFonts w:eastAsia="仿宋_GB2312" w:cs="仿宋_GB2312"/>
          <w:sz w:val="32"/>
          <w:szCs w:val="32"/>
        </w:rPr>
      </w:pPr>
      <w:r>
        <w:rPr>
          <w:rFonts w:hint="eastAsia" w:eastAsia="仿宋_GB2312" w:cs="仿宋_GB2312"/>
          <w:sz w:val="32"/>
          <w:szCs w:val="32"/>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3E72D97">
      <w:pPr>
        <w:spacing w:line="600" w:lineRule="exact"/>
        <w:ind w:firstLine="640"/>
        <w:rPr>
          <w:rFonts w:eastAsia="仿宋_GB2312" w:cs="仿宋_GB2312"/>
          <w:sz w:val="32"/>
          <w:szCs w:val="32"/>
        </w:rPr>
      </w:pPr>
      <w:r>
        <w:rPr>
          <w:rFonts w:hint="eastAsia" w:eastAsia="仿宋_GB2312" w:cs="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105B61A">
      <w:pPr>
        <w:pStyle w:val="15"/>
        <w:ind w:firstLine="640" w:firstLineChars="200"/>
        <w:rPr>
          <w:rFonts w:eastAsia="仿宋_GB2312" w:cs="仿宋_GB2312"/>
          <w:sz w:val="32"/>
          <w:szCs w:val="32"/>
        </w:rPr>
      </w:pPr>
      <w:r>
        <w:rPr>
          <w:rFonts w:hint="eastAsia" w:eastAsia="仿宋_GB2312" w:cs="仿宋_GB2312"/>
          <w:sz w:val="32"/>
          <w:szCs w:val="32"/>
        </w:rPr>
        <w:t>16. 一般公共服务支出（204）：反映政府提供一般公共服务的支出。法院的此项支出主要为“公共安全支出”，用于保障法院正常运转、履行审判职能等。</w:t>
      </w:r>
    </w:p>
    <w:p w14:paraId="3896D8D8">
      <w:pPr>
        <w:pStyle w:val="15"/>
        <w:ind w:firstLine="640" w:firstLineChars="200"/>
        <w:rPr>
          <w:rFonts w:eastAsia="仿宋_GB2312" w:cs="仿宋_GB2312"/>
          <w:sz w:val="32"/>
          <w:szCs w:val="32"/>
        </w:rPr>
      </w:pPr>
      <w:r>
        <w:rPr>
          <w:rFonts w:hint="eastAsia" w:eastAsia="仿宋_GB2312" w:cs="仿宋_GB2312"/>
          <w:sz w:val="32"/>
          <w:szCs w:val="32"/>
        </w:rPr>
        <w:t>17. 社会保障和就业支出（208）：反映政府在社会保障与就业方面的支出。包括机关事业单位基本养老保险缴费、职业年金缴费等。</w:t>
      </w:r>
    </w:p>
    <w:p w14:paraId="298F1627">
      <w:pPr>
        <w:pStyle w:val="15"/>
        <w:ind w:firstLine="640" w:firstLineChars="200"/>
        <w:rPr>
          <w:rFonts w:eastAsia="仿宋_GB2312" w:cs="仿宋_GB2312"/>
          <w:sz w:val="32"/>
          <w:szCs w:val="32"/>
        </w:rPr>
      </w:pPr>
      <w:r>
        <w:rPr>
          <w:rFonts w:hint="eastAsia" w:eastAsia="仿宋_GB2312" w:cs="仿宋_GB2312"/>
          <w:sz w:val="32"/>
          <w:szCs w:val="32"/>
        </w:rPr>
        <w:t>18. 卫生健康支出（210）：反映政府在卫生健康方面的支出。主要是职工基本医疗保险缴费等。</w:t>
      </w:r>
    </w:p>
    <w:p w14:paraId="13762A0E">
      <w:pPr>
        <w:pStyle w:val="15"/>
        <w:ind w:firstLine="640" w:firstLineChars="200"/>
        <w:rPr>
          <w:rFonts w:eastAsia="仿宋_GB2312" w:cs="仿宋_GB2312"/>
          <w:sz w:val="32"/>
          <w:szCs w:val="32"/>
        </w:rPr>
      </w:pPr>
      <w:r>
        <w:rPr>
          <w:rFonts w:hint="eastAsia" w:eastAsia="仿宋_GB2312" w:cs="仿宋_GB2312"/>
          <w:sz w:val="32"/>
          <w:szCs w:val="32"/>
        </w:rPr>
        <w:t>19. 住房保障支出（221）：反映政府用于住房保障方面的支出。主要是按规定为职工缴纳的住房公积金。</w:t>
      </w:r>
    </w:p>
    <w:p w14:paraId="64279D92">
      <w:pPr>
        <w:spacing w:line="600" w:lineRule="exact"/>
        <w:jc w:val="center"/>
        <w:rPr>
          <w:rFonts w:eastAsia="黑体"/>
          <w:sz w:val="44"/>
          <w:szCs w:val="44"/>
        </w:rPr>
      </w:pPr>
      <w:bookmarkStart w:id="81" w:name="_Toc15396614"/>
      <w:bookmarkStart w:id="82" w:name="_Toc15377226"/>
    </w:p>
    <w:p w14:paraId="398F4F08">
      <w:pPr>
        <w:spacing w:line="600" w:lineRule="exact"/>
        <w:jc w:val="center"/>
        <w:rPr>
          <w:rFonts w:eastAsia="黑体"/>
          <w:sz w:val="44"/>
          <w:szCs w:val="44"/>
        </w:rPr>
      </w:pPr>
    </w:p>
    <w:p w14:paraId="38B8256F">
      <w:pPr>
        <w:spacing w:line="600" w:lineRule="exact"/>
        <w:jc w:val="center"/>
        <w:rPr>
          <w:rFonts w:eastAsia="黑体"/>
          <w:sz w:val="44"/>
          <w:szCs w:val="44"/>
        </w:rPr>
      </w:pPr>
    </w:p>
    <w:p w14:paraId="2FADC056">
      <w:pPr>
        <w:spacing w:line="600" w:lineRule="exact"/>
        <w:jc w:val="center"/>
        <w:rPr>
          <w:rFonts w:eastAsia="黑体"/>
          <w:sz w:val="44"/>
          <w:szCs w:val="44"/>
        </w:rPr>
      </w:pPr>
    </w:p>
    <w:p w14:paraId="558FBCF4">
      <w:pPr>
        <w:spacing w:line="600" w:lineRule="exact"/>
        <w:jc w:val="center"/>
        <w:rPr>
          <w:rFonts w:eastAsia="黑体"/>
          <w:sz w:val="44"/>
          <w:szCs w:val="44"/>
        </w:rPr>
      </w:pPr>
    </w:p>
    <w:p w14:paraId="1BDDD30E">
      <w:pPr>
        <w:spacing w:line="600" w:lineRule="exact"/>
        <w:jc w:val="center"/>
        <w:rPr>
          <w:rFonts w:eastAsia="黑体"/>
          <w:sz w:val="44"/>
          <w:szCs w:val="44"/>
        </w:rPr>
      </w:pPr>
    </w:p>
    <w:p w14:paraId="3ED93657">
      <w:pPr>
        <w:spacing w:line="600" w:lineRule="exact"/>
        <w:jc w:val="center"/>
        <w:rPr>
          <w:rFonts w:eastAsia="黑体"/>
          <w:sz w:val="44"/>
          <w:szCs w:val="44"/>
        </w:rPr>
      </w:pPr>
    </w:p>
    <w:p w14:paraId="790A10B3">
      <w:pPr>
        <w:spacing w:line="600" w:lineRule="exact"/>
        <w:jc w:val="center"/>
        <w:rPr>
          <w:rFonts w:eastAsia="黑体"/>
          <w:sz w:val="44"/>
          <w:szCs w:val="44"/>
        </w:rPr>
      </w:pPr>
    </w:p>
    <w:p w14:paraId="7888083B">
      <w:pPr>
        <w:spacing w:line="600" w:lineRule="exact"/>
        <w:jc w:val="center"/>
        <w:rPr>
          <w:rFonts w:eastAsia="黑体"/>
          <w:sz w:val="44"/>
          <w:szCs w:val="44"/>
        </w:rPr>
      </w:pPr>
    </w:p>
    <w:p w14:paraId="15933075">
      <w:pPr>
        <w:spacing w:line="600" w:lineRule="exact"/>
        <w:jc w:val="center"/>
        <w:rPr>
          <w:rFonts w:eastAsia="黑体"/>
          <w:sz w:val="44"/>
          <w:szCs w:val="44"/>
        </w:rPr>
      </w:pPr>
    </w:p>
    <w:p w14:paraId="23E3CD5E">
      <w:pPr>
        <w:spacing w:line="600" w:lineRule="exact"/>
        <w:jc w:val="center"/>
        <w:rPr>
          <w:rFonts w:eastAsia="黑体"/>
          <w:sz w:val="44"/>
          <w:szCs w:val="44"/>
        </w:rPr>
      </w:pPr>
    </w:p>
    <w:p w14:paraId="578F67DB">
      <w:pPr>
        <w:spacing w:line="600" w:lineRule="exact"/>
        <w:jc w:val="center"/>
        <w:rPr>
          <w:rFonts w:eastAsia="黑体"/>
          <w:sz w:val="44"/>
          <w:szCs w:val="44"/>
        </w:rPr>
      </w:pPr>
    </w:p>
    <w:p w14:paraId="17FECBFF">
      <w:pPr>
        <w:spacing w:line="600" w:lineRule="exact"/>
        <w:jc w:val="center"/>
        <w:rPr>
          <w:rFonts w:eastAsia="黑体"/>
          <w:sz w:val="44"/>
          <w:szCs w:val="44"/>
        </w:rPr>
      </w:pPr>
    </w:p>
    <w:p w14:paraId="57D4A55F">
      <w:pPr>
        <w:spacing w:line="600" w:lineRule="exact"/>
        <w:jc w:val="center"/>
        <w:rPr>
          <w:rFonts w:eastAsia="黑体"/>
          <w:sz w:val="44"/>
          <w:szCs w:val="44"/>
        </w:rPr>
      </w:pPr>
    </w:p>
    <w:p w14:paraId="596FDE21">
      <w:pPr>
        <w:spacing w:line="600" w:lineRule="exact"/>
        <w:jc w:val="center"/>
        <w:rPr>
          <w:rFonts w:eastAsia="黑体"/>
          <w:sz w:val="44"/>
          <w:szCs w:val="44"/>
        </w:rPr>
      </w:pPr>
    </w:p>
    <w:p w14:paraId="704F0C8C">
      <w:pPr>
        <w:spacing w:line="600" w:lineRule="exact"/>
        <w:rPr>
          <w:rFonts w:eastAsia="黑体"/>
          <w:sz w:val="44"/>
          <w:szCs w:val="44"/>
        </w:rPr>
      </w:pPr>
    </w:p>
    <w:p w14:paraId="3EAB384A">
      <w:pPr>
        <w:spacing w:line="600" w:lineRule="exact"/>
        <w:jc w:val="center"/>
        <w:rPr>
          <w:rFonts w:eastAsia="黑体"/>
          <w:sz w:val="44"/>
          <w:szCs w:val="44"/>
        </w:rPr>
      </w:pPr>
    </w:p>
    <w:p w14:paraId="46ACD504">
      <w:pPr>
        <w:spacing w:line="600" w:lineRule="exact"/>
        <w:jc w:val="center"/>
        <w:rPr>
          <w:rFonts w:eastAsia="黑体"/>
          <w:sz w:val="44"/>
          <w:szCs w:val="44"/>
        </w:rPr>
      </w:pPr>
    </w:p>
    <w:p w14:paraId="6B99496D">
      <w:pPr>
        <w:spacing w:line="600" w:lineRule="exact"/>
        <w:jc w:val="center"/>
        <w:outlineLvl w:val="0"/>
        <w:rPr>
          <w:rStyle w:val="31"/>
          <w:rFonts w:eastAsia="黑体"/>
          <w:b w:val="0"/>
        </w:rPr>
      </w:pPr>
      <w:bookmarkStart w:id="83" w:name="_Toc10162"/>
      <w:r>
        <w:rPr>
          <w:rFonts w:hint="eastAsia" w:eastAsia="黑体"/>
          <w:sz w:val="44"/>
          <w:szCs w:val="44"/>
        </w:rPr>
        <w:t>第四部分  附件</w:t>
      </w:r>
      <w:bookmarkEnd w:id="81"/>
      <w:bookmarkEnd w:id="83"/>
    </w:p>
    <w:p w14:paraId="0BEF3878">
      <w:pPr>
        <w:spacing w:line="572" w:lineRule="exact"/>
        <w:jc w:val="left"/>
        <w:rPr>
          <w:rFonts w:eastAsia="黑体" w:cs="黑体"/>
          <w:color w:val="FF0000"/>
          <w:sz w:val="32"/>
          <w:szCs w:val="32"/>
        </w:rPr>
      </w:pPr>
    </w:p>
    <w:p w14:paraId="66EAE13C">
      <w:pPr>
        <w:widowControl/>
        <w:spacing w:line="578" w:lineRule="exact"/>
        <w:contextualSpacing/>
        <w:jc w:val="center"/>
        <w:rPr>
          <w:rFonts w:eastAsia="方正小标宋简体"/>
          <w:bCs/>
          <w:sz w:val="44"/>
          <w:szCs w:val="44"/>
          <w:shd w:val="clear" w:color="auto" w:fill="FFFFFF"/>
        </w:rPr>
      </w:pPr>
    </w:p>
    <w:p w14:paraId="04F0E272">
      <w:pPr>
        <w:widowControl/>
        <w:spacing w:line="600" w:lineRule="exact"/>
        <w:contextualSpacing/>
        <w:jc w:val="center"/>
        <w:outlineLvl w:val="1"/>
        <w:rPr>
          <w:szCs w:val="32"/>
          <w:shd w:val="clear" w:color="auto" w:fill="FFFFFF"/>
        </w:rPr>
      </w:pPr>
      <w:bookmarkStart w:id="84" w:name="_Toc2607"/>
      <w:r>
        <w:rPr>
          <w:rFonts w:eastAsia="方正小标宋简体"/>
          <w:bCs/>
          <w:sz w:val="44"/>
          <w:szCs w:val="44"/>
          <w:shd w:val="clear" w:color="auto" w:fill="FFFFFF"/>
        </w:rPr>
        <w:t>理县人民法院部门预算绩效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bookmarkEnd w:id="84"/>
    </w:p>
    <w:p w14:paraId="6CEA9527">
      <w:pPr>
        <w:spacing w:line="600" w:lineRule="exact"/>
        <w:ind w:firstLine="640"/>
        <w:outlineLvl w:val="1"/>
        <w:rPr>
          <w:rFonts w:eastAsia="仿宋_GB2312" w:cs="仿宋_GB2312"/>
          <w:sz w:val="32"/>
          <w:szCs w:val="32"/>
        </w:rPr>
      </w:pPr>
      <w:bookmarkStart w:id="85" w:name="_Toc32616"/>
      <w:r>
        <w:rPr>
          <w:rFonts w:hint="eastAsia" w:eastAsia="仿宋_GB2312" w:cs="仿宋_GB2312"/>
          <w:sz w:val="32"/>
          <w:szCs w:val="32"/>
          <w:lang w:val="zh-CN"/>
        </w:rPr>
        <w:t>一、</w:t>
      </w:r>
      <w:r>
        <w:rPr>
          <w:rFonts w:eastAsia="仿宋_GB2312" w:cs="仿宋_GB2312"/>
          <w:sz w:val="32"/>
          <w:szCs w:val="32"/>
          <w:lang w:val="zh-CN"/>
        </w:rPr>
        <w:t>部门（单位）基本情况</w:t>
      </w:r>
      <w:bookmarkEnd w:id="85"/>
    </w:p>
    <w:p w14:paraId="57F40110">
      <w:pPr>
        <w:spacing w:line="600" w:lineRule="exact"/>
        <w:ind w:firstLine="640"/>
        <w:outlineLvl w:val="2"/>
        <w:rPr>
          <w:rFonts w:eastAsia="仿宋_GB2312" w:cs="仿宋_GB2312"/>
          <w:sz w:val="32"/>
          <w:szCs w:val="32"/>
          <w:lang w:val="zh-CN"/>
        </w:rPr>
      </w:pPr>
      <w:bookmarkStart w:id="86" w:name="_Toc10467"/>
      <w:r>
        <w:rPr>
          <w:rFonts w:hint="eastAsia" w:eastAsia="仿宋_GB2312" w:cs="仿宋_GB2312"/>
          <w:sz w:val="32"/>
          <w:szCs w:val="32"/>
          <w:lang w:val="zh-CN"/>
        </w:rPr>
        <w:t>（一）</w:t>
      </w:r>
      <w:r>
        <w:rPr>
          <w:rFonts w:eastAsia="仿宋_GB2312" w:cs="仿宋_GB2312"/>
          <w:sz w:val="32"/>
          <w:szCs w:val="32"/>
          <w:lang w:val="zh-CN"/>
        </w:rPr>
        <w:t>机构组成</w:t>
      </w:r>
      <w:bookmarkEnd w:id="86"/>
    </w:p>
    <w:p w14:paraId="683C0235">
      <w:pPr>
        <w:spacing w:line="600" w:lineRule="exact"/>
        <w:ind w:firstLine="640"/>
        <w:rPr>
          <w:rFonts w:eastAsia="仿宋_GB2312" w:cs="仿宋_GB2312"/>
          <w:sz w:val="32"/>
          <w:szCs w:val="32"/>
        </w:rPr>
      </w:pPr>
      <w:r>
        <w:rPr>
          <w:rFonts w:eastAsia="仿宋_GB2312" w:cs="仿宋_GB2312"/>
          <w:sz w:val="32"/>
          <w:szCs w:val="32"/>
        </w:rPr>
        <w:t>理县人民法院部门</w:t>
      </w:r>
      <w:r>
        <w:rPr>
          <w:rFonts w:hint="eastAsia" w:eastAsia="仿宋_GB2312" w:cs="仿宋_GB2312"/>
          <w:sz w:val="32"/>
          <w:szCs w:val="32"/>
        </w:rPr>
        <w:t>（后文简称“我单位”）设下列内设机构：</w:t>
      </w:r>
    </w:p>
    <w:p w14:paraId="59FC5FA0">
      <w:pPr>
        <w:spacing w:line="600" w:lineRule="exact"/>
        <w:ind w:firstLine="640"/>
        <w:rPr>
          <w:rFonts w:eastAsia="仿宋_GB2312" w:cs="仿宋_GB2312"/>
          <w:sz w:val="32"/>
          <w:szCs w:val="32"/>
        </w:rPr>
      </w:pPr>
      <w:r>
        <w:rPr>
          <w:rFonts w:eastAsia="仿宋_GB2312" w:cs="仿宋_GB2312"/>
          <w:sz w:val="32"/>
          <w:szCs w:val="32"/>
        </w:rPr>
        <w:t>理县人民法院属财政全额拨款的行政单位，内设综合办公室、政治部、立案庭、综合审判庭、执行局、法警队6个股室。</w:t>
      </w:r>
    </w:p>
    <w:p w14:paraId="530B42B3">
      <w:pPr>
        <w:spacing w:line="600" w:lineRule="exact"/>
        <w:ind w:firstLine="640"/>
        <w:outlineLvl w:val="2"/>
        <w:rPr>
          <w:rFonts w:eastAsia="仿宋_GB2312" w:cs="仿宋_GB2312"/>
          <w:sz w:val="32"/>
          <w:szCs w:val="32"/>
          <w:lang w:val="zh-CN"/>
        </w:rPr>
      </w:pPr>
      <w:bookmarkStart w:id="87" w:name="_Toc13168"/>
      <w:r>
        <w:rPr>
          <w:rFonts w:hint="eastAsia" w:eastAsia="仿宋_GB2312" w:cs="仿宋_GB2312"/>
          <w:sz w:val="32"/>
          <w:szCs w:val="32"/>
          <w:lang w:val="zh-CN"/>
        </w:rPr>
        <w:t>（</w:t>
      </w:r>
      <w:r>
        <w:rPr>
          <w:rFonts w:hint="eastAsia" w:eastAsia="仿宋_GB2312" w:cs="仿宋_GB2312"/>
          <w:sz w:val="32"/>
          <w:szCs w:val="32"/>
        </w:rPr>
        <w:t>二）</w:t>
      </w:r>
      <w:r>
        <w:rPr>
          <w:rFonts w:eastAsia="仿宋_GB2312" w:cs="仿宋_GB2312"/>
          <w:sz w:val="32"/>
          <w:szCs w:val="32"/>
          <w:lang w:val="zh-CN"/>
        </w:rPr>
        <w:t>机构职能</w:t>
      </w:r>
      <w:bookmarkEnd w:id="87"/>
    </w:p>
    <w:p w14:paraId="3D7765A2">
      <w:pPr>
        <w:spacing w:line="600" w:lineRule="exact"/>
        <w:ind w:firstLine="640"/>
        <w:rPr>
          <w:rFonts w:eastAsia="仿宋_GB2312" w:cs="仿宋_GB2312"/>
          <w:sz w:val="32"/>
          <w:szCs w:val="32"/>
        </w:rPr>
      </w:pPr>
      <w:r>
        <w:rPr>
          <w:rFonts w:hint="eastAsia" w:eastAsia="仿宋_GB2312" w:cs="仿宋_GB2312"/>
          <w:sz w:val="32"/>
          <w:szCs w:val="32"/>
        </w:rPr>
        <w:t>我单位主要主要承担以下职责和功能：</w:t>
      </w:r>
    </w:p>
    <w:p w14:paraId="3E411E0A">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审判法律规定由基层人民法院管辖的刑事、民事、经济和行政等一审案件；</w:t>
      </w:r>
    </w:p>
    <w:p w14:paraId="599B63DC">
      <w:pPr>
        <w:spacing w:line="600" w:lineRule="exact"/>
        <w:ind w:firstLine="640" w:firstLineChars="200"/>
        <w:rPr>
          <w:rFonts w:eastAsia="仿宋_GB2312" w:cs="仿宋_GB2312"/>
          <w:sz w:val="32"/>
          <w:szCs w:val="32"/>
        </w:rPr>
      </w:pPr>
      <w:r>
        <w:rPr>
          <w:rFonts w:eastAsia="仿宋_GB2312" w:cs="仿宋_GB2312"/>
          <w:sz w:val="32"/>
          <w:szCs w:val="32"/>
        </w:rPr>
        <w:t>2、审理中级人民法院指令再审的案件；受理不服本案判决、裁定的各种申诉和申请再审等案件；</w:t>
      </w:r>
    </w:p>
    <w:p w14:paraId="2F848B35">
      <w:pPr>
        <w:spacing w:line="600" w:lineRule="exact"/>
        <w:ind w:firstLine="640"/>
        <w:outlineLvl w:val="3"/>
        <w:rPr>
          <w:rFonts w:eastAsia="仿宋_GB2312" w:cs="仿宋_GB2312"/>
          <w:sz w:val="32"/>
          <w:szCs w:val="32"/>
        </w:rPr>
      </w:pPr>
      <w:r>
        <w:rPr>
          <w:rFonts w:eastAsia="仿宋_GB2312" w:cs="仿宋_GB2312"/>
          <w:sz w:val="32"/>
          <w:szCs w:val="32"/>
        </w:rPr>
        <w:t>3、审理中级人民法院指定管辖的案件；</w:t>
      </w:r>
    </w:p>
    <w:p w14:paraId="4897D18C">
      <w:pPr>
        <w:spacing w:line="600" w:lineRule="exact"/>
        <w:ind w:firstLine="640"/>
        <w:rPr>
          <w:rFonts w:eastAsia="仿宋_GB2312" w:cs="仿宋_GB2312"/>
          <w:sz w:val="32"/>
          <w:szCs w:val="32"/>
        </w:rPr>
      </w:pPr>
      <w:r>
        <w:rPr>
          <w:rFonts w:eastAsia="仿宋_GB2312" w:cs="仿宋_GB2312"/>
          <w:sz w:val="32"/>
          <w:szCs w:val="32"/>
        </w:rPr>
        <w:t>4、对已生效的各类法律文书有执行内容的财物执行；办理委托、协助执行机关工作；</w:t>
      </w:r>
    </w:p>
    <w:p w14:paraId="5E1F1824">
      <w:pPr>
        <w:spacing w:line="600" w:lineRule="exact"/>
        <w:ind w:firstLine="640"/>
        <w:rPr>
          <w:rFonts w:eastAsia="仿宋_GB2312" w:cs="仿宋_GB2312"/>
          <w:sz w:val="32"/>
          <w:szCs w:val="32"/>
        </w:rPr>
      </w:pPr>
      <w:r>
        <w:rPr>
          <w:rFonts w:eastAsia="仿宋_GB2312" w:cs="仿宋_GB2312"/>
          <w:sz w:val="32"/>
          <w:szCs w:val="32"/>
        </w:rPr>
        <w:t>5、监督和指导全县基层人民法院；人民调解委员会工作；</w:t>
      </w:r>
    </w:p>
    <w:p w14:paraId="61E11805">
      <w:pPr>
        <w:spacing w:line="600" w:lineRule="exact"/>
        <w:ind w:firstLine="640"/>
        <w:rPr>
          <w:rFonts w:eastAsia="仿宋_GB2312" w:cs="仿宋_GB2312"/>
          <w:sz w:val="32"/>
          <w:szCs w:val="32"/>
        </w:rPr>
      </w:pPr>
      <w:r>
        <w:rPr>
          <w:rFonts w:eastAsia="仿宋_GB2312" w:cs="仿宋_GB2312"/>
          <w:sz w:val="32"/>
          <w:szCs w:val="32"/>
        </w:rPr>
        <w:t>6、依法审理国家赔偿案件；</w:t>
      </w:r>
    </w:p>
    <w:p w14:paraId="4D600988">
      <w:pPr>
        <w:spacing w:line="600" w:lineRule="exact"/>
        <w:ind w:firstLine="640"/>
        <w:rPr>
          <w:rFonts w:eastAsia="仿宋_GB2312" w:cs="仿宋_GB2312"/>
          <w:sz w:val="32"/>
          <w:szCs w:val="32"/>
        </w:rPr>
      </w:pPr>
      <w:r>
        <w:rPr>
          <w:rFonts w:eastAsia="仿宋_GB2312" w:cs="仿宋_GB2312"/>
          <w:sz w:val="32"/>
          <w:szCs w:val="32"/>
        </w:rPr>
        <w:t>7、接待申诉来访，受理应由基层人民法院管辖的告诉、申诉案件；</w:t>
      </w:r>
    </w:p>
    <w:p w14:paraId="0A4A95B3">
      <w:pPr>
        <w:spacing w:line="600" w:lineRule="exact"/>
        <w:ind w:firstLine="640"/>
        <w:rPr>
          <w:rFonts w:eastAsia="仿宋_GB2312" w:cs="仿宋_GB2312"/>
          <w:sz w:val="32"/>
          <w:szCs w:val="32"/>
        </w:rPr>
      </w:pPr>
      <w:r>
        <w:rPr>
          <w:rFonts w:eastAsia="仿宋_GB2312" w:cs="仿宋_GB2312"/>
          <w:sz w:val="32"/>
          <w:szCs w:val="32"/>
        </w:rPr>
        <w:t>8、针对案件审理过程中发现的问题提出司法建议；</w:t>
      </w:r>
    </w:p>
    <w:p w14:paraId="34EF811D">
      <w:pPr>
        <w:spacing w:line="600" w:lineRule="exact"/>
        <w:ind w:firstLine="640"/>
        <w:rPr>
          <w:rFonts w:eastAsia="仿宋_GB2312" w:cs="仿宋_GB2312"/>
          <w:sz w:val="32"/>
          <w:szCs w:val="32"/>
        </w:rPr>
      </w:pPr>
      <w:r>
        <w:rPr>
          <w:rFonts w:eastAsia="仿宋_GB2312" w:cs="仿宋_GB2312"/>
          <w:sz w:val="32"/>
          <w:szCs w:val="32"/>
        </w:rPr>
        <w:t>9、领导本院干警的思想、政治、教育、培训、监察和纪检工作。依照权限法官、执行员、书记员、司法警察、司法鉴定人员及司法行政人员，协同主管部门管理人民法院设置、人员编制工作，领导本院社团工作；</w:t>
      </w:r>
    </w:p>
    <w:p w14:paraId="0239949F">
      <w:pPr>
        <w:spacing w:line="600" w:lineRule="exact"/>
        <w:ind w:firstLine="640"/>
        <w:outlineLvl w:val="3"/>
        <w:rPr>
          <w:rFonts w:eastAsia="仿宋_GB2312" w:cs="仿宋_GB2312"/>
          <w:sz w:val="32"/>
          <w:szCs w:val="32"/>
        </w:rPr>
      </w:pPr>
      <w:r>
        <w:rPr>
          <w:rFonts w:eastAsia="仿宋_GB2312" w:cs="仿宋_GB2312"/>
          <w:sz w:val="32"/>
          <w:szCs w:val="32"/>
        </w:rPr>
        <w:t>10、管理本院的有关经费和物质装备；</w:t>
      </w:r>
    </w:p>
    <w:p w14:paraId="7DAB4CE5">
      <w:pPr>
        <w:spacing w:line="600" w:lineRule="exact"/>
        <w:ind w:firstLine="640"/>
        <w:rPr>
          <w:rFonts w:eastAsia="仿宋_GB2312" w:cs="仿宋_GB2312"/>
          <w:sz w:val="32"/>
          <w:szCs w:val="32"/>
        </w:rPr>
      </w:pPr>
      <w:r>
        <w:rPr>
          <w:rFonts w:eastAsia="仿宋_GB2312" w:cs="仿宋_GB2312"/>
          <w:sz w:val="32"/>
          <w:szCs w:val="32"/>
        </w:rPr>
        <w:t>11、宣传法制，教育公民，忠于社会主义祖国；自觉地遵守宪法、法律和社会公德；</w:t>
      </w:r>
    </w:p>
    <w:p w14:paraId="1D952364">
      <w:pPr>
        <w:spacing w:line="600" w:lineRule="exact"/>
        <w:ind w:firstLine="640"/>
        <w:rPr>
          <w:rFonts w:eastAsia="仿宋_GB2312" w:cs="仿宋_GB2312"/>
          <w:sz w:val="32"/>
          <w:szCs w:val="32"/>
        </w:rPr>
      </w:pPr>
      <w:r>
        <w:rPr>
          <w:rFonts w:eastAsia="仿宋_GB2312" w:cs="仿宋_GB2312"/>
          <w:sz w:val="32"/>
          <w:szCs w:val="32"/>
        </w:rPr>
        <w:t>12、承办其他应由本院负责的工作和县委、县人大及上级法院等上级组织和领导</w:t>
      </w:r>
      <w:r>
        <w:rPr>
          <w:rFonts w:hint="eastAsia" w:eastAsia="仿宋_GB2312" w:cs="仿宋_GB2312"/>
          <w:sz w:val="32"/>
          <w:szCs w:val="32"/>
        </w:rPr>
        <w:t>交办</w:t>
      </w:r>
      <w:r>
        <w:rPr>
          <w:rFonts w:eastAsia="仿宋_GB2312" w:cs="仿宋_GB2312"/>
          <w:sz w:val="32"/>
          <w:szCs w:val="32"/>
        </w:rPr>
        <w:t>的其他工作。</w:t>
      </w:r>
    </w:p>
    <w:p w14:paraId="28DFAE8E">
      <w:pPr>
        <w:spacing w:line="600" w:lineRule="exact"/>
        <w:ind w:firstLine="640"/>
        <w:outlineLvl w:val="2"/>
        <w:rPr>
          <w:rFonts w:eastAsia="仿宋_GB2312" w:cs="仿宋_GB2312"/>
          <w:sz w:val="32"/>
          <w:szCs w:val="32"/>
          <w:lang w:val="zh-CN"/>
        </w:rPr>
      </w:pPr>
      <w:bookmarkStart w:id="88" w:name="_Toc22396"/>
      <w:r>
        <w:rPr>
          <w:rFonts w:eastAsia="仿宋_GB2312" w:cs="仿宋_GB2312"/>
          <w:sz w:val="32"/>
          <w:szCs w:val="32"/>
          <w:lang w:val="zh-CN"/>
        </w:rPr>
        <w:t>（</w:t>
      </w:r>
      <w:r>
        <w:rPr>
          <w:rFonts w:hint="eastAsia" w:eastAsia="仿宋_GB2312" w:cs="仿宋_GB2312"/>
          <w:sz w:val="32"/>
          <w:szCs w:val="32"/>
          <w:lang w:val="zh-CN"/>
        </w:rPr>
        <w:t>三</w:t>
      </w:r>
      <w:r>
        <w:rPr>
          <w:rFonts w:eastAsia="仿宋_GB2312" w:cs="仿宋_GB2312"/>
          <w:sz w:val="32"/>
          <w:szCs w:val="32"/>
          <w:lang w:val="zh-CN"/>
        </w:rPr>
        <w:t>）人员概况</w:t>
      </w:r>
      <w:bookmarkEnd w:id="88"/>
    </w:p>
    <w:p w14:paraId="495B7175">
      <w:pPr>
        <w:spacing w:line="600" w:lineRule="exact"/>
        <w:ind w:firstLine="640"/>
        <w:rPr>
          <w:rFonts w:eastAsia="仿宋_GB2312" w:cs="仿宋_GB2312"/>
          <w:sz w:val="32"/>
          <w:szCs w:val="32"/>
        </w:rPr>
      </w:pPr>
      <w:r>
        <w:rPr>
          <w:rFonts w:eastAsia="仿宋_GB2312" w:cs="仿宋_GB2312"/>
          <w:sz w:val="32"/>
          <w:szCs w:val="32"/>
        </w:rPr>
        <w:t>截至</w:t>
      </w:r>
      <w:r>
        <w:rPr>
          <w:rFonts w:hint="eastAsia" w:eastAsia="仿宋_GB2312" w:cs="仿宋_GB2312"/>
          <w:sz w:val="32"/>
          <w:szCs w:val="32"/>
        </w:rPr>
        <w:t>2024年末</w:t>
      </w:r>
      <w:r>
        <w:rPr>
          <w:rFonts w:eastAsia="仿宋_GB2312" w:cs="仿宋_GB2312"/>
          <w:sz w:val="32"/>
          <w:szCs w:val="32"/>
        </w:rPr>
        <w:t>，</w:t>
      </w:r>
      <w:r>
        <w:rPr>
          <w:rFonts w:hint="eastAsia" w:eastAsia="仿宋_GB2312" w:cs="仿宋_GB2312"/>
          <w:sz w:val="32"/>
          <w:szCs w:val="32"/>
        </w:rPr>
        <w:t>我单位全部在职职工46人。</w:t>
      </w:r>
    </w:p>
    <w:p w14:paraId="1336C61B">
      <w:pPr>
        <w:spacing w:line="600" w:lineRule="exact"/>
        <w:ind w:firstLine="640"/>
        <w:outlineLvl w:val="1"/>
        <w:rPr>
          <w:rFonts w:eastAsia="仿宋_GB2312" w:cs="仿宋_GB2312"/>
          <w:sz w:val="32"/>
          <w:szCs w:val="32"/>
        </w:rPr>
      </w:pPr>
      <w:bookmarkStart w:id="89" w:name="_Toc22058"/>
      <w:r>
        <w:rPr>
          <w:rFonts w:eastAsia="仿宋_GB2312" w:cs="仿宋_GB2312"/>
          <w:sz w:val="32"/>
          <w:szCs w:val="32"/>
        </w:rPr>
        <w:t>二、部门资金收支情况</w:t>
      </w:r>
      <w:bookmarkEnd w:id="89"/>
    </w:p>
    <w:p w14:paraId="7BD08B9E">
      <w:pPr>
        <w:spacing w:line="600" w:lineRule="exact"/>
        <w:ind w:firstLine="640"/>
        <w:outlineLvl w:val="2"/>
        <w:rPr>
          <w:rFonts w:eastAsia="仿宋_GB2312" w:cs="仿宋_GB2312"/>
          <w:sz w:val="32"/>
          <w:szCs w:val="32"/>
          <w:lang w:val="zh-CN"/>
        </w:rPr>
      </w:pPr>
      <w:bookmarkStart w:id="90" w:name="_Toc14300"/>
      <w:r>
        <w:rPr>
          <w:rFonts w:eastAsia="仿宋_GB2312" w:cs="仿宋_GB2312"/>
          <w:sz w:val="32"/>
          <w:szCs w:val="32"/>
          <w:lang w:val="zh-CN"/>
        </w:rPr>
        <w:t>（一）</w:t>
      </w:r>
      <w:r>
        <w:rPr>
          <w:rFonts w:hint="eastAsia" w:eastAsia="仿宋_GB2312" w:cs="仿宋_GB2312"/>
          <w:sz w:val="32"/>
          <w:szCs w:val="32"/>
          <w:lang w:val="zh-CN"/>
        </w:rPr>
        <w:t>收入情况</w:t>
      </w:r>
      <w:bookmarkEnd w:id="90"/>
    </w:p>
    <w:p w14:paraId="4BBBD5E4">
      <w:pPr>
        <w:spacing w:line="600" w:lineRule="exact"/>
        <w:ind w:firstLine="640"/>
        <w:rPr>
          <w:rFonts w:eastAsia="仿宋_GB2312" w:cs="仿宋_GB2312"/>
          <w:sz w:val="32"/>
          <w:szCs w:val="32"/>
        </w:rPr>
      </w:pPr>
      <w:r>
        <w:rPr>
          <w:rFonts w:hint="eastAsia" w:eastAsia="仿宋_GB2312" w:cs="仿宋_GB2312"/>
          <w:sz w:val="32"/>
          <w:szCs w:val="32"/>
        </w:rPr>
        <w:t>我单位2024</w:t>
      </w:r>
      <w:r>
        <w:rPr>
          <w:rFonts w:eastAsia="仿宋_GB2312" w:cs="仿宋_GB2312"/>
          <w:sz w:val="32"/>
          <w:szCs w:val="32"/>
        </w:rPr>
        <w:t>年年初收入预算数为</w:t>
      </w:r>
      <w:r>
        <w:rPr>
          <w:rFonts w:hint="eastAsia" w:eastAsia="仿宋_GB2312" w:cs="仿宋_GB2312"/>
          <w:sz w:val="32"/>
          <w:szCs w:val="32"/>
        </w:rPr>
        <w:t>966.56</w:t>
      </w:r>
      <w:r>
        <w:rPr>
          <w:rFonts w:eastAsia="仿宋_GB2312" w:cs="仿宋_GB2312"/>
          <w:sz w:val="32"/>
          <w:szCs w:val="32"/>
        </w:rPr>
        <w:t>万元，</w:t>
      </w:r>
      <w:r>
        <w:rPr>
          <w:rFonts w:hint="eastAsia" w:eastAsia="仿宋_GB2312" w:cs="仿宋_GB2312"/>
          <w:sz w:val="32"/>
          <w:szCs w:val="32"/>
        </w:rPr>
        <w:t>其中：</w:t>
      </w:r>
      <w:r>
        <w:rPr>
          <w:rFonts w:eastAsia="仿宋_GB2312" w:cs="仿宋_GB2312"/>
          <w:sz w:val="32"/>
          <w:szCs w:val="32"/>
        </w:rPr>
        <w:t>一般公共预算财政拨款收入</w:t>
      </w:r>
      <w:r>
        <w:rPr>
          <w:rFonts w:hint="eastAsia" w:eastAsia="仿宋_GB2312" w:cs="仿宋_GB2312"/>
          <w:sz w:val="32"/>
          <w:szCs w:val="32"/>
        </w:rPr>
        <w:t>1,599.72万元，占总预算的165.51%；其他收入264.66万元，占总预算的27.38%。</w:t>
      </w:r>
    </w:p>
    <w:p w14:paraId="111273AE">
      <w:pPr>
        <w:spacing w:line="600" w:lineRule="exact"/>
        <w:ind w:firstLine="640"/>
        <w:rPr>
          <w:rFonts w:eastAsia="仿宋_GB2312" w:cs="仿宋_GB2312"/>
          <w:sz w:val="32"/>
          <w:szCs w:val="32"/>
        </w:rPr>
      </w:pPr>
      <w:r>
        <w:rPr>
          <w:rFonts w:hint="eastAsia" w:eastAsia="仿宋_GB2312" w:cs="仿宋_GB2312"/>
          <w:sz w:val="32"/>
          <w:szCs w:val="32"/>
        </w:rPr>
        <w:t>我单位2024</w:t>
      </w:r>
      <w:r>
        <w:rPr>
          <w:rFonts w:eastAsia="仿宋_GB2312" w:cs="仿宋_GB2312"/>
          <w:sz w:val="32"/>
          <w:szCs w:val="32"/>
        </w:rPr>
        <w:t>年收入决算数为</w:t>
      </w:r>
      <w:r>
        <w:rPr>
          <w:rFonts w:hint="eastAsia" w:eastAsia="仿宋_GB2312" w:cs="仿宋_GB2312"/>
          <w:sz w:val="32"/>
          <w:szCs w:val="32"/>
        </w:rPr>
        <w:t>1,864.38</w:t>
      </w:r>
      <w:r>
        <w:rPr>
          <w:rFonts w:eastAsia="仿宋_GB2312" w:cs="仿宋_GB2312"/>
          <w:sz w:val="32"/>
          <w:szCs w:val="32"/>
        </w:rPr>
        <w:t>万元，</w:t>
      </w:r>
      <w:r>
        <w:rPr>
          <w:rFonts w:hint="eastAsia" w:eastAsia="仿宋_GB2312" w:cs="仿宋_GB2312"/>
          <w:sz w:val="32"/>
          <w:szCs w:val="32"/>
        </w:rPr>
        <w:t>其中：</w:t>
      </w:r>
      <w:r>
        <w:rPr>
          <w:rFonts w:eastAsia="仿宋_GB2312" w:cs="仿宋_GB2312"/>
          <w:sz w:val="32"/>
          <w:szCs w:val="32"/>
        </w:rPr>
        <w:t>一般公共预算财政拨款收入</w:t>
      </w:r>
      <w:r>
        <w:rPr>
          <w:rFonts w:hint="eastAsia" w:eastAsia="仿宋_GB2312" w:cs="仿宋_GB2312"/>
          <w:sz w:val="32"/>
          <w:szCs w:val="32"/>
        </w:rPr>
        <w:t>1,599.72万元，占总决算的85.80%；其他收入264.66万元，占总决算的14.20%。</w:t>
      </w:r>
    </w:p>
    <w:p w14:paraId="579BDE2F">
      <w:pPr>
        <w:spacing w:line="600" w:lineRule="exact"/>
        <w:ind w:firstLine="640"/>
        <w:outlineLvl w:val="2"/>
        <w:rPr>
          <w:rFonts w:eastAsia="仿宋_GB2312" w:cs="仿宋_GB2312"/>
          <w:sz w:val="32"/>
          <w:szCs w:val="32"/>
          <w:lang w:val="zh-CN"/>
        </w:rPr>
      </w:pPr>
      <w:bookmarkStart w:id="91" w:name="_Toc24326"/>
      <w:r>
        <w:rPr>
          <w:rFonts w:eastAsia="仿宋_GB2312" w:cs="仿宋_GB2312"/>
          <w:sz w:val="32"/>
          <w:szCs w:val="32"/>
          <w:lang w:val="zh-CN"/>
        </w:rPr>
        <w:t>（</w:t>
      </w:r>
      <w:r>
        <w:rPr>
          <w:rFonts w:hint="eastAsia" w:eastAsia="仿宋_GB2312" w:cs="仿宋_GB2312"/>
          <w:sz w:val="32"/>
          <w:szCs w:val="32"/>
          <w:lang w:val="zh-CN"/>
        </w:rPr>
        <w:t>二</w:t>
      </w:r>
      <w:r>
        <w:rPr>
          <w:rFonts w:eastAsia="仿宋_GB2312" w:cs="仿宋_GB2312"/>
          <w:sz w:val="32"/>
          <w:szCs w:val="32"/>
          <w:lang w:val="zh-CN"/>
        </w:rPr>
        <w:t>）</w:t>
      </w:r>
      <w:r>
        <w:rPr>
          <w:rFonts w:hint="eastAsia" w:eastAsia="仿宋_GB2312" w:cs="仿宋_GB2312"/>
          <w:sz w:val="32"/>
          <w:szCs w:val="32"/>
          <w:lang w:val="zh-CN"/>
        </w:rPr>
        <w:t>支出情况</w:t>
      </w:r>
      <w:bookmarkEnd w:id="91"/>
    </w:p>
    <w:p w14:paraId="68F8EB94">
      <w:pPr>
        <w:spacing w:line="600" w:lineRule="exact"/>
        <w:ind w:firstLine="640"/>
        <w:rPr>
          <w:rFonts w:eastAsia="仿宋_GB2312" w:cs="仿宋_GB2312"/>
          <w:sz w:val="32"/>
          <w:szCs w:val="32"/>
        </w:rPr>
      </w:pPr>
      <w:r>
        <w:rPr>
          <w:rFonts w:hint="eastAsia" w:eastAsia="仿宋_GB2312" w:cs="仿宋_GB2312"/>
          <w:sz w:val="32"/>
          <w:szCs w:val="32"/>
        </w:rPr>
        <w:t>我单位2024年年初支出预算数为966.56万元，其中：基本支出1,267.25万元，占支出总额的131.11%；项目支出597.13万元，占支出总额的61.78%。</w:t>
      </w:r>
    </w:p>
    <w:p w14:paraId="3599F5B9">
      <w:pPr>
        <w:spacing w:line="600" w:lineRule="exact"/>
        <w:ind w:firstLine="640"/>
        <w:rPr>
          <w:rFonts w:eastAsia="仿宋_GB2312" w:cs="仿宋_GB2312"/>
          <w:sz w:val="32"/>
          <w:szCs w:val="32"/>
        </w:rPr>
      </w:pPr>
      <w:r>
        <w:rPr>
          <w:rFonts w:hint="eastAsia" w:eastAsia="仿宋_GB2312" w:cs="仿宋_GB2312"/>
          <w:sz w:val="32"/>
          <w:szCs w:val="32"/>
        </w:rPr>
        <w:t>我单位2024年支出决算数为1,864.38万元，其中：基本支出1,267.25万元，占支出总额的67.97%；项目支出597.13万元，占支出总额的32.03%。</w:t>
      </w:r>
    </w:p>
    <w:p w14:paraId="41F3A3CC">
      <w:pPr>
        <w:spacing w:line="600" w:lineRule="exact"/>
        <w:ind w:firstLine="640"/>
        <w:outlineLvl w:val="2"/>
        <w:rPr>
          <w:rFonts w:eastAsia="仿宋_GB2312" w:cs="仿宋_GB2312"/>
          <w:sz w:val="32"/>
          <w:szCs w:val="32"/>
        </w:rPr>
      </w:pPr>
      <w:bookmarkStart w:id="92" w:name="_Toc5238"/>
      <w:r>
        <w:rPr>
          <w:rFonts w:eastAsia="仿宋_GB2312" w:cs="仿宋_GB2312"/>
          <w:sz w:val="32"/>
          <w:szCs w:val="32"/>
          <w:lang w:val="zh-CN"/>
        </w:rPr>
        <w:t>（</w:t>
      </w:r>
      <w:r>
        <w:rPr>
          <w:rFonts w:hint="eastAsia" w:eastAsia="仿宋_GB2312" w:cs="仿宋_GB2312"/>
          <w:sz w:val="32"/>
          <w:szCs w:val="32"/>
          <w:lang w:val="zh-CN"/>
        </w:rPr>
        <w:t>三</w:t>
      </w:r>
      <w:r>
        <w:rPr>
          <w:rFonts w:eastAsia="仿宋_GB2312" w:cs="仿宋_GB2312"/>
          <w:sz w:val="32"/>
          <w:szCs w:val="32"/>
          <w:lang w:val="zh-CN"/>
        </w:rPr>
        <w:t>）</w:t>
      </w:r>
      <w:r>
        <w:rPr>
          <w:rFonts w:eastAsia="仿宋_GB2312" w:cs="仿宋_GB2312"/>
          <w:sz w:val="32"/>
          <w:szCs w:val="32"/>
        </w:rPr>
        <w:t>结余分配和结转结余情况</w:t>
      </w:r>
      <w:bookmarkEnd w:id="92"/>
    </w:p>
    <w:p w14:paraId="289258F8">
      <w:pPr>
        <w:spacing w:line="600" w:lineRule="exact"/>
        <w:ind w:firstLine="640"/>
        <w:rPr>
          <w:rFonts w:eastAsia="仿宋_GB2312" w:cs="仿宋_GB2312"/>
          <w:sz w:val="32"/>
          <w:szCs w:val="32"/>
          <w:lang w:val="zh-CN"/>
        </w:rPr>
      </w:pPr>
      <w:r>
        <w:rPr>
          <w:rFonts w:hint="eastAsia" w:eastAsia="仿宋_GB2312" w:cs="仿宋_GB2312"/>
          <w:sz w:val="32"/>
          <w:szCs w:val="32"/>
        </w:rPr>
        <w:t>我单位2024年决算报表无结转结余。</w:t>
      </w:r>
    </w:p>
    <w:p w14:paraId="0FE748B4">
      <w:pPr>
        <w:spacing w:line="600" w:lineRule="exact"/>
        <w:ind w:firstLine="640"/>
        <w:outlineLvl w:val="1"/>
        <w:rPr>
          <w:rFonts w:eastAsia="仿宋_GB2312" w:cs="仿宋_GB2312"/>
          <w:sz w:val="32"/>
          <w:szCs w:val="32"/>
        </w:rPr>
      </w:pPr>
      <w:bookmarkStart w:id="93" w:name="_Toc1097"/>
      <w:r>
        <w:rPr>
          <w:rFonts w:eastAsia="仿宋_GB2312" w:cs="仿宋_GB2312"/>
          <w:sz w:val="32"/>
          <w:szCs w:val="32"/>
        </w:rPr>
        <w:t>三、部门预算绩效分析</w:t>
      </w:r>
      <w:bookmarkEnd w:id="93"/>
    </w:p>
    <w:p w14:paraId="01CEAB85">
      <w:pPr>
        <w:spacing w:line="600" w:lineRule="exact"/>
        <w:ind w:firstLine="640"/>
        <w:outlineLvl w:val="2"/>
        <w:rPr>
          <w:rFonts w:eastAsia="仿宋_GB2312" w:cs="仿宋_GB2312"/>
          <w:sz w:val="32"/>
          <w:szCs w:val="32"/>
          <w:lang w:val="zh-CN"/>
        </w:rPr>
      </w:pPr>
      <w:bookmarkStart w:id="94" w:name="_Toc4508"/>
      <w:r>
        <w:rPr>
          <w:rFonts w:eastAsia="仿宋_GB2312" w:cs="仿宋_GB2312"/>
          <w:sz w:val="32"/>
          <w:szCs w:val="32"/>
          <w:lang w:val="zh-CN"/>
        </w:rPr>
        <w:t>（一）</w:t>
      </w:r>
      <w:r>
        <w:rPr>
          <w:rFonts w:hint="eastAsia" w:eastAsia="仿宋_GB2312" w:cs="仿宋_GB2312"/>
          <w:sz w:val="32"/>
          <w:szCs w:val="32"/>
          <w:lang w:val="zh-CN"/>
        </w:rPr>
        <w:t>部门预算</w:t>
      </w:r>
      <w:r>
        <w:rPr>
          <w:rFonts w:eastAsia="仿宋_GB2312" w:cs="仿宋_GB2312"/>
          <w:sz w:val="32"/>
          <w:szCs w:val="32"/>
          <w:lang w:val="zh-CN"/>
        </w:rPr>
        <w:t>总体绩效分析</w:t>
      </w:r>
      <w:bookmarkEnd w:id="94"/>
    </w:p>
    <w:p w14:paraId="6F4FE289">
      <w:pPr>
        <w:spacing w:line="600" w:lineRule="exact"/>
        <w:ind w:firstLine="640"/>
        <w:outlineLvl w:val="3"/>
        <w:rPr>
          <w:rFonts w:eastAsia="仿宋_GB2312" w:cs="仿宋_GB2312"/>
          <w:sz w:val="32"/>
          <w:szCs w:val="32"/>
          <w:lang w:val="zh-CN"/>
        </w:rPr>
      </w:pPr>
      <w:r>
        <w:rPr>
          <w:rFonts w:eastAsia="仿宋_GB2312" w:cs="仿宋_GB2312"/>
          <w:sz w:val="32"/>
          <w:szCs w:val="32"/>
        </w:rPr>
        <w:t>1</w:t>
      </w:r>
      <w:r>
        <w:rPr>
          <w:rFonts w:hint="eastAsia" w:eastAsia="仿宋_GB2312" w:cs="仿宋_GB2312"/>
          <w:sz w:val="32"/>
          <w:szCs w:val="32"/>
        </w:rPr>
        <w:t>.</w:t>
      </w:r>
      <w:r>
        <w:rPr>
          <w:rFonts w:hint="eastAsia" w:eastAsia="仿宋_GB2312" w:cs="仿宋_GB2312"/>
          <w:sz w:val="32"/>
          <w:szCs w:val="32"/>
          <w:lang w:val="zh-CN"/>
        </w:rPr>
        <w:t>履职效能</w:t>
      </w:r>
    </w:p>
    <w:p w14:paraId="496C0066">
      <w:pPr>
        <w:spacing w:line="600" w:lineRule="exact"/>
        <w:ind w:firstLine="640"/>
        <w:rPr>
          <w:rFonts w:eastAsia="仿宋_GB2312" w:cs="仿宋_GB2312"/>
          <w:sz w:val="32"/>
          <w:szCs w:val="32"/>
        </w:rPr>
      </w:pPr>
      <w:r>
        <w:rPr>
          <w:rFonts w:hint="eastAsia" w:eastAsia="仿宋_GB2312" w:cs="仿宋_GB2312"/>
          <w:sz w:val="32"/>
          <w:szCs w:val="32"/>
        </w:rPr>
        <w:t>为充分反映我单位2024年度部门职能履行成效，本次绩效自评根据无要求，结合部门职能职责和2024年度重点工作任务，选取了“依法履行审判执行职能、思想、政治、纪律教育、承办其他应由本院负责的工作和县委”3个绩效指标作为核心职能目标，各职能目标具体完成情况如下：</w:t>
      </w:r>
    </w:p>
    <w:p w14:paraId="77B11A3A">
      <w:pPr>
        <w:spacing w:line="600" w:lineRule="exact"/>
        <w:ind w:firstLine="640"/>
        <w:outlineLvl w:val="4"/>
        <w:rPr>
          <w:rFonts w:eastAsia="仿宋_GB2312" w:cs="仿宋_GB2312"/>
          <w:sz w:val="32"/>
          <w:szCs w:val="32"/>
        </w:rPr>
      </w:pPr>
      <w:r>
        <w:rPr>
          <w:rFonts w:hint="eastAsia" w:eastAsia="仿宋_GB2312" w:cs="仿宋_GB2312"/>
          <w:sz w:val="32"/>
          <w:szCs w:val="32"/>
        </w:rPr>
        <w:t>（1）依法履行审判执行职能</w:t>
      </w:r>
    </w:p>
    <w:p w14:paraId="08EC1EF7">
      <w:pPr>
        <w:spacing w:line="600" w:lineRule="exact"/>
        <w:ind w:firstLine="640"/>
        <w:rPr>
          <w:rFonts w:eastAsia="仿宋_GB2312" w:cs="仿宋_GB2312"/>
          <w:sz w:val="32"/>
          <w:szCs w:val="32"/>
        </w:rPr>
      </w:pPr>
      <w:r>
        <w:rPr>
          <w:rFonts w:hint="eastAsia" w:eastAsia="仿宋_GB2312" w:cs="仿宋_GB2312"/>
          <w:sz w:val="32"/>
          <w:szCs w:val="32"/>
        </w:rPr>
        <w:t>为实现理县生态环境更美、发展质量更优、民生福祉更好、创新活力更足、文明程度更高、治理效能更强的目标提供有力的司法保障。</w:t>
      </w:r>
    </w:p>
    <w:p w14:paraId="5514E843">
      <w:pPr>
        <w:spacing w:line="600" w:lineRule="exact"/>
        <w:ind w:firstLine="640"/>
        <w:rPr>
          <w:rFonts w:eastAsia="仿宋_GB2312" w:cs="仿宋_GB2312"/>
          <w:sz w:val="32"/>
          <w:szCs w:val="32"/>
        </w:rPr>
      </w:pPr>
      <w:r>
        <w:rPr>
          <w:rFonts w:hint="eastAsia" w:eastAsia="仿宋_GB2312" w:cs="仿宋_GB2312"/>
          <w:sz w:val="32"/>
          <w:szCs w:val="32"/>
        </w:rPr>
        <w:t>根据评分标准，该项指标不扣分，得5分。</w:t>
      </w:r>
    </w:p>
    <w:p w14:paraId="3777720E">
      <w:pPr>
        <w:spacing w:line="600" w:lineRule="exact"/>
        <w:ind w:firstLine="640"/>
        <w:outlineLvl w:val="4"/>
        <w:rPr>
          <w:rFonts w:eastAsia="仿宋_GB2312" w:cs="仿宋_GB2312"/>
          <w:sz w:val="32"/>
          <w:szCs w:val="32"/>
        </w:rPr>
      </w:pPr>
      <w:r>
        <w:rPr>
          <w:rFonts w:hint="eastAsia" w:eastAsia="仿宋_GB2312" w:cs="仿宋_GB2312"/>
          <w:sz w:val="32"/>
          <w:szCs w:val="32"/>
        </w:rPr>
        <w:t>（2）思想、政治、纪律教育</w:t>
      </w:r>
    </w:p>
    <w:p w14:paraId="0670E21C">
      <w:pPr>
        <w:spacing w:line="600" w:lineRule="exact"/>
        <w:ind w:firstLine="640"/>
        <w:rPr>
          <w:rFonts w:eastAsia="仿宋_GB2312" w:cs="仿宋_GB2312"/>
          <w:sz w:val="32"/>
          <w:szCs w:val="32"/>
        </w:rPr>
      </w:pPr>
      <w:r>
        <w:rPr>
          <w:rFonts w:hint="eastAsia" w:eastAsia="仿宋_GB2312" w:cs="仿宋_GB2312"/>
          <w:sz w:val="32"/>
          <w:szCs w:val="32"/>
        </w:rPr>
        <w:t>践行人民至上，以“如我在诉”的意识办好关系民心向背的“小案”，久久为功解决好人民群众的“难事”，积极推进人民陪审员参审制度深化落实，以数据化信息化赋能审判管理，助力审判工作现代化。</w:t>
      </w:r>
    </w:p>
    <w:p w14:paraId="74DD1012">
      <w:pPr>
        <w:spacing w:line="600" w:lineRule="exact"/>
        <w:ind w:firstLine="640"/>
        <w:rPr>
          <w:rFonts w:eastAsia="仿宋_GB2312" w:cs="仿宋_GB2312"/>
          <w:sz w:val="32"/>
          <w:szCs w:val="32"/>
        </w:rPr>
      </w:pPr>
      <w:r>
        <w:rPr>
          <w:rFonts w:hint="eastAsia" w:eastAsia="仿宋_GB2312" w:cs="仿宋_GB2312"/>
          <w:sz w:val="32"/>
          <w:szCs w:val="32"/>
        </w:rPr>
        <w:t>根据评分标准，该项指标不扣分，得5分。</w:t>
      </w:r>
    </w:p>
    <w:p w14:paraId="754C5CF0">
      <w:pPr>
        <w:spacing w:line="600" w:lineRule="exact"/>
        <w:ind w:firstLine="640"/>
        <w:outlineLvl w:val="4"/>
        <w:rPr>
          <w:rFonts w:eastAsia="仿宋_GB2312" w:cs="仿宋_GB2312"/>
          <w:sz w:val="32"/>
          <w:szCs w:val="32"/>
        </w:rPr>
      </w:pPr>
      <w:r>
        <w:rPr>
          <w:rFonts w:hint="eastAsia" w:eastAsia="仿宋_GB2312" w:cs="仿宋_GB2312"/>
          <w:sz w:val="32"/>
          <w:szCs w:val="32"/>
        </w:rPr>
        <w:t>（3）承办其他应由本院负责的工作和县委</w:t>
      </w:r>
    </w:p>
    <w:p w14:paraId="629BBAE4">
      <w:pPr>
        <w:spacing w:line="600" w:lineRule="exact"/>
        <w:ind w:firstLine="640"/>
        <w:rPr>
          <w:rFonts w:eastAsia="仿宋_GB2312" w:cs="仿宋_GB2312"/>
          <w:sz w:val="32"/>
          <w:szCs w:val="32"/>
        </w:rPr>
      </w:pPr>
      <w:r>
        <w:rPr>
          <w:rFonts w:hint="eastAsia" w:eastAsia="仿宋_GB2312" w:cs="仿宋_GB2312"/>
          <w:sz w:val="32"/>
          <w:szCs w:val="32"/>
        </w:rPr>
        <w:t>巩固深化主题教育成果，坚持以严的基调强化正风肃纪反腐。</w:t>
      </w:r>
    </w:p>
    <w:p w14:paraId="1AEF42C1">
      <w:pPr>
        <w:spacing w:line="600" w:lineRule="exact"/>
        <w:ind w:firstLine="640"/>
        <w:rPr>
          <w:rFonts w:eastAsia="仿宋_GB2312" w:cs="仿宋_GB2312"/>
          <w:sz w:val="32"/>
          <w:szCs w:val="32"/>
        </w:rPr>
      </w:pPr>
      <w:r>
        <w:rPr>
          <w:rFonts w:hint="eastAsia" w:eastAsia="仿宋_GB2312" w:cs="仿宋_GB2312"/>
          <w:sz w:val="32"/>
          <w:szCs w:val="32"/>
        </w:rPr>
        <w:t>根据评分标准，该项指标不扣分，得5分。</w:t>
      </w:r>
    </w:p>
    <w:p w14:paraId="2D928341">
      <w:pPr>
        <w:spacing w:line="600" w:lineRule="exact"/>
        <w:ind w:firstLine="640"/>
        <w:rPr>
          <w:rFonts w:eastAsia="仿宋_GB2312" w:cs="仿宋_GB2312"/>
          <w:sz w:val="32"/>
          <w:szCs w:val="32"/>
        </w:rPr>
      </w:pPr>
      <w:r>
        <w:rPr>
          <w:rFonts w:hint="eastAsia" w:eastAsia="仿宋_GB2312" w:cs="仿宋_GB2312"/>
          <w:sz w:val="32"/>
          <w:szCs w:val="32"/>
        </w:rPr>
        <w:t>综上，根据评分标准，我单位履职效能指标不扣分，得15分。</w:t>
      </w:r>
    </w:p>
    <w:p w14:paraId="5F603665">
      <w:pPr>
        <w:spacing w:line="600" w:lineRule="exact"/>
        <w:ind w:firstLine="640"/>
        <w:outlineLvl w:val="3"/>
        <w:rPr>
          <w:rFonts w:eastAsia="仿宋_GB2312" w:cs="仿宋_GB2312"/>
          <w:sz w:val="32"/>
          <w:szCs w:val="32"/>
          <w:lang w:val="zh-CN"/>
        </w:rPr>
      </w:pPr>
      <w:r>
        <w:rPr>
          <w:rFonts w:eastAsia="仿宋_GB2312" w:cs="仿宋_GB2312"/>
          <w:sz w:val="32"/>
          <w:szCs w:val="32"/>
        </w:rPr>
        <w:t>2</w:t>
      </w:r>
      <w:r>
        <w:rPr>
          <w:rFonts w:hint="eastAsia" w:eastAsia="仿宋_GB2312" w:cs="仿宋_GB2312"/>
          <w:sz w:val="32"/>
          <w:szCs w:val="32"/>
        </w:rPr>
        <w:t>.</w:t>
      </w:r>
      <w:r>
        <w:rPr>
          <w:rFonts w:eastAsia="仿宋_GB2312" w:cs="仿宋_GB2312"/>
          <w:sz w:val="32"/>
          <w:szCs w:val="32"/>
          <w:lang w:val="zh-CN"/>
        </w:rPr>
        <w:t>预算管理</w:t>
      </w:r>
    </w:p>
    <w:p w14:paraId="008642D3">
      <w:pPr>
        <w:spacing w:line="600" w:lineRule="exact"/>
        <w:ind w:firstLine="640"/>
        <w:outlineLvl w:val="4"/>
        <w:rPr>
          <w:rFonts w:eastAsia="仿宋_GB2312" w:cs="仿宋_GB2312"/>
          <w:sz w:val="32"/>
          <w:szCs w:val="32"/>
          <w:lang w:val="zh-CN"/>
        </w:rPr>
      </w:pPr>
      <w:r>
        <w:rPr>
          <w:rFonts w:hint="eastAsia" w:eastAsia="仿宋_GB2312" w:cs="仿宋_GB2312"/>
          <w:sz w:val="32"/>
          <w:szCs w:val="32"/>
          <w:lang w:val="zh-CN"/>
        </w:rPr>
        <w:t>（</w:t>
      </w:r>
      <w:r>
        <w:rPr>
          <w:rFonts w:eastAsia="仿宋_GB2312" w:cs="仿宋_GB2312"/>
          <w:sz w:val="32"/>
          <w:szCs w:val="32"/>
        </w:rPr>
        <w:t>1</w:t>
      </w:r>
      <w:r>
        <w:rPr>
          <w:rFonts w:hint="eastAsia" w:eastAsia="仿宋_GB2312" w:cs="仿宋_GB2312"/>
          <w:sz w:val="32"/>
          <w:szCs w:val="32"/>
          <w:lang w:val="zh-CN"/>
        </w:rPr>
        <w:t>）预算编制质量</w:t>
      </w:r>
    </w:p>
    <w:p w14:paraId="4312EC82">
      <w:pPr>
        <w:spacing w:line="600" w:lineRule="exact"/>
        <w:ind w:firstLine="640"/>
        <w:rPr>
          <w:rFonts w:eastAsia="仿宋_GB2312" w:cs="仿宋_GB2312"/>
          <w:sz w:val="32"/>
          <w:szCs w:val="32"/>
        </w:rPr>
      </w:pPr>
      <w:r>
        <w:rPr>
          <w:rFonts w:hint="eastAsia" w:eastAsia="仿宋_GB2312" w:cs="仿宋_GB2312"/>
          <w:sz w:val="32"/>
          <w:szCs w:val="32"/>
        </w:rPr>
        <w:t>2024年我单位严格按照相关要求编制年初部门预算，根据2024年度预算执行情况，部门预算偏离程度如下：</w:t>
      </w:r>
    </w:p>
    <w:p w14:paraId="67F75CA3">
      <w:pPr>
        <w:spacing w:line="600" w:lineRule="exact"/>
        <w:ind w:firstLine="640"/>
        <w:rPr>
          <w:rFonts w:eastAsia="仿宋_GB2312" w:cs="仿宋_GB2312"/>
          <w:sz w:val="32"/>
          <w:szCs w:val="32"/>
        </w:rPr>
      </w:pPr>
      <w:r>
        <w:rPr>
          <w:rFonts w:eastAsia="仿宋_GB2312" w:cs="仿宋_GB2312"/>
          <w:sz w:val="32"/>
          <w:szCs w:val="32"/>
        </w:rPr>
        <w:t>①</w:t>
      </w:r>
      <w:r>
        <w:rPr>
          <w:rFonts w:hint="eastAsia" w:eastAsia="仿宋_GB2312" w:cs="仿宋_GB2312"/>
          <w:sz w:val="32"/>
          <w:szCs w:val="32"/>
        </w:rPr>
        <w:t>财政拨款预算偏离度=|预算执行数-年初预算数|÷年初预算数=|1,864.38-966.56|÷966.56×100%=92.89%。</w:t>
      </w:r>
    </w:p>
    <w:p w14:paraId="74413F4A">
      <w:pPr>
        <w:spacing w:line="600" w:lineRule="exact"/>
        <w:ind w:firstLine="640"/>
        <w:rPr>
          <w:rFonts w:eastAsia="仿宋_GB2312" w:cs="仿宋_GB2312"/>
          <w:sz w:val="32"/>
          <w:szCs w:val="32"/>
        </w:rPr>
      </w:pPr>
      <w:r>
        <w:rPr>
          <w:rFonts w:eastAsia="仿宋_GB2312" w:cs="仿宋_GB2312"/>
          <w:sz w:val="32"/>
          <w:szCs w:val="32"/>
        </w:rPr>
        <w:t>②</w:t>
      </w:r>
      <w:r>
        <w:rPr>
          <w:rFonts w:hint="eastAsia" w:eastAsia="仿宋_GB2312" w:cs="仿宋_GB2312"/>
          <w:sz w:val="32"/>
          <w:szCs w:val="32"/>
        </w:rPr>
        <w:t>资产配置预算偏离度=|预算执行数-年初预算数|÷年初预算数=|0.00-0.00|÷0.00×100%=0%。</w:t>
      </w:r>
    </w:p>
    <w:p w14:paraId="18488310">
      <w:pPr>
        <w:spacing w:line="600" w:lineRule="exact"/>
        <w:ind w:firstLine="640"/>
        <w:rPr>
          <w:rFonts w:eastAsia="仿宋_GB2312" w:cs="仿宋_GB2312"/>
          <w:sz w:val="32"/>
          <w:szCs w:val="32"/>
        </w:rPr>
      </w:pPr>
      <w:r>
        <w:rPr>
          <w:rFonts w:eastAsia="仿宋_GB2312" w:cs="仿宋_GB2312"/>
          <w:sz w:val="32"/>
          <w:szCs w:val="32"/>
        </w:rPr>
        <w:t>③</w:t>
      </w:r>
      <w:r>
        <w:rPr>
          <w:rFonts w:hint="eastAsia" w:eastAsia="仿宋_GB2312" w:cs="仿宋_GB2312"/>
          <w:sz w:val="32"/>
          <w:szCs w:val="32"/>
        </w:rPr>
        <w:t>政府采购预算偏离度=|预算执行数-年初预算数|÷年初预算数=|81.64-81.64|÷81.64×100%=0.00%。</w:t>
      </w:r>
    </w:p>
    <w:p w14:paraId="38D04846">
      <w:pPr>
        <w:spacing w:line="600" w:lineRule="exact"/>
        <w:ind w:firstLine="640"/>
        <w:rPr>
          <w:rFonts w:eastAsia="仿宋_GB2312" w:cs="仿宋_GB2312"/>
          <w:sz w:val="32"/>
          <w:szCs w:val="32"/>
        </w:rPr>
      </w:pPr>
      <w:r>
        <w:rPr>
          <w:rFonts w:hint="eastAsia" w:eastAsia="仿宋_GB2312" w:cs="仿宋_GB2312"/>
          <w:sz w:val="32"/>
          <w:szCs w:val="32"/>
        </w:rPr>
        <w:t>综上，该项指标得分=（1-财政拨款预算偏离度）×100%×4+（1-资产配置预算偏离度）×100%×2+（1-政府采购预算偏离度）×100%×2=4.28。</w:t>
      </w:r>
    </w:p>
    <w:p w14:paraId="289D5205">
      <w:pPr>
        <w:spacing w:line="600" w:lineRule="exact"/>
        <w:ind w:firstLine="640"/>
        <w:rPr>
          <w:rFonts w:eastAsia="仿宋_GB2312" w:cs="仿宋_GB2312"/>
          <w:sz w:val="32"/>
          <w:szCs w:val="32"/>
        </w:rPr>
      </w:pPr>
      <w:r>
        <w:rPr>
          <w:rFonts w:eastAsia="仿宋_GB2312" w:cs="仿宋_GB2312"/>
          <w:sz w:val="32"/>
          <w:szCs w:val="32"/>
        </w:rPr>
        <w:t>根据评分标准，该项指标扣3.72分，得4.28分。</w:t>
      </w:r>
    </w:p>
    <w:p w14:paraId="77F039A2">
      <w:pPr>
        <w:spacing w:line="600" w:lineRule="exact"/>
        <w:ind w:firstLine="640"/>
        <w:outlineLvl w:val="4"/>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2</w:t>
      </w:r>
      <w:r>
        <w:rPr>
          <w:rFonts w:hint="eastAsia" w:eastAsia="仿宋_GB2312" w:cs="仿宋_GB2312"/>
          <w:sz w:val="32"/>
          <w:szCs w:val="32"/>
        </w:rPr>
        <w:t>）单位收入统筹</w:t>
      </w:r>
    </w:p>
    <w:p w14:paraId="29C4821D">
      <w:pPr>
        <w:spacing w:line="600" w:lineRule="exact"/>
        <w:ind w:firstLine="640"/>
        <w:rPr>
          <w:rFonts w:eastAsia="仿宋_GB2312" w:cs="仿宋_GB2312"/>
          <w:sz w:val="32"/>
          <w:szCs w:val="32"/>
        </w:rPr>
      </w:pPr>
      <w:r>
        <w:rPr>
          <w:rFonts w:hint="eastAsia" w:eastAsia="仿宋_GB2312" w:cs="仿宋_GB2312"/>
          <w:sz w:val="32"/>
          <w:szCs w:val="32"/>
        </w:rPr>
        <w:t>我单位属于财政全额拨款单位，无自有收入，故不涉及此项考核。</w:t>
      </w:r>
    </w:p>
    <w:p w14:paraId="6F837C2F">
      <w:pPr>
        <w:spacing w:line="600" w:lineRule="exact"/>
        <w:ind w:firstLine="640"/>
        <w:rPr>
          <w:rFonts w:eastAsia="仿宋_GB2312" w:cs="仿宋_GB2312"/>
          <w:sz w:val="32"/>
          <w:szCs w:val="32"/>
        </w:rPr>
      </w:pPr>
      <w:r>
        <w:rPr>
          <w:rFonts w:eastAsia="仿宋_GB2312" w:cs="仿宋_GB2312"/>
          <w:sz w:val="32"/>
          <w:szCs w:val="32"/>
        </w:rPr>
        <w:t>根据评分标准，该项指标</w:t>
      </w:r>
      <w:r>
        <w:rPr>
          <w:rFonts w:hint="eastAsia" w:eastAsia="仿宋_GB2312" w:cs="仿宋_GB2312"/>
          <w:sz w:val="32"/>
          <w:szCs w:val="32"/>
        </w:rPr>
        <w:t>不扣分，得2分。</w:t>
      </w:r>
    </w:p>
    <w:p w14:paraId="5B425777">
      <w:pPr>
        <w:spacing w:line="600" w:lineRule="exact"/>
        <w:ind w:firstLine="640"/>
        <w:outlineLvl w:val="4"/>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3</w:t>
      </w:r>
      <w:r>
        <w:rPr>
          <w:rFonts w:hint="eastAsia" w:eastAsia="仿宋_GB2312" w:cs="仿宋_GB2312"/>
          <w:sz w:val="32"/>
          <w:szCs w:val="32"/>
        </w:rPr>
        <w:t>）支出执行进度</w:t>
      </w:r>
    </w:p>
    <w:p w14:paraId="2F535140">
      <w:pPr>
        <w:spacing w:line="600" w:lineRule="exact"/>
        <w:ind w:firstLine="640"/>
        <w:rPr>
          <w:rFonts w:eastAsia="仿宋_GB2312" w:cs="仿宋_GB2312"/>
          <w:sz w:val="32"/>
          <w:szCs w:val="32"/>
        </w:rPr>
      </w:pPr>
      <w:r>
        <w:rPr>
          <w:rFonts w:hint="eastAsia" w:eastAsia="仿宋_GB2312" w:cs="仿宋_GB2312"/>
          <w:sz w:val="32"/>
          <w:szCs w:val="32"/>
        </w:rPr>
        <w:t>2024年我单位全年预算数为1,864.38万元，</w:t>
      </w:r>
      <w:r>
        <w:rPr>
          <w:rFonts w:eastAsia="仿宋_GB2312" w:cs="仿宋_GB2312"/>
          <w:sz w:val="32"/>
          <w:szCs w:val="32"/>
        </w:rPr>
        <w:t>1</w:t>
      </w:r>
      <w:r>
        <w:rPr>
          <w:rFonts w:hint="eastAsia" w:eastAsia="仿宋_GB2312" w:cs="仿宋_GB2312"/>
          <w:sz w:val="32"/>
          <w:szCs w:val="32"/>
        </w:rPr>
        <w:t>至</w:t>
      </w:r>
      <w:r>
        <w:rPr>
          <w:rFonts w:eastAsia="仿宋_GB2312" w:cs="仿宋_GB2312"/>
          <w:sz w:val="32"/>
          <w:szCs w:val="32"/>
        </w:rPr>
        <w:t>6</w:t>
      </w:r>
      <w:r>
        <w:rPr>
          <w:rFonts w:hint="eastAsia" w:eastAsia="仿宋_GB2312" w:cs="仿宋_GB2312"/>
          <w:sz w:val="32"/>
          <w:szCs w:val="32"/>
        </w:rPr>
        <w:t>月预算执行数为569.72万元，支出预警金额为0万元，支出预警金额占比为0%，支出违规金额为0万元，支出违规金额占比为0%。</w:t>
      </w:r>
    </w:p>
    <w:p w14:paraId="5DCEAADA">
      <w:pPr>
        <w:spacing w:line="600" w:lineRule="exact"/>
        <w:ind w:firstLine="640"/>
        <w:rPr>
          <w:rFonts w:eastAsia="仿宋_GB2312" w:cs="仿宋_GB2312"/>
          <w:sz w:val="32"/>
          <w:szCs w:val="32"/>
        </w:rPr>
      </w:pPr>
      <w:r>
        <w:rPr>
          <w:rFonts w:eastAsia="仿宋_GB2312" w:cs="仿宋_GB2312"/>
          <w:sz w:val="32"/>
          <w:szCs w:val="32"/>
        </w:rPr>
        <w:t>1</w:t>
      </w:r>
      <w:r>
        <w:rPr>
          <w:rFonts w:hint="eastAsia" w:eastAsia="仿宋_GB2312" w:cs="仿宋_GB2312"/>
          <w:sz w:val="32"/>
          <w:szCs w:val="32"/>
        </w:rPr>
        <w:t>至</w:t>
      </w:r>
      <w:r>
        <w:rPr>
          <w:rFonts w:eastAsia="仿宋_GB2312" w:cs="仿宋_GB2312"/>
          <w:sz w:val="32"/>
          <w:szCs w:val="32"/>
        </w:rPr>
        <w:t>10</w:t>
      </w:r>
      <w:r>
        <w:rPr>
          <w:rFonts w:hint="eastAsia" w:eastAsia="仿宋_GB2312" w:cs="仿宋_GB2312"/>
          <w:sz w:val="32"/>
          <w:szCs w:val="32"/>
        </w:rPr>
        <w:t>月预算执行数为1,110.98万元，支出预警金额为0万元，支出预警金额占比为0%，支出违规金额为0万元，支出违规金额占比为0%。</w:t>
      </w:r>
    </w:p>
    <w:p w14:paraId="5A21DD45">
      <w:pPr>
        <w:spacing w:line="600" w:lineRule="exact"/>
        <w:ind w:firstLine="640"/>
        <w:rPr>
          <w:rFonts w:eastAsia="仿宋_GB2312" w:cs="仿宋_GB2312"/>
          <w:sz w:val="32"/>
          <w:szCs w:val="32"/>
        </w:rPr>
      </w:pPr>
      <w:r>
        <w:rPr>
          <w:rFonts w:hint="eastAsia" w:eastAsia="仿宋_GB2312" w:cs="仿宋_GB2312"/>
          <w:sz w:val="32"/>
          <w:szCs w:val="32"/>
        </w:rPr>
        <w:t>该项得分为该项指标得分=（1至6月预算执行数÷（部门预算数×50%）×4）+（1-1至6月支出预警金额占比×0.8-1至6月支出违规金额占比×0.2）+（1至10月预算执行数÷（部门预算数×83.33%）×2）+（1-1至10月支出预警金额占比×0.8-1至10月支出违规金额占比×0.2）=(569.72÷1,864.38×50%×4)+(1 - 0×0.8 - 0×0.2) + (1,110.98÷1,864.38×83.33%×2) + (1 - 0×0.8 - 0×0.2)=4.22。</w:t>
      </w:r>
    </w:p>
    <w:p w14:paraId="73024324">
      <w:pPr>
        <w:spacing w:line="600" w:lineRule="exact"/>
        <w:ind w:firstLine="640"/>
        <w:rPr>
          <w:rFonts w:eastAsia="仿宋_GB2312" w:cs="仿宋_GB2312"/>
          <w:sz w:val="32"/>
          <w:szCs w:val="32"/>
        </w:rPr>
      </w:pPr>
      <w:r>
        <w:rPr>
          <w:rFonts w:eastAsia="仿宋_GB2312" w:cs="仿宋_GB2312"/>
          <w:sz w:val="32"/>
          <w:szCs w:val="32"/>
        </w:rPr>
        <w:t>根据评分标准，该项指标</w:t>
      </w:r>
      <w:r>
        <w:rPr>
          <w:rFonts w:hint="eastAsia" w:eastAsia="仿宋_GB2312" w:cs="仿宋_GB2312"/>
          <w:sz w:val="32"/>
          <w:szCs w:val="32"/>
        </w:rPr>
        <w:t>扣1.78分，得4.22分。</w:t>
      </w:r>
    </w:p>
    <w:p w14:paraId="2BEC63C9">
      <w:pPr>
        <w:spacing w:line="600" w:lineRule="exact"/>
        <w:ind w:firstLine="640"/>
        <w:outlineLvl w:val="4"/>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4</w:t>
      </w:r>
      <w:r>
        <w:rPr>
          <w:rFonts w:hint="eastAsia" w:eastAsia="仿宋_GB2312" w:cs="仿宋_GB2312"/>
          <w:sz w:val="32"/>
          <w:szCs w:val="32"/>
        </w:rPr>
        <w:t>）预算年终结余</w:t>
      </w:r>
    </w:p>
    <w:p w14:paraId="6D585E74">
      <w:pPr>
        <w:spacing w:line="600" w:lineRule="exact"/>
        <w:ind w:firstLine="640"/>
        <w:rPr>
          <w:rFonts w:eastAsia="仿宋_GB2312" w:cs="仿宋_GB2312"/>
          <w:sz w:val="32"/>
          <w:szCs w:val="32"/>
        </w:rPr>
      </w:pPr>
      <w:r>
        <w:rPr>
          <w:rFonts w:hint="eastAsia" w:eastAsia="仿宋_GB2312" w:cs="仿宋_GB2312"/>
          <w:sz w:val="32"/>
          <w:szCs w:val="32"/>
        </w:rPr>
        <w:t>2024年我单位全年预算数为1,864.38万元，预算执行数为1,864.38万元，注销金额为0万元。结转结余金额为0万元</w:t>
      </w:r>
    </w:p>
    <w:p w14:paraId="2D0D77E8">
      <w:pPr>
        <w:spacing w:line="600" w:lineRule="exact"/>
        <w:ind w:firstLine="640"/>
        <w:rPr>
          <w:rFonts w:eastAsia="仿宋_GB2312" w:cs="仿宋_GB2312"/>
          <w:sz w:val="32"/>
          <w:szCs w:val="32"/>
        </w:rPr>
      </w:pPr>
      <w:r>
        <w:rPr>
          <w:rFonts w:eastAsia="仿宋_GB2312" w:cs="仿宋_GB2312"/>
          <w:sz w:val="32"/>
          <w:szCs w:val="32"/>
        </w:rPr>
        <w:t>该项指标得分=（1-部门整体预算结余率）×100%×2</w:t>
      </w:r>
      <w:r>
        <w:rPr>
          <w:rFonts w:hint="eastAsia" w:eastAsia="仿宋_GB2312" w:cs="仿宋_GB2312"/>
          <w:sz w:val="32"/>
          <w:szCs w:val="32"/>
        </w:rPr>
        <w:t>=</w:t>
      </w:r>
      <w:r>
        <w:rPr>
          <w:rFonts w:eastAsia="仿宋_GB2312" w:cs="仿宋_GB2312"/>
          <w:sz w:val="32"/>
          <w:szCs w:val="32"/>
        </w:rPr>
        <w:t>(1 - 0.00</w:t>
      </w:r>
      <w:r>
        <w:rPr>
          <w:rFonts w:hint="eastAsia" w:eastAsia="仿宋_GB2312" w:cs="仿宋_GB2312"/>
          <w:sz w:val="32"/>
          <w:szCs w:val="32"/>
        </w:rPr>
        <w:t>)</w:t>
      </w:r>
      <w:r>
        <w:rPr>
          <w:rFonts w:eastAsia="仿宋_GB2312" w:cs="仿宋_GB2312"/>
          <w:sz w:val="32"/>
          <w:szCs w:val="32"/>
        </w:rPr>
        <w:t xml:space="preserve"> </w:t>
      </w:r>
      <w:r>
        <w:rPr>
          <w:rFonts w:hint="eastAsia" w:eastAsia="仿宋_GB2312" w:cs="仿宋_GB2312"/>
          <w:sz w:val="32"/>
          <w:szCs w:val="32"/>
        </w:rPr>
        <w:t>*100%*</w:t>
      </w:r>
      <w:r>
        <w:rPr>
          <w:rFonts w:eastAsia="仿宋_GB2312" w:cs="仿宋_GB2312"/>
          <w:sz w:val="32"/>
          <w:szCs w:val="32"/>
        </w:rPr>
        <w:t xml:space="preserve"> </w:t>
      </w:r>
      <w:r>
        <w:rPr>
          <w:rFonts w:hint="eastAsia" w:eastAsia="仿宋_GB2312" w:cs="仿宋_GB2312"/>
          <w:sz w:val="32"/>
          <w:szCs w:val="32"/>
        </w:rPr>
        <w:t>2</w:t>
      </w:r>
      <w:r>
        <w:rPr>
          <w:rFonts w:eastAsia="仿宋_GB2312" w:cs="仿宋_GB2312"/>
          <w:sz w:val="32"/>
          <w:szCs w:val="32"/>
        </w:rPr>
        <w:t>=</w:t>
      </w:r>
      <w:r>
        <w:rPr>
          <w:rFonts w:hint="eastAsia" w:eastAsia="仿宋_GB2312" w:cs="仿宋_GB2312"/>
          <w:sz w:val="32"/>
          <w:szCs w:val="32"/>
        </w:rPr>
        <w:t>2</w:t>
      </w:r>
    </w:p>
    <w:p w14:paraId="377B39E8">
      <w:pPr>
        <w:spacing w:line="600" w:lineRule="exact"/>
        <w:ind w:firstLine="640"/>
        <w:rPr>
          <w:rFonts w:eastAsia="仿宋_GB2312" w:cs="仿宋_GB2312"/>
          <w:sz w:val="32"/>
          <w:szCs w:val="32"/>
        </w:rPr>
      </w:pPr>
      <w:r>
        <w:rPr>
          <w:rFonts w:eastAsia="仿宋_GB2312" w:cs="仿宋_GB2312"/>
          <w:sz w:val="32"/>
          <w:szCs w:val="32"/>
        </w:rPr>
        <w:t>根据评分标准，该项指标</w:t>
      </w:r>
      <w:r>
        <w:rPr>
          <w:rFonts w:hint="eastAsia" w:eastAsia="仿宋_GB2312" w:cs="仿宋_GB2312"/>
          <w:sz w:val="32"/>
          <w:szCs w:val="32"/>
        </w:rPr>
        <w:t>不扣分，得2分。</w:t>
      </w:r>
    </w:p>
    <w:p w14:paraId="7E174682">
      <w:pPr>
        <w:spacing w:line="600" w:lineRule="exact"/>
        <w:ind w:firstLine="640"/>
        <w:outlineLvl w:val="4"/>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5</w:t>
      </w:r>
      <w:r>
        <w:rPr>
          <w:rFonts w:hint="eastAsia" w:eastAsia="仿宋_GB2312" w:cs="仿宋_GB2312"/>
          <w:sz w:val="32"/>
          <w:szCs w:val="32"/>
        </w:rPr>
        <w:t>）严控一般性支出</w:t>
      </w:r>
    </w:p>
    <w:p w14:paraId="5257E6CE">
      <w:pPr>
        <w:spacing w:line="600" w:lineRule="exact"/>
        <w:ind w:firstLine="640"/>
        <w:rPr>
          <w:rFonts w:eastAsia="仿宋_GB2312" w:cs="仿宋_GB2312"/>
          <w:sz w:val="32"/>
          <w:szCs w:val="32"/>
        </w:rPr>
      </w:pPr>
      <w:r>
        <w:rPr>
          <w:rFonts w:hint="eastAsia" w:eastAsia="仿宋_GB2312" w:cs="仿宋_GB2312"/>
          <w:sz w:val="32"/>
          <w:szCs w:val="32"/>
        </w:rPr>
        <w:t>我单位2024年度“三公”经费、会议、培训、差旅、办节办展、办公设备购置、信息网络及软件购置更新、课题经费等</w:t>
      </w:r>
      <w:r>
        <w:rPr>
          <w:rFonts w:eastAsia="仿宋_GB2312" w:cs="仿宋_GB2312"/>
          <w:sz w:val="32"/>
          <w:szCs w:val="32"/>
        </w:rPr>
        <w:t>8</w:t>
      </w:r>
      <w:r>
        <w:rPr>
          <w:rFonts w:hint="eastAsia" w:eastAsia="仿宋_GB2312" w:cs="仿宋_GB2312"/>
          <w:sz w:val="32"/>
          <w:szCs w:val="32"/>
        </w:rPr>
        <w:t>项一般性支出情况详见下表</w:t>
      </w:r>
      <w:r>
        <w:rPr>
          <w:rFonts w:eastAsia="仿宋_GB2312" w:cs="仿宋_GB2312"/>
          <w:sz w:val="32"/>
          <w:szCs w:val="32"/>
        </w:rPr>
        <w:t>3</w:t>
      </w:r>
      <w:r>
        <w:rPr>
          <w:rFonts w:hint="eastAsia" w:eastAsia="仿宋_GB2312" w:cs="仿宋_GB2312"/>
          <w:sz w:val="32"/>
          <w:szCs w:val="32"/>
        </w:rPr>
        <w:t>-</w:t>
      </w:r>
      <w:r>
        <w:rPr>
          <w:rFonts w:eastAsia="仿宋_GB2312" w:cs="仿宋_GB2312"/>
          <w:sz w:val="32"/>
          <w:szCs w:val="32"/>
        </w:rPr>
        <w:t>1</w:t>
      </w:r>
      <w:r>
        <w:rPr>
          <w:rFonts w:hint="eastAsia" w:eastAsia="仿宋_GB2312" w:cs="仿宋_GB2312"/>
          <w:sz w:val="32"/>
          <w:szCs w:val="32"/>
        </w:rPr>
        <w:t>。</w:t>
      </w:r>
    </w:p>
    <w:p w14:paraId="61396F5F">
      <w:pPr>
        <w:spacing w:line="600" w:lineRule="exact"/>
        <w:ind w:firstLine="640"/>
        <w:rPr>
          <w:rFonts w:eastAsia="仿宋_GB2312" w:cs="仿宋_GB2312"/>
          <w:sz w:val="32"/>
          <w:szCs w:val="32"/>
        </w:rPr>
      </w:pPr>
      <w:r>
        <w:rPr>
          <w:rFonts w:hint="eastAsia" w:eastAsia="仿宋_GB2312" w:cs="仿宋_GB2312"/>
          <w:sz w:val="32"/>
          <w:szCs w:val="32"/>
        </w:rPr>
        <w:t>表</w:t>
      </w:r>
      <w:r>
        <w:rPr>
          <w:rFonts w:eastAsia="仿宋_GB2312" w:cs="仿宋_GB2312"/>
          <w:sz w:val="32"/>
          <w:szCs w:val="32"/>
        </w:rPr>
        <w:t>3</w:t>
      </w:r>
      <w:r>
        <w:rPr>
          <w:rFonts w:hint="eastAsia" w:eastAsia="仿宋_GB2312" w:cs="仿宋_GB2312"/>
          <w:sz w:val="32"/>
          <w:szCs w:val="32"/>
        </w:rPr>
        <w:t>-</w:t>
      </w:r>
      <w:r>
        <w:rPr>
          <w:rFonts w:eastAsia="仿宋_GB2312" w:cs="仿宋_GB2312"/>
          <w:sz w:val="32"/>
          <w:szCs w:val="32"/>
        </w:rPr>
        <w:t>1</w:t>
      </w:r>
      <w:r>
        <w:rPr>
          <w:rFonts w:hint="eastAsia" w:eastAsia="仿宋_GB2312" w:cs="仿宋_GB2312"/>
          <w:sz w:val="32"/>
          <w:szCs w:val="32"/>
        </w:rPr>
        <w:t xml:space="preserve"> 2024年度一般性支出情况表</w:t>
      </w:r>
    </w:p>
    <w:p w14:paraId="69773DDC">
      <w:pPr>
        <w:spacing w:line="600" w:lineRule="exact"/>
        <w:ind w:firstLine="640"/>
        <w:rPr>
          <w:rFonts w:eastAsia="仿宋_GB2312" w:cs="仿宋_GB2312"/>
          <w:sz w:val="32"/>
          <w:szCs w:val="32"/>
        </w:rPr>
      </w:pPr>
      <w:r>
        <w:rPr>
          <w:rFonts w:hint="eastAsia" w:eastAsia="仿宋_GB2312" w:cs="仿宋_GB2312"/>
          <w:sz w:val="32"/>
          <w:szCs w:val="32"/>
        </w:rPr>
        <w:t>单位：万元</w:t>
      </w:r>
    </w:p>
    <w:p w14:paraId="69724E92">
      <w:pPr>
        <w:spacing w:line="600" w:lineRule="exact"/>
        <w:ind w:firstLine="640"/>
        <w:rPr>
          <w:rFonts w:eastAsia="仿宋_GB2312" w:cs="仿宋_GB2312"/>
          <w:sz w:val="32"/>
          <w:szCs w:val="32"/>
        </w:rPr>
      </w:pPr>
      <w:r>
        <w:rPr>
          <w:rFonts w:hint="eastAsia" w:eastAsia="仿宋_GB2312" w:cs="仿宋_GB2312"/>
          <w:sz w:val="32"/>
          <w:szCs w:val="32"/>
        </w:rPr>
        <w:t>一般性支出财政拨款年初预算较上年减少，一般性支出财政拨款预算执行数较上年减少。</w:t>
      </w:r>
    </w:p>
    <w:p w14:paraId="630CFD65">
      <w:pPr>
        <w:spacing w:line="600" w:lineRule="exact"/>
        <w:ind w:firstLine="640"/>
        <w:rPr>
          <w:rFonts w:eastAsia="仿宋_GB2312" w:cs="仿宋_GB2312"/>
          <w:sz w:val="32"/>
          <w:szCs w:val="32"/>
        </w:rPr>
      </w:pPr>
      <w:r>
        <w:rPr>
          <w:rFonts w:eastAsia="仿宋_GB2312" w:cs="仿宋_GB2312"/>
          <w:sz w:val="32"/>
          <w:szCs w:val="32"/>
        </w:rPr>
        <w:t>根据评分标准，该项指标不扣分，得5分</w:t>
      </w:r>
      <w:r>
        <w:rPr>
          <w:rFonts w:hint="eastAsia" w:eastAsia="仿宋_GB2312" w:cs="仿宋_GB2312"/>
          <w:sz w:val="32"/>
          <w:szCs w:val="32"/>
        </w:rPr>
        <w:t>。</w:t>
      </w:r>
    </w:p>
    <w:p w14:paraId="3496B115">
      <w:pPr>
        <w:spacing w:line="600" w:lineRule="exact"/>
        <w:ind w:firstLine="640"/>
        <w:outlineLvl w:val="3"/>
        <w:rPr>
          <w:rFonts w:eastAsia="仿宋_GB2312" w:cs="仿宋_GB2312"/>
          <w:sz w:val="32"/>
          <w:szCs w:val="32"/>
          <w:lang w:val="zh-CN"/>
        </w:rPr>
      </w:pPr>
      <w:r>
        <w:rPr>
          <w:rFonts w:eastAsia="仿宋_GB2312" w:cs="仿宋_GB2312"/>
          <w:sz w:val="32"/>
          <w:szCs w:val="32"/>
        </w:rPr>
        <w:t>3</w:t>
      </w:r>
      <w:r>
        <w:rPr>
          <w:rFonts w:hint="eastAsia" w:eastAsia="仿宋_GB2312" w:cs="仿宋_GB2312"/>
          <w:sz w:val="32"/>
          <w:szCs w:val="32"/>
        </w:rPr>
        <w:t>.</w:t>
      </w:r>
      <w:r>
        <w:rPr>
          <w:rFonts w:eastAsia="仿宋_GB2312" w:cs="仿宋_GB2312"/>
          <w:sz w:val="32"/>
          <w:szCs w:val="32"/>
          <w:lang w:val="zh-CN"/>
        </w:rPr>
        <w:t>财务管理</w:t>
      </w:r>
    </w:p>
    <w:p w14:paraId="2F1956D0">
      <w:pPr>
        <w:spacing w:line="600" w:lineRule="exact"/>
        <w:ind w:firstLine="640"/>
        <w:outlineLvl w:val="4"/>
        <w:rPr>
          <w:rFonts w:eastAsia="仿宋_GB2312" w:cs="仿宋_GB2312"/>
          <w:sz w:val="32"/>
          <w:szCs w:val="32"/>
          <w:lang w:val="zh-CN"/>
        </w:rPr>
      </w:pPr>
      <w:r>
        <w:rPr>
          <w:rFonts w:hint="eastAsia" w:eastAsia="仿宋_GB2312" w:cs="仿宋_GB2312"/>
          <w:sz w:val="32"/>
          <w:szCs w:val="32"/>
          <w:lang w:val="zh-CN"/>
        </w:rPr>
        <w:t>（1）财务管理制度</w:t>
      </w:r>
    </w:p>
    <w:p w14:paraId="2F0A8879">
      <w:pPr>
        <w:spacing w:line="600" w:lineRule="exact"/>
        <w:ind w:firstLine="640"/>
        <w:rPr>
          <w:rFonts w:eastAsia="仿宋_GB2312" w:cs="仿宋_GB2312"/>
          <w:sz w:val="32"/>
          <w:szCs w:val="32"/>
          <w:lang w:val="zh-CN"/>
        </w:rPr>
      </w:pPr>
      <w:r>
        <w:rPr>
          <w:rFonts w:hint="eastAsia" w:eastAsia="仿宋_GB2312" w:cs="仿宋_GB2312"/>
          <w:sz w:val="32"/>
          <w:szCs w:val="32"/>
          <w:lang w:val="zh-CN"/>
        </w:rPr>
        <w:t>为加强和规范我单位内部控制管理水平和风险防范能力，健全规范内部控制机制，加强廉政风险防控机制建设，我单位2024年在对预算、收支、政府采购、资产、建设项目、合同等各类经济业务活动流程梳理的基础上，依据《中华人民共和国会计法》《中华人民共和国预算法》《中华人民共和国政府采购法》《政府会计制度》《行政事业单位内部控制规范（试行）》《关于全面推进行政事业单位内部控制建设的指导意见》（财会〔2015〕24号）、《四川省财政厅关于印发〈四川省省级行政事业单位内部控制建设指引〉的通知》（川财会〔2019〕37号）等文件编制了《理县人民法院部门财务内部控制制度》，部门内部财务管理制度等制度机制建立健全，制度得到有效执行。</w:t>
      </w:r>
    </w:p>
    <w:p w14:paraId="364AF930">
      <w:pPr>
        <w:spacing w:line="600" w:lineRule="exact"/>
        <w:ind w:firstLine="640"/>
        <w:rPr>
          <w:rFonts w:eastAsia="仿宋_GB2312" w:cs="仿宋_GB2312"/>
          <w:sz w:val="32"/>
          <w:szCs w:val="32"/>
          <w:lang w:val="zh-CN"/>
        </w:rPr>
      </w:pPr>
      <w:r>
        <w:rPr>
          <w:rFonts w:hint="eastAsia" w:eastAsia="仿宋_GB2312" w:cs="仿宋_GB2312"/>
          <w:sz w:val="32"/>
          <w:szCs w:val="32"/>
          <w:lang w:val="zh-CN"/>
        </w:rPr>
        <w:t>根据评分标准，该项指标不扣分，得4分。</w:t>
      </w:r>
    </w:p>
    <w:p w14:paraId="35798A22">
      <w:pPr>
        <w:spacing w:line="600" w:lineRule="exact"/>
        <w:ind w:firstLine="640"/>
        <w:outlineLvl w:val="4"/>
        <w:rPr>
          <w:rFonts w:eastAsia="仿宋_GB2312" w:cs="仿宋_GB2312"/>
          <w:sz w:val="32"/>
          <w:szCs w:val="32"/>
          <w:lang w:val="zh-CN"/>
        </w:rPr>
      </w:pPr>
      <w:r>
        <w:rPr>
          <w:rFonts w:hint="eastAsia" w:eastAsia="仿宋_GB2312" w:cs="仿宋_GB2312"/>
          <w:sz w:val="32"/>
          <w:szCs w:val="32"/>
          <w:lang w:val="zh-CN"/>
        </w:rPr>
        <w:t>（2）财务岗位设置</w:t>
      </w:r>
    </w:p>
    <w:p w14:paraId="7A6F30EF">
      <w:pPr>
        <w:spacing w:line="600" w:lineRule="exact"/>
        <w:ind w:firstLine="640"/>
        <w:rPr>
          <w:rFonts w:eastAsia="仿宋_GB2312" w:cs="仿宋_GB2312"/>
          <w:sz w:val="32"/>
          <w:szCs w:val="32"/>
          <w:lang w:val="zh-CN"/>
        </w:rPr>
      </w:pPr>
      <w:r>
        <w:rPr>
          <w:rFonts w:hint="eastAsia" w:eastAsia="仿宋_GB2312" w:cs="仿宋_GB2312"/>
          <w:sz w:val="32"/>
          <w:szCs w:val="32"/>
          <w:lang w:val="zh-CN"/>
        </w:rPr>
        <w:t>我单位按照《中华人民共和国会计法》《中华人民共和国预算法》等相关法律，合理设置了单位财务岗位，明确了各岗位职责权限确保工作有序进行，同时，我单位制定的《理县人民法院部门财务内部控制制度》明确表示了财务收支统一核算管理，会计和出纳岗位分设，出纳人员不得兼管审核、会计档案保管，在财务实际设置过程中，做到了将会计与出纳、审核与执行等岗位分离，形成了相互制约、监督的机制，进而增强了财务数据的准确性，提升了内部控制效能，确保了财务工作的高效与透明。</w:t>
      </w:r>
    </w:p>
    <w:p w14:paraId="0C5F067C">
      <w:pPr>
        <w:spacing w:line="600" w:lineRule="exact"/>
        <w:ind w:firstLine="640"/>
        <w:rPr>
          <w:rFonts w:eastAsia="仿宋_GB2312" w:cs="仿宋_GB2312"/>
          <w:sz w:val="32"/>
          <w:szCs w:val="32"/>
          <w:lang w:val="zh-CN"/>
        </w:rPr>
      </w:pPr>
      <w:r>
        <w:rPr>
          <w:rFonts w:hint="eastAsia" w:eastAsia="仿宋_GB2312" w:cs="仿宋_GB2312"/>
          <w:sz w:val="32"/>
          <w:szCs w:val="32"/>
          <w:lang w:val="zh-CN"/>
        </w:rPr>
        <w:t>根据评分标准，该项指标不扣分，得2分。</w:t>
      </w:r>
    </w:p>
    <w:p w14:paraId="3BDAD677">
      <w:pPr>
        <w:spacing w:line="600" w:lineRule="exact"/>
        <w:ind w:firstLine="640"/>
        <w:outlineLvl w:val="4"/>
        <w:rPr>
          <w:rFonts w:eastAsia="仿宋_GB2312" w:cs="仿宋_GB2312"/>
          <w:sz w:val="32"/>
          <w:szCs w:val="32"/>
          <w:lang w:val="zh-CN"/>
        </w:rPr>
      </w:pPr>
      <w:r>
        <w:rPr>
          <w:rFonts w:hint="eastAsia" w:eastAsia="仿宋_GB2312" w:cs="仿宋_GB2312"/>
          <w:sz w:val="32"/>
          <w:szCs w:val="32"/>
          <w:lang w:val="zh-CN"/>
        </w:rPr>
        <w:t>（3）资金使用规范</w:t>
      </w:r>
    </w:p>
    <w:p w14:paraId="07D41171">
      <w:pPr>
        <w:spacing w:line="600" w:lineRule="exact"/>
        <w:ind w:firstLine="640"/>
        <w:rPr>
          <w:rFonts w:eastAsia="仿宋_GB2312" w:cs="仿宋_GB2312"/>
          <w:sz w:val="32"/>
          <w:szCs w:val="32"/>
          <w:lang w:val="zh-CN"/>
        </w:rPr>
      </w:pPr>
      <w:r>
        <w:rPr>
          <w:rFonts w:hint="eastAsia" w:eastAsia="仿宋_GB2312" w:cs="仿宋_GB2312"/>
          <w:sz w:val="32"/>
          <w:szCs w:val="32"/>
          <w:lang w:val="zh-CN"/>
        </w:rPr>
        <w:t>我单位严格按照已制定的内部控制制度文件和国家财经法规要求使用资金，资金使用符合相关财务管理制度规定，资金的拨付有完整的审批程序和手续，对项目的重大开支进行了评估论证，资金使用符合部门预算批复的用途，不存在截留、挤占、挪用、虚列支出等情况。</w:t>
      </w:r>
    </w:p>
    <w:p w14:paraId="750F1343">
      <w:pPr>
        <w:spacing w:line="600" w:lineRule="exact"/>
        <w:ind w:firstLine="640"/>
        <w:rPr>
          <w:rFonts w:eastAsia="仿宋_GB2312" w:cs="仿宋_GB2312"/>
          <w:sz w:val="32"/>
          <w:szCs w:val="32"/>
          <w:lang w:val="zh-CN"/>
        </w:rPr>
      </w:pPr>
      <w:r>
        <w:rPr>
          <w:rFonts w:hint="eastAsia" w:eastAsia="仿宋_GB2312" w:cs="仿宋_GB2312"/>
          <w:sz w:val="32"/>
          <w:szCs w:val="32"/>
          <w:lang w:val="zh-CN"/>
        </w:rPr>
        <w:t>根据评分标准，该项指标不扣分，得4分。</w:t>
      </w:r>
    </w:p>
    <w:p w14:paraId="313EE1CD">
      <w:pPr>
        <w:spacing w:line="600" w:lineRule="exact"/>
        <w:ind w:firstLine="640"/>
        <w:outlineLvl w:val="3"/>
        <w:rPr>
          <w:rFonts w:eastAsia="仿宋_GB2312" w:cs="仿宋_GB2312"/>
          <w:sz w:val="32"/>
          <w:szCs w:val="32"/>
          <w:lang w:val="zh-CN"/>
        </w:rPr>
      </w:pPr>
      <w:r>
        <w:rPr>
          <w:rFonts w:hint="eastAsia" w:eastAsia="仿宋_GB2312" w:cs="仿宋_GB2312"/>
          <w:sz w:val="32"/>
          <w:szCs w:val="32"/>
        </w:rPr>
        <w:t>4.</w:t>
      </w:r>
      <w:r>
        <w:rPr>
          <w:rFonts w:hint="eastAsia" w:eastAsia="仿宋_GB2312" w:cs="仿宋_GB2312"/>
          <w:sz w:val="32"/>
          <w:szCs w:val="32"/>
          <w:lang w:val="zh-CN"/>
        </w:rPr>
        <w:t>资产管理</w:t>
      </w:r>
    </w:p>
    <w:p w14:paraId="20AE8E47">
      <w:pPr>
        <w:spacing w:line="600" w:lineRule="exact"/>
        <w:ind w:firstLine="640"/>
        <w:outlineLvl w:val="4"/>
        <w:rPr>
          <w:rFonts w:eastAsia="仿宋_GB2312" w:cs="仿宋_GB2312"/>
          <w:sz w:val="32"/>
          <w:szCs w:val="32"/>
          <w:lang w:val="zh-CN"/>
        </w:rPr>
      </w:pPr>
      <w:r>
        <w:rPr>
          <w:rFonts w:hint="eastAsia" w:eastAsia="仿宋_GB2312" w:cs="仿宋_GB2312"/>
          <w:sz w:val="32"/>
          <w:szCs w:val="32"/>
          <w:lang w:val="zh-CN"/>
        </w:rPr>
        <w:t>（1）人均资产变化率</w:t>
      </w:r>
    </w:p>
    <w:p w14:paraId="6AF90BF0">
      <w:pPr>
        <w:spacing w:line="600" w:lineRule="exact"/>
        <w:ind w:firstLine="640"/>
        <w:rPr>
          <w:rFonts w:eastAsia="仿宋_GB2312" w:cs="仿宋_GB2312"/>
          <w:sz w:val="32"/>
          <w:szCs w:val="32"/>
          <w:lang w:val="zh-CN"/>
        </w:rPr>
      </w:pPr>
      <w:r>
        <w:rPr>
          <w:rFonts w:hint="eastAsia" w:eastAsia="仿宋_GB2312" w:cs="仿宋_GB2312"/>
          <w:sz w:val="32"/>
          <w:szCs w:val="32"/>
          <w:lang w:val="zh-CN"/>
        </w:rPr>
        <w:t>我单位2023年末实有在编在职人数为51人，固定资产和无形资产期末账面值净值合计2,001.57万元；2024年末实有在职在编人数为</w:t>
      </w:r>
      <w:r>
        <w:rPr>
          <w:rFonts w:hint="eastAsia" w:eastAsia="仿宋_GB2312" w:cs="仿宋_GB2312"/>
          <w:sz w:val="32"/>
          <w:szCs w:val="32"/>
        </w:rPr>
        <w:t>46</w:t>
      </w:r>
      <w:r>
        <w:rPr>
          <w:rFonts w:hint="eastAsia" w:eastAsia="仿宋_GB2312" w:cs="仿宋_GB2312"/>
          <w:sz w:val="32"/>
          <w:szCs w:val="32"/>
          <w:lang w:val="zh-CN"/>
        </w:rPr>
        <w:t>人，固定资产和无形资产净值合计2,136.49万元。人均占有资产及人均资产变化率计算公式分别为“（固定资产净值+无形资产净值)/在职人数、(当年人均资产-上年人均资产)/上年人均资产”。故我单位</w:t>
      </w:r>
      <w:r>
        <w:rPr>
          <w:rFonts w:hint="eastAsia" w:eastAsia="仿宋_GB2312" w:cs="仿宋_GB2312"/>
          <w:sz w:val="32"/>
          <w:szCs w:val="32"/>
        </w:rPr>
        <w:t>2023</w:t>
      </w:r>
      <w:r>
        <w:rPr>
          <w:rFonts w:hint="eastAsia" w:eastAsia="仿宋_GB2312" w:cs="仿宋_GB2312"/>
          <w:sz w:val="32"/>
          <w:szCs w:val="32"/>
          <w:lang w:val="zh-CN"/>
        </w:rPr>
        <w:t>、2024年人均占有资产分别为39.25万元/人、</w:t>
      </w:r>
      <w:r>
        <w:rPr>
          <w:rFonts w:hint="eastAsia" w:eastAsia="仿宋_GB2312" w:cs="仿宋_GB2312"/>
          <w:sz w:val="32"/>
          <w:szCs w:val="32"/>
        </w:rPr>
        <w:t>46.44</w:t>
      </w:r>
      <w:r>
        <w:rPr>
          <w:rFonts w:hint="eastAsia" w:eastAsia="仿宋_GB2312" w:cs="仿宋_GB2312"/>
          <w:sz w:val="32"/>
          <w:szCs w:val="32"/>
          <w:lang w:val="zh-CN"/>
        </w:rPr>
        <w:t>万元/人。</w:t>
      </w:r>
    </w:p>
    <w:p w14:paraId="11A6A330">
      <w:pPr>
        <w:spacing w:line="600" w:lineRule="exact"/>
        <w:ind w:firstLine="640"/>
        <w:rPr>
          <w:rFonts w:eastAsia="仿宋_GB2312" w:cs="仿宋_GB2312"/>
          <w:sz w:val="32"/>
          <w:szCs w:val="32"/>
          <w:lang w:val="zh-CN"/>
        </w:rPr>
      </w:pPr>
      <w:r>
        <w:rPr>
          <w:rFonts w:hint="eastAsia" w:eastAsia="仿宋_GB2312" w:cs="仿宋_GB2312"/>
          <w:sz w:val="32"/>
          <w:szCs w:val="32"/>
          <w:lang w:val="zh-CN"/>
        </w:rPr>
        <w:t>综上，2024年我单位人均资产变化率为26.60%，大于0，大于1.4倍州直行政事业单位人均资产变化率33.99% , ，大于2倍州级财政收入增长率-61.00%。</w:t>
      </w:r>
    </w:p>
    <w:p w14:paraId="6DBCBCAC">
      <w:pPr>
        <w:spacing w:line="600" w:lineRule="exact"/>
        <w:ind w:firstLine="640"/>
        <w:rPr>
          <w:rFonts w:eastAsia="仿宋_GB2312" w:cs="仿宋_GB2312"/>
          <w:sz w:val="32"/>
          <w:szCs w:val="32"/>
        </w:rPr>
      </w:pPr>
      <w:r>
        <w:rPr>
          <w:rFonts w:hint="eastAsia" w:eastAsia="仿宋_GB2312" w:cs="仿宋_GB2312"/>
          <w:sz w:val="32"/>
          <w:szCs w:val="32"/>
          <w:lang w:val="zh-CN"/>
        </w:rPr>
        <w:t>根据评分标准，该项指标扣2.70分，得0.30分。</w:t>
      </w:r>
    </w:p>
    <w:p w14:paraId="5F9F04BD">
      <w:pPr>
        <w:spacing w:line="600" w:lineRule="exact"/>
        <w:ind w:firstLine="640"/>
        <w:outlineLvl w:val="4"/>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2</w:t>
      </w:r>
      <w:r>
        <w:rPr>
          <w:rFonts w:hint="eastAsia" w:eastAsia="仿宋_GB2312" w:cs="仿宋_GB2312"/>
          <w:sz w:val="32"/>
          <w:szCs w:val="32"/>
        </w:rPr>
        <w:t>）资产利用率</w:t>
      </w:r>
    </w:p>
    <w:p w14:paraId="6AE1D49F">
      <w:pPr>
        <w:spacing w:line="600" w:lineRule="exact"/>
        <w:ind w:firstLine="640"/>
        <w:rPr>
          <w:rFonts w:eastAsia="仿宋_GB2312" w:cs="仿宋_GB2312"/>
          <w:sz w:val="32"/>
          <w:szCs w:val="32"/>
        </w:rPr>
      </w:pPr>
      <w:r>
        <w:rPr>
          <w:rFonts w:hint="eastAsia" w:eastAsia="仿宋_GB2312" w:cs="仿宋_GB2312"/>
          <w:sz w:val="32"/>
          <w:szCs w:val="32"/>
        </w:rPr>
        <w:t>我单位2023年办公家具账面价值为201.88万元，超最低使用年限的办公家具账面价值为22.56万元，故办公家具超最低使用年限资产利用率=超最低使用年限的办公家具账面价值÷办公家具账面价值×100%=11.17%；2024年办公设备账面价值为466.68万元，超最低使用年限的办公设备账面价值为466.68万元，故办公设备超最低使用年限资产利用率=超最低使用年限的办公设备账面价值÷办公设备账面价值×100%=100.00%。</w:t>
      </w:r>
    </w:p>
    <w:p w14:paraId="3C1530C9">
      <w:pPr>
        <w:spacing w:line="600" w:lineRule="exact"/>
        <w:ind w:firstLine="640"/>
        <w:rPr>
          <w:rFonts w:eastAsia="仿宋_GB2312" w:cs="仿宋_GB2312"/>
          <w:sz w:val="32"/>
          <w:szCs w:val="32"/>
        </w:rPr>
      </w:pPr>
      <w:r>
        <w:rPr>
          <w:rFonts w:hint="eastAsia" w:eastAsia="仿宋_GB2312" w:cs="仿宋_GB2312"/>
          <w:sz w:val="32"/>
          <w:szCs w:val="32"/>
        </w:rPr>
        <w:t>综上，我单位在资产利用率方面，办公家具和用具超最低使用年限资产利用率大于州直行政事业单位平均值10.03%，办公设备超最低使用年限资产利用率大于州直行政事业单位平均值47.86%。</w:t>
      </w:r>
    </w:p>
    <w:p w14:paraId="438A1AE8">
      <w:pPr>
        <w:spacing w:line="600" w:lineRule="exact"/>
        <w:ind w:firstLine="640"/>
        <w:rPr>
          <w:rFonts w:eastAsia="仿宋_GB2312" w:cs="仿宋_GB2312"/>
          <w:sz w:val="32"/>
          <w:szCs w:val="32"/>
        </w:rPr>
      </w:pPr>
      <w:r>
        <w:rPr>
          <w:rFonts w:hint="eastAsia" w:eastAsia="仿宋_GB2312" w:cs="仿宋_GB2312"/>
          <w:sz w:val="32"/>
          <w:szCs w:val="32"/>
        </w:rPr>
        <w:t>根据评分标准，该项指标不扣分，得3分。</w:t>
      </w:r>
    </w:p>
    <w:p w14:paraId="7636F860">
      <w:pPr>
        <w:spacing w:line="600" w:lineRule="exact"/>
        <w:ind w:firstLine="640"/>
        <w:outlineLvl w:val="4"/>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3</w:t>
      </w:r>
      <w:r>
        <w:rPr>
          <w:rFonts w:hint="eastAsia" w:eastAsia="仿宋_GB2312" w:cs="仿宋_GB2312"/>
          <w:sz w:val="32"/>
          <w:szCs w:val="32"/>
        </w:rPr>
        <w:t>）资产盘活率</w:t>
      </w:r>
    </w:p>
    <w:p w14:paraId="1B85ABEA">
      <w:pPr>
        <w:spacing w:line="600" w:lineRule="exact"/>
        <w:ind w:firstLine="640"/>
        <w:rPr>
          <w:rFonts w:eastAsia="仿宋_GB2312" w:cs="仿宋_GB2312"/>
          <w:sz w:val="32"/>
          <w:szCs w:val="32"/>
        </w:rPr>
      </w:pPr>
      <w:r>
        <w:rPr>
          <w:rFonts w:eastAsia="仿宋_GB2312" w:cs="仿宋_GB2312"/>
          <w:sz w:val="32"/>
          <w:szCs w:val="32"/>
        </w:rPr>
        <w:t>我单位2023年、2024年均无闲置资产。自评年度我单位部门闲置资产占比变化率</w:t>
      </w:r>
      <w:r>
        <w:rPr>
          <w:rFonts w:hint="eastAsia" w:eastAsia="仿宋_GB2312" w:cs="仿宋_GB2312"/>
          <w:sz w:val="32"/>
          <w:szCs w:val="32"/>
        </w:rPr>
        <w:t>为</w:t>
      </w:r>
      <w:r>
        <w:rPr>
          <w:rFonts w:eastAsia="仿宋_GB2312" w:cs="仿宋_GB2312"/>
          <w:sz w:val="32"/>
          <w:szCs w:val="32"/>
        </w:rPr>
        <w:t>0%。</w:t>
      </w:r>
    </w:p>
    <w:p w14:paraId="5353A9D1">
      <w:pPr>
        <w:spacing w:line="600" w:lineRule="exact"/>
        <w:ind w:firstLine="640"/>
        <w:rPr>
          <w:rFonts w:eastAsia="仿宋_GB2312" w:cs="仿宋_GB2312"/>
          <w:sz w:val="32"/>
          <w:szCs w:val="32"/>
        </w:rPr>
      </w:pPr>
      <w:r>
        <w:rPr>
          <w:rFonts w:hint="eastAsia" w:eastAsia="仿宋_GB2312" w:cs="仿宋_GB2312"/>
          <w:sz w:val="32"/>
          <w:szCs w:val="32"/>
        </w:rPr>
        <w:t>根据评分标准，该项指标不扣分，得3分。</w:t>
      </w:r>
    </w:p>
    <w:p w14:paraId="23EF7435">
      <w:pPr>
        <w:spacing w:line="600" w:lineRule="exact"/>
        <w:ind w:firstLine="640"/>
        <w:outlineLvl w:val="3"/>
        <w:rPr>
          <w:rFonts w:eastAsia="仿宋_GB2312" w:cs="仿宋_GB2312"/>
          <w:sz w:val="32"/>
          <w:szCs w:val="32"/>
          <w:lang w:val="zh-CN"/>
        </w:rPr>
      </w:pPr>
      <w:r>
        <w:rPr>
          <w:rFonts w:eastAsia="仿宋_GB2312" w:cs="仿宋_GB2312"/>
          <w:sz w:val="32"/>
          <w:szCs w:val="32"/>
        </w:rPr>
        <w:t>5</w:t>
      </w:r>
      <w:r>
        <w:rPr>
          <w:rFonts w:hint="eastAsia" w:eastAsia="仿宋_GB2312" w:cs="仿宋_GB2312"/>
          <w:sz w:val="32"/>
          <w:szCs w:val="32"/>
        </w:rPr>
        <w:t>.</w:t>
      </w:r>
      <w:r>
        <w:rPr>
          <w:rFonts w:eastAsia="仿宋_GB2312" w:cs="仿宋_GB2312"/>
          <w:sz w:val="32"/>
          <w:szCs w:val="32"/>
          <w:lang w:val="zh-CN"/>
        </w:rPr>
        <w:t>采购管理</w:t>
      </w:r>
    </w:p>
    <w:p w14:paraId="16719BCB">
      <w:pPr>
        <w:spacing w:line="600" w:lineRule="exact"/>
        <w:ind w:firstLine="640"/>
        <w:outlineLvl w:val="4"/>
        <w:rPr>
          <w:rFonts w:eastAsia="仿宋_GB2312" w:cs="仿宋_GB2312"/>
          <w:sz w:val="32"/>
          <w:szCs w:val="32"/>
          <w:lang w:val="zh-CN"/>
        </w:rPr>
      </w:pPr>
      <w:r>
        <w:rPr>
          <w:rFonts w:hint="eastAsia" w:eastAsia="仿宋_GB2312" w:cs="仿宋_GB2312"/>
          <w:sz w:val="32"/>
          <w:szCs w:val="32"/>
          <w:lang w:val="zh-CN"/>
        </w:rPr>
        <w:t>（</w:t>
      </w:r>
      <w:r>
        <w:rPr>
          <w:rFonts w:eastAsia="仿宋_GB2312" w:cs="仿宋_GB2312"/>
          <w:sz w:val="32"/>
          <w:szCs w:val="32"/>
        </w:rPr>
        <w:t>1</w:t>
      </w:r>
      <w:r>
        <w:rPr>
          <w:rFonts w:hint="eastAsia" w:eastAsia="仿宋_GB2312" w:cs="仿宋_GB2312"/>
          <w:sz w:val="32"/>
          <w:szCs w:val="32"/>
          <w:lang w:val="zh-CN"/>
        </w:rPr>
        <w:t>）支持中小企业发展</w:t>
      </w:r>
    </w:p>
    <w:p w14:paraId="6897467B">
      <w:pPr>
        <w:spacing w:line="600" w:lineRule="exact"/>
        <w:ind w:firstLine="640"/>
        <w:rPr>
          <w:rFonts w:eastAsia="仿宋_GB2312" w:cs="仿宋_GB2312"/>
          <w:sz w:val="32"/>
          <w:szCs w:val="32"/>
        </w:rPr>
      </w:pPr>
      <w:r>
        <w:rPr>
          <w:rFonts w:hint="eastAsia" w:eastAsia="仿宋_GB2312" w:cs="仿宋_GB2312"/>
          <w:sz w:val="32"/>
          <w:szCs w:val="32"/>
        </w:rPr>
        <w:t>我单位严格执行政府采购促进中小企业发展相关管理办法，对适宜由中小企业提供的采购项目和采购包，预留了采购份额专门面向中小企业采购，并在采购预算中单独列示。2024年，我单位采购预算为81.64万元，政府采购授予中小企业合同金额为0.00万元。</w:t>
      </w:r>
    </w:p>
    <w:p w14:paraId="3B7D3206">
      <w:pPr>
        <w:spacing w:line="600" w:lineRule="exact"/>
        <w:ind w:firstLine="640"/>
        <w:rPr>
          <w:rFonts w:eastAsia="仿宋_GB2312" w:cs="仿宋_GB2312"/>
          <w:sz w:val="32"/>
          <w:szCs w:val="32"/>
        </w:rPr>
      </w:pPr>
      <w:r>
        <w:rPr>
          <w:rFonts w:hint="eastAsia" w:eastAsia="仿宋_GB2312" w:cs="仿宋_GB2312"/>
          <w:sz w:val="32"/>
          <w:szCs w:val="32"/>
        </w:rPr>
        <w:t>根据评分标准，该项指标不扣分，得3分。</w:t>
      </w:r>
    </w:p>
    <w:p w14:paraId="6713DAC4">
      <w:pPr>
        <w:spacing w:line="600" w:lineRule="exact"/>
        <w:ind w:firstLine="640"/>
        <w:outlineLvl w:val="4"/>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2</w:t>
      </w:r>
      <w:r>
        <w:rPr>
          <w:rFonts w:hint="eastAsia" w:eastAsia="仿宋_GB2312" w:cs="仿宋_GB2312"/>
          <w:sz w:val="32"/>
          <w:szCs w:val="32"/>
        </w:rPr>
        <w:t>）采购执行率</w:t>
      </w:r>
    </w:p>
    <w:p w14:paraId="48C61C42">
      <w:pPr>
        <w:spacing w:line="600" w:lineRule="exact"/>
        <w:ind w:firstLine="640"/>
        <w:rPr>
          <w:rFonts w:eastAsia="仿宋_GB2312" w:cs="仿宋_GB2312"/>
          <w:sz w:val="32"/>
          <w:szCs w:val="32"/>
        </w:rPr>
      </w:pPr>
      <w:r>
        <w:rPr>
          <w:rFonts w:hint="eastAsia" w:eastAsia="仿宋_GB2312" w:cs="仿宋_GB2312"/>
          <w:sz w:val="32"/>
          <w:szCs w:val="32"/>
        </w:rPr>
        <w:t>我单位2024年度的政府采购总预算数为81.64万元，当年政府采购预算执行数为81.64万元，已完成采购项目节约金额为0万元，故我单位采购执行方面采购执行率为1.00。</w:t>
      </w:r>
    </w:p>
    <w:p w14:paraId="0F9DDA71">
      <w:pPr>
        <w:spacing w:line="600" w:lineRule="exact"/>
        <w:ind w:firstLine="640"/>
        <w:rPr>
          <w:rFonts w:eastAsia="仿宋_GB2312" w:cs="仿宋_GB2312"/>
          <w:sz w:val="32"/>
          <w:szCs w:val="32"/>
          <w:lang w:val="zh-CN"/>
        </w:rPr>
      </w:pPr>
      <w:r>
        <w:rPr>
          <w:rFonts w:hint="eastAsia" w:eastAsia="仿宋_GB2312" w:cs="仿宋_GB2312"/>
          <w:sz w:val="32"/>
          <w:szCs w:val="32"/>
        </w:rPr>
        <w:t>根据评分标准，该项指标不扣分，得3分。</w:t>
      </w:r>
    </w:p>
    <w:p w14:paraId="7C49A764">
      <w:pPr>
        <w:spacing w:line="600" w:lineRule="exact"/>
        <w:ind w:firstLine="640"/>
        <w:outlineLvl w:val="2"/>
        <w:rPr>
          <w:rFonts w:eastAsia="仿宋_GB2312" w:cs="仿宋_GB2312"/>
          <w:sz w:val="32"/>
          <w:szCs w:val="32"/>
        </w:rPr>
      </w:pPr>
      <w:bookmarkStart w:id="95" w:name="_Toc27568"/>
      <w:r>
        <w:rPr>
          <w:rFonts w:eastAsia="仿宋_GB2312" w:cs="仿宋_GB2312"/>
          <w:sz w:val="32"/>
          <w:szCs w:val="32"/>
          <w:lang w:val="zh-CN"/>
        </w:rPr>
        <w:t>（二）部门预算项目绩效分析</w:t>
      </w:r>
      <w:bookmarkEnd w:id="95"/>
    </w:p>
    <w:p w14:paraId="1B60940C">
      <w:pPr>
        <w:spacing w:line="600" w:lineRule="exact"/>
        <w:ind w:firstLine="640"/>
        <w:rPr>
          <w:rFonts w:eastAsia="仿宋_GB2312" w:cs="仿宋_GB2312"/>
          <w:sz w:val="32"/>
          <w:szCs w:val="32"/>
        </w:rPr>
      </w:pPr>
      <w:r>
        <w:rPr>
          <w:rFonts w:eastAsia="仿宋_GB2312" w:cs="仿宋_GB2312"/>
          <w:sz w:val="32"/>
          <w:szCs w:val="32"/>
        </w:rPr>
        <w:t>常年项目绩效分析。</w:t>
      </w:r>
      <w:r>
        <w:rPr>
          <w:rFonts w:eastAsia="仿宋_GB2312" w:cs="仿宋_GB2312"/>
          <w:sz w:val="32"/>
          <w:szCs w:val="32"/>
          <w:lang w:val="zh-CN"/>
        </w:rPr>
        <w:t>该类项目总数</w:t>
      </w:r>
      <w:r>
        <w:rPr>
          <w:rFonts w:hint="eastAsia" w:eastAsia="仿宋_GB2312" w:cs="仿宋_GB2312"/>
          <w:sz w:val="32"/>
          <w:szCs w:val="32"/>
        </w:rPr>
        <w:t>8</w:t>
      </w:r>
      <w:r>
        <w:rPr>
          <w:rFonts w:eastAsia="仿宋_GB2312" w:cs="仿宋_GB2312"/>
          <w:sz w:val="32"/>
          <w:szCs w:val="32"/>
          <w:lang w:val="zh-CN"/>
        </w:rPr>
        <w:t>个，涉及预算总金额</w:t>
      </w:r>
      <w:r>
        <w:rPr>
          <w:rFonts w:hint="eastAsia" w:eastAsia="仿宋_GB2312" w:cs="仿宋_GB2312"/>
          <w:sz w:val="32"/>
          <w:szCs w:val="32"/>
        </w:rPr>
        <w:t>1017.75</w:t>
      </w:r>
      <w:r>
        <w:rPr>
          <w:rFonts w:eastAsia="仿宋_GB2312" w:cs="仿宋_GB2312"/>
          <w:sz w:val="32"/>
          <w:szCs w:val="32"/>
          <w:lang w:val="zh-CN"/>
        </w:rPr>
        <w:t>万元，1—1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100</w:t>
      </w:r>
      <w:r>
        <w:rPr>
          <w:rFonts w:hint="eastAsia" w:eastAsia="仿宋_GB2312" w:cs="仿宋_GB2312"/>
          <w:sz w:val="32"/>
          <w:szCs w:val="32"/>
          <w:lang w:val="zh-CN"/>
        </w:rPr>
        <w:t>，</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0</w:t>
      </w:r>
      <w:r>
        <w:rPr>
          <w:rFonts w:eastAsia="仿宋_GB2312" w:cs="仿宋_GB2312"/>
          <w:sz w:val="32"/>
          <w:szCs w:val="32"/>
          <w:lang w:val="zh-CN"/>
        </w:rPr>
        <w:t>个</w:t>
      </w:r>
      <w:r>
        <w:rPr>
          <w:rFonts w:hint="eastAsia" w:eastAsia="仿宋_GB2312" w:cs="仿宋_GB2312"/>
          <w:sz w:val="32"/>
          <w:szCs w:val="32"/>
          <w:lang w:val="zh-CN"/>
        </w:rPr>
        <w:t>。</w:t>
      </w:r>
    </w:p>
    <w:p w14:paraId="0EB773E6">
      <w:pPr>
        <w:spacing w:line="600" w:lineRule="exact"/>
        <w:ind w:firstLine="640"/>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（含</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hint="eastAsia" w:eastAsia="仿宋_GB2312" w:cs="仿宋_GB2312"/>
          <w:sz w:val="32"/>
          <w:szCs w:val="32"/>
        </w:rPr>
        <w:t>4</w:t>
      </w:r>
      <w:r>
        <w:rPr>
          <w:rFonts w:eastAsia="仿宋_GB2312" w:cs="仿宋_GB2312"/>
          <w:sz w:val="32"/>
          <w:szCs w:val="32"/>
          <w:lang w:val="zh-CN"/>
        </w:rPr>
        <w:t>个，涉及预算总金额</w:t>
      </w:r>
      <w:r>
        <w:rPr>
          <w:rFonts w:hint="eastAsia" w:eastAsia="仿宋_GB2312" w:cs="仿宋_GB2312"/>
          <w:sz w:val="32"/>
          <w:szCs w:val="32"/>
        </w:rPr>
        <w:t>582.03</w:t>
      </w:r>
      <w:r>
        <w:rPr>
          <w:rFonts w:eastAsia="仿宋_GB2312" w:cs="仿宋_GB2312"/>
          <w:sz w:val="32"/>
          <w:szCs w:val="32"/>
          <w:lang w:val="zh-CN"/>
        </w:rPr>
        <w:t>万元，1—1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100</w:t>
      </w:r>
      <w:r>
        <w:rPr>
          <w:rFonts w:eastAsia="仿宋_GB2312" w:cs="仿宋_GB2312"/>
          <w:sz w:val="32"/>
          <w:szCs w:val="32"/>
          <w:lang w:val="zh-CN"/>
        </w:rPr>
        <w:t>%</w:t>
      </w:r>
      <w:r>
        <w:rPr>
          <w:rFonts w:hint="eastAsia" w:eastAsia="仿宋_GB2312" w:cs="仿宋_GB2312"/>
          <w:sz w:val="32"/>
          <w:szCs w:val="32"/>
          <w:lang w:val="zh-CN"/>
        </w:rPr>
        <w:t>，</w:t>
      </w:r>
      <w:r>
        <w:rPr>
          <w:rFonts w:hint="eastAsia" w:eastAsia="仿宋_GB2312" w:cs="仿宋_GB2312"/>
          <w:sz w:val="32"/>
          <w:szCs w:val="32"/>
        </w:rPr>
        <w:t>其中；</w:t>
      </w:r>
      <w:r>
        <w:rPr>
          <w:rFonts w:eastAsia="仿宋_GB2312" w:cs="仿宋_GB2312"/>
          <w:sz w:val="32"/>
          <w:szCs w:val="32"/>
          <w:lang w:val="zh-CN"/>
        </w:rPr>
        <w:t>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0</w:t>
      </w:r>
      <w:r>
        <w:rPr>
          <w:rFonts w:eastAsia="仿宋_GB2312" w:cs="仿宋_GB2312"/>
          <w:sz w:val="32"/>
          <w:szCs w:val="32"/>
          <w:lang w:val="zh-CN"/>
        </w:rPr>
        <w:t>个</w:t>
      </w:r>
      <w:r>
        <w:rPr>
          <w:rFonts w:hint="eastAsia" w:eastAsia="仿宋_GB2312" w:cs="仿宋_GB2312"/>
          <w:sz w:val="32"/>
          <w:szCs w:val="32"/>
          <w:lang w:val="zh-CN"/>
        </w:rPr>
        <w:t>。</w:t>
      </w:r>
    </w:p>
    <w:p w14:paraId="26214BFE">
      <w:pPr>
        <w:spacing w:line="600" w:lineRule="exact"/>
        <w:ind w:firstLine="640"/>
        <w:outlineLvl w:val="3"/>
        <w:rPr>
          <w:rFonts w:eastAsia="仿宋_GB2312" w:cs="仿宋_GB2312"/>
          <w:sz w:val="32"/>
          <w:szCs w:val="32"/>
          <w:lang w:val="zh-CN"/>
        </w:rPr>
      </w:pPr>
      <w:r>
        <w:rPr>
          <w:rFonts w:eastAsia="仿宋_GB2312" w:cs="仿宋_GB2312"/>
          <w:sz w:val="32"/>
          <w:szCs w:val="32"/>
        </w:rPr>
        <w:t>1</w:t>
      </w:r>
      <w:r>
        <w:rPr>
          <w:rFonts w:hint="eastAsia" w:eastAsia="仿宋_GB2312" w:cs="仿宋_GB2312"/>
          <w:sz w:val="32"/>
          <w:szCs w:val="32"/>
        </w:rPr>
        <w:t>.</w:t>
      </w:r>
      <w:r>
        <w:rPr>
          <w:rFonts w:hint="eastAsia" w:eastAsia="仿宋_GB2312" w:cs="仿宋_GB2312"/>
          <w:sz w:val="32"/>
          <w:szCs w:val="32"/>
          <w:lang w:val="zh-CN"/>
        </w:rPr>
        <w:t>项目决策</w:t>
      </w:r>
    </w:p>
    <w:p w14:paraId="254E77D4">
      <w:pPr>
        <w:spacing w:line="600" w:lineRule="exact"/>
        <w:ind w:firstLine="640"/>
        <w:outlineLvl w:val="4"/>
        <w:rPr>
          <w:rFonts w:eastAsia="仿宋_GB2312" w:cs="仿宋_GB2312"/>
          <w:sz w:val="32"/>
          <w:szCs w:val="32"/>
          <w:lang w:val="zh-CN"/>
        </w:rPr>
      </w:pPr>
      <w:r>
        <w:rPr>
          <w:rFonts w:hint="eastAsia" w:eastAsia="仿宋_GB2312" w:cs="仿宋_GB2312"/>
          <w:sz w:val="32"/>
          <w:szCs w:val="32"/>
          <w:lang w:val="zh-CN"/>
        </w:rPr>
        <w:t>（</w:t>
      </w:r>
      <w:r>
        <w:rPr>
          <w:rFonts w:eastAsia="仿宋_GB2312" w:cs="仿宋_GB2312"/>
          <w:sz w:val="32"/>
          <w:szCs w:val="32"/>
        </w:rPr>
        <w:t>1</w:t>
      </w:r>
      <w:r>
        <w:rPr>
          <w:rFonts w:hint="eastAsia" w:eastAsia="仿宋_GB2312" w:cs="仿宋_GB2312"/>
          <w:sz w:val="32"/>
          <w:szCs w:val="32"/>
          <w:lang w:val="zh-CN"/>
        </w:rPr>
        <w:t>）决策程序</w:t>
      </w:r>
    </w:p>
    <w:p w14:paraId="48B8B403">
      <w:pPr>
        <w:spacing w:line="600" w:lineRule="exact"/>
        <w:ind w:firstLine="640"/>
        <w:rPr>
          <w:rFonts w:eastAsia="仿宋_GB2312" w:cs="仿宋_GB2312"/>
          <w:sz w:val="32"/>
          <w:szCs w:val="32"/>
        </w:rPr>
      </w:pPr>
      <w:r>
        <w:rPr>
          <w:rFonts w:hint="eastAsia" w:eastAsia="仿宋_GB2312" w:cs="仿宋_GB2312"/>
          <w:sz w:val="32"/>
          <w:szCs w:val="32"/>
        </w:rPr>
        <w:t>根据事前绩效评估相关要求，2024年我单位4个</w:t>
      </w:r>
      <w:r>
        <w:rPr>
          <w:rFonts w:eastAsia="仿宋_GB2312" w:cs="仿宋_GB2312"/>
          <w:sz w:val="32"/>
          <w:szCs w:val="32"/>
        </w:rPr>
        <w:t>预算阶段项目（含一次性项目）</w:t>
      </w:r>
      <w:r>
        <w:rPr>
          <w:rFonts w:hint="eastAsia" w:eastAsia="仿宋_GB2312" w:cs="仿宋_GB2312"/>
          <w:sz w:val="32"/>
          <w:szCs w:val="32"/>
        </w:rPr>
        <w:t>均严格履行事前评估程序，项目立项依据充分，决策程序规范。</w:t>
      </w:r>
    </w:p>
    <w:p w14:paraId="4F2BA3A4">
      <w:pPr>
        <w:spacing w:line="600" w:lineRule="exact"/>
        <w:ind w:firstLine="640"/>
        <w:rPr>
          <w:rFonts w:eastAsia="仿宋_GB2312" w:cs="仿宋_GB2312"/>
          <w:sz w:val="32"/>
          <w:szCs w:val="32"/>
        </w:rPr>
      </w:pPr>
      <w:r>
        <w:rPr>
          <w:rFonts w:eastAsia="仿宋_GB2312" w:cs="仿宋_GB2312"/>
          <w:sz w:val="32"/>
          <w:szCs w:val="32"/>
        </w:rPr>
        <w:t>根据评分标准，该项指标不扣分，得4分</w:t>
      </w:r>
      <w:r>
        <w:rPr>
          <w:rFonts w:hint="eastAsia" w:eastAsia="仿宋_GB2312" w:cs="仿宋_GB2312"/>
          <w:sz w:val="32"/>
          <w:szCs w:val="32"/>
        </w:rPr>
        <w:t>。</w:t>
      </w:r>
    </w:p>
    <w:p w14:paraId="666AF211">
      <w:pPr>
        <w:spacing w:line="600" w:lineRule="exact"/>
        <w:ind w:firstLine="640"/>
        <w:outlineLvl w:val="4"/>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2</w:t>
      </w:r>
      <w:r>
        <w:rPr>
          <w:rFonts w:hint="eastAsia" w:eastAsia="仿宋_GB2312" w:cs="仿宋_GB2312"/>
          <w:sz w:val="32"/>
          <w:szCs w:val="32"/>
        </w:rPr>
        <w:t>）目标设置</w:t>
      </w:r>
    </w:p>
    <w:p w14:paraId="62AD2BB9">
      <w:pPr>
        <w:spacing w:line="600" w:lineRule="exact"/>
        <w:ind w:firstLine="640"/>
        <w:rPr>
          <w:rFonts w:eastAsia="仿宋_GB2312" w:cs="仿宋_GB2312"/>
          <w:sz w:val="32"/>
          <w:szCs w:val="32"/>
        </w:rPr>
      </w:pPr>
      <w:r>
        <w:rPr>
          <w:rFonts w:hint="eastAsia" w:eastAsia="仿宋_GB2312" w:cs="仿宋_GB2312"/>
          <w:sz w:val="32"/>
          <w:szCs w:val="32"/>
        </w:rPr>
        <w:t>2024年我单位</w:t>
      </w:r>
      <w:r>
        <w:rPr>
          <w:rFonts w:eastAsia="仿宋_GB2312" w:cs="仿宋_GB2312"/>
          <w:sz w:val="32"/>
          <w:szCs w:val="32"/>
          <w:lang w:val="zh-CN"/>
        </w:rPr>
        <w:t>开展绩效目标管理的</w:t>
      </w:r>
      <w:r>
        <w:rPr>
          <w:rFonts w:hint="eastAsia" w:eastAsia="仿宋_GB2312" w:cs="仿宋_GB2312"/>
          <w:sz w:val="32"/>
          <w:szCs w:val="32"/>
        </w:rPr>
        <w:t>部门预算阶段项目（含一次性项目）共有4个</w:t>
      </w:r>
      <w:r>
        <w:rPr>
          <w:rFonts w:hint="eastAsia" w:eastAsia="仿宋_GB2312" w:cs="仿宋_GB2312"/>
          <w:sz w:val="32"/>
          <w:szCs w:val="32"/>
          <w:lang w:val="zh-CN"/>
        </w:rPr>
        <w:t>，</w:t>
      </w:r>
      <w:r>
        <w:rPr>
          <w:rFonts w:hint="eastAsia" w:eastAsia="仿宋_GB2312" w:cs="仿宋_GB2312"/>
          <w:sz w:val="32"/>
          <w:szCs w:val="32"/>
        </w:rPr>
        <w:t>为充分发挥绩效目标引领作用，</w:t>
      </w:r>
      <w:r>
        <w:rPr>
          <w:rFonts w:hint="eastAsia" w:eastAsia="仿宋_GB2312" w:cs="仿宋_GB2312"/>
          <w:sz w:val="32"/>
          <w:szCs w:val="32"/>
          <w:lang w:val="zh-CN"/>
        </w:rPr>
        <w:t>我单位</w:t>
      </w:r>
      <w:r>
        <w:rPr>
          <w:rFonts w:hint="eastAsia" w:eastAsia="仿宋_GB2312" w:cs="仿宋_GB2312"/>
          <w:sz w:val="32"/>
          <w:szCs w:val="32"/>
        </w:rPr>
        <w:t>贯彻落实《中共四川省委办公厅四川省人民政府办公厅关于深入实施预算绩效管理的通知》（川委厅〔</w:t>
      </w:r>
      <w:r>
        <w:rPr>
          <w:rFonts w:eastAsia="仿宋_GB2312" w:cs="仿宋_GB2312"/>
          <w:sz w:val="32"/>
          <w:szCs w:val="32"/>
        </w:rPr>
        <w:t>2021</w:t>
      </w:r>
      <w:r>
        <w:rPr>
          <w:rFonts w:hint="eastAsia" w:eastAsia="仿宋_GB2312" w:cs="仿宋_GB2312"/>
          <w:sz w:val="32"/>
          <w:szCs w:val="32"/>
        </w:rPr>
        <w:t>〕</w:t>
      </w:r>
      <w:r>
        <w:rPr>
          <w:rFonts w:eastAsia="仿宋_GB2312" w:cs="仿宋_GB2312"/>
          <w:sz w:val="32"/>
          <w:szCs w:val="32"/>
        </w:rPr>
        <w:t>5</w:t>
      </w:r>
      <w:r>
        <w:rPr>
          <w:rFonts w:hint="eastAsia" w:eastAsia="仿宋_GB2312" w:cs="仿宋_GB2312"/>
          <w:sz w:val="32"/>
          <w:szCs w:val="32"/>
        </w:rPr>
        <w:t>号）文件精神，4个项目均设置了相应的绩效目标表。</w:t>
      </w:r>
    </w:p>
    <w:p w14:paraId="4C891D7C">
      <w:pPr>
        <w:spacing w:line="600" w:lineRule="exact"/>
        <w:ind w:firstLine="640"/>
        <w:rPr>
          <w:rFonts w:eastAsia="仿宋_GB2312" w:cs="仿宋_GB2312"/>
          <w:sz w:val="32"/>
          <w:szCs w:val="32"/>
        </w:rPr>
      </w:pPr>
      <w:r>
        <w:rPr>
          <w:rFonts w:eastAsia="仿宋_GB2312" w:cs="仿宋_GB2312"/>
          <w:sz w:val="32"/>
          <w:szCs w:val="32"/>
        </w:rPr>
        <w:t>根据评分标准，该项指标不扣分，得4分</w:t>
      </w:r>
      <w:r>
        <w:rPr>
          <w:rFonts w:hint="eastAsia" w:eastAsia="仿宋_GB2312" w:cs="仿宋_GB2312"/>
          <w:sz w:val="32"/>
          <w:szCs w:val="32"/>
        </w:rPr>
        <w:t>。</w:t>
      </w:r>
    </w:p>
    <w:p w14:paraId="21B329C1">
      <w:pPr>
        <w:spacing w:line="600" w:lineRule="exact"/>
        <w:ind w:firstLine="640"/>
        <w:outlineLvl w:val="4"/>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3</w:t>
      </w:r>
      <w:r>
        <w:rPr>
          <w:rFonts w:hint="eastAsia" w:eastAsia="仿宋_GB2312" w:cs="仿宋_GB2312"/>
          <w:sz w:val="32"/>
          <w:szCs w:val="32"/>
        </w:rPr>
        <w:t>）项目入库</w:t>
      </w:r>
    </w:p>
    <w:p w14:paraId="4651D86A">
      <w:pPr>
        <w:spacing w:line="600" w:lineRule="exact"/>
        <w:ind w:firstLine="640"/>
        <w:rPr>
          <w:rFonts w:eastAsia="仿宋_GB2312" w:cs="仿宋_GB2312"/>
          <w:sz w:val="32"/>
          <w:szCs w:val="32"/>
        </w:rPr>
      </w:pPr>
      <w:r>
        <w:rPr>
          <w:rFonts w:hint="eastAsia" w:eastAsia="仿宋_GB2312" w:cs="仿宋_GB2312"/>
          <w:sz w:val="32"/>
          <w:szCs w:val="32"/>
          <w:lang w:val="zh-CN"/>
        </w:rPr>
        <w:t>2024年我单位需在</w:t>
      </w:r>
      <w:r>
        <w:rPr>
          <w:rFonts w:hint="eastAsia" w:eastAsia="仿宋_GB2312" w:cs="仿宋_GB2312"/>
          <w:sz w:val="32"/>
          <w:szCs w:val="32"/>
        </w:rPr>
        <w:t>规定时间内进行入库的</w:t>
      </w:r>
      <w:r>
        <w:rPr>
          <w:rFonts w:hint="eastAsia" w:eastAsia="仿宋_GB2312" w:cs="仿宋_GB2312"/>
          <w:sz w:val="32"/>
          <w:szCs w:val="32"/>
          <w:lang w:val="zh-CN"/>
        </w:rPr>
        <w:t>项目共有</w:t>
      </w:r>
      <w:r>
        <w:rPr>
          <w:rFonts w:hint="eastAsia" w:eastAsia="仿宋_GB2312" w:cs="仿宋_GB2312"/>
          <w:sz w:val="32"/>
          <w:szCs w:val="32"/>
        </w:rPr>
        <w:t>4</w:t>
      </w:r>
      <w:r>
        <w:rPr>
          <w:rFonts w:hint="eastAsia" w:eastAsia="仿宋_GB2312" w:cs="仿宋_GB2312"/>
          <w:sz w:val="32"/>
          <w:szCs w:val="32"/>
          <w:lang w:val="zh-CN"/>
        </w:rPr>
        <w:t>个，</w:t>
      </w:r>
      <w:r>
        <w:rPr>
          <w:rFonts w:hint="eastAsia" w:eastAsia="仿宋_GB2312" w:cs="仿宋_GB2312"/>
          <w:sz w:val="32"/>
          <w:szCs w:val="32"/>
        </w:rPr>
        <w:t>均在规定时间内完成了项目入库。</w:t>
      </w:r>
    </w:p>
    <w:p w14:paraId="3F3F0B36">
      <w:pPr>
        <w:spacing w:line="600" w:lineRule="exact"/>
        <w:ind w:firstLine="640"/>
        <w:rPr>
          <w:rFonts w:eastAsia="仿宋_GB2312" w:cs="仿宋_GB2312"/>
          <w:sz w:val="32"/>
          <w:szCs w:val="32"/>
        </w:rPr>
      </w:pPr>
      <w:r>
        <w:rPr>
          <w:rFonts w:eastAsia="仿宋_GB2312" w:cs="仿宋_GB2312"/>
          <w:sz w:val="32"/>
          <w:szCs w:val="32"/>
        </w:rPr>
        <w:t>根据评分标准，该项指标不扣分，得4分</w:t>
      </w:r>
      <w:r>
        <w:rPr>
          <w:rFonts w:hint="eastAsia" w:eastAsia="仿宋_GB2312" w:cs="仿宋_GB2312"/>
          <w:sz w:val="32"/>
          <w:szCs w:val="32"/>
        </w:rPr>
        <w:t>。</w:t>
      </w:r>
    </w:p>
    <w:p w14:paraId="160329EA">
      <w:pPr>
        <w:spacing w:line="600" w:lineRule="exact"/>
        <w:ind w:firstLine="640"/>
        <w:outlineLvl w:val="3"/>
        <w:rPr>
          <w:rFonts w:eastAsia="仿宋_GB2312" w:cs="仿宋_GB2312"/>
          <w:sz w:val="32"/>
          <w:szCs w:val="32"/>
          <w:lang w:val="zh-CN"/>
        </w:rPr>
      </w:pPr>
      <w:r>
        <w:rPr>
          <w:rFonts w:eastAsia="仿宋_GB2312" w:cs="仿宋_GB2312"/>
          <w:sz w:val="32"/>
          <w:szCs w:val="32"/>
        </w:rPr>
        <w:t>2</w:t>
      </w:r>
      <w:r>
        <w:rPr>
          <w:rFonts w:hint="eastAsia" w:eastAsia="仿宋_GB2312" w:cs="仿宋_GB2312"/>
          <w:sz w:val="32"/>
          <w:szCs w:val="32"/>
        </w:rPr>
        <w:t>.项目执行</w:t>
      </w:r>
    </w:p>
    <w:p w14:paraId="5FD8744E">
      <w:pPr>
        <w:spacing w:line="600" w:lineRule="exact"/>
        <w:ind w:firstLine="640"/>
        <w:outlineLvl w:val="4"/>
        <w:rPr>
          <w:rFonts w:eastAsia="仿宋_GB2312" w:cs="仿宋_GB2312"/>
          <w:sz w:val="32"/>
          <w:szCs w:val="32"/>
          <w:lang w:val="zh-CN"/>
        </w:rPr>
      </w:pPr>
      <w:r>
        <w:rPr>
          <w:rFonts w:hint="eastAsia" w:eastAsia="仿宋_GB2312" w:cs="仿宋_GB2312"/>
          <w:sz w:val="32"/>
          <w:szCs w:val="32"/>
          <w:lang w:val="zh-CN"/>
        </w:rPr>
        <w:t>（</w:t>
      </w:r>
      <w:r>
        <w:rPr>
          <w:rFonts w:eastAsia="仿宋_GB2312" w:cs="仿宋_GB2312"/>
          <w:sz w:val="32"/>
          <w:szCs w:val="32"/>
        </w:rPr>
        <w:t>1</w:t>
      </w:r>
      <w:r>
        <w:rPr>
          <w:rFonts w:hint="eastAsia" w:eastAsia="仿宋_GB2312" w:cs="仿宋_GB2312"/>
          <w:sz w:val="32"/>
          <w:szCs w:val="32"/>
          <w:lang w:val="zh-CN"/>
        </w:rPr>
        <w:t>）执行同向</w:t>
      </w:r>
    </w:p>
    <w:p w14:paraId="2EDDB576">
      <w:pPr>
        <w:spacing w:line="600" w:lineRule="exact"/>
        <w:ind w:firstLine="640"/>
        <w:rPr>
          <w:rFonts w:eastAsia="仿宋_GB2312" w:cs="仿宋_GB2312"/>
          <w:sz w:val="32"/>
          <w:szCs w:val="32"/>
        </w:rPr>
      </w:pPr>
      <w:r>
        <w:rPr>
          <w:rFonts w:hint="eastAsia" w:eastAsia="仿宋_GB2312" w:cs="仿宋_GB2312"/>
          <w:sz w:val="32"/>
          <w:szCs w:val="32"/>
        </w:rPr>
        <w:t>我单位严格按照部门预算项目批复内容实施项目，项目资金使用符合预算批复用途，与项目总体绩效目标设置方向相符，没有相悖或不合理之处。</w:t>
      </w:r>
    </w:p>
    <w:p w14:paraId="4C2A6E6C">
      <w:pPr>
        <w:spacing w:line="600" w:lineRule="exact"/>
        <w:ind w:firstLine="640"/>
        <w:rPr>
          <w:rFonts w:eastAsia="仿宋_GB2312" w:cs="仿宋_GB2312"/>
          <w:sz w:val="32"/>
          <w:szCs w:val="32"/>
        </w:rPr>
      </w:pPr>
      <w:r>
        <w:rPr>
          <w:rFonts w:eastAsia="仿宋_GB2312" w:cs="仿宋_GB2312"/>
          <w:sz w:val="32"/>
          <w:szCs w:val="32"/>
        </w:rPr>
        <w:t>根据评分标准，该项指标不扣分，得4分</w:t>
      </w:r>
      <w:r>
        <w:rPr>
          <w:rFonts w:hint="eastAsia" w:eastAsia="仿宋_GB2312" w:cs="仿宋_GB2312"/>
          <w:sz w:val="32"/>
          <w:szCs w:val="32"/>
        </w:rPr>
        <w:t>。</w:t>
      </w:r>
    </w:p>
    <w:p w14:paraId="58A491F6">
      <w:pPr>
        <w:spacing w:line="600" w:lineRule="exact"/>
        <w:ind w:firstLine="640"/>
        <w:outlineLvl w:val="4"/>
        <w:rPr>
          <w:rFonts w:eastAsia="仿宋_GB2312" w:cs="仿宋_GB2312"/>
          <w:sz w:val="32"/>
          <w:szCs w:val="32"/>
          <w:lang w:val="zh-CN"/>
        </w:rPr>
      </w:pPr>
      <w:r>
        <w:rPr>
          <w:rFonts w:hint="eastAsia" w:eastAsia="仿宋_GB2312" w:cs="仿宋_GB2312"/>
          <w:sz w:val="32"/>
          <w:szCs w:val="32"/>
          <w:lang w:val="zh-CN"/>
        </w:rPr>
        <w:t>（</w:t>
      </w:r>
      <w:r>
        <w:rPr>
          <w:rFonts w:eastAsia="仿宋_GB2312" w:cs="仿宋_GB2312"/>
          <w:sz w:val="32"/>
          <w:szCs w:val="32"/>
        </w:rPr>
        <w:t>2</w:t>
      </w:r>
      <w:r>
        <w:rPr>
          <w:rFonts w:hint="eastAsia" w:eastAsia="仿宋_GB2312" w:cs="仿宋_GB2312"/>
          <w:sz w:val="32"/>
          <w:szCs w:val="32"/>
          <w:lang w:val="zh-CN"/>
        </w:rPr>
        <w:t>）项目调整</w:t>
      </w:r>
    </w:p>
    <w:p w14:paraId="49C0F35E">
      <w:pPr>
        <w:spacing w:line="600" w:lineRule="exact"/>
        <w:ind w:firstLine="640"/>
        <w:rPr>
          <w:rFonts w:eastAsia="仿宋_GB2312" w:cs="仿宋_GB2312"/>
          <w:sz w:val="32"/>
          <w:szCs w:val="32"/>
        </w:rPr>
      </w:pPr>
      <w:r>
        <w:rPr>
          <w:rFonts w:hint="eastAsia" w:eastAsia="仿宋_GB2312" w:cs="仿宋_GB2312"/>
          <w:sz w:val="32"/>
          <w:szCs w:val="32"/>
        </w:rPr>
        <w:t>2024年我单位年初设置的部门项目预算较为合理，项目总体绩效目标设置较为科学合理，预算调整及时，与实际情况基本相符，不存在应采取但未采取收回预算、调整目标等处置措施的部门预算阶段项目，故不涉及收回预算、调整目标等处置措施。</w:t>
      </w:r>
    </w:p>
    <w:p w14:paraId="45092294">
      <w:pPr>
        <w:spacing w:line="600" w:lineRule="exact"/>
        <w:ind w:firstLine="640"/>
        <w:rPr>
          <w:rFonts w:eastAsia="仿宋_GB2312" w:cs="仿宋_GB2312"/>
          <w:sz w:val="32"/>
          <w:szCs w:val="32"/>
          <w:lang w:val="zh-CN"/>
        </w:rPr>
      </w:pPr>
      <w:r>
        <w:rPr>
          <w:rFonts w:eastAsia="仿宋_GB2312" w:cs="仿宋_GB2312"/>
          <w:sz w:val="32"/>
          <w:szCs w:val="32"/>
        </w:rPr>
        <w:t>根据评分标准，该项指标不扣分，得4分</w:t>
      </w:r>
      <w:r>
        <w:rPr>
          <w:rFonts w:hint="eastAsia" w:eastAsia="仿宋_GB2312" w:cs="仿宋_GB2312"/>
          <w:sz w:val="32"/>
          <w:szCs w:val="32"/>
        </w:rPr>
        <w:t>。</w:t>
      </w:r>
    </w:p>
    <w:p w14:paraId="265CC0B1">
      <w:pPr>
        <w:spacing w:line="600" w:lineRule="exact"/>
        <w:ind w:firstLine="640"/>
        <w:outlineLvl w:val="4"/>
        <w:rPr>
          <w:rFonts w:eastAsia="仿宋_GB2312" w:cs="仿宋_GB2312"/>
          <w:sz w:val="32"/>
          <w:szCs w:val="32"/>
          <w:lang w:val="zh-CN"/>
        </w:rPr>
      </w:pPr>
      <w:r>
        <w:rPr>
          <w:rFonts w:hint="eastAsia" w:eastAsia="仿宋_GB2312" w:cs="仿宋_GB2312"/>
          <w:sz w:val="32"/>
          <w:szCs w:val="32"/>
          <w:lang w:val="zh-CN"/>
        </w:rPr>
        <w:t>（</w:t>
      </w:r>
      <w:r>
        <w:rPr>
          <w:rFonts w:eastAsia="仿宋_GB2312" w:cs="仿宋_GB2312"/>
          <w:sz w:val="32"/>
          <w:szCs w:val="32"/>
        </w:rPr>
        <w:t>3</w:t>
      </w:r>
      <w:r>
        <w:rPr>
          <w:rFonts w:hint="eastAsia" w:eastAsia="仿宋_GB2312" w:cs="仿宋_GB2312"/>
          <w:sz w:val="32"/>
          <w:szCs w:val="32"/>
          <w:lang w:val="zh-CN"/>
        </w:rPr>
        <w:t>）执行结果</w:t>
      </w:r>
    </w:p>
    <w:p w14:paraId="7C51AEAA">
      <w:pPr>
        <w:spacing w:line="600" w:lineRule="exact"/>
        <w:ind w:firstLine="640"/>
        <w:rPr>
          <w:rFonts w:eastAsia="仿宋_GB2312" w:cs="仿宋_GB2312"/>
          <w:sz w:val="32"/>
          <w:szCs w:val="32"/>
          <w:lang w:val="zh-CN"/>
        </w:rPr>
      </w:pPr>
      <w:r>
        <w:rPr>
          <w:rFonts w:hint="eastAsia" w:eastAsia="仿宋_GB2312" w:cs="仿宋_GB2312"/>
          <w:sz w:val="32"/>
          <w:szCs w:val="32"/>
        </w:rPr>
        <w:t>2024年我单位</w:t>
      </w:r>
      <w:r>
        <w:rPr>
          <w:rFonts w:hint="eastAsia" w:eastAsia="仿宋_GB2312" w:cs="仿宋_GB2312"/>
          <w:sz w:val="32"/>
          <w:szCs w:val="32"/>
          <w:lang w:val="zh-CN"/>
        </w:rPr>
        <w:t>常年项目</w:t>
      </w:r>
      <w:r>
        <w:rPr>
          <w:rFonts w:hint="eastAsia" w:eastAsia="仿宋_GB2312" w:cs="仿宋_GB2312"/>
          <w:sz w:val="32"/>
          <w:szCs w:val="32"/>
        </w:rPr>
        <w:t>共计8</w:t>
      </w:r>
      <w:r>
        <w:rPr>
          <w:rFonts w:hint="eastAsia" w:eastAsia="仿宋_GB2312" w:cs="仿宋_GB2312"/>
          <w:sz w:val="32"/>
          <w:szCs w:val="32"/>
          <w:lang w:val="zh-CN"/>
        </w:rPr>
        <w:t>个，预算结余率</w:t>
      </w:r>
      <w:r>
        <w:rPr>
          <w:rFonts w:hint="eastAsia" w:eastAsia="仿宋_GB2312" w:cs="仿宋_GB2312"/>
          <w:sz w:val="32"/>
          <w:szCs w:val="32"/>
        </w:rPr>
        <w:t>小</w:t>
      </w:r>
      <w:r>
        <w:rPr>
          <w:rFonts w:hint="eastAsia" w:eastAsia="仿宋_GB2312" w:cs="仿宋_GB2312"/>
          <w:sz w:val="32"/>
          <w:szCs w:val="32"/>
          <w:lang w:val="zh-CN"/>
        </w:rPr>
        <w:t>于</w:t>
      </w:r>
      <w:r>
        <w:rPr>
          <w:rFonts w:eastAsia="仿宋_GB2312" w:cs="仿宋_GB2312"/>
          <w:sz w:val="32"/>
          <w:szCs w:val="32"/>
          <w:lang w:val="zh-CN"/>
        </w:rPr>
        <w:t>10</w:t>
      </w:r>
      <w:r>
        <w:rPr>
          <w:rFonts w:hint="eastAsia" w:eastAsia="仿宋_GB2312" w:cs="仿宋_GB2312"/>
          <w:sz w:val="32"/>
          <w:szCs w:val="32"/>
          <w:lang w:val="zh-CN"/>
        </w:rPr>
        <w:t>%</w:t>
      </w:r>
      <w:r>
        <w:rPr>
          <w:rFonts w:hint="eastAsia" w:eastAsia="仿宋_GB2312" w:cs="仿宋_GB2312"/>
          <w:sz w:val="32"/>
          <w:szCs w:val="32"/>
        </w:rPr>
        <w:t>的常年项目数量为0个</w:t>
      </w:r>
      <w:r>
        <w:rPr>
          <w:rFonts w:hint="eastAsia" w:eastAsia="仿宋_GB2312" w:cs="仿宋_GB2312"/>
          <w:sz w:val="32"/>
          <w:szCs w:val="32"/>
          <w:lang w:val="zh-CN"/>
        </w:rPr>
        <w:t>；阶段（一次性）项目</w:t>
      </w:r>
      <w:r>
        <w:rPr>
          <w:rFonts w:hint="eastAsia" w:eastAsia="仿宋_GB2312" w:cs="仿宋_GB2312"/>
          <w:sz w:val="32"/>
          <w:szCs w:val="32"/>
        </w:rPr>
        <w:t>共计4</w:t>
      </w:r>
      <w:r>
        <w:rPr>
          <w:rFonts w:hint="eastAsia" w:eastAsia="仿宋_GB2312" w:cs="仿宋_GB2312"/>
          <w:sz w:val="32"/>
          <w:szCs w:val="32"/>
          <w:lang w:val="zh-CN"/>
        </w:rPr>
        <w:t>个，</w:t>
      </w:r>
      <w:r>
        <w:rPr>
          <w:rFonts w:hint="eastAsia" w:eastAsia="仿宋_GB2312" w:cs="仿宋_GB2312"/>
          <w:sz w:val="32"/>
          <w:szCs w:val="32"/>
        </w:rPr>
        <w:t>预算结余率小于10%的一次性项目和阶段项目数量为0个。</w:t>
      </w:r>
    </w:p>
    <w:p w14:paraId="54A90262">
      <w:pPr>
        <w:spacing w:line="600" w:lineRule="exact"/>
        <w:ind w:firstLine="640"/>
        <w:rPr>
          <w:rFonts w:eastAsia="仿宋_GB2312" w:cs="仿宋_GB2312"/>
          <w:sz w:val="32"/>
          <w:szCs w:val="32"/>
          <w:lang w:val="zh-CN"/>
        </w:rPr>
      </w:pPr>
      <w:r>
        <w:rPr>
          <w:rFonts w:eastAsia="仿宋_GB2312" w:cs="仿宋_GB2312"/>
          <w:sz w:val="32"/>
          <w:szCs w:val="32"/>
        </w:rPr>
        <w:t>根据评分标准，该项指标</w:t>
      </w:r>
      <w:r>
        <w:rPr>
          <w:rFonts w:hint="eastAsia" w:eastAsia="仿宋_GB2312" w:cs="仿宋_GB2312"/>
          <w:sz w:val="32"/>
          <w:szCs w:val="32"/>
        </w:rPr>
        <w:t>不</w:t>
      </w:r>
      <w:r>
        <w:rPr>
          <w:rFonts w:eastAsia="仿宋_GB2312" w:cs="仿宋_GB2312"/>
          <w:sz w:val="32"/>
          <w:szCs w:val="32"/>
        </w:rPr>
        <w:t>扣分，得</w:t>
      </w:r>
      <w:r>
        <w:rPr>
          <w:rFonts w:hint="eastAsia" w:eastAsia="仿宋_GB2312" w:cs="仿宋_GB2312"/>
          <w:sz w:val="32"/>
          <w:szCs w:val="32"/>
        </w:rPr>
        <w:t>4</w:t>
      </w:r>
      <w:r>
        <w:rPr>
          <w:rFonts w:eastAsia="仿宋_GB2312" w:cs="仿宋_GB2312"/>
          <w:sz w:val="32"/>
          <w:szCs w:val="32"/>
        </w:rPr>
        <w:t>分</w:t>
      </w:r>
      <w:r>
        <w:rPr>
          <w:rFonts w:hint="eastAsia" w:eastAsia="仿宋_GB2312" w:cs="仿宋_GB2312"/>
          <w:sz w:val="32"/>
          <w:szCs w:val="32"/>
        </w:rPr>
        <w:t>。</w:t>
      </w:r>
    </w:p>
    <w:p w14:paraId="12F2E961">
      <w:pPr>
        <w:spacing w:line="600" w:lineRule="exact"/>
        <w:ind w:firstLine="640"/>
        <w:outlineLvl w:val="3"/>
        <w:rPr>
          <w:rFonts w:eastAsia="仿宋_GB2312" w:cs="仿宋_GB2312"/>
          <w:sz w:val="32"/>
          <w:szCs w:val="32"/>
        </w:rPr>
      </w:pPr>
      <w:r>
        <w:rPr>
          <w:rFonts w:eastAsia="仿宋_GB2312" w:cs="仿宋_GB2312"/>
          <w:sz w:val="32"/>
          <w:szCs w:val="32"/>
        </w:rPr>
        <w:t>3</w:t>
      </w:r>
      <w:r>
        <w:rPr>
          <w:rFonts w:hint="eastAsia" w:eastAsia="仿宋_GB2312" w:cs="仿宋_GB2312"/>
          <w:sz w:val="32"/>
          <w:szCs w:val="32"/>
        </w:rPr>
        <w:t>.</w:t>
      </w:r>
      <w:r>
        <w:rPr>
          <w:rFonts w:hint="eastAsia" w:eastAsia="仿宋_GB2312" w:cs="仿宋_GB2312"/>
          <w:sz w:val="32"/>
          <w:szCs w:val="32"/>
          <w:lang w:val="zh-CN"/>
        </w:rPr>
        <w:t>目标实现</w:t>
      </w:r>
    </w:p>
    <w:p w14:paraId="4EA7345B">
      <w:pPr>
        <w:spacing w:line="600" w:lineRule="exact"/>
        <w:ind w:firstLine="640"/>
        <w:outlineLvl w:val="4"/>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1</w:t>
      </w:r>
      <w:r>
        <w:rPr>
          <w:rFonts w:hint="eastAsia" w:eastAsia="仿宋_GB2312" w:cs="仿宋_GB2312"/>
          <w:sz w:val="32"/>
          <w:szCs w:val="32"/>
        </w:rPr>
        <w:t>）目标完成</w:t>
      </w:r>
    </w:p>
    <w:p w14:paraId="3CA34DDD">
      <w:pPr>
        <w:spacing w:line="600" w:lineRule="exact"/>
        <w:ind w:firstLine="640"/>
        <w:rPr>
          <w:rFonts w:eastAsia="仿宋_GB2312" w:cs="仿宋_GB2312"/>
          <w:sz w:val="32"/>
          <w:szCs w:val="32"/>
        </w:rPr>
      </w:pPr>
      <w:r>
        <w:rPr>
          <w:rFonts w:hint="eastAsia" w:eastAsia="仿宋_GB2312" w:cs="仿宋_GB2312"/>
          <w:sz w:val="32"/>
          <w:szCs w:val="32"/>
        </w:rPr>
        <w:t>2024年部门预算阶段项目（含一次性项目）共有4个，结合项目实施的实际情况，我单位所涉及的部门预算阶段项目（含一次性项目）各数量指标全部完成的数量为4个。</w:t>
      </w:r>
    </w:p>
    <w:p w14:paraId="7933C378">
      <w:pPr>
        <w:spacing w:line="600" w:lineRule="exact"/>
        <w:ind w:firstLine="640"/>
        <w:rPr>
          <w:rFonts w:eastAsia="仿宋_GB2312" w:cs="仿宋_GB2312"/>
          <w:sz w:val="32"/>
          <w:szCs w:val="32"/>
        </w:rPr>
      </w:pPr>
      <w:r>
        <w:rPr>
          <w:rFonts w:eastAsia="仿宋_GB2312" w:cs="仿宋_GB2312"/>
          <w:sz w:val="32"/>
          <w:szCs w:val="32"/>
        </w:rPr>
        <w:t>根据评分标准，该项指标不扣分，得4分</w:t>
      </w:r>
      <w:r>
        <w:rPr>
          <w:rFonts w:hint="eastAsia" w:eastAsia="仿宋_GB2312" w:cs="仿宋_GB2312"/>
          <w:sz w:val="32"/>
          <w:szCs w:val="32"/>
        </w:rPr>
        <w:t>。</w:t>
      </w:r>
    </w:p>
    <w:p w14:paraId="5ED7D543">
      <w:pPr>
        <w:spacing w:line="600" w:lineRule="exact"/>
        <w:ind w:firstLine="640"/>
        <w:outlineLvl w:val="4"/>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2</w:t>
      </w:r>
      <w:r>
        <w:rPr>
          <w:rFonts w:hint="eastAsia" w:eastAsia="仿宋_GB2312" w:cs="仿宋_GB2312"/>
          <w:sz w:val="32"/>
          <w:szCs w:val="32"/>
        </w:rPr>
        <w:t>）目标偏离</w:t>
      </w:r>
    </w:p>
    <w:p w14:paraId="37AC842F">
      <w:pPr>
        <w:spacing w:line="600" w:lineRule="exact"/>
        <w:ind w:firstLine="640"/>
        <w:rPr>
          <w:rFonts w:eastAsia="仿宋_GB2312" w:cs="仿宋_GB2312"/>
          <w:sz w:val="32"/>
          <w:szCs w:val="32"/>
        </w:rPr>
      </w:pPr>
      <w:r>
        <w:rPr>
          <w:rFonts w:hint="eastAsia" w:eastAsia="仿宋_GB2312" w:cs="仿宋_GB2312"/>
          <w:sz w:val="32"/>
          <w:szCs w:val="32"/>
        </w:rPr>
        <w:t>2024年我单位部门预算项目（含</w:t>
      </w:r>
      <w:r>
        <w:rPr>
          <w:rFonts w:eastAsia="仿宋_GB2312" w:cs="仿宋_GB2312"/>
          <w:sz w:val="32"/>
          <w:szCs w:val="32"/>
        </w:rPr>
        <w:t>常年项目</w:t>
      </w:r>
      <w:r>
        <w:rPr>
          <w:rFonts w:hint="eastAsia" w:eastAsia="仿宋_GB2312" w:cs="仿宋_GB2312"/>
          <w:sz w:val="32"/>
          <w:szCs w:val="32"/>
        </w:rPr>
        <w:t>和阶段项目及一次性项目）共有12个，各项目数量指标的完成值与设定预期指标值的偏离度在</w:t>
      </w:r>
      <w:r>
        <w:rPr>
          <w:rFonts w:eastAsia="仿宋_GB2312" w:cs="仿宋_GB2312"/>
          <w:sz w:val="32"/>
          <w:szCs w:val="32"/>
        </w:rPr>
        <w:t>30</w:t>
      </w:r>
      <w:r>
        <w:rPr>
          <w:rFonts w:hint="eastAsia" w:eastAsia="仿宋_GB2312" w:cs="仿宋_GB2312"/>
          <w:sz w:val="32"/>
          <w:szCs w:val="32"/>
        </w:rPr>
        <w:t>%以内的个数为4个。</w:t>
      </w:r>
    </w:p>
    <w:p w14:paraId="41CB3A11">
      <w:pPr>
        <w:spacing w:line="600" w:lineRule="exact"/>
        <w:ind w:firstLine="640"/>
        <w:rPr>
          <w:rFonts w:eastAsia="仿宋_GB2312" w:cs="仿宋_GB2312"/>
          <w:sz w:val="32"/>
          <w:szCs w:val="32"/>
        </w:rPr>
      </w:pPr>
      <w:r>
        <w:rPr>
          <w:rFonts w:eastAsia="仿宋_GB2312" w:cs="仿宋_GB2312"/>
          <w:sz w:val="32"/>
          <w:szCs w:val="32"/>
        </w:rPr>
        <w:t>根据评分标准，该项指标不扣分，得4分</w:t>
      </w:r>
      <w:r>
        <w:rPr>
          <w:rFonts w:hint="eastAsia" w:eastAsia="仿宋_GB2312" w:cs="仿宋_GB2312"/>
          <w:sz w:val="32"/>
          <w:szCs w:val="32"/>
        </w:rPr>
        <w:t>。</w:t>
      </w:r>
    </w:p>
    <w:p w14:paraId="329DABEE">
      <w:pPr>
        <w:spacing w:line="600" w:lineRule="exact"/>
        <w:ind w:firstLine="640"/>
        <w:outlineLvl w:val="4"/>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3</w:t>
      </w:r>
      <w:r>
        <w:rPr>
          <w:rFonts w:hint="eastAsia" w:eastAsia="仿宋_GB2312" w:cs="仿宋_GB2312"/>
          <w:sz w:val="32"/>
          <w:szCs w:val="32"/>
        </w:rPr>
        <w:t>）实现效果</w:t>
      </w:r>
    </w:p>
    <w:p w14:paraId="3E0507C2">
      <w:pPr>
        <w:spacing w:line="600" w:lineRule="exact"/>
        <w:ind w:firstLine="640"/>
        <w:rPr>
          <w:rFonts w:eastAsia="仿宋_GB2312" w:cs="仿宋_GB2312"/>
          <w:sz w:val="32"/>
          <w:szCs w:val="32"/>
        </w:rPr>
      </w:pPr>
      <w:r>
        <w:rPr>
          <w:rFonts w:hint="eastAsia" w:eastAsia="仿宋_GB2312" w:cs="仿宋_GB2312"/>
          <w:sz w:val="32"/>
          <w:szCs w:val="32"/>
        </w:rPr>
        <w:t>2024年我单位需进行绩效目标管理的部门预算阶段项目共有4个，预期效益指标均已完成的项目个数为4个。</w:t>
      </w:r>
    </w:p>
    <w:p w14:paraId="0FD34637">
      <w:pPr>
        <w:spacing w:line="600" w:lineRule="exact"/>
        <w:ind w:firstLine="640"/>
        <w:rPr>
          <w:rFonts w:eastAsia="仿宋_GB2312" w:cs="仿宋_GB2312"/>
          <w:sz w:val="32"/>
          <w:szCs w:val="32"/>
          <w:lang w:val="zh-CN"/>
        </w:rPr>
      </w:pPr>
      <w:r>
        <w:rPr>
          <w:rFonts w:eastAsia="仿宋_GB2312" w:cs="仿宋_GB2312"/>
          <w:sz w:val="32"/>
          <w:szCs w:val="32"/>
        </w:rPr>
        <w:t>根据评分标准，该项指标不扣分，得3分</w:t>
      </w:r>
      <w:r>
        <w:rPr>
          <w:rFonts w:hint="eastAsia" w:eastAsia="仿宋_GB2312" w:cs="仿宋_GB2312"/>
          <w:sz w:val="32"/>
          <w:szCs w:val="32"/>
        </w:rPr>
        <w:t>。</w:t>
      </w:r>
    </w:p>
    <w:p w14:paraId="5FC5EE7F">
      <w:pPr>
        <w:spacing w:line="600" w:lineRule="exact"/>
        <w:ind w:firstLine="640"/>
        <w:outlineLvl w:val="2"/>
        <w:rPr>
          <w:rFonts w:eastAsia="仿宋_GB2312" w:cs="仿宋_GB2312"/>
          <w:sz w:val="32"/>
          <w:szCs w:val="32"/>
          <w:lang w:val="zh-CN"/>
        </w:rPr>
      </w:pPr>
      <w:bookmarkStart w:id="96" w:name="_Toc19963"/>
      <w:r>
        <w:rPr>
          <w:rFonts w:eastAsia="仿宋_GB2312" w:cs="仿宋_GB2312"/>
          <w:sz w:val="32"/>
          <w:szCs w:val="32"/>
          <w:lang w:val="zh-CN"/>
        </w:rPr>
        <w:t>（</w:t>
      </w:r>
      <w:r>
        <w:rPr>
          <w:rFonts w:hint="eastAsia" w:eastAsia="仿宋_GB2312" w:cs="仿宋_GB2312"/>
          <w:sz w:val="32"/>
          <w:szCs w:val="32"/>
          <w:lang w:val="zh-CN"/>
        </w:rPr>
        <w:t>三</w:t>
      </w:r>
      <w:r>
        <w:rPr>
          <w:rFonts w:eastAsia="仿宋_GB2312" w:cs="仿宋_GB2312"/>
          <w:sz w:val="32"/>
          <w:szCs w:val="32"/>
          <w:lang w:val="zh-CN"/>
        </w:rPr>
        <w:t>）重点领域绩效分析。</w:t>
      </w:r>
      <w:bookmarkEnd w:id="96"/>
    </w:p>
    <w:p w14:paraId="241D46D0">
      <w:pPr>
        <w:spacing w:line="600" w:lineRule="exact"/>
        <w:ind w:firstLine="640"/>
        <w:rPr>
          <w:rFonts w:eastAsia="仿宋_GB2312" w:cs="仿宋_GB2312"/>
          <w:sz w:val="32"/>
          <w:szCs w:val="32"/>
        </w:rPr>
      </w:pPr>
      <w:r>
        <w:rPr>
          <w:rFonts w:eastAsia="仿宋_GB2312" w:cs="仿宋_GB2312"/>
          <w:sz w:val="32"/>
          <w:szCs w:val="32"/>
        </w:rPr>
        <w:t>行政事业性国有资产绩效分析。</w:t>
      </w:r>
    </w:p>
    <w:p w14:paraId="79A23BA0">
      <w:pPr>
        <w:spacing w:line="600" w:lineRule="exact"/>
        <w:ind w:firstLine="640"/>
        <w:rPr>
          <w:rFonts w:eastAsia="仿宋_GB2312" w:cs="仿宋_GB2312"/>
          <w:sz w:val="32"/>
          <w:szCs w:val="32"/>
        </w:rPr>
      </w:pPr>
      <w:r>
        <w:rPr>
          <w:rFonts w:hint="eastAsia" w:eastAsia="仿宋_GB2312" w:cs="仿宋_GB2312"/>
          <w:sz w:val="32"/>
          <w:szCs w:val="32"/>
        </w:rPr>
        <w:t>2024年度，我单位无资产配置预算，但严格按照相关文件要求，做好国有资产的清理盘点、统计报告及日常监督检查工作，2024年度国有资产基础管理、日常管理、效率管理等方面整体效益较好，有效保障了国有资产安全，提高了国有资产利用率</w:t>
      </w:r>
      <w:r>
        <w:rPr>
          <w:rFonts w:eastAsia="仿宋_GB2312" w:cs="仿宋_GB2312"/>
          <w:sz w:val="32"/>
          <w:szCs w:val="32"/>
        </w:rPr>
        <w:t>。</w:t>
      </w:r>
    </w:p>
    <w:p w14:paraId="58E5D9FF">
      <w:pPr>
        <w:spacing w:line="600" w:lineRule="exact"/>
        <w:ind w:firstLine="640"/>
        <w:outlineLvl w:val="2"/>
        <w:rPr>
          <w:rFonts w:eastAsia="仿宋_GB2312" w:cs="仿宋_GB2312"/>
          <w:sz w:val="32"/>
          <w:szCs w:val="32"/>
        </w:rPr>
      </w:pPr>
      <w:bookmarkStart w:id="97" w:name="_Toc12662"/>
      <w:r>
        <w:rPr>
          <w:rFonts w:eastAsia="仿宋_GB2312" w:cs="仿宋_GB2312"/>
          <w:sz w:val="32"/>
          <w:szCs w:val="32"/>
          <w:lang w:val="zh-CN"/>
        </w:rPr>
        <w:t>（四）绩效结果应用情况。</w:t>
      </w:r>
      <w:bookmarkEnd w:id="97"/>
    </w:p>
    <w:p w14:paraId="53381ACD">
      <w:pPr>
        <w:spacing w:line="600" w:lineRule="exact"/>
        <w:ind w:firstLine="640"/>
        <w:rPr>
          <w:rFonts w:eastAsia="仿宋_GB2312" w:cs="仿宋_GB2312"/>
          <w:sz w:val="32"/>
          <w:szCs w:val="32"/>
        </w:rPr>
      </w:pPr>
      <w:r>
        <w:rPr>
          <w:rFonts w:hint="eastAsia" w:eastAsia="仿宋_GB2312" w:cs="仿宋_GB2312"/>
          <w:sz w:val="32"/>
          <w:szCs w:val="32"/>
        </w:rPr>
        <w:t>我单位</w:t>
      </w:r>
      <w:r>
        <w:rPr>
          <w:rFonts w:hint="eastAsia" w:eastAsia="仿宋_GB2312" w:cs="仿宋_GB2312"/>
          <w:sz w:val="32"/>
          <w:szCs w:val="32"/>
          <w:lang w:val="zh-CN"/>
        </w:rPr>
        <w:t>为进一步提高行政事业单位内部管理水平和风险防范能力，规范内部控制，加强廉政风险防控机制建设，我单位在对预算、收支、政府采购、资产、建设项目、合同等各类经济业务活动流程梳理的基础上，明确业务环节，系统分析经济活动风险，确定风险点，选择应对策略，形成了内部控制制度</w:t>
      </w:r>
      <w:r>
        <w:rPr>
          <w:rFonts w:hint="eastAsia" w:eastAsia="仿宋_GB2312" w:cs="仿宋_GB2312"/>
          <w:sz w:val="32"/>
          <w:szCs w:val="32"/>
        </w:rPr>
        <w:t>手册</w:t>
      </w:r>
      <w:r>
        <w:rPr>
          <w:rFonts w:hint="eastAsia" w:eastAsia="仿宋_GB2312" w:cs="仿宋_GB2312"/>
          <w:sz w:val="32"/>
          <w:szCs w:val="32"/>
          <w:lang w:val="zh-CN"/>
        </w:rPr>
        <w:t>，我单位严格按照内控制度进行预算绩效管理，并按照相关要求将绩效信息随同</w:t>
      </w:r>
      <w:r>
        <w:rPr>
          <w:rFonts w:hint="eastAsia" w:eastAsia="仿宋_GB2312" w:cs="仿宋_GB2312"/>
          <w:sz w:val="32"/>
          <w:szCs w:val="32"/>
        </w:rPr>
        <w:t>预</w:t>
      </w:r>
      <w:r>
        <w:rPr>
          <w:rFonts w:hint="eastAsia" w:eastAsia="仿宋_GB2312" w:cs="仿宋_GB2312"/>
          <w:sz w:val="32"/>
          <w:szCs w:val="32"/>
          <w:lang w:val="zh-CN"/>
        </w:rPr>
        <w:t>决算公开。</w:t>
      </w:r>
    </w:p>
    <w:p w14:paraId="5444BF77">
      <w:pPr>
        <w:spacing w:line="600" w:lineRule="exact"/>
        <w:ind w:firstLine="640"/>
        <w:outlineLvl w:val="1"/>
        <w:rPr>
          <w:rFonts w:eastAsia="仿宋_GB2312" w:cs="仿宋_GB2312"/>
          <w:sz w:val="32"/>
          <w:szCs w:val="32"/>
        </w:rPr>
      </w:pPr>
      <w:bookmarkStart w:id="98" w:name="_Toc5150"/>
      <w:r>
        <w:rPr>
          <w:rFonts w:eastAsia="仿宋_GB2312" w:cs="仿宋_GB2312"/>
          <w:sz w:val="32"/>
          <w:szCs w:val="32"/>
        </w:rPr>
        <w:t>四、评价结论及建议</w:t>
      </w:r>
      <w:bookmarkEnd w:id="98"/>
    </w:p>
    <w:p w14:paraId="1FB8EE43">
      <w:pPr>
        <w:spacing w:line="600" w:lineRule="exact"/>
        <w:ind w:firstLine="640"/>
        <w:outlineLvl w:val="2"/>
        <w:rPr>
          <w:rFonts w:eastAsia="仿宋_GB2312" w:cs="仿宋_GB2312"/>
          <w:sz w:val="32"/>
          <w:szCs w:val="32"/>
          <w:lang w:val="zh-CN"/>
        </w:rPr>
      </w:pPr>
      <w:bookmarkStart w:id="99" w:name="_Toc78"/>
      <w:r>
        <w:rPr>
          <w:rFonts w:eastAsia="仿宋_GB2312" w:cs="仿宋_GB2312"/>
          <w:sz w:val="32"/>
          <w:szCs w:val="32"/>
          <w:lang w:val="zh-CN"/>
        </w:rPr>
        <w:t>（一）评价结论。</w:t>
      </w:r>
      <w:bookmarkEnd w:id="99"/>
    </w:p>
    <w:p w14:paraId="636AE7C6">
      <w:pPr>
        <w:spacing w:line="600" w:lineRule="exact"/>
        <w:ind w:firstLine="640"/>
        <w:rPr>
          <w:rFonts w:eastAsia="仿宋_GB2312" w:cs="仿宋_GB2312"/>
          <w:sz w:val="32"/>
          <w:szCs w:val="32"/>
        </w:rPr>
      </w:pPr>
      <w:r>
        <w:rPr>
          <w:rFonts w:hint="eastAsia" w:eastAsia="仿宋_GB2312" w:cs="仿宋_GB2312"/>
          <w:sz w:val="32"/>
          <w:szCs w:val="32"/>
        </w:rPr>
        <w:t>我单位针对</w:t>
      </w:r>
      <w:r>
        <w:rPr>
          <w:rFonts w:eastAsia="仿宋_GB2312" w:cs="仿宋_GB2312"/>
          <w:sz w:val="32"/>
          <w:szCs w:val="32"/>
        </w:rPr>
        <w:t>本次财政预算绩效自评工作，严格按照《预算绩效评价共性指标体系框架》及相关财务管理规定，</w:t>
      </w:r>
      <w:r>
        <w:rPr>
          <w:rFonts w:hint="eastAsia" w:eastAsia="仿宋_GB2312" w:cs="仿宋_GB2312"/>
          <w:sz w:val="32"/>
          <w:szCs w:val="32"/>
        </w:rPr>
        <w:t>结合我单位2024年度工作开展情况及履职情况，</w:t>
      </w:r>
      <w:r>
        <w:rPr>
          <w:rFonts w:eastAsia="仿宋_GB2312" w:cs="仿宋_GB2312"/>
          <w:sz w:val="32"/>
          <w:szCs w:val="32"/>
        </w:rPr>
        <w:t>对</w:t>
      </w:r>
      <w:r>
        <w:rPr>
          <w:rFonts w:hint="eastAsia" w:eastAsia="仿宋_GB2312" w:cs="仿宋_GB2312"/>
          <w:sz w:val="32"/>
          <w:szCs w:val="32"/>
        </w:rPr>
        <w:t>2024年度部门</w:t>
      </w:r>
      <w:r>
        <w:rPr>
          <w:rFonts w:eastAsia="仿宋_GB2312" w:cs="仿宋_GB2312"/>
          <w:sz w:val="32"/>
          <w:szCs w:val="32"/>
        </w:rPr>
        <w:t>预算资金的使用情况进行了全面、深入的分析和评价。经过自评，我们得出以下结论</w:t>
      </w:r>
      <w:r>
        <w:rPr>
          <w:rFonts w:hint="eastAsia" w:eastAsia="仿宋_GB2312" w:cs="仿宋_GB2312"/>
          <w:sz w:val="32"/>
          <w:szCs w:val="32"/>
        </w:rPr>
        <w:t>：2024年度，我单位切实履行了部门职责，部门预算管理、财务管理、资产管理和采购管理等规范有序，较好地完成了各项年度任务，部门预算支出使用效益达到预期，但我单位在年度预算项目绩效指标编制方面，其个别指标设置质量相对不高，按照部门预算绩效评价指标体系中指标评分标准要求，2024年我单位部门预算绩效评价综合得分95.80分。</w:t>
      </w:r>
    </w:p>
    <w:p w14:paraId="1486D1DC">
      <w:pPr>
        <w:spacing w:line="600" w:lineRule="exact"/>
        <w:ind w:firstLine="640"/>
        <w:outlineLvl w:val="2"/>
        <w:rPr>
          <w:rFonts w:eastAsia="仿宋_GB2312" w:cs="仿宋_GB2312"/>
          <w:sz w:val="32"/>
          <w:szCs w:val="32"/>
          <w:lang w:val="zh-CN"/>
        </w:rPr>
      </w:pPr>
      <w:bookmarkStart w:id="100" w:name="_Toc3317"/>
      <w:r>
        <w:rPr>
          <w:rFonts w:eastAsia="仿宋_GB2312" w:cs="仿宋_GB2312"/>
          <w:sz w:val="32"/>
          <w:szCs w:val="32"/>
          <w:lang w:val="zh-CN"/>
        </w:rPr>
        <w:t>（二）存在问题。</w:t>
      </w:r>
      <w:bookmarkEnd w:id="100"/>
    </w:p>
    <w:p w14:paraId="1C17B10D">
      <w:pPr>
        <w:spacing w:line="600" w:lineRule="exact"/>
        <w:ind w:firstLine="640"/>
        <w:rPr>
          <w:rFonts w:eastAsia="仿宋_GB2312" w:cs="仿宋_GB2312"/>
          <w:sz w:val="32"/>
          <w:szCs w:val="32"/>
          <w:lang w:val="zh-CN"/>
        </w:rPr>
      </w:pPr>
      <w:bookmarkStart w:id="101" w:name="_Hlk110546638"/>
      <w:r>
        <w:rPr>
          <w:rFonts w:hint="eastAsia" w:eastAsia="仿宋_GB2312" w:cs="仿宋_GB2312"/>
          <w:sz w:val="32"/>
          <w:szCs w:val="32"/>
        </w:rPr>
        <w:t>1.</w:t>
      </w:r>
      <w:r>
        <w:rPr>
          <w:rFonts w:hint="eastAsia" w:eastAsia="仿宋_GB2312" w:cs="仿宋_GB2312"/>
          <w:sz w:val="32"/>
          <w:szCs w:val="32"/>
          <w:lang w:val="zh-CN"/>
        </w:rPr>
        <w:t>人均资产变化率</w:t>
      </w:r>
      <w:r>
        <w:rPr>
          <w:rFonts w:hint="eastAsia" w:eastAsia="仿宋_GB2312" w:cs="仿宋_GB2312"/>
          <w:sz w:val="32"/>
          <w:szCs w:val="32"/>
        </w:rPr>
        <w:t>过高，</w:t>
      </w:r>
      <w:r>
        <w:rPr>
          <w:rFonts w:hint="eastAsia" w:eastAsia="仿宋_GB2312" w:cs="仿宋_GB2312"/>
          <w:sz w:val="32"/>
          <w:szCs w:val="32"/>
          <w:lang w:val="zh-CN"/>
        </w:rPr>
        <w:t>2024年我单位人均资产变化率为26.60%，大于0，大于1.4倍州直行政事业单位人均资产变化率33.99% ,大于2倍州级财政收入增长率-61.00%。</w:t>
      </w:r>
    </w:p>
    <w:p w14:paraId="3B42C1D7">
      <w:pPr>
        <w:spacing w:line="600" w:lineRule="exact"/>
        <w:ind w:firstLine="640"/>
        <w:rPr>
          <w:rFonts w:eastAsia="仿宋_GB2312" w:cs="仿宋_GB2312"/>
          <w:sz w:val="32"/>
          <w:szCs w:val="32"/>
        </w:rPr>
      </w:pPr>
      <w:r>
        <w:rPr>
          <w:rFonts w:hint="eastAsia" w:eastAsia="仿宋_GB2312" w:cs="仿宋_GB2312"/>
          <w:sz w:val="32"/>
          <w:szCs w:val="32"/>
        </w:rPr>
        <w:t>2.整体支出进度不均衡。本部门整体支出执行进度不均衡，年初预算数为966.56万元，中期调整追加897.82万元，使得资金执行的进度前期较缓。</w:t>
      </w:r>
    </w:p>
    <w:p w14:paraId="25001DC3">
      <w:pPr>
        <w:spacing w:line="600" w:lineRule="exact"/>
        <w:ind w:firstLine="640"/>
        <w:outlineLvl w:val="2"/>
        <w:rPr>
          <w:rFonts w:eastAsia="仿宋_GB2312" w:cs="仿宋_GB2312"/>
          <w:sz w:val="32"/>
          <w:szCs w:val="32"/>
        </w:rPr>
      </w:pPr>
      <w:bookmarkStart w:id="102" w:name="_Toc2629"/>
      <w:r>
        <w:rPr>
          <w:rFonts w:eastAsia="仿宋_GB2312" w:cs="仿宋_GB2312"/>
          <w:sz w:val="32"/>
          <w:szCs w:val="32"/>
          <w:lang w:val="zh-CN"/>
        </w:rPr>
        <w:t>（三）改进建议。</w:t>
      </w:r>
      <w:bookmarkEnd w:id="102"/>
    </w:p>
    <w:p w14:paraId="54F501E2">
      <w:pPr>
        <w:spacing w:line="600" w:lineRule="exact"/>
        <w:ind w:firstLine="640"/>
        <w:rPr>
          <w:rFonts w:eastAsia="仿宋_GB2312" w:cs="仿宋_GB2312"/>
          <w:sz w:val="32"/>
          <w:szCs w:val="32"/>
        </w:rPr>
      </w:pPr>
      <w:r>
        <w:rPr>
          <w:rFonts w:hint="eastAsia" w:eastAsia="仿宋_GB2312" w:cs="仿宋_GB2312"/>
          <w:sz w:val="32"/>
          <w:szCs w:val="32"/>
        </w:rPr>
        <w:t>1.合理运用资产管理信息系统，实时记录资产使用状态、维修记录、闲置时长等数据，设置 “利用率预警阈值”（如连续 3 个月使用率低于20%自动触发提醒）；</w:t>
      </w:r>
      <w:r>
        <w:rPr>
          <w:rFonts w:eastAsia="仿宋_GB2312" w:cs="仿宋_GB2312"/>
          <w:sz w:val="32"/>
          <w:szCs w:val="32"/>
        </w:rPr>
        <w:t>每季度生成《资产利用率分析报告》，对比州直平均水平，公示落后品类及责任部门，倒逼整改。</w:t>
      </w:r>
    </w:p>
    <w:p w14:paraId="651CA88E">
      <w:pPr>
        <w:spacing w:line="600" w:lineRule="exact"/>
        <w:ind w:firstLine="640"/>
        <w:rPr>
          <w:rFonts w:eastAsia="仿宋_GB2312" w:cs="仿宋_GB2312"/>
          <w:sz w:val="32"/>
          <w:szCs w:val="32"/>
        </w:rPr>
      </w:pPr>
      <w:r>
        <w:rPr>
          <w:rFonts w:hint="eastAsia" w:eastAsia="仿宋_GB2312" w:cs="仿宋_GB2312"/>
          <w:sz w:val="32"/>
          <w:szCs w:val="32"/>
        </w:rPr>
        <w:t>2.进一步优化支出进度。本部门将加强绩效监控工作，梳理各阶段实施内容和预算的执行进度，比较目标实现程度，分析执行过程存在的偏差，及时纠偏整改，定期通报项目执行情况，督促各部门实施项目，保障项目顺利合规地完成支付。</w:t>
      </w:r>
    </w:p>
    <w:bookmarkEnd w:id="82"/>
    <w:bookmarkEnd w:id="101"/>
    <w:p w14:paraId="0996A256">
      <w:pPr>
        <w:spacing w:line="600" w:lineRule="exact"/>
        <w:rPr>
          <w:rFonts w:eastAsia="仿宋_GB2312" w:cs="仿宋_GB2312"/>
          <w:sz w:val="32"/>
          <w:szCs w:val="32"/>
        </w:rPr>
      </w:pPr>
    </w:p>
    <w:sectPr>
      <w:footerReference r:id="rId10"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94C03">
    <w:pPr>
      <w:pStyle w:val="12"/>
      <w:jc w:val="center"/>
    </w:pPr>
  </w:p>
  <w:p w14:paraId="3143ADD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88A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A5A8">
    <w:pPr>
      <w:pStyle w:val="12"/>
      <w:jc w:val="center"/>
    </w:pPr>
  </w:p>
  <w:p w14:paraId="4C25A2B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6072">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26B33">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7526B33">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DD77D">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CC995">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96CC995">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26D3141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BD7BA">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3F487">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E0564">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EEEDC"/>
    <w:multiLevelType w:val="singleLevel"/>
    <w:tmpl w:val="B9CEEEDC"/>
    <w:lvl w:ilvl="0" w:tentative="0">
      <w:start w:val="1"/>
      <w:numFmt w:val="decimal"/>
      <w:suff w:val="nothing"/>
      <w:lvlText w:val="%1、"/>
      <w:lvlJc w:val="left"/>
    </w:lvl>
  </w:abstractNum>
  <w:abstractNum w:abstractNumId="1">
    <w:nsid w:val="C57FB246"/>
    <w:multiLevelType w:val="singleLevel"/>
    <w:tmpl w:val="C57FB246"/>
    <w:lvl w:ilvl="0" w:tentative="0">
      <w:start w:val="1"/>
      <w:numFmt w:val="chineseCounting"/>
      <w:suff w:val="nothing"/>
      <w:lvlText w:val="%1、"/>
      <w:lvlJc w:val="left"/>
      <w:rPr>
        <w:rFonts w:hint="eastAsia"/>
      </w:rPr>
    </w:lvl>
  </w:abstractNum>
  <w:abstractNum w:abstractNumId="2">
    <w:nsid w:val="60362645"/>
    <w:multiLevelType w:val="singleLevel"/>
    <w:tmpl w:val="6036264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0CB7"/>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1706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4406"/>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5B1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1C2C"/>
    <w:rsid w:val="00683E73"/>
    <w:rsid w:val="006A3141"/>
    <w:rsid w:val="006A5E34"/>
    <w:rsid w:val="006A642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68EB"/>
    <w:rsid w:val="00923564"/>
    <w:rsid w:val="0092392E"/>
    <w:rsid w:val="009315F9"/>
    <w:rsid w:val="00933499"/>
    <w:rsid w:val="00935C98"/>
    <w:rsid w:val="00946945"/>
    <w:rsid w:val="00951248"/>
    <w:rsid w:val="0095152F"/>
    <w:rsid w:val="00954C49"/>
    <w:rsid w:val="00955E37"/>
    <w:rsid w:val="009675F0"/>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463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C01F5"/>
    <w:rsid w:val="012A5EC2"/>
    <w:rsid w:val="015975B8"/>
    <w:rsid w:val="016043AA"/>
    <w:rsid w:val="019D55FE"/>
    <w:rsid w:val="02FEBE30"/>
    <w:rsid w:val="036068E4"/>
    <w:rsid w:val="04916F1E"/>
    <w:rsid w:val="04CF12D1"/>
    <w:rsid w:val="061E35DE"/>
    <w:rsid w:val="066A1E04"/>
    <w:rsid w:val="066E0107"/>
    <w:rsid w:val="07996F6E"/>
    <w:rsid w:val="07DFD8BA"/>
    <w:rsid w:val="080D4B60"/>
    <w:rsid w:val="08955281"/>
    <w:rsid w:val="09867E8F"/>
    <w:rsid w:val="0A2032A3"/>
    <w:rsid w:val="0A285C81"/>
    <w:rsid w:val="0B59666F"/>
    <w:rsid w:val="0B7A075E"/>
    <w:rsid w:val="0BC814CA"/>
    <w:rsid w:val="0CA8290A"/>
    <w:rsid w:val="0D35B1ED"/>
    <w:rsid w:val="0D9A50E8"/>
    <w:rsid w:val="0DBB02DA"/>
    <w:rsid w:val="0E254B6B"/>
    <w:rsid w:val="0F5F3F4B"/>
    <w:rsid w:val="0F98263C"/>
    <w:rsid w:val="101860EC"/>
    <w:rsid w:val="101F47CC"/>
    <w:rsid w:val="10C055FF"/>
    <w:rsid w:val="10D72FCD"/>
    <w:rsid w:val="11694EBD"/>
    <w:rsid w:val="11772AA4"/>
    <w:rsid w:val="118107EC"/>
    <w:rsid w:val="12E24EE2"/>
    <w:rsid w:val="1341623F"/>
    <w:rsid w:val="13D50BC4"/>
    <w:rsid w:val="148335DE"/>
    <w:rsid w:val="14B17F78"/>
    <w:rsid w:val="14B60A59"/>
    <w:rsid w:val="160E6673"/>
    <w:rsid w:val="165E0673"/>
    <w:rsid w:val="16B831D5"/>
    <w:rsid w:val="16BB723D"/>
    <w:rsid w:val="178F7340"/>
    <w:rsid w:val="17E50567"/>
    <w:rsid w:val="186504BB"/>
    <w:rsid w:val="18F57676"/>
    <w:rsid w:val="19A445FC"/>
    <w:rsid w:val="1AC45552"/>
    <w:rsid w:val="1BE8440E"/>
    <w:rsid w:val="1CA218C3"/>
    <w:rsid w:val="1CF76499"/>
    <w:rsid w:val="1D155CEE"/>
    <w:rsid w:val="1D1638FE"/>
    <w:rsid w:val="1D24052A"/>
    <w:rsid w:val="1D440BCC"/>
    <w:rsid w:val="1D4F271D"/>
    <w:rsid w:val="1E312DEB"/>
    <w:rsid w:val="1E740ACF"/>
    <w:rsid w:val="1FF35744"/>
    <w:rsid w:val="1FF6BC77"/>
    <w:rsid w:val="214D44F3"/>
    <w:rsid w:val="2186353C"/>
    <w:rsid w:val="23860B96"/>
    <w:rsid w:val="23A72088"/>
    <w:rsid w:val="23E40948"/>
    <w:rsid w:val="240371BF"/>
    <w:rsid w:val="244F3473"/>
    <w:rsid w:val="24C97D99"/>
    <w:rsid w:val="254B246D"/>
    <w:rsid w:val="25A718F0"/>
    <w:rsid w:val="25BB59F6"/>
    <w:rsid w:val="25D845A8"/>
    <w:rsid w:val="25DD571A"/>
    <w:rsid w:val="260F557C"/>
    <w:rsid w:val="26970054"/>
    <w:rsid w:val="26BD2CAE"/>
    <w:rsid w:val="27361586"/>
    <w:rsid w:val="27A75FE0"/>
    <w:rsid w:val="281408E2"/>
    <w:rsid w:val="28B5135D"/>
    <w:rsid w:val="29042120"/>
    <w:rsid w:val="29FD04D3"/>
    <w:rsid w:val="2ADB2B70"/>
    <w:rsid w:val="2AE5754B"/>
    <w:rsid w:val="2BE406C8"/>
    <w:rsid w:val="2BEB6DE3"/>
    <w:rsid w:val="2BFF7BC6"/>
    <w:rsid w:val="2C2873B7"/>
    <w:rsid w:val="2C8A61B5"/>
    <w:rsid w:val="2DF04E50"/>
    <w:rsid w:val="2E586DFA"/>
    <w:rsid w:val="2F040D46"/>
    <w:rsid w:val="2F6B035B"/>
    <w:rsid w:val="2FAE5751"/>
    <w:rsid w:val="2FB1A395"/>
    <w:rsid w:val="2FD9A7D8"/>
    <w:rsid w:val="2FDBF714"/>
    <w:rsid w:val="2FE029D7"/>
    <w:rsid w:val="30AB6865"/>
    <w:rsid w:val="319F7F4E"/>
    <w:rsid w:val="32320F17"/>
    <w:rsid w:val="32BD1EF1"/>
    <w:rsid w:val="32D33A34"/>
    <w:rsid w:val="3304709D"/>
    <w:rsid w:val="336B0809"/>
    <w:rsid w:val="33A773CB"/>
    <w:rsid w:val="343D03F7"/>
    <w:rsid w:val="34572DE7"/>
    <w:rsid w:val="349D6851"/>
    <w:rsid w:val="3575596F"/>
    <w:rsid w:val="35C42453"/>
    <w:rsid w:val="364E6E1C"/>
    <w:rsid w:val="366C6D72"/>
    <w:rsid w:val="36AA5135"/>
    <w:rsid w:val="36BE0DA7"/>
    <w:rsid w:val="376B6AA6"/>
    <w:rsid w:val="376D39B2"/>
    <w:rsid w:val="37E16F03"/>
    <w:rsid w:val="37F53A3B"/>
    <w:rsid w:val="389B6C89"/>
    <w:rsid w:val="38D469F0"/>
    <w:rsid w:val="39627CCD"/>
    <w:rsid w:val="397BAF1F"/>
    <w:rsid w:val="39810D86"/>
    <w:rsid w:val="39BB0884"/>
    <w:rsid w:val="39F64B46"/>
    <w:rsid w:val="3AB79AF3"/>
    <w:rsid w:val="3AE834C0"/>
    <w:rsid w:val="3B673FAC"/>
    <w:rsid w:val="3B7EF35A"/>
    <w:rsid w:val="3B9FDB6C"/>
    <w:rsid w:val="3BF5BC2F"/>
    <w:rsid w:val="3C0417FB"/>
    <w:rsid w:val="3C2E0626"/>
    <w:rsid w:val="3C5D5D2A"/>
    <w:rsid w:val="3CEBA265"/>
    <w:rsid w:val="3D98207C"/>
    <w:rsid w:val="3DEE7CF3"/>
    <w:rsid w:val="3E740A63"/>
    <w:rsid w:val="3E78745D"/>
    <w:rsid w:val="3E917B24"/>
    <w:rsid w:val="3EE17838"/>
    <w:rsid w:val="3F32667F"/>
    <w:rsid w:val="3F55381A"/>
    <w:rsid w:val="3F7F7599"/>
    <w:rsid w:val="3FF4CAE0"/>
    <w:rsid w:val="3FF7B227"/>
    <w:rsid w:val="413761CE"/>
    <w:rsid w:val="4160587C"/>
    <w:rsid w:val="42CA554C"/>
    <w:rsid w:val="42EB54C2"/>
    <w:rsid w:val="44AE67A8"/>
    <w:rsid w:val="44E1092B"/>
    <w:rsid w:val="44E268DA"/>
    <w:rsid w:val="450D13D7"/>
    <w:rsid w:val="45506656"/>
    <w:rsid w:val="470D1EAB"/>
    <w:rsid w:val="47AF6ABF"/>
    <w:rsid w:val="48276F9D"/>
    <w:rsid w:val="486A6C7A"/>
    <w:rsid w:val="4A5D196D"/>
    <w:rsid w:val="4A627F82"/>
    <w:rsid w:val="4A8D197E"/>
    <w:rsid w:val="4B0E749A"/>
    <w:rsid w:val="4B2477C4"/>
    <w:rsid w:val="4B4F25DA"/>
    <w:rsid w:val="4BB8162D"/>
    <w:rsid w:val="4BE068DB"/>
    <w:rsid w:val="4C583BC9"/>
    <w:rsid w:val="4CF66F3E"/>
    <w:rsid w:val="4D1B69A4"/>
    <w:rsid w:val="4D577224"/>
    <w:rsid w:val="4DBF1CEB"/>
    <w:rsid w:val="4DF0007C"/>
    <w:rsid w:val="4E6525CD"/>
    <w:rsid w:val="4EA01857"/>
    <w:rsid w:val="4EAB630A"/>
    <w:rsid w:val="4ECD1F20"/>
    <w:rsid w:val="4ECE2238"/>
    <w:rsid w:val="4EDD30F5"/>
    <w:rsid w:val="4F833267"/>
    <w:rsid w:val="4FB80E92"/>
    <w:rsid w:val="4FE9BD67"/>
    <w:rsid w:val="4FFB052F"/>
    <w:rsid w:val="506568B4"/>
    <w:rsid w:val="50EB560F"/>
    <w:rsid w:val="50EE68AA"/>
    <w:rsid w:val="51024103"/>
    <w:rsid w:val="51B55619"/>
    <w:rsid w:val="51FF183A"/>
    <w:rsid w:val="537E6D0A"/>
    <w:rsid w:val="53F74C96"/>
    <w:rsid w:val="54B24092"/>
    <w:rsid w:val="55170BA8"/>
    <w:rsid w:val="553218C9"/>
    <w:rsid w:val="556A671B"/>
    <w:rsid w:val="567E1AA5"/>
    <w:rsid w:val="56E47B74"/>
    <w:rsid w:val="57087F99"/>
    <w:rsid w:val="57175D52"/>
    <w:rsid w:val="57BD3DD4"/>
    <w:rsid w:val="58A67A6A"/>
    <w:rsid w:val="593D2017"/>
    <w:rsid w:val="5A8C27D1"/>
    <w:rsid w:val="5AF92295"/>
    <w:rsid w:val="5B250254"/>
    <w:rsid w:val="5BDD79E6"/>
    <w:rsid w:val="5BF561CA"/>
    <w:rsid w:val="5BFF5DFC"/>
    <w:rsid w:val="5CAB1AF3"/>
    <w:rsid w:val="5CD71FC4"/>
    <w:rsid w:val="5D1F11B5"/>
    <w:rsid w:val="5D695134"/>
    <w:rsid w:val="5DAE1B18"/>
    <w:rsid w:val="5DE7D9E5"/>
    <w:rsid w:val="5E0E058B"/>
    <w:rsid w:val="5EAE58CA"/>
    <w:rsid w:val="5ECEC941"/>
    <w:rsid w:val="5FBF9FF3"/>
    <w:rsid w:val="5FCD4E2C"/>
    <w:rsid w:val="5FEF394A"/>
    <w:rsid w:val="5FF67715"/>
    <w:rsid w:val="60EE0200"/>
    <w:rsid w:val="612C2AD6"/>
    <w:rsid w:val="61FB0E26"/>
    <w:rsid w:val="62BF3928"/>
    <w:rsid w:val="62E11ACE"/>
    <w:rsid w:val="63B3701E"/>
    <w:rsid w:val="647F5392"/>
    <w:rsid w:val="64EA29A4"/>
    <w:rsid w:val="65945CB8"/>
    <w:rsid w:val="65E66580"/>
    <w:rsid w:val="664B1D71"/>
    <w:rsid w:val="664B4E8E"/>
    <w:rsid w:val="66772A46"/>
    <w:rsid w:val="67277B67"/>
    <w:rsid w:val="67AA3209"/>
    <w:rsid w:val="68305E09"/>
    <w:rsid w:val="683C571A"/>
    <w:rsid w:val="6858130A"/>
    <w:rsid w:val="688651C2"/>
    <w:rsid w:val="68C54B2B"/>
    <w:rsid w:val="698D0931"/>
    <w:rsid w:val="6A2B6021"/>
    <w:rsid w:val="6A7FE5F3"/>
    <w:rsid w:val="6B053271"/>
    <w:rsid w:val="6BDD78B3"/>
    <w:rsid w:val="6C264CF2"/>
    <w:rsid w:val="6C4A05C8"/>
    <w:rsid w:val="6C8742B8"/>
    <w:rsid w:val="6D001A9B"/>
    <w:rsid w:val="6D24486A"/>
    <w:rsid w:val="6D8472A7"/>
    <w:rsid w:val="6DBF5E93"/>
    <w:rsid w:val="6DFF077E"/>
    <w:rsid w:val="6E714EF0"/>
    <w:rsid w:val="6E7E3605"/>
    <w:rsid w:val="6E7FDCC7"/>
    <w:rsid w:val="6EBD7665"/>
    <w:rsid w:val="6ED6A62E"/>
    <w:rsid w:val="6EE00B15"/>
    <w:rsid w:val="6F6FB3EB"/>
    <w:rsid w:val="6F8731EA"/>
    <w:rsid w:val="6FCE6052"/>
    <w:rsid w:val="6FD57C00"/>
    <w:rsid w:val="6FEFFFD8"/>
    <w:rsid w:val="6FF5CC65"/>
    <w:rsid w:val="6FFB47EC"/>
    <w:rsid w:val="6FFF034A"/>
    <w:rsid w:val="70484440"/>
    <w:rsid w:val="708C17E3"/>
    <w:rsid w:val="712A28F1"/>
    <w:rsid w:val="715C0E4B"/>
    <w:rsid w:val="71992E7C"/>
    <w:rsid w:val="72161365"/>
    <w:rsid w:val="72233669"/>
    <w:rsid w:val="722D682F"/>
    <w:rsid w:val="72734D90"/>
    <w:rsid w:val="73160E6D"/>
    <w:rsid w:val="7332FE48"/>
    <w:rsid w:val="73634A7D"/>
    <w:rsid w:val="73A40BF2"/>
    <w:rsid w:val="73AB61DA"/>
    <w:rsid w:val="73AD73D5"/>
    <w:rsid w:val="73B6EB34"/>
    <w:rsid w:val="73C511E4"/>
    <w:rsid w:val="73FA497D"/>
    <w:rsid w:val="744731E5"/>
    <w:rsid w:val="74BBD01D"/>
    <w:rsid w:val="74ED5379"/>
    <w:rsid w:val="74F74909"/>
    <w:rsid w:val="75AD1FE0"/>
    <w:rsid w:val="75DEEEC2"/>
    <w:rsid w:val="75E32345"/>
    <w:rsid w:val="76616167"/>
    <w:rsid w:val="76E3355F"/>
    <w:rsid w:val="76FF5125"/>
    <w:rsid w:val="77694FD5"/>
    <w:rsid w:val="776F6FFA"/>
    <w:rsid w:val="778769C8"/>
    <w:rsid w:val="77A75DCA"/>
    <w:rsid w:val="77AA6BDE"/>
    <w:rsid w:val="77DC22F5"/>
    <w:rsid w:val="77E65C7D"/>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DAA32A9"/>
    <w:rsid w:val="7E8ADEBF"/>
    <w:rsid w:val="7ED86152"/>
    <w:rsid w:val="7EEF11D3"/>
    <w:rsid w:val="7EFE4840"/>
    <w:rsid w:val="7F0971A6"/>
    <w:rsid w:val="7F1D62E7"/>
    <w:rsid w:val="7F3F679B"/>
    <w:rsid w:val="7F4FC4EF"/>
    <w:rsid w:val="7F5E4D54"/>
    <w:rsid w:val="7F651B7D"/>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Salutation"/>
    <w:basedOn w:val="1"/>
    <w:next w:val="6"/>
    <w:qFormat/>
    <w:uiPriority w:val="0"/>
    <w:rPr>
      <w:rFonts w:ascii="Calibri" w:hAnsi="Calibri"/>
    </w:rPr>
  </w:style>
  <w:style w:type="paragraph" w:customStyle="1" w:styleId="6">
    <w:name w:val="正文11"/>
    <w:next w:val="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rPr>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2"/>
    <w:qFormat/>
    <w:uiPriority w:val="9"/>
    <w:rPr>
      <w:rFonts w:ascii="Times New Roman" w:hAnsi="Times New Roman"/>
      <w:b/>
      <w:bCs/>
      <w:kern w:val="44"/>
      <w:sz w:val="44"/>
      <w:szCs w:val="44"/>
    </w:rPr>
  </w:style>
  <w:style w:type="character" w:customStyle="1" w:styleId="32">
    <w:name w:val="标题 2 Char"/>
    <w:basedOn w:val="19"/>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4"/>
    <w:qFormat/>
    <w:uiPriority w:val="9"/>
    <w:rPr>
      <w:rFonts w:ascii="Times New Roman" w:hAnsi="Times New Roman"/>
      <w:b/>
      <w:bCs/>
      <w:kern w:val="2"/>
      <w:sz w:val="32"/>
      <w:szCs w:val="32"/>
    </w:rPr>
  </w:style>
  <w:style w:type="paragraph" w:customStyle="1" w:styleId="3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p16"/>
    <w:basedOn w:val="1"/>
    <w:qFormat/>
    <w:uiPriority w:val="0"/>
    <w:pPr>
      <w:widowControl/>
      <w:spacing w:before="93"/>
    </w:pPr>
    <w:rPr>
      <w:rFonts w:ascii="仿宋_GB2312" w:hAnsi="宋体" w:eastAsia="仿宋_GB2312" w:cs="宋体"/>
      <w:kern w:val="0"/>
      <w:sz w:val="30"/>
      <w:szCs w:val="30"/>
    </w:rPr>
  </w:style>
  <w:style w:type="paragraph" w:customStyle="1" w:styleId="39">
    <w:name w:val="p0"/>
    <w:basedOn w:val="1"/>
    <w:qFormat/>
    <w:uiPriority w:val="0"/>
    <w:pPr>
      <w:widowControl/>
    </w:pPr>
    <w:rPr>
      <w:rFonts w:ascii="Calibri" w:hAnsi="Calibri" w:cs="宋体"/>
      <w:kern w:val="0"/>
      <w:szCs w:val="21"/>
    </w:rPr>
  </w:style>
  <w:style w:type="paragraph" w:customStyle="1" w:styleId="40">
    <w:name w:val="正-文"/>
    <w:basedOn w:val="1"/>
    <w:qFormat/>
    <w:uiPriority w:val="0"/>
    <w:pPr>
      <w:spacing w:line="560" w:lineRule="exact"/>
      <w:ind w:firstLine="640" w:firstLineChars="200"/>
    </w:pPr>
    <w:rPr>
      <w:rFonts w:eastAsia="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H:\&#26032;&#24314;%20XLSX%20&#24037;&#20316;&#3492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6700;&#38754;\&#26032;&#24314;%20Microsoft%20Excel%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39292;&#29366;&#2227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H:\&#26032;&#24314;%20XLSX%20&#24037;&#20316;&#34920;.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H:\&#26032;&#24314;%20XLSX%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39292;&#29366;&#22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标题</a:t>
            </a:r>
            <a:endParaRPr lang="zh-CN" altLang="en-US"/>
          </a:p>
        </c:rich>
      </c:tx>
      <c:layout/>
      <c:overlay val="0"/>
      <c:spPr>
        <a:noFill/>
        <a:ln>
          <a:noFill/>
        </a:ln>
        <a:effectLst/>
      </c:spPr>
    </c:title>
    <c:autoTitleDeleted val="0"/>
    <c:plotArea>
      <c:layout/>
      <c:barChart>
        <c:barDir val="col"/>
        <c:grouping val="clustered"/>
        <c:varyColors val="0"/>
        <c:ser>
          <c:idx val="0"/>
          <c:order val="0"/>
          <c:tx>
            <c:strRef>
              <c:f>'[新建 XLSX 工作表.xlsx]Sheet1'!$A$7</c:f>
              <c:strCache>
                <c:ptCount val="1"/>
                <c:pt idx="0">
                  <c:v>- 2023年：1,864.39 + 146.76 = 2,011.15万元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val>
            <c:numRef>
              <c:f>'[新建 XLSX 工作表.xlsx]Sheet1'!$B$7:$E$7</c:f>
              <c:numCache>
                <c:formatCode>General</c:formatCode>
                <c:ptCount val="4"/>
              </c:numCache>
            </c:numRef>
          </c:val>
        </c:ser>
        <c:ser>
          <c:idx val="1"/>
          <c:order val="1"/>
          <c:tx>
            <c:strRef>
              <c:f>'[新建 XLSX 工作表.xlsx]Sheet1'!$A$8</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val>
            <c:numRef>
              <c:f>'[新建 XLSX 工作表.xlsx]Sheet1'!$B$8:$E$8</c:f>
              <c:numCache>
                <c:formatCode>General</c:formatCode>
                <c:ptCount val="4"/>
              </c:numCache>
            </c:numRef>
          </c:val>
        </c:ser>
        <c:ser>
          <c:idx val="2"/>
          <c:order val="2"/>
          <c:tx>
            <c:strRef>
              <c:f>'[新建 XLSX 工作表.xlsx]Sheet1'!$A$9</c:f>
              <c:strCache>
                <c:ptCount val="1"/>
                <c:pt idx="0">
                  <c:v>- 2024年：1,864.39万元</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val>
            <c:numRef>
              <c:f>'[新建 XLSX 工作表.xlsx]Sheet1'!$B$9:$E$9</c:f>
              <c:numCache>
                <c:formatCode>General</c:formatCode>
                <c:ptCount val="4"/>
              </c:numCache>
            </c:numRef>
          </c:val>
        </c:ser>
        <c:dLbls>
          <c:showLegendKey val="0"/>
          <c:showVal val="1"/>
          <c:showCatName val="0"/>
          <c:showSerName val="0"/>
          <c:showPercent val="0"/>
          <c:showBubbleSize val="0"/>
        </c:dLbls>
        <c:gapWidth val="150"/>
        <c:axId val="346360448"/>
        <c:axId val="346395392"/>
      </c:barChart>
      <c:catAx>
        <c:axId val="346360448"/>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title>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346395392"/>
        <c:crosses val="autoZero"/>
        <c:auto val="1"/>
        <c:lblAlgn val="ctr"/>
        <c:lblOffset val="100"/>
        <c:noMultiLvlLbl val="0"/>
      </c:catAx>
      <c:valAx>
        <c:axId val="346395392"/>
        <c:scaling>
          <c:orientation val="minMax"/>
        </c:scaling>
        <c:delete val="0"/>
        <c:axPos val="l"/>
        <c:majorGridlines>
          <c:spPr>
            <a:ln w="9525" cap="flat" cmpd="sng" algn="ctr">
              <a:solidFill>
                <a:schemeClr val="lt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title>
        <c:numFmt formatCode="General" sourceLinked="1"/>
        <c:majorTickMark val="none"/>
        <c:minorTickMark val="none"/>
        <c:tickLblPos val="nextTo"/>
        <c:spPr>
          <a:noFill/>
          <a:ln w="6350">
            <a:solidFill>
              <a:schemeClr val="tx1">
                <a:lumMod val="50000"/>
                <a:lumOff val="50000"/>
                <a:alpha val="25000"/>
              </a:schemeClr>
            </a:solid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3463604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Table>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51dcf427-1908-4877-a560-75d67fc8d31e}"/>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收入决算结构图</a:t>
            </a:r>
            <a:endParaRPr lang="zh-CN" altLang="en-US"/>
          </a:p>
        </c:rich>
      </c:tx>
      <c:layout/>
      <c:overlay val="0"/>
    </c:title>
    <c:autoTitleDeleted val="0"/>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Sheet1!$A$1:$A$2</c:f>
              <c:strCache>
                <c:ptCount val="2"/>
                <c:pt idx="0">
                  <c:v>一般公共预算财政拨付收入</c:v>
                </c:pt>
                <c:pt idx="1">
                  <c:v>其他收入</c:v>
                </c:pt>
              </c:strCache>
            </c:strRef>
          </c:cat>
          <c:val>
            <c:numRef>
              <c:f>Sheet1!$B$1:$B$2</c:f>
              <c:numCache>
                <c:formatCode>General</c:formatCode>
                <c:ptCount val="2"/>
                <c:pt idx="0">
                  <c:v>1599.73</c:v>
                </c:pt>
                <c:pt idx="1">
                  <c:v>264.66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c4c84e74-d7e3-49ad-a93c-89dba95719b8}"/>
      </c:ext>
    </c:extLst>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支出决算结构图</a:t>
            </a:r>
          </a:p>
        </c:rich>
      </c:tx>
      <c:layout/>
      <c:overlay val="0"/>
    </c:title>
    <c:autoTitleDeleted val="0"/>
    <c:plotArea>
      <c:layout>
        <c:manualLayout>
          <c:layoutTarget val="inner"/>
          <c:xMode val="edge"/>
          <c:yMode val="edge"/>
          <c:x val="0.32687489063867"/>
          <c:y val="0.244791484397784"/>
          <c:w val="0.385139107611549"/>
          <c:h val="0.641898512685914"/>
        </c:manualLayout>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[饼状图.xlsx]Sheet1!$A$18:$A$19</c:f>
              <c:strCache>
                <c:ptCount val="2"/>
                <c:pt idx="0">
                  <c:v>基本支出</c:v>
                </c:pt>
                <c:pt idx="1">
                  <c:v>项目支出</c:v>
                </c:pt>
              </c:strCache>
            </c:strRef>
          </c:cat>
          <c:val>
            <c:numRef>
              <c:f>[饼状图.xlsx]Sheet1!$B$18:$B$19</c:f>
              <c:numCache>
                <c:formatCode>General</c:formatCode>
                <c:ptCount val="2"/>
                <c:pt idx="0">
                  <c:v>1267.25</c:v>
                </c:pt>
                <c:pt idx="1">
                  <c:v>597.13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a2bf579a-190b-42db-91d2-cb07cf1d3a9a}"/>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标题</a:t>
            </a:r>
            <a:endParaRPr lang="zh-CN" altLang="en-US"/>
          </a:p>
        </c:rich>
      </c:tx>
      <c:layout/>
      <c:overlay val="0"/>
      <c:spPr>
        <a:noFill/>
        <a:ln>
          <a:noFill/>
        </a:ln>
        <a:effectLst/>
      </c:spPr>
    </c:title>
    <c:autoTitleDeleted val="0"/>
    <c:plotArea>
      <c:layout/>
      <c:barChart>
        <c:barDir val="col"/>
        <c:grouping val="clustered"/>
        <c:varyColors val="0"/>
        <c:ser>
          <c:idx val="0"/>
          <c:order val="0"/>
          <c:tx>
            <c:strRef>
              <c:f>'[新建 XLSX 工作表.xlsx]Sheet1'!$A$41</c:f>
              <c:strCache>
                <c:ptCount val="1"/>
                <c:pt idx="0">
                  <c:v>- 2023年：1,599.73 + 1.12 = 1,600.85万元</c:v>
                </c:pt>
              </c:strCache>
            </c:strRef>
          </c:tx>
          <c:spPr>
            <a:solidFill>
              <a:schemeClr val="accent1"/>
            </a:solidFill>
            <a:ln>
              <a:noFill/>
            </a:ln>
            <a:effectLst/>
          </c:spPr>
          <c:invertIfNegative val="0"/>
          <c:dLbls>
            <c:delete val="1"/>
          </c:dLbls>
          <c:val>
            <c:numRef>
              <c:f>'[新建 XLSX 工作表.xlsx]Sheet1'!$B$41:$E$41</c:f>
              <c:numCache>
                <c:formatCode>General</c:formatCode>
                <c:ptCount val="4"/>
              </c:numCache>
            </c:numRef>
          </c:val>
        </c:ser>
        <c:ser>
          <c:idx val="1"/>
          <c:order val="1"/>
          <c:tx>
            <c:strRef>
              <c:f>'[新建 XLSX 工作表.xlsx]Sheet1'!$A$42</c:f>
              <c:strCache>
                <c:ptCount val="1"/>
                <c:pt idx="0">
                  <c:v/>
                </c:pt>
              </c:strCache>
            </c:strRef>
          </c:tx>
          <c:spPr>
            <a:solidFill>
              <a:schemeClr val="accent2"/>
            </a:solidFill>
            <a:ln>
              <a:noFill/>
            </a:ln>
            <a:effectLst/>
          </c:spPr>
          <c:invertIfNegative val="0"/>
          <c:dLbls>
            <c:delete val="1"/>
          </c:dLbls>
          <c:val>
            <c:numRef>
              <c:f>'[新建 XLSX 工作表.xlsx]Sheet1'!$B$42:$E$42</c:f>
              <c:numCache>
                <c:formatCode>General</c:formatCode>
                <c:ptCount val="4"/>
              </c:numCache>
            </c:numRef>
          </c:val>
        </c:ser>
        <c:ser>
          <c:idx val="2"/>
          <c:order val="2"/>
          <c:tx>
            <c:strRef>
              <c:f>'[新建 XLSX 工作表.xlsx]Sheet1'!$A$43</c:f>
              <c:strCache>
                <c:ptCount val="1"/>
                <c:pt idx="0">
                  <c:v>- 2024年：1,599.73万元</c:v>
                </c:pt>
              </c:strCache>
            </c:strRef>
          </c:tx>
          <c:spPr>
            <a:solidFill>
              <a:schemeClr val="accent3"/>
            </a:solidFill>
            <a:ln>
              <a:noFill/>
            </a:ln>
            <a:effectLst/>
          </c:spPr>
          <c:invertIfNegative val="0"/>
          <c:dLbls>
            <c:delete val="1"/>
          </c:dLbls>
          <c:val>
            <c:numRef>
              <c:f>'[新建 XLSX 工作表.xlsx]Sheet1'!$B$43:$E$43</c:f>
              <c:numCache>
                <c:formatCode>General</c:formatCode>
                <c:ptCount val="4"/>
              </c:numCache>
            </c:numRef>
          </c:val>
        </c:ser>
        <c:ser>
          <c:idx val="3"/>
          <c:order val="3"/>
          <c:tx>
            <c:strRef>
              <c:f>'[新建 XLSX 工作表.xlsx]Sheet1'!$A$44</c:f>
              <c:strCache>
                <c:ptCount val="1"/>
                <c:pt idx="0">
                  <c:v> </c:v>
                </c:pt>
              </c:strCache>
            </c:strRef>
          </c:tx>
          <c:spPr>
            <a:solidFill>
              <a:schemeClr val="accent4"/>
            </a:solidFill>
            <a:ln>
              <a:noFill/>
            </a:ln>
            <a:effectLst/>
          </c:spPr>
          <c:invertIfNegative val="0"/>
          <c:dLbls>
            <c:delete val="1"/>
          </c:dLbls>
          <c:val>
            <c:numRef>
              <c:f>'[新建 XLSX 工作表.xlsx]Sheet1'!$B$44:$E$44</c:f>
              <c:numCache>
                <c:formatCode>General</c:formatCode>
                <c:ptCount val="4"/>
              </c:numCache>
            </c:numRef>
          </c:val>
        </c:ser>
        <c:dLbls>
          <c:showLegendKey val="0"/>
          <c:showVal val="1"/>
          <c:showCatName val="0"/>
          <c:showSerName val="0"/>
          <c:showPercent val="0"/>
          <c:showBubbleSize val="0"/>
        </c:dLbls>
        <c:gapWidth val="150"/>
        <c:axId val="355859840"/>
        <c:axId val="355861632"/>
      </c:barChart>
      <c:catAx>
        <c:axId val="355859840"/>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355861632"/>
        <c:crosses val="autoZero"/>
        <c:auto val="1"/>
        <c:lblAlgn val="ctr"/>
        <c:lblOffset val="100"/>
        <c:noMultiLvlLbl val="0"/>
      </c:catAx>
      <c:valAx>
        <c:axId val="35586163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w="6350">
            <a:solidFill>
              <a:schemeClr val="tx1">
                <a:lumMod val="50000"/>
                <a:lumOff val="50000"/>
                <a:alpha val="25000"/>
              </a:schemeClr>
            </a:solid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355859840"/>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0d4bad3b-407f-43f1-a8f5-5be9ef81d7e0}"/>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标题</a:t>
            </a:r>
            <a:endParaRPr lang="zh-CN" altLang="en-US"/>
          </a:p>
        </c:rich>
      </c:tx>
      <c:layout/>
      <c:overlay val="0"/>
      <c:spPr>
        <a:noFill/>
        <a:ln>
          <a:noFill/>
        </a:ln>
        <a:effectLst/>
      </c:spPr>
    </c:title>
    <c:autoTitleDeleted val="0"/>
    <c:plotArea>
      <c:layout/>
      <c:barChart>
        <c:barDir val="col"/>
        <c:grouping val="clustered"/>
        <c:varyColors val="0"/>
        <c:ser>
          <c:idx val="0"/>
          <c:order val="0"/>
          <c:tx>
            <c:strRef>
              <c:f>'[新建 XLSX 工作表.xlsx]Sheet1'!$A$41</c:f>
              <c:strCache>
                <c:ptCount val="1"/>
                <c:pt idx="0">
                  <c:v>- 2023年：1,599.73 + 1.12 = 1,600.85万元</c:v>
                </c:pt>
              </c:strCache>
            </c:strRef>
          </c:tx>
          <c:spPr>
            <a:solidFill>
              <a:schemeClr val="accent1"/>
            </a:solidFill>
            <a:ln>
              <a:noFill/>
            </a:ln>
            <a:effectLst/>
          </c:spPr>
          <c:invertIfNegative val="0"/>
          <c:dLbls>
            <c:delete val="1"/>
          </c:dLbls>
          <c:val>
            <c:numRef>
              <c:f>'[新建 XLSX 工作表.xlsx]Sheet1'!$B$41:$E$41</c:f>
              <c:numCache>
                <c:formatCode>General</c:formatCode>
                <c:ptCount val="4"/>
              </c:numCache>
            </c:numRef>
          </c:val>
        </c:ser>
        <c:ser>
          <c:idx val="1"/>
          <c:order val="1"/>
          <c:tx>
            <c:strRef>
              <c:f>'[新建 XLSX 工作表.xlsx]Sheet1'!$A$42</c:f>
              <c:strCache>
                <c:ptCount val="1"/>
                <c:pt idx="0">
                  <c:v/>
                </c:pt>
              </c:strCache>
            </c:strRef>
          </c:tx>
          <c:spPr>
            <a:solidFill>
              <a:schemeClr val="accent2"/>
            </a:solidFill>
            <a:ln>
              <a:noFill/>
            </a:ln>
            <a:effectLst/>
          </c:spPr>
          <c:invertIfNegative val="0"/>
          <c:dLbls>
            <c:delete val="1"/>
          </c:dLbls>
          <c:val>
            <c:numRef>
              <c:f>'[新建 XLSX 工作表.xlsx]Sheet1'!$B$42:$E$42</c:f>
              <c:numCache>
                <c:formatCode>General</c:formatCode>
                <c:ptCount val="4"/>
              </c:numCache>
            </c:numRef>
          </c:val>
        </c:ser>
        <c:ser>
          <c:idx val="2"/>
          <c:order val="2"/>
          <c:tx>
            <c:strRef>
              <c:f>'[新建 XLSX 工作表.xlsx]Sheet1'!$A$43</c:f>
              <c:strCache>
                <c:ptCount val="1"/>
                <c:pt idx="0">
                  <c:v>- 2024年：1,599.73万元</c:v>
                </c:pt>
              </c:strCache>
            </c:strRef>
          </c:tx>
          <c:spPr>
            <a:solidFill>
              <a:schemeClr val="accent3"/>
            </a:solidFill>
            <a:ln>
              <a:noFill/>
            </a:ln>
            <a:effectLst/>
          </c:spPr>
          <c:invertIfNegative val="0"/>
          <c:dLbls>
            <c:delete val="1"/>
          </c:dLbls>
          <c:val>
            <c:numRef>
              <c:f>'[新建 XLSX 工作表.xlsx]Sheet1'!$B$43:$E$43</c:f>
              <c:numCache>
                <c:formatCode>General</c:formatCode>
                <c:ptCount val="4"/>
              </c:numCache>
            </c:numRef>
          </c:val>
        </c:ser>
        <c:ser>
          <c:idx val="3"/>
          <c:order val="3"/>
          <c:tx>
            <c:strRef>
              <c:f>'[新建 XLSX 工作表.xlsx]Sheet1'!$A$44</c:f>
              <c:strCache>
                <c:ptCount val="1"/>
                <c:pt idx="0">
                  <c:v> </c:v>
                </c:pt>
              </c:strCache>
            </c:strRef>
          </c:tx>
          <c:spPr>
            <a:solidFill>
              <a:schemeClr val="accent4"/>
            </a:solidFill>
            <a:ln>
              <a:noFill/>
            </a:ln>
            <a:effectLst/>
          </c:spPr>
          <c:invertIfNegative val="0"/>
          <c:dLbls>
            <c:delete val="1"/>
          </c:dLbls>
          <c:val>
            <c:numRef>
              <c:f>'[新建 XLSX 工作表.xlsx]Sheet1'!$B$44:$E$44</c:f>
              <c:numCache>
                <c:formatCode>General</c:formatCode>
                <c:ptCount val="4"/>
              </c:numCache>
            </c:numRef>
          </c:val>
        </c:ser>
        <c:dLbls>
          <c:showLegendKey val="0"/>
          <c:showVal val="1"/>
          <c:showCatName val="0"/>
          <c:showSerName val="0"/>
          <c:showPercent val="0"/>
          <c:showBubbleSize val="0"/>
        </c:dLbls>
        <c:gapWidth val="150"/>
        <c:axId val="355917824"/>
        <c:axId val="355919360"/>
      </c:barChart>
      <c:catAx>
        <c:axId val="355917824"/>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355919360"/>
        <c:crosses val="autoZero"/>
        <c:auto val="1"/>
        <c:lblAlgn val="ctr"/>
        <c:lblOffset val="100"/>
        <c:noMultiLvlLbl val="0"/>
      </c:catAx>
      <c:valAx>
        <c:axId val="35591936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w="6350">
            <a:solidFill>
              <a:schemeClr val="tx1">
                <a:lumMod val="50000"/>
                <a:lumOff val="50000"/>
                <a:alpha val="25000"/>
              </a:schemeClr>
            </a:solid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355917824"/>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0d4bad3b-407f-43f1-a8f5-5be9ef81d7e0}"/>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一般公共预算财政拨款支出决算结构</a:t>
            </a:r>
          </a:p>
        </c:rich>
      </c:tx>
      <c:layout>
        <c:manualLayout>
          <c:xMode val="edge"/>
          <c:yMode val="edge"/>
          <c:x val="0.104722222222222"/>
          <c:y val="0.00694444444444444"/>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Lbls>
            <c:dLbl>
              <c:idx val="0"/>
              <c:layout>
                <c:manualLayout>
                  <c:x val="-0.108333333333333"/>
                  <c:y val="-0.17013888888888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648825809813306"/>
                  <c:y val="0.13309783683675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400204288345881"/>
                  <c:y val="-0.042952387601967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87184554659576"/>
                  <c:y val="-0.00086936875811579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[饼状图.xlsx]Sheet1!$A$30:$A$33</c:f>
              <c:strCache>
                <c:ptCount val="4"/>
                <c:pt idx="0">
                  <c:v>一般公共服务支出</c:v>
                </c:pt>
                <c:pt idx="1">
                  <c:v>社会保障和就业支出</c:v>
                </c:pt>
                <c:pt idx="2">
                  <c:v>卫生健康支出</c:v>
                </c:pt>
                <c:pt idx="3">
                  <c:v>住房保障支出</c:v>
                </c:pt>
              </c:strCache>
            </c:strRef>
          </c:cat>
          <c:val>
            <c:numRef>
              <c:f>[饼状图.xlsx]Sheet1!$B$30:$B$33</c:f>
              <c:numCache>
                <c:formatCode>General</c:formatCode>
                <c:ptCount val="4"/>
                <c:pt idx="0">
                  <c:v>1322.63</c:v>
                </c:pt>
                <c:pt idx="1">
                  <c:v>131.68</c:v>
                </c:pt>
                <c:pt idx="2">
                  <c:v>64.46</c:v>
                </c:pt>
                <c:pt idx="3">
                  <c:v>80.96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494772d3-1f30-41f9-a758-72e184b9eb94}"/>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三公”经费财政拨款支出结构）</a:t>
            </a:r>
          </a:p>
        </c:rich>
      </c:tx>
      <c:layout/>
      <c:overlay val="0"/>
    </c:title>
    <c:autoTitleDeleted val="0"/>
    <c:plotArea>
      <c:layout/>
      <c:pieChart>
        <c:varyColors val="1"/>
        <c:ser>
          <c:idx val="0"/>
          <c:order val="0"/>
          <c:explosion val="0"/>
          <c:dPt>
            <c:idx val="0"/>
            <c:bubble3D val="0"/>
          </c:dPt>
          <c:dPt>
            <c:idx val="1"/>
            <c:bubble3D val="0"/>
          </c:dPt>
          <c:dLbls>
            <c:dLbl>
              <c:idx val="0"/>
              <c:layout>
                <c:manualLayout>
                  <c:x val="-0.0166666666666667"/>
                  <c:y val="-0.17708333333333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[饼状图.xlsx]Sheet1!$A$49:$A$50</c:f>
              <c:strCache>
                <c:ptCount val="2"/>
                <c:pt idx="0">
                  <c:v>公务用车购置及运行维护费</c:v>
                </c:pt>
                <c:pt idx="1">
                  <c:v>公务接待费</c:v>
                </c:pt>
              </c:strCache>
            </c:strRef>
          </c:cat>
          <c:val>
            <c:numRef>
              <c:f>[饼状图.xlsx]Sheet1!$B$49:$B$50</c:f>
              <c:numCache>
                <c:formatCode>General</c:formatCode>
                <c:ptCount val="2"/>
                <c:pt idx="0">
                  <c:v>51.81</c:v>
                </c:pt>
                <c:pt idx="1">
                  <c:v>1.38</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aaec7e0f-830e-4fd0-b0dc-0e0e806f8b10}"/>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0.67708</cdr:x>
      <cdr:y>0.56597</cdr:y>
    </cdr:from>
    <cdr:to>
      <cdr:x>0.95</cdr:x>
      <cdr:y>0.67361</cdr:y>
    </cdr:to>
    <cdr:sp>
      <cdr:nvSpPr>
        <cdr:cNvPr id="2" name="矩形 1"/>
        <cdr:cNvSpPr/>
      </cdr:nvSpPr>
      <cdr:spPr xmlns:a="http://schemas.openxmlformats.org/drawingml/2006/main">
        <a:xfrm xmlns:a="http://schemas.openxmlformats.org/drawingml/2006/main">
          <a:off x="3095625" y="1552575"/>
          <a:ext cx="1247775" cy="29527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31</Pages>
  <Words>808</Words>
  <Characters>855</Characters>
  <Lines>36</Lines>
  <Paragraphs>31</Paragraphs>
  <TotalTime>1</TotalTime>
  <ScaleCrop>false</ScaleCrop>
  <LinksUpToDate>false</LinksUpToDate>
  <CharactersWithSpaces>1016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2025-09-08T10:47:00Z</dcterms:created>
  <dc:creator>曹颖</dc:creator>
  <cp:lastModifiedBy>碧海晴天</cp:lastModifiedBy>
  <cp:lastPrinted>2025-08-06T17:34:00Z</cp:lastPrinted>
  <dcterms:modified xsi:type="dcterms:W3CDTF">2025-09-17T03:16:42Z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D75AF1C69CD74BC7BCEA9C536862CFE0_13</vt:lpwstr>
  </property>
  <property fmtid="{D5CDD505-2E9C-101B-9397-08002B2CF9AE}" pid="4" name="KSOTemplateDocerSaveRecord">
    <vt:lpwstr>eyJoZGlkIjoiYTg3Y2MwMTJlMjA4NjM1ZDAwMDdiZmY4MzhiNzRhZjUiLCJ1c2VySWQiOiIyMzY1ODU5MDMifQ==</vt:lpwstr>
  </property>
</Properties>
</file>