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before="93"/>
        <w:outlineLvl w:val="9"/>
        <w:rPr>
          <w:rFonts w:ascii="Times New Roman" w:eastAsia="方正小标宋简体"/>
          <w:kern w:val="2"/>
          <w:sz w:val="72"/>
          <w:szCs w:val="72"/>
        </w:rPr>
      </w:pPr>
      <w:bookmarkStart w:id="0" w:name="_Toc15306267"/>
      <w:bookmarkStart w:id="1" w:name="_Toc15396597"/>
      <w:bookmarkStart w:id="2" w:name="_Toc15377193"/>
      <w:bookmarkStart w:id="3" w:name="_Toc15377425"/>
      <w:bookmarkStart w:id="4" w:name="_Toc15378441"/>
      <w:bookmarkStart w:id="5" w:name="_Toc15396475"/>
    </w:p>
    <w:p>
      <w:pPr>
        <w:pStyle w:val="7"/>
        <w:spacing w:before="93"/>
        <w:rPr>
          <w:rFonts w:ascii="Times New Roman" w:eastAsia="方正小标宋简体"/>
          <w:kern w:val="2"/>
          <w:sz w:val="72"/>
          <w:szCs w:val="72"/>
        </w:rPr>
      </w:pPr>
    </w:p>
    <w:p>
      <w:pPr>
        <w:pStyle w:val="7"/>
        <w:spacing w:before="93"/>
        <w:rPr>
          <w:rFonts w:ascii="Times New Roman" w:eastAsia="方正小标宋简体"/>
          <w:kern w:val="2"/>
          <w:sz w:val="72"/>
          <w:szCs w:val="72"/>
        </w:rPr>
      </w:pPr>
    </w:p>
    <w:p>
      <w:pPr>
        <w:pStyle w:val="7"/>
        <w:spacing w:before="93"/>
        <w:jc w:val="center"/>
        <w:rPr>
          <w:rFonts w:ascii="Times New Roman" w:eastAsia="方正小标宋简体"/>
          <w:kern w:val="2"/>
          <w:sz w:val="44"/>
          <w:szCs w:val="44"/>
        </w:r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年度理县人民法院</w:t>
      </w:r>
      <w:r>
        <w:rPr>
          <w:rFonts w:hint="eastAsia" w:ascii="Times New Roman" w:eastAsia="方正小标宋简体"/>
          <w:kern w:val="2"/>
          <w:sz w:val="44"/>
          <w:szCs w:val="44"/>
          <w:lang w:val="en-US" w:eastAsia="zh-CN"/>
        </w:rPr>
        <w:t>部门</w:t>
      </w:r>
      <w:r>
        <w:rPr>
          <w:rFonts w:hint="eastAsia" w:ascii="Times New Roman" w:eastAsia="方正小标宋简体"/>
          <w:kern w:val="2"/>
          <w:sz w:val="44"/>
          <w:szCs w:val="44"/>
        </w:rPr>
        <w:t>决算</w:t>
      </w:r>
    </w:p>
    <w:p>
      <w:pPr>
        <w:pStyle w:val="7"/>
        <w:spacing w:before="93"/>
        <w:jc w:val="center"/>
        <w:rPr>
          <w:rFonts w:ascii="Times New Roman" w:eastAsia="方正小标宋简体"/>
          <w:kern w:val="2"/>
          <w:sz w:val="44"/>
          <w:szCs w:val="44"/>
        </w:rPr>
      </w:pPr>
      <w:r>
        <w:rPr>
          <w:rFonts w:hint="eastAsia" w:ascii="Times New Roman" w:eastAsia="方正小标宋简体"/>
          <w:kern w:val="2"/>
          <w:sz w:val="44"/>
          <w:szCs w:val="44"/>
        </w:rPr>
        <w:t>公 开</w:t>
      </w:r>
    </w:p>
    <w:p>
      <w:pPr>
        <w:spacing w:line="600" w:lineRule="exact"/>
        <w:jc w:val="center"/>
        <w:rPr>
          <w:rFonts w:eastAsia="方正小标宋简体"/>
          <w:sz w:val="72"/>
          <w:szCs w:val="72"/>
        </w:rPr>
      </w:pPr>
    </w:p>
    <w:p>
      <w:pPr>
        <w:pStyle w:val="22"/>
        <w:outlineLvl w:val="9"/>
        <w:rPr>
          <w:rFonts w:ascii="Times New Roman" w:hAnsi="Times New Roman"/>
        </w:rPr>
      </w:pPr>
    </w:p>
    <w:p/>
    <w:p/>
    <w:p/>
    <w:p/>
    <w:p/>
    <w:p/>
    <w:p/>
    <w:p/>
    <w:p/>
    <w:p/>
    <w:p/>
    <w:p/>
    <w:p/>
    <w:p/>
    <w:p/>
    <w:p/>
    <w:p/>
    <w:p>
      <w:pPr>
        <w:pStyle w:val="16"/>
        <w:adjustRightInd w:val="0"/>
        <w:snapToGrid w:val="0"/>
        <w:spacing w:line="560" w:lineRule="exact"/>
        <w:ind w:left="0" w:leftChars="0" w:firstLine="640" w:firstLineChars="200"/>
        <w:jc w:val="left"/>
        <w:rPr>
          <w:rFonts w:eastAsia="仿宋_GB2312" w:cs="仿宋_GB2312"/>
          <w:sz w:val="32"/>
          <w:szCs w:val="32"/>
        </w:rPr>
      </w:pPr>
    </w:p>
    <w:p>
      <w:pPr>
        <w:pStyle w:val="16"/>
        <w:adjustRightInd w:val="0"/>
        <w:snapToGrid w:val="0"/>
        <w:spacing w:line="560" w:lineRule="exact"/>
        <w:ind w:left="0" w:leftChars="0" w:firstLine="640" w:firstLineChars="200"/>
        <w:jc w:val="right"/>
        <w:rPr>
          <w:rFonts w:eastAsia="仿宋_GB2312" w:cs="仿宋_GB2312"/>
          <w:sz w:val="32"/>
          <w:szCs w:val="32"/>
        </w:rPr>
      </w:pPr>
      <w:r>
        <w:rPr>
          <w:rFonts w:hint="eastAsia" w:eastAsia="仿宋_GB2312" w:cs="仿宋_GB2312"/>
          <w:sz w:val="32"/>
          <w:szCs w:val="32"/>
        </w:rPr>
        <w:t xml:space="preserve">  </w:t>
      </w:r>
    </w:p>
    <w:p>
      <w:pPr>
        <w:pStyle w:val="16"/>
        <w:adjustRightInd w:val="0"/>
        <w:snapToGrid w:val="0"/>
        <w:spacing w:line="560" w:lineRule="exact"/>
        <w:ind w:left="0" w:leftChars="0" w:firstLine="640" w:firstLineChars="200"/>
        <w:jc w:val="center"/>
        <w:rPr>
          <w:rFonts w:eastAsia="仿宋_GB2312" w:cs="仿宋_GB2312"/>
          <w:sz w:val="32"/>
          <w:szCs w:val="32"/>
        </w:rPr>
        <w:sectPr>
          <w:headerReference r:id="rId3" w:type="default"/>
          <w:footerReference r:id="rId5" w:type="default"/>
          <w:headerReference r:id="rId4" w:type="even"/>
          <w:footerReference r:id="rId6" w:type="even"/>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425" w:num="1"/>
          <w:titlePg/>
          <w:docGrid w:type="lines" w:linePitch="312" w:charSpace="0"/>
        </w:sectPr>
      </w:pPr>
      <w:r>
        <w:rPr>
          <w:rFonts w:hint="eastAsia" w:eastAsia="仿宋_GB2312" w:cs="仿宋_GB2312"/>
          <w:sz w:val="32"/>
          <w:szCs w:val="32"/>
        </w:rPr>
        <w:t xml:space="preserve">         </w:t>
      </w:r>
    </w:p>
    <w:bookmarkEnd w:id="0"/>
    <w:bookmarkEnd w:id="1"/>
    <w:bookmarkEnd w:id="2"/>
    <w:bookmarkEnd w:id="3"/>
    <w:bookmarkEnd w:id="4"/>
    <w:bookmarkEnd w:id="5"/>
    <w:p>
      <w:pPr>
        <w:pStyle w:val="7"/>
        <w:spacing w:before="93"/>
        <w:jc w:val="center"/>
        <w:rPr>
          <w:rFonts w:eastAsia="黑体"/>
          <w:sz w:val="48"/>
          <w:szCs w:val="48"/>
        </w:rPr>
      </w:pPr>
      <w:bookmarkStart w:id="6" w:name="_Toc15377426"/>
      <w:bookmarkStart w:id="7" w:name="_Toc15396598"/>
      <w:bookmarkStart w:id="8" w:name="_Toc15378442"/>
      <w:bookmarkStart w:id="9" w:name="_Toc15377194"/>
      <w:bookmarkStart w:id="10" w:name="_Toc15396476"/>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bookmarkStart w:id="11" w:name="_Toc15306268"/>
      <w:r>
        <w:rPr>
          <w:rFonts w:hint="eastAsia" w:ascii="Times New Roman" w:eastAsia="方正小标宋简体"/>
          <w:kern w:val="2"/>
          <w:sz w:val="44"/>
          <w:szCs w:val="44"/>
        </w:rPr>
        <w:t>理县人民法院部门决算</w:t>
      </w:r>
      <w:bookmarkEnd w:id="6"/>
      <w:bookmarkEnd w:id="7"/>
      <w:bookmarkEnd w:id="8"/>
      <w:bookmarkEnd w:id="9"/>
      <w:bookmarkEnd w:id="10"/>
      <w:bookmarkEnd w:id="11"/>
    </w:p>
    <w:p>
      <w:pPr>
        <w:pStyle w:val="14"/>
        <w:rPr>
          <w:rFonts w:eastAsia="黑体"/>
          <w:sz w:val="48"/>
          <w:szCs w:val="48"/>
        </w:rPr>
      </w:pPr>
      <w:r>
        <w:rPr>
          <w:rFonts w:hint="eastAsia" w:eastAsia="黑体"/>
          <w:sz w:val="48"/>
          <w:szCs w:val="48"/>
        </w:rPr>
        <w:t>目 录</w:t>
      </w:r>
    </w:p>
    <w:p>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年9月1</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日</w:t>
      </w:r>
    </w:p>
    <w:p>
      <w:pPr>
        <w:pStyle w:val="14"/>
        <w:rPr>
          <w:rFonts w:ascii="Times New Roman" w:hAnsi="Times New Roman" w:eastAsia="仿宋_GB2312" w:cs="仿宋_GB2312"/>
          <w:sz w:val="32"/>
          <w:szCs w:val="32"/>
        </w:rPr>
      </w:pPr>
    </w:p>
    <w:sdt>
      <w:sdtPr>
        <w:rPr>
          <w:rFonts w:ascii="宋体" w:hAnsi="宋体" w:eastAsia="宋体" w:cs="Times New Roman"/>
          <w:kern w:val="2"/>
          <w:sz w:val="21"/>
          <w:szCs w:val="24"/>
          <w:lang w:val="en-US" w:eastAsia="zh-CN" w:bidi="ar-SA"/>
        </w:rPr>
        <w:id w:val="147453326"/>
        <w15:color w:val="DBDBDB"/>
        <w:docPartObj>
          <w:docPartGallery w:val="Table of Contents"/>
          <w:docPartUnique/>
        </w:docPartObj>
      </w:sdtPr>
      <w:sdtEndPr>
        <w:rPr>
          <w:rFonts w:ascii="Times New Roman" w:hAnsi="Times New Roman"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p>
        <w:p>
          <w:pPr>
            <w:pStyle w:val="14"/>
            <w:tabs>
              <w:tab w:val="right" w:leader="dot" w:pos="8306"/>
              <w:tab w:val="clear" w:pos="8296"/>
            </w:tabs>
          </w:pPr>
          <w:r>
            <w:fldChar w:fldCharType="begin"/>
          </w:r>
          <w:r>
            <w:instrText xml:space="preserve">TOC \o "1-3" \h \u </w:instrText>
          </w:r>
          <w:r>
            <w:fldChar w:fldCharType="separate"/>
          </w:r>
          <w:r>
            <w:fldChar w:fldCharType="begin"/>
          </w:r>
          <w:r>
            <w:instrText xml:space="preserve"> HYPERLINK \l _Toc8749 </w:instrText>
          </w:r>
          <w:r>
            <w:fldChar w:fldCharType="separate"/>
          </w:r>
          <w:r>
            <w:rPr>
              <w:rFonts w:hint="eastAsia" w:eastAsia="方正小标宋简体" w:cs="方正小标宋简体"/>
            </w:rPr>
            <w:t xml:space="preserve">第一部分  </w:t>
          </w:r>
          <w:r>
            <w:rPr>
              <w:rFonts w:hint="eastAsia" w:eastAsia="方正小标宋简体" w:cs="方正小标宋简体"/>
              <w:bCs w:val="0"/>
            </w:rPr>
            <w:t>部门概况</w:t>
          </w:r>
          <w:r>
            <w:tab/>
          </w:r>
          <w:r>
            <w:fldChar w:fldCharType="begin"/>
          </w:r>
          <w:r>
            <w:instrText xml:space="preserve"> PAGEREF _Toc8749 \h </w:instrText>
          </w:r>
          <w:r>
            <w:fldChar w:fldCharType="separate"/>
          </w:r>
          <w:r>
            <w:t>- 1 -</w:t>
          </w:r>
          <w:r>
            <w:fldChar w:fldCharType="end"/>
          </w:r>
          <w:r>
            <w:fldChar w:fldCharType="end"/>
          </w:r>
        </w:p>
        <w:p>
          <w:pPr>
            <w:pStyle w:val="16"/>
            <w:tabs>
              <w:tab w:val="right" w:leader="dot" w:pos="8306"/>
              <w:tab w:val="clear" w:pos="8296"/>
            </w:tabs>
          </w:pPr>
          <w:r>
            <w:fldChar w:fldCharType="begin"/>
          </w:r>
          <w:r>
            <w:instrText xml:space="preserve"> HYPERLINK \l _Toc25374 </w:instrText>
          </w:r>
          <w:r>
            <w:fldChar w:fldCharType="separate"/>
          </w:r>
          <w:r>
            <w:rPr>
              <w:rFonts w:hint="eastAsia" w:ascii="Times New Roman" w:hAnsi="Times New Roman" w:eastAsia="黑体"/>
            </w:rPr>
            <w:t>一、 部门职责</w:t>
          </w:r>
          <w:r>
            <w:tab/>
          </w:r>
          <w:r>
            <w:fldChar w:fldCharType="begin"/>
          </w:r>
          <w:r>
            <w:instrText xml:space="preserve"> PAGEREF _Toc25374 \h </w:instrText>
          </w:r>
          <w:r>
            <w:fldChar w:fldCharType="separate"/>
          </w:r>
          <w:r>
            <w:t>- 1 -</w:t>
          </w:r>
          <w:r>
            <w:fldChar w:fldCharType="end"/>
          </w:r>
          <w:r>
            <w:fldChar w:fldCharType="end"/>
          </w:r>
        </w:p>
        <w:p>
          <w:pPr>
            <w:pStyle w:val="10"/>
            <w:tabs>
              <w:tab w:val="right" w:leader="dot" w:pos="8306"/>
              <w:tab w:val="clear" w:pos="8296"/>
            </w:tabs>
          </w:pPr>
        </w:p>
        <w:p>
          <w:pPr>
            <w:pStyle w:val="16"/>
            <w:tabs>
              <w:tab w:val="right" w:leader="dot" w:pos="8306"/>
              <w:tab w:val="clear" w:pos="8296"/>
            </w:tabs>
          </w:pPr>
          <w:r>
            <w:fldChar w:fldCharType="begin"/>
          </w:r>
          <w:r>
            <w:instrText xml:space="preserve"> HYPERLINK \l _Toc7166 </w:instrText>
          </w:r>
          <w:r>
            <w:fldChar w:fldCharType="separate"/>
          </w:r>
          <w:r>
            <w:rPr>
              <w:rFonts w:hint="eastAsia" w:ascii="Times New Roman" w:hAnsi="Times New Roman" w:eastAsia="黑体"/>
            </w:rPr>
            <w:t>二、机</w:t>
          </w:r>
          <w:r>
            <w:rPr>
              <w:rFonts w:hint="eastAsia" w:ascii="Times New Roman" w:hAnsi="Times New Roman" w:eastAsia="黑体"/>
              <w:bCs w:val="0"/>
            </w:rPr>
            <w:t>构设置</w:t>
          </w:r>
          <w:r>
            <w:tab/>
          </w:r>
          <w:r>
            <w:fldChar w:fldCharType="begin"/>
          </w:r>
          <w:r>
            <w:instrText xml:space="preserve"> PAGEREF _Toc7166 \h </w:instrText>
          </w:r>
          <w:r>
            <w:fldChar w:fldCharType="separate"/>
          </w:r>
          <w:r>
            <w:t>- 2 -</w:t>
          </w:r>
          <w:r>
            <w:fldChar w:fldCharType="end"/>
          </w:r>
          <w:r>
            <w:fldChar w:fldCharType="end"/>
          </w:r>
        </w:p>
        <w:p>
          <w:pPr>
            <w:pStyle w:val="14"/>
            <w:tabs>
              <w:tab w:val="right" w:leader="dot" w:pos="8306"/>
              <w:tab w:val="clear" w:pos="8296"/>
            </w:tabs>
          </w:pPr>
          <w:r>
            <w:fldChar w:fldCharType="begin"/>
          </w:r>
          <w:r>
            <w:instrText xml:space="preserve"> HYPERLINK \l _Toc9328 </w:instrText>
          </w:r>
          <w:r>
            <w:fldChar w:fldCharType="separate"/>
          </w:r>
          <w:r>
            <w:rPr>
              <w:rFonts w:hint="eastAsia" w:eastAsia="方正小标宋简体" w:cs="方正小标宋简体"/>
            </w:rPr>
            <w:t>第二部分  202</w:t>
          </w:r>
          <w:r>
            <w:rPr>
              <w:rFonts w:hint="eastAsia" w:eastAsia="方正小标宋简体" w:cs="方正小标宋简体"/>
              <w:lang w:val="en-US" w:eastAsia="zh-CN"/>
            </w:rPr>
            <w:t>5</w:t>
          </w:r>
          <w:r>
            <w:rPr>
              <w:rFonts w:hint="eastAsia" w:eastAsia="方正小标宋简体" w:cs="方正小标宋简体"/>
            </w:rPr>
            <w:t>年度部门决算情况说明</w:t>
          </w:r>
          <w:r>
            <w:tab/>
          </w:r>
          <w:r>
            <w:fldChar w:fldCharType="begin"/>
          </w:r>
          <w:r>
            <w:instrText xml:space="preserve"> PAGEREF _Toc9328 \h </w:instrText>
          </w:r>
          <w:r>
            <w:fldChar w:fldCharType="separate"/>
          </w:r>
          <w:r>
            <w:t>- 3 -</w:t>
          </w:r>
          <w:r>
            <w:fldChar w:fldCharType="end"/>
          </w:r>
          <w:r>
            <w:fldChar w:fldCharType="end"/>
          </w:r>
        </w:p>
        <w:p>
          <w:pPr>
            <w:pStyle w:val="16"/>
            <w:tabs>
              <w:tab w:val="right" w:leader="dot" w:pos="8306"/>
              <w:tab w:val="clear" w:pos="8296"/>
            </w:tabs>
          </w:pPr>
          <w:r>
            <w:fldChar w:fldCharType="begin"/>
          </w:r>
          <w:r>
            <w:instrText xml:space="preserve"> HYPERLINK \l _Toc25327 </w:instrText>
          </w:r>
          <w:r>
            <w:fldChar w:fldCharType="separate"/>
          </w:r>
          <w:r>
            <w:rPr>
              <w:rFonts w:hint="eastAsia" w:eastAsia="黑体"/>
              <w:szCs w:val="32"/>
            </w:rPr>
            <w:t>一、收</w:t>
          </w:r>
          <w:r>
            <w:rPr>
              <w:rFonts w:hint="eastAsia" w:ascii="Times New Roman" w:hAnsi="Times New Roman" w:eastAsia="黑体"/>
            </w:rPr>
            <w:t>入支出决算总体情况说明</w:t>
          </w:r>
          <w:r>
            <w:tab/>
          </w:r>
          <w:r>
            <w:fldChar w:fldCharType="begin"/>
          </w:r>
          <w:r>
            <w:instrText xml:space="preserve"> PAGEREF _Toc25327 \h </w:instrText>
          </w:r>
          <w:r>
            <w:fldChar w:fldCharType="separate"/>
          </w:r>
          <w:r>
            <w:t>- 3 -</w:t>
          </w:r>
          <w:r>
            <w:fldChar w:fldCharType="end"/>
          </w:r>
          <w:r>
            <w:fldChar w:fldCharType="end"/>
          </w:r>
        </w:p>
        <w:p>
          <w:pPr>
            <w:pStyle w:val="16"/>
            <w:tabs>
              <w:tab w:val="right" w:leader="dot" w:pos="8306"/>
              <w:tab w:val="clear" w:pos="8296"/>
            </w:tabs>
          </w:pPr>
          <w:r>
            <w:fldChar w:fldCharType="begin"/>
          </w:r>
          <w:r>
            <w:instrText xml:space="preserve"> HYPERLINK \l _Toc24672 </w:instrText>
          </w:r>
          <w:r>
            <w:fldChar w:fldCharType="separate"/>
          </w:r>
          <w:r>
            <w:rPr>
              <w:rFonts w:hint="eastAsia" w:eastAsia="黑体"/>
              <w:szCs w:val="32"/>
            </w:rPr>
            <w:t>二、收入决算情况说明</w:t>
          </w:r>
          <w:r>
            <w:tab/>
          </w:r>
          <w:r>
            <w:fldChar w:fldCharType="begin"/>
          </w:r>
          <w:r>
            <w:instrText xml:space="preserve"> PAGEREF _Toc24672 \h </w:instrText>
          </w:r>
          <w:r>
            <w:fldChar w:fldCharType="separate"/>
          </w:r>
          <w:r>
            <w:t>- 3 -</w:t>
          </w:r>
          <w:r>
            <w:fldChar w:fldCharType="end"/>
          </w:r>
          <w:r>
            <w:fldChar w:fldCharType="end"/>
          </w:r>
        </w:p>
        <w:p>
          <w:pPr>
            <w:pStyle w:val="16"/>
            <w:tabs>
              <w:tab w:val="right" w:leader="dot" w:pos="8306"/>
              <w:tab w:val="clear" w:pos="8296"/>
            </w:tabs>
          </w:pPr>
          <w:r>
            <w:fldChar w:fldCharType="begin"/>
          </w:r>
          <w:r>
            <w:instrText xml:space="preserve"> HYPERLINK \l _Toc15342 </w:instrText>
          </w:r>
          <w:r>
            <w:fldChar w:fldCharType="separate"/>
          </w:r>
          <w:r>
            <w:rPr>
              <w:rFonts w:hint="eastAsia" w:eastAsia="黑体"/>
              <w:szCs w:val="32"/>
            </w:rPr>
            <w:t>三、支</w:t>
          </w:r>
          <w:r>
            <w:rPr>
              <w:rFonts w:hint="eastAsia" w:ascii="Times New Roman" w:hAnsi="Times New Roman" w:eastAsia="黑体"/>
            </w:rPr>
            <w:t>出决算情况说明</w:t>
          </w:r>
          <w:r>
            <w:tab/>
          </w:r>
          <w:r>
            <w:fldChar w:fldCharType="begin"/>
          </w:r>
          <w:r>
            <w:instrText xml:space="preserve"> PAGEREF _Toc15342 \h </w:instrText>
          </w:r>
          <w:r>
            <w:fldChar w:fldCharType="separate"/>
          </w:r>
          <w:r>
            <w:t>- 4 -</w:t>
          </w:r>
          <w:r>
            <w:fldChar w:fldCharType="end"/>
          </w:r>
          <w:r>
            <w:fldChar w:fldCharType="end"/>
          </w:r>
        </w:p>
        <w:p>
          <w:pPr>
            <w:pStyle w:val="16"/>
            <w:tabs>
              <w:tab w:val="right" w:leader="dot" w:pos="8306"/>
              <w:tab w:val="clear" w:pos="8296"/>
            </w:tabs>
          </w:pPr>
          <w:r>
            <w:fldChar w:fldCharType="begin"/>
          </w:r>
          <w:r>
            <w:instrText xml:space="preserve"> HYPERLINK \l _Toc29075 </w:instrText>
          </w:r>
          <w:r>
            <w:fldChar w:fldCharType="separate"/>
          </w:r>
          <w:r>
            <w:rPr>
              <w:rFonts w:hint="eastAsia" w:eastAsia="黑体"/>
              <w:szCs w:val="32"/>
            </w:rPr>
            <w:t>四、财</w:t>
          </w:r>
          <w:r>
            <w:rPr>
              <w:rFonts w:hint="eastAsia" w:ascii="Times New Roman" w:hAnsi="Times New Roman" w:eastAsia="黑体"/>
            </w:rPr>
            <w:t>政拨款收入支出决算总体情况说明</w:t>
          </w:r>
          <w:r>
            <w:tab/>
          </w:r>
          <w:r>
            <w:fldChar w:fldCharType="begin"/>
          </w:r>
          <w:r>
            <w:instrText xml:space="preserve"> PAGEREF _Toc29075 \h </w:instrText>
          </w:r>
          <w:r>
            <w:fldChar w:fldCharType="separate"/>
          </w:r>
          <w:r>
            <w:t>- 4 -</w:t>
          </w:r>
          <w:r>
            <w:fldChar w:fldCharType="end"/>
          </w:r>
          <w:r>
            <w:fldChar w:fldCharType="end"/>
          </w:r>
        </w:p>
        <w:p>
          <w:pPr>
            <w:pStyle w:val="16"/>
            <w:tabs>
              <w:tab w:val="right" w:leader="dot" w:pos="8306"/>
              <w:tab w:val="clear" w:pos="8296"/>
            </w:tabs>
          </w:pPr>
          <w:r>
            <w:fldChar w:fldCharType="begin"/>
          </w:r>
          <w:r>
            <w:instrText xml:space="preserve"> HYPERLINK \l _Toc27624 </w:instrText>
          </w:r>
          <w:r>
            <w:fldChar w:fldCharType="separate"/>
          </w:r>
          <w:r>
            <w:rPr>
              <w:rFonts w:hint="eastAsia" w:eastAsia="黑体"/>
              <w:szCs w:val="32"/>
            </w:rPr>
            <w:t>五、一</w:t>
          </w:r>
          <w:r>
            <w:rPr>
              <w:rFonts w:hint="eastAsia" w:ascii="Times New Roman" w:hAnsi="Times New Roman" w:eastAsia="黑体"/>
            </w:rPr>
            <w:t>般公共预算财政拨款支出决算情况说明</w:t>
          </w:r>
          <w:r>
            <w:tab/>
          </w:r>
          <w:r>
            <w:fldChar w:fldCharType="begin"/>
          </w:r>
          <w:r>
            <w:instrText xml:space="preserve"> PAGEREF _Toc27624 \h </w:instrText>
          </w:r>
          <w:r>
            <w:fldChar w:fldCharType="separate"/>
          </w:r>
          <w:r>
            <w:t>- 5 -</w:t>
          </w:r>
          <w:r>
            <w:fldChar w:fldCharType="end"/>
          </w:r>
          <w:r>
            <w:fldChar w:fldCharType="end"/>
          </w:r>
        </w:p>
        <w:p>
          <w:pPr>
            <w:pStyle w:val="10"/>
            <w:tabs>
              <w:tab w:val="right" w:leader="dot" w:pos="8306"/>
              <w:tab w:val="clear" w:pos="8296"/>
            </w:tabs>
          </w:pPr>
          <w:r>
            <w:fldChar w:fldCharType="begin"/>
          </w:r>
          <w:r>
            <w:instrText xml:space="preserve"> HYPERLINK \l _Toc3730 </w:instrText>
          </w:r>
          <w:r>
            <w:fldChar w:fldCharType="separate"/>
          </w:r>
          <w:r>
            <w:rPr>
              <w:rFonts w:hint="eastAsia" w:eastAsia="楷体_GB2312" w:cs="楷体_GB2312"/>
              <w:szCs w:val="32"/>
            </w:rPr>
            <w:t>（一）一般公共预算财政拨款支出决算总体情况</w:t>
          </w:r>
          <w:r>
            <w:tab/>
          </w:r>
          <w:r>
            <w:fldChar w:fldCharType="begin"/>
          </w:r>
          <w:r>
            <w:instrText xml:space="preserve"> PAGEREF _Toc3730 \h </w:instrText>
          </w:r>
          <w:r>
            <w:fldChar w:fldCharType="separate"/>
          </w:r>
          <w:r>
            <w:t>- 5 -</w:t>
          </w:r>
          <w:r>
            <w:fldChar w:fldCharType="end"/>
          </w:r>
          <w:r>
            <w:fldChar w:fldCharType="end"/>
          </w:r>
        </w:p>
        <w:p>
          <w:pPr>
            <w:pStyle w:val="10"/>
            <w:tabs>
              <w:tab w:val="right" w:leader="dot" w:pos="8306"/>
              <w:tab w:val="clear" w:pos="8296"/>
            </w:tabs>
          </w:pPr>
          <w:r>
            <w:fldChar w:fldCharType="begin"/>
          </w:r>
          <w:r>
            <w:instrText xml:space="preserve"> HYPERLINK \l _Toc1862 </w:instrText>
          </w:r>
          <w:r>
            <w:fldChar w:fldCharType="separate"/>
          </w:r>
          <w:r>
            <w:rPr>
              <w:rFonts w:hint="eastAsia" w:eastAsia="楷体_GB2312" w:cs="楷体_GB2312"/>
              <w:szCs w:val="32"/>
            </w:rPr>
            <w:t>（二）一般公共预算财政拨款支出决算结构情况</w:t>
          </w:r>
          <w:r>
            <w:tab/>
          </w:r>
          <w:r>
            <w:fldChar w:fldCharType="begin"/>
          </w:r>
          <w:r>
            <w:instrText xml:space="preserve"> PAGEREF _Toc1862 \h </w:instrText>
          </w:r>
          <w:r>
            <w:fldChar w:fldCharType="separate"/>
          </w:r>
          <w:r>
            <w:t>- 6 -</w:t>
          </w:r>
          <w:r>
            <w:fldChar w:fldCharType="end"/>
          </w:r>
          <w:r>
            <w:fldChar w:fldCharType="end"/>
          </w:r>
        </w:p>
        <w:p>
          <w:pPr>
            <w:pStyle w:val="10"/>
            <w:tabs>
              <w:tab w:val="right" w:leader="dot" w:pos="8306"/>
              <w:tab w:val="clear" w:pos="8296"/>
            </w:tabs>
          </w:pPr>
          <w:r>
            <w:fldChar w:fldCharType="begin"/>
          </w:r>
          <w:r>
            <w:instrText xml:space="preserve"> HYPERLINK \l _Toc31232 </w:instrText>
          </w:r>
          <w:r>
            <w:fldChar w:fldCharType="separate"/>
          </w:r>
          <w:r>
            <w:rPr>
              <w:rFonts w:hint="eastAsia" w:eastAsia="楷体_GB2312" w:cs="楷体_GB2312"/>
              <w:szCs w:val="32"/>
            </w:rPr>
            <w:t>（三）一般公共预算财政拨款支出决算具体情况</w:t>
          </w:r>
          <w:r>
            <w:tab/>
          </w:r>
          <w:r>
            <w:fldChar w:fldCharType="begin"/>
          </w:r>
          <w:r>
            <w:instrText xml:space="preserve"> PAGEREF _Toc31232 \h </w:instrText>
          </w:r>
          <w:r>
            <w:fldChar w:fldCharType="separate"/>
          </w:r>
          <w:r>
            <w:t>- 6 -</w:t>
          </w:r>
          <w:r>
            <w:fldChar w:fldCharType="end"/>
          </w:r>
          <w:r>
            <w:fldChar w:fldCharType="end"/>
          </w:r>
        </w:p>
        <w:p>
          <w:pPr>
            <w:pStyle w:val="16"/>
            <w:tabs>
              <w:tab w:val="right" w:leader="dot" w:pos="8306"/>
              <w:tab w:val="clear" w:pos="8296"/>
            </w:tabs>
          </w:pPr>
          <w:r>
            <w:fldChar w:fldCharType="begin"/>
          </w:r>
          <w:r>
            <w:instrText xml:space="preserve"> HYPERLINK \l _Toc20093 </w:instrText>
          </w:r>
          <w:r>
            <w:fldChar w:fldCharType="separate"/>
          </w:r>
          <w:r>
            <w:rPr>
              <w:rFonts w:hint="eastAsia" w:eastAsia="黑体"/>
              <w:szCs w:val="32"/>
            </w:rPr>
            <w:t>六、一</w:t>
          </w:r>
          <w:r>
            <w:rPr>
              <w:rFonts w:hint="eastAsia" w:ascii="Times New Roman" w:hAnsi="Times New Roman" w:eastAsia="黑体"/>
            </w:rPr>
            <w:t>般公共预算财政拨款基本支出决算情况说明</w:t>
          </w:r>
          <w:r>
            <w:tab/>
          </w:r>
          <w:r>
            <w:fldChar w:fldCharType="begin"/>
          </w:r>
          <w:r>
            <w:instrText xml:space="preserve"> PAGEREF _Toc20093 \h </w:instrText>
          </w:r>
          <w:r>
            <w:fldChar w:fldCharType="separate"/>
          </w:r>
          <w:r>
            <w:t>- 7 -</w:t>
          </w:r>
          <w:r>
            <w:fldChar w:fldCharType="end"/>
          </w:r>
          <w:r>
            <w:fldChar w:fldCharType="end"/>
          </w:r>
        </w:p>
        <w:p>
          <w:pPr>
            <w:pStyle w:val="16"/>
            <w:tabs>
              <w:tab w:val="right" w:leader="dot" w:pos="8306"/>
              <w:tab w:val="clear" w:pos="8296"/>
            </w:tabs>
          </w:pPr>
          <w:r>
            <w:fldChar w:fldCharType="begin"/>
          </w:r>
          <w:r>
            <w:instrText xml:space="preserve"> HYPERLINK \l _Toc16759 </w:instrText>
          </w:r>
          <w:r>
            <w:fldChar w:fldCharType="separate"/>
          </w:r>
          <w:r>
            <w:rPr>
              <w:rFonts w:hint="eastAsia" w:eastAsia="黑体"/>
              <w:szCs w:val="32"/>
            </w:rPr>
            <w:t>七、</w:t>
          </w:r>
          <w:r>
            <w:rPr>
              <w:rFonts w:hint="eastAsia" w:ascii="Times New Roman" w:hAnsi="Times New Roman" w:eastAsia="黑体"/>
            </w:rPr>
            <w:t>财政拨款“三公”经费支出决算情况说明</w:t>
          </w:r>
          <w:r>
            <w:tab/>
          </w:r>
          <w:r>
            <w:fldChar w:fldCharType="begin"/>
          </w:r>
          <w:r>
            <w:instrText xml:space="preserve"> PAGEREF _Toc16759 \h </w:instrText>
          </w:r>
          <w:r>
            <w:fldChar w:fldCharType="separate"/>
          </w:r>
          <w:r>
            <w:t>- 7 -</w:t>
          </w:r>
          <w:r>
            <w:fldChar w:fldCharType="end"/>
          </w:r>
          <w:r>
            <w:fldChar w:fldCharType="end"/>
          </w:r>
        </w:p>
        <w:p>
          <w:pPr>
            <w:pStyle w:val="10"/>
            <w:tabs>
              <w:tab w:val="right" w:leader="dot" w:pos="8306"/>
              <w:tab w:val="clear" w:pos="8296"/>
            </w:tabs>
          </w:pPr>
          <w:r>
            <w:fldChar w:fldCharType="begin"/>
          </w:r>
          <w:r>
            <w:instrText xml:space="preserve"> HYPERLINK \l _Toc29676 </w:instrText>
          </w:r>
          <w:r>
            <w:fldChar w:fldCharType="separate"/>
          </w:r>
          <w:r>
            <w:rPr>
              <w:rFonts w:hint="eastAsia" w:eastAsia="楷体_GB2312" w:cs="楷体_GB2312"/>
              <w:szCs w:val="32"/>
            </w:rPr>
            <w:t>（一）“三公”经费财政拨款支出决算总体情况说明</w:t>
          </w:r>
          <w:r>
            <w:tab/>
          </w:r>
          <w:r>
            <w:fldChar w:fldCharType="begin"/>
          </w:r>
          <w:r>
            <w:instrText xml:space="preserve"> PAGEREF _Toc29676 \h </w:instrText>
          </w:r>
          <w:r>
            <w:fldChar w:fldCharType="separate"/>
          </w:r>
          <w:r>
            <w:t>- 7 -</w:t>
          </w:r>
          <w:r>
            <w:fldChar w:fldCharType="end"/>
          </w:r>
          <w:r>
            <w:fldChar w:fldCharType="end"/>
          </w:r>
        </w:p>
        <w:p>
          <w:pPr>
            <w:pStyle w:val="10"/>
            <w:tabs>
              <w:tab w:val="right" w:leader="dot" w:pos="8306"/>
              <w:tab w:val="clear" w:pos="8296"/>
            </w:tabs>
            <w:rPr>
              <w:rFonts w:hint="eastAsia" w:eastAsia="宋体"/>
              <w:lang w:val="en-US" w:eastAsia="zh-CN"/>
            </w:rPr>
          </w:pPr>
          <w:r>
            <w:fldChar w:fldCharType="begin"/>
          </w:r>
          <w:r>
            <w:instrText xml:space="preserve"> HYPERLINK \l _Toc25687 </w:instrText>
          </w:r>
          <w:r>
            <w:fldChar w:fldCharType="separate"/>
          </w:r>
          <w:r>
            <w:rPr>
              <w:rFonts w:hint="eastAsia" w:eastAsia="楷体_GB2312" w:cs="楷体_GB2312"/>
              <w:szCs w:val="32"/>
            </w:rPr>
            <w:t>（二）“三公”经费财政拨款支出决算具体情况说明</w:t>
          </w:r>
          <w:r>
            <w:tab/>
          </w:r>
          <w:r>
            <w:rPr>
              <w:rFonts w:hint="eastAsia"/>
              <w:lang w:val="en-US" w:eastAsia="zh-CN"/>
            </w:rPr>
            <w:t>-8</w:t>
          </w:r>
          <w:r>
            <w:fldChar w:fldCharType="end"/>
          </w:r>
          <w:r>
            <w:rPr>
              <w:rFonts w:hint="eastAsia"/>
              <w:lang w:val="en-US" w:eastAsia="zh-CN"/>
            </w:rPr>
            <w:t xml:space="preserve"> -</w:t>
          </w:r>
        </w:p>
        <w:p>
          <w:pPr>
            <w:pStyle w:val="16"/>
            <w:tabs>
              <w:tab w:val="right" w:leader="dot" w:pos="8306"/>
              <w:tab w:val="clear" w:pos="8296"/>
            </w:tabs>
          </w:pPr>
          <w:r>
            <w:fldChar w:fldCharType="begin"/>
          </w:r>
          <w:r>
            <w:instrText xml:space="preserve"> HYPERLINK \l _Toc15843 </w:instrText>
          </w:r>
          <w:r>
            <w:fldChar w:fldCharType="separate"/>
          </w:r>
          <w:r>
            <w:rPr>
              <w:rFonts w:hint="eastAsia" w:eastAsia="黑体"/>
              <w:szCs w:val="32"/>
            </w:rPr>
            <w:t>八、</w:t>
          </w:r>
          <w:r>
            <w:rPr>
              <w:rFonts w:hint="eastAsia" w:ascii="Times New Roman" w:hAnsi="Times New Roman" w:eastAsia="黑体"/>
            </w:rPr>
            <w:t>政府性基金预算支出决算情况说明</w:t>
          </w:r>
          <w:r>
            <w:tab/>
          </w:r>
          <w:r>
            <w:fldChar w:fldCharType="begin"/>
          </w:r>
          <w:r>
            <w:instrText xml:space="preserve"> PAGEREF _Toc15843 \h </w:instrText>
          </w:r>
          <w:r>
            <w:fldChar w:fldCharType="separate"/>
          </w:r>
          <w:r>
            <w:t>- 8 -</w:t>
          </w:r>
          <w:r>
            <w:fldChar w:fldCharType="end"/>
          </w:r>
          <w:r>
            <w:fldChar w:fldCharType="end"/>
          </w:r>
        </w:p>
        <w:p>
          <w:pPr>
            <w:pStyle w:val="16"/>
            <w:tabs>
              <w:tab w:val="right" w:leader="dot" w:pos="8306"/>
              <w:tab w:val="clear" w:pos="8296"/>
            </w:tabs>
          </w:pPr>
          <w:r>
            <w:fldChar w:fldCharType="begin"/>
          </w:r>
          <w:r>
            <w:instrText xml:space="preserve"> HYPERLINK \l _Toc10816 </w:instrText>
          </w:r>
          <w:r>
            <w:fldChar w:fldCharType="separate"/>
          </w:r>
          <w:r>
            <w:rPr>
              <w:rFonts w:hint="eastAsia" w:ascii="Times New Roman" w:hAnsi="Times New Roman" w:eastAsia="黑体"/>
            </w:rPr>
            <w:t>九、国有资本经营预算支出决算情况说明</w:t>
          </w:r>
          <w:r>
            <w:tab/>
          </w:r>
          <w:r>
            <w:fldChar w:fldCharType="begin"/>
          </w:r>
          <w:r>
            <w:instrText xml:space="preserve"> PAGEREF _Toc10816 \h </w:instrText>
          </w:r>
          <w:r>
            <w:fldChar w:fldCharType="separate"/>
          </w:r>
          <w:r>
            <w:t>- 9 -</w:t>
          </w:r>
          <w:r>
            <w:fldChar w:fldCharType="end"/>
          </w:r>
          <w:r>
            <w:fldChar w:fldCharType="end"/>
          </w:r>
        </w:p>
        <w:p>
          <w:pPr>
            <w:pStyle w:val="16"/>
            <w:tabs>
              <w:tab w:val="right" w:leader="dot" w:pos="8306"/>
              <w:tab w:val="clear" w:pos="8296"/>
            </w:tabs>
          </w:pPr>
          <w:r>
            <w:fldChar w:fldCharType="begin"/>
          </w:r>
          <w:r>
            <w:instrText xml:space="preserve"> HYPERLINK \l _Toc19926 </w:instrText>
          </w:r>
          <w:r>
            <w:fldChar w:fldCharType="separate"/>
          </w:r>
          <w:r>
            <w:rPr>
              <w:rFonts w:hint="eastAsia" w:ascii="Times New Roman" w:hAnsi="Times New Roman" w:eastAsia="黑体"/>
            </w:rPr>
            <w:t>十、其他重要事项的情况说明</w:t>
          </w:r>
          <w:r>
            <w:tab/>
          </w:r>
          <w:r>
            <w:fldChar w:fldCharType="begin"/>
          </w:r>
          <w:r>
            <w:instrText xml:space="preserve"> PAGEREF _Toc19926 \h </w:instrText>
          </w:r>
          <w:r>
            <w:fldChar w:fldCharType="separate"/>
          </w:r>
          <w:r>
            <w:t>- 9 -</w:t>
          </w:r>
          <w:r>
            <w:fldChar w:fldCharType="end"/>
          </w:r>
          <w:r>
            <w:fldChar w:fldCharType="end"/>
          </w:r>
        </w:p>
        <w:p>
          <w:pPr>
            <w:pStyle w:val="10"/>
            <w:tabs>
              <w:tab w:val="right" w:leader="dot" w:pos="8306"/>
              <w:tab w:val="clear" w:pos="8296"/>
            </w:tabs>
          </w:pPr>
          <w:r>
            <w:fldChar w:fldCharType="begin"/>
          </w:r>
          <w:r>
            <w:instrText xml:space="preserve"> HYPERLINK \l _Toc28159 </w:instrText>
          </w:r>
          <w:r>
            <w:fldChar w:fldCharType="separate"/>
          </w:r>
          <w:r>
            <w:rPr>
              <w:rFonts w:hint="eastAsia" w:eastAsia="楷体_GB2312" w:cs="楷体_GB2312"/>
              <w:szCs w:val="32"/>
            </w:rPr>
            <w:t>（一）机关运行经费支出情况</w:t>
          </w:r>
          <w:r>
            <w:tab/>
          </w:r>
          <w:r>
            <w:fldChar w:fldCharType="begin"/>
          </w:r>
          <w:r>
            <w:instrText xml:space="preserve"> PAGEREF _Toc28159 \h </w:instrText>
          </w:r>
          <w:r>
            <w:fldChar w:fldCharType="separate"/>
          </w:r>
          <w:r>
            <w:t>- 10 -</w:t>
          </w:r>
          <w:r>
            <w:fldChar w:fldCharType="end"/>
          </w:r>
          <w:r>
            <w:fldChar w:fldCharType="end"/>
          </w:r>
        </w:p>
        <w:p>
          <w:pPr>
            <w:pStyle w:val="10"/>
            <w:tabs>
              <w:tab w:val="right" w:leader="dot" w:pos="8306"/>
              <w:tab w:val="clear" w:pos="8296"/>
            </w:tabs>
          </w:pPr>
          <w:r>
            <w:fldChar w:fldCharType="begin"/>
          </w:r>
          <w:r>
            <w:instrText xml:space="preserve"> HYPERLINK \l _Toc24052 </w:instrText>
          </w:r>
          <w:r>
            <w:fldChar w:fldCharType="separate"/>
          </w:r>
          <w:r>
            <w:rPr>
              <w:rFonts w:hint="eastAsia" w:eastAsia="楷体_GB2312" w:cs="楷体_GB2312"/>
              <w:szCs w:val="32"/>
            </w:rPr>
            <w:t>（二）政府采购支出情况</w:t>
          </w:r>
          <w:r>
            <w:tab/>
          </w:r>
          <w:r>
            <w:fldChar w:fldCharType="begin"/>
          </w:r>
          <w:r>
            <w:instrText xml:space="preserve"> PAGEREF _Toc24052 \h </w:instrText>
          </w:r>
          <w:r>
            <w:fldChar w:fldCharType="separate"/>
          </w:r>
          <w:r>
            <w:t>- 10 -</w:t>
          </w:r>
          <w:r>
            <w:fldChar w:fldCharType="end"/>
          </w:r>
          <w:r>
            <w:fldChar w:fldCharType="end"/>
          </w:r>
        </w:p>
        <w:p>
          <w:pPr>
            <w:pStyle w:val="10"/>
            <w:tabs>
              <w:tab w:val="right" w:leader="dot" w:pos="8306"/>
              <w:tab w:val="clear" w:pos="8296"/>
            </w:tabs>
          </w:pPr>
          <w:r>
            <w:fldChar w:fldCharType="begin"/>
          </w:r>
          <w:r>
            <w:instrText xml:space="preserve"> HYPERLINK \l _Toc2357 </w:instrText>
          </w:r>
          <w:r>
            <w:fldChar w:fldCharType="separate"/>
          </w:r>
          <w:r>
            <w:rPr>
              <w:rFonts w:hint="eastAsia" w:eastAsia="楷体_GB2312" w:cs="楷体_GB2312"/>
              <w:szCs w:val="32"/>
            </w:rPr>
            <w:t>（三）国有资产占有使用情况</w:t>
          </w:r>
          <w:r>
            <w:tab/>
          </w:r>
          <w:r>
            <w:fldChar w:fldCharType="begin"/>
          </w:r>
          <w:r>
            <w:instrText xml:space="preserve"> PAGEREF _Toc2357 \h </w:instrText>
          </w:r>
          <w:r>
            <w:fldChar w:fldCharType="separate"/>
          </w:r>
          <w:r>
            <w:t>- 10 -</w:t>
          </w:r>
          <w:r>
            <w:fldChar w:fldCharType="end"/>
          </w:r>
          <w:r>
            <w:fldChar w:fldCharType="end"/>
          </w:r>
        </w:p>
        <w:p>
          <w:pPr>
            <w:pStyle w:val="10"/>
            <w:tabs>
              <w:tab w:val="right" w:leader="dot" w:pos="8306"/>
              <w:tab w:val="clear" w:pos="8296"/>
            </w:tabs>
          </w:pPr>
          <w:r>
            <w:fldChar w:fldCharType="begin"/>
          </w:r>
          <w:r>
            <w:instrText xml:space="preserve"> HYPERLINK \l _Toc4292 </w:instrText>
          </w:r>
          <w:r>
            <w:fldChar w:fldCharType="separate"/>
          </w:r>
          <w:r>
            <w:rPr>
              <w:rFonts w:hint="eastAsia" w:eastAsia="楷体_GB2312" w:cs="楷体_GB2312"/>
              <w:szCs w:val="32"/>
            </w:rPr>
            <w:t>（四）预算绩效管理情况</w:t>
          </w:r>
          <w:r>
            <w:tab/>
          </w:r>
          <w:r>
            <w:fldChar w:fldCharType="begin"/>
          </w:r>
          <w:r>
            <w:instrText xml:space="preserve"> PAGEREF _Toc4292 \h </w:instrText>
          </w:r>
          <w:r>
            <w:fldChar w:fldCharType="separate"/>
          </w:r>
          <w:r>
            <w:t>- 10 -</w:t>
          </w:r>
          <w:r>
            <w:fldChar w:fldCharType="end"/>
          </w:r>
          <w:r>
            <w:fldChar w:fldCharType="end"/>
          </w:r>
        </w:p>
        <w:p>
          <w:pPr>
            <w:pStyle w:val="14"/>
            <w:tabs>
              <w:tab w:val="right" w:leader="dot" w:pos="8306"/>
              <w:tab w:val="clear" w:pos="8296"/>
            </w:tabs>
          </w:pPr>
          <w:r>
            <w:fldChar w:fldCharType="begin"/>
          </w:r>
          <w:r>
            <w:instrText xml:space="preserve"> HYPERLINK \l _Toc11789 </w:instrText>
          </w:r>
          <w:r>
            <w:fldChar w:fldCharType="separate"/>
          </w:r>
          <w:r>
            <w:rPr>
              <w:rFonts w:hint="eastAsia" w:eastAsia="黑体"/>
              <w:szCs w:val="44"/>
            </w:rPr>
            <w:t>第三部分  名词解释</w:t>
          </w:r>
          <w:r>
            <w:tab/>
          </w:r>
          <w:r>
            <w:fldChar w:fldCharType="begin"/>
          </w:r>
          <w:r>
            <w:instrText xml:space="preserve"> PAGEREF _Toc11789 \h </w:instrText>
          </w:r>
          <w:r>
            <w:fldChar w:fldCharType="separate"/>
          </w:r>
          <w:r>
            <w:t>- 11 -</w:t>
          </w:r>
          <w:r>
            <w:fldChar w:fldCharType="end"/>
          </w:r>
          <w:r>
            <w:fldChar w:fldCharType="end"/>
          </w:r>
        </w:p>
        <w:p>
          <w:pPr>
            <w:pStyle w:val="16"/>
            <w:tabs>
              <w:tab w:val="right" w:leader="dot" w:pos="8306"/>
              <w:tab w:val="clear" w:pos="8296"/>
            </w:tabs>
          </w:pPr>
        </w:p>
        <w:p>
          <w:pPr>
            <w:pStyle w:val="14"/>
            <w:tabs>
              <w:tab w:val="right" w:leader="dot" w:pos="8306"/>
              <w:tab w:val="clear" w:pos="8296"/>
            </w:tabs>
          </w:pPr>
          <w:r>
            <w:fldChar w:fldCharType="begin"/>
          </w:r>
          <w:r>
            <w:instrText xml:space="preserve"> HYPERLINK \l _Toc10162 </w:instrText>
          </w:r>
          <w:r>
            <w:fldChar w:fldCharType="separate"/>
          </w:r>
          <w:r>
            <w:rPr>
              <w:rFonts w:hint="eastAsia" w:eastAsia="黑体"/>
              <w:szCs w:val="44"/>
            </w:rPr>
            <w:t>第四部分  附件</w:t>
          </w:r>
          <w:r>
            <w:tab/>
          </w:r>
          <w:r>
            <w:fldChar w:fldCharType="begin"/>
          </w:r>
          <w:r>
            <w:instrText xml:space="preserve"> PAGEREF _Toc10162 \h </w:instrText>
          </w:r>
          <w:r>
            <w:fldChar w:fldCharType="separate"/>
          </w:r>
          <w:r>
            <w:t>- 14 -</w:t>
          </w:r>
          <w:r>
            <w:fldChar w:fldCharType="end"/>
          </w:r>
          <w:r>
            <w:fldChar w:fldCharType="end"/>
          </w:r>
        </w:p>
        <w:p>
          <w:pPr>
            <w:pStyle w:val="16"/>
            <w:tabs>
              <w:tab w:val="right" w:leader="dot" w:pos="8306"/>
              <w:tab w:val="clear" w:pos="8296"/>
            </w:tabs>
          </w:pPr>
          <w:r>
            <w:fldChar w:fldCharType="begin"/>
          </w:r>
          <w:r>
            <w:instrText xml:space="preserve"> HYPERLINK \l _Toc2607 </w:instrText>
          </w:r>
          <w:r>
            <w:fldChar w:fldCharType="separate"/>
          </w:r>
          <w:r>
            <w:rPr>
              <w:rFonts w:eastAsia="方正小标宋简体"/>
              <w:bCs/>
              <w:szCs w:val="44"/>
              <w:shd w:val="clear" w:color="auto" w:fill="FFFFFF"/>
            </w:rPr>
            <w:t>理县人民法院部门预算绩效</w:t>
          </w:r>
          <w:r>
            <w:rPr>
              <w:rFonts w:hint="eastAsia" w:eastAsia="方正小标宋简体"/>
              <w:bCs/>
              <w:szCs w:val="44"/>
              <w:shd w:val="clear" w:color="auto" w:fill="FFFFFF"/>
            </w:rPr>
            <w:t>评价</w:t>
          </w:r>
          <w:r>
            <w:rPr>
              <w:rFonts w:eastAsia="方正小标宋简体"/>
              <w:bCs/>
              <w:szCs w:val="44"/>
              <w:shd w:val="clear" w:color="auto" w:fill="FFFFFF"/>
            </w:rPr>
            <w:t>报告</w:t>
          </w:r>
          <w:r>
            <w:tab/>
          </w:r>
          <w:r>
            <w:fldChar w:fldCharType="begin"/>
          </w:r>
          <w:r>
            <w:instrText xml:space="preserve"> PAGEREF _Toc2607 \h </w:instrText>
          </w:r>
          <w:r>
            <w:fldChar w:fldCharType="separate"/>
          </w:r>
          <w:r>
            <w:t>- 14 -</w:t>
          </w:r>
          <w:r>
            <w:fldChar w:fldCharType="end"/>
          </w:r>
          <w:r>
            <w:fldChar w:fldCharType="end"/>
          </w:r>
        </w:p>
        <w:p>
          <w:pPr>
            <w:pStyle w:val="16"/>
            <w:tabs>
              <w:tab w:val="right" w:leader="dot" w:pos="8306"/>
              <w:tab w:val="clear" w:pos="8296"/>
            </w:tabs>
          </w:pPr>
          <w:r>
            <w:fldChar w:fldCharType="begin"/>
          </w:r>
          <w:r>
            <w:instrText xml:space="preserve"> HYPERLINK \l _Toc32616 </w:instrText>
          </w:r>
          <w:r>
            <w:fldChar w:fldCharType="separate"/>
          </w:r>
          <w:r>
            <w:rPr>
              <w:rFonts w:hint="eastAsia" w:eastAsia="仿宋_GB2312" w:cs="仿宋_GB2312"/>
              <w:szCs w:val="32"/>
              <w:lang w:val="zh-CN"/>
            </w:rPr>
            <w:t>一、</w:t>
          </w:r>
          <w:r>
            <w:rPr>
              <w:rFonts w:eastAsia="仿宋_GB2312" w:cs="仿宋_GB2312"/>
              <w:szCs w:val="32"/>
              <w:lang w:val="zh-CN"/>
            </w:rPr>
            <w:t>部门（单位）基本情况</w:t>
          </w:r>
          <w:r>
            <w:tab/>
          </w:r>
          <w:r>
            <w:fldChar w:fldCharType="begin"/>
          </w:r>
          <w:r>
            <w:instrText xml:space="preserve"> PAGEREF _Toc32616 \h </w:instrText>
          </w:r>
          <w:r>
            <w:fldChar w:fldCharType="separate"/>
          </w:r>
          <w:r>
            <w:t>- 14 -</w:t>
          </w:r>
          <w:r>
            <w:fldChar w:fldCharType="end"/>
          </w:r>
          <w:r>
            <w:fldChar w:fldCharType="end"/>
          </w:r>
        </w:p>
        <w:p>
          <w:pPr>
            <w:pStyle w:val="10"/>
            <w:tabs>
              <w:tab w:val="right" w:leader="dot" w:pos="8306"/>
              <w:tab w:val="clear" w:pos="8296"/>
            </w:tabs>
          </w:pPr>
          <w:r>
            <w:fldChar w:fldCharType="begin"/>
          </w:r>
          <w:r>
            <w:instrText xml:space="preserve"> HYPERLINK \l _Toc10467 </w:instrText>
          </w:r>
          <w:r>
            <w:fldChar w:fldCharType="separate"/>
          </w:r>
          <w:r>
            <w:rPr>
              <w:rFonts w:hint="eastAsia" w:eastAsia="仿宋_GB2312" w:cs="仿宋_GB2312"/>
              <w:szCs w:val="32"/>
              <w:lang w:val="zh-CN"/>
            </w:rPr>
            <w:t>（一）</w:t>
          </w:r>
          <w:r>
            <w:rPr>
              <w:rFonts w:eastAsia="仿宋_GB2312" w:cs="仿宋_GB2312"/>
              <w:szCs w:val="32"/>
              <w:lang w:val="zh-CN"/>
            </w:rPr>
            <w:t>机构组成</w:t>
          </w:r>
          <w:r>
            <w:tab/>
          </w:r>
          <w:r>
            <w:fldChar w:fldCharType="begin"/>
          </w:r>
          <w:r>
            <w:instrText xml:space="preserve"> PAGEREF _Toc10467 \h </w:instrText>
          </w:r>
          <w:r>
            <w:fldChar w:fldCharType="separate"/>
          </w:r>
          <w:r>
            <w:t>- 14 -</w:t>
          </w:r>
          <w:r>
            <w:fldChar w:fldCharType="end"/>
          </w:r>
          <w:r>
            <w:fldChar w:fldCharType="end"/>
          </w:r>
        </w:p>
        <w:p>
          <w:pPr>
            <w:pStyle w:val="10"/>
            <w:tabs>
              <w:tab w:val="right" w:leader="dot" w:pos="8306"/>
              <w:tab w:val="clear" w:pos="8296"/>
            </w:tabs>
          </w:pPr>
          <w:r>
            <w:fldChar w:fldCharType="begin"/>
          </w:r>
          <w:r>
            <w:instrText xml:space="preserve"> HYPERLINK \l _Toc13168 </w:instrText>
          </w:r>
          <w:r>
            <w:fldChar w:fldCharType="separate"/>
          </w:r>
          <w:r>
            <w:rPr>
              <w:rFonts w:hint="eastAsia" w:eastAsia="仿宋_GB2312" w:cs="仿宋_GB2312"/>
              <w:szCs w:val="32"/>
              <w:lang w:val="zh-CN"/>
            </w:rPr>
            <w:t>（</w:t>
          </w:r>
          <w:r>
            <w:rPr>
              <w:rFonts w:hint="eastAsia" w:eastAsia="仿宋_GB2312" w:cs="仿宋_GB2312"/>
              <w:szCs w:val="32"/>
            </w:rPr>
            <w:t>二）</w:t>
          </w:r>
          <w:r>
            <w:rPr>
              <w:rFonts w:eastAsia="仿宋_GB2312" w:cs="仿宋_GB2312"/>
              <w:szCs w:val="32"/>
              <w:lang w:val="zh-CN"/>
            </w:rPr>
            <w:t>机构职能</w:t>
          </w:r>
          <w:r>
            <w:tab/>
          </w:r>
          <w:r>
            <w:fldChar w:fldCharType="begin"/>
          </w:r>
          <w:r>
            <w:instrText xml:space="preserve"> PAGEREF _Toc13168 \h </w:instrText>
          </w:r>
          <w:r>
            <w:fldChar w:fldCharType="separate"/>
          </w:r>
          <w:r>
            <w:t>- 14 -</w:t>
          </w:r>
          <w:r>
            <w:fldChar w:fldCharType="end"/>
          </w:r>
          <w:r>
            <w:fldChar w:fldCharType="end"/>
          </w:r>
        </w:p>
        <w:p>
          <w:pPr>
            <w:pStyle w:val="10"/>
            <w:tabs>
              <w:tab w:val="right" w:leader="dot" w:pos="8306"/>
              <w:tab w:val="clear" w:pos="8296"/>
            </w:tabs>
          </w:pPr>
          <w:r>
            <w:fldChar w:fldCharType="begin"/>
          </w:r>
          <w:r>
            <w:instrText xml:space="preserve"> HYPERLINK \l _Toc22396 </w:instrText>
          </w:r>
          <w:r>
            <w:fldChar w:fldCharType="separate"/>
          </w:r>
          <w:r>
            <w:rPr>
              <w:rFonts w:eastAsia="仿宋_GB2312" w:cs="仿宋_GB2312"/>
              <w:szCs w:val="32"/>
              <w:lang w:val="zh-CN"/>
            </w:rPr>
            <w:t>（</w:t>
          </w:r>
          <w:r>
            <w:rPr>
              <w:rFonts w:hint="eastAsia" w:eastAsia="仿宋_GB2312" w:cs="仿宋_GB2312"/>
              <w:szCs w:val="32"/>
              <w:lang w:val="zh-CN"/>
            </w:rPr>
            <w:t>三</w:t>
          </w:r>
          <w:r>
            <w:rPr>
              <w:rFonts w:eastAsia="仿宋_GB2312" w:cs="仿宋_GB2312"/>
              <w:szCs w:val="32"/>
              <w:lang w:val="zh-CN"/>
            </w:rPr>
            <w:t>）人员概况</w:t>
          </w:r>
          <w:r>
            <w:tab/>
          </w:r>
          <w:r>
            <w:fldChar w:fldCharType="begin"/>
          </w:r>
          <w:r>
            <w:instrText xml:space="preserve"> PAGEREF _Toc22396 \h </w:instrText>
          </w:r>
          <w:r>
            <w:fldChar w:fldCharType="separate"/>
          </w:r>
          <w:r>
            <w:t>- 15 -</w:t>
          </w:r>
          <w:r>
            <w:fldChar w:fldCharType="end"/>
          </w:r>
          <w:r>
            <w:fldChar w:fldCharType="end"/>
          </w:r>
        </w:p>
        <w:p>
          <w:pPr>
            <w:pStyle w:val="16"/>
            <w:tabs>
              <w:tab w:val="right" w:leader="dot" w:pos="8306"/>
              <w:tab w:val="clear" w:pos="8296"/>
            </w:tabs>
            <w:rPr>
              <w:rFonts w:hint="default" w:eastAsia="宋体"/>
              <w:lang w:val="en-US" w:eastAsia="zh-CN"/>
            </w:rPr>
          </w:pPr>
          <w:r>
            <w:fldChar w:fldCharType="begin"/>
          </w:r>
          <w:r>
            <w:instrText xml:space="preserve"> HYPERLINK \l _Toc22058 </w:instrText>
          </w:r>
          <w:r>
            <w:fldChar w:fldCharType="separate"/>
          </w:r>
          <w:r>
            <w:rPr>
              <w:rFonts w:eastAsia="仿宋_GB2312" w:cs="仿宋_GB2312"/>
              <w:szCs w:val="32"/>
            </w:rPr>
            <w:t>二、部门资金收支情况</w:t>
          </w:r>
          <w:r>
            <w:tab/>
          </w:r>
          <w:r>
            <w:rPr>
              <w:rFonts w:hint="eastAsia"/>
              <w:lang w:val="en-US" w:eastAsia="zh-CN"/>
            </w:rPr>
            <w:t>-1</w:t>
          </w:r>
          <w:r>
            <w:fldChar w:fldCharType="end"/>
          </w:r>
          <w:r>
            <w:rPr>
              <w:rFonts w:hint="eastAsia"/>
              <w:lang w:val="en-US" w:eastAsia="zh-CN"/>
            </w:rPr>
            <w:t>5 -</w:t>
          </w:r>
        </w:p>
        <w:p>
          <w:pPr>
            <w:pStyle w:val="10"/>
            <w:tabs>
              <w:tab w:val="right" w:leader="dot" w:pos="8306"/>
              <w:tab w:val="clear" w:pos="8296"/>
            </w:tabs>
            <w:rPr>
              <w:rFonts w:hint="default" w:eastAsia="宋体"/>
              <w:lang w:val="en-US" w:eastAsia="zh-CN"/>
            </w:rPr>
          </w:pPr>
          <w:r>
            <w:fldChar w:fldCharType="begin"/>
          </w:r>
          <w:r>
            <w:instrText xml:space="preserve"> HYPERLINK \l _Toc14300 </w:instrText>
          </w:r>
          <w:r>
            <w:fldChar w:fldCharType="separate"/>
          </w:r>
          <w:r>
            <w:rPr>
              <w:rFonts w:eastAsia="仿宋_GB2312" w:cs="仿宋_GB2312"/>
              <w:szCs w:val="32"/>
              <w:lang w:val="zh-CN"/>
            </w:rPr>
            <w:t>（一）</w:t>
          </w:r>
          <w:r>
            <w:rPr>
              <w:rFonts w:hint="eastAsia" w:eastAsia="仿宋_GB2312" w:cs="仿宋_GB2312"/>
              <w:szCs w:val="32"/>
              <w:lang w:val="zh-CN"/>
            </w:rPr>
            <w:t>收入情况</w:t>
          </w:r>
          <w:r>
            <w:tab/>
          </w:r>
          <w:r>
            <w:rPr>
              <w:rFonts w:hint="eastAsia"/>
              <w:lang w:val="en-US" w:eastAsia="zh-CN"/>
            </w:rPr>
            <w:t>-1</w:t>
          </w:r>
          <w:r>
            <w:fldChar w:fldCharType="end"/>
          </w:r>
          <w:r>
            <w:rPr>
              <w:rFonts w:hint="eastAsia"/>
              <w:lang w:val="en-US" w:eastAsia="zh-CN"/>
            </w:rPr>
            <w:t>5 -</w:t>
          </w:r>
        </w:p>
        <w:p>
          <w:pPr>
            <w:pStyle w:val="10"/>
            <w:tabs>
              <w:tab w:val="right" w:leader="dot" w:pos="8306"/>
              <w:tab w:val="clear" w:pos="8296"/>
            </w:tabs>
            <w:rPr>
              <w:rFonts w:hint="default" w:eastAsia="宋体"/>
              <w:lang w:val="en-US" w:eastAsia="zh-CN"/>
            </w:rPr>
          </w:pPr>
          <w:r>
            <w:fldChar w:fldCharType="begin"/>
          </w:r>
          <w:r>
            <w:instrText xml:space="preserve"> HYPERLINK \l _Toc24326 </w:instrText>
          </w:r>
          <w:r>
            <w:fldChar w:fldCharType="separate"/>
          </w:r>
          <w:r>
            <w:rPr>
              <w:rFonts w:eastAsia="仿宋_GB2312" w:cs="仿宋_GB2312"/>
              <w:szCs w:val="32"/>
              <w:lang w:val="zh-CN"/>
            </w:rPr>
            <w:t>（</w:t>
          </w:r>
          <w:r>
            <w:rPr>
              <w:rFonts w:hint="eastAsia" w:eastAsia="仿宋_GB2312" w:cs="仿宋_GB2312"/>
              <w:szCs w:val="32"/>
              <w:lang w:val="zh-CN"/>
            </w:rPr>
            <w:t>二</w:t>
          </w:r>
          <w:r>
            <w:rPr>
              <w:rFonts w:eastAsia="仿宋_GB2312" w:cs="仿宋_GB2312"/>
              <w:szCs w:val="32"/>
              <w:lang w:val="zh-CN"/>
            </w:rPr>
            <w:t>）</w:t>
          </w:r>
          <w:r>
            <w:rPr>
              <w:rFonts w:hint="eastAsia" w:eastAsia="仿宋_GB2312" w:cs="仿宋_GB2312"/>
              <w:szCs w:val="32"/>
              <w:lang w:val="zh-CN"/>
            </w:rPr>
            <w:t>支出情况</w:t>
          </w:r>
          <w:r>
            <w:tab/>
          </w:r>
          <w:r>
            <w:rPr>
              <w:rFonts w:hint="eastAsia"/>
              <w:lang w:val="en-US" w:eastAsia="zh-CN"/>
            </w:rPr>
            <w:t>-</w:t>
          </w:r>
          <w:r>
            <w:fldChar w:fldCharType="end"/>
          </w:r>
          <w:r>
            <w:rPr>
              <w:rFonts w:hint="eastAsia"/>
              <w:lang w:val="en-US" w:eastAsia="zh-CN"/>
            </w:rPr>
            <w:t>16 -</w:t>
          </w:r>
        </w:p>
        <w:p>
          <w:pPr>
            <w:pStyle w:val="10"/>
            <w:tabs>
              <w:tab w:val="right" w:leader="dot" w:pos="8306"/>
              <w:tab w:val="clear" w:pos="8296"/>
            </w:tabs>
            <w:rPr>
              <w:rFonts w:hint="default" w:eastAsia="宋体"/>
              <w:lang w:val="en-US" w:eastAsia="zh-CN"/>
            </w:rPr>
          </w:pPr>
          <w:r>
            <w:fldChar w:fldCharType="begin"/>
          </w:r>
          <w:r>
            <w:instrText xml:space="preserve"> HYPERLINK \l _Toc5238 </w:instrText>
          </w:r>
          <w:r>
            <w:fldChar w:fldCharType="separate"/>
          </w:r>
          <w:r>
            <w:rPr>
              <w:rFonts w:eastAsia="仿宋_GB2312" w:cs="仿宋_GB2312"/>
              <w:szCs w:val="32"/>
              <w:lang w:val="zh-CN"/>
            </w:rPr>
            <w:t>（</w:t>
          </w:r>
          <w:r>
            <w:rPr>
              <w:rFonts w:hint="eastAsia" w:eastAsia="仿宋_GB2312" w:cs="仿宋_GB2312"/>
              <w:szCs w:val="32"/>
              <w:lang w:val="zh-CN"/>
            </w:rPr>
            <w:t>三</w:t>
          </w:r>
          <w:r>
            <w:rPr>
              <w:rFonts w:eastAsia="仿宋_GB2312" w:cs="仿宋_GB2312"/>
              <w:szCs w:val="32"/>
              <w:lang w:val="zh-CN"/>
            </w:rPr>
            <w:t>）</w:t>
          </w:r>
          <w:r>
            <w:rPr>
              <w:rFonts w:eastAsia="仿宋_GB2312" w:cs="仿宋_GB2312"/>
              <w:szCs w:val="32"/>
            </w:rPr>
            <w:t>结余分配和结转结余情况</w:t>
          </w:r>
          <w:r>
            <w:tab/>
          </w:r>
          <w:r>
            <w:rPr>
              <w:rFonts w:hint="eastAsia"/>
              <w:lang w:val="en-US" w:eastAsia="zh-CN"/>
            </w:rPr>
            <w:t>-</w:t>
          </w:r>
          <w:r>
            <w:fldChar w:fldCharType="end"/>
          </w:r>
          <w:r>
            <w:rPr>
              <w:rFonts w:hint="eastAsia"/>
              <w:lang w:val="en-US" w:eastAsia="zh-CN"/>
            </w:rPr>
            <w:t>16 -</w:t>
          </w:r>
        </w:p>
        <w:p>
          <w:pPr>
            <w:pStyle w:val="16"/>
            <w:tabs>
              <w:tab w:val="right" w:leader="dot" w:pos="8306"/>
              <w:tab w:val="clear" w:pos="8296"/>
            </w:tabs>
            <w:rPr>
              <w:rFonts w:hint="default" w:eastAsia="宋体"/>
              <w:lang w:val="en-US" w:eastAsia="zh-CN"/>
            </w:rPr>
          </w:pPr>
          <w:r>
            <w:fldChar w:fldCharType="begin"/>
          </w:r>
          <w:r>
            <w:instrText xml:space="preserve"> HYPERLINK \l _Toc1097 </w:instrText>
          </w:r>
          <w:r>
            <w:fldChar w:fldCharType="separate"/>
          </w:r>
          <w:r>
            <w:rPr>
              <w:rFonts w:eastAsia="仿宋_GB2312" w:cs="仿宋_GB2312"/>
              <w:szCs w:val="32"/>
            </w:rPr>
            <w:t>三、部门预算绩效分析</w:t>
          </w:r>
          <w:r>
            <w:tab/>
          </w:r>
          <w:r>
            <w:rPr>
              <w:rFonts w:hint="eastAsia"/>
              <w:lang w:val="en-US" w:eastAsia="zh-CN"/>
            </w:rPr>
            <w:t>-</w:t>
          </w:r>
          <w:r>
            <w:fldChar w:fldCharType="end"/>
          </w:r>
          <w:r>
            <w:rPr>
              <w:rFonts w:hint="eastAsia"/>
              <w:lang w:val="en-US" w:eastAsia="zh-CN"/>
            </w:rPr>
            <w:t>16 -</w:t>
          </w:r>
        </w:p>
        <w:p>
          <w:pPr>
            <w:pStyle w:val="10"/>
            <w:tabs>
              <w:tab w:val="right" w:leader="dot" w:pos="8306"/>
              <w:tab w:val="clear" w:pos="8296"/>
            </w:tabs>
            <w:rPr>
              <w:rFonts w:hint="default" w:eastAsia="宋体"/>
              <w:lang w:val="en-US" w:eastAsia="zh-CN"/>
            </w:rPr>
          </w:pPr>
          <w:r>
            <w:fldChar w:fldCharType="begin"/>
          </w:r>
          <w:r>
            <w:instrText xml:space="preserve"> HYPERLINK \l _Toc4508 </w:instrText>
          </w:r>
          <w:r>
            <w:fldChar w:fldCharType="separate"/>
          </w:r>
          <w:r>
            <w:rPr>
              <w:rFonts w:eastAsia="仿宋_GB2312" w:cs="仿宋_GB2312"/>
              <w:szCs w:val="32"/>
              <w:lang w:val="zh-CN"/>
            </w:rPr>
            <w:t>（一）</w:t>
          </w:r>
          <w:r>
            <w:rPr>
              <w:rFonts w:hint="eastAsia" w:eastAsia="仿宋_GB2312" w:cs="仿宋_GB2312"/>
              <w:szCs w:val="32"/>
              <w:lang w:val="zh-CN"/>
            </w:rPr>
            <w:t>部门预算</w:t>
          </w:r>
          <w:r>
            <w:rPr>
              <w:rFonts w:eastAsia="仿宋_GB2312" w:cs="仿宋_GB2312"/>
              <w:szCs w:val="32"/>
              <w:lang w:val="zh-CN"/>
            </w:rPr>
            <w:t>总体绩效分析</w:t>
          </w:r>
          <w:r>
            <w:tab/>
          </w:r>
          <w:r>
            <w:rPr>
              <w:rFonts w:hint="eastAsia"/>
              <w:lang w:val="en-US" w:eastAsia="zh-CN"/>
            </w:rPr>
            <w:t>-</w:t>
          </w:r>
          <w:r>
            <w:fldChar w:fldCharType="end"/>
          </w:r>
          <w:r>
            <w:rPr>
              <w:rFonts w:hint="eastAsia"/>
              <w:lang w:val="en-US" w:eastAsia="zh-CN"/>
            </w:rPr>
            <w:t>16 -</w:t>
          </w:r>
        </w:p>
        <w:p>
          <w:pPr>
            <w:pStyle w:val="10"/>
            <w:tabs>
              <w:tab w:val="right" w:leader="dot" w:pos="8306"/>
              <w:tab w:val="clear" w:pos="8296"/>
            </w:tabs>
            <w:rPr>
              <w:rFonts w:hint="default" w:eastAsia="宋体"/>
              <w:lang w:val="en-US" w:eastAsia="zh-CN"/>
            </w:rPr>
          </w:pPr>
          <w:r>
            <w:fldChar w:fldCharType="begin"/>
          </w:r>
          <w:r>
            <w:instrText xml:space="preserve"> HYPERLINK \l _Toc27568 </w:instrText>
          </w:r>
          <w:r>
            <w:fldChar w:fldCharType="separate"/>
          </w:r>
          <w:r>
            <w:rPr>
              <w:rFonts w:eastAsia="仿宋_GB2312" w:cs="仿宋_GB2312"/>
              <w:szCs w:val="32"/>
              <w:lang w:val="zh-CN"/>
            </w:rPr>
            <w:t>（二）部门预算项目绩效分析</w:t>
          </w:r>
          <w:r>
            <w:tab/>
          </w:r>
          <w:r>
            <w:rPr>
              <w:rFonts w:hint="eastAsia" w:eastAsia="仿宋_GB2312" w:cs="仿宋_GB2312"/>
              <w:szCs w:val="32"/>
              <w:lang w:val="en-US" w:eastAsia="zh-CN"/>
            </w:rPr>
            <w:t>-</w:t>
          </w:r>
          <w:r>
            <w:fldChar w:fldCharType="end"/>
          </w:r>
          <w:r>
            <w:rPr>
              <w:rFonts w:hint="eastAsia"/>
              <w:lang w:val="en-US" w:eastAsia="zh-CN"/>
            </w:rPr>
            <w:t>19 -</w:t>
          </w:r>
        </w:p>
        <w:p>
          <w:pPr>
            <w:pStyle w:val="10"/>
            <w:tabs>
              <w:tab w:val="right" w:leader="dot" w:pos="8306"/>
              <w:tab w:val="clear" w:pos="8296"/>
            </w:tabs>
            <w:rPr>
              <w:rFonts w:hint="default" w:eastAsia="宋体"/>
              <w:lang w:val="en-US" w:eastAsia="zh-CN"/>
            </w:rPr>
          </w:pPr>
          <w:r>
            <w:fldChar w:fldCharType="begin"/>
          </w:r>
          <w:r>
            <w:instrText xml:space="preserve"> HYPERLINK \l _Toc12662 </w:instrText>
          </w:r>
          <w:r>
            <w:fldChar w:fldCharType="separate"/>
          </w:r>
          <w:r>
            <w:rPr>
              <w:rFonts w:eastAsia="仿宋_GB2312" w:cs="仿宋_GB2312"/>
              <w:szCs w:val="32"/>
              <w:lang w:val="zh-CN"/>
            </w:rPr>
            <w:t>（</w:t>
          </w:r>
          <w:r>
            <w:rPr>
              <w:rFonts w:hint="eastAsia" w:eastAsia="仿宋_GB2312" w:cs="仿宋_GB2312"/>
              <w:szCs w:val="32"/>
              <w:lang w:val="zh-CN"/>
            </w:rPr>
            <w:t>三</w:t>
          </w:r>
          <w:r>
            <w:rPr>
              <w:rFonts w:eastAsia="仿宋_GB2312" w:cs="仿宋_GB2312"/>
              <w:szCs w:val="32"/>
              <w:lang w:val="zh-CN"/>
            </w:rPr>
            <w:t>）绩效结果应用情况</w:t>
          </w:r>
          <w:r>
            <w:tab/>
          </w:r>
          <w:r>
            <w:rPr>
              <w:rFonts w:hint="eastAsia"/>
              <w:lang w:val="en-US" w:eastAsia="zh-CN"/>
            </w:rPr>
            <w:t>-</w:t>
          </w:r>
          <w:r>
            <w:fldChar w:fldCharType="end"/>
          </w:r>
          <w:r>
            <w:rPr>
              <w:rFonts w:hint="eastAsia"/>
              <w:lang w:val="en-US" w:eastAsia="zh-CN"/>
            </w:rPr>
            <w:t>21 -</w:t>
          </w:r>
        </w:p>
        <w:p>
          <w:pPr>
            <w:pStyle w:val="16"/>
            <w:tabs>
              <w:tab w:val="right" w:leader="dot" w:pos="8306"/>
              <w:tab w:val="clear" w:pos="8296"/>
            </w:tabs>
            <w:rPr>
              <w:rFonts w:hint="default" w:eastAsia="宋体"/>
              <w:lang w:val="en-US" w:eastAsia="zh-CN"/>
            </w:rPr>
          </w:pPr>
          <w:r>
            <w:fldChar w:fldCharType="begin"/>
          </w:r>
          <w:r>
            <w:instrText xml:space="preserve"> HYPERLINK \l _Toc5150 </w:instrText>
          </w:r>
          <w:r>
            <w:fldChar w:fldCharType="separate"/>
          </w:r>
          <w:r>
            <w:rPr>
              <w:rFonts w:eastAsia="仿宋_GB2312" w:cs="仿宋_GB2312"/>
              <w:szCs w:val="32"/>
            </w:rPr>
            <w:t>四、评价结论及建议</w:t>
          </w:r>
          <w:r>
            <w:tab/>
          </w:r>
          <w:r>
            <w:rPr>
              <w:rFonts w:hint="eastAsia"/>
              <w:lang w:val="en-US" w:eastAsia="zh-CN"/>
            </w:rPr>
            <w:t>-</w:t>
          </w:r>
          <w:r>
            <w:fldChar w:fldCharType="end"/>
          </w:r>
          <w:r>
            <w:rPr>
              <w:rFonts w:hint="eastAsia"/>
              <w:lang w:val="en-US" w:eastAsia="zh-CN"/>
            </w:rPr>
            <w:t>21 -</w:t>
          </w:r>
        </w:p>
        <w:p>
          <w:pPr>
            <w:pStyle w:val="10"/>
            <w:tabs>
              <w:tab w:val="right" w:leader="dot" w:pos="8306"/>
              <w:tab w:val="clear" w:pos="8296"/>
            </w:tabs>
            <w:rPr>
              <w:rFonts w:hint="default" w:eastAsia="宋体"/>
              <w:lang w:val="en-US" w:eastAsia="zh-CN"/>
            </w:rPr>
          </w:pPr>
          <w:r>
            <w:fldChar w:fldCharType="begin"/>
          </w:r>
          <w:r>
            <w:instrText xml:space="preserve"> HYPERLINK \l _Toc78 </w:instrText>
          </w:r>
          <w:r>
            <w:fldChar w:fldCharType="separate"/>
          </w:r>
          <w:r>
            <w:rPr>
              <w:rFonts w:eastAsia="仿宋_GB2312" w:cs="仿宋_GB2312"/>
              <w:szCs w:val="32"/>
              <w:lang w:val="zh-CN"/>
            </w:rPr>
            <w:t>（一）评价结论</w:t>
          </w:r>
          <w:r>
            <w:tab/>
          </w:r>
          <w:r>
            <w:rPr>
              <w:rFonts w:hint="eastAsia"/>
              <w:lang w:val="en-US" w:eastAsia="zh-CN"/>
            </w:rPr>
            <w:t>-</w:t>
          </w:r>
          <w:r>
            <w:fldChar w:fldCharType="end"/>
          </w:r>
          <w:r>
            <w:rPr>
              <w:rFonts w:hint="eastAsia"/>
              <w:lang w:val="en-US" w:eastAsia="zh-CN"/>
            </w:rPr>
            <w:t>22 -</w:t>
          </w:r>
        </w:p>
        <w:p>
          <w:pPr>
            <w:pStyle w:val="10"/>
            <w:tabs>
              <w:tab w:val="right" w:leader="dot" w:pos="8306"/>
              <w:tab w:val="clear" w:pos="8296"/>
            </w:tabs>
            <w:rPr>
              <w:rFonts w:hint="default" w:eastAsia="宋体"/>
              <w:lang w:val="en-US" w:eastAsia="zh-CN"/>
            </w:rPr>
          </w:pPr>
          <w:r>
            <w:fldChar w:fldCharType="begin"/>
          </w:r>
          <w:r>
            <w:instrText xml:space="preserve"> HYPERLINK \l _Toc3317 </w:instrText>
          </w:r>
          <w:r>
            <w:fldChar w:fldCharType="separate"/>
          </w:r>
          <w:r>
            <w:rPr>
              <w:rFonts w:eastAsia="仿宋_GB2312" w:cs="仿宋_GB2312"/>
              <w:szCs w:val="32"/>
              <w:lang w:val="zh-CN"/>
            </w:rPr>
            <w:t>（二）存在问题</w:t>
          </w:r>
          <w:r>
            <w:tab/>
          </w:r>
          <w:r>
            <w:rPr>
              <w:rFonts w:hint="eastAsia"/>
              <w:lang w:val="en-US" w:eastAsia="zh-CN"/>
            </w:rPr>
            <w:t>-</w:t>
          </w:r>
          <w:r>
            <w:fldChar w:fldCharType="end"/>
          </w:r>
          <w:r>
            <w:rPr>
              <w:rFonts w:hint="eastAsia"/>
              <w:lang w:val="en-US" w:eastAsia="zh-CN"/>
            </w:rPr>
            <w:t>22 -</w:t>
          </w:r>
        </w:p>
        <w:p>
          <w:pPr>
            <w:pStyle w:val="10"/>
            <w:tabs>
              <w:tab w:val="right" w:leader="dot" w:pos="8306"/>
              <w:tab w:val="clear" w:pos="8296"/>
            </w:tabs>
            <w:rPr>
              <w:rFonts w:hint="default" w:eastAsia="宋体"/>
              <w:lang w:val="en-US" w:eastAsia="zh-CN"/>
            </w:rPr>
          </w:pPr>
          <w:r>
            <w:rPr>
              <w:rFonts w:eastAsia="宋体"/>
            </w:rPr>
            <w:fldChar w:fldCharType="begin"/>
          </w:r>
          <w:r>
            <w:rPr>
              <w:rFonts w:eastAsia="宋体"/>
            </w:rPr>
            <w:instrText xml:space="preserve"> HYPERLINK \l _Toc2629 </w:instrText>
          </w:r>
          <w:r>
            <w:rPr>
              <w:rFonts w:eastAsia="宋体"/>
            </w:rPr>
            <w:fldChar w:fldCharType="separate"/>
          </w:r>
          <w:r>
            <w:rPr>
              <w:rFonts w:eastAsia="宋体"/>
              <w:lang w:val="zh-CN"/>
            </w:rPr>
            <w:t>（三）改进建议</w:t>
          </w:r>
          <w:r>
            <w:tab/>
          </w:r>
          <w:r>
            <w:rPr>
              <w:rFonts w:hint="eastAsia" w:eastAsia="宋体"/>
              <w:lang w:val="en-US" w:eastAsia="zh-CN"/>
            </w:rPr>
            <w:t>-</w:t>
          </w:r>
          <w:r>
            <w:rPr>
              <w:rFonts w:eastAsia="宋体"/>
            </w:rPr>
            <w:fldChar w:fldCharType="end"/>
          </w:r>
          <w:r>
            <w:rPr>
              <w:rFonts w:hint="eastAsia" w:eastAsia="宋体"/>
              <w:lang w:val="en-US" w:eastAsia="zh-CN"/>
            </w:rPr>
            <w:t>22 -</w:t>
          </w:r>
        </w:p>
        <w:p>
          <w:pPr>
            <w:rPr>
              <w:rFonts w:ascii="Times New Roman" w:hAnsi="Times New Roman" w:eastAsia="宋体" w:cs="Times New Roman"/>
              <w:kern w:val="2"/>
              <w:sz w:val="21"/>
              <w:szCs w:val="24"/>
              <w:lang w:val="en-US" w:eastAsia="zh-CN" w:bidi="ar-SA"/>
            </w:rPr>
          </w:pPr>
          <w:r>
            <w:fldChar w:fldCharType="end"/>
          </w:r>
        </w:p>
      </w:sdtContent>
    </w:sdt>
    <w:p>
      <w:pPr>
        <w:rPr>
          <w:rFonts w:ascii="Times New Roman" w:hAnsi="Times New Roman" w:eastAsia="宋体" w:cs="Times New Roman"/>
          <w:kern w:val="2"/>
          <w:sz w:val="21"/>
          <w:szCs w:val="24"/>
          <w:lang w:val="en-US" w:eastAsia="zh-CN" w:bidi="ar-SA"/>
        </w:rPr>
      </w:pPr>
    </w:p>
    <w:p/>
    <w:p/>
    <w:p/>
    <w:p/>
    <w:p/>
    <w:p/>
    <w:p/>
    <w:p/>
    <w:p/>
    <w:p/>
    <w:p/>
    <w:p/>
    <w:p>
      <w:pPr>
        <w:pStyle w:val="16"/>
        <w:adjustRightInd w:val="0"/>
        <w:snapToGrid w:val="0"/>
        <w:spacing w:line="560" w:lineRule="exact"/>
        <w:jc w:val="left"/>
        <w:rPr>
          <w:rFonts w:eastAsia="仿宋_GB2312" w:cs="仿宋_GB2312"/>
          <w:sz w:val="32"/>
          <w:szCs w:val="32"/>
        </w:rPr>
      </w:pPr>
    </w:p>
    <w:p>
      <w:pPr>
        <w:keepNext/>
        <w:keepLines/>
        <w:widowControl w:val="0"/>
        <w:spacing w:before="340" w:after="330" w:line="578" w:lineRule="auto"/>
        <w:jc w:val="center"/>
        <w:outlineLvl w:val="9"/>
        <w:rPr>
          <w:rFonts w:hint="eastAsia" w:ascii="Times New Roman" w:hAnsi="Times New Roman" w:eastAsia="方正小标宋简体" w:cs="方正小标宋简体"/>
          <w:b w:val="0"/>
          <w:bCs/>
          <w:kern w:val="44"/>
          <w:sz w:val="44"/>
          <w:szCs w:val="44"/>
          <w:lang w:val="en-US" w:eastAsia="zh-CN" w:bidi="ar-SA"/>
        </w:rPr>
        <w:sectPr>
          <w:footerReference r:id="rId9" w:type="first"/>
          <w:headerReference r:id="rId7" w:type="default"/>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bookmarkStart w:id="12" w:name="_Toc15377196"/>
      <w:bookmarkStart w:id="13" w:name="_Toc15396599"/>
    </w:p>
    <w:p>
      <w:pPr>
        <w:pStyle w:val="2"/>
        <w:jc w:val="center"/>
        <w:rPr>
          <w:rStyle w:val="31"/>
          <w:rFonts w:eastAsia="方正小标宋简体" w:cs="方正小标宋简体"/>
          <w:b/>
          <w:bCs w:val="0"/>
        </w:rPr>
      </w:pPr>
      <w:bookmarkStart w:id="14" w:name="_Toc8749"/>
      <w:r>
        <w:rPr>
          <w:rFonts w:hint="eastAsia" w:eastAsia="方正小标宋简体" w:cs="方正小标宋简体"/>
          <w:b w:val="0"/>
        </w:rPr>
        <w:t xml:space="preserve">第一部分  </w:t>
      </w:r>
      <w:r>
        <w:rPr>
          <w:rStyle w:val="31"/>
          <w:rFonts w:hint="eastAsia" w:eastAsia="方正小标宋简体" w:cs="方正小标宋简体"/>
          <w:b w:val="0"/>
          <w:bCs w:val="0"/>
        </w:rPr>
        <w:t>部门概况</w:t>
      </w:r>
      <w:bookmarkEnd w:id="12"/>
      <w:bookmarkEnd w:id="13"/>
      <w:bookmarkEnd w:id="14"/>
    </w:p>
    <w:p>
      <w:pPr>
        <w:widowControl/>
        <w:jc w:val="left"/>
        <w:rPr>
          <w:rFonts w:eastAsia="黑体"/>
          <w:sz w:val="32"/>
          <w:szCs w:val="32"/>
        </w:rPr>
      </w:pPr>
    </w:p>
    <w:p>
      <w:pPr>
        <w:pStyle w:val="3"/>
        <w:numPr>
          <w:ilvl w:val="0"/>
          <w:numId w:val="1"/>
        </w:numPr>
        <w:rPr>
          <w:rFonts w:ascii="Times New Roman" w:hAnsi="Times New Roman" w:eastAsia="黑体"/>
          <w:b w:val="0"/>
        </w:rPr>
      </w:pPr>
      <w:bookmarkStart w:id="15" w:name="_Toc25374"/>
      <w:r>
        <w:rPr>
          <w:rFonts w:hint="eastAsia" w:ascii="Times New Roman" w:hAnsi="Times New Roman" w:eastAsia="黑体"/>
          <w:b w:val="0"/>
        </w:rPr>
        <w:t>部门职责</w:t>
      </w:r>
      <w:bookmarkEnd w:id="15"/>
    </w:p>
    <w:p>
      <w:pPr>
        <w:pStyle w:val="38"/>
        <w:spacing w:before="0" w:line="360" w:lineRule="auto"/>
        <w:ind w:firstLine="640"/>
        <w:rPr>
          <w:sz w:val="32"/>
          <w:szCs w:val="32"/>
        </w:rPr>
      </w:pPr>
      <w:r>
        <w:rPr>
          <w:rFonts w:hint="eastAsia"/>
          <w:sz w:val="32"/>
          <w:szCs w:val="32"/>
        </w:rPr>
        <w:t>理县人民法院是国家审判机关，依法独立行使审判权，对理县人民代表大会及其常务委员会负责并报告工作。</w:t>
      </w:r>
    </w:p>
    <w:p>
      <w:pPr>
        <w:pStyle w:val="38"/>
        <w:spacing w:before="0" w:line="360" w:lineRule="auto"/>
        <w:ind w:firstLine="640"/>
        <w:rPr>
          <w:sz w:val="32"/>
          <w:szCs w:val="32"/>
        </w:rPr>
      </w:pPr>
      <w:r>
        <w:rPr>
          <w:rFonts w:hint="eastAsia"/>
          <w:sz w:val="32"/>
          <w:szCs w:val="32"/>
        </w:rPr>
        <w:t>其主要职责是：</w:t>
      </w:r>
    </w:p>
    <w:p>
      <w:pPr>
        <w:pStyle w:val="38"/>
        <w:spacing w:before="0" w:line="360" w:lineRule="auto"/>
        <w:ind w:firstLine="660"/>
        <w:rPr>
          <w:sz w:val="32"/>
          <w:szCs w:val="32"/>
        </w:rPr>
      </w:pPr>
      <w:r>
        <w:rPr>
          <w:rFonts w:hint="eastAsia"/>
          <w:sz w:val="32"/>
          <w:szCs w:val="32"/>
        </w:rPr>
        <w:t>1、审判法律规定由基层人民法院管辖的刑事、民事、经济和行政等一审案件；</w:t>
      </w:r>
    </w:p>
    <w:p>
      <w:pPr>
        <w:pStyle w:val="38"/>
        <w:spacing w:before="0" w:line="360" w:lineRule="auto"/>
        <w:ind w:firstLine="660"/>
        <w:rPr>
          <w:sz w:val="32"/>
          <w:szCs w:val="32"/>
        </w:rPr>
      </w:pPr>
      <w:r>
        <w:rPr>
          <w:rFonts w:hint="eastAsia"/>
          <w:sz w:val="32"/>
          <w:szCs w:val="32"/>
        </w:rPr>
        <w:t>2、审理中级人民法院指令再审的案件；受理不服本案判决、裁定的各种申诉和申请再审等案件；</w:t>
      </w:r>
    </w:p>
    <w:p>
      <w:pPr>
        <w:pStyle w:val="38"/>
        <w:spacing w:before="0" w:line="360" w:lineRule="auto"/>
        <w:ind w:firstLine="660"/>
        <w:outlineLvl w:val="2"/>
        <w:rPr>
          <w:sz w:val="32"/>
          <w:szCs w:val="32"/>
        </w:rPr>
      </w:pPr>
      <w:bookmarkStart w:id="16" w:name="_Toc16367"/>
      <w:r>
        <w:rPr>
          <w:rFonts w:hint="eastAsia"/>
          <w:sz w:val="32"/>
          <w:szCs w:val="32"/>
        </w:rPr>
        <w:t>3、审理中级人民法院指定管辖的案件；</w:t>
      </w:r>
      <w:bookmarkEnd w:id="16"/>
    </w:p>
    <w:p>
      <w:pPr>
        <w:pStyle w:val="38"/>
        <w:spacing w:before="0" w:line="360" w:lineRule="auto"/>
        <w:ind w:firstLine="660"/>
        <w:rPr>
          <w:sz w:val="32"/>
          <w:szCs w:val="32"/>
        </w:rPr>
      </w:pPr>
      <w:r>
        <w:rPr>
          <w:rFonts w:hint="eastAsia"/>
          <w:sz w:val="32"/>
          <w:szCs w:val="32"/>
        </w:rPr>
        <w:t>4、对已生效的各类法律文书有执行内容的财物执行；办理委托、协助执行机关工作；</w:t>
      </w:r>
    </w:p>
    <w:p>
      <w:pPr>
        <w:pStyle w:val="38"/>
        <w:spacing w:before="0" w:line="360" w:lineRule="auto"/>
        <w:ind w:firstLine="660"/>
        <w:rPr>
          <w:sz w:val="32"/>
          <w:szCs w:val="32"/>
        </w:rPr>
      </w:pPr>
      <w:r>
        <w:rPr>
          <w:rFonts w:hint="eastAsia"/>
          <w:sz w:val="32"/>
          <w:szCs w:val="32"/>
        </w:rPr>
        <w:t>5、监督和指导全县基层人民法</w:t>
      </w:r>
      <w:r>
        <w:rPr>
          <w:rFonts w:hint="eastAsia"/>
          <w:sz w:val="32"/>
          <w:szCs w:val="32"/>
          <w:lang w:eastAsia="zh-CN"/>
        </w:rPr>
        <w:t>庭</w:t>
      </w:r>
      <w:r>
        <w:rPr>
          <w:rFonts w:hint="eastAsia"/>
          <w:sz w:val="32"/>
          <w:szCs w:val="32"/>
        </w:rPr>
        <w:t>；人民调解委员会工作；</w:t>
      </w:r>
    </w:p>
    <w:p>
      <w:pPr>
        <w:pStyle w:val="38"/>
        <w:spacing w:before="0" w:line="360" w:lineRule="auto"/>
        <w:ind w:firstLine="660"/>
        <w:rPr>
          <w:sz w:val="32"/>
          <w:szCs w:val="32"/>
        </w:rPr>
      </w:pPr>
      <w:r>
        <w:rPr>
          <w:rFonts w:hint="eastAsia"/>
          <w:sz w:val="32"/>
          <w:szCs w:val="32"/>
        </w:rPr>
        <w:t>6、依法审理国家赔偿案件；</w:t>
      </w:r>
    </w:p>
    <w:p>
      <w:pPr>
        <w:pStyle w:val="38"/>
        <w:spacing w:before="0" w:line="360" w:lineRule="auto"/>
        <w:ind w:firstLine="660"/>
        <w:rPr>
          <w:sz w:val="32"/>
          <w:szCs w:val="32"/>
        </w:rPr>
      </w:pPr>
      <w:r>
        <w:rPr>
          <w:rFonts w:hint="eastAsia"/>
          <w:sz w:val="32"/>
          <w:szCs w:val="32"/>
        </w:rPr>
        <w:t>7、接待申诉来访，受理应由基层人民法院管辖的告诉、申诉案件；</w:t>
      </w:r>
    </w:p>
    <w:p>
      <w:pPr>
        <w:pStyle w:val="38"/>
        <w:spacing w:before="0" w:line="360" w:lineRule="auto"/>
        <w:ind w:firstLine="660"/>
        <w:rPr>
          <w:sz w:val="32"/>
          <w:szCs w:val="32"/>
        </w:rPr>
      </w:pPr>
      <w:r>
        <w:rPr>
          <w:rFonts w:hint="eastAsia"/>
          <w:sz w:val="32"/>
          <w:szCs w:val="32"/>
        </w:rPr>
        <w:t>8、针对案件审理过程中发现的问题提出司法建议；</w:t>
      </w:r>
    </w:p>
    <w:p>
      <w:pPr>
        <w:pStyle w:val="38"/>
        <w:spacing w:before="0" w:line="360" w:lineRule="auto"/>
        <w:ind w:firstLine="660"/>
        <w:rPr>
          <w:sz w:val="32"/>
          <w:szCs w:val="32"/>
        </w:rPr>
      </w:pPr>
      <w:r>
        <w:rPr>
          <w:rFonts w:hint="eastAsia"/>
          <w:sz w:val="32"/>
          <w:szCs w:val="32"/>
        </w:rPr>
        <w:t>9、领导本院干警的思想、政治、教育、培训、监察和纪检工作。依照权限</w:t>
      </w:r>
      <w:r>
        <w:rPr>
          <w:rFonts w:hint="eastAsia"/>
          <w:sz w:val="32"/>
          <w:szCs w:val="32"/>
          <w:lang w:eastAsia="zh-CN"/>
        </w:rPr>
        <w:t>管理</w:t>
      </w:r>
      <w:r>
        <w:rPr>
          <w:rFonts w:hint="eastAsia"/>
          <w:sz w:val="32"/>
          <w:szCs w:val="32"/>
        </w:rPr>
        <w:t>法官、执行员、书记员、司法警察、司法鉴定人员及司法行政人员，协同主管部门管理人民法院设置、人员编制工作，领导本院社团工作；</w:t>
      </w:r>
    </w:p>
    <w:p>
      <w:pPr>
        <w:pStyle w:val="38"/>
        <w:spacing w:before="0" w:line="360" w:lineRule="auto"/>
        <w:ind w:firstLine="660"/>
        <w:outlineLvl w:val="2"/>
        <w:rPr>
          <w:sz w:val="32"/>
          <w:szCs w:val="32"/>
        </w:rPr>
      </w:pPr>
      <w:bookmarkStart w:id="17" w:name="_Toc22525"/>
      <w:r>
        <w:rPr>
          <w:rFonts w:hint="eastAsia"/>
          <w:sz w:val="32"/>
          <w:szCs w:val="32"/>
        </w:rPr>
        <w:t>10、管理本院的有关经费和物质装备；</w:t>
      </w:r>
      <w:bookmarkEnd w:id="17"/>
    </w:p>
    <w:p>
      <w:pPr>
        <w:pStyle w:val="38"/>
        <w:spacing w:before="0" w:line="360" w:lineRule="auto"/>
        <w:ind w:firstLine="660"/>
        <w:rPr>
          <w:sz w:val="32"/>
          <w:szCs w:val="32"/>
        </w:rPr>
      </w:pPr>
      <w:r>
        <w:rPr>
          <w:rFonts w:hint="eastAsia"/>
          <w:sz w:val="32"/>
          <w:szCs w:val="32"/>
        </w:rPr>
        <w:t>11、宣传法制，教育公民，忠于社会主义祖国；自觉地遵守宪法、法律和社会公德；</w:t>
      </w:r>
    </w:p>
    <w:p>
      <w:pPr>
        <w:pStyle w:val="38"/>
        <w:spacing w:before="0" w:line="360" w:lineRule="auto"/>
        <w:ind w:firstLine="640" w:firstLineChars="200"/>
      </w:pPr>
      <w:r>
        <w:rPr>
          <w:rFonts w:hint="eastAsia"/>
          <w:sz w:val="32"/>
          <w:szCs w:val="32"/>
        </w:rPr>
        <w:t>12、承办其他应由本院负责的工作和县委、县人大及上级法院等上级组织和领导交办的其他工作。</w:t>
      </w:r>
    </w:p>
    <w:p>
      <w:pPr>
        <w:pStyle w:val="3"/>
        <w:rPr>
          <w:rStyle w:val="32"/>
          <w:rFonts w:ascii="Times New Roman" w:hAnsi="Times New Roman"/>
          <w:b w:val="0"/>
          <w:bCs w:val="0"/>
        </w:rPr>
      </w:pPr>
      <w:bookmarkStart w:id="18" w:name="_Toc15396601"/>
      <w:bookmarkStart w:id="19" w:name="_Toc15377200"/>
      <w:bookmarkStart w:id="20" w:name="_Toc7166"/>
      <w:r>
        <w:rPr>
          <w:rFonts w:hint="eastAsia" w:ascii="Times New Roman" w:hAnsi="Times New Roman" w:eastAsia="黑体"/>
          <w:b w:val="0"/>
        </w:rPr>
        <w:t>二、机</w:t>
      </w:r>
      <w:r>
        <w:rPr>
          <w:rStyle w:val="32"/>
          <w:rFonts w:hint="eastAsia" w:ascii="Times New Roman" w:hAnsi="Times New Roman" w:eastAsia="黑体"/>
          <w:b w:val="0"/>
          <w:bCs w:val="0"/>
        </w:rPr>
        <w:t>构设置</w:t>
      </w:r>
      <w:bookmarkEnd w:id="18"/>
      <w:bookmarkEnd w:id="19"/>
      <w:bookmarkEnd w:id="20"/>
    </w:p>
    <w:p>
      <w:pPr>
        <w:pStyle w:val="38"/>
        <w:spacing w:before="0" w:line="360" w:lineRule="auto"/>
        <w:ind w:firstLine="640" w:firstLineChars="200"/>
        <w:rPr>
          <w:sz w:val="32"/>
          <w:szCs w:val="32"/>
        </w:rPr>
      </w:pPr>
      <w:r>
        <w:rPr>
          <w:rFonts w:hint="eastAsia"/>
          <w:sz w:val="32"/>
          <w:szCs w:val="32"/>
        </w:rPr>
        <w:t>理县人民法院属财政全额拨款的行政单位，内设</w:t>
      </w:r>
      <w:r>
        <w:rPr>
          <w:rFonts w:hint="eastAsia"/>
        </w:rPr>
        <w:t>综合办公室、政治部、立案庭、综合审判庭、执行局、法警队</w:t>
      </w:r>
      <w:r>
        <w:rPr>
          <w:rFonts w:hint="eastAsia"/>
          <w:sz w:val="32"/>
          <w:szCs w:val="32"/>
        </w:rPr>
        <w:t>6个股室。理县法院机关及全额拨款编制为</w:t>
      </w:r>
      <w:r>
        <w:rPr>
          <w:rFonts w:hint="eastAsia"/>
          <w:sz w:val="32"/>
          <w:szCs w:val="32"/>
          <w:highlight w:val="none"/>
        </w:rPr>
        <w:t>5</w:t>
      </w:r>
      <w:r>
        <w:rPr>
          <w:rFonts w:hint="eastAsia"/>
          <w:sz w:val="32"/>
          <w:szCs w:val="32"/>
          <w:highlight w:val="none"/>
          <w:lang w:val="en-US" w:eastAsia="zh-CN"/>
        </w:rPr>
        <w:t>4</w:t>
      </w:r>
      <w:r>
        <w:rPr>
          <w:rFonts w:hint="eastAsia"/>
          <w:sz w:val="32"/>
          <w:szCs w:val="32"/>
        </w:rPr>
        <w:t>名，实有在职人员4</w:t>
      </w:r>
      <w:r>
        <w:rPr>
          <w:rFonts w:hint="eastAsia"/>
          <w:sz w:val="32"/>
          <w:szCs w:val="32"/>
          <w:lang w:val="en-US" w:eastAsia="zh-CN"/>
        </w:rPr>
        <w:t>8</w:t>
      </w:r>
      <w:r>
        <w:rPr>
          <w:rFonts w:hint="eastAsia"/>
          <w:sz w:val="32"/>
          <w:szCs w:val="32"/>
        </w:rPr>
        <w:t>人，车辆编制为12台,实有车辆1</w:t>
      </w:r>
      <w:bookmarkStart w:id="101" w:name="_GoBack"/>
      <w:bookmarkEnd w:id="101"/>
      <w:r>
        <w:rPr>
          <w:rFonts w:hint="eastAsia"/>
          <w:sz w:val="32"/>
          <w:szCs w:val="32"/>
        </w:rPr>
        <w:t>2台。</w:t>
      </w:r>
    </w:p>
    <w:p>
      <w:pPr>
        <w:widowControl/>
        <w:jc w:val="left"/>
        <w:rPr>
          <w:rFonts w:eastAsia="仿宋"/>
          <w:kern w:val="0"/>
          <w:sz w:val="32"/>
          <w:szCs w:val="32"/>
        </w:rPr>
      </w:pPr>
      <w:r>
        <w:rPr>
          <w:rFonts w:hint="eastAsia" w:ascii="仿宋" w:hAnsi="仿宋" w:eastAsia="仿宋"/>
          <w:sz w:val="32"/>
          <w:szCs w:val="32"/>
        </w:rPr>
        <w:t xml:space="preserve">    无下属二级预算单位。</w:t>
      </w:r>
      <w:r>
        <w:rPr>
          <w:rFonts w:ascii="仿宋" w:hAnsi="仿宋" w:eastAsia="仿宋"/>
          <w:sz w:val="32"/>
          <w:szCs w:val="32"/>
        </w:rPr>
        <w:br w:type="page"/>
      </w:r>
    </w:p>
    <w:p>
      <w:pPr>
        <w:pStyle w:val="2"/>
        <w:jc w:val="center"/>
        <w:rPr>
          <w:rFonts w:eastAsia="方正小标宋简体" w:cs="方正小标宋简体"/>
          <w:b w:val="0"/>
        </w:rPr>
      </w:pPr>
      <w:bookmarkStart w:id="21" w:name="_Toc9328"/>
      <w:bookmarkStart w:id="22" w:name="_Toc15396602"/>
      <w:bookmarkStart w:id="23" w:name="_Toc15377204"/>
      <w:r>
        <w:rPr>
          <w:rFonts w:hint="eastAsia" w:eastAsia="方正小标宋简体" w:cs="方正小标宋简体"/>
          <w:b w:val="0"/>
        </w:rPr>
        <w:t>第二部分  202</w:t>
      </w:r>
      <w:r>
        <w:rPr>
          <w:rFonts w:hint="eastAsia" w:eastAsia="方正小标宋简体" w:cs="方正小标宋简体"/>
          <w:b w:val="0"/>
          <w:lang w:val="en-US" w:eastAsia="zh-CN"/>
        </w:rPr>
        <w:t>5</w:t>
      </w:r>
      <w:r>
        <w:rPr>
          <w:rFonts w:hint="eastAsia" w:eastAsia="方正小标宋简体" w:cs="方正小标宋简体"/>
          <w:b w:val="0"/>
        </w:rPr>
        <w:t>年度部门决算情况说明</w:t>
      </w:r>
      <w:bookmarkEnd w:id="21"/>
      <w:bookmarkEnd w:id="22"/>
      <w:bookmarkEnd w:id="23"/>
    </w:p>
    <w:p/>
    <w:p>
      <w:pPr>
        <w:pStyle w:val="30"/>
        <w:spacing w:line="600" w:lineRule="exact"/>
        <w:ind w:firstLine="640"/>
        <w:outlineLvl w:val="1"/>
        <w:rPr>
          <w:rStyle w:val="32"/>
          <w:rFonts w:ascii="Times New Roman" w:hAnsi="Times New Roman" w:eastAsia="黑体"/>
          <w:b w:val="0"/>
        </w:rPr>
      </w:pPr>
      <w:bookmarkStart w:id="24" w:name="_Toc15396603"/>
      <w:bookmarkStart w:id="25" w:name="_Toc25327"/>
      <w:bookmarkStart w:id="26" w:name="_Toc15377205"/>
      <w:r>
        <w:rPr>
          <w:rFonts w:hint="eastAsia" w:eastAsia="黑体"/>
          <w:sz w:val="32"/>
          <w:szCs w:val="32"/>
        </w:rPr>
        <w:t>一、收</w:t>
      </w:r>
      <w:r>
        <w:rPr>
          <w:rStyle w:val="32"/>
          <w:rFonts w:hint="eastAsia" w:ascii="Times New Roman" w:hAnsi="Times New Roman" w:eastAsia="黑体"/>
          <w:b w:val="0"/>
        </w:rPr>
        <w:t>入支出决算总体情况说明</w:t>
      </w:r>
      <w:bookmarkEnd w:id="24"/>
      <w:bookmarkEnd w:id="25"/>
      <w:bookmarkEnd w:id="26"/>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eastAsia="仿宋_GB2312" w:cs="仿宋_GB2312"/>
          <w:sz w:val="32"/>
          <w:szCs w:val="32"/>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2135.08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270.69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14.5</w:t>
      </w:r>
      <w:r>
        <w:rPr>
          <w:rFonts w:hint="eastAsia" w:ascii="Times New Roman" w:hAnsi="Times New Roman" w:eastAsia="仿宋_GB2312" w:cs="仿宋_GB2312"/>
          <w:color w:val="auto"/>
          <w:sz w:val="32"/>
          <w:szCs w:val="32"/>
          <w:highlight w:val="none"/>
        </w:rPr>
        <w:t>%。主要变动原因是</w:t>
      </w:r>
      <w:r>
        <w:rPr>
          <w:rFonts w:hint="eastAsia" w:ascii="Times New Roman" w:hAnsi="Times New Roman" w:eastAsia="仿宋_GB2312" w:cs="仿宋_GB2312"/>
          <w:color w:val="auto"/>
          <w:sz w:val="32"/>
          <w:szCs w:val="32"/>
          <w:highlight w:val="none"/>
          <w:lang w:eastAsia="zh-CN"/>
        </w:rPr>
        <w:t>部分</w:t>
      </w:r>
      <w:r>
        <w:rPr>
          <w:rFonts w:hint="eastAsia" w:ascii="Times New Roman" w:hAnsi="Times New Roman" w:eastAsia="仿宋_GB2312" w:cs="仿宋_GB2312"/>
          <w:color w:val="auto"/>
          <w:sz w:val="32"/>
          <w:szCs w:val="32"/>
          <w:highlight w:val="none"/>
          <w:lang w:val="en-US" w:eastAsia="zh-CN"/>
        </w:rPr>
        <w:t>2024年度县级财政未保障资金在2025年度</w:t>
      </w:r>
      <w:r>
        <w:rPr>
          <w:rFonts w:hint="eastAsia" w:ascii="Times New Roman" w:hAnsi="Times New Roman" w:eastAsia="仿宋_GB2312" w:cs="仿宋_GB2312"/>
          <w:color w:val="auto"/>
          <w:sz w:val="32"/>
          <w:szCs w:val="32"/>
          <w:highlight w:val="none"/>
          <w:lang w:eastAsia="zh-CN"/>
        </w:rPr>
        <w:t>进行兑现保障</w:t>
      </w:r>
      <w:r>
        <w:rPr>
          <w:rFonts w:hint="eastAsia" w:eastAsia="仿宋_GB2312" w:cs="仿宋_GB2312"/>
          <w:color w:val="auto"/>
          <w:sz w:val="32"/>
          <w:szCs w:val="32"/>
        </w:rPr>
        <w:t>。</w:t>
      </w:r>
    </w:p>
    <w:p>
      <w:pPr>
        <w:ind w:firstLine="640" w:firstLineChars="200"/>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483225" cy="2828290"/>
            <wp:effectExtent l="4445" t="4445" r="1397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ind w:firstLine="640" w:firstLineChars="200"/>
        <w:rPr>
          <w:rFonts w:eastAsia="仿宋_GB2312" w:cs="仿宋_GB2312"/>
          <w:sz w:val="32"/>
          <w:szCs w:val="32"/>
        </w:rPr>
      </w:pPr>
      <w:r>
        <w:rPr>
          <w:rFonts w:hint="eastAsia" w:eastAsia="仿宋_GB2312" w:cs="仿宋_GB2312"/>
          <w:sz w:val="32"/>
          <w:szCs w:val="32"/>
        </w:rPr>
        <w:t>（图1：收入、支出决算总计变动情况图）（柱状图）</w:t>
      </w:r>
    </w:p>
    <w:p>
      <w:pPr>
        <w:pStyle w:val="30"/>
        <w:spacing w:line="600" w:lineRule="exact"/>
        <w:ind w:firstLine="640"/>
        <w:outlineLvl w:val="1"/>
        <w:rPr>
          <w:rFonts w:hint="eastAsia" w:ascii="Times New Roman" w:hAnsi="Times New Roman" w:eastAsia="黑体"/>
          <w:color w:val="auto"/>
          <w:sz w:val="32"/>
          <w:szCs w:val="32"/>
          <w:highlight w:val="none"/>
          <w:lang w:eastAsia="zh-CN"/>
        </w:rPr>
      </w:pPr>
      <w:bookmarkStart w:id="27" w:name="_Toc15377206"/>
      <w:bookmarkStart w:id="28" w:name="_Toc15396604"/>
      <w:bookmarkStart w:id="29" w:name="_Toc24672"/>
      <w:r>
        <w:rPr>
          <w:rFonts w:hint="eastAsia" w:eastAsia="黑体"/>
          <w:sz w:val="32"/>
          <w:szCs w:val="32"/>
        </w:rPr>
        <w:t>二、收入决算情况说明</w:t>
      </w:r>
      <w:bookmarkEnd w:id="27"/>
      <w:bookmarkEnd w:id="28"/>
      <w:bookmarkEnd w:id="29"/>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0000FF"/>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2135.08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1681.55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78.75</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453.53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21.24</w:t>
      </w:r>
      <w:r>
        <w:rPr>
          <w:rFonts w:hint="eastAsia" w:ascii="Times New Roman" w:hAnsi="Times New Roman" w:eastAsia="仿宋_GB2312" w:cs="仿宋_GB2312"/>
          <w:color w:val="auto"/>
          <w:sz w:val="32"/>
          <w:szCs w:val="32"/>
          <w:highlight w:val="none"/>
          <w:lang w:eastAsia="zh-CN"/>
        </w:rPr>
        <w:t>%。</w:t>
      </w:r>
    </w:p>
    <w:p>
      <w:pPr>
        <w:ind w:firstLine="800" w:firstLineChars="250"/>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514340" cy="3139440"/>
            <wp:effectExtent l="4445" t="4445" r="13335" b="1079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ind w:firstLine="2080" w:firstLineChars="650"/>
        <w:rPr>
          <w:rFonts w:eastAsia="仿宋_GB2312" w:cs="仿宋_GB2312"/>
          <w:sz w:val="32"/>
          <w:szCs w:val="32"/>
        </w:rPr>
      </w:pPr>
      <w:r>
        <w:rPr>
          <w:rFonts w:hint="eastAsia" w:eastAsia="仿宋_GB2312" w:cs="仿宋_GB2312"/>
          <w:sz w:val="32"/>
          <w:szCs w:val="32"/>
        </w:rPr>
        <w:t>（图2：</w:t>
      </w:r>
      <w:bookmarkStart w:id="30" w:name="OLE_LINK1"/>
      <w:r>
        <w:rPr>
          <w:rFonts w:hint="eastAsia" w:eastAsia="仿宋_GB2312" w:cs="仿宋_GB2312"/>
          <w:sz w:val="32"/>
          <w:szCs w:val="32"/>
        </w:rPr>
        <w:t>收入决算结构图</w:t>
      </w:r>
      <w:bookmarkEnd w:id="30"/>
      <w:r>
        <w:rPr>
          <w:rFonts w:hint="eastAsia" w:eastAsia="仿宋_GB2312" w:cs="仿宋_GB2312"/>
          <w:sz w:val="32"/>
          <w:szCs w:val="32"/>
        </w:rPr>
        <w:t>）（饼状图）</w:t>
      </w:r>
    </w:p>
    <w:p>
      <w:pPr>
        <w:pStyle w:val="30"/>
        <w:spacing w:line="600" w:lineRule="exact"/>
        <w:ind w:firstLine="640"/>
        <w:outlineLvl w:val="1"/>
        <w:rPr>
          <w:rStyle w:val="32"/>
          <w:rFonts w:ascii="Times New Roman" w:hAnsi="Times New Roman" w:eastAsia="黑体"/>
          <w:b w:val="0"/>
        </w:rPr>
      </w:pPr>
      <w:bookmarkStart w:id="31" w:name="_Toc15377207"/>
      <w:bookmarkStart w:id="32" w:name="_Toc15342"/>
      <w:bookmarkStart w:id="33" w:name="_Toc15396605"/>
      <w:r>
        <w:rPr>
          <w:rFonts w:hint="eastAsia" w:eastAsia="黑体"/>
          <w:sz w:val="32"/>
          <w:szCs w:val="32"/>
        </w:rPr>
        <w:t>三、支</w:t>
      </w:r>
      <w:r>
        <w:rPr>
          <w:rStyle w:val="32"/>
          <w:rFonts w:hint="eastAsia" w:ascii="Times New Roman" w:hAnsi="Times New Roman" w:eastAsia="黑体"/>
          <w:b w:val="0"/>
        </w:rPr>
        <w:t>出决算情况说明</w:t>
      </w:r>
      <w:bookmarkEnd w:id="31"/>
      <w:bookmarkEnd w:id="32"/>
      <w:bookmarkEnd w:id="33"/>
    </w:p>
    <w:p>
      <w:pPr>
        <w:pStyle w:val="30"/>
        <w:spacing w:line="600" w:lineRule="exact"/>
        <w:ind w:firstLine="640"/>
        <w:jc w:val="left"/>
        <w:rPr>
          <w:rFonts w:eastAsia="仿宋_GB2312" w:cs="仿宋_GB2312"/>
          <w:sz w:val="32"/>
          <w:szCs w:val="32"/>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2135.08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1536.25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71.95</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598.83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28.0</w:t>
      </w:r>
      <w:r>
        <w:rPr>
          <w:rFonts w:hint="eastAsia" w:ascii="仿宋_GB2312" w:hAnsi="仿宋_GB2312" w:eastAsia="仿宋_GB2312" w:cs="仿宋_GB2312"/>
          <w:sz w:val="32"/>
          <w:szCs w:val="32"/>
          <w:lang w:val="en-US" w:eastAsia="zh-CN"/>
        </w:rPr>
        <w:t>5</w:t>
      </w:r>
      <w:r>
        <w:rPr>
          <w:rFonts w:hint="eastAsia" w:ascii="Times New Roman" w:hAnsi="Times New Roman" w:eastAsia="仿宋_GB2312" w:cs="仿宋_GB2312"/>
          <w:color w:val="auto"/>
          <w:sz w:val="32"/>
          <w:szCs w:val="32"/>
          <w:highlight w:val="none"/>
          <w:lang w:eastAsia="zh-CN"/>
        </w:rPr>
        <w:t>%</w:t>
      </w:r>
      <w:r>
        <w:rPr>
          <w:rFonts w:hint="eastAsia" w:ascii="仿宋_GB2312" w:hAnsi="仿宋_GB2312" w:eastAsia="仿宋_GB2312" w:cs="仿宋_GB2312"/>
          <w:sz w:val="32"/>
          <w:szCs w:val="32"/>
        </w:rPr>
        <w:t>。</w:t>
      </w:r>
    </w:p>
    <w:p>
      <w:pPr>
        <w:ind w:firstLine="800" w:firstLineChars="250"/>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080000" cy="2567940"/>
            <wp:effectExtent l="4445" t="4445" r="5715" b="1841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ind w:firstLine="1760" w:firstLineChars="550"/>
        <w:rPr>
          <w:rFonts w:eastAsia="仿宋_GB2312" w:cs="仿宋_GB2312"/>
          <w:sz w:val="32"/>
          <w:szCs w:val="32"/>
        </w:rPr>
      </w:pPr>
      <w:r>
        <w:rPr>
          <w:rFonts w:hint="eastAsia" w:eastAsia="仿宋_GB2312" w:cs="仿宋_GB2312"/>
          <w:sz w:val="32"/>
          <w:szCs w:val="32"/>
        </w:rPr>
        <w:t>（图3：支出决算结构图）（饼状图）</w:t>
      </w:r>
    </w:p>
    <w:p>
      <w:pPr>
        <w:spacing w:line="600" w:lineRule="exact"/>
        <w:ind w:firstLine="640" w:firstLineChars="200"/>
        <w:outlineLvl w:val="1"/>
        <w:rPr>
          <w:rStyle w:val="32"/>
          <w:rFonts w:ascii="Times New Roman" w:hAnsi="Times New Roman" w:eastAsia="黑体"/>
          <w:b w:val="0"/>
        </w:rPr>
      </w:pPr>
      <w:bookmarkStart w:id="34" w:name="_Toc15377208"/>
      <w:bookmarkStart w:id="35" w:name="_Toc29075"/>
      <w:bookmarkStart w:id="36" w:name="_Toc15396606"/>
      <w:r>
        <w:rPr>
          <w:rFonts w:hint="eastAsia" w:eastAsia="黑体"/>
          <w:sz w:val="32"/>
          <w:szCs w:val="32"/>
        </w:rPr>
        <w:t>四、财</w:t>
      </w:r>
      <w:r>
        <w:rPr>
          <w:rStyle w:val="32"/>
          <w:rFonts w:hint="eastAsia" w:ascii="Times New Roman" w:hAnsi="Times New Roman" w:eastAsia="黑体"/>
          <w:b w:val="0"/>
        </w:rPr>
        <w:t>政拨款收入支出决算总体情况说明</w:t>
      </w:r>
      <w:bookmarkEnd w:id="34"/>
      <w:bookmarkEnd w:id="35"/>
      <w:bookmarkEnd w:id="36"/>
    </w:p>
    <w:p>
      <w:pPr>
        <w:spacing w:line="600" w:lineRule="exact"/>
        <w:ind w:firstLine="640"/>
        <w:rPr>
          <w:rFonts w:hint="eastAsia" w:eastAsia="仿宋_GB2312" w:cs="仿宋_GB2312"/>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1681.55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81.82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5.1</w:t>
      </w:r>
      <w:r>
        <w:rPr>
          <w:rFonts w:hint="eastAsia" w:ascii="Times New Roman" w:hAnsi="Times New Roman" w:eastAsia="仿宋_GB2312" w:cs="仿宋_GB2312"/>
          <w:color w:val="auto"/>
          <w:kern w:val="2"/>
          <w:sz w:val="32"/>
          <w:szCs w:val="32"/>
          <w:highlight w:val="none"/>
          <w:lang w:val="en-US" w:eastAsia="zh-CN" w:bidi="ar-SA"/>
        </w:rPr>
        <w:t>%。部分2024年度县级财政未保障资金在2025年度进行兑现保障</w:t>
      </w:r>
      <w:r>
        <w:rPr>
          <w:rFonts w:hint="eastAsia" w:eastAsia="仿宋_GB2312" w:cs="仿宋_GB2312"/>
          <w:sz w:val="32"/>
          <w:szCs w:val="32"/>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eastAsia="zh-CN"/>
        </w:rPr>
        <w:drawing>
          <wp:anchor distT="0" distB="0" distL="114935" distR="114935" simplePos="0" relativeHeight="251660288" behindDoc="0" locked="0" layoutInCell="1" allowOverlap="1">
            <wp:simplePos x="0" y="0"/>
            <wp:positionH relativeFrom="column">
              <wp:posOffset>-213360</wp:posOffset>
            </wp:positionH>
            <wp:positionV relativeFrom="paragraph">
              <wp:posOffset>308610</wp:posOffset>
            </wp:positionV>
            <wp:extent cx="6557645" cy="2020570"/>
            <wp:effectExtent l="4445" t="4445" r="635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w:t>
      </w:r>
      <w:r>
        <w:rPr>
          <w:rFonts w:hint="eastAsia" w:eastAsia="仿宋_GB2312" w:cs="仿宋_GB2312"/>
          <w:sz w:val="32"/>
          <w:szCs w:val="32"/>
          <w:lang w:eastAsia="zh-CN"/>
        </w:rPr>
        <w:t>收、支决</w:t>
      </w:r>
      <w:r>
        <w:rPr>
          <w:rFonts w:hint="eastAsia" w:eastAsia="仿宋_GB2312" w:cs="仿宋_GB2312"/>
          <w:sz w:val="32"/>
          <w:szCs w:val="32"/>
        </w:rPr>
        <w:t>算总计变动情况）（柱状图）</w:t>
      </w:r>
    </w:p>
    <w:p>
      <w:pPr>
        <w:spacing w:line="600" w:lineRule="exact"/>
        <w:ind w:firstLine="640" w:firstLineChars="200"/>
        <w:outlineLvl w:val="1"/>
        <w:rPr>
          <w:rStyle w:val="32"/>
          <w:rFonts w:ascii="Times New Roman" w:hAnsi="Times New Roman" w:eastAsia="黑体"/>
          <w:b w:val="0"/>
        </w:rPr>
      </w:pPr>
      <w:bookmarkStart w:id="37" w:name="_Toc27624"/>
      <w:bookmarkStart w:id="38" w:name="_Toc15396607"/>
      <w:bookmarkStart w:id="39" w:name="_Toc15377209"/>
      <w:r>
        <w:rPr>
          <w:rFonts w:hint="eastAsia" w:eastAsia="黑体"/>
          <w:sz w:val="32"/>
          <w:szCs w:val="32"/>
        </w:rPr>
        <w:t>五、</w:t>
      </w:r>
      <w:r>
        <w:rPr>
          <w:rFonts w:hint="eastAsia" w:eastAsia="黑体"/>
          <w:b/>
          <w:sz w:val="32"/>
          <w:szCs w:val="32"/>
        </w:rPr>
        <w:t>一</w:t>
      </w:r>
      <w:r>
        <w:rPr>
          <w:rStyle w:val="32"/>
          <w:rFonts w:hint="eastAsia" w:ascii="Times New Roman" w:hAnsi="Times New Roman" w:eastAsia="黑体"/>
          <w:b w:val="0"/>
        </w:rPr>
        <w:t>般公共预算财政拨款支出决算情况说明</w:t>
      </w:r>
      <w:bookmarkEnd w:id="37"/>
      <w:bookmarkEnd w:id="38"/>
      <w:bookmarkEnd w:id="39"/>
    </w:p>
    <w:p>
      <w:pPr>
        <w:spacing w:line="600" w:lineRule="exact"/>
        <w:ind w:firstLine="642" w:firstLineChars="200"/>
        <w:outlineLvl w:val="2"/>
        <w:rPr>
          <w:rFonts w:eastAsia="楷体_GB2312" w:cs="楷体_GB2312"/>
          <w:b/>
          <w:sz w:val="32"/>
          <w:szCs w:val="32"/>
        </w:rPr>
      </w:pPr>
      <w:bookmarkStart w:id="40" w:name="_Toc15377210"/>
      <w:bookmarkStart w:id="41" w:name="_Toc3730"/>
      <w:r>
        <w:rPr>
          <w:rFonts w:hint="eastAsia" w:eastAsia="楷体_GB2312" w:cs="楷体_GB2312"/>
          <w:b/>
          <w:sz w:val="32"/>
          <w:szCs w:val="32"/>
        </w:rPr>
        <w:t>（一）一般公共预算财政拨款支出决算总体情况</w:t>
      </w:r>
      <w:bookmarkEnd w:id="40"/>
      <w:bookmarkEnd w:id="41"/>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eastAsia="zh-CN"/>
        </w:rPr>
        <w:drawing>
          <wp:anchor distT="0" distB="0" distL="114300" distR="114300" simplePos="0" relativeHeight="251661312" behindDoc="0" locked="0" layoutInCell="1" allowOverlap="1">
            <wp:simplePos x="0" y="0"/>
            <wp:positionH relativeFrom="column">
              <wp:posOffset>106045</wp:posOffset>
            </wp:positionH>
            <wp:positionV relativeFrom="paragraph">
              <wp:posOffset>1964055</wp:posOffset>
            </wp:positionV>
            <wp:extent cx="5080000" cy="1913255"/>
            <wp:effectExtent l="4445" t="4445" r="5715" b="1778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1681.55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78.75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81.82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kern w:val="2"/>
          <w:sz w:val="32"/>
          <w:szCs w:val="32"/>
          <w:highlight w:val="none"/>
          <w:lang w:val="en-US" w:eastAsia="zh-CN" w:bidi="ar-SA"/>
        </w:rPr>
        <w:t>部分2024年度县级财政未保障资金在2025年度进行兑现保障</w:t>
      </w:r>
      <w:r>
        <w:rPr>
          <w:rFonts w:hint="eastAsia" w:eastAsia="仿宋_GB2312" w:cs="仿宋_GB2312"/>
          <w:sz w:val="32"/>
          <w:szCs w:val="32"/>
        </w:rPr>
        <w:t>。</w:t>
      </w:r>
      <w:bookmarkStart w:id="42" w:name="_Toc15377211"/>
    </w:p>
    <w:p>
      <w:pPr>
        <w:spacing w:line="600" w:lineRule="exact"/>
        <w:rPr>
          <w:rFonts w:hint="eastAsia" w:eastAsia="楷体_GB2312" w:cs="楷体_GB2312"/>
          <w:b/>
          <w:sz w:val="32"/>
          <w:szCs w:val="32"/>
        </w:rPr>
      </w:pPr>
      <w:r>
        <w:rPr>
          <w:rFonts w:hint="eastAsia" w:eastAsia="仿宋_GB2312" w:cs="仿宋_GB2312"/>
          <w:sz w:val="32"/>
          <w:szCs w:val="32"/>
        </w:rPr>
        <w:t>（图5：一般公共预算财政拨款支出决算变动情况）（柱状图）</w:t>
      </w:r>
    </w:p>
    <w:p>
      <w:pPr>
        <w:spacing w:line="600" w:lineRule="exact"/>
        <w:ind w:firstLine="642" w:firstLineChars="200"/>
        <w:outlineLvl w:val="2"/>
        <w:rPr>
          <w:rFonts w:hint="eastAsia" w:eastAsia="仿宋_GB2312" w:cs="仿宋_GB2312"/>
          <w:sz w:val="32"/>
          <w:szCs w:val="32"/>
        </w:rPr>
      </w:pPr>
      <w:bookmarkStart w:id="43" w:name="_Toc1862"/>
      <w:r>
        <w:rPr>
          <w:rFonts w:hint="eastAsia" w:eastAsia="楷体_GB2312" w:cs="楷体_GB2312"/>
          <w:b/>
          <w:sz w:val="32"/>
          <w:szCs w:val="32"/>
        </w:rPr>
        <w:t>（二）一般公共预算财政拨款支出决算结构情况</w:t>
      </w:r>
      <w:bookmarkEnd w:id="42"/>
      <w:bookmarkEnd w:id="43"/>
    </w:p>
    <w:p>
      <w:pPr>
        <w:spacing w:line="600" w:lineRule="exact"/>
        <w:ind w:firstLine="640"/>
        <w:rPr>
          <w:rFonts w:eastAsia="仿宋_GB2312" w:cs="仿宋_GB2312"/>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1681.55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1379.53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82.04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141.26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63.62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3.78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97.14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5.78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eastAsia="仿宋_GB2312" w:cs="仿宋_GB2312"/>
          <w:sz w:val="32"/>
          <w:szCs w:val="32"/>
        </w:rPr>
      </w:pPr>
      <w:r>
        <w:drawing>
          <wp:anchor distT="0" distB="0" distL="114300" distR="114300" simplePos="0" relativeHeight="251659264" behindDoc="1" locked="0" layoutInCell="1" allowOverlap="1">
            <wp:simplePos x="0" y="0"/>
            <wp:positionH relativeFrom="column">
              <wp:posOffset>395605</wp:posOffset>
            </wp:positionH>
            <wp:positionV relativeFrom="paragraph">
              <wp:posOffset>221615</wp:posOffset>
            </wp:positionV>
            <wp:extent cx="4572000" cy="2743200"/>
            <wp:effectExtent l="4445" t="4445" r="10795" b="10795"/>
            <wp:wrapTight wrapText="bothSides">
              <wp:wrapPolygon>
                <wp:start x="-21" y="-35"/>
                <wp:lineTo x="-21" y="21565"/>
                <wp:lineTo x="21579" y="21565"/>
                <wp:lineTo x="21579" y="-35"/>
                <wp:lineTo x="-21" y="-35"/>
              </wp:wrapPolygon>
            </wp:wrapTight>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t>（图6：</w:t>
      </w:r>
      <w:bookmarkStart w:id="44" w:name="OLE_LINK2"/>
      <w:r>
        <w:rPr>
          <w:rFonts w:hint="eastAsia" w:eastAsia="仿宋_GB2312" w:cs="仿宋_GB2312"/>
          <w:sz w:val="32"/>
          <w:szCs w:val="32"/>
        </w:rPr>
        <w:t>一般公共预算财政拨款支出决算结构</w:t>
      </w:r>
      <w:bookmarkEnd w:id="44"/>
      <w:r>
        <w:rPr>
          <w:rFonts w:hint="eastAsia" w:eastAsia="仿宋_GB2312" w:cs="仿宋_GB2312"/>
          <w:sz w:val="32"/>
          <w:szCs w:val="32"/>
        </w:rPr>
        <w:t>）（饼状图）</w:t>
      </w:r>
    </w:p>
    <w:p>
      <w:pPr>
        <w:spacing w:line="600" w:lineRule="exact"/>
        <w:ind w:firstLine="642" w:firstLineChars="200"/>
        <w:outlineLvl w:val="2"/>
        <w:rPr>
          <w:rFonts w:eastAsia="楷体_GB2312" w:cs="楷体_GB2312"/>
          <w:b/>
          <w:sz w:val="32"/>
          <w:szCs w:val="32"/>
        </w:rPr>
      </w:pPr>
      <w:bookmarkStart w:id="45" w:name="_Toc15377212"/>
      <w:bookmarkStart w:id="46" w:name="_Toc31232"/>
      <w:r>
        <w:rPr>
          <w:rFonts w:hint="eastAsia" w:eastAsia="楷体_GB2312" w:cs="楷体_GB2312"/>
          <w:b/>
          <w:sz w:val="32"/>
          <w:szCs w:val="32"/>
        </w:rPr>
        <w:t>（三）一般公共预算财政拨款支出决算具体情况</w:t>
      </w:r>
      <w:bookmarkEnd w:id="45"/>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7" w:name="_Toc15378460"/>
      <w:bookmarkStart w:id="48" w:name="_Toc15377444"/>
      <w:bookmarkStart w:id="49"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1681.55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7"/>
      <w:bookmarkEnd w:id="48"/>
      <w:bookmarkEnd w:id="49"/>
    </w:p>
    <w:p>
      <w:pPr>
        <w:numPr>
          <w:ilvl w:val="0"/>
          <w:numId w:val="2"/>
        </w:numPr>
        <w:spacing w:line="600" w:lineRule="exact"/>
        <w:ind w:left="200" w:leftChars="0" w:firstLine="640" w:firstLineChars="0"/>
        <w:rPr>
          <w:rFonts w:hint="eastAsia"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一般公共服务（类）（款）（项）</w:t>
      </w:r>
      <w:r>
        <w:rPr>
          <w:rFonts w:hint="eastAsia" w:eastAsia="仿宋_GB2312" w:cs="仿宋_GB2312"/>
          <w:color w:val="auto"/>
          <w:kern w:val="2"/>
          <w:sz w:val="32"/>
          <w:szCs w:val="32"/>
          <w:highlight w:val="none"/>
          <w:lang w:val="en-US" w:eastAsia="zh-CN" w:bidi="ar-SA"/>
        </w:rPr>
        <w:t>204：</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1379.53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sz w:val="32"/>
          <w:szCs w:val="32"/>
        </w:rPr>
        <w:t>决算数等于预算数。</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sz w:val="32"/>
          <w:szCs w:val="32"/>
        </w:rPr>
        <w:t>社会保障和就业（类）（款）（项）208：支出决算为</w:t>
      </w:r>
      <w:r>
        <w:rPr>
          <w:rFonts w:hint="eastAsia" w:eastAsia="仿宋_GB2312" w:cs="仿宋_GB2312"/>
          <w:sz w:val="32"/>
          <w:szCs w:val="32"/>
          <w:lang w:val="en-US" w:eastAsia="zh-CN"/>
        </w:rPr>
        <w:t>141.26</w:t>
      </w:r>
      <w:r>
        <w:rPr>
          <w:rFonts w:hint="eastAsia" w:eastAsia="仿宋_GB2312" w:cs="仿宋_GB2312"/>
          <w:sz w:val="32"/>
          <w:szCs w:val="32"/>
        </w:rPr>
        <w:t>万元，完成预算100%，决算数等于预算数。</w:t>
      </w:r>
    </w:p>
    <w:p>
      <w:pPr>
        <w:numPr>
          <w:ilvl w:val="0"/>
          <w:numId w:val="0"/>
        </w:numPr>
        <w:spacing w:line="600" w:lineRule="exact"/>
        <w:ind w:firstLine="640" w:firstLineChars="200"/>
        <w:rPr>
          <w:rFonts w:hint="eastAsia" w:eastAsia="仿宋_GB2312" w:cs="仿宋_GB2312"/>
          <w:sz w:val="32"/>
          <w:szCs w:val="32"/>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.卫生健康（类）（款）（项）</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63.62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sz w:val="32"/>
          <w:szCs w:val="32"/>
        </w:rPr>
        <w:t>决算数等于预算数。</w:t>
      </w:r>
    </w:p>
    <w:p>
      <w:pPr>
        <w:numPr>
          <w:ilvl w:val="0"/>
          <w:numId w:val="0"/>
        </w:numPr>
        <w:spacing w:line="600" w:lineRule="exact"/>
        <w:ind w:firstLine="640" w:firstLineChars="200"/>
        <w:rPr>
          <w:rFonts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住房保障支出（类）（款）（项）221：支出决算为</w:t>
      </w:r>
      <w:r>
        <w:rPr>
          <w:rFonts w:hint="eastAsia" w:eastAsia="仿宋_GB2312" w:cs="仿宋_GB2312"/>
          <w:sz w:val="32"/>
          <w:szCs w:val="32"/>
          <w:lang w:val="en-US" w:eastAsia="zh-CN"/>
        </w:rPr>
        <w:t>97.14</w:t>
      </w:r>
      <w:r>
        <w:rPr>
          <w:rFonts w:hint="eastAsia" w:eastAsia="仿宋_GB2312" w:cs="仿宋_GB2312"/>
          <w:sz w:val="32"/>
          <w:szCs w:val="32"/>
        </w:rPr>
        <w:t>万元，完成预算100%，决算数等于预算数。</w:t>
      </w:r>
    </w:p>
    <w:p>
      <w:pPr>
        <w:tabs>
          <w:tab w:val="right" w:pos="8306"/>
        </w:tabs>
        <w:spacing w:line="600" w:lineRule="exact"/>
        <w:ind w:firstLine="640"/>
        <w:outlineLvl w:val="1"/>
        <w:rPr>
          <w:rStyle w:val="32"/>
          <w:rFonts w:ascii="Times New Roman" w:hAnsi="Times New Roman"/>
        </w:rPr>
      </w:pPr>
      <w:bookmarkStart w:id="50" w:name="_Toc15396608"/>
      <w:bookmarkStart w:id="51" w:name="_Toc15377214"/>
      <w:bookmarkStart w:id="52" w:name="_Toc20093"/>
      <w:r>
        <w:rPr>
          <w:rFonts w:hint="eastAsia" w:eastAsia="黑体"/>
          <w:sz w:val="32"/>
          <w:szCs w:val="32"/>
        </w:rPr>
        <w:t>六</w:t>
      </w:r>
      <w:r>
        <w:rPr>
          <w:rFonts w:hint="eastAsia" w:eastAsia="黑体"/>
          <w:b/>
          <w:sz w:val="32"/>
          <w:szCs w:val="32"/>
        </w:rPr>
        <w:t>、一</w:t>
      </w:r>
      <w:r>
        <w:rPr>
          <w:rStyle w:val="32"/>
          <w:rFonts w:hint="eastAsia" w:ascii="Times New Roman" w:hAnsi="Times New Roman" w:eastAsia="黑体"/>
          <w:b w:val="0"/>
        </w:rPr>
        <w:t>般公共预算财政拨款基本支出决算情况说明</w:t>
      </w:r>
      <w:bookmarkEnd w:id="50"/>
      <w:bookmarkEnd w:id="51"/>
      <w:bookmarkEnd w:id="52"/>
      <w:r>
        <w:rPr>
          <w:rStyle w:val="32"/>
          <w:rFonts w:ascii="Times New Roman" w:hAnsi="Times New Roman" w:eastAsia="黑体"/>
          <w:b w:val="0"/>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3" w:name="_Toc16759"/>
      <w:bookmarkStart w:id="54" w:name="_Toc15377215"/>
      <w:bookmarkStart w:id="55" w:name="_Toc15396609"/>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1082.72</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1010.28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72.44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32"/>
          <w:rFonts w:ascii="Times New Roman" w:hAnsi="Times New Roman" w:eastAsia="黑体"/>
          <w:b w:val="0"/>
        </w:rPr>
      </w:pPr>
      <w:r>
        <w:rPr>
          <w:rFonts w:hint="eastAsia" w:eastAsia="黑体"/>
          <w:sz w:val="32"/>
          <w:szCs w:val="32"/>
        </w:rPr>
        <w:t>七、</w:t>
      </w:r>
      <w:r>
        <w:rPr>
          <w:rStyle w:val="32"/>
          <w:rFonts w:hint="eastAsia" w:ascii="Times New Roman" w:hAnsi="Times New Roman" w:eastAsia="黑体"/>
          <w:b w:val="0"/>
        </w:rPr>
        <w:t>财政拨款</w:t>
      </w:r>
      <w:r>
        <w:rPr>
          <w:rStyle w:val="32"/>
          <w:rFonts w:hint="eastAsia" w:ascii="Times New Roman" w:hAnsi="Times New Roman" w:eastAsia="黑体"/>
        </w:rPr>
        <w:t>“</w:t>
      </w:r>
      <w:r>
        <w:rPr>
          <w:rStyle w:val="32"/>
          <w:rFonts w:hint="eastAsia" w:ascii="Times New Roman" w:hAnsi="Times New Roman" w:eastAsia="黑体"/>
          <w:b w:val="0"/>
        </w:rPr>
        <w:t>三公”经费支出决算情况说明</w:t>
      </w:r>
      <w:bookmarkEnd w:id="53"/>
      <w:bookmarkEnd w:id="54"/>
      <w:bookmarkEnd w:id="55"/>
    </w:p>
    <w:p>
      <w:pPr>
        <w:spacing w:line="600" w:lineRule="exact"/>
        <w:ind w:firstLine="642" w:firstLineChars="200"/>
        <w:outlineLvl w:val="2"/>
        <w:rPr>
          <w:rFonts w:eastAsia="楷体_GB2312" w:cs="楷体_GB2312"/>
          <w:b/>
          <w:sz w:val="32"/>
          <w:szCs w:val="32"/>
        </w:rPr>
      </w:pPr>
      <w:bookmarkStart w:id="56" w:name="_Toc15377216"/>
      <w:bookmarkStart w:id="57" w:name="_Toc29676"/>
      <w:r>
        <w:rPr>
          <w:rFonts w:hint="eastAsia" w:eastAsia="楷体_GB2312" w:cs="楷体_GB2312"/>
          <w:b/>
          <w:sz w:val="32"/>
          <w:szCs w:val="32"/>
        </w:rPr>
        <w:t>（一）“三公”经费财政拨款支出决算总体情况说明</w:t>
      </w:r>
      <w:bookmarkEnd w:id="56"/>
      <w:bookmarkEnd w:id="5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8" w:name="_Toc15396610"/>
      <w:bookmarkStart w:id="59" w:name="_Toc15843"/>
      <w:bookmarkStart w:id="60" w:name="_Toc15377218"/>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3.54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99.33</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49.64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93.34</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%。决算数小于预算数的主要原因是公务用车运行维护费</w:t>
      </w:r>
      <w:r>
        <w:rPr>
          <w:rFonts w:hint="eastAsia" w:eastAsia="仿宋_GB2312" w:cs="仿宋_GB2312"/>
          <w:color w:val="auto"/>
          <w:kern w:val="2"/>
          <w:sz w:val="32"/>
          <w:szCs w:val="32"/>
          <w:highlight w:val="none"/>
          <w:lang w:val="en-US" w:eastAsia="zh-CN" w:bidi="ar-SA"/>
        </w:rPr>
        <w:t>减少。</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2.87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81.07</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18.93</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-31115</wp:posOffset>
            </wp:positionH>
            <wp:positionV relativeFrom="paragraph">
              <wp:posOffset>278765</wp:posOffset>
            </wp:positionV>
            <wp:extent cx="5080000" cy="3192780"/>
            <wp:effectExtent l="4445" t="4445" r="5715" b="1841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2.87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99.33</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48.94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94.46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当年无公务用车购置需求。</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sz w:val="32"/>
          <w:szCs w:val="32"/>
        </w:rPr>
        <w:t>单位共有公务用车12辆，其中：</w:t>
      </w:r>
      <w:r>
        <w:rPr>
          <w:rFonts w:hint="eastAsia" w:ascii="仿宋_GB2312" w:eastAsia="仿宋_GB2312"/>
          <w:sz w:val="32"/>
          <w:szCs w:val="32"/>
        </w:rPr>
        <w:t>轿车2辆、越野车8辆、载客汽车2辆</w:t>
      </w:r>
      <w:r>
        <w:rPr>
          <w:rFonts w:hint="eastAsia" w:ascii="Times New Roman" w:hAnsi="Times New Roman" w:eastAsia="仿宋_GB2312" w:cs="仿宋_GB2312"/>
          <w:color w:val="4F81BD" w:themeColor="accent1"/>
          <w:kern w:val="2"/>
          <w:sz w:val="32"/>
          <w:szCs w:val="32"/>
          <w:highlight w:val="none"/>
          <w:lang w:val="en-US" w:eastAsia="zh-CN" w:bidi="ar-SA"/>
          <w14:textFill>
            <w14:solidFill>
              <w14:schemeClr w14:val="accent1"/>
            </w14:solidFill>
          </w14:textFill>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2.87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sz w:val="32"/>
          <w:szCs w:val="32"/>
        </w:rPr>
        <w:t>审判、执行</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0.67</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0.71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51.45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sz w:val="32"/>
          <w:szCs w:val="32"/>
        </w:rPr>
        <w:t>厉行勤俭节约</w:t>
      </w:r>
      <w:r>
        <w:rPr>
          <w:rFonts w:hint="eastAsia" w:ascii="Times New Roman" w:hAnsi="Times New Roman" w:eastAsia="仿宋_GB2312" w:cs="仿宋_GB2312"/>
          <w:color w:val="auto"/>
          <w:kern w:val="2"/>
          <w:sz w:val="32"/>
          <w:szCs w:val="32"/>
          <w:highlight w:val="none"/>
          <w:lang w:val="en-US" w:eastAsia="zh-CN" w:bidi="ar-SA"/>
        </w:rPr>
        <w:t>。其中：国内公务接待支出</w:t>
      </w:r>
      <w:r>
        <w:rPr>
          <w:rFonts w:hint="eastAsia" w:ascii="仿宋_GB2312" w:hAnsi="仿宋_GB2312" w:eastAsia="仿宋_GB2312" w:cs="仿宋_GB2312"/>
          <w:sz w:val="32"/>
          <w:szCs w:val="32"/>
        </w:rPr>
        <w:t>0.67</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ascii="仿宋_GB2312" w:hAnsi="仿宋_GB2312" w:eastAsia="仿宋_GB2312" w:cs="仿宋_GB2312"/>
          <w:sz w:val="32"/>
          <w:szCs w:val="32"/>
        </w:rPr>
        <w:t>8</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50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0.67</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sz w:val="32"/>
          <w:szCs w:val="32"/>
        </w:rPr>
        <w:t>上级部门检查、调研，对口援助法院开展援助工作。</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outlineLvl w:val="1"/>
        <w:rPr>
          <w:rStyle w:val="32"/>
          <w:rFonts w:ascii="Times New Roman" w:hAnsi="Times New Roman" w:eastAsia="黑体"/>
        </w:rPr>
      </w:pPr>
      <w:r>
        <w:rPr>
          <w:rFonts w:hint="eastAsia" w:eastAsia="黑体"/>
          <w:sz w:val="32"/>
          <w:szCs w:val="32"/>
        </w:rPr>
        <w:t>八、</w:t>
      </w:r>
      <w:r>
        <w:rPr>
          <w:rStyle w:val="32"/>
          <w:rFonts w:hint="eastAsia" w:ascii="Times New Roman" w:hAnsi="Times New Roman" w:eastAsia="黑体"/>
          <w:b w:val="0"/>
        </w:rPr>
        <w:t>政府性基金预算支出决算情况说明</w:t>
      </w:r>
      <w:bookmarkEnd w:id="58"/>
      <w:bookmarkEnd w:id="59"/>
      <w:bookmarkEnd w:id="60"/>
    </w:p>
    <w:p>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2025年度政府性基金预算财政拨款支出0万元，占本年支出合计的0%。与2024年度相比，政府性基金预算财政拨款支出持平。</w:t>
      </w:r>
    </w:p>
    <w:p>
      <w:pPr>
        <w:spacing w:line="600" w:lineRule="exact"/>
        <w:ind w:left="630"/>
        <w:outlineLvl w:val="1"/>
        <w:rPr>
          <w:rStyle w:val="32"/>
          <w:rFonts w:ascii="Times New Roman" w:hAnsi="Times New Roman" w:eastAsia="黑体"/>
          <w:b w:val="0"/>
        </w:rPr>
      </w:pPr>
      <w:bookmarkStart w:id="62" w:name="_Toc15396611"/>
      <w:bookmarkStart w:id="63" w:name="_Toc15377219"/>
      <w:bookmarkStart w:id="64" w:name="_Toc10816"/>
      <w:r>
        <w:rPr>
          <w:rStyle w:val="32"/>
          <w:rFonts w:hint="eastAsia" w:ascii="Times New Roman" w:hAnsi="Times New Roman" w:eastAsia="黑体"/>
          <w:b w:val="0"/>
        </w:rPr>
        <w:t>九、国有资本经营预算支出决算情况说明</w:t>
      </w:r>
      <w:bookmarkEnd w:id="62"/>
      <w:bookmarkEnd w:id="63"/>
      <w:bookmarkEnd w:id="6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5" w:name="_Toc15377221"/>
      <w:bookmarkStart w:id="66" w:name="_Toc19926"/>
      <w:bookmarkStart w:id="67" w:name="_Toc15396612"/>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w:t>
      </w:r>
    </w:p>
    <w:p>
      <w:pPr>
        <w:spacing w:line="600" w:lineRule="exact"/>
        <w:ind w:left="630"/>
        <w:outlineLvl w:val="1"/>
        <w:rPr>
          <w:rStyle w:val="32"/>
          <w:rFonts w:ascii="Times New Roman" w:hAnsi="Times New Roman" w:eastAsia="黑体"/>
          <w:b w:val="0"/>
        </w:rPr>
      </w:pPr>
      <w:r>
        <w:rPr>
          <w:rStyle w:val="32"/>
          <w:rFonts w:hint="eastAsia" w:ascii="Times New Roman" w:hAnsi="Times New Roman" w:eastAsia="黑体"/>
          <w:b w:val="0"/>
        </w:rPr>
        <w:t>十、其他重要事项的情况说明</w:t>
      </w:r>
      <w:bookmarkEnd w:id="65"/>
      <w:bookmarkEnd w:id="66"/>
      <w:bookmarkEnd w:id="67"/>
    </w:p>
    <w:p>
      <w:pPr>
        <w:spacing w:line="600" w:lineRule="exact"/>
        <w:ind w:firstLine="642" w:firstLineChars="200"/>
        <w:outlineLvl w:val="2"/>
        <w:rPr>
          <w:rFonts w:eastAsia="楷体_GB2312" w:cs="楷体_GB2312"/>
          <w:b/>
          <w:sz w:val="32"/>
          <w:szCs w:val="32"/>
        </w:rPr>
      </w:pPr>
      <w:bookmarkStart w:id="68" w:name="_Toc28159"/>
      <w:bookmarkStart w:id="69" w:name="_Toc15377222"/>
      <w:r>
        <w:rPr>
          <w:rFonts w:hint="eastAsia" w:eastAsia="楷体_GB2312" w:cs="楷体_GB2312"/>
          <w:b/>
          <w:sz w:val="32"/>
          <w:szCs w:val="32"/>
        </w:rPr>
        <w:t>（一）机关运行经费支出情况</w:t>
      </w:r>
      <w:bookmarkEnd w:id="68"/>
      <w:bookmarkEnd w:id="69"/>
    </w:p>
    <w:p>
      <w:pPr>
        <w:spacing w:line="600" w:lineRule="exact"/>
        <w:ind w:firstLine="640"/>
        <w:rPr>
          <w:rFonts w:eastAsia="仿宋_GB2312" w:cs="仿宋_GB2312"/>
          <w:sz w:val="32"/>
          <w:szCs w:val="32"/>
        </w:rPr>
      </w:pPr>
      <w:r>
        <w:rPr>
          <w:rFonts w:hint="eastAsia" w:eastAsia="仿宋_GB2312" w:cs="仿宋_GB2312"/>
          <w:sz w:val="32"/>
          <w:szCs w:val="32"/>
        </w:rPr>
        <w:t>2025年度，理县人民法院机关运行经费支出72.44万元，比上年度减少31.16万元，下降30.08%。主要原因是</w:t>
      </w:r>
      <w:r>
        <w:rPr>
          <w:rFonts w:hint="eastAsia" w:eastAsia="仿宋_GB2312" w:cs="仿宋_GB2312"/>
          <w:sz w:val="32"/>
          <w:szCs w:val="32"/>
          <w:lang w:eastAsia="zh-CN"/>
        </w:rPr>
        <w:t>减少了项目支出</w:t>
      </w:r>
      <w:r>
        <w:rPr>
          <w:rFonts w:hint="eastAsia"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70" w:name="_Toc15377223"/>
      <w:bookmarkStart w:id="71" w:name="_Toc24052"/>
      <w:r>
        <w:rPr>
          <w:rFonts w:hint="eastAsia" w:eastAsia="楷体_GB2312" w:cs="楷体_GB2312"/>
          <w:b/>
          <w:sz w:val="32"/>
          <w:szCs w:val="32"/>
        </w:rPr>
        <w:t>（二）政府采购支出情况</w:t>
      </w:r>
      <w:bookmarkEnd w:id="70"/>
      <w:bookmarkEnd w:id="71"/>
    </w:p>
    <w:p>
      <w:pPr>
        <w:spacing w:line="600" w:lineRule="exact"/>
        <w:ind w:firstLine="640"/>
        <w:rPr>
          <w:rFonts w:eastAsia="仿宋_GB2312" w:cs="仿宋_GB2312"/>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理县人民法院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108.69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108.69</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sz w:val="32"/>
          <w:szCs w:val="32"/>
        </w:rPr>
        <w:t>主要用于办案装备采购</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eastAsia="楷体_GB2312" w:cs="楷体_GB2312"/>
          <w:b/>
          <w:sz w:val="32"/>
          <w:szCs w:val="32"/>
        </w:rPr>
      </w:pPr>
      <w:bookmarkStart w:id="72" w:name="_Toc15377224"/>
      <w:bookmarkStart w:id="73" w:name="_Toc2357"/>
      <w:r>
        <w:rPr>
          <w:rFonts w:hint="eastAsia" w:eastAsia="楷体_GB2312" w:cs="楷体_GB2312"/>
          <w:b/>
          <w:sz w:val="32"/>
          <w:szCs w:val="32"/>
        </w:rPr>
        <w:t>（三）国有资产占有使用情况</w:t>
      </w:r>
      <w:bookmarkEnd w:id="72"/>
      <w:bookmarkEnd w:id="73"/>
    </w:p>
    <w:p>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年12月31日，理县人民法院共有车辆12辆，其中：主要负责人用车0辆、机要通信用车0辆、应急保障用车0辆、其他用车0辆，执法执勤用车12辆。单价100万元（含）以上设备（不含车辆）0台（套）</w:t>
      </w:r>
      <w:r>
        <w:rPr>
          <w:rFonts w:hint="eastAsia"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74" w:name="_Toc4292"/>
      <w:r>
        <w:rPr>
          <w:rFonts w:hint="eastAsia" w:eastAsia="楷体_GB2312" w:cs="楷体_GB2312"/>
          <w:b/>
          <w:sz w:val="32"/>
          <w:szCs w:val="32"/>
        </w:rPr>
        <w:t>（四）预算绩效管理情况</w:t>
      </w:r>
      <w:bookmarkEnd w:id="74"/>
    </w:p>
    <w:p>
      <w:pPr>
        <w:widowControl/>
        <w:adjustRightInd w:val="0"/>
        <w:snapToGrid w:val="0"/>
        <w:spacing w:line="578" w:lineRule="exact"/>
        <w:ind w:firstLine="640" w:firstLineChars="200"/>
        <w:contextualSpacing/>
        <w:jc w:val="left"/>
        <w:rPr>
          <w:rFonts w:eastAsia="仿宋_GB2312" w:cs="仿宋_GB2312"/>
          <w:sz w:val="32"/>
          <w:szCs w:val="32"/>
        </w:rPr>
      </w:pPr>
      <w:r>
        <w:rPr>
          <w:rFonts w:hint="eastAsia" w:ascii="仿宋_GB2312" w:hAnsi="仿宋_GB2312" w:eastAsia="仿宋_GB2312" w:cs="仿宋_GB2312"/>
          <w:sz w:val="32"/>
          <w:szCs w:val="32"/>
          <w:lang w:val="en-US" w:eastAsia="zh-CN"/>
        </w:rPr>
        <w:t>根据预算绩效管理要求，理县人民法院在2025年，组织对一般公共预算、资本资产等全面开展绩效自评，形成《理县人民法院2025年部门整体支出绩效报告》预算项目绩效自评报告，其中《理县人民法院2025年部门整体支出绩效报告》得分为86分，绩效自评报告详见附件</w:t>
      </w:r>
      <w:r>
        <w:rPr>
          <w:rFonts w:hint="eastAsia" w:eastAsia="仿宋_GB2312" w:cs="仿宋_GB2312"/>
          <w:sz w:val="32"/>
          <w:szCs w:val="32"/>
        </w:rPr>
        <w:t>。</w:t>
      </w:r>
    </w:p>
    <w:p>
      <w:pPr>
        <w:spacing w:line="600" w:lineRule="exact"/>
        <w:jc w:val="both"/>
        <w:outlineLvl w:val="9"/>
        <w:rPr>
          <w:rFonts w:hint="eastAsia" w:eastAsia="黑体"/>
          <w:sz w:val="44"/>
          <w:szCs w:val="44"/>
        </w:rPr>
      </w:pPr>
      <w:bookmarkStart w:id="75" w:name="_Toc15377225"/>
      <w:bookmarkStart w:id="76" w:name="_Toc15396613"/>
    </w:p>
    <w:p>
      <w:pPr>
        <w:spacing w:line="600" w:lineRule="exact"/>
        <w:jc w:val="center"/>
        <w:outlineLvl w:val="0"/>
        <w:rPr>
          <w:rFonts w:eastAsia="黑体"/>
          <w:sz w:val="44"/>
          <w:szCs w:val="44"/>
        </w:rPr>
      </w:pPr>
      <w:bookmarkStart w:id="77" w:name="_Toc11789"/>
      <w:r>
        <w:rPr>
          <w:rFonts w:hint="eastAsia" w:eastAsia="黑体"/>
          <w:sz w:val="44"/>
          <w:szCs w:val="44"/>
        </w:rPr>
        <w:t>第三部分  名词解释</w:t>
      </w:r>
      <w:bookmarkEnd w:id="75"/>
      <w:bookmarkEnd w:id="76"/>
      <w:bookmarkEnd w:id="77"/>
    </w:p>
    <w:p>
      <w:pPr>
        <w:spacing w:line="600" w:lineRule="exact"/>
        <w:jc w:val="left"/>
        <w:rPr>
          <w:b/>
          <w:sz w:val="44"/>
          <w:szCs w:val="44"/>
        </w:rPr>
      </w:pPr>
    </w:p>
    <w:p>
      <w:pPr>
        <w:spacing w:line="600" w:lineRule="exact"/>
        <w:ind w:firstLine="640"/>
        <w:outlineLvl w:val="1"/>
        <w:rPr>
          <w:rFonts w:eastAsia="仿宋_GB2312" w:cs="仿宋_GB2312"/>
          <w:sz w:val="32"/>
          <w:szCs w:val="32"/>
        </w:rPr>
      </w:pPr>
      <w:bookmarkStart w:id="78" w:name="_Toc2687"/>
      <w:r>
        <w:rPr>
          <w:rFonts w:hint="eastAsia" w:eastAsia="仿宋_GB2312" w:cs="仿宋_GB2312"/>
          <w:sz w:val="32"/>
          <w:szCs w:val="32"/>
        </w:rPr>
        <w:t>1.财政拨款收入：指单位从同级财政部门取得的财政预算资金。</w:t>
      </w:r>
      <w:bookmarkEnd w:id="78"/>
    </w:p>
    <w:p>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pPr>
        <w:spacing w:line="600" w:lineRule="exact"/>
        <w:ind w:firstLine="640"/>
        <w:rPr>
          <w:rFonts w:eastAsia="仿宋_GB2312" w:cs="仿宋_GB2312"/>
          <w:sz w:val="32"/>
          <w:szCs w:val="32"/>
        </w:rPr>
      </w:pPr>
      <w:r>
        <w:rPr>
          <w:rFonts w:hint="eastAsia" w:eastAsia="仿宋_GB2312" w:cs="仿宋_GB2312"/>
          <w:sz w:val="32"/>
          <w:szCs w:val="32"/>
        </w:rPr>
        <w:t>4.其他收入：指单位取得的除上述收入以外的各项收入。主要是县级财政保障的基础绩效奖、目标奖、法检绩效、退休人员生活补助等。</w:t>
      </w:r>
    </w:p>
    <w:p>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pPr>
        <w:ind w:firstLine="640" w:firstLineChars="200"/>
        <w:rPr>
          <w:rFonts w:ascii="仿宋_GB2312" w:eastAsia="仿宋_GB2312"/>
          <w:sz w:val="32"/>
          <w:szCs w:val="32"/>
        </w:rPr>
      </w:pPr>
      <w:r>
        <w:rPr>
          <w:rFonts w:hint="eastAsia" w:ascii="仿宋_GB2312" w:eastAsia="仿宋_GB2312"/>
          <w:sz w:val="32"/>
          <w:szCs w:val="32"/>
        </w:rPr>
        <w:t>9</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pPr>
        <w:ind w:firstLine="640" w:firstLineChars="200"/>
        <w:rPr>
          <w:rFonts w:ascii="仿宋_GB2312" w:eastAsia="仿宋_GB2312"/>
          <w:sz w:val="32"/>
          <w:szCs w:val="32"/>
        </w:rPr>
      </w:pPr>
      <w:r>
        <w:rPr>
          <w:rFonts w:hint="eastAsia" w:ascii="仿宋_GB2312" w:eastAsia="仿宋_GB2312"/>
          <w:sz w:val="32"/>
          <w:szCs w:val="32"/>
        </w:rPr>
        <w:t>10</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pPr>
        <w:ind w:firstLine="640" w:firstLineChars="200"/>
        <w:rPr>
          <w:rFonts w:ascii="仿宋_GB2312" w:eastAsia="仿宋_GB2312"/>
          <w:sz w:val="32"/>
          <w:szCs w:val="32"/>
        </w:rPr>
      </w:pPr>
      <w:r>
        <w:rPr>
          <w:rFonts w:hint="eastAsia" w:ascii="仿宋_GB2312" w:eastAsia="仿宋_GB2312"/>
          <w:sz w:val="32"/>
          <w:szCs w:val="32"/>
        </w:rPr>
        <w:t>11</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pPr>
        <w:pStyle w:val="29"/>
        <w:spacing w:line="560" w:lineRule="exact"/>
        <w:ind w:firstLine="640" w:firstLineChars="200"/>
        <w:rPr>
          <w:rFonts w:eastAsia="仿宋_GB2312" w:cs="仿宋_GB2312"/>
          <w:sz w:val="32"/>
          <w:szCs w:val="32"/>
        </w:rPr>
      </w:pPr>
      <w:r>
        <w:rPr>
          <w:rFonts w:hint="eastAsia" w:ascii="仿宋_GB2312" w:eastAsia="仿宋_GB2312"/>
          <w:color w:val="auto"/>
          <w:sz w:val="32"/>
          <w:szCs w:val="32"/>
        </w:rPr>
        <w:t>12</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3</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5"/>
        <w:ind w:firstLine="640" w:firstLineChars="200"/>
        <w:rPr>
          <w:rFonts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4</w:t>
      </w:r>
      <w:r>
        <w:rPr>
          <w:rFonts w:hint="eastAsia" w:eastAsia="仿宋_GB2312" w:cs="仿宋_GB2312"/>
          <w:sz w:val="32"/>
          <w:szCs w:val="32"/>
        </w:rPr>
        <w:t>. 一般公共服务支出（204）：反映政府提供一般公共服务的支出。法院的此项支出主要为“公共安全支出”，用于保障法院正常运转、履行审判职能等。</w:t>
      </w:r>
    </w:p>
    <w:p>
      <w:pPr>
        <w:pStyle w:val="15"/>
        <w:ind w:firstLine="640" w:firstLineChars="200"/>
        <w:rPr>
          <w:rFonts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5</w:t>
      </w:r>
      <w:r>
        <w:rPr>
          <w:rFonts w:hint="eastAsia" w:eastAsia="仿宋_GB2312" w:cs="仿宋_GB2312"/>
          <w:sz w:val="32"/>
          <w:szCs w:val="32"/>
        </w:rPr>
        <w:t>. 社会保障和就业支出（208）：反映政府在社会保障与就业方面的支出。包括机关事业单位基本养老保险缴费、职业年金缴费等。</w:t>
      </w:r>
    </w:p>
    <w:p>
      <w:pPr>
        <w:pStyle w:val="15"/>
        <w:ind w:firstLine="640" w:firstLineChars="200"/>
        <w:rPr>
          <w:rFonts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6</w:t>
      </w:r>
      <w:r>
        <w:rPr>
          <w:rFonts w:hint="eastAsia" w:eastAsia="仿宋_GB2312" w:cs="仿宋_GB2312"/>
          <w:sz w:val="32"/>
          <w:szCs w:val="32"/>
        </w:rPr>
        <w:t>. 卫生健康支出（210）：反映政府在卫生健康方面的支出。主要是职工基本医疗保险缴费等。</w:t>
      </w:r>
    </w:p>
    <w:p>
      <w:pPr>
        <w:pStyle w:val="15"/>
        <w:ind w:firstLine="640" w:firstLineChars="200"/>
        <w:rPr>
          <w:rFonts w:eastAsia="仿宋_GB2312" w:cs="仿宋_GB2312"/>
          <w:sz w:val="32"/>
          <w:szCs w:val="32"/>
        </w:rPr>
      </w:pPr>
      <w:r>
        <w:rPr>
          <w:rFonts w:hint="eastAsia" w:eastAsia="仿宋_GB2312" w:cs="仿宋_GB2312"/>
          <w:sz w:val="32"/>
          <w:szCs w:val="32"/>
          <w:lang w:val="en-US" w:eastAsia="zh-CN"/>
        </w:rPr>
        <w:t>17</w:t>
      </w:r>
      <w:r>
        <w:rPr>
          <w:rFonts w:hint="eastAsia" w:eastAsia="仿宋_GB2312" w:cs="仿宋_GB2312"/>
          <w:sz w:val="32"/>
          <w:szCs w:val="32"/>
        </w:rPr>
        <w:t>. 住房保障支出（221）：反映政府用于住房保障方面的支出。主要是按规定为职工缴纳的住房公积金。</w:t>
      </w:r>
    </w:p>
    <w:p>
      <w:pPr>
        <w:spacing w:line="600" w:lineRule="exact"/>
        <w:jc w:val="center"/>
        <w:rPr>
          <w:rFonts w:eastAsia="黑体"/>
          <w:sz w:val="44"/>
          <w:szCs w:val="44"/>
        </w:rPr>
      </w:pPr>
      <w:bookmarkStart w:id="79" w:name="_Toc15396614"/>
      <w:bookmarkStart w:id="80" w:name="_Toc15377226"/>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outlineLvl w:val="0"/>
        <w:rPr>
          <w:rStyle w:val="31"/>
          <w:rFonts w:eastAsia="黑体"/>
          <w:b w:val="0"/>
        </w:rPr>
      </w:pPr>
      <w:bookmarkStart w:id="81" w:name="_Toc10162"/>
      <w:r>
        <w:rPr>
          <w:rFonts w:hint="eastAsia" w:eastAsia="黑体"/>
          <w:sz w:val="44"/>
          <w:szCs w:val="44"/>
        </w:rPr>
        <w:t>第四部分  附件</w:t>
      </w:r>
      <w:bookmarkEnd w:id="79"/>
      <w:bookmarkEnd w:id="81"/>
    </w:p>
    <w:p>
      <w:pPr>
        <w:spacing w:line="572" w:lineRule="exact"/>
        <w:jc w:val="left"/>
        <w:rPr>
          <w:rFonts w:hint="default" w:eastAsia="黑体" w:cs="黑体"/>
          <w:color w:val="auto"/>
          <w:sz w:val="32"/>
          <w:szCs w:val="32"/>
          <w:lang w:val="en-US" w:eastAsia="zh-CN"/>
        </w:rPr>
      </w:pPr>
      <w:r>
        <w:rPr>
          <w:rFonts w:hint="eastAsia" w:eastAsia="黑体" w:cs="黑体"/>
          <w:color w:val="auto"/>
          <w:sz w:val="32"/>
          <w:szCs w:val="32"/>
          <w:lang w:eastAsia="zh-CN"/>
        </w:rPr>
        <w:t>附件</w:t>
      </w:r>
      <w:r>
        <w:rPr>
          <w:rFonts w:hint="eastAsia" w:eastAsia="黑体" w:cs="黑体"/>
          <w:color w:val="auto"/>
          <w:sz w:val="32"/>
          <w:szCs w:val="32"/>
          <w:lang w:val="en-US" w:eastAsia="zh-CN"/>
        </w:rPr>
        <w:t>1</w:t>
      </w:r>
    </w:p>
    <w:p>
      <w:pPr>
        <w:widowControl/>
        <w:spacing w:line="578" w:lineRule="exact"/>
        <w:contextualSpacing/>
        <w:jc w:val="center"/>
        <w:rPr>
          <w:rFonts w:eastAsia="方正小标宋简体"/>
          <w:bCs/>
          <w:sz w:val="44"/>
          <w:szCs w:val="44"/>
          <w:shd w:val="clear" w:color="auto" w:fill="FFFFFF"/>
        </w:rPr>
      </w:pPr>
    </w:p>
    <w:p>
      <w:pPr>
        <w:widowControl/>
        <w:spacing w:line="600" w:lineRule="exact"/>
        <w:contextualSpacing/>
        <w:jc w:val="center"/>
        <w:outlineLvl w:val="1"/>
        <w:rPr>
          <w:rFonts w:eastAsia="方正小标宋简体"/>
          <w:bCs/>
          <w:sz w:val="44"/>
          <w:szCs w:val="44"/>
          <w:shd w:val="clear" w:color="auto" w:fill="FFFFFF"/>
        </w:rPr>
      </w:pPr>
      <w:bookmarkStart w:id="82" w:name="_Toc2607"/>
      <w:r>
        <w:rPr>
          <w:rFonts w:eastAsia="方正小标宋简体"/>
          <w:bCs/>
          <w:sz w:val="44"/>
          <w:szCs w:val="44"/>
          <w:shd w:val="clear" w:color="auto" w:fill="FFFFFF"/>
        </w:rPr>
        <w:t>理县人民法院</w:t>
      </w:r>
    </w:p>
    <w:p>
      <w:pPr>
        <w:widowControl/>
        <w:spacing w:line="600" w:lineRule="exact"/>
        <w:contextualSpacing/>
        <w:jc w:val="center"/>
        <w:outlineLvl w:val="1"/>
        <w:rPr>
          <w:szCs w:val="32"/>
          <w:shd w:val="clear" w:color="auto" w:fill="FFFFFF"/>
        </w:rPr>
      </w:pPr>
      <w:r>
        <w:rPr>
          <w:rFonts w:hint="eastAsia" w:eastAsia="方正小标宋简体"/>
          <w:bCs/>
          <w:sz w:val="44"/>
          <w:szCs w:val="44"/>
          <w:shd w:val="clear" w:color="auto" w:fill="FFFFFF"/>
          <w:lang w:val="en-US" w:eastAsia="zh-CN"/>
        </w:rPr>
        <w:t>2025年</w:t>
      </w: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bookmarkEnd w:id="82"/>
    </w:p>
    <w:p>
      <w:pPr>
        <w:spacing w:line="600" w:lineRule="exact"/>
        <w:ind w:firstLine="640"/>
        <w:outlineLvl w:val="1"/>
        <w:rPr>
          <w:rFonts w:eastAsia="仿宋_GB2312" w:cs="仿宋_GB2312"/>
          <w:sz w:val="32"/>
          <w:szCs w:val="32"/>
        </w:rPr>
      </w:pPr>
      <w:bookmarkStart w:id="83" w:name="_Toc32616"/>
      <w:r>
        <w:rPr>
          <w:rFonts w:hint="eastAsia" w:eastAsia="仿宋_GB2312" w:cs="仿宋_GB2312"/>
          <w:sz w:val="32"/>
          <w:szCs w:val="32"/>
          <w:lang w:val="zh-CN"/>
        </w:rPr>
        <w:t>一、</w:t>
      </w:r>
      <w:r>
        <w:rPr>
          <w:rFonts w:eastAsia="仿宋_GB2312" w:cs="仿宋_GB2312"/>
          <w:sz w:val="32"/>
          <w:szCs w:val="32"/>
          <w:lang w:val="zh-CN"/>
        </w:rPr>
        <w:t>部门（单位）基本情况</w:t>
      </w:r>
      <w:bookmarkEnd w:id="83"/>
    </w:p>
    <w:p>
      <w:pPr>
        <w:spacing w:line="600" w:lineRule="exact"/>
        <w:ind w:firstLine="640"/>
        <w:outlineLvl w:val="2"/>
        <w:rPr>
          <w:rFonts w:eastAsia="仿宋_GB2312" w:cs="仿宋_GB2312"/>
          <w:sz w:val="32"/>
          <w:szCs w:val="32"/>
          <w:lang w:val="zh-CN"/>
        </w:rPr>
      </w:pPr>
      <w:bookmarkStart w:id="84" w:name="_Toc10467"/>
      <w:r>
        <w:rPr>
          <w:rFonts w:hint="eastAsia" w:eastAsia="仿宋_GB2312" w:cs="仿宋_GB2312"/>
          <w:sz w:val="32"/>
          <w:szCs w:val="32"/>
          <w:lang w:val="zh-CN"/>
        </w:rPr>
        <w:t>（一）</w:t>
      </w:r>
      <w:r>
        <w:rPr>
          <w:rFonts w:eastAsia="仿宋_GB2312" w:cs="仿宋_GB2312"/>
          <w:sz w:val="32"/>
          <w:szCs w:val="32"/>
          <w:lang w:val="zh-CN"/>
        </w:rPr>
        <w:t>机构组成</w:t>
      </w:r>
      <w:bookmarkEnd w:id="84"/>
    </w:p>
    <w:p>
      <w:pPr>
        <w:spacing w:line="600" w:lineRule="exact"/>
        <w:ind w:firstLine="640"/>
        <w:rPr>
          <w:rFonts w:eastAsia="仿宋_GB2312" w:cs="仿宋_GB2312"/>
          <w:sz w:val="32"/>
          <w:szCs w:val="32"/>
        </w:rPr>
      </w:pPr>
      <w:r>
        <w:rPr>
          <w:rFonts w:eastAsia="仿宋_GB2312" w:cs="仿宋_GB2312"/>
          <w:sz w:val="32"/>
          <w:szCs w:val="32"/>
        </w:rPr>
        <w:t>理县人民法院部门</w:t>
      </w:r>
      <w:r>
        <w:rPr>
          <w:rFonts w:hint="eastAsia" w:eastAsia="仿宋_GB2312" w:cs="仿宋_GB2312"/>
          <w:sz w:val="32"/>
          <w:szCs w:val="32"/>
        </w:rPr>
        <w:t>（后文简称“我单位”）设下列内设机构：</w:t>
      </w:r>
    </w:p>
    <w:p>
      <w:pPr>
        <w:spacing w:line="600" w:lineRule="exact"/>
        <w:ind w:firstLine="640"/>
        <w:rPr>
          <w:rFonts w:eastAsia="仿宋_GB2312" w:cs="仿宋_GB2312"/>
          <w:sz w:val="32"/>
          <w:szCs w:val="32"/>
        </w:rPr>
      </w:pPr>
      <w:r>
        <w:rPr>
          <w:rFonts w:eastAsia="仿宋_GB2312" w:cs="仿宋_GB2312"/>
          <w:sz w:val="32"/>
          <w:szCs w:val="32"/>
        </w:rPr>
        <w:t>理县人民法院属财政全额拨款的行政单位，内设综合办公室、政治部、立案庭、综合审判庭、执行局、法警队6个股室。</w:t>
      </w:r>
    </w:p>
    <w:p>
      <w:pPr>
        <w:spacing w:line="600" w:lineRule="exact"/>
        <w:ind w:firstLine="640"/>
        <w:outlineLvl w:val="2"/>
        <w:rPr>
          <w:rFonts w:eastAsia="仿宋_GB2312" w:cs="仿宋_GB2312"/>
          <w:sz w:val="32"/>
          <w:szCs w:val="32"/>
          <w:lang w:val="zh-CN"/>
        </w:rPr>
      </w:pPr>
      <w:bookmarkStart w:id="85" w:name="_Toc13168"/>
      <w:r>
        <w:rPr>
          <w:rFonts w:hint="eastAsia" w:eastAsia="仿宋_GB2312" w:cs="仿宋_GB2312"/>
          <w:sz w:val="32"/>
          <w:szCs w:val="32"/>
          <w:lang w:val="zh-CN"/>
        </w:rPr>
        <w:t>（</w:t>
      </w:r>
      <w:r>
        <w:rPr>
          <w:rFonts w:hint="eastAsia" w:eastAsia="仿宋_GB2312" w:cs="仿宋_GB2312"/>
          <w:sz w:val="32"/>
          <w:szCs w:val="32"/>
        </w:rPr>
        <w:t>二）</w:t>
      </w:r>
      <w:r>
        <w:rPr>
          <w:rFonts w:eastAsia="仿宋_GB2312" w:cs="仿宋_GB2312"/>
          <w:sz w:val="32"/>
          <w:szCs w:val="32"/>
          <w:lang w:val="zh-CN"/>
        </w:rPr>
        <w:t>机构职能</w:t>
      </w:r>
      <w:bookmarkEnd w:id="85"/>
    </w:p>
    <w:p>
      <w:pPr>
        <w:spacing w:line="600" w:lineRule="exact"/>
        <w:ind w:firstLine="640"/>
        <w:rPr>
          <w:rFonts w:eastAsia="仿宋_GB2312" w:cs="仿宋_GB2312"/>
          <w:sz w:val="32"/>
          <w:szCs w:val="32"/>
        </w:rPr>
      </w:pPr>
      <w:r>
        <w:rPr>
          <w:rFonts w:hint="eastAsia" w:eastAsia="仿宋_GB2312" w:cs="仿宋_GB2312"/>
          <w:sz w:val="32"/>
          <w:szCs w:val="32"/>
        </w:rPr>
        <w:t>我单位主要承担以下职责和功能：</w:t>
      </w:r>
    </w:p>
    <w:p>
      <w:pPr>
        <w:numPr>
          <w:ilvl w:val="0"/>
          <w:numId w:val="3"/>
        </w:numPr>
        <w:spacing w:line="600" w:lineRule="exact"/>
        <w:ind w:firstLine="640"/>
        <w:rPr>
          <w:rFonts w:eastAsia="仿宋_GB2312" w:cs="仿宋_GB2312"/>
          <w:sz w:val="32"/>
          <w:szCs w:val="32"/>
        </w:rPr>
      </w:pPr>
      <w:r>
        <w:rPr>
          <w:rFonts w:hint="eastAsia" w:eastAsia="仿宋_GB2312" w:cs="仿宋_GB2312"/>
          <w:sz w:val="32"/>
          <w:szCs w:val="32"/>
        </w:rPr>
        <w:t>审判法律规定由基层人民法院管辖的刑事、民事、经济和行政等一审案件；</w:t>
      </w:r>
    </w:p>
    <w:p>
      <w:pPr>
        <w:spacing w:line="600" w:lineRule="exact"/>
        <w:ind w:firstLine="640" w:firstLineChars="200"/>
        <w:rPr>
          <w:rFonts w:eastAsia="仿宋_GB2312" w:cs="仿宋_GB2312"/>
          <w:sz w:val="32"/>
          <w:szCs w:val="32"/>
        </w:rPr>
      </w:pPr>
      <w:r>
        <w:rPr>
          <w:rFonts w:eastAsia="仿宋_GB2312" w:cs="仿宋_GB2312"/>
          <w:sz w:val="32"/>
          <w:szCs w:val="32"/>
        </w:rPr>
        <w:t>2、审理中级人民法院指令再审的案件；受理不服本案判决、裁定的各种申诉和申请再审等案件；</w:t>
      </w:r>
    </w:p>
    <w:p>
      <w:pPr>
        <w:spacing w:line="600" w:lineRule="exact"/>
        <w:ind w:firstLine="640"/>
        <w:outlineLvl w:val="3"/>
        <w:rPr>
          <w:rFonts w:eastAsia="仿宋_GB2312" w:cs="仿宋_GB2312"/>
          <w:sz w:val="32"/>
          <w:szCs w:val="32"/>
        </w:rPr>
      </w:pPr>
      <w:r>
        <w:rPr>
          <w:rFonts w:eastAsia="仿宋_GB2312" w:cs="仿宋_GB2312"/>
          <w:sz w:val="32"/>
          <w:szCs w:val="32"/>
        </w:rPr>
        <w:t>3、审理中级人民法院指定管辖的案件；</w:t>
      </w:r>
    </w:p>
    <w:p>
      <w:pPr>
        <w:spacing w:line="600" w:lineRule="exact"/>
        <w:ind w:firstLine="640"/>
        <w:rPr>
          <w:rFonts w:eastAsia="仿宋_GB2312" w:cs="仿宋_GB2312"/>
          <w:sz w:val="32"/>
          <w:szCs w:val="32"/>
        </w:rPr>
      </w:pPr>
      <w:r>
        <w:rPr>
          <w:rFonts w:eastAsia="仿宋_GB2312" w:cs="仿宋_GB2312"/>
          <w:sz w:val="32"/>
          <w:szCs w:val="32"/>
        </w:rPr>
        <w:t>4、对已生效的各类法律文书有执行内容的财物执行；办理委托、协助执行机关工作；</w:t>
      </w:r>
    </w:p>
    <w:p>
      <w:pPr>
        <w:spacing w:line="600" w:lineRule="exact"/>
        <w:ind w:firstLine="640"/>
        <w:rPr>
          <w:rFonts w:eastAsia="仿宋_GB2312" w:cs="仿宋_GB2312"/>
          <w:sz w:val="32"/>
          <w:szCs w:val="32"/>
        </w:rPr>
      </w:pPr>
      <w:r>
        <w:rPr>
          <w:rFonts w:eastAsia="仿宋_GB2312" w:cs="仿宋_GB2312"/>
          <w:sz w:val="32"/>
          <w:szCs w:val="32"/>
        </w:rPr>
        <w:t>5、监督和指导全县基层人民法</w:t>
      </w:r>
      <w:r>
        <w:rPr>
          <w:rFonts w:hint="eastAsia" w:eastAsia="仿宋_GB2312" w:cs="仿宋_GB2312"/>
          <w:sz w:val="32"/>
          <w:szCs w:val="32"/>
          <w:lang w:eastAsia="zh-CN"/>
        </w:rPr>
        <w:t>庭</w:t>
      </w:r>
      <w:r>
        <w:rPr>
          <w:rFonts w:eastAsia="仿宋_GB2312" w:cs="仿宋_GB2312"/>
          <w:sz w:val="32"/>
          <w:szCs w:val="32"/>
        </w:rPr>
        <w:t>；人民调解委员会工作；</w:t>
      </w:r>
    </w:p>
    <w:p>
      <w:pPr>
        <w:spacing w:line="600" w:lineRule="exact"/>
        <w:ind w:firstLine="640"/>
        <w:rPr>
          <w:rFonts w:eastAsia="仿宋_GB2312" w:cs="仿宋_GB2312"/>
          <w:sz w:val="32"/>
          <w:szCs w:val="32"/>
        </w:rPr>
      </w:pPr>
      <w:r>
        <w:rPr>
          <w:rFonts w:eastAsia="仿宋_GB2312" w:cs="仿宋_GB2312"/>
          <w:sz w:val="32"/>
          <w:szCs w:val="32"/>
        </w:rPr>
        <w:t>6、依法审理国家赔偿案件；</w:t>
      </w:r>
    </w:p>
    <w:p>
      <w:pPr>
        <w:spacing w:line="600" w:lineRule="exact"/>
        <w:ind w:firstLine="640"/>
        <w:rPr>
          <w:rFonts w:eastAsia="仿宋_GB2312" w:cs="仿宋_GB2312"/>
          <w:sz w:val="32"/>
          <w:szCs w:val="32"/>
        </w:rPr>
      </w:pPr>
      <w:r>
        <w:rPr>
          <w:rFonts w:eastAsia="仿宋_GB2312" w:cs="仿宋_GB2312"/>
          <w:sz w:val="32"/>
          <w:szCs w:val="32"/>
        </w:rPr>
        <w:t>7、接待申诉来访，受理应由基层人民法院管辖的告诉、申诉案件；</w:t>
      </w:r>
    </w:p>
    <w:p>
      <w:pPr>
        <w:spacing w:line="600" w:lineRule="exact"/>
        <w:ind w:firstLine="640"/>
        <w:rPr>
          <w:rFonts w:eastAsia="仿宋_GB2312" w:cs="仿宋_GB2312"/>
          <w:sz w:val="32"/>
          <w:szCs w:val="32"/>
        </w:rPr>
      </w:pPr>
      <w:r>
        <w:rPr>
          <w:rFonts w:eastAsia="仿宋_GB2312" w:cs="仿宋_GB2312"/>
          <w:sz w:val="32"/>
          <w:szCs w:val="32"/>
        </w:rPr>
        <w:t>8、针对案件审理过程中发现的问题提出司法建议；</w:t>
      </w:r>
    </w:p>
    <w:p>
      <w:pPr>
        <w:spacing w:line="600" w:lineRule="exact"/>
        <w:ind w:firstLine="640"/>
        <w:rPr>
          <w:rFonts w:eastAsia="仿宋_GB2312" w:cs="仿宋_GB2312"/>
          <w:sz w:val="32"/>
          <w:szCs w:val="32"/>
        </w:rPr>
      </w:pPr>
      <w:r>
        <w:rPr>
          <w:rFonts w:eastAsia="仿宋_GB2312" w:cs="仿宋_GB2312"/>
          <w:sz w:val="32"/>
          <w:szCs w:val="32"/>
        </w:rPr>
        <w:t>9、</w:t>
      </w:r>
      <w:r>
        <w:rPr>
          <w:rFonts w:hint="eastAsia" w:eastAsia="仿宋_GB2312" w:cs="仿宋_GB2312"/>
          <w:sz w:val="32"/>
          <w:szCs w:val="32"/>
          <w:lang w:eastAsia="zh-CN"/>
        </w:rPr>
        <w:t>做好</w:t>
      </w:r>
      <w:r>
        <w:rPr>
          <w:rFonts w:eastAsia="仿宋_GB2312" w:cs="仿宋_GB2312"/>
          <w:sz w:val="32"/>
          <w:szCs w:val="32"/>
        </w:rPr>
        <w:t>本院干警的思想、政治、教育、培训、监察和纪检工作。依照权限</w:t>
      </w:r>
      <w:r>
        <w:rPr>
          <w:rFonts w:hint="eastAsia" w:eastAsia="仿宋_GB2312" w:cs="仿宋_GB2312"/>
          <w:sz w:val="32"/>
          <w:szCs w:val="32"/>
          <w:lang w:eastAsia="zh-CN"/>
        </w:rPr>
        <w:t>管理</w:t>
      </w:r>
      <w:r>
        <w:rPr>
          <w:rFonts w:eastAsia="仿宋_GB2312" w:cs="仿宋_GB2312"/>
          <w:sz w:val="32"/>
          <w:szCs w:val="32"/>
        </w:rPr>
        <w:t>法官、执行员、书记员、司法警察、司法鉴定人员及司法行政人员，协同主管部门</w:t>
      </w:r>
      <w:r>
        <w:rPr>
          <w:rFonts w:hint="eastAsia" w:eastAsia="仿宋_GB2312" w:cs="仿宋_GB2312"/>
          <w:sz w:val="32"/>
          <w:szCs w:val="32"/>
          <w:lang w:eastAsia="zh-CN"/>
        </w:rPr>
        <w:t>完成</w:t>
      </w:r>
      <w:r>
        <w:rPr>
          <w:rFonts w:eastAsia="仿宋_GB2312" w:cs="仿宋_GB2312"/>
          <w:sz w:val="32"/>
          <w:szCs w:val="32"/>
        </w:rPr>
        <w:t>人民法院</w:t>
      </w:r>
      <w:r>
        <w:rPr>
          <w:rFonts w:hint="eastAsia" w:eastAsia="仿宋_GB2312" w:cs="仿宋_GB2312"/>
          <w:sz w:val="32"/>
          <w:szCs w:val="32"/>
          <w:lang w:eastAsia="zh-CN"/>
        </w:rPr>
        <w:t>部门</w:t>
      </w:r>
      <w:r>
        <w:rPr>
          <w:rFonts w:eastAsia="仿宋_GB2312" w:cs="仿宋_GB2312"/>
          <w:sz w:val="32"/>
          <w:szCs w:val="32"/>
        </w:rPr>
        <w:t>设置、人员编制工作，领导本院社团工作；</w:t>
      </w:r>
    </w:p>
    <w:p>
      <w:pPr>
        <w:spacing w:line="600" w:lineRule="exact"/>
        <w:ind w:firstLine="640"/>
        <w:outlineLvl w:val="3"/>
        <w:rPr>
          <w:rFonts w:eastAsia="仿宋_GB2312" w:cs="仿宋_GB2312"/>
          <w:sz w:val="32"/>
          <w:szCs w:val="32"/>
        </w:rPr>
      </w:pPr>
      <w:r>
        <w:rPr>
          <w:rFonts w:eastAsia="仿宋_GB2312" w:cs="仿宋_GB2312"/>
          <w:sz w:val="32"/>
          <w:szCs w:val="32"/>
        </w:rPr>
        <w:t>10、管理本院的有关经费和物质装备；</w:t>
      </w:r>
    </w:p>
    <w:p>
      <w:pPr>
        <w:spacing w:line="600" w:lineRule="exact"/>
        <w:ind w:firstLine="640"/>
        <w:rPr>
          <w:rFonts w:eastAsia="仿宋_GB2312" w:cs="仿宋_GB2312"/>
          <w:sz w:val="32"/>
          <w:szCs w:val="32"/>
        </w:rPr>
      </w:pPr>
      <w:r>
        <w:rPr>
          <w:rFonts w:eastAsia="仿宋_GB2312" w:cs="仿宋_GB2312"/>
          <w:sz w:val="32"/>
          <w:szCs w:val="32"/>
        </w:rPr>
        <w:t>11、宣传法制，教育公民，忠于社会主义祖国；自觉地遵守宪法、法律和社会公德；</w:t>
      </w:r>
    </w:p>
    <w:p>
      <w:pPr>
        <w:spacing w:line="600" w:lineRule="exact"/>
        <w:ind w:firstLine="640"/>
        <w:rPr>
          <w:rFonts w:eastAsia="仿宋_GB2312" w:cs="仿宋_GB2312"/>
          <w:sz w:val="32"/>
          <w:szCs w:val="32"/>
        </w:rPr>
      </w:pPr>
      <w:r>
        <w:rPr>
          <w:rFonts w:eastAsia="仿宋_GB2312" w:cs="仿宋_GB2312"/>
          <w:sz w:val="32"/>
          <w:szCs w:val="32"/>
        </w:rPr>
        <w:t>12、承办其他应由本院负责的工作和县委、县人大及上级法院等上级组织和领导</w:t>
      </w:r>
      <w:r>
        <w:rPr>
          <w:rFonts w:hint="eastAsia" w:eastAsia="仿宋_GB2312" w:cs="仿宋_GB2312"/>
          <w:sz w:val="32"/>
          <w:szCs w:val="32"/>
        </w:rPr>
        <w:t>交办</w:t>
      </w:r>
      <w:r>
        <w:rPr>
          <w:rFonts w:eastAsia="仿宋_GB2312" w:cs="仿宋_GB2312"/>
          <w:sz w:val="32"/>
          <w:szCs w:val="32"/>
        </w:rPr>
        <w:t>的其他工作。</w:t>
      </w:r>
    </w:p>
    <w:p>
      <w:pPr>
        <w:spacing w:line="600" w:lineRule="exact"/>
        <w:ind w:firstLine="640"/>
        <w:outlineLvl w:val="2"/>
        <w:rPr>
          <w:rFonts w:eastAsia="仿宋_GB2312" w:cs="仿宋_GB2312"/>
          <w:sz w:val="32"/>
          <w:szCs w:val="32"/>
          <w:lang w:val="zh-CN"/>
        </w:rPr>
      </w:pPr>
      <w:bookmarkStart w:id="86" w:name="_Toc22396"/>
      <w:r>
        <w:rPr>
          <w:rFonts w:eastAsia="仿宋_GB2312" w:cs="仿宋_GB2312"/>
          <w:sz w:val="32"/>
          <w:szCs w:val="32"/>
          <w:lang w:val="zh-CN"/>
        </w:rPr>
        <w:t>（</w:t>
      </w:r>
      <w:r>
        <w:rPr>
          <w:rFonts w:hint="eastAsia" w:eastAsia="仿宋_GB2312" w:cs="仿宋_GB2312"/>
          <w:sz w:val="32"/>
          <w:szCs w:val="32"/>
          <w:lang w:val="zh-CN"/>
        </w:rPr>
        <w:t>三</w:t>
      </w:r>
      <w:r>
        <w:rPr>
          <w:rFonts w:eastAsia="仿宋_GB2312" w:cs="仿宋_GB2312"/>
          <w:sz w:val="32"/>
          <w:szCs w:val="32"/>
          <w:lang w:val="zh-CN"/>
        </w:rPr>
        <w:t>）人员概况</w:t>
      </w:r>
      <w:bookmarkEnd w:id="86"/>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bookmarkStart w:id="87" w:name="_Hlk110546638"/>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截至2025年末，理县人民法院全部在职职工4</w:t>
      </w:r>
      <w:r>
        <w:rPr>
          <w:rFonts w:hint="eastAsia" w:cs="Times New Roman"/>
          <w:b w:val="0"/>
          <w:color w:val="000000"/>
          <w:kern w:val="0"/>
          <w:sz w:val="32"/>
          <w:szCs w:val="32"/>
          <w:highlight w:val="none"/>
          <w:shd w:val="clear" w:color="auto" w:fill="FFFFFF"/>
          <w:lang w:val="en-US" w:eastAsia="zh-CN" w:bidi="ar-SA"/>
        </w:rPr>
        <w:t>8</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人。</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二、部门资金收支情况</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（一）收入情况</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2025年我单位年初收入预算数为</w:t>
      </w:r>
      <w:r>
        <w:rPr>
          <w:rFonts w:hint="eastAsia" w:cs="Times New Roman"/>
          <w:b w:val="0"/>
          <w:color w:val="000000"/>
          <w:kern w:val="0"/>
          <w:sz w:val="32"/>
          <w:szCs w:val="32"/>
          <w:highlight w:val="none"/>
          <w:shd w:val="clear" w:color="auto" w:fill="FFFFFF"/>
          <w:lang w:val="en-US" w:eastAsia="zh-CN" w:bidi="ar-SA"/>
        </w:rPr>
        <w:t>2135.08</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万元（一般公共预算财政拨款），全年收入决算数为2135.08万元，均为一般公共预算财政拨款收入，无其他收入、财政专户管理资金及单位自有收入。</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（二）支出情况</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2025年我单位年初支出预算数为2135.08万元，全年支出决算数为2135.08万元，预算执行围绕审判执行、队伍建设、日常运转等核心工作开展，资金主要用于工资性支出、单位缴费、聘用人员经费、日常公用经费、劳务费、援建资金等13个项目，全面保障法院各项履职任务落地实施。</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（三）结余分配和结转结余情况</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2025年我单位决算报表无结转结余资金，所有预算资金及调整追加资金均按规定合规使用，无资金沉淀、闲置情况。</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三、部门预算绩效分析</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（一）部门预算总体绩效分析</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1. 履职效能（15分，自评得分</w:t>
      </w:r>
      <w:r>
        <w:rPr>
          <w:rFonts w:hint="eastAsia" w:cs="Times New Roman"/>
          <w:b w:val="0"/>
          <w:color w:val="000000"/>
          <w:kern w:val="0"/>
          <w:sz w:val="32"/>
          <w:szCs w:val="32"/>
          <w:highlight w:val="none"/>
          <w:shd w:val="clear" w:color="auto" w:fill="FFFFFF"/>
          <w:lang w:val="en-US" w:eastAsia="zh-CN" w:bidi="ar-SA"/>
        </w:rPr>
        <w:t>14</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分） </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选取依法履行审判执行职能、队伍思想政治纪律教育、司法服务保障县域发展3个核心职能目标开展评价，各项目标均圆满完成：</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依法履行审判执行职能：紧扣“努力让人民群众在每一个司法案件中感受到公平正义”核心目标，优化案件繁简分流机制，规范适用速裁、简易程序审理刑事案件，审判质效稳步提升，全年案件受理、审结量达标，为理县生态保护、经济发展、民生保障提供坚实司法支撑。</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队伍思想政治纪律教育：持续践行人民至上理念，以“如我在诉”意识办理民生“小案”，深化人民陪审员参审制度落地，以数字化、信息化赋能审判管理，干警政治素养、业务能力同步提升，队伍建设成效显著。</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司法服务保障县域发展：巩固主题教育成果，坚持严的基调强化正风肃纪反腐，主动对接县委、县政府中心工作，针对案件审理中发现的社会治理问题提出针对性司法建议，司法服务与县域发展深度融合，治理效能持续增强。</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 预算管理（25分，自评得分</w:t>
      </w:r>
      <w:r>
        <w:rPr>
          <w:rFonts w:hint="eastAsia" w:cs="Times New Roman"/>
          <w:b w:val="0"/>
          <w:color w:val="000000"/>
          <w:kern w:val="0"/>
          <w:sz w:val="32"/>
          <w:szCs w:val="32"/>
          <w:highlight w:val="none"/>
          <w:shd w:val="clear" w:color="auto" w:fill="FFFFFF"/>
          <w:lang w:val="en-US" w:eastAsia="zh-CN" w:bidi="ar-SA"/>
        </w:rPr>
        <w:t>20</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 预算编制质量（8分，自评得分</w:t>
      </w:r>
      <w:r>
        <w:rPr>
          <w:rFonts w:hint="eastAsia" w:cs="Times New Roman"/>
          <w:b w:val="0"/>
          <w:color w:val="000000"/>
          <w:kern w:val="0"/>
          <w:sz w:val="32"/>
          <w:szCs w:val="32"/>
          <w:highlight w:val="none"/>
          <w:shd w:val="clear" w:color="auto" w:fill="FFFFFF"/>
          <w:lang w:val="en-US" w:eastAsia="zh-CN" w:bidi="ar-SA"/>
        </w:rPr>
        <w:t>6</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严格按财政部门要求编制年初部门预算，结合2024年预算执行问题优化编制流程，但因年度新增工作任务、政策调整及上级专项拨款追加，财政拨款预算偏离度有所上升，编制科学性和精准度仍需进一步提升。</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单位收入统筹（4分，自评得分4分）：属财政全额拨款行政单位，无自有收入，不涉及收入统筹相关考核，指标完成达标。</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支出执行进度（6分，自评得分</w:t>
      </w:r>
      <w:r>
        <w:rPr>
          <w:rFonts w:hint="eastAsia" w:cs="Times New Roman"/>
          <w:b w:val="0"/>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分）：1-6月、1-10月预算执行进度稳步推进，无支出预警金额、支出违规金额，全年资金全额执行无结余，但因中期预算调整追加频次较多，前期支出执行进度稍缓，整体执行进度均衡性有待优化。</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预算年终结余（2分，自评得分2分）：全年预算执行数2135.08万元，无结转结余资金，预算结余率为0，指标完成达标。</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严控一般性支出（5分，自评得分</w:t>
      </w:r>
      <w:r>
        <w:rPr>
          <w:rFonts w:hint="eastAsia" w:cs="Times New Roman"/>
          <w:b w:val="0"/>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分）：严格管控“三公”经费、会议费、培训费、差旅费等8项一般性支出，支出规模较上年稳中有降，“三公”经费实际支出未超预算安排，一般性支出管控措施落地见效。</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3. 财务管理（10分，自评得分</w:t>
      </w:r>
      <w:r>
        <w:rPr>
          <w:rFonts w:hint="eastAsia" w:cs="Times New Roman"/>
          <w:b w:val="0"/>
          <w:color w:val="000000"/>
          <w:kern w:val="0"/>
          <w:sz w:val="32"/>
          <w:szCs w:val="32"/>
          <w:highlight w:val="none"/>
          <w:shd w:val="clear" w:color="auto" w:fill="FFFFFF"/>
          <w:lang w:val="en-US" w:eastAsia="zh-CN" w:bidi="ar-SA"/>
        </w:rPr>
        <w:t>10</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财务管理制度（4分，自评得分</w:t>
      </w:r>
      <w:r>
        <w:rPr>
          <w:rFonts w:hint="eastAsia" w:cs="Times New Roman"/>
          <w:b w:val="0"/>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依据《中华人民共和国会计法》《中华人民共和国预算法》等法规，完善《理县人民法院部门财务内部控制制度》，对预算、收支、政府采购、资产等各类经济业务流程全面梳理，制度体系健全且在实际工作中有效执行。</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 财务岗位设置（2分，自评得分2分）：按财经法规合理设置财务岗位，明确各岗位职责权限，严格实行会计与出纳、审核与执行等岗位分离，形成相互制约、相互监督的工作机制，财务工作有序规范开展。</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 资金使用规范（4分，自评得分</w:t>
      </w:r>
      <w:r>
        <w:rPr>
          <w:rFonts w:hint="eastAsia" w:cs="Times New Roman"/>
          <w:b w:val="0"/>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分）：严格按照内控制度和国家财经法规使用资金，资金拨付具备完整的审批程序和手续，项目重大开支均开展评估论证，资金使用与预算批复用途高度一致，无截留、挤占、挪用、虚列支出等情况。</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4. 资产管理（9分，自评得分</w:t>
      </w:r>
      <w:r>
        <w:rPr>
          <w:rFonts w:hint="eastAsia" w:cs="Times New Roman"/>
          <w:b w:val="0"/>
          <w:color w:val="000000"/>
          <w:kern w:val="0"/>
          <w:sz w:val="32"/>
          <w:szCs w:val="32"/>
          <w:highlight w:val="none"/>
          <w:shd w:val="clear" w:color="auto" w:fill="FFFFFF"/>
          <w:lang w:val="en-US" w:eastAsia="zh-CN" w:bidi="ar-SA"/>
        </w:rPr>
        <w:t>6</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人均资产变化率（3分，自评得分1分）：2025年末在职职工4</w:t>
      </w:r>
      <w:r>
        <w:rPr>
          <w:rFonts w:hint="eastAsia" w:eastAsia="仿宋_GB2312" w:cs="Times New Roman"/>
          <w:b w:val="0"/>
          <w:color w:val="000000"/>
          <w:kern w:val="0"/>
          <w:sz w:val="32"/>
          <w:szCs w:val="32"/>
          <w:highlight w:val="none"/>
          <w:shd w:val="clear" w:color="auto" w:fill="FFFFFF"/>
          <w:lang w:val="en-US" w:eastAsia="zh-CN" w:bidi="ar-SA"/>
        </w:rPr>
        <w:t>8</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人，固定资产及无形资产净值较2024年略有增长，人均资产变化率虽较上年有所回落，但仍高于州直行政事业单位平均水平，资产配置与实际履职需求的匹配度需进一步优化。</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资产利用率（3分，自评得分</w:t>
      </w:r>
      <w:r>
        <w:rPr>
          <w:rFonts w:hint="eastAsia" w:cs="Times New Roman"/>
          <w:b w:val="0"/>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分）：对超最低使用年限的办公家具、办公设备持续规范管理，超最低使用年限资产利用率均高于州直行政事业单位平均值，资产日常使用、维护到位，无闲置浪费情况。</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资产盘活率（3分，自评得分3分）：2025年本院无闲置一年以上的资产，闲置资产占比变化率为0，资产盘活、处置工作落实到位，指标完成达标。</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5. 采购管理（6分，自评得分</w:t>
      </w:r>
      <w:r>
        <w:rPr>
          <w:rFonts w:hint="eastAsia" w:cs="Times New Roman"/>
          <w:b w:val="0"/>
          <w:color w:val="000000"/>
          <w:kern w:val="0"/>
          <w:sz w:val="32"/>
          <w:szCs w:val="32"/>
          <w:highlight w:val="none"/>
          <w:shd w:val="clear" w:color="auto" w:fill="FFFFFF"/>
          <w:lang w:val="en-US" w:eastAsia="zh-CN" w:bidi="ar-SA"/>
        </w:rPr>
        <w:t>5</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 支持中小企业发展（3分，自评得分3分）：严格执行政府采购促进中小企业发展相关管理办法，对适宜中小企业承接的采购项目预留采购份额，采购预算单独列示，采购流程符合政策要求。</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 采购执行率（3分，自评得分</w:t>
      </w:r>
      <w:r>
        <w:rPr>
          <w:rFonts w:hint="eastAsia" w:cs="Times New Roman"/>
          <w:b w:val="0"/>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分）：2025年本院政府采购预算均按要求全额执行，执行率100%，已完成采购项目无资金节约或超支情况，采购资金支付及时、规范。</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（二）部门预算项目绩效分析</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2025年我单位部门预算项目共13个，其中常年项目9个（工资性支出、单位缴费、聘用人员经费等）、阶段（含一次性）项目4个（追加人员工资性支出、援建资金、质保金等），涉及调整后预算总金额1716.51万元，1—12月预算执行总体进度100%，无预算结余率大于10%的项目。</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1. 项目决策（12分，自评得分</w:t>
      </w:r>
      <w:r>
        <w:rPr>
          <w:rFonts w:hint="eastAsia" w:cs="Times New Roman"/>
          <w:b w:val="0"/>
          <w:color w:val="000000"/>
          <w:kern w:val="0"/>
          <w:sz w:val="32"/>
          <w:szCs w:val="32"/>
          <w:highlight w:val="none"/>
          <w:shd w:val="clear" w:color="auto" w:fill="FFFFFF"/>
          <w:lang w:val="en-US" w:eastAsia="zh-CN" w:bidi="ar-SA"/>
        </w:rPr>
        <w:t>10</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决策程序（4分，自评得分</w:t>
      </w:r>
      <w:r>
        <w:rPr>
          <w:rFonts w:hint="eastAsia" w:cs="Times New Roman"/>
          <w:b w:val="0"/>
          <w:color w:val="000000"/>
          <w:kern w:val="0"/>
          <w:sz w:val="32"/>
          <w:szCs w:val="32"/>
          <w:highlight w:val="none"/>
          <w:shd w:val="clear" w:color="auto" w:fill="FFFFFF"/>
          <w:lang w:val="en-US" w:eastAsia="zh-CN" w:bidi="ar-SA"/>
        </w:rPr>
        <w:t>3</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分）：4个阶段（含一次性）项目均严格履行事前绩效评估程序，项目立项依据充分、审批流程规范，符合法院履职及工作开展实际需求。</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目标设置（4分，自评得分</w:t>
      </w:r>
      <w:r>
        <w:rPr>
          <w:rFonts w:hint="eastAsia" w:cs="Times New Roman"/>
          <w:b w:val="0"/>
          <w:color w:val="000000"/>
          <w:kern w:val="0"/>
          <w:sz w:val="32"/>
          <w:szCs w:val="32"/>
          <w:highlight w:val="none"/>
          <w:shd w:val="clear" w:color="auto" w:fill="FFFFFF"/>
          <w:lang w:val="en-US" w:eastAsia="zh-CN" w:bidi="ar-SA"/>
        </w:rPr>
        <w:t>3</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分）：所有项目均按要求设置绩效目标表，绩效目标与项目任务量、预算资金量高度匹配，目标设置科学合理、量化细化，具备可考核性。</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项目入库（4分，自评得分4分）：全年需入库的4个阶段（含一次性）项目，均在财政部门规定时间内完成入库手续，入库资料完整、规范。 </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 项目执行（12分，自评得分1</w:t>
      </w:r>
      <w:r>
        <w:rPr>
          <w:rFonts w:hint="eastAsia" w:cs="Times New Roman"/>
          <w:b w:val="0"/>
          <w:color w:val="000000"/>
          <w:kern w:val="0"/>
          <w:sz w:val="32"/>
          <w:szCs w:val="32"/>
          <w:highlight w:val="none"/>
          <w:shd w:val="clear" w:color="auto" w:fill="FFFFFF"/>
          <w:lang w:val="en-US" w:eastAsia="zh-CN" w:bidi="ar-SA"/>
        </w:rPr>
        <w:t>1</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执行同向（4分，自评得分</w:t>
      </w:r>
      <w:r>
        <w:rPr>
          <w:rFonts w:hint="eastAsia" w:cs="Times New Roman"/>
          <w:b w:val="0"/>
          <w:color w:val="000000"/>
          <w:kern w:val="0"/>
          <w:sz w:val="32"/>
          <w:szCs w:val="32"/>
          <w:highlight w:val="none"/>
          <w:shd w:val="clear" w:color="auto" w:fill="FFFFFF"/>
          <w:lang w:val="en-US" w:eastAsia="zh-CN" w:bidi="ar-SA"/>
        </w:rPr>
        <w:t>3</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分）：所有项目均严格按照部门预算批复内容实施，资金使用与项目绩效目标设置方向高度一致，无偏离预算用途、绩效目标的情况。</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项目调整（4分，自评得分</w:t>
      </w:r>
      <w:r>
        <w:rPr>
          <w:rFonts w:hint="eastAsia" w:cs="Times New Roman"/>
          <w:b w:val="0"/>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分）：年初项目预算编制贴合实际，年度内部分项目因工作需要进行预算调整，调整流程及时、合规，与实际实施情况高度相符，无需采取收回预算、调整目标等处置措施。</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执行结果（4分，自评得分4分）：9个常年项目、4个阶段（含一次性）项目预算结余率均小于10%，所有项目资金均按要求执行到位，项目实施进度与时间节点匹配。 </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3. 目标实现（11分，自评得分1</w:t>
      </w:r>
      <w:r>
        <w:rPr>
          <w:rFonts w:hint="eastAsia" w:cs="Times New Roman"/>
          <w:b w:val="0"/>
          <w:color w:val="000000"/>
          <w:kern w:val="0"/>
          <w:sz w:val="32"/>
          <w:szCs w:val="32"/>
          <w:highlight w:val="none"/>
          <w:shd w:val="clear" w:color="auto" w:fill="FFFFFF"/>
          <w:lang w:val="en-US" w:eastAsia="zh-CN" w:bidi="ar-SA"/>
        </w:rPr>
        <w:t>0</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 目标完成（4分，自评得分4分）：4个阶段（含一次性）项目的数量指标、质量指标、时效指标均100%完成，圆满达成项目年度绩效目标。</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目标偏离（4分，自评得分</w:t>
      </w:r>
      <w:r>
        <w:rPr>
          <w:rFonts w:hint="eastAsia" w:cs="Times New Roman"/>
          <w:b w:val="0"/>
          <w:color w:val="000000"/>
          <w:kern w:val="0"/>
          <w:sz w:val="32"/>
          <w:szCs w:val="32"/>
          <w:highlight w:val="none"/>
          <w:shd w:val="clear" w:color="auto" w:fill="FFFFFF"/>
          <w:lang w:val="en-US" w:eastAsia="zh-CN" w:bidi="ar-SA"/>
        </w:rPr>
        <w:t>3</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分）：全院13个预算项目的数量指标完成值与设定预期指标值的偏离度均在30%以内，指标实现程度符合预期。</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 xml:space="preserve">实现效果（3分，自评得分3分）：所有项目的经济效益、社会效益、服务对象满意度等预期效益指标均全部完成，项目实施有效保障了法院审判执行、日常运转、队伍建设等工作，取得良好履职成效。 </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（三）绩效结果应用情况</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1. 内部应用情况：将预算绩效评价结果与本院财务管理、项目管理、资产管理工作深度结合，针对自评中发现的预算编制、支出执行、资产配置等问题，及时梳理整改措施，优化内部管理流程，将绩效结果作为下一年度预算编制、项目立项的重要依据，提升预算管理精细化水平。</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 信息公开情况：严格按照财政部门要求，将2025年部门预算绩效信息随同部门预决算信息向社会公开，做到公开内容完整、数据准确、及时规范，接受社会监督。</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3. 整改反馈情况：针对2024年绩效自评发现的人均资产变化率过高、支出进度不均衡等问题，制定专项整改方案，2025年通过优化资产配置、加强绩效监控、细化预算编制等措施，相关问题得到有效改善，整改成效纳入年度工作考核。</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四、评价结论及建议</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（一）评价结论</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2025年，理县人民法院严格按照《预算绩效评价共性指标体系框架》及相关财务管理规定，开展部门预算绩效自评工作。全年切实履行审判执行、司法服务等核心职责，部门预算管理、财务管理、资产管理、采购管理等工作规范有序，各项年度履职任务圆满完成，预算资金使用效益达到预期目标。结合指标评分标准，本院2025年部门预算绩效评价综合得分</w:t>
      </w:r>
      <w:r>
        <w:rPr>
          <w:rFonts w:hint="eastAsia" w:cs="Times New Roman"/>
          <w:b w:val="0"/>
          <w:color w:val="000000"/>
          <w:kern w:val="0"/>
          <w:sz w:val="32"/>
          <w:szCs w:val="32"/>
          <w:highlight w:val="none"/>
          <w:shd w:val="clear" w:color="auto" w:fill="FFFFFF"/>
          <w:lang w:val="en-US" w:eastAsia="zh-CN" w:bidi="ar-SA"/>
        </w:rPr>
        <w:t>86</w:t>
      </w: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分。</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（二）存在问题</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1. 预算编制精准度仍需提升：因年度新增工作任务、上级政策调整及专项拨款追加，财政拨款预算偏离度较高，部分项目预算编制与实际执行存在一定差异，前瞻性和精准性不足。</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 支出执行进度均衡性有待优化：受中期预算调整、项目工作推进节奏等因素影响，资金支出前期进度稍缓，整体执行节奏不够均衡。</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3. 资产配置合理性需进一步改善：人均资产变化率仍高于州直行政事业单位平均水平，资产配置与本院实际履职需求的匹配度有待提升，资产精细化管理水平需持续加强。</w:t>
      </w:r>
    </w:p>
    <w:p>
      <w:pPr>
        <w:widowControl/>
        <w:adjustRightInd w:val="0"/>
        <w:snapToGrid w:val="0"/>
        <w:spacing w:line="578" w:lineRule="exact"/>
        <w:ind w:firstLine="642" w:firstLineChars="200"/>
        <w:contextualSpacing/>
        <w:jc w:val="left"/>
        <w:rPr>
          <w:rFonts w:hint="eastAsia" w:ascii="Times New Roman" w:hAnsi="Times New Roman" w:eastAsia="仿宋_GB2312" w:cs="Times New Roman"/>
          <w:b/>
          <w:bCs/>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（三）改进建议</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1. 提升预算编制科学性和精准性：结合近3年预算执行数据、年度工作任务及政策调整趋势，细化预算编制内容，对重点项目开展专项预算论证；加强与财政部门的沟通对接，及时反馈工作需求，减少预算中期调整频次，提升预算编制的前瞻性和准确性。</w:t>
      </w:r>
    </w:p>
    <w:p>
      <w:pPr>
        <w:widowControl/>
        <w:adjustRightInd w:val="0"/>
        <w:snapToGrid w:val="0"/>
        <w:spacing w:line="578" w:lineRule="exact"/>
        <w:ind w:firstLine="640" w:firstLineChars="200"/>
        <w:contextualSpacing/>
        <w:jc w:val="left"/>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2. 优化预算支出执行进度管理：建立预算执行月度监控、季度通报机制，对各项目支出进度进行动态跟踪，针对进度滞后项目分析原因、督促整改；结合项目工作节点，制定资金支出计划，合理把控支出节奏，确保资金支出前后均衡、高效执行。</w:t>
      </w:r>
    </w:p>
    <w:p>
      <w:pPr>
        <w:widowControl/>
        <w:adjustRightInd w:val="0"/>
        <w:snapToGrid w:val="0"/>
        <w:spacing w:line="578" w:lineRule="exact"/>
        <w:ind w:firstLine="640" w:firstLineChars="200"/>
        <w:contextualSpacing/>
        <w:jc w:val="left"/>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3. 强化资产精细化管理：依托资产管理信息系统，实时记录资产使用状态、维修记录等数据，设置资产利用率预警阈值；每季度开展资产盘点和利用率分析，对比州直行政事业单位平均水平优化资产配置，对闲置资产及时盘活处置，降低人均资产变化率，提升资产使用效益。</w:t>
      </w: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righ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8"/>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XX履职效果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86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pStyle w:val="22"/>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pPr>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br w:type="page"/>
      </w:r>
    </w:p>
    <w:tbl>
      <w:tblPr>
        <w:tblStyle w:val="18"/>
        <w:tblW w:w="880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4"/>
        <w:gridCol w:w="651"/>
        <w:gridCol w:w="1240"/>
        <w:gridCol w:w="1851"/>
        <w:gridCol w:w="982"/>
        <w:gridCol w:w="939"/>
        <w:gridCol w:w="861"/>
        <w:gridCol w:w="861"/>
        <w:gridCol w:w="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809" w:type="dxa"/>
            <w:gridSpan w:val="9"/>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2025年度部门整体绩效目标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部门名称：</w:t>
            </w:r>
          </w:p>
        </w:tc>
        <w:tc>
          <w:tcPr>
            <w:tcW w:w="5663" w:type="dxa"/>
            <w:gridSpan w:val="5"/>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理县人民法院部门</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simhei" w:hAnsi="simhei" w:eastAsia="simhei" w:cs="simhei"/>
                <w:i w:val="0"/>
                <w:iCs w:val="0"/>
                <w:color w:val="000000"/>
                <w:sz w:val="18"/>
                <w:szCs w:val="18"/>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val="0"/>
                <w:iCs w:val="0"/>
                <w:color w:val="000000"/>
                <w:sz w:val="18"/>
                <w:szCs w:val="18"/>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23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年度部门整体预算</w:t>
            </w:r>
          </w:p>
        </w:tc>
        <w:tc>
          <w:tcPr>
            <w:tcW w:w="2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资金总额</w:t>
            </w:r>
          </w:p>
        </w:tc>
        <w:tc>
          <w:tcPr>
            <w:tcW w:w="1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财政拨款</w:t>
            </w:r>
          </w:p>
        </w:tc>
        <w:tc>
          <w:tcPr>
            <w:tcW w:w="18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23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收入预算</w:t>
            </w:r>
          </w:p>
        </w:tc>
        <w:tc>
          <w:tcPr>
            <w:tcW w:w="2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413.00</w:t>
            </w:r>
          </w:p>
        </w:tc>
        <w:tc>
          <w:tcPr>
            <w:tcW w:w="1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413.00</w:t>
            </w:r>
          </w:p>
        </w:tc>
        <w:tc>
          <w:tcPr>
            <w:tcW w:w="18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支出预算</w:t>
            </w:r>
          </w:p>
        </w:tc>
        <w:tc>
          <w:tcPr>
            <w:tcW w:w="2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1,046.03</w:t>
            </w:r>
          </w:p>
        </w:tc>
        <w:tc>
          <w:tcPr>
            <w:tcW w:w="1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1,046.03</w:t>
            </w:r>
          </w:p>
        </w:tc>
        <w:tc>
          <w:tcPr>
            <w:tcW w:w="18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5" w:hRule="atLeast"/>
        </w:trPr>
        <w:tc>
          <w:tcPr>
            <w:tcW w:w="23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年度总体目标</w:t>
            </w:r>
          </w:p>
        </w:tc>
        <w:tc>
          <w:tcPr>
            <w:tcW w:w="643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我院工作的指导思想和目标任务是：坚持以习近平新时代中国特色社会主义思想为指导，深入学习贯彻习近平法治思想和党的二十届三中全会精神，坚定拥护“两个确立”、坚决做到“两个维护”，按照省、州、县全会部署要求，紧紧围绕“努力让人民群众在每一个司法案件中感受到公平正义”的目标，以审判工作现代化助力建设社会主义现代化新理县。目标：保障我院针对法律问题提出建议、指导及调解，保障我院法院依法审理应由本院审理的刑事民事行政执行等案件。保障在职人员45人，临聘人员27人，离退休人员18人的人员经费，以及开展办案审判业务所需的日常经费；保障我院极积参与社会治安综合治理，通过审判活动、宣传活动和其他方式协助本地区社会治安，完成受理结案案件400余件，执行标的额及时到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88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管理效率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8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36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指标参考值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三年均值</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2023</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财政拨款预算偏离度</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132.95%</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132.95%</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115.93%</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117.42%</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单位收入统筹度</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预算年终结余率</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一般性支出金额</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258.03万元</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258.03万元</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258.03万元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财务管理规范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资产管理</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资产配置预算偏离度</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采购管理</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采购执行率</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88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履职效能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36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指标值（包括数字及文字描述）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36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临聘人员工资发放人数</w:t>
            </w:r>
          </w:p>
        </w:tc>
        <w:tc>
          <w:tcPr>
            <w:tcW w:w="36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正式职工发放人数</w:t>
            </w:r>
          </w:p>
        </w:tc>
        <w:tc>
          <w:tcPr>
            <w:tcW w:w="36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采购验收合格率</w:t>
            </w:r>
          </w:p>
        </w:tc>
        <w:tc>
          <w:tcPr>
            <w:tcW w:w="36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效益指标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8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保障社会治安稳定</w:t>
            </w:r>
          </w:p>
        </w:tc>
        <w:tc>
          <w:tcPr>
            <w:tcW w:w="36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保障社会治安稳定效果显著</w:t>
            </w:r>
          </w:p>
        </w:tc>
      </w:tr>
    </w:tbl>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p>
      <w:pPr>
        <w:spacing w:line="600" w:lineRule="exact"/>
        <w:rPr>
          <w:rFonts w:eastAsia="仿宋_GB2312" w:cs="仿宋_GB2312"/>
          <w:sz w:val="32"/>
          <w:szCs w:val="32"/>
        </w:rPr>
      </w:pPr>
    </w:p>
    <w:bookmarkEnd w:id="80"/>
    <w:bookmarkEnd w:id="87"/>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Start w:id="88"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0"/>
      <w:r>
        <w:rPr>
          <w:rFonts w:hint="eastAsia" w:ascii="Times New Roman" w:hAnsi="Times New Roman" w:eastAsia="仿宋_GB2312" w:cs="仿宋_GB2312"/>
          <w:color w:val="auto"/>
          <w:sz w:val="32"/>
          <w:szCs w:val="32"/>
          <w:highlight w:val="none"/>
        </w:rPr>
        <w:t>二、收入决算表</w:t>
      </w:r>
      <w:bookmarkEnd w:id="8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1"/>
      <w:r>
        <w:rPr>
          <w:rFonts w:hint="eastAsia" w:ascii="Times New Roman" w:hAnsi="Times New Roman" w:eastAsia="仿宋_GB2312" w:cs="仿宋_GB2312"/>
          <w:color w:val="auto"/>
          <w:sz w:val="32"/>
          <w:szCs w:val="32"/>
          <w:highlight w:val="none"/>
        </w:rPr>
        <w:t>三、支出决算表</w:t>
      </w:r>
      <w:bookmarkEnd w:id="9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2"/>
      <w:r>
        <w:rPr>
          <w:rFonts w:hint="eastAsia" w:ascii="Times New Roman" w:hAnsi="Times New Roman" w:eastAsia="仿宋_GB2312" w:cs="仿宋_GB2312"/>
          <w:color w:val="auto"/>
          <w:sz w:val="32"/>
          <w:szCs w:val="32"/>
          <w:highlight w:val="none"/>
        </w:rPr>
        <w:t>四、财政拨款收入支出决算总表</w:t>
      </w:r>
      <w:bookmarkEnd w:id="9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3"/>
      <w:r>
        <w:rPr>
          <w:rFonts w:hint="eastAsia" w:ascii="Times New Roman" w:hAnsi="Times New Roman" w:eastAsia="仿宋_GB2312" w:cs="仿宋_GB2312"/>
          <w:color w:val="auto"/>
          <w:sz w:val="32"/>
          <w:szCs w:val="32"/>
          <w:highlight w:val="none"/>
        </w:rPr>
        <w:t>五、财政拨款支出决算明细表</w:t>
      </w:r>
      <w:bookmarkEnd w:id="92"/>
      <w:bookmarkStart w:id="93"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5"/>
      <w:r>
        <w:rPr>
          <w:rFonts w:hint="eastAsia" w:ascii="Times New Roman" w:hAnsi="Times New Roman" w:eastAsia="仿宋_GB2312" w:cs="仿宋_GB2312"/>
          <w:color w:val="auto"/>
          <w:sz w:val="32"/>
          <w:szCs w:val="32"/>
          <w:highlight w:val="none"/>
        </w:rPr>
        <w:t>七、一般公共预算财政拨款支出决算明细表</w:t>
      </w:r>
      <w:bookmarkEnd w:id="9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6"/>
      <w:r>
        <w:rPr>
          <w:rFonts w:hint="eastAsia" w:ascii="Times New Roman" w:hAnsi="Times New Roman" w:eastAsia="仿宋_GB2312" w:cs="仿宋_GB2312"/>
          <w:color w:val="auto"/>
          <w:sz w:val="32"/>
          <w:szCs w:val="32"/>
          <w:highlight w:val="none"/>
        </w:rPr>
        <w:t>八、一般公共预算财政拨款基本支出决算表</w:t>
      </w:r>
      <w:bookmarkEnd w:id="9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7"/>
      <w:r>
        <w:rPr>
          <w:rFonts w:hint="eastAsia" w:ascii="Times New Roman" w:hAnsi="Times New Roman" w:eastAsia="仿宋_GB2312" w:cs="仿宋_GB2312"/>
          <w:color w:val="auto"/>
          <w:sz w:val="32"/>
          <w:szCs w:val="32"/>
          <w:highlight w:val="none"/>
        </w:rPr>
        <w:t>九、一般公共预算财政拨款项目支出决算表</w:t>
      </w:r>
      <w:bookmarkEnd w:id="9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8"/>
      <w:r>
        <w:rPr>
          <w:rFonts w:hint="eastAsia" w:ascii="Times New Roman" w:hAnsi="Times New Roman" w:eastAsia="仿宋_GB2312" w:cs="仿宋_GB2312"/>
          <w:color w:val="auto"/>
          <w:sz w:val="32"/>
          <w:szCs w:val="32"/>
          <w:highlight w:val="none"/>
        </w:rPr>
        <w:t>十、</w:t>
      </w:r>
      <w:bookmarkEnd w:id="97"/>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9"/>
      <w:r>
        <w:rPr>
          <w:rFonts w:hint="eastAsia" w:ascii="Times New Roman" w:hAnsi="Times New Roman" w:eastAsia="仿宋_GB2312" w:cs="仿宋_GB2312"/>
          <w:color w:val="auto"/>
          <w:sz w:val="32"/>
          <w:szCs w:val="32"/>
          <w:highlight w:val="none"/>
        </w:rPr>
        <w:t>十一、</w:t>
      </w:r>
      <w:bookmarkEnd w:id="9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30"/>
      <w:r>
        <w:rPr>
          <w:rFonts w:hint="eastAsia" w:ascii="Times New Roman" w:hAnsi="Times New Roman" w:eastAsia="仿宋_GB2312" w:cs="仿宋_GB2312"/>
          <w:color w:val="auto"/>
          <w:sz w:val="32"/>
          <w:szCs w:val="32"/>
          <w:highlight w:val="none"/>
        </w:rPr>
        <w:t>十二、</w:t>
      </w:r>
      <w:bookmarkEnd w:id="9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0" w:name="_Toc15396631"/>
      <w:r>
        <w:rPr>
          <w:rFonts w:hint="eastAsia" w:ascii="Times New Roman" w:hAnsi="Times New Roman" w:eastAsia="仿宋_GB2312" w:cs="仿宋_GB2312"/>
          <w:color w:val="auto"/>
          <w:sz w:val="32"/>
          <w:szCs w:val="32"/>
          <w:highlight w:val="none"/>
        </w:rPr>
        <w:t>十三、</w:t>
      </w:r>
      <w:bookmarkEnd w:id="100"/>
      <w:r>
        <w:rPr>
          <w:rFonts w:hint="eastAsia" w:ascii="Times New Roman" w:hAnsi="Times New Roman" w:eastAsia="仿宋_GB2312" w:cs="仿宋_GB2312"/>
          <w:color w:val="auto"/>
          <w:sz w:val="32"/>
          <w:szCs w:val="32"/>
          <w:highlight w:val="none"/>
          <w:lang w:eastAsia="zh-CN"/>
        </w:rPr>
        <w:t>财政拨款“三公”经费支出决算表</w:t>
      </w:r>
    </w:p>
    <w:p>
      <w:pPr>
        <w:spacing w:line="600" w:lineRule="exact"/>
        <w:rPr>
          <w:rFonts w:eastAsia="仿宋_GB2312" w:cs="仿宋_GB2312"/>
          <w:sz w:val="32"/>
          <w:szCs w:val="32"/>
        </w:rPr>
      </w:pPr>
    </w:p>
    <w:p>
      <w:pPr>
        <w:bidi w:val="0"/>
        <w:rPr>
          <w:rFonts w:ascii="Times New Roman" w:hAnsi="Times New Roman" w:eastAsia="宋体" w:cs="Times New Roman"/>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jc w:val="left"/>
        <w:rPr>
          <w:lang w:val="en-US" w:eastAsia="zh-CN"/>
        </w:rPr>
      </w:pPr>
    </w:p>
    <w:p>
      <w:pPr>
        <w:bidi w:val="0"/>
        <w:jc w:val="left"/>
        <w:rPr>
          <w:lang w:val="en-US" w:eastAsia="zh-CN"/>
        </w:rPr>
      </w:pPr>
    </w:p>
    <w:sectPr>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华文中宋"/>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simhei">
    <w:altName w:val="华文中宋"/>
    <w:panose1 w:val="00000000000000000000"/>
    <w:charset w:val="00"/>
    <w:family w:val="auto"/>
    <w:pitch w:val="default"/>
    <w:sig w:usb0="00000000" w:usb1="00000000" w:usb2="00000000" w:usb3="00000000" w:csb0="0000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9p2MgIAAGMEAAAOAAAAZHJz&#10;L2Uyb0RvYy54bWytVM2O0zAQviPxDpbvNGkRS1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KT72nYyAgAAYwQAAA4AAAAAAAAAAQAgAAAA&#10;NQEAAGRycy9lMm9Eb2MueG1sUEsFBgAAAAAGAAYAWQEAANk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89aE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&#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vfPWhDECAABjBAAADgAAAAAAAAABACAAAAA1&#10;AQAAZHJzL2Uyb0RvYy54bWxQSwUGAAAAAAYABgBZAQAA2A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CEEEDC"/>
    <w:multiLevelType w:val="singleLevel"/>
    <w:tmpl w:val="B9CEEEDC"/>
    <w:lvl w:ilvl="0" w:tentative="0">
      <w:start w:val="1"/>
      <w:numFmt w:val="decimal"/>
      <w:suff w:val="nothing"/>
      <w:lvlText w:val="%1、"/>
      <w:lvlJc w:val="left"/>
    </w:lvl>
  </w:abstractNum>
  <w:abstractNum w:abstractNumId="1">
    <w:nsid w:val="BFBFFC29"/>
    <w:multiLevelType w:val="singleLevel"/>
    <w:tmpl w:val="BFBFFC29"/>
    <w:lvl w:ilvl="0" w:tentative="0">
      <w:start w:val="1"/>
      <w:numFmt w:val="decimal"/>
      <w:lvlText w:val="%1."/>
      <w:lvlJc w:val="left"/>
      <w:pPr>
        <w:tabs>
          <w:tab w:val="left" w:pos="312"/>
        </w:tabs>
        <w:ind w:left="200"/>
      </w:pPr>
    </w:lvl>
  </w:abstractNum>
  <w:abstractNum w:abstractNumId="2">
    <w:nsid w:val="C57FB246"/>
    <w:multiLevelType w:val="singleLevel"/>
    <w:tmpl w:val="C57FB246"/>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0CB7"/>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1706E"/>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54406"/>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5B1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1C2C"/>
    <w:rsid w:val="00683E73"/>
    <w:rsid w:val="006A3141"/>
    <w:rsid w:val="006A5E34"/>
    <w:rsid w:val="006A642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168EB"/>
    <w:rsid w:val="00923564"/>
    <w:rsid w:val="0092392E"/>
    <w:rsid w:val="009315F9"/>
    <w:rsid w:val="00933499"/>
    <w:rsid w:val="00935C98"/>
    <w:rsid w:val="00946945"/>
    <w:rsid w:val="00951248"/>
    <w:rsid w:val="0095152F"/>
    <w:rsid w:val="00954C49"/>
    <w:rsid w:val="00955E37"/>
    <w:rsid w:val="009675F0"/>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9463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C01F5"/>
    <w:rsid w:val="012A5EC2"/>
    <w:rsid w:val="015975B8"/>
    <w:rsid w:val="016043AA"/>
    <w:rsid w:val="019D55FE"/>
    <w:rsid w:val="02FEBE30"/>
    <w:rsid w:val="036068E4"/>
    <w:rsid w:val="04916F1E"/>
    <w:rsid w:val="04CF12D1"/>
    <w:rsid w:val="061E35DE"/>
    <w:rsid w:val="066A1E04"/>
    <w:rsid w:val="066E0107"/>
    <w:rsid w:val="07996F6E"/>
    <w:rsid w:val="07DFD8BA"/>
    <w:rsid w:val="080D4B60"/>
    <w:rsid w:val="08955281"/>
    <w:rsid w:val="09867E8F"/>
    <w:rsid w:val="0A2032A3"/>
    <w:rsid w:val="0A285C81"/>
    <w:rsid w:val="0B59666F"/>
    <w:rsid w:val="0B7A075E"/>
    <w:rsid w:val="0B8E1D5C"/>
    <w:rsid w:val="0BC814CA"/>
    <w:rsid w:val="0CA8290A"/>
    <w:rsid w:val="0D35B1ED"/>
    <w:rsid w:val="0D9A50E8"/>
    <w:rsid w:val="0DBB02DA"/>
    <w:rsid w:val="0E254B6B"/>
    <w:rsid w:val="0F5F3F4B"/>
    <w:rsid w:val="0F6F309D"/>
    <w:rsid w:val="0F98263C"/>
    <w:rsid w:val="101860EC"/>
    <w:rsid w:val="101F47CC"/>
    <w:rsid w:val="10C055FF"/>
    <w:rsid w:val="10D72FCD"/>
    <w:rsid w:val="11694EBD"/>
    <w:rsid w:val="11772AA4"/>
    <w:rsid w:val="117B83E5"/>
    <w:rsid w:val="118107EC"/>
    <w:rsid w:val="12E24EE2"/>
    <w:rsid w:val="1341623F"/>
    <w:rsid w:val="13D50BC4"/>
    <w:rsid w:val="148335DE"/>
    <w:rsid w:val="14B17F78"/>
    <w:rsid w:val="14B60A59"/>
    <w:rsid w:val="160E6673"/>
    <w:rsid w:val="165E0673"/>
    <w:rsid w:val="16B831D5"/>
    <w:rsid w:val="16BB723D"/>
    <w:rsid w:val="178F7340"/>
    <w:rsid w:val="17E50567"/>
    <w:rsid w:val="186504BB"/>
    <w:rsid w:val="18F57676"/>
    <w:rsid w:val="19A445FC"/>
    <w:rsid w:val="1AC45552"/>
    <w:rsid w:val="1BE8440E"/>
    <w:rsid w:val="1CA218C3"/>
    <w:rsid w:val="1CF76499"/>
    <w:rsid w:val="1D155CEE"/>
    <w:rsid w:val="1D1638FE"/>
    <w:rsid w:val="1D24052A"/>
    <w:rsid w:val="1D440BCC"/>
    <w:rsid w:val="1D4F271D"/>
    <w:rsid w:val="1E312DEB"/>
    <w:rsid w:val="1E740ACF"/>
    <w:rsid w:val="1FF35744"/>
    <w:rsid w:val="1FF6BC77"/>
    <w:rsid w:val="214D44F3"/>
    <w:rsid w:val="2186353C"/>
    <w:rsid w:val="23860B96"/>
    <w:rsid w:val="23A72088"/>
    <w:rsid w:val="23E40948"/>
    <w:rsid w:val="240371BF"/>
    <w:rsid w:val="244F3473"/>
    <w:rsid w:val="24C97D99"/>
    <w:rsid w:val="254B246D"/>
    <w:rsid w:val="25A718F0"/>
    <w:rsid w:val="25BB59F6"/>
    <w:rsid w:val="25D845A8"/>
    <w:rsid w:val="25DD571A"/>
    <w:rsid w:val="25FF811D"/>
    <w:rsid w:val="260F557C"/>
    <w:rsid w:val="26970054"/>
    <w:rsid w:val="26BD2CAE"/>
    <w:rsid w:val="27361586"/>
    <w:rsid w:val="27A75FE0"/>
    <w:rsid w:val="281408E2"/>
    <w:rsid w:val="28B5135D"/>
    <w:rsid w:val="29042120"/>
    <w:rsid w:val="29FD04D3"/>
    <w:rsid w:val="2ADB2B70"/>
    <w:rsid w:val="2AE5754B"/>
    <w:rsid w:val="2BE406C8"/>
    <w:rsid w:val="2BEB6DE3"/>
    <w:rsid w:val="2BFF7BC6"/>
    <w:rsid w:val="2C2873B7"/>
    <w:rsid w:val="2C8A61B5"/>
    <w:rsid w:val="2DF04E50"/>
    <w:rsid w:val="2E586DFA"/>
    <w:rsid w:val="2F040D46"/>
    <w:rsid w:val="2F6B035B"/>
    <w:rsid w:val="2FAE5751"/>
    <w:rsid w:val="2FB1A395"/>
    <w:rsid w:val="2FD9A7D8"/>
    <w:rsid w:val="2FDBF714"/>
    <w:rsid w:val="2FE029D7"/>
    <w:rsid w:val="30AB6865"/>
    <w:rsid w:val="319F7F4E"/>
    <w:rsid w:val="32320F17"/>
    <w:rsid w:val="32BD1EF1"/>
    <w:rsid w:val="32D33A34"/>
    <w:rsid w:val="3304709D"/>
    <w:rsid w:val="336B0809"/>
    <w:rsid w:val="33A773CB"/>
    <w:rsid w:val="343D03F7"/>
    <w:rsid w:val="34572DE7"/>
    <w:rsid w:val="349D6851"/>
    <w:rsid w:val="3575596F"/>
    <w:rsid w:val="35C42453"/>
    <w:rsid w:val="364E6E1C"/>
    <w:rsid w:val="366C6D72"/>
    <w:rsid w:val="36AA5135"/>
    <w:rsid w:val="36BE0DA7"/>
    <w:rsid w:val="376B6AA6"/>
    <w:rsid w:val="376D39B2"/>
    <w:rsid w:val="37E16F03"/>
    <w:rsid w:val="37F53A3B"/>
    <w:rsid w:val="389B6C89"/>
    <w:rsid w:val="38D469F0"/>
    <w:rsid w:val="39627CCD"/>
    <w:rsid w:val="397BAF1F"/>
    <w:rsid w:val="39810D86"/>
    <w:rsid w:val="39BB0884"/>
    <w:rsid w:val="39F64B46"/>
    <w:rsid w:val="3AB79AF3"/>
    <w:rsid w:val="3AE834C0"/>
    <w:rsid w:val="3B673FAC"/>
    <w:rsid w:val="3B7EF35A"/>
    <w:rsid w:val="3B9FDB6C"/>
    <w:rsid w:val="3BF5BC2F"/>
    <w:rsid w:val="3C0417FB"/>
    <w:rsid w:val="3C2E0626"/>
    <w:rsid w:val="3C5D5D2A"/>
    <w:rsid w:val="3CEBA265"/>
    <w:rsid w:val="3D98207C"/>
    <w:rsid w:val="3DDF3138"/>
    <w:rsid w:val="3DEE7CF3"/>
    <w:rsid w:val="3E740A63"/>
    <w:rsid w:val="3E78745D"/>
    <w:rsid w:val="3E917B24"/>
    <w:rsid w:val="3EE17838"/>
    <w:rsid w:val="3F32667F"/>
    <w:rsid w:val="3F55381A"/>
    <w:rsid w:val="3F7F7599"/>
    <w:rsid w:val="3FF4CAE0"/>
    <w:rsid w:val="3FF7B227"/>
    <w:rsid w:val="413761CE"/>
    <w:rsid w:val="4160587C"/>
    <w:rsid w:val="42CA554C"/>
    <w:rsid w:val="42EB54C2"/>
    <w:rsid w:val="44AE67A8"/>
    <w:rsid w:val="44E1092B"/>
    <w:rsid w:val="44E268DA"/>
    <w:rsid w:val="450D13D7"/>
    <w:rsid w:val="45506656"/>
    <w:rsid w:val="470D1EAB"/>
    <w:rsid w:val="47AF6ABF"/>
    <w:rsid w:val="48276F9D"/>
    <w:rsid w:val="486A6C7A"/>
    <w:rsid w:val="4A5D196D"/>
    <w:rsid w:val="4A627F82"/>
    <w:rsid w:val="4A8D197E"/>
    <w:rsid w:val="4B0E749A"/>
    <w:rsid w:val="4B2477C4"/>
    <w:rsid w:val="4B4F25DA"/>
    <w:rsid w:val="4BB8162D"/>
    <w:rsid w:val="4BE068DB"/>
    <w:rsid w:val="4C583BC9"/>
    <w:rsid w:val="4CF66F3E"/>
    <w:rsid w:val="4D1B69A4"/>
    <w:rsid w:val="4D577224"/>
    <w:rsid w:val="4DBF1CEB"/>
    <w:rsid w:val="4DF0007C"/>
    <w:rsid w:val="4E6525CD"/>
    <w:rsid w:val="4EA01857"/>
    <w:rsid w:val="4EAB630A"/>
    <w:rsid w:val="4ECD1F20"/>
    <w:rsid w:val="4ECE2238"/>
    <w:rsid w:val="4EDD30F5"/>
    <w:rsid w:val="4F833267"/>
    <w:rsid w:val="4FB80E92"/>
    <w:rsid w:val="4FE9BD67"/>
    <w:rsid w:val="4FFB052F"/>
    <w:rsid w:val="4FFFE6CB"/>
    <w:rsid w:val="506568B4"/>
    <w:rsid w:val="50EB560F"/>
    <w:rsid w:val="50EE68AA"/>
    <w:rsid w:val="51024103"/>
    <w:rsid w:val="51B55619"/>
    <w:rsid w:val="51FF183A"/>
    <w:rsid w:val="537E6D0A"/>
    <w:rsid w:val="53F74C96"/>
    <w:rsid w:val="54B24092"/>
    <w:rsid w:val="55170BA8"/>
    <w:rsid w:val="553218C9"/>
    <w:rsid w:val="556A671B"/>
    <w:rsid w:val="567E1AA5"/>
    <w:rsid w:val="56E47B74"/>
    <w:rsid w:val="57087F99"/>
    <w:rsid w:val="57175D52"/>
    <w:rsid w:val="57BD3DD4"/>
    <w:rsid w:val="58A67A6A"/>
    <w:rsid w:val="593D2017"/>
    <w:rsid w:val="5A8C27D1"/>
    <w:rsid w:val="5AF92295"/>
    <w:rsid w:val="5B250254"/>
    <w:rsid w:val="5BDD79E6"/>
    <w:rsid w:val="5BF561CA"/>
    <w:rsid w:val="5BFF009E"/>
    <w:rsid w:val="5BFF5DFC"/>
    <w:rsid w:val="5CAB1AF3"/>
    <w:rsid w:val="5CD71FC4"/>
    <w:rsid w:val="5D1F11B5"/>
    <w:rsid w:val="5D695134"/>
    <w:rsid w:val="5DAB2EC0"/>
    <w:rsid w:val="5DAE1B18"/>
    <w:rsid w:val="5DDD2D60"/>
    <w:rsid w:val="5DE7D9E5"/>
    <w:rsid w:val="5E0E058B"/>
    <w:rsid w:val="5EAE58CA"/>
    <w:rsid w:val="5ECEC941"/>
    <w:rsid w:val="5FBF9FF3"/>
    <w:rsid w:val="5FCD4E2C"/>
    <w:rsid w:val="5FEF394A"/>
    <w:rsid w:val="5FF67715"/>
    <w:rsid w:val="5FFF745E"/>
    <w:rsid w:val="60EE0200"/>
    <w:rsid w:val="612C2AD6"/>
    <w:rsid w:val="61FB0E26"/>
    <w:rsid w:val="62BF3928"/>
    <w:rsid w:val="62E11ACE"/>
    <w:rsid w:val="62EFE9E3"/>
    <w:rsid w:val="63B3701E"/>
    <w:rsid w:val="647F5392"/>
    <w:rsid w:val="64EA29A4"/>
    <w:rsid w:val="65945CB8"/>
    <w:rsid w:val="65E66580"/>
    <w:rsid w:val="664B1D71"/>
    <w:rsid w:val="664B4E8E"/>
    <w:rsid w:val="66772A46"/>
    <w:rsid w:val="67277B67"/>
    <w:rsid w:val="67AA3209"/>
    <w:rsid w:val="68305E09"/>
    <w:rsid w:val="683C571A"/>
    <w:rsid w:val="6858130A"/>
    <w:rsid w:val="688651C2"/>
    <w:rsid w:val="68C54B2B"/>
    <w:rsid w:val="698D0931"/>
    <w:rsid w:val="6A2B6021"/>
    <w:rsid w:val="6A7FE5F3"/>
    <w:rsid w:val="6B053271"/>
    <w:rsid w:val="6BDD78B3"/>
    <w:rsid w:val="6C264CF2"/>
    <w:rsid w:val="6C4A05C8"/>
    <w:rsid w:val="6C8742B8"/>
    <w:rsid w:val="6D001A9B"/>
    <w:rsid w:val="6D24486A"/>
    <w:rsid w:val="6D8472A7"/>
    <w:rsid w:val="6DBF5E93"/>
    <w:rsid w:val="6DDD025F"/>
    <w:rsid w:val="6DFF077E"/>
    <w:rsid w:val="6E714EF0"/>
    <w:rsid w:val="6E7E3605"/>
    <w:rsid w:val="6E7FDCC7"/>
    <w:rsid w:val="6EBD7665"/>
    <w:rsid w:val="6ED6A62E"/>
    <w:rsid w:val="6EE00B15"/>
    <w:rsid w:val="6F6FB3EB"/>
    <w:rsid w:val="6F8731EA"/>
    <w:rsid w:val="6FCE6052"/>
    <w:rsid w:val="6FD57C00"/>
    <w:rsid w:val="6FEFFFD8"/>
    <w:rsid w:val="6FF5CC65"/>
    <w:rsid w:val="6FFB47EC"/>
    <w:rsid w:val="6FFF034A"/>
    <w:rsid w:val="70484440"/>
    <w:rsid w:val="708C17E3"/>
    <w:rsid w:val="712A28F1"/>
    <w:rsid w:val="715C0E4B"/>
    <w:rsid w:val="71992E7C"/>
    <w:rsid w:val="72161365"/>
    <w:rsid w:val="72233669"/>
    <w:rsid w:val="722D682F"/>
    <w:rsid w:val="72734D90"/>
    <w:rsid w:val="73160E6D"/>
    <w:rsid w:val="7332FE48"/>
    <w:rsid w:val="73634A7D"/>
    <w:rsid w:val="73A40BF2"/>
    <w:rsid w:val="73AB61DA"/>
    <w:rsid w:val="73AD73D5"/>
    <w:rsid w:val="73B6EB34"/>
    <w:rsid w:val="73C511E4"/>
    <w:rsid w:val="73CE9DF5"/>
    <w:rsid w:val="73FA497D"/>
    <w:rsid w:val="744731E5"/>
    <w:rsid w:val="74BBD01D"/>
    <w:rsid w:val="74ED5379"/>
    <w:rsid w:val="74F74909"/>
    <w:rsid w:val="75AD1FE0"/>
    <w:rsid w:val="75DEEEC2"/>
    <w:rsid w:val="75E32345"/>
    <w:rsid w:val="76616167"/>
    <w:rsid w:val="76DFDCC8"/>
    <w:rsid w:val="76E3355F"/>
    <w:rsid w:val="76FF5125"/>
    <w:rsid w:val="77694FD5"/>
    <w:rsid w:val="776F6FFA"/>
    <w:rsid w:val="778769C8"/>
    <w:rsid w:val="77A75DCA"/>
    <w:rsid w:val="77AA6BDE"/>
    <w:rsid w:val="77D5ED24"/>
    <w:rsid w:val="77DC22F5"/>
    <w:rsid w:val="77E65C7D"/>
    <w:rsid w:val="783E271A"/>
    <w:rsid w:val="78616DE9"/>
    <w:rsid w:val="78E875D7"/>
    <w:rsid w:val="79086DAD"/>
    <w:rsid w:val="79D7FD79"/>
    <w:rsid w:val="79EE5BA4"/>
    <w:rsid w:val="7A894339"/>
    <w:rsid w:val="7AD284E8"/>
    <w:rsid w:val="7AEFAF8F"/>
    <w:rsid w:val="7AFD9280"/>
    <w:rsid w:val="7AFF7572"/>
    <w:rsid w:val="7B6C7DFB"/>
    <w:rsid w:val="7BBFBED0"/>
    <w:rsid w:val="7BC3E394"/>
    <w:rsid w:val="7C1F3737"/>
    <w:rsid w:val="7CBFC87B"/>
    <w:rsid w:val="7CE43DEC"/>
    <w:rsid w:val="7CFE0F48"/>
    <w:rsid w:val="7D272ABC"/>
    <w:rsid w:val="7D7EC23E"/>
    <w:rsid w:val="7DAA32A9"/>
    <w:rsid w:val="7E8ADEBF"/>
    <w:rsid w:val="7ED86152"/>
    <w:rsid w:val="7EE7975D"/>
    <w:rsid w:val="7EEF11D3"/>
    <w:rsid w:val="7EFE4840"/>
    <w:rsid w:val="7F0971A6"/>
    <w:rsid w:val="7F1D62E7"/>
    <w:rsid w:val="7F3F679B"/>
    <w:rsid w:val="7F4FC4EF"/>
    <w:rsid w:val="7F5E4D54"/>
    <w:rsid w:val="7F651B7D"/>
    <w:rsid w:val="7F6E0135"/>
    <w:rsid w:val="7F79F205"/>
    <w:rsid w:val="7FA30C79"/>
    <w:rsid w:val="7FA79C44"/>
    <w:rsid w:val="7FAF8ABF"/>
    <w:rsid w:val="7FB7269E"/>
    <w:rsid w:val="7FC96657"/>
    <w:rsid w:val="7FDA9588"/>
    <w:rsid w:val="7FDF220F"/>
    <w:rsid w:val="7FE7355E"/>
    <w:rsid w:val="7FEDC5F7"/>
    <w:rsid w:val="7FEDD9DE"/>
    <w:rsid w:val="7FF5890D"/>
    <w:rsid w:val="7FF93490"/>
    <w:rsid w:val="89F5F202"/>
    <w:rsid w:val="99FF2014"/>
    <w:rsid w:val="9BFF5DBF"/>
    <w:rsid w:val="A6DD0D7F"/>
    <w:rsid w:val="ACFF4FBB"/>
    <w:rsid w:val="ADC6F725"/>
    <w:rsid w:val="B3F6F8E5"/>
    <w:rsid w:val="B7CF06AB"/>
    <w:rsid w:val="B7CFA926"/>
    <w:rsid w:val="B7F8786B"/>
    <w:rsid w:val="BABB6AA1"/>
    <w:rsid w:val="BB2F4199"/>
    <w:rsid w:val="BCFFB442"/>
    <w:rsid w:val="BD079C78"/>
    <w:rsid w:val="BD733540"/>
    <w:rsid w:val="BD7F65C9"/>
    <w:rsid w:val="BDFF25E3"/>
    <w:rsid w:val="BF3735D5"/>
    <w:rsid w:val="BF71C1DD"/>
    <w:rsid w:val="BF7F09AC"/>
    <w:rsid w:val="BFD475C3"/>
    <w:rsid w:val="BFDE5EA6"/>
    <w:rsid w:val="CBEBB0B6"/>
    <w:rsid w:val="CF6FC6F3"/>
    <w:rsid w:val="CFD3D3D7"/>
    <w:rsid w:val="CFDF1009"/>
    <w:rsid w:val="D3FE4CAC"/>
    <w:rsid w:val="D7D7B16A"/>
    <w:rsid w:val="D7F5B331"/>
    <w:rsid w:val="D8D6DB89"/>
    <w:rsid w:val="DA3FA0EC"/>
    <w:rsid w:val="DB6F4CAB"/>
    <w:rsid w:val="DB777682"/>
    <w:rsid w:val="DD1FB521"/>
    <w:rsid w:val="DE7B8331"/>
    <w:rsid w:val="DEFBFEAE"/>
    <w:rsid w:val="DF1F3B80"/>
    <w:rsid w:val="DF6F9789"/>
    <w:rsid w:val="DFE9BE81"/>
    <w:rsid w:val="DFFFA9E8"/>
    <w:rsid w:val="E1BB1D1A"/>
    <w:rsid w:val="E4FD6321"/>
    <w:rsid w:val="E5F4E9DC"/>
    <w:rsid w:val="E6C7381E"/>
    <w:rsid w:val="E70FE695"/>
    <w:rsid w:val="E77E94F6"/>
    <w:rsid w:val="EB2E368B"/>
    <w:rsid w:val="ECFED1BC"/>
    <w:rsid w:val="ED1D69BB"/>
    <w:rsid w:val="ED7FD312"/>
    <w:rsid w:val="EF2E1AC6"/>
    <w:rsid w:val="EF53993F"/>
    <w:rsid w:val="EF6FD633"/>
    <w:rsid w:val="EFBFB2F4"/>
    <w:rsid w:val="EFBFFA21"/>
    <w:rsid w:val="EFDF789C"/>
    <w:rsid w:val="F1FCF689"/>
    <w:rsid w:val="F2BEBCB8"/>
    <w:rsid w:val="F36FB518"/>
    <w:rsid w:val="F3DE1A04"/>
    <w:rsid w:val="F3F722E5"/>
    <w:rsid w:val="F4FBCD07"/>
    <w:rsid w:val="F7FC34C0"/>
    <w:rsid w:val="FA5F1E70"/>
    <w:rsid w:val="FA5FDB97"/>
    <w:rsid w:val="FB7F486A"/>
    <w:rsid w:val="FBFF5B2E"/>
    <w:rsid w:val="FBFF9EFA"/>
    <w:rsid w:val="FCAF54A0"/>
    <w:rsid w:val="FD7FFE2B"/>
    <w:rsid w:val="FDDB76FB"/>
    <w:rsid w:val="FDEE196B"/>
    <w:rsid w:val="FDFE6575"/>
    <w:rsid w:val="FEDFDDC2"/>
    <w:rsid w:val="FEEB4362"/>
    <w:rsid w:val="FEED32F6"/>
    <w:rsid w:val="FEEDC75C"/>
    <w:rsid w:val="FEF781DD"/>
    <w:rsid w:val="FEFCEDAE"/>
    <w:rsid w:val="FF35BAA2"/>
    <w:rsid w:val="FF3F7E3F"/>
    <w:rsid w:val="FFBA12D7"/>
    <w:rsid w:val="FFCBD314"/>
    <w:rsid w:val="FFDFF91C"/>
    <w:rsid w:val="FFDFFAEE"/>
    <w:rsid w:val="FFEF6777"/>
    <w:rsid w:val="FFF48F59"/>
    <w:rsid w:val="FFF9B57B"/>
    <w:rsid w:val="FFFD61D9"/>
    <w:rsid w:val="FFFD8F59"/>
    <w:rsid w:val="FFFF2BB1"/>
    <w:rsid w:val="FFFFB04D"/>
    <w:rsid w:val="FFFFEC2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Salutation"/>
    <w:basedOn w:val="1"/>
    <w:next w:val="6"/>
    <w:qFormat/>
    <w:uiPriority w:val="0"/>
    <w:rPr>
      <w:rFonts w:ascii="Calibri" w:hAnsi="Calibri"/>
    </w:rPr>
  </w:style>
  <w:style w:type="paragraph" w:customStyle="1" w:styleId="6">
    <w:name w:val="正文11"/>
    <w:next w:val="5"/>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200"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rPr>
      <w:sz w:val="24"/>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2"/>
    <w:qFormat/>
    <w:uiPriority w:val="9"/>
    <w:rPr>
      <w:rFonts w:ascii="Times New Roman" w:hAnsi="Times New Roman"/>
      <w:b/>
      <w:bCs/>
      <w:kern w:val="44"/>
      <w:sz w:val="44"/>
      <w:szCs w:val="44"/>
    </w:rPr>
  </w:style>
  <w:style w:type="character" w:customStyle="1" w:styleId="32">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1"/>
    <w:semiHidden/>
    <w:qFormat/>
    <w:uiPriority w:val="99"/>
    <w:rPr>
      <w:rFonts w:ascii="Times New Roman" w:hAnsi="Times New Roman"/>
      <w:kern w:val="2"/>
      <w:sz w:val="18"/>
      <w:szCs w:val="18"/>
    </w:rPr>
  </w:style>
  <w:style w:type="character" w:customStyle="1" w:styleId="35">
    <w:name w:val="标题 3 Char"/>
    <w:basedOn w:val="19"/>
    <w:link w:val="4"/>
    <w:qFormat/>
    <w:uiPriority w:val="9"/>
    <w:rPr>
      <w:rFonts w:ascii="Times New Roman" w:hAnsi="Times New Roman"/>
      <w:b/>
      <w:bCs/>
      <w:kern w:val="2"/>
      <w:sz w:val="32"/>
      <w:szCs w:val="32"/>
    </w:rPr>
  </w:style>
  <w:style w:type="paragraph" w:customStyle="1" w:styleId="36">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paragraph" w:customStyle="1" w:styleId="38">
    <w:name w:val="p16"/>
    <w:basedOn w:val="1"/>
    <w:qFormat/>
    <w:uiPriority w:val="0"/>
    <w:pPr>
      <w:widowControl/>
      <w:spacing w:before="93"/>
    </w:pPr>
    <w:rPr>
      <w:rFonts w:ascii="仿宋_GB2312" w:hAnsi="宋体" w:eastAsia="仿宋_GB2312" w:cs="宋体"/>
      <w:kern w:val="0"/>
      <w:sz w:val="30"/>
      <w:szCs w:val="30"/>
    </w:rPr>
  </w:style>
  <w:style w:type="paragraph" w:customStyle="1" w:styleId="39">
    <w:name w:val="p0"/>
    <w:basedOn w:val="1"/>
    <w:qFormat/>
    <w:uiPriority w:val="0"/>
    <w:pPr>
      <w:widowControl/>
    </w:pPr>
    <w:rPr>
      <w:rFonts w:ascii="Calibri" w:hAnsi="Calibri" w:cs="宋体"/>
      <w:kern w:val="0"/>
      <w:szCs w:val="21"/>
    </w:rPr>
  </w:style>
  <w:style w:type="paragraph" w:customStyle="1" w:styleId="40">
    <w:name w:val="正-文"/>
    <w:basedOn w:val="1"/>
    <w:qFormat/>
    <w:uiPriority w:val="0"/>
    <w:pPr>
      <w:spacing w:line="560" w:lineRule="exact"/>
      <w:ind w:firstLine="640" w:firstLineChars="200"/>
    </w:pPr>
    <w:rPr>
      <w:rFonts w:eastAsia="仿宋"/>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oleObject" Target="file:///H:\&#39292;&#29366;&#2227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2025年度收入总计</c:v>
                </c:pt>
                <c:pt idx="1">
                  <c:v>2025年度支出总计</c:v>
                </c:pt>
                <c:pt idx="2">
                  <c:v>2024年度收入总计</c:v>
                </c:pt>
                <c:pt idx="3">
                  <c:v>2024年度支出总计</c:v>
                </c:pt>
              </c:strCache>
            </c:strRef>
          </c:cat>
          <c:val>
            <c:numRef>
              <c:f>Sheet1!$B$2:$B$5</c:f>
              <c:numCache>
                <c:formatCode>General</c:formatCode>
                <c:ptCount val="4"/>
                <c:pt idx="0">
                  <c:v>2135.08</c:v>
                </c:pt>
                <c:pt idx="1">
                  <c:v>2135.08</c:v>
                </c:pt>
              </c:numCache>
            </c:numRef>
          </c:val>
        </c:ser>
        <c:ser>
          <c:idx val="1"/>
          <c:order val="1"/>
          <c:tx>
            <c:strRef>
              <c:f>Sheet1!$C$1</c:f>
              <c:strCache>
                <c:ptCount val="1"/>
                <c:pt idx="0">
                  <c:v>系列 2</c:v>
                </c:pt>
              </c:strCache>
            </c:strRef>
          </c:tx>
          <c:spPr>
            <a:solidFill>
              <a:schemeClr val="accent2"/>
            </a:solidFill>
            <a:ln>
              <a:noFill/>
            </a:ln>
            <a:effectLst/>
          </c:spPr>
          <c:invertIfNegative val="0"/>
          <c:dLbls>
            <c:delete val="1"/>
          </c:dLbls>
          <c:cat>
            <c:strRef>
              <c:f>Sheet1!$A$2:$A$5</c:f>
              <c:strCache>
                <c:ptCount val="4"/>
                <c:pt idx="0">
                  <c:v>2025年度收入总计</c:v>
                </c:pt>
                <c:pt idx="1">
                  <c:v>2025年度支出总计</c:v>
                </c:pt>
                <c:pt idx="2">
                  <c:v>2024年度收入总计</c:v>
                </c:pt>
                <c:pt idx="3">
                  <c:v>2024年度支出总计</c:v>
                </c:pt>
              </c:strCache>
            </c:strRef>
          </c:cat>
          <c:val>
            <c:numRef>
              <c:f>Sheet1!$C$2:$C$5</c:f>
              <c:numCache>
                <c:formatCode>General</c:formatCode>
                <c:ptCount val="4"/>
              </c:numCache>
            </c:numRef>
          </c:val>
        </c:ser>
        <c:ser>
          <c:idx val="2"/>
          <c:order val="2"/>
          <c:tx>
            <c:strRef>
              <c:f>Sheet1!$D$1</c:f>
              <c:strCache>
                <c:ptCount val="1"/>
                <c:pt idx="0">
                  <c:v>系列 3</c:v>
                </c:pt>
              </c:strCache>
            </c:strRef>
          </c:tx>
          <c:spPr>
            <a:solidFill>
              <a:schemeClr val="accent3"/>
            </a:solidFill>
            <a:ln>
              <a:noFill/>
            </a:ln>
            <a:effectLst/>
          </c:spPr>
          <c:invertIfNegative val="0"/>
          <c:dLbls>
            <c:delete val="1"/>
          </c:dLbls>
          <c:cat>
            <c:strRef>
              <c:f>Sheet1!$A$2:$A$5</c:f>
              <c:strCache>
                <c:ptCount val="4"/>
                <c:pt idx="0">
                  <c:v>2025年度收入总计</c:v>
                </c:pt>
                <c:pt idx="1">
                  <c:v>2025年度支出总计</c:v>
                </c:pt>
                <c:pt idx="2">
                  <c:v>2024年度收入总计</c:v>
                </c:pt>
                <c:pt idx="3">
                  <c:v>2024年度支出总计</c:v>
                </c:pt>
              </c:strCache>
            </c:strRef>
          </c:cat>
          <c:val>
            <c:numRef>
              <c:f>Sheet1!$D$2:$D$5</c:f>
              <c:numCache>
                <c:formatCode>General</c:formatCode>
                <c:ptCount val="4"/>
                <c:pt idx="2">
                  <c:v>1864.39</c:v>
                </c:pt>
                <c:pt idx="3">
                  <c:v>1864.39</c:v>
                </c:pt>
              </c:numCache>
            </c:numRef>
          </c:val>
        </c:ser>
        <c:dLbls>
          <c:showLegendKey val="0"/>
          <c:showVal val="0"/>
          <c:showCatName val="0"/>
          <c:showSerName val="0"/>
          <c:showPercent val="0"/>
          <c:showBubbleSize val="0"/>
        </c:dLbls>
        <c:gapWidth val="219"/>
        <c:overlap val="-27"/>
        <c:axId val="172267319"/>
        <c:axId val="54042955"/>
      </c:barChart>
      <c:catAx>
        <c:axId val="1722673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0" spcFirstLastPara="0" vertOverflow="ellipsis" vert="horz" wrap="square" anchor="t" anchorCtr="1"/>
          <a:lstStyle/>
          <a:p>
            <a:pPr>
              <a:defRPr lang="zh-CN" sz="900" b="0" i="0" u="none" strike="noStrike" kern="1200" baseline="0">
                <a:ln>
                  <a:noFill/>
                </a:ln>
                <a:solidFill>
                  <a:schemeClr val="tx1">
                    <a:lumMod val="65000"/>
                    <a:lumOff val="35000"/>
                  </a:schemeClr>
                </a:solidFill>
                <a:latin typeface="+mn-lt"/>
                <a:ea typeface="+mn-ea"/>
                <a:cs typeface="+mn-cs"/>
              </a:defRPr>
            </a:pPr>
          </a:p>
        </c:txPr>
        <c:crossAx val="54042955"/>
        <c:crosses val="autoZero"/>
        <c:auto val="1"/>
        <c:lblAlgn val="ctr"/>
        <c:lblOffset val="100"/>
        <c:noMultiLvlLbl val="0"/>
      </c:catAx>
      <c:valAx>
        <c:axId val="540429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2673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0.00%</c:formatCode>
                <c:ptCount val="2"/>
                <c:pt idx="0">
                  <c:v>0.7875</c:v>
                </c:pt>
                <c:pt idx="1">
                  <c:v>0.2125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272875"/>
          <c:y val="0.9245"/>
        </c:manualLayout>
      </c:layout>
      <c:overlay val="0"/>
      <c:spPr>
        <a:noFill/>
        <a:ln>
          <a:noFill/>
        </a:ln>
        <a:effectLst/>
      </c:spPr>
      <c:txPr>
        <a:bodyPr rot="0" spcFirstLastPara="0" vertOverflow="ellipsis" vert="horz" wrap="square" anchor="ctr" anchorCtr="0"/>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0.7195</c:v>
                </c:pt>
                <c:pt idx="1">
                  <c:v>0.2805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2025年度财政拨款收入</c:v>
                </c:pt>
                <c:pt idx="1">
                  <c:v>2025年度财政拨款支出</c:v>
                </c:pt>
                <c:pt idx="2">
                  <c:v>2024年度财政拨款收入</c:v>
                </c:pt>
                <c:pt idx="3">
                  <c:v>2024年度财政拨款支出</c:v>
                </c:pt>
              </c:strCache>
            </c:strRef>
          </c:cat>
          <c:val>
            <c:numRef>
              <c:f>Sheet1!$B$2:$B$5</c:f>
              <c:numCache>
                <c:formatCode>General</c:formatCode>
                <c:ptCount val="4"/>
                <c:pt idx="0">
                  <c:v>1681.55</c:v>
                </c:pt>
                <c:pt idx="1">
                  <c:v>1681.55</c:v>
                </c:pt>
              </c:numCache>
            </c:numRef>
          </c:val>
        </c:ser>
        <c:ser>
          <c:idx val="1"/>
          <c:order val="1"/>
          <c:tx>
            <c:strRef>
              <c:f>Sheet1!$C$1</c:f>
              <c:strCache>
                <c:ptCount val="1"/>
                <c:pt idx="0">
                  <c:v>系列 2</c:v>
                </c:pt>
              </c:strCache>
            </c:strRef>
          </c:tx>
          <c:spPr>
            <a:solidFill>
              <a:schemeClr val="accent2"/>
            </a:solidFill>
            <a:ln>
              <a:noFill/>
            </a:ln>
            <a:effectLst/>
          </c:spPr>
          <c:invertIfNegative val="0"/>
          <c:dLbls>
            <c:delete val="1"/>
          </c:dLbls>
          <c:cat>
            <c:strRef>
              <c:f>Sheet1!$A$2:$A$5</c:f>
              <c:strCache>
                <c:ptCount val="4"/>
                <c:pt idx="0">
                  <c:v>2025年度财政拨款收入</c:v>
                </c:pt>
                <c:pt idx="1">
                  <c:v>2025年度财政拨款支出</c:v>
                </c:pt>
                <c:pt idx="2">
                  <c:v>2024年度财政拨款收入</c:v>
                </c:pt>
                <c:pt idx="3">
                  <c:v>2024年度财政拨款支出</c:v>
                </c:pt>
              </c:strCache>
            </c:strRef>
          </c:cat>
          <c:val>
            <c:numRef>
              <c:f>Sheet1!$C$2:$C$5</c:f>
              <c:numCache>
                <c:formatCode>General</c:formatCode>
                <c:ptCount val="4"/>
              </c:numCache>
            </c:numRef>
          </c:val>
        </c:ser>
        <c:ser>
          <c:idx val="2"/>
          <c:order val="2"/>
          <c:tx>
            <c:strRef>
              <c:f>Sheet1!$D$1</c:f>
              <c:strCache>
                <c:ptCount val="1"/>
                <c:pt idx="0">
                  <c:v>系列 3</c:v>
                </c:pt>
              </c:strCache>
            </c:strRef>
          </c:tx>
          <c:spPr>
            <a:solidFill>
              <a:schemeClr val="accent3"/>
            </a:solidFill>
            <a:ln>
              <a:noFill/>
            </a:ln>
            <a:effectLst/>
          </c:spPr>
          <c:invertIfNegative val="0"/>
          <c:dLbls>
            <c:delete val="1"/>
          </c:dLbls>
          <c:cat>
            <c:strRef>
              <c:f>Sheet1!$A$2:$A$5</c:f>
              <c:strCache>
                <c:ptCount val="4"/>
                <c:pt idx="0">
                  <c:v>2025年度财政拨款收入</c:v>
                </c:pt>
                <c:pt idx="1">
                  <c:v>2025年度财政拨款支出</c:v>
                </c:pt>
                <c:pt idx="2">
                  <c:v>2024年度财政拨款收入</c:v>
                </c:pt>
                <c:pt idx="3">
                  <c:v>2024年度财政拨款支出</c:v>
                </c:pt>
              </c:strCache>
            </c:strRef>
          </c:cat>
          <c:val>
            <c:numRef>
              <c:f>Sheet1!$D$2:$D$5</c:f>
              <c:numCache>
                <c:formatCode>General</c:formatCode>
                <c:ptCount val="4"/>
                <c:pt idx="2">
                  <c:v>1599.73</c:v>
                </c:pt>
                <c:pt idx="3">
                  <c:v>1599.73</c:v>
                </c:pt>
              </c:numCache>
            </c:numRef>
          </c:val>
        </c:ser>
        <c:dLbls>
          <c:showLegendKey val="0"/>
          <c:showVal val="0"/>
          <c:showCatName val="0"/>
          <c:showSerName val="0"/>
          <c:showPercent val="0"/>
          <c:showBubbleSize val="0"/>
        </c:dLbls>
        <c:gapWidth val="219"/>
        <c:overlap val="-27"/>
        <c:axId val="646520833"/>
        <c:axId val="703391762"/>
      </c:barChart>
      <c:catAx>
        <c:axId val="64652083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3391762"/>
        <c:crosses val="autoZero"/>
        <c:auto val="1"/>
        <c:lblAlgn val="ctr"/>
        <c:lblOffset val="100"/>
        <c:noMultiLvlLbl val="0"/>
      </c:catAx>
      <c:valAx>
        <c:axId val="70339176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652083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2025年度一般公共预算财政拨款支出</c:v>
                </c:pt>
                <c:pt idx="2">
                  <c:v>2024年度一般公共预算财政拨款支出</c:v>
                </c:pt>
              </c:strCache>
            </c:strRef>
          </c:cat>
          <c:val>
            <c:numRef>
              <c:f>Sheet1!$B$2:$B$5</c:f>
              <c:numCache>
                <c:formatCode>General</c:formatCode>
                <c:ptCount val="4"/>
                <c:pt idx="0">
                  <c:v>1681.55</c:v>
                </c:pt>
              </c:numCache>
            </c:numRef>
          </c:val>
        </c:ser>
        <c:ser>
          <c:idx val="1"/>
          <c:order val="1"/>
          <c:tx>
            <c:strRef>
              <c:f>Sheet1!$C$1</c:f>
              <c:strCache>
                <c:ptCount val="1"/>
                <c:pt idx="0">
                  <c:v>系列 2</c:v>
                </c:pt>
              </c:strCache>
            </c:strRef>
          </c:tx>
          <c:spPr>
            <a:solidFill>
              <a:schemeClr val="accent2"/>
            </a:solidFill>
            <a:ln>
              <a:noFill/>
            </a:ln>
            <a:effectLst/>
          </c:spPr>
          <c:invertIfNegative val="0"/>
          <c:dLbls>
            <c:delete val="1"/>
          </c:dLbls>
          <c:cat>
            <c:strRef>
              <c:f>Sheet1!$A$2:$A$5</c:f>
              <c:strCache>
                <c:ptCount val="4"/>
                <c:pt idx="0">
                  <c:v>2025年度一般公共预算财政拨款支出</c:v>
                </c:pt>
                <c:pt idx="2">
                  <c:v>2024年度一般公共预算财政拨款支出</c:v>
                </c:pt>
              </c:strCache>
            </c:strRef>
          </c:cat>
          <c:val>
            <c:numRef>
              <c:f>Sheet1!$C$2:$C$5</c:f>
              <c:numCache>
                <c:formatCode>General</c:formatCode>
                <c:ptCount val="4"/>
              </c:numCache>
            </c:numRef>
          </c:val>
        </c:ser>
        <c:ser>
          <c:idx val="2"/>
          <c:order val="2"/>
          <c:tx>
            <c:strRef>
              <c:f>Sheet1!$D$1</c:f>
              <c:strCache>
                <c:ptCount val="1"/>
                <c:pt idx="0">
                  <c:v>系列 3</c:v>
                </c:pt>
              </c:strCache>
            </c:strRef>
          </c:tx>
          <c:spPr>
            <a:solidFill>
              <a:schemeClr val="accent3"/>
            </a:solidFill>
            <a:ln>
              <a:noFill/>
            </a:ln>
            <a:effectLst/>
          </c:spPr>
          <c:invertIfNegative val="0"/>
          <c:dLbls>
            <c:delete val="1"/>
          </c:dLbls>
          <c:cat>
            <c:strRef>
              <c:f>Sheet1!$A$2:$A$5</c:f>
              <c:strCache>
                <c:ptCount val="4"/>
                <c:pt idx="0">
                  <c:v>2025年度一般公共预算财政拨款支出</c:v>
                </c:pt>
                <c:pt idx="2">
                  <c:v>2024年度一般公共预算财政拨款支出</c:v>
                </c:pt>
              </c:strCache>
            </c:strRef>
          </c:cat>
          <c:val>
            <c:numRef>
              <c:f>Sheet1!$D$2:$D$5</c:f>
              <c:numCache>
                <c:formatCode>General</c:formatCode>
                <c:ptCount val="4"/>
                <c:pt idx="2">
                  <c:v>1599.73</c:v>
                </c:pt>
              </c:numCache>
            </c:numRef>
          </c:val>
        </c:ser>
        <c:dLbls>
          <c:showLegendKey val="0"/>
          <c:showVal val="0"/>
          <c:showCatName val="0"/>
          <c:showSerName val="0"/>
          <c:showPercent val="0"/>
          <c:showBubbleSize val="0"/>
        </c:dLbls>
        <c:gapWidth val="219"/>
        <c:overlap val="-27"/>
        <c:axId val="322471751"/>
        <c:axId val="474486605"/>
      </c:barChart>
      <c:catAx>
        <c:axId val="32247175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486605"/>
        <c:crosses val="autoZero"/>
        <c:auto val="1"/>
        <c:lblAlgn val="ctr"/>
        <c:lblOffset val="100"/>
        <c:noMultiLvlLbl val="0"/>
      </c:catAx>
      <c:valAx>
        <c:axId val="4744866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24717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一般公共预算财政拨款支出决算结构</a:t>
            </a:r>
          </a:p>
        </c:rich>
      </c:tx>
      <c:layout>
        <c:manualLayout>
          <c:xMode val="edge"/>
          <c:yMode val="edge"/>
          <c:x val="0.104722222222222"/>
          <c:y val="0.00694444444444444"/>
        </c:manualLayout>
      </c:layout>
      <c:overlay val="0"/>
    </c:title>
    <c:autoTitleDeleted val="0"/>
    <c:plotArea>
      <c:layout/>
      <c:pieChart>
        <c:varyColors val="1"/>
        <c:ser>
          <c:idx val="0"/>
          <c:order val="0"/>
          <c:explosion val="0"/>
          <c:dPt>
            <c:idx val="0"/>
            <c:bubble3D val="0"/>
          </c:dPt>
          <c:dPt>
            <c:idx val="1"/>
            <c:bubble3D val="0"/>
          </c:dPt>
          <c:dPt>
            <c:idx val="2"/>
            <c:bubble3D val="0"/>
          </c:dPt>
          <c:dPt>
            <c:idx val="3"/>
            <c:bubble3D val="0"/>
          </c:dPt>
          <c:dLbls>
            <c:dLbl>
              <c:idx val="0"/>
              <c:layout>
                <c:manualLayout>
                  <c:x val="-0.108333333333333"/>
                  <c:y val="-0.17013888888888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一般公共服务支出8</a:t>
                    </a:r>
                    <a:r>
                      <a:rPr lang="en-US" altLang="zh-CN"/>
                      <a:t>2.04</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648825809813306"/>
                  <c:y val="0.13309783683675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社会保障和就业支出8</a:t>
                    </a:r>
                    <a:r>
                      <a:rPr lang="en-US" altLang="zh-CN"/>
                      <a:t>.4</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400204288345881"/>
                  <c:y val="-0.042952387601967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卫生健康支出</a:t>
                    </a:r>
                  </a:p>
                  <a:p>
                    <a:pPr defTabSz="914400">
                      <a:defRPr lang="zh-CN" sz="1000" b="0" i="0" u="none" strike="noStrike" kern="1200" baseline="0">
                        <a:solidFill>
                          <a:schemeClr val="tx1"/>
                        </a:solidFill>
                        <a:latin typeface="+mn-lt"/>
                        <a:ea typeface="+mn-ea"/>
                        <a:cs typeface="+mn-cs"/>
                      </a:defRPr>
                    </a:pPr>
                    <a:r>
                      <a:rPr lang="en-US" altLang="zh-CN"/>
                      <a:t>3.78</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187184554659576"/>
                  <c:y val="-0.00086936875811579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住房保障支出5</a:t>
                    </a:r>
                    <a:r>
                      <a:rPr lang="en-US" altLang="zh-CN"/>
                      <a:t>.78</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[饼状图.xlsx]Sheet1!$A$30:$A$33</c:f>
              <c:strCache>
                <c:ptCount val="4"/>
                <c:pt idx="0">
                  <c:v>一般公共服务支出</c:v>
                </c:pt>
                <c:pt idx="1">
                  <c:v>社会保障和就业支出</c:v>
                </c:pt>
                <c:pt idx="2">
                  <c:v>卫生健康支出</c:v>
                </c:pt>
                <c:pt idx="3">
                  <c:v>住房保障支出</c:v>
                </c:pt>
              </c:strCache>
            </c:strRef>
          </c:cat>
          <c:val>
            <c:numRef>
              <c:f>[饼状图.xlsx]Sheet1!$B$30:$B$33</c:f>
              <c:numCache>
                <c:formatCode>General</c:formatCode>
                <c:ptCount val="4"/>
                <c:pt idx="0">
                  <c:v>1322.63</c:v>
                </c:pt>
                <c:pt idx="1">
                  <c:v>131.68</c:v>
                </c:pt>
                <c:pt idx="2">
                  <c:v>64.46</c:v>
                </c:pt>
                <c:pt idx="3">
                  <c:v>80.96</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c:v>
                </c:pt>
                <c:pt idx="1">
                  <c:v>公务接待费</c:v>
                </c:pt>
              </c:strCache>
            </c:strRef>
          </c:cat>
          <c:val>
            <c:numRef>
              <c:f>Sheet1!$B$2:$B$3</c:f>
              <c:numCache>
                <c:formatCode>0.00%</c:formatCode>
                <c:ptCount val="2"/>
                <c:pt idx="0">
                  <c:v>0.8107</c:v>
                </c:pt>
                <c:pt idx="1">
                  <c:v>0.1893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31</Pages>
  <Words>808</Words>
  <Characters>855</Characters>
  <Lines>36</Lines>
  <Paragraphs>31</Paragraphs>
  <TotalTime>50</TotalTime>
  <ScaleCrop>false</ScaleCrop>
  <LinksUpToDate>false</LinksUpToDate>
  <CharactersWithSpaces>1016</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2025-09-09T18:47:00Z</dcterms:created>
  <dc:creator>曹颖</dc:creator>
  <cp:lastModifiedBy>耿小波</cp:lastModifiedBy>
  <cp:lastPrinted>2026-09-11T11:00:21Z</cp:lastPrinted>
  <dcterms:modified xsi:type="dcterms:W3CDTF">2026-09-11T11:34:40Z</dcterms:modified>
  <dc:title>四川省***</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3A9ACEA30DF3AB289D6BA36AA66F2ECE</vt:lpwstr>
  </property>
  <property fmtid="{D5CDD505-2E9C-101B-9397-08002B2CF9AE}" pid="4" name="KSOTemplateDocerSaveRecord">
    <vt:lpwstr>eyJoZGlkIjoiYTg3Y2MwMTJlMjA4NjM1ZDAwMDdiZmY4MzhiNzRhZjUiLCJ1c2VySWQiOiIyMzY1ODU5MDMifQ==</vt:lpwstr>
  </property>
</Properties>
</file>