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93"/>
        <w:jc w:val="center"/>
        <w:rPr>
          <w:rFonts w:ascii="Times New Roman" w:eastAsia="方正小标宋简体"/>
          <w:kern w:val="2"/>
          <w:sz w:val="44"/>
          <w:szCs w:val="44"/>
        </w:rPr>
      </w:pPr>
      <w:bookmarkStart w:id="0" w:name="_Toc15377425"/>
      <w:bookmarkStart w:id="1" w:name="_Toc15396475"/>
      <w:bookmarkStart w:id="2" w:name="_Toc15377193"/>
      <w:bookmarkStart w:id="3" w:name="_Toc15378441"/>
      <w:bookmarkStart w:id="4" w:name="_Toc15396597"/>
      <w:bookmarkStart w:id="5" w:name="_Toc15306267"/>
    </w:p>
    <w:bookmarkEnd w:id="0"/>
    <w:bookmarkEnd w:id="1"/>
    <w:bookmarkEnd w:id="2"/>
    <w:bookmarkEnd w:id="3"/>
    <w:bookmarkEnd w:id="4"/>
    <w:p>
      <w:pPr>
        <w:pStyle w:val="6"/>
        <w:spacing w:before="93"/>
        <w:jc w:val="center"/>
        <w:rPr>
          <w:rFonts w:hint="eastAsia" w:ascii="Times New Roman" w:eastAsia="方正小标宋简体"/>
          <w:kern w:val="2"/>
          <w:sz w:val="44"/>
          <w:szCs w:val="44"/>
        </w:rPr>
      </w:pPr>
      <w:bookmarkStart w:id="6" w:name="_Toc15377426"/>
      <w:bookmarkStart w:id="7" w:name="_Toc15396598"/>
      <w:bookmarkStart w:id="8" w:name="_Toc15396476"/>
      <w:bookmarkStart w:id="9" w:name="_Toc15378442"/>
      <w:bookmarkStart w:id="10" w:name="_Toc15377194"/>
    </w:p>
    <w:p>
      <w:pPr>
        <w:pStyle w:val="6"/>
        <w:spacing w:before="93"/>
        <w:jc w:val="center"/>
        <w:rPr>
          <w:rFonts w:hint="eastAsia" w:ascii="Times New Roman" w:eastAsia="方正小标宋简体"/>
          <w:kern w:val="2"/>
          <w:sz w:val="44"/>
          <w:szCs w:val="44"/>
        </w:rPr>
      </w:pPr>
    </w:p>
    <w:p>
      <w:pPr>
        <w:pStyle w:val="6"/>
        <w:spacing w:before="93"/>
        <w:jc w:val="center"/>
        <w:rPr>
          <w:rFonts w:hint="eastAsia" w:ascii="Times New Roman" w:eastAsia="方正小标宋简体"/>
          <w:kern w:val="2"/>
          <w:sz w:val="44"/>
          <w:szCs w:val="44"/>
        </w:rPr>
      </w:pPr>
    </w:p>
    <w:p>
      <w:pPr>
        <w:pStyle w:val="6"/>
        <w:spacing w:before="93"/>
        <w:jc w:val="center"/>
        <w:rPr>
          <w:rFonts w:hint="eastAsia" w:ascii="Times New Roman" w:eastAsia="方正小标宋简体"/>
          <w:kern w:val="2"/>
          <w:sz w:val="44"/>
          <w:szCs w:val="44"/>
        </w:rPr>
      </w:pPr>
    </w:p>
    <w:p>
      <w:pPr>
        <w:pStyle w:val="6"/>
        <w:spacing w:before="93"/>
        <w:jc w:val="center"/>
        <w:rPr>
          <w:rFonts w:hint="eastAsia" w:ascii="Times New Roman" w:eastAsia="方正小标宋简体"/>
          <w:kern w:val="2"/>
          <w:sz w:val="44"/>
          <w:szCs w:val="44"/>
        </w:rPr>
      </w:pPr>
    </w:p>
    <w:p>
      <w:pPr>
        <w:pStyle w:val="6"/>
        <w:spacing w:before="93"/>
        <w:jc w:val="center"/>
        <w:rPr>
          <w:rFonts w:hint="eastAsia" w:ascii="Times New Roman" w:eastAsia="方正小标宋简体"/>
          <w:kern w:val="2"/>
          <w:sz w:val="44"/>
          <w:szCs w:val="44"/>
        </w:rPr>
      </w:pPr>
    </w:p>
    <w:p>
      <w:pPr>
        <w:pStyle w:val="6"/>
        <w:spacing w:before="93"/>
        <w:jc w:val="center"/>
        <w:rPr>
          <w:rFonts w:hint="eastAsia" w:ascii="Times New Roman" w:eastAsia="方正小标宋简体"/>
          <w:kern w:val="2"/>
          <w:sz w:val="44"/>
          <w:szCs w:val="44"/>
        </w:rPr>
      </w:pPr>
    </w:p>
    <w:p>
      <w:pPr>
        <w:pStyle w:val="6"/>
        <w:spacing w:before="93"/>
        <w:jc w:val="center"/>
        <w:rPr>
          <w:rFonts w:hint="eastAsia" w:ascii="黑体" w:hAnsi="黑体" w:eastAsia="黑体" w:cs="黑体"/>
          <w:kern w:val="2"/>
          <w:sz w:val="44"/>
          <w:szCs w:val="44"/>
        </w:rPr>
      </w:pPr>
      <w:r>
        <w:rPr>
          <w:rFonts w:hint="eastAsia" w:ascii="黑体" w:hAnsi="黑体" w:eastAsia="黑体" w:cs="黑体"/>
          <w:kern w:val="2"/>
          <w:sz w:val="44"/>
          <w:szCs w:val="44"/>
        </w:rPr>
        <w:t>202</w:t>
      </w:r>
      <w:r>
        <w:rPr>
          <w:rFonts w:hint="eastAsia" w:ascii="黑体" w:hAnsi="黑体" w:eastAsia="黑体" w:cs="黑体"/>
          <w:kern w:val="2"/>
          <w:sz w:val="44"/>
          <w:szCs w:val="44"/>
          <w:lang w:val="en-US" w:eastAsia="zh-CN"/>
        </w:rPr>
        <w:t>5</w:t>
      </w:r>
      <w:r>
        <w:rPr>
          <w:rFonts w:hint="eastAsia" w:ascii="黑体" w:hAnsi="黑体" w:eastAsia="黑体" w:cs="黑体"/>
          <w:kern w:val="2"/>
          <w:sz w:val="44"/>
          <w:szCs w:val="44"/>
        </w:rPr>
        <w:t>年度</w:t>
      </w:r>
      <w:bookmarkEnd w:id="5"/>
      <w:bookmarkStart w:id="11" w:name="_Toc15306268"/>
      <w:r>
        <w:rPr>
          <w:rFonts w:hint="eastAsia" w:ascii="黑体" w:hAnsi="黑体" w:eastAsia="黑体" w:cs="黑体"/>
          <w:kern w:val="2"/>
          <w:sz w:val="44"/>
          <w:szCs w:val="44"/>
        </w:rPr>
        <w:t>阿坝州茂县人民法院</w:t>
      </w:r>
    </w:p>
    <w:p>
      <w:pPr>
        <w:pStyle w:val="6"/>
        <w:spacing w:before="93"/>
        <w:jc w:val="center"/>
        <w:rPr>
          <w:rFonts w:hint="eastAsia" w:ascii="黑体" w:hAnsi="黑体" w:eastAsia="黑体" w:cs="黑体"/>
          <w:kern w:val="2"/>
          <w:sz w:val="44"/>
          <w:szCs w:val="44"/>
          <w:lang w:eastAsia="zh-CN"/>
        </w:rPr>
      </w:pPr>
      <w:r>
        <w:rPr>
          <w:rFonts w:hint="eastAsia" w:ascii="黑体" w:hAnsi="黑体" w:eastAsia="黑体" w:cs="黑体"/>
          <w:kern w:val="2"/>
          <w:sz w:val="44"/>
          <w:szCs w:val="44"/>
          <w:lang w:val="en-US" w:eastAsia="zh-CN"/>
        </w:rPr>
        <w:t>部门</w:t>
      </w:r>
      <w:r>
        <w:rPr>
          <w:rFonts w:hint="eastAsia" w:ascii="黑体" w:hAnsi="黑体" w:eastAsia="黑体" w:cs="黑体"/>
          <w:kern w:val="2"/>
          <w:sz w:val="44"/>
          <w:szCs w:val="44"/>
        </w:rPr>
        <w:t>决算</w:t>
      </w:r>
      <w:bookmarkEnd w:id="6"/>
      <w:bookmarkEnd w:id="7"/>
      <w:bookmarkEnd w:id="8"/>
      <w:bookmarkEnd w:id="9"/>
      <w:bookmarkEnd w:id="10"/>
      <w:bookmarkEnd w:id="11"/>
      <w:r>
        <w:rPr>
          <w:rFonts w:hint="eastAsia" w:ascii="黑体" w:hAnsi="黑体" w:eastAsia="黑体" w:cs="黑体"/>
          <w:kern w:val="2"/>
          <w:sz w:val="44"/>
          <w:szCs w:val="44"/>
          <w:lang w:eastAsia="zh-CN"/>
        </w:rPr>
        <w:t>公开说明</w:t>
      </w:r>
    </w:p>
    <w:p>
      <w:pPr>
        <w:widowControl/>
        <w:jc w:val="center"/>
        <w:rPr>
          <w:rFonts w:eastAsia="黑体"/>
          <w:sz w:val="48"/>
          <w:szCs w:val="48"/>
        </w:rPr>
      </w:pPr>
      <w:bookmarkStart w:id="98" w:name="_GoBack"/>
      <w:bookmarkEnd w:id="98"/>
      <w:r>
        <w:rPr>
          <w:rFonts w:eastAsia="方正小标宋简体"/>
          <w:sz w:val="36"/>
          <w:szCs w:val="36"/>
        </w:rPr>
        <w:br w:type="page"/>
      </w:r>
      <w:r>
        <w:rPr>
          <w:rFonts w:hint="eastAsia" w:eastAsia="黑体"/>
          <w:sz w:val="48"/>
          <w:szCs w:val="48"/>
        </w:rPr>
        <w:t>目录</w:t>
      </w:r>
    </w:p>
    <w:p>
      <w:pPr>
        <w:widowControl/>
        <w:jc w:val="center"/>
        <w:rPr>
          <w:rFonts w:eastAsia="黑体" w:cstheme="minorBidi"/>
          <w:sz w:val="28"/>
          <w:szCs w:val="28"/>
        </w:rPr>
      </w:pPr>
    </w:p>
    <w:p>
      <w:pPr>
        <w:pStyle w:val="14"/>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sz w:val="32"/>
          <w:szCs w:val="32"/>
        </w:rPr>
        <w:t>日</w:t>
      </w:r>
    </w:p>
    <w:sdt>
      <w:sdtPr>
        <w:rPr>
          <w:rFonts w:ascii="宋体" w:hAnsi="宋体" w:eastAsia="宋体" w:cs="Times New Roman"/>
          <w:kern w:val="2"/>
          <w:sz w:val="21"/>
          <w:szCs w:val="24"/>
          <w:lang w:val="en-US" w:eastAsia="zh-CN" w:bidi="ar-SA"/>
        </w:rPr>
        <w:id w:val="147459914"/>
        <w15:color w:val="DBDBDB"/>
        <w:docPartObj>
          <w:docPartGallery w:val="Table of Contents"/>
          <w:docPartUnique/>
        </w:docPartObj>
      </w:sdtPr>
      <w:sdtEndPr>
        <w:rPr>
          <w:rFonts w:ascii="Times New Roman" w:hAnsi="Times New Roman" w:eastAsia="宋体" w:cs="Times New Roman"/>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p>
        <w:p>
          <w:pPr>
            <w:pStyle w:val="14"/>
            <w:tabs>
              <w:tab w:val="right" w:leader="dot" w:pos="8306"/>
              <w:tab w:val="clear" w:pos="8296"/>
            </w:tabs>
          </w:pPr>
          <w:r>
            <w:fldChar w:fldCharType="begin"/>
          </w:r>
          <w:r>
            <w:instrText xml:space="preserve">TOC \o "1-3" \h \u </w:instrText>
          </w:r>
          <w:r>
            <w:fldChar w:fldCharType="separate"/>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_Toc8730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第一部分  部门概况</w:t>
          </w:r>
          <w:r>
            <w:rPr>
              <w:rFonts w:hint="eastAsia"/>
            </w:rPr>
            <w:tab/>
          </w:r>
          <w:r>
            <w:rPr>
              <w:rFonts w:hint="eastAsia"/>
            </w:rPr>
            <w:fldChar w:fldCharType="begin"/>
          </w:r>
          <w:r>
            <w:rPr>
              <w:rFonts w:hint="eastAsia"/>
            </w:rPr>
            <w:instrText xml:space="preserve"> PAGEREF _Toc8730 \h </w:instrText>
          </w:r>
          <w:r>
            <w:rPr>
              <w:rFonts w:hint="eastAsia"/>
            </w:rPr>
            <w:fldChar w:fldCharType="separate"/>
          </w:r>
          <w:r>
            <w:rPr>
              <w:rFonts w:hint="eastAsia"/>
            </w:rPr>
            <w:t>1</w:t>
          </w:r>
          <w:r>
            <w:rPr>
              <w:rFonts w:hint="eastAsia"/>
            </w:rPr>
            <w:fldChar w:fldCharType="end"/>
          </w:r>
          <w:r>
            <w:rPr>
              <w:rFonts w:hint="eastAsia" w:ascii="Times New Roman" w:hAnsi="Times New Roman" w:eastAsia="黑体" w:cs="黑体"/>
              <w:sz w:val="32"/>
              <w:szCs w:val="32"/>
            </w:rPr>
            <w:fldChar w:fldCharType="end"/>
          </w:r>
        </w:p>
        <w:p>
          <w:pPr>
            <w:pStyle w:val="14"/>
            <w:tabs>
              <w:tab w:val="right" w:leader="dot" w:pos="8306"/>
              <w:tab w:val="clear" w:pos="8296"/>
            </w:tabs>
          </w:pPr>
          <w:r>
            <w:fldChar w:fldCharType="begin"/>
          </w:r>
          <w:r>
            <w:instrText xml:space="preserve"> HYPERLINK \l _Toc15767 </w:instrText>
          </w:r>
          <w:r>
            <w:fldChar w:fldCharType="separate"/>
          </w:r>
          <w:r>
            <w:rPr>
              <w:rFonts w:hint="eastAsia" w:ascii="Times New Roman" w:hAnsi="Times New Roman" w:eastAsia="黑体"/>
            </w:rPr>
            <w:t>一、 部门职责</w:t>
          </w:r>
          <w:r>
            <w:tab/>
          </w:r>
          <w:r>
            <w:fldChar w:fldCharType="begin"/>
          </w:r>
          <w:r>
            <w:instrText xml:space="preserve"> PAGEREF _Toc15767 \h </w:instrText>
          </w:r>
          <w:r>
            <w:fldChar w:fldCharType="separate"/>
          </w:r>
          <w:r>
            <w:t>1</w:t>
          </w:r>
          <w:r>
            <w:fldChar w:fldCharType="end"/>
          </w:r>
          <w:r>
            <w:fldChar w:fldCharType="end"/>
          </w:r>
        </w:p>
        <w:p>
          <w:pPr>
            <w:pStyle w:val="14"/>
            <w:tabs>
              <w:tab w:val="right" w:leader="dot" w:pos="8306"/>
              <w:tab w:val="clear" w:pos="8296"/>
            </w:tabs>
          </w:pPr>
          <w:r>
            <w:fldChar w:fldCharType="begin"/>
          </w:r>
          <w:r>
            <w:instrText xml:space="preserve"> HYPERLINK \l _Toc15990 </w:instrText>
          </w:r>
          <w:r>
            <w:fldChar w:fldCharType="separate"/>
          </w:r>
          <w:r>
            <w:rPr>
              <w:rFonts w:hint="eastAsia" w:ascii="Times New Roman" w:hAnsi="Times New Roman" w:eastAsia="黑体"/>
            </w:rPr>
            <w:t>二、机</w:t>
          </w:r>
          <w:r>
            <w:rPr>
              <w:rFonts w:hint="eastAsia" w:ascii="Times New Roman" w:hAnsi="Times New Roman" w:eastAsia="黑体"/>
              <w:bCs w:val="0"/>
            </w:rPr>
            <w:t>构设置</w:t>
          </w:r>
          <w:r>
            <w:tab/>
          </w:r>
          <w:r>
            <w:fldChar w:fldCharType="begin"/>
          </w:r>
          <w:r>
            <w:instrText xml:space="preserve"> PAGEREF _Toc15990 \h </w:instrText>
          </w:r>
          <w:r>
            <w:fldChar w:fldCharType="separate"/>
          </w:r>
          <w:r>
            <w:t>2</w:t>
          </w:r>
          <w:r>
            <w:fldChar w:fldCharType="end"/>
          </w:r>
          <w:r>
            <w:fldChar w:fldCharType="end"/>
          </w:r>
        </w:p>
        <w:p>
          <w:pPr>
            <w:pStyle w:val="14"/>
            <w:tabs>
              <w:tab w:val="right" w:leader="dot" w:pos="8306"/>
              <w:tab w:val="clear" w:pos="8296"/>
            </w:tabs>
          </w:pPr>
          <w:r>
            <w:fldChar w:fldCharType="begin"/>
          </w:r>
          <w:r>
            <w:instrText xml:space="preserve"> HYPERLINK \l _Toc7299 </w:instrText>
          </w:r>
          <w:r>
            <w:fldChar w:fldCharType="separate"/>
          </w:r>
          <w:r>
            <w:rPr>
              <w:rFonts w:hint="eastAsia" w:ascii="Times New Roman" w:hAnsi="Times New Roman" w:eastAsia="黑体" w:cs="黑体"/>
              <w:sz w:val="32"/>
              <w:szCs w:val="32"/>
            </w:rPr>
            <w:t>第二部分  202</w:t>
          </w:r>
          <w:r>
            <w:rPr>
              <w:rFonts w:hint="eastAsia" w:ascii="Times New Roman" w:hAnsi="Times New Roman" w:eastAsia="黑体" w:cs="黑体"/>
              <w:sz w:val="32"/>
              <w:szCs w:val="32"/>
              <w:lang w:val="en-US" w:eastAsia="zh-CN"/>
            </w:rPr>
            <w:t>5</w:t>
          </w:r>
          <w:r>
            <w:rPr>
              <w:rFonts w:hint="eastAsia" w:ascii="Times New Roman" w:hAnsi="Times New Roman" w:eastAsia="黑体" w:cs="黑体"/>
              <w:sz w:val="32"/>
              <w:szCs w:val="32"/>
            </w:rPr>
            <w:t>年度部门决算情况说明</w:t>
          </w:r>
          <w:r>
            <w:tab/>
          </w:r>
          <w:r>
            <w:fldChar w:fldCharType="begin"/>
          </w:r>
          <w:r>
            <w:instrText xml:space="preserve"> PAGEREF _Toc7299 \h </w:instrText>
          </w:r>
          <w:r>
            <w:fldChar w:fldCharType="separate"/>
          </w:r>
          <w:r>
            <w:t>3</w:t>
          </w:r>
          <w:r>
            <w:fldChar w:fldCharType="end"/>
          </w:r>
          <w:r>
            <w:fldChar w:fldCharType="end"/>
          </w:r>
        </w:p>
        <w:p>
          <w:pPr>
            <w:pStyle w:val="14"/>
            <w:tabs>
              <w:tab w:val="right" w:leader="dot" w:pos="8306"/>
              <w:tab w:val="clear" w:pos="8296"/>
            </w:tabs>
          </w:pPr>
          <w:r>
            <w:fldChar w:fldCharType="begin"/>
          </w:r>
          <w:r>
            <w:instrText xml:space="preserve"> HYPERLINK \l _Toc4170 </w:instrText>
          </w:r>
          <w:r>
            <w:fldChar w:fldCharType="separate"/>
          </w:r>
          <w:r>
            <w:rPr>
              <w:rFonts w:hint="eastAsia" w:eastAsia="黑体"/>
              <w:szCs w:val="32"/>
            </w:rPr>
            <w:t>一、收</w:t>
          </w:r>
          <w:r>
            <w:rPr>
              <w:rFonts w:hint="eastAsia" w:ascii="Times New Roman" w:hAnsi="Times New Roman" w:eastAsia="黑体"/>
            </w:rPr>
            <w:t>入支出决算总体情况说明</w:t>
          </w:r>
          <w:r>
            <w:tab/>
          </w:r>
          <w:r>
            <w:fldChar w:fldCharType="begin"/>
          </w:r>
          <w:r>
            <w:instrText xml:space="preserve"> PAGEREF _Toc4170 \h </w:instrText>
          </w:r>
          <w:r>
            <w:fldChar w:fldCharType="separate"/>
          </w:r>
          <w:r>
            <w:t>3</w:t>
          </w:r>
          <w:r>
            <w:fldChar w:fldCharType="end"/>
          </w:r>
          <w:r>
            <w:fldChar w:fldCharType="end"/>
          </w:r>
        </w:p>
        <w:p>
          <w:pPr>
            <w:pStyle w:val="14"/>
            <w:tabs>
              <w:tab w:val="right" w:leader="dot" w:pos="8306"/>
              <w:tab w:val="clear" w:pos="8296"/>
            </w:tabs>
          </w:pPr>
          <w:r>
            <w:fldChar w:fldCharType="begin"/>
          </w:r>
          <w:r>
            <w:instrText xml:space="preserve"> HYPERLINK \l _Toc15195 </w:instrText>
          </w:r>
          <w:r>
            <w:fldChar w:fldCharType="separate"/>
          </w:r>
          <w:r>
            <w:rPr>
              <w:rFonts w:hint="eastAsia" w:eastAsia="黑体"/>
              <w:szCs w:val="32"/>
            </w:rPr>
            <w:t>二、收入决算情况说明</w:t>
          </w:r>
          <w:r>
            <w:tab/>
          </w:r>
          <w:r>
            <w:fldChar w:fldCharType="begin"/>
          </w:r>
          <w:r>
            <w:instrText xml:space="preserve"> PAGEREF _Toc15195 \h </w:instrText>
          </w:r>
          <w:r>
            <w:fldChar w:fldCharType="separate"/>
          </w:r>
          <w:r>
            <w:t>3</w:t>
          </w:r>
          <w:r>
            <w:fldChar w:fldCharType="end"/>
          </w:r>
          <w:r>
            <w:fldChar w:fldCharType="end"/>
          </w:r>
        </w:p>
        <w:p>
          <w:pPr>
            <w:pStyle w:val="14"/>
            <w:tabs>
              <w:tab w:val="right" w:leader="dot" w:pos="8306"/>
              <w:tab w:val="clear" w:pos="8296"/>
            </w:tabs>
          </w:pPr>
          <w:r>
            <w:fldChar w:fldCharType="begin"/>
          </w:r>
          <w:r>
            <w:instrText xml:space="preserve"> HYPERLINK \l _Toc22121 </w:instrText>
          </w:r>
          <w:r>
            <w:fldChar w:fldCharType="separate"/>
          </w:r>
          <w:r>
            <w:rPr>
              <w:rFonts w:hint="eastAsia" w:eastAsia="黑体"/>
              <w:szCs w:val="32"/>
            </w:rPr>
            <w:t>三、支</w:t>
          </w:r>
          <w:r>
            <w:rPr>
              <w:rFonts w:hint="eastAsia" w:ascii="Times New Roman" w:hAnsi="Times New Roman" w:eastAsia="黑体"/>
            </w:rPr>
            <w:t>出决算情况说明</w:t>
          </w:r>
          <w:r>
            <w:tab/>
          </w:r>
          <w:r>
            <w:fldChar w:fldCharType="begin"/>
          </w:r>
          <w:r>
            <w:instrText xml:space="preserve"> PAGEREF _Toc22121 \h </w:instrText>
          </w:r>
          <w:r>
            <w:fldChar w:fldCharType="separate"/>
          </w:r>
          <w:r>
            <w:t>4</w:t>
          </w:r>
          <w:r>
            <w:fldChar w:fldCharType="end"/>
          </w:r>
          <w:r>
            <w:fldChar w:fldCharType="end"/>
          </w:r>
        </w:p>
        <w:p>
          <w:pPr>
            <w:pStyle w:val="14"/>
            <w:tabs>
              <w:tab w:val="right" w:leader="dot" w:pos="8306"/>
              <w:tab w:val="clear" w:pos="8296"/>
            </w:tabs>
          </w:pPr>
          <w:r>
            <w:fldChar w:fldCharType="begin"/>
          </w:r>
          <w:r>
            <w:instrText xml:space="preserve"> HYPERLINK \l _Toc25133 </w:instrText>
          </w:r>
          <w:r>
            <w:fldChar w:fldCharType="separate"/>
          </w:r>
          <w:r>
            <w:rPr>
              <w:rFonts w:hint="eastAsia" w:eastAsia="黑体"/>
              <w:szCs w:val="32"/>
            </w:rPr>
            <w:t>四、财</w:t>
          </w:r>
          <w:r>
            <w:rPr>
              <w:rFonts w:hint="eastAsia" w:ascii="Times New Roman" w:hAnsi="Times New Roman" w:eastAsia="黑体"/>
            </w:rPr>
            <w:t>政拨款收入支出决算总体情况说明</w:t>
          </w:r>
          <w:r>
            <w:tab/>
          </w:r>
          <w:r>
            <w:fldChar w:fldCharType="begin"/>
          </w:r>
          <w:r>
            <w:instrText xml:space="preserve"> PAGEREF _Toc25133 \h </w:instrText>
          </w:r>
          <w:r>
            <w:fldChar w:fldCharType="separate"/>
          </w:r>
          <w:r>
            <w:t>4</w:t>
          </w:r>
          <w:r>
            <w:fldChar w:fldCharType="end"/>
          </w:r>
          <w:r>
            <w:fldChar w:fldCharType="end"/>
          </w:r>
        </w:p>
        <w:p>
          <w:pPr>
            <w:pStyle w:val="14"/>
            <w:tabs>
              <w:tab w:val="right" w:leader="dot" w:pos="8306"/>
              <w:tab w:val="clear" w:pos="8296"/>
            </w:tabs>
          </w:pPr>
          <w:r>
            <w:fldChar w:fldCharType="begin"/>
          </w:r>
          <w:r>
            <w:instrText xml:space="preserve"> HYPERLINK \l _Toc21255 </w:instrText>
          </w:r>
          <w:r>
            <w:fldChar w:fldCharType="separate"/>
          </w:r>
          <w:r>
            <w:rPr>
              <w:rFonts w:hint="eastAsia" w:eastAsia="黑体"/>
              <w:szCs w:val="32"/>
            </w:rPr>
            <w:t>五、一</w:t>
          </w:r>
          <w:r>
            <w:rPr>
              <w:rFonts w:hint="eastAsia" w:ascii="Times New Roman" w:hAnsi="Times New Roman" w:eastAsia="黑体"/>
            </w:rPr>
            <w:t>般公共预算财政拨款支出决算情况说明</w:t>
          </w:r>
          <w:r>
            <w:tab/>
          </w:r>
          <w:r>
            <w:fldChar w:fldCharType="begin"/>
          </w:r>
          <w:r>
            <w:instrText xml:space="preserve"> PAGEREF _Toc21255 \h </w:instrText>
          </w:r>
          <w:r>
            <w:fldChar w:fldCharType="separate"/>
          </w:r>
          <w:r>
            <w:t>5</w:t>
          </w:r>
          <w:r>
            <w:fldChar w:fldCharType="end"/>
          </w:r>
          <w:r>
            <w:fldChar w:fldCharType="end"/>
          </w:r>
        </w:p>
        <w:p>
          <w:pPr>
            <w:pStyle w:val="14"/>
            <w:tabs>
              <w:tab w:val="right" w:leader="dot" w:pos="8306"/>
              <w:tab w:val="clear" w:pos="8296"/>
            </w:tabs>
          </w:pPr>
          <w:r>
            <w:fldChar w:fldCharType="begin"/>
          </w:r>
          <w:r>
            <w:instrText xml:space="preserve"> HYPERLINK \l _Toc822 </w:instrText>
          </w:r>
          <w:r>
            <w:fldChar w:fldCharType="separate"/>
          </w:r>
          <w:r>
            <w:rPr>
              <w:rFonts w:hint="eastAsia" w:eastAsia="黑体"/>
              <w:szCs w:val="32"/>
            </w:rPr>
            <w:t>六、一</w:t>
          </w:r>
          <w:r>
            <w:rPr>
              <w:rFonts w:hint="eastAsia" w:ascii="Times New Roman" w:hAnsi="Times New Roman" w:eastAsia="黑体"/>
            </w:rPr>
            <w:t>般公共预算财政拨款基本支出决算情况说明</w:t>
          </w:r>
          <w:r>
            <w:tab/>
          </w:r>
          <w:r>
            <w:fldChar w:fldCharType="begin"/>
          </w:r>
          <w:r>
            <w:instrText xml:space="preserve"> PAGEREF _Toc822 \h </w:instrText>
          </w:r>
          <w:r>
            <w:fldChar w:fldCharType="separate"/>
          </w:r>
          <w:r>
            <w:t>7</w:t>
          </w:r>
          <w:r>
            <w:fldChar w:fldCharType="end"/>
          </w:r>
          <w:r>
            <w:fldChar w:fldCharType="end"/>
          </w:r>
        </w:p>
        <w:p>
          <w:pPr>
            <w:pStyle w:val="14"/>
            <w:tabs>
              <w:tab w:val="right" w:leader="dot" w:pos="8306"/>
              <w:tab w:val="clear" w:pos="8296"/>
            </w:tabs>
          </w:pPr>
          <w:r>
            <w:fldChar w:fldCharType="begin"/>
          </w:r>
          <w:r>
            <w:instrText xml:space="preserve"> HYPERLINK \l _Toc27873 </w:instrText>
          </w:r>
          <w:r>
            <w:fldChar w:fldCharType="separate"/>
          </w:r>
          <w:r>
            <w:rPr>
              <w:rFonts w:hint="eastAsia" w:eastAsia="黑体"/>
              <w:szCs w:val="32"/>
            </w:rPr>
            <w:t>七、</w:t>
          </w:r>
          <w:r>
            <w:rPr>
              <w:rFonts w:hint="eastAsia" w:ascii="Times New Roman" w:hAnsi="Times New Roman" w:eastAsia="黑体"/>
            </w:rPr>
            <w:t>财政拨款“三公”经费支出决算情况说明</w:t>
          </w:r>
          <w:r>
            <w:tab/>
          </w:r>
          <w:r>
            <w:fldChar w:fldCharType="begin"/>
          </w:r>
          <w:r>
            <w:instrText xml:space="preserve"> PAGEREF _Toc27873 \h </w:instrText>
          </w:r>
          <w:r>
            <w:fldChar w:fldCharType="separate"/>
          </w:r>
          <w:r>
            <w:t>8</w:t>
          </w:r>
          <w:r>
            <w:fldChar w:fldCharType="end"/>
          </w:r>
          <w:r>
            <w:fldChar w:fldCharType="end"/>
          </w:r>
        </w:p>
        <w:p>
          <w:pPr>
            <w:pStyle w:val="14"/>
            <w:tabs>
              <w:tab w:val="right" w:leader="dot" w:pos="8306"/>
              <w:tab w:val="clear" w:pos="8296"/>
            </w:tabs>
          </w:pPr>
          <w:r>
            <w:fldChar w:fldCharType="begin"/>
          </w:r>
          <w:r>
            <w:instrText xml:space="preserve"> HYPERLINK \l _Toc31212 </w:instrText>
          </w:r>
          <w:r>
            <w:fldChar w:fldCharType="separate"/>
          </w:r>
          <w:r>
            <w:rPr>
              <w:rFonts w:hint="eastAsia" w:eastAsia="黑体"/>
              <w:szCs w:val="32"/>
            </w:rPr>
            <w:t>八、</w:t>
          </w:r>
          <w:r>
            <w:rPr>
              <w:rFonts w:hint="eastAsia" w:ascii="Times New Roman" w:hAnsi="Times New Roman" w:eastAsia="黑体"/>
            </w:rPr>
            <w:t>政府性基金预算支出决算情况说明</w:t>
          </w:r>
          <w:r>
            <w:tab/>
          </w:r>
          <w:r>
            <w:fldChar w:fldCharType="begin"/>
          </w:r>
          <w:r>
            <w:instrText xml:space="preserve"> PAGEREF _Toc31212 \h </w:instrText>
          </w:r>
          <w:r>
            <w:fldChar w:fldCharType="separate"/>
          </w:r>
          <w:r>
            <w:t>10</w:t>
          </w:r>
          <w:r>
            <w:fldChar w:fldCharType="end"/>
          </w:r>
          <w:r>
            <w:fldChar w:fldCharType="end"/>
          </w:r>
        </w:p>
        <w:p>
          <w:pPr>
            <w:pStyle w:val="14"/>
            <w:tabs>
              <w:tab w:val="right" w:leader="dot" w:pos="8306"/>
              <w:tab w:val="clear" w:pos="8296"/>
            </w:tabs>
          </w:pPr>
          <w:r>
            <w:fldChar w:fldCharType="begin"/>
          </w:r>
          <w:r>
            <w:instrText xml:space="preserve"> HYPERLINK \l _Toc2709 </w:instrText>
          </w:r>
          <w:r>
            <w:fldChar w:fldCharType="separate"/>
          </w:r>
          <w:r>
            <w:rPr>
              <w:rFonts w:hint="eastAsia" w:ascii="Times New Roman" w:hAnsi="Times New Roman" w:eastAsia="黑体"/>
            </w:rPr>
            <w:t>九、国有资本经营预算支出决算情况说明</w:t>
          </w:r>
          <w:r>
            <w:tab/>
          </w:r>
          <w:r>
            <w:fldChar w:fldCharType="begin"/>
          </w:r>
          <w:r>
            <w:instrText xml:space="preserve"> PAGEREF _Toc2709 \h </w:instrText>
          </w:r>
          <w:r>
            <w:fldChar w:fldCharType="separate"/>
          </w:r>
          <w:r>
            <w:t>10</w:t>
          </w:r>
          <w:r>
            <w:fldChar w:fldCharType="end"/>
          </w:r>
          <w:r>
            <w:fldChar w:fldCharType="end"/>
          </w:r>
        </w:p>
        <w:p>
          <w:pPr>
            <w:pStyle w:val="14"/>
            <w:tabs>
              <w:tab w:val="right" w:leader="dot" w:pos="8306"/>
              <w:tab w:val="clear" w:pos="8296"/>
            </w:tabs>
          </w:pPr>
          <w:r>
            <w:fldChar w:fldCharType="begin"/>
          </w:r>
          <w:r>
            <w:instrText xml:space="preserve"> HYPERLINK \l _Toc12141 </w:instrText>
          </w:r>
          <w:r>
            <w:fldChar w:fldCharType="separate"/>
          </w:r>
          <w:r>
            <w:rPr>
              <w:rFonts w:hint="eastAsia" w:ascii="Times New Roman" w:hAnsi="Times New Roman" w:eastAsia="黑体"/>
            </w:rPr>
            <w:t>十、其他重要事项的情况说明</w:t>
          </w:r>
          <w:r>
            <w:tab/>
          </w:r>
          <w:r>
            <w:fldChar w:fldCharType="begin"/>
          </w:r>
          <w:r>
            <w:instrText xml:space="preserve"> PAGEREF _Toc12141 \h </w:instrText>
          </w:r>
          <w:r>
            <w:fldChar w:fldCharType="separate"/>
          </w:r>
          <w:r>
            <w:t>10</w:t>
          </w:r>
          <w:r>
            <w:fldChar w:fldCharType="end"/>
          </w:r>
          <w:r>
            <w:fldChar w:fldCharType="end"/>
          </w:r>
        </w:p>
        <w:p>
          <w:pPr>
            <w:pStyle w:val="14"/>
            <w:tabs>
              <w:tab w:val="right" w:leader="dot" w:pos="8306"/>
              <w:tab w:val="clear" w:pos="8296"/>
            </w:tabs>
          </w:pPr>
          <w:r>
            <w:fldChar w:fldCharType="begin"/>
          </w:r>
          <w:r>
            <w:instrText xml:space="preserve"> HYPERLINK \l _Toc478 </w:instrText>
          </w:r>
          <w:r>
            <w:fldChar w:fldCharType="separate"/>
          </w:r>
          <w:r>
            <w:rPr>
              <w:rFonts w:hint="eastAsia" w:eastAsia="黑体"/>
              <w:szCs w:val="44"/>
            </w:rPr>
            <w:t>第三部分  名词解释</w:t>
          </w:r>
          <w:r>
            <w:tab/>
          </w:r>
          <w:r>
            <w:fldChar w:fldCharType="begin"/>
          </w:r>
          <w:r>
            <w:instrText xml:space="preserve"> PAGEREF _Toc478 \h </w:instrText>
          </w:r>
          <w:r>
            <w:fldChar w:fldCharType="separate"/>
          </w:r>
          <w:r>
            <w:t>12</w:t>
          </w:r>
          <w:r>
            <w:fldChar w:fldCharType="end"/>
          </w:r>
          <w:r>
            <w:fldChar w:fldCharType="end"/>
          </w:r>
        </w:p>
        <w:p>
          <w:pPr>
            <w:pStyle w:val="14"/>
            <w:tabs>
              <w:tab w:val="right" w:leader="dot" w:pos="8306"/>
              <w:tab w:val="clear" w:pos="8296"/>
            </w:tabs>
          </w:pPr>
          <w:r>
            <w:fldChar w:fldCharType="begin"/>
          </w:r>
          <w:r>
            <w:instrText xml:space="preserve"> HYPERLINK \l _Toc14162 </w:instrText>
          </w:r>
          <w:r>
            <w:fldChar w:fldCharType="separate"/>
          </w:r>
          <w:r>
            <w:rPr>
              <w:rFonts w:hint="eastAsia" w:eastAsia="黑体"/>
              <w:szCs w:val="44"/>
            </w:rPr>
            <w:t>第四部分  附件</w:t>
          </w:r>
          <w:r>
            <w:tab/>
          </w:r>
          <w:r>
            <w:fldChar w:fldCharType="begin"/>
          </w:r>
          <w:r>
            <w:instrText xml:space="preserve"> PAGEREF _Toc14162 \h </w:instrText>
          </w:r>
          <w:r>
            <w:fldChar w:fldCharType="separate"/>
          </w:r>
          <w:r>
            <w:t>16</w:t>
          </w:r>
          <w:r>
            <w:fldChar w:fldCharType="end"/>
          </w:r>
          <w:r>
            <w:fldChar w:fldCharType="end"/>
          </w:r>
        </w:p>
        <w:p>
          <w:pPr>
            <w:pStyle w:val="14"/>
            <w:tabs>
              <w:tab w:val="right" w:leader="dot" w:pos="8306"/>
              <w:tab w:val="clear" w:pos="8296"/>
            </w:tabs>
          </w:pPr>
          <w:r>
            <w:fldChar w:fldCharType="begin"/>
          </w:r>
          <w:r>
            <w:instrText xml:space="preserve"> HYPERLINK \l _Toc400 </w:instrText>
          </w:r>
          <w:r>
            <w:fldChar w:fldCharType="separate"/>
          </w:r>
          <w:r>
            <w:rPr>
              <w:rFonts w:hint="eastAsia" w:eastAsia="黑体"/>
              <w:szCs w:val="44"/>
            </w:rPr>
            <w:t>第</w:t>
          </w:r>
          <w:r>
            <w:rPr>
              <w:rFonts w:hint="eastAsia" w:eastAsia="黑体"/>
            </w:rPr>
            <w:t>五部分 附表</w:t>
          </w:r>
          <w:r>
            <w:tab/>
          </w:r>
          <w:r>
            <w:fldChar w:fldCharType="begin"/>
          </w:r>
          <w:r>
            <w:instrText xml:space="preserve"> PAGEREF _Toc400 \h </w:instrText>
          </w:r>
          <w:r>
            <w:fldChar w:fldCharType="separate"/>
          </w:r>
          <w:r>
            <w:t>43</w:t>
          </w:r>
          <w:r>
            <w:fldChar w:fldCharType="end"/>
          </w:r>
          <w:r>
            <w:fldChar w:fldCharType="end"/>
          </w:r>
        </w:p>
        <w:p>
          <w:pPr>
            <w:pStyle w:val="14"/>
            <w:tabs>
              <w:tab w:val="right" w:leader="dot" w:pos="8306"/>
              <w:tab w:val="clear" w:pos="8296"/>
            </w:tabs>
          </w:pPr>
          <w:r>
            <w:fldChar w:fldCharType="begin"/>
          </w:r>
          <w:r>
            <w:instrText xml:space="preserve"> HYPERLINK \l _Toc20537 </w:instrText>
          </w:r>
          <w:r>
            <w:fldChar w:fldCharType="separate"/>
          </w:r>
          <w:r>
            <w:rPr>
              <w:rFonts w:hint="eastAsia" w:eastAsia="仿宋_GB2312" w:cs="仿宋_GB2312"/>
              <w:szCs w:val="32"/>
            </w:rPr>
            <w:t>一、收入支出决算总表</w:t>
          </w:r>
          <w:r>
            <w:tab/>
          </w:r>
          <w:r>
            <w:fldChar w:fldCharType="begin"/>
          </w:r>
          <w:r>
            <w:instrText xml:space="preserve"> PAGEREF _Toc20537 \h </w:instrText>
          </w:r>
          <w:r>
            <w:fldChar w:fldCharType="separate"/>
          </w:r>
          <w:r>
            <w:t>43</w:t>
          </w:r>
          <w:r>
            <w:fldChar w:fldCharType="end"/>
          </w:r>
          <w:r>
            <w:fldChar w:fldCharType="end"/>
          </w:r>
        </w:p>
        <w:p>
          <w:pPr>
            <w:pStyle w:val="14"/>
            <w:tabs>
              <w:tab w:val="right" w:leader="dot" w:pos="8306"/>
              <w:tab w:val="clear" w:pos="8296"/>
            </w:tabs>
          </w:pPr>
          <w:r>
            <w:fldChar w:fldCharType="begin"/>
          </w:r>
          <w:r>
            <w:instrText xml:space="preserve"> HYPERLINK \l _Toc21634 </w:instrText>
          </w:r>
          <w:r>
            <w:fldChar w:fldCharType="separate"/>
          </w:r>
          <w:r>
            <w:rPr>
              <w:rFonts w:hint="eastAsia" w:eastAsia="仿宋_GB2312" w:cs="仿宋_GB2312"/>
              <w:szCs w:val="32"/>
            </w:rPr>
            <w:t>二、收入决算表</w:t>
          </w:r>
          <w:r>
            <w:tab/>
          </w:r>
          <w:r>
            <w:fldChar w:fldCharType="begin"/>
          </w:r>
          <w:r>
            <w:instrText xml:space="preserve"> PAGEREF _Toc21634 \h </w:instrText>
          </w:r>
          <w:r>
            <w:fldChar w:fldCharType="separate"/>
          </w:r>
          <w:r>
            <w:t>43</w:t>
          </w:r>
          <w:r>
            <w:fldChar w:fldCharType="end"/>
          </w:r>
          <w:r>
            <w:fldChar w:fldCharType="end"/>
          </w:r>
        </w:p>
        <w:p>
          <w:pPr>
            <w:pStyle w:val="14"/>
            <w:tabs>
              <w:tab w:val="right" w:leader="dot" w:pos="8306"/>
              <w:tab w:val="clear" w:pos="8296"/>
            </w:tabs>
          </w:pPr>
          <w:r>
            <w:fldChar w:fldCharType="begin"/>
          </w:r>
          <w:r>
            <w:instrText xml:space="preserve"> HYPERLINK \l _Toc19845 </w:instrText>
          </w:r>
          <w:r>
            <w:fldChar w:fldCharType="separate"/>
          </w:r>
          <w:r>
            <w:rPr>
              <w:rFonts w:hint="eastAsia" w:eastAsia="仿宋_GB2312" w:cs="仿宋_GB2312"/>
              <w:szCs w:val="32"/>
            </w:rPr>
            <w:t>三、支出决算表</w:t>
          </w:r>
          <w:r>
            <w:tab/>
          </w:r>
          <w:r>
            <w:fldChar w:fldCharType="begin"/>
          </w:r>
          <w:r>
            <w:instrText xml:space="preserve"> PAGEREF _Toc19845 \h </w:instrText>
          </w:r>
          <w:r>
            <w:fldChar w:fldCharType="separate"/>
          </w:r>
          <w:r>
            <w:t>43</w:t>
          </w:r>
          <w:r>
            <w:fldChar w:fldCharType="end"/>
          </w:r>
          <w:r>
            <w:fldChar w:fldCharType="end"/>
          </w:r>
        </w:p>
        <w:p>
          <w:pPr>
            <w:pStyle w:val="14"/>
            <w:tabs>
              <w:tab w:val="right" w:leader="dot" w:pos="8306"/>
              <w:tab w:val="clear" w:pos="8296"/>
            </w:tabs>
          </w:pPr>
          <w:r>
            <w:fldChar w:fldCharType="begin"/>
          </w:r>
          <w:r>
            <w:instrText xml:space="preserve"> HYPERLINK \l _Toc3281 </w:instrText>
          </w:r>
          <w:r>
            <w:fldChar w:fldCharType="separate"/>
          </w:r>
          <w:r>
            <w:rPr>
              <w:rFonts w:hint="eastAsia" w:eastAsia="仿宋_GB2312" w:cs="仿宋_GB2312"/>
              <w:szCs w:val="32"/>
            </w:rPr>
            <w:t>四、财政拨款收入支出决算总表</w:t>
          </w:r>
          <w:r>
            <w:tab/>
          </w:r>
          <w:r>
            <w:fldChar w:fldCharType="begin"/>
          </w:r>
          <w:r>
            <w:instrText xml:space="preserve"> PAGEREF _Toc3281 \h </w:instrText>
          </w:r>
          <w:r>
            <w:fldChar w:fldCharType="separate"/>
          </w:r>
          <w:r>
            <w:t>43</w:t>
          </w:r>
          <w:r>
            <w:fldChar w:fldCharType="end"/>
          </w:r>
          <w:r>
            <w:fldChar w:fldCharType="end"/>
          </w:r>
        </w:p>
        <w:p>
          <w:pPr>
            <w:pStyle w:val="14"/>
            <w:tabs>
              <w:tab w:val="right" w:leader="dot" w:pos="8306"/>
              <w:tab w:val="clear" w:pos="8296"/>
            </w:tabs>
          </w:pPr>
          <w:r>
            <w:fldChar w:fldCharType="begin"/>
          </w:r>
          <w:r>
            <w:instrText xml:space="preserve"> HYPERLINK \l _Toc23582 </w:instrText>
          </w:r>
          <w:r>
            <w:fldChar w:fldCharType="separate"/>
          </w:r>
          <w:r>
            <w:rPr>
              <w:rFonts w:hint="eastAsia" w:eastAsia="仿宋_GB2312" w:cs="仿宋_GB2312"/>
              <w:szCs w:val="32"/>
            </w:rPr>
            <w:t>五、财政拨款支出决算明细表</w:t>
          </w:r>
          <w:r>
            <w:tab/>
          </w:r>
          <w:r>
            <w:fldChar w:fldCharType="begin"/>
          </w:r>
          <w:r>
            <w:instrText xml:space="preserve"> PAGEREF _Toc23582 \h </w:instrText>
          </w:r>
          <w:r>
            <w:fldChar w:fldCharType="separate"/>
          </w:r>
          <w:r>
            <w:t>43</w:t>
          </w:r>
          <w:r>
            <w:fldChar w:fldCharType="end"/>
          </w:r>
          <w:r>
            <w:fldChar w:fldCharType="end"/>
          </w:r>
        </w:p>
        <w:p>
          <w:pPr>
            <w:pStyle w:val="14"/>
            <w:tabs>
              <w:tab w:val="right" w:leader="dot" w:pos="8306"/>
              <w:tab w:val="clear" w:pos="8296"/>
            </w:tabs>
          </w:pPr>
          <w:r>
            <w:fldChar w:fldCharType="begin"/>
          </w:r>
          <w:r>
            <w:instrText xml:space="preserve"> HYPERLINK \l _Toc25113 </w:instrText>
          </w:r>
          <w:r>
            <w:fldChar w:fldCharType="separate"/>
          </w:r>
          <w:r>
            <w:rPr>
              <w:rFonts w:hint="eastAsia" w:eastAsia="仿宋_GB2312" w:cs="仿宋_GB2312"/>
              <w:szCs w:val="32"/>
            </w:rPr>
            <w:t>六、一般公共预算财政拨款支出决算表</w:t>
          </w:r>
          <w:r>
            <w:tab/>
          </w:r>
          <w:r>
            <w:fldChar w:fldCharType="begin"/>
          </w:r>
          <w:r>
            <w:instrText xml:space="preserve"> PAGEREF _Toc25113 \h </w:instrText>
          </w:r>
          <w:r>
            <w:fldChar w:fldCharType="separate"/>
          </w:r>
          <w:r>
            <w:t>43</w:t>
          </w:r>
          <w:r>
            <w:fldChar w:fldCharType="end"/>
          </w:r>
          <w:r>
            <w:fldChar w:fldCharType="end"/>
          </w:r>
        </w:p>
        <w:p>
          <w:pPr>
            <w:pStyle w:val="14"/>
            <w:tabs>
              <w:tab w:val="right" w:leader="dot" w:pos="8306"/>
              <w:tab w:val="clear" w:pos="8296"/>
            </w:tabs>
          </w:pPr>
          <w:r>
            <w:fldChar w:fldCharType="begin"/>
          </w:r>
          <w:r>
            <w:instrText xml:space="preserve"> HYPERLINK \l _Toc25145 </w:instrText>
          </w:r>
          <w:r>
            <w:fldChar w:fldCharType="separate"/>
          </w:r>
          <w:r>
            <w:rPr>
              <w:rFonts w:hint="eastAsia" w:eastAsia="仿宋_GB2312" w:cs="仿宋_GB2312"/>
              <w:szCs w:val="32"/>
            </w:rPr>
            <w:t>七、一般公共预算财政拨款支出决算明细表</w:t>
          </w:r>
          <w:r>
            <w:tab/>
          </w:r>
          <w:r>
            <w:fldChar w:fldCharType="begin"/>
          </w:r>
          <w:r>
            <w:instrText xml:space="preserve"> PAGEREF _Toc25145 \h </w:instrText>
          </w:r>
          <w:r>
            <w:fldChar w:fldCharType="separate"/>
          </w:r>
          <w:r>
            <w:t>43</w:t>
          </w:r>
          <w:r>
            <w:fldChar w:fldCharType="end"/>
          </w:r>
          <w:r>
            <w:fldChar w:fldCharType="end"/>
          </w:r>
        </w:p>
        <w:p>
          <w:pPr>
            <w:pStyle w:val="14"/>
            <w:tabs>
              <w:tab w:val="right" w:leader="dot" w:pos="8306"/>
              <w:tab w:val="clear" w:pos="8296"/>
            </w:tabs>
          </w:pPr>
          <w:r>
            <w:fldChar w:fldCharType="begin"/>
          </w:r>
          <w:r>
            <w:instrText xml:space="preserve"> HYPERLINK \l _Toc8854 </w:instrText>
          </w:r>
          <w:r>
            <w:fldChar w:fldCharType="separate"/>
          </w:r>
          <w:r>
            <w:rPr>
              <w:rFonts w:hint="eastAsia" w:eastAsia="仿宋_GB2312" w:cs="仿宋_GB2312"/>
              <w:szCs w:val="32"/>
            </w:rPr>
            <w:t>八、一般公共预算财政拨款基本支出决算表</w:t>
          </w:r>
          <w:r>
            <w:tab/>
          </w:r>
          <w:r>
            <w:fldChar w:fldCharType="begin"/>
          </w:r>
          <w:r>
            <w:instrText xml:space="preserve"> PAGEREF _Toc8854 \h </w:instrText>
          </w:r>
          <w:r>
            <w:fldChar w:fldCharType="separate"/>
          </w:r>
          <w:r>
            <w:t>43</w:t>
          </w:r>
          <w:r>
            <w:fldChar w:fldCharType="end"/>
          </w:r>
          <w:r>
            <w:fldChar w:fldCharType="end"/>
          </w:r>
        </w:p>
        <w:p>
          <w:pPr>
            <w:pStyle w:val="14"/>
            <w:tabs>
              <w:tab w:val="right" w:leader="dot" w:pos="8306"/>
              <w:tab w:val="clear" w:pos="8296"/>
            </w:tabs>
          </w:pPr>
          <w:r>
            <w:fldChar w:fldCharType="begin"/>
          </w:r>
          <w:r>
            <w:instrText xml:space="preserve"> HYPERLINK \l _Toc31352 </w:instrText>
          </w:r>
          <w:r>
            <w:fldChar w:fldCharType="separate"/>
          </w:r>
          <w:r>
            <w:rPr>
              <w:rFonts w:hint="eastAsia" w:eastAsia="仿宋_GB2312" w:cs="仿宋_GB2312"/>
              <w:szCs w:val="32"/>
            </w:rPr>
            <w:t>九、一般公共预算财政拨款项目支出决算表</w:t>
          </w:r>
          <w:r>
            <w:tab/>
          </w:r>
          <w:r>
            <w:fldChar w:fldCharType="begin"/>
          </w:r>
          <w:r>
            <w:instrText xml:space="preserve"> PAGEREF _Toc31352 \h </w:instrText>
          </w:r>
          <w:r>
            <w:fldChar w:fldCharType="separate"/>
          </w:r>
          <w:r>
            <w:t>43</w:t>
          </w:r>
          <w:r>
            <w:fldChar w:fldCharType="end"/>
          </w:r>
          <w:r>
            <w:fldChar w:fldCharType="end"/>
          </w:r>
        </w:p>
        <w:p>
          <w:pPr>
            <w:pStyle w:val="14"/>
            <w:tabs>
              <w:tab w:val="right" w:leader="dot" w:pos="8306"/>
              <w:tab w:val="clear" w:pos="8296"/>
            </w:tabs>
          </w:pPr>
          <w:r>
            <w:fldChar w:fldCharType="begin"/>
          </w:r>
          <w:r>
            <w:instrText xml:space="preserve"> HYPERLINK \l _Toc22102 </w:instrText>
          </w:r>
          <w:r>
            <w:fldChar w:fldCharType="separate"/>
          </w:r>
          <w:r>
            <w:rPr>
              <w:rFonts w:hint="eastAsia" w:eastAsia="仿宋_GB2312" w:cs="仿宋_GB2312"/>
              <w:szCs w:val="32"/>
            </w:rPr>
            <w:t>十、政府性基金预算财政拨款收入支出决算表</w:t>
          </w:r>
          <w:r>
            <w:tab/>
          </w:r>
          <w:r>
            <w:fldChar w:fldCharType="begin"/>
          </w:r>
          <w:r>
            <w:instrText xml:space="preserve"> PAGEREF _Toc22102 \h </w:instrText>
          </w:r>
          <w:r>
            <w:fldChar w:fldCharType="separate"/>
          </w:r>
          <w:r>
            <w:t>43</w:t>
          </w:r>
          <w:r>
            <w:fldChar w:fldCharType="end"/>
          </w:r>
          <w:r>
            <w:fldChar w:fldCharType="end"/>
          </w:r>
        </w:p>
        <w:p>
          <w:pPr>
            <w:pStyle w:val="14"/>
            <w:tabs>
              <w:tab w:val="right" w:leader="dot" w:pos="8306"/>
              <w:tab w:val="clear" w:pos="8296"/>
            </w:tabs>
          </w:pPr>
          <w:r>
            <w:fldChar w:fldCharType="begin"/>
          </w:r>
          <w:r>
            <w:instrText xml:space="preserve"> HYPERLINK \l _Toc19675 </w:instrText>
          </w:r>
          <w:r>
            <w:fldChar w:fldCharType="separate"/>
          </w:r>
          <w:r>
            <w:rPr>
              <w:rFonts w:hint="eastAsia" w:eastAsia="仿宋_GB2312" w:cs="仿宋_GB2312"/>
              <w:szCs w:val="32"/>
            </w:rPr>
            <w:t>十一、国有资本经营预算财政拨款收入支出决算表</w:t>
          </w:r>
          <w:r>
            <w:tab/>
          </w:r>
          <w:r>
            <w:fldChar w:fldCharType="begin"/>
          </w:r>
          <w:r>
            <w:instrText xml:space="preserve"> PAGEREF _Toc19675 \h </w:instrText>
          </w:r>
          <w:r>
            <w:fldChar w:fldCharType="separate"/>
          </w:r>
          <w:r>
            <w:t>43</w:t>
          </w:r>
          <w:r>
            <w:fldChar w:fldCharType="end"/>
          </w:r>
          <w:r>
            <w:fldChar w:fldCharType="end"/>
          </w:r>
        </w:p>
        <w:p>
          <w:pPr>
            <w:pStyle w:val="14"/>
            <w:tabs>
              <w:tab w:val="right" w:leader="dot" w:pos="8306"/>
              <w:tab w:val="clear" w:pos="8296"/>
            </w:tabs>
          </w:pPr>
          <w:r>
            <w:fldChar w:fldCharType="begin"/>
          </w:r>
          <w:r>
            <w:instrText xml:space="preserve"> HYPERLINK \l _Toc27868 </w:instrText>
          </w:r>
          <w:r>
            <w:fldChar w:fldCharType="separate"/>
          </w:r>
          <w:r>
            <w:rPr>
              <w:rFonts w:hint="eastAsia" w:eastAsia="仿宋_GB2312" w:cs="仿宋_GB2312"/>
              <w:szCs w:val="32"/>
            </w:rPr>
            <w:t>十二、国有资本经营预算财政拨款支出决算表</w:t>
          </w:r>
          <w:r>
            <w:tab/>
          </w:r>
          <w:r>
            <w:fldChar w:fldCharType="begin"/>
          </w:r>
          <w:r>
            <w:instrText xml:space="preserve"> PAGEREF _Toc27868 \h </w:instrText>
          </w:r>
          <w:r>
            <w:fldChar w:fldCharType="separate"/>
          </w:r>
          <w:r>
            <w:t>43</w:t>
          </w:r>
          <w:r>
            <w:fldChar w:fldCharType="end"/>
          </w:r>
          <w:r>
            <w:fldChar w:fldCharType="end"/>
          </w:r>
        </w:p>
        <w:p>
          <w:pPr>
            <w:pStyle w:val="14"/>
            <w:tabs>
              <w:tab w:val="right" w:leader="dot" w:pos="8306"/>
              <w:tab w:val="clear" w:pos="8296"/>
            </w:tabs>
          </w:pPr>
          <w:r>
            <w:fldChar w:fldCharType="begin"/>
          </w:r>
          <w:r>
            <w:instrText xml:space="preserve"> HYPERLINK \l _Toc23639 </w:instrText>
          </w:r>
          <w:r>
            <w:fldChar w:fldCharType="separate"/>
          </w:r>
          <w:r>
            <w:rPr>
              <w:rFonts w:hint="eastAsia" w:eastAsia="仿宋_GB2312" w:cs="仿宋_GB2312"/>
              <w:szCs w:val="32"/>
            </w:rPr>
            <w:t>十三、财政拨款“三公”经费支出决算表</w:t>
          </w:r>
          <w:r>
            <w:tab/>
          </w:r>
          <w:r>
            <w:fldChar w:fldCharType="begin"/>
          </w:r>
          <w:r>
            <w:instrText xml:space="preserve"> PAGEREF _Toc23639 \h </w:instrText>
          </w:r>
          <w:r>
            <w:fldChar w:fldCharType="separate"/>
          </w:r>
          <w:r>
            <w:t>43</w:t>
          </w:r>
          <w:r>
            <w:fldChar w:fldCharType="end"/>
          </w:r>
          <w:r>
            <w:fldChar w:fldCharType="end"/>
          </w:r>
        </w:p>
        <w:p>
          <w:pPr>
            <w:rPr>
              <w:rFonts w:hint="eastAsia"/>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fldChar w:fldCharType="end"/>
          </w:r>
          <w:bookmarkStart w:id="12" w:name="_Toc15396599"/>
          <w:bookmarkStart w:id="13" w:name="_Toc15377196"/>
        </w:p>
      </w:sdtContent>
    </w:sdt>
    <w:p>
      <w:pPr>
        <w:pStyle w:val="3"/>
        <w:jc w:val="center"/>
        <w:rPr>
          <w:rStyle w:val="30"/>
          <w:rFonts w:hint="eastAsia" w:ascii="黑体" w:hAnsi="黑体" w:eastAsia="黑体" w:cs="黑体"/>
          <w:b/>
          <w:bCs w:val="0"/>
        </w:rPr>
      </w:pPr>
      <w:bookmarkStart w:id="14" w:name="_Toc8730"/>
      <w:r>
        <w:rPr>
          <w:rFonts w:hint="eastAsia" w:ascii="黑体" w:hAnsi="黑体" w:eastAsia="黑体" w:cs="黑体"/>
          <w:b w:val="0"/>
        </w:rPr>
        <w:t xml:space="preserve">第一部分  </w:t>
      </w:r>
      <w:r>
        <w:rPr>
          <w:rStyle w:val="30"/>
          <w:rFonts w:hint="eastAsia" w:ascii="黑体" w:hAnsi="黑体" w:eastAsia="黑体" w:cs="黑体"/>
          <w:b w:val="0"/>
          <w:bCs w:val="0"/>
        </w:rPr>
        <w:t>部门概况</w:t>
      </w:r>
      <w:bookmarkEnd w:id="12"/>
      <w:bookmarkEnd w:id="13"/>
      <w:bookmarkEnd w:id="14"/>
    </w:p>
    <w:p>
      <w:pPr>
        <w:widowControl/>
        <w:jc w:val="left"/>
        <w:rPr>
          <w:rFonts w:eastAsia="黑体"/>
          <w:sz w:val="32"/>
          <w:szCs w:val="32"/>
        </w:rPr>
      </w:pPr>
    </w:p>
    <w:p>
      <w:pPr>
        <w:pStyle w:val="4"/>
        <w:numPr>
          <w:ilvl w:val="0"/>
          <w:numId w:val="1"/>
        </w:numPr>
        <w:outlineLvl w:val="0"/>
        <w:rPr>
          <w:rFonts w:hint="eastAsia" w:ascii="Times New Roman" w:hAnsi="Times New Roman" w:eastAsia="黑体"/>
          <w:b w:val="0"/>
        </w:rPr>
      </w:pPr>
      <w:bookmarkStart w:id="15" w:name="_Toc15767"/>
      <w:r>
        <w:rPr>
          <w:rFonts w:hint="eastAsia" w:ascii="Times New Roman" w:hAnsi="Times New Roman" w:eastAsia="黑体"/>
          <w:b w:val="0"/>
        </w:rPr>
        <w:t>部门职责</w:t>
      </w:r>
      <w:bookmarkEnd w:id="15"/>
    </w:p>
    <w:p>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1.审判法律规定由基层人民法院管辖的刑事、民事、行政等一审案件。</w:t>
      </w:r>
    </w:p>
    <w:p>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2.处理简易的民事纠纷和轻微的刑事案件。</w:t>
      </w:r>
    </w:p>
    <w:p>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3.指导人民调解委员会的工作。</w:t>
      </w:r>
    </w:p>
    <w:p>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4.审理上级人民法院指令再审的案件，受理不服本院判决裁定的各类申诉和申诉再审等案件。</w:t>
      </w:r>
    </w:p>
    <w:p>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5.对各人民法庭管辖争议的案件指定管辖。</w:t>
      </w:r>
    </w:p>
    <w:p>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6.监督和指导人民法庭的审判工作。</w:t>
      </w:r>
    </w:p>
    <w:p>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7.针对案件审理中发现的问题提出司法建议。</w:t>
      </w:r>
    </w:p>
    <w:p>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8.对已生效的各类法律文书有执行内容的进行执行，办理委托、协助执行事宜。</w:t>
      </w:r>
    </w:p>
    <w:p>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9.接待申诉来访，受理应由基层人民法院受理的告诉、申诉等案件。</w:t>
      </w:r>
    </w:p>
    <w:p>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10.负责本院思想、政治、教育、培训工作，按照权限管理法官、执行员、书记员、司法警察以及司法行政人员；协同主管部门管理人民法院机构设置、人员编制工作。</w:t>
      </w:r>
    </w:p>
    <w:p>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11.负责本院的经费和物资装备管理。</w:t>
      </w:r>
    </w:p>
    <w:p>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12.负责本院的纪检监察工作。</w:t>
      </w:r>
    </w:p>
    <w:p>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13.宣传法制、教育公民、忠于社会主义祖国，自觉遵守宪法、法律和社会公德。</w:t>
      </w:r>
    </w:p>
    <w:p>
      <w:pPr>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14.承办其他应由县人民法院负责的工作。</w:t>
      </w:r>
    </w:p>
    <w:p>
      <w:pPr>
        <w:pStyle w:val="4"/>
        <w:outlineLvl w:val="0"/>
        <w:rPr>
          <w:rStyle w:val="31"/>
          <w:rFonts w:ascii="Times New Roman" w:hAnsi="Times New Roman"/>
          <w:b w:val="0"/>
          <w:bCs w:val="0"/>
        </w:rPr>
      </w:pPr>
      <w:bookmarkStart w:id="16" w:name="_Toc15396601"/>
      <w:bookmarkStart w:id="17" w:name="_Toc15377200"/>
      <w:bookmarkStart w:id="18" w:name="_Toc15990"/>
      <w:r>
        <w:rPr>
          <w:rFonts w:hint="eastAsia" w:ascii="Times New Roman" w:hAnsi="Times New Roman" w:eastAsia="黑体"/>
          <w:b w:val="0"/>
        </w:rPr>
        <w:t>二、机</w:t>
      </w:r>
      <w:r>
        <w:rPr>
          <w:rStyle w:val="31"/>
          <w:rFonts w:hint="eastAsia" w:ascii="Times New Roman" w:hAnsi="Times New Roman" w:eastAsia="黑体"/>
          <w:b w:val="0"/>
          <w:bCs w:val="0"/>
        </w:rPr>
        <w:t>构设置</w:t>
      </w:r>
      <w:bookmarkEnd w:id="16"/>
      <w:bookmarkEnd w:id="17"/>
      <w:bookmarkEnd w:id="18"/>
    </w:p>
    <w:p>
      <w:pPr>
        <w:pStyle w:val="6"/>
        <w:keepNext w:val="0"/>
        <w:keepLines w:val="0"/>
        <w:pageBreakBefore w:val="0"/>
        <w:widowControl w:val="0"/>
        <w:kinsoku/>
        <w:wordWrap/>
        <w:overflowPunct/>
        <w:topLinePunct w:val="0"/>
        <w:autoSpaceDE/>
        <w:autoSpaceDN/>
        <w:bidi w:val="0"/>
        <w:adjustRightInd w:val="0"/>
        <w:snapToGrid w:val="0"/>
        <w:spacing w:before="93" w:line="600" w:lineRule="exact"/>
        <w:ind w:firstLine="640" w:firstLineChars="200"/>
        <w:textAlignment w:val="auto"/>
        <w:rPr>
          <w:rFonts w:ascii="Times New Roman" w:cs="仿宋_GB2312"/>
          <w:sz w:val="32"/>
          <w:szCs w:val="32"/>
        </w:rPr>
      </w:pPr>
      <w:r>
        <w:rPr>
          <w:rFonts w:hint="eastAsia" w:ascii="仿宋_GB2312" w:hAnsi="仿宋_GB2312" w:eastAsia="仿宋_GB2312" w:cs="仿宋_GB2312"/>
          <w:sz w:val="32"/>
          <w:szCs w:val="32"/>
        </w:rPr>
        <w:t>茂县人民法院由办公室、政治处、民庭、刑事审判庭、立案庭、执行局、法警大队、行政审判庭、审</w:t>
      </w:r>
      <w:r>
        <w:rPr>
          <w:rFonts w:hint="eastAsia" w:hAnsi="仿宋_GB2312" w:cs="仿宋_GB2312"/>
          <w:sz w:val="32"/>
          <w:szCs w:val="32"/>
          <w:lang w:eastAsia="zh-CN"/>
        </w:rPr>
        <w:t>管办</w:t>
      </w:r>
      <w:r>
        <w:rPr>
          <w:rFonts w:hint="eastAsia" w:ascii="仿宋_GB2312" w:hAnsi="仿宋_GB2312" w:eastAsia="仿宋_GB2312" w:cs="仿宋_GB2312"/>
          <w:sz w:val="32"/>
          <w:szCs w:val="32"/>
        </w:rPr>
        <w:t>、</w:t>
      </w:r>
      <w:r>
        <w:rPr>
          <w:rFonts w:hint="eastAsia" w:hAnsi="仿宋_GB2312" w:cs="仿宋_GB2312"/>
          <w:sz w:val="32"/>
          <w:szCs w:val="32"/>
          <w:lang w:eastAsia="zh-CN"/>
        </w:rPr>
        <w:t>机关党委</w:t>
      </w:r>
      <w:r>
        <w:rPr>
          <w:rFonts w:hint="eastAsia" w:ascii="仿宋_GB2312" w:hAnsi="仿宋_GB2312" w:eastAsia="仿宋_GB2312" w:cs="仿宋_GB2312"/>
          <w:sz w:val="32"/>
          <w:szCs w:val="32"/>
        </w:rPr>
        <w:t>1</w:t>
      </w:r>
      <w:r>
        <w:rPr>
          <w:rFonts w:hint="eastAsia" w:hAnsi="仿宋_GB2312" w:cs="仿宋_GB2312"/>
          <w:sz w:val="32"/>
          <w:szCs w:val="32"/>
          <w:lang w:val="en-US" w:eastAsia="zh-CN"/>
        </w:rPr>
        <w:t>0</w:t>
      </w:r>
      <w:r>
        <w:rPr>
          <w:rFonts w:hint="eastAsia" w:ascii="仿宋_GB2312" w:hAnsi="仿宋_GB2312" w:eastAsia="仿宋_GB2312" w:cs="仿宋_GB2312"/>
          <w:sz w:val="32"/>
          <w:szCs w:val="32"/>
        </w:rPr>
        <w:t>个内设机构，凤仪法庭、土门法庭、</w:t>
      </w:r>
      <w:r>
        <w:rPr>
          <w:rFonts w:hint="eastAsia" w:hAnsi="仿宋_GB2312" w:cs="仿宋_GB2312"/>
          <w:sz w:val="32"/>
          <w:szCs w:val="32"/>
          <w:lang w:eastAsia="zh-CN"/>
        </w:rPr>
        <w:t>叠溪</w:t>
      </w:r>
      <w:r>
        <w:rPr>
          <w:rFonts w:hint="eastAsia" w:ascii="仿宋_GB2312" w:hAnsi="仿宋_GB2312" w:eastAsia="仿宋_GB2312" w:cs="仿宋_GB2312"/>
          <w:sz w:val="32"/>
          <w:szCs w:val="32"/>
        </w:rPr>
        <w:t>法庭、沙坝法庭4个派出法庭组成。</w:t>
      </w:r>
    </w:p>
    <w:p>
      <w:pPr>
        <w:widowControl/>
        <w:jc w:val="left"/>
        <w:rPr>
          <w:rFonts w:eastAsia="仿宋"/>
          <w:kern w:val="0"/>
          <w:sz w:val="32"/>
          <w:szCs w:val="32"/>
        </w:rPr>
      </w:pPr>
      <w:r>
        <w:rPr>
          <w:rFonts w:eastAsia="仿宋"/>
          <w:sz w:val="32"/>
          <w:szCs w:val="32"/>
        </w:rPr>
        <w:br w:type="page"/>
      </w:r>
    </w:p>
    <w:p>
      <w:pPr>
        <w:pStyle w:val="3"/>
        <w:jc w:val="center"/>
        <w:rPr>
          <w:rFonts w:hint="eastAsia" w:ascii="黑体" w:hAnsi="黑体" w:eastAsia="黑体" w:cs="黑体"/>
          <w:b w:val="0"/>
        </w:rPr>
      </w:pPr>
      <w:bookmarkStart w:id="19" w:name="_Toc15377204"/>
      <w:bookmarkStart w:id="20" w:name="_Toc7299"/>
      <w:bookmarkStart w:id="21" w:name="_Toc15396602"/>
      <w:r>
        <w:rPr>
          <w:rFonts w:hint="eastAsia" w:ascii="黑体" w:hAnsi="黑体" w:eastAsia="黑体" w:cs="黑体"/>
          <w:b w:val="0"/>
        </w:rPr>
        <w:t>第二部分  202</w:t>
      </w:r>
      <w:r>
        <w:rPr>
          <w:rFonts w:hint="eastAsia" w:ascii="黑体" w:hAnsi="黑体" w:eastAsia="黑体" w:cs="黑体"/>
          <w:b w:val="0"/>
          <w:lang w:val="en-US" w:eastAsia="zh-CN"/>
        </w:rPr>
        <w:t>5</w:t>
      </w:r>
      <w:r>
        <w:rPr>
          <w:rFonts w:hint="eastAsia" w:ascii="黑体" w:hAnsi="黑体" w:eastAsia="黑体" w:cs="黑体"/>
          <w:b w:val="0"/>
        </w:rPr>
        <w:t>年度部门决算情况说明</w:t>
      </w:r>
      <w:bookmarkEnd w:id="19"/>
      <w:bookmarkEnd w:id="20"/>
      <w:bookmarkEnd w:id="21"/>
    </w:p>
    <w:p/>
    <w:p>
      <w:pPr>
        <w:pStyle w:val="29"/>
        <w:spacing w:line="600" w:lineRule="exact"/>
        <w:ind w:firstLine="640" w:firstLineChars="200"/>
        <w:outlineLvl w:val="0"/>
        <w:rPr>
          <w:rStyle w:val="31"/>
          <w:rFonts w:ascii="Times New Roman" w:hAnsi="Times New Roman" w:eastAsia="黑体"/>
          <w:b w:val="0"/>
        </w:rPr>
      </w:pPr>
      <w:bookmarkStart w:id="22" w:name="_Toc15377205"/>
      <w:bookmarkStart w:id="23" w:name="_Toc15396603"/>
      <w:bookmarkStart w:id="24" w:name="_Toc4170"/>
      <w:r>
        <w:rPr>
          <w:rFonts w:hint="eastAsia" w:eastAsia="黑体"/>
          <w:sz w:val="32"/>
          <w:szCs w:val="32"/>
        </w:rPr>
        <w:t>一、收</w:t>
      </w:r>
      <w:r>
        <w:rPr>
          <w:rStyle w:val="31"/>
          <w:rFonts w:hint="eastAsia" w:ascii="Times New Roman" w:hAnsi="Times New Roman" w:eastAsia="黑体"/>
          <w:b w:val="0"/>
        </w:rPr>
        <w:t>入支出决算总体情况说明</w:t>
      </w:r>
      <w:bookmarkEnd w:id="22"/>
      <w:bookmarkEnd w:id="23"/>
      <w:bookmarkEnd w:id="24"/>
    </w:p>
    <w:p>
      <w:pPr>
        <w:pStyle w:val="29"/>
        <w:spacing w:line="600" w:lineRule="exact"/>
        <w:ind w:firstLine="640"/>
        <w:outlineLvl w:val="9"/>
        <w:rPr>
          <w:rFonts w:hint="default" w:eastAsia="仿宋_GB2312" w:cs="仿宋_GB2312"/>
          <w:sz w:val="32"/>
          <w:szCs w:val="32"/>
          <w:lang w:val="en-US"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年度收入、支出总计均为2747.46</w:t>
      </w:r>
      <w:r>
        <w:rPr>
          <w:rFonts w:hint="eastAsia" w:eastAsia="仿宋_GB2312" w:cs="仿宋_GB2312"/>
          <w:sz w:val="32"/>
          <w:szCs w:val="32"/>
          <w:lang w:eastAsia="zh-CN"/>
        </w:rPr>
        <w:t>万元</w:t>
      </w:r>
      <w:r>
        <w:rPr>
          <w:rFonts w:hint="eastAsia" w:eastAsia="仿宋_GB2312" w:cs="仿宋_GB2312"/>
          <w:sz w:val="32"/>
          <w:szCs w:val="32"/>
        </w:rPr>
        <w:t>。与202</w:t>
      </w:r>
      <w:r>
        <w:rPr>
          <w:rFonts w:hint="eastAsia" w:eastAsia="仿宋_GB2312" w:cs="仿宋_GB2312"/>
          <w:sz w:val="32"/>
          <w:szCs w:val="32"/>
          <w:lang w:val="en-US" w:eastAsia="zh-CN"/>
        </w:rPr>
        <w:t>4</w:t>
      </w:r>
      <w:r>
        <w:rPr>
          <w:rFonts w:hint="eastAsia" w:eastAsia="仿宋_GB2312" w:cs="仿宋_GB2312"/>
          <w:sz w:val="32"/>
          <w:szCs w:val="32"/>
        </w:rPr>
        <w:t>年度相比，收入、支出总计各</w:t>
      </w:r>
      <w:r>
        <w:rPr>
          <w:rFonts w:hint="eastAsia" w:eastAsia="仿宋_GB2312" w:cs="仿宋_GB2312"/>
          <w:sz w:val="32"/>
          <w:szCs w:val="32"/>
          <w:lang w:eastAsia="zh-CN"/>
        </w:rPr>
        <w:t>较少</w:t>
      </w:r>
      <w:r>
        <w:rPr>
          <w:rFonts w:hint="eastAsia" w:eastAsia="仿宋_GB2312" w:cs="仿宋_GB2312"/>
          <w:sz w:val="32"/>
          <w:szCs w:val="32"/>
          <w:lang w:val="en-US" w:eastAsia="zh-CN"/>
        </w:rPr>
        <w:t>71.35</w:t>
      </w:r>
      <w:r>
        <w:rPr>
          <w:rFonts w:hint="eastAsia" w:eastAsia="仿宋_GB2312" w:cs="仿宋_GB2312"/>
          <w:sz w:val="32"/>
          <w:szCs w:val="32"/>
        </w:rPr>
        <w:t>万元，</w:t>
      </w:r>
      <w:r>
        <w:rPr>
          <w:rFonts w:hint="eastAsia" w:eastAsia="仿宋_GB2312" w:cs="仿宋_GB2312"/>
          <w:sz w:val="32"/>
          <w:szCs w:val="32"/>
          <w:lang w:eastAsia="zh-CN"/>
        </w:rPr>
        <w:t>较少</w:t>
      </w:r>
      <w:r>
        <w:rPr>
          <w:rFonts w:hint="eastAsia" w:eastAsia="仿宋_GB2312" w:cs="仿宋_GB2312"/>
          <w:sz w:val="32"/>
          <w:szCs w:val="32"/>
          <w:lang w:val="en-US" w:eastAsia="zh-CN"/>
        </w:rPr>
        <w:t>2.53</w:t>
      </w:r>
      <w:r>
        <w:rPr>
          <w:rFonts w:hint="eastAsia" w:eastAsia="仿宋_GB2312" w:cs="仿宋_GB2312"/>
          <w:sz w:val="32"/>
          <w:szCs w:val="32"/>
        </w:rPr>
        <w:t>%。主要变动原因是</w:t>
      </w:r>
      <w:r>
        <w:rPr>
          <w:rFonts w:hint="eastAsia" w:eastAsia="仿宋_GB2312" w:cs="仿宋_GB2312"/>
          <w:sz w:val="32"/>
          <w:szCs w:val="32"/>
          <w:lang w:val="en-US" w:eastAsia="zh-CN"/>
        </w:rPr>
        <w:t>项目减少。</w:t>
      </w:r>
    </w:p>
    <w:p>
      <w:pPr>
        <w:ind w:firstLine="420" w:firstLineChars="200"/>
        <w:jc w:val="center"/>
      </w:pPr>
    </w:p>
    <w:p>
      <w:pPr>
        <w:pStyle w:val="9"/>
        <w:ind w:left="0" w:leftChars="0" w:firstLine="0" w:firstLineChars="0"/>
        <w:rPr>
          <w:rFonts w:hint="eastAsia"/>
        </w:rPr>
      </w:pPr>
      <w:r>
        <w:rPr>
          <w:rFonts w:hint="eastAsia" w:eastAsia="宋体"/>
          <w:lang w:eastAsia="zh-CN"/>
        </w:rPr>
        <w:drawing>
          <wp:anchor distT="0" distB="0" distL="114300" distR="114300" simplePos="0" relativeHeight="251672576" behindDoc="0" locked="0" layoutInCell="1" allowOverlap="1">
            <wp:simplePos x="0" y="0"/>
            <wp:positionH relativeFrom="column">
              <wp:posOffset>109220</wp:posOffset>
            </wp:positionH>
            <wp:positionV relativeFrom="page">
              <wp:posOffset>3634105</wp:posOffset>
            </wp:positionV>
            <wp:extent cx="5080000" cy="2647950"/>
            <wp:effectExtent l="4445" t="4445" r="20955" b="14605"/>
            <wp:wrapTopAndBottom/>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ind w:firstLine="640" w:firstLineChars="200"/>
        <w:jc w:val="center"/>
        <w:rPr>
          <w:rFonts w:eastAsia="仿宋_GB2312" w:cs="仿宋_GB2312"/>
          <w:sz w:val="32"/>
          <w:szCs w:val="32"/>
        </w:rPr>
      </w:pPr>
      <w:r>
        <w:rPr>
          <w:rFonts w:hint="eastAsia" w:eastAsia="仿宋_GB2312" w:cs="仿宋_GB2312"/>
          <w:sz w:val="32"/>
          <w:szCs w:val="32"/>
        </w:rPr>
        <w:t>（图1：收入、支出决算总计变动情况图）</w:t>
      </w:r>
    </w:p>
    <w:p>
      <w:pPr>
        <w:pStyle w:val="29"/>
        <w:spacing w:line="600" w:lineRule="exact"/>
        <w:ind w:firstLine="640" w:firstLineChars="200"/>
        <w:outlineLvl w:val="0"/>
        <w:rPr>
          <w:rFonts w:eastAsia="黑体"/>
          <w:sz w:val="32"/>
          <w:szCs w:val="32"/>
        </w:rPr>
      </w:pPr>
      <w:bookmarkStart w:id="25" w:name="_Toc15195"/>
      <w:bookmarkStart w:id="26" w:name="_Toc15396604"/>
      <w:bookmarkStart w:id="27" w:name="_Toc15377206"/>
      <w:r>
        <w:rPr>
          <w:rFonts w:hint="eastAsia" w:eastAsia="黑体"/>
          <w:sz w:val="32"/>
          <w:szCs w:val="32"/>
        </w:rPr>
        <w:t>二、收入决算情况说明</w:t>
      </w:r>
      <w:bookmarkEnd w:id="25"/>
      <w:bookmarkEnd w:id="26"/>
      <w:bookmarkEnd w:id="27"/>
    </w:p>
    <w:p>
      <w:pPr>
        <w:pStyle w:val="29"/>
        <w:spacing w:line="600" w:lineRule="exact"/>
        <w:ind w:firstLine="640"/>
        <w:jc w:val="left"/>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年度本年收入合计</w:t>
      </w:r>
      <w:r>
        <w:rPr>
          <w:rFonts w:hint="eastAsia" w:ascii="仿宋_GB2312" w:hAnsi="仿宋_GB2312" w:eastAsia="仿宋_GB2312" w:cs="仿宋_GB2312"/>
          <w:sz w:val="32"/>
          <w:szCs w:val="32"/>
          <w:lang w:val="en-US" w:eastAsia="zh-CN"/>
        </w:rPr>
        <w:t>2711.1</w:t>
      </w:r>
      <w:r>
        <w:rPr>
          <w:rFonts w:hint="eastAsia" w:ascii="仿宋_GB2312" w:hAnsi="仿宋_GB2312" w:eastAsia="仿宋_GB2312" w:cs="仿宋_GB2312"/>
          <w:sz w:val="32"/>
          <w:szCs w:val="32"/>
        </w:rPr>
        <w:t>万元，其中：一般公共预算财政拨款收入2212.94万元，占</w:t>
      </w:r>
      <w:r>
        <w:rPr>
          <w:rFonts w:hint="eastAsia" w:ascii="仿宋_GB2312" w:hAnsi="仿宋_GB2312" w:eastAsia="仿宋_GB2312" w:cs="仿宋_GB2312"/>
          <w:sz w:val="32"/>
          <w:szCs w:val="32"/>
          <w:lang w:val="en-US" w:eastAsia="zh-CN"/>
        </w:rPr>
        <w:t>81.63</w:t>
      </w:r>
      <w:r>
        <w:rPr>
          <w:rFonts w:hint="eastAsia" w:ascii="仿宋_GB2312" w:hAnsi="仿宋_GB2312" w:eastAsia="仿宋_GB2312" w:cs="仿宋_GB2312"/>
          <w:sz w:val="32"/>
          <w:szCs w:val="32"/>
        </w:rPr>
        <w:t>%；政府性基金预算财政拨款收入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%；国有资本经营预算财政拨款收入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%；其他收入498.16万元，占</w:t>
      </w:r>
      <w:r>
        <w:rPr>
          <w:rFonts w:hint="eastAsia" w:ascii="仿宋_GB2312" w:hAnsi="仿宋_GB2312" w:eastAsia="仿宋_GB2312" w:cs="仿宋_GB2312"/>
          <w:sz w:val="32"/>
          <w:szCs w:val="32"/>
          <w:lang w:val="en-US" w:eastAsia="zh-CN"/>
        </w:rPr>
        <w:t>18.37</w:t>
      </w:r>
      <w:r>
        <w:rPr>
          <w:rFonts w:hint="eastAsia" w:ascii="仿宋_GB2312" w:hAnsi="仿宋_GB2312" w:eastAsia="仿宋_GB2312" w:cs="仿宋_GB2312"/>
          <w:sz w:val="32"/>
          <w:szCs w:val="32"/>
        </w:rPr>
        <w:t>%。</w:t>
      </w:r>
    </w:p>
    <w:p>
      <w:pPr>
        <w:pStyle w:val="29"/>
        <w:spacing w:line="600" w:lineRule="exact"/>
        <w:ind w:left="0" w:leftChars="0" w:firstLine="0" w:firstLineChars="0"/>
        <w:jc w:val="left"/>
        <w:outlineLvl w:val="9"/>
        <w:rPr>
          <w:rFonts w:hint="eastAsia" w:eastAsia="仿宋_GB2312" w:cs="仿宋_GB2312"/>
          <w:sz w:val="32"/>
          <w:szCs w:val="32"/>
        </w:rPr>
      </w:pPr>
      <w:r>
        <w:rPr>
          <w:rFonts w:hint="eastAsia" w:eastAsia="仿宋_GB2312" w:cs="仿宋_GB2312"/>
          <w:sz w:val="32"/>
          <w:szCs w:val="32"/>
          <w:lang w:eastAsia="zh-CN"/>
        </w:rPr>
        <w:drawing>
          <wp:anchor distT="0" distB="0" distL="114300" distR="114300" simplePos="0" relativeHeight="251662336" behindDoc="1" locked="0" layoutInCell="1" allowOverlap="1">
            <wp:simplePos x="0" y="0"/>
            <wp:positionH relativeFrom="column">
              <wp:posOffset>410845</wp:posOffset>
            </wp:positionH>
            <wp:positionV relativeFrom="paragraph">
              <wp:posOffset>242570</wp:posOffset>
            </wp:positionV>
            <wp:extent cx="5080000" cy="2057400"/>
            <wp:effectExtent l="4445" t="4445" r="20955" b="52705"/>
            <wp:wrapTight wrapText="bothSides">
              <wp:wrapPolygon>
                <wp:start x="-19" y="-47"/>
                <wp:lineTo x="-19" y="21553"/>
                <wp:lineTo x="21527" y="21553"/>
                <wp:lineTo x="21527" y="-47"/>
                <wp:lineTo x="-19" y="-47"/>
              </wp:wrapPolygon>
            </wp:wrapTight>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9"/>
        <w:spacing w:line="600" w:lineRule="exact"/>
        <w:ind w:firstLine="640"/>
        <w:jc w:val="center"/>
        <w:outlineLvl w:val="9"/>
        <w:rPr>
          <w:rFonts w:hint="eastAsia" w:eastAsia="仿宋_GB2312" w:cs="仿宋_GB2312"/>
          <w:sz w:val="32"/>
          <w:szCs w:val="32"/>
        </w:rPr>
      </w:pPr>
      <w:r>
        <w:rPr>
          <w:rFonts w:hint="eastAsia" w:eastAsia="仿宋_GB2312" w:cs="仿宋_GB2312"/>
          <w:sz w:val="32"/>
          <w:szCs w:val="32"/>
        </w:rPr>
        <w:t>（图2：收入决算结构图）</w:t>
      </w:r>
    </w:p>
    <w:p>
      <w:pPr>
        <w:pStyle w:val="29"/>
        <w:spacing w:line="600" w:lineRule="exact"/>
        <w:ind w:firstLine="640" w:firstLineChars="200"/>
        <w:outlineLvl w:val="0"/>
        <w:rPr>
          <w:rStyle w:val="31"/>
          <w:rFonts w:ascii="Times New Roman" w:hAnsi="Times New Roman" w:eastAsia="黑体"/>
          <w:b w:val="0"/>
        </w:rPr>
      </w:pPr>
      <w:bookmarkStart w:id="28" w:name="_Toc15396605"/>
      <w:bookmarkStart w:id="29" w:name="_Toc15377207"/>
      <w:bookmarkStart w:id="30" w:name="_Toc22121"/>
      <w:r>
        <w:rPr>
          <w:rFonts w:hint="eastAsia" w:eastAsia="黑体"/>
          <w:sz w:val="32"/>
          <w:szCs w:val="32"/>
        </w:rPr>
        <w:t>三、支</w:t>
      </w:r>
      <w:r>
        <w:rPr>
          <w:rStyle w:val="31"/>
          <w:rFonts w:hint="eastAsia" w:ascii="Times New Roman" w:hAnsi="Times New Roman" w:eastAsia="黑体"/>
          <w:b w:val="0"/>
        </w:rPr>
        <w:t>出决算情况说明</w:t>
      </w:r>
      <w:bookmarkEnd w:id="28"/>
      <w:bookmarkEnd w:id="29"/>
      <w:bookmarkEnd w:id="30"/>
    </w:p>
    <w:p>
      <w:pPr>
        <w:pStyle w:val="29"/>
        <w:spacing w:line="600" w:lineRule="exact"/>
        <w:ind w:firstLine="640"/>
        <w:jc w:val="left"/>
        <w:outlineLvl w:val="9"/>
        <w:rPr>
          <w:rFonts w:hint="eastAsia" w:eastAsia="仿宋_GB2312" w:cs="仿宋_GB2312"/>
          <w:b/>
          <w:bCs/>
          <w:sz w:val="32"/>
          <w:szCs w:val="32"/>
          <w:lang w:eastAsia="zh-CN"/>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年度本年支出合计2716.6万元，其中：基本支出1696.09万元，占</w:t>
      </w:r>
      <w:r>
        <w:rPr>
          <w:rFonts w:hint="eastAsia" w:ascii="仿宋_GB2312" w:hAnsi="仿宋_GB2312" w:eastAsia="仿宋_GB2312" w:cs="仿宋_GB2312"/>
          <w:sz w:val="32"/>
          <w:szCs w:val="32"/>
          <w:highlight w:val="none"/>
          <w:lang w:val="en-US" w:eastAsia="zh-CN"/>
        </w:rPr>
        <w:t>62.43</w:t>
      </w:r>
      <w:r>
        <w:rPr>
          <w:rFonts w:hint="eastAsia" w:ascii="仿宋_GB2312" w:hAnsi="仿宋_GB2312" w:eastAsia="仿宋_GB2312" w:cs="仿宋_GB2312"/>
          <w:sz w:val="32"/>
          <w:szCs w:val="32"/>
          <w:highlight w:val="none"/>
        </w:rPr>
        <w:t>%；项目支出1020.51万元，占</w:t>
      </w:r>
      <w:r>
        <w:rPr>
          <w:rFonts w:hint="eastAsia" w:ascii="仿宋_GB2312" w:hAnsi="仿宋_GB2312" w:eastAsia="仿宋_GB2312" w:cs="仿宋_GB2312"/>
          <w:sz w:val="32"/>
          <w:szCs w:val="32"/>
          <w:highlight w:val="none"/>
          <w:lang w:val="en-US" w:eastAsia="zh-CN"/>
        </w:rPr>
        <w:t>37.57</w:t>
      </w:r>
      <w:r>
        <w:rPr>
          <w:rFonts w:hint="eastAsia" w:ascii="仿宋_GB2312" w:hAnsi="仿宋_GB2312" w:eastAsia="仿宋_GB2312" w:cs="仿宋_GB2312"/>
          <w:sz w:val="32"/>
          <w:szCs w:val="32"/>
          <w:highlight w:val="none"/>
        </w:rPr>
        <w:t>%；上缴上级支出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万元，占</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%；经营支出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万元，占</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%；对附属单位补助支出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万元，占</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w:t>
      </w:r>
    </w:p>
    <w:p>
      <w:pPr>
        <w:pStyle w:val="29"/>
        <w:spacing w:line="600" w:lineRule="exact"/>
        <w:ind w:firstLine="640"/>
        <w:jc w:val="left"/>
        <w:outlineLvl w:val="9"/>
        <w:rPr>
          <w:rFonts w:hint="eastAsia" w:eastAsia="仿宋_GB2312" w:cs="仿宋_GB2312"/>
          <w:sz w:val="32"/>
          <w:szCs w:val="32"/>
        </w:rPr>
      </w:pPr>
      <w:r>
        <w:rPr>
          <w:rFonts w:hint="eastAsia" w:eastAsia="仿宋_GB2312" w:cs="仿宋_GB2312"/>
          <w:b/>
          <w:bCs/>
          <w:sz w:val="32"/>
          <w:szCs w:val="32"/>
          <w:lang w:eastAsia="zh-CN"/>
        </w:rPr>
        <w:drawing>
          <wp:anchor distT="0" distB="0" distL="114300" distR="114300" simplePos="0" relativeHeight="251663360" behindDoc="1" locked="0" layoutInCell="1" allowOverlap="1">
            <wp:simplePos x="0" y="0"/>
            <wp:positionH relativeFrom="column">
              <wp:posOffset>829310</wp:posOffset>
            </wp:positionH>
            <wp:positionV relativeFrom="paragraph">
              <wp:posOffset>156845</wp:posOffset>
            </wp:positionV>
            <wp:extent cx="4118610" cy="2171700"/>
            <wp:effectExtent l="4445" t="4445" r="48895" b="14605"/>
            <wp:wrapTight wrapText="bothSides">
              <wp:wrapPolygon>
                <wp:start x="-23" y="-44"/>
                <wp:lineTo x="-23" y="21556"/>
                <wp:lineTo x="21557" y="21556"/>
                <wp:lineTo x="21557" y="-44"/>
                <wp:lineTo x="-23" y="-44"/>
              </wp:wrapPolygon>
            </wp:wrapTight>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ind w:firstLine="800" w:firstLineChars="250"/>
        <w:jc w:val="center"/>
        <w:rPr>
          <w:rFonts w:eastAsia="仿宋_GB2312" w:cs="仿宋_GB2312"/>
          <w:sz w:val="32"/>
          <w:szCs w:val="32"/>
        </w:rPr>
      </w:pPr>
      <w:r>
        <w:rPr>
          <w:rFonts w:hint="eastAsia" w:eastAsia="仿宋_GB2312" w:cs="仿宋_GB2312"/>
          <w:sz w:val="32"/>
          <w:szCs w:val="32"/>
        </w:rPr>
        <w:t>（图3：支出决算结构图）</w:t>
      </w:r>
    </w:p>
    <w:p>
      <w:pPr>
        <w:spacing w:line="600" w:lineRule="exact"/>
        <w:ind w:firstLine="640" w:firstLineChars="200"/>
        <w:outlineLvl w:val="0"/>
        <w:rPr>
          <w:rStyle w:val="31"/>
          <w:rFonts w:ascii="Times New Roman" w:hAnsi="Times New Roman" w:eastAsia="黑体"/>
          <w:b w:val="0"/>
          <w:highlight w:val="none"/>
        </w:rPr>
      </w:pPr>
      <w:bookmarkStart w:id="31" w:name="_Toc25133"/>
      <w:bookmarkStart w:id="32" w:name="_Toc15377208"/>
      <w:bookmarkStart w:id="33" w:name="_Toc15396606"/>
      <w:r>
        <w:rPr>
          <w:rFonts w:hint="eastAsia" w:eastAsia="黑体"/>
          <w:sz w:val="32"/>
          <w:szCs w:val="32"/>
          <w:highlight w:val="none"/>
        </w:rPr>
        <w:t>四、财</w:t>
      </w:r>
      <w:r>
        <w:rPr>
          <w:rStyle w:val="31"/>
          <w:rFonts w:hint="eastAsia" w:ascii="Times New Roman" w:hAnsi="Times New Roman" w:eastAsia="黑体"/>
          <w:b w:val="0"/>
          <w:highlight w:val="none"/>
        </w:rPr>
        <w:t>政拨款收入支出决算总体情况说明</w:t>
      </w:r>
      <w:bookmarkEnd w:id="31"/>
      <w:bookmarkEnd w:id="32"/>
      <w:bookmarkEnd w:id="33"/>
    </w:p>
    <w:p>
      <w:pPr>
        <w:spacing w:line="600" w:lineRule="exact"/>
        <w:ind w:firstLine="640"/>
        <w:rPr>
          <w:rFonts w:hint="default" w:eastAsia="仿宋_GB2312" w:cs="仿宋_GB2312"/>
          <w:sz w:val="32"/>
          <w:szCs w:val="32"/>
          <w:highlight w:val="none"/>
          <w:lang w:val="en-US" w:eastAsia="zh-CN"/>
        </w:rPr>
      </w:pPr>
      <w:r>
        <w:rPr>
          <w:rFonts w:hint="eastAsia" w:eastAsia="仿宋_GB2312" w:cs="仿宋_GB2312"/>
          <w:sz w:val="32"/>
          <w:szCs w:val="32"/>
          <w:highlight w:val="none"/>
        </w:rPr>
        <w:t>202</w:t>
      </w:r>
      <w:r>
        <w:rPr>
          <w:rFonts w:hint="eastAsia" w:eastAsia="仿宋_GB2312" w:cs="仿宋_GB2312"/>
          <w:sz w:val="32"/>
          <w:szCs w:val="32"/>
          <w:highlight w:val="none"/>
          <w:lang w:val="en-US" w:eastAsia="zh-CN"/>
        </w:rPr>
        <w:t>5</w:t>
      </w:r>
      <w:r>
        <w:rPr>
          <w:rFonts w:hint="eastAsia" w:eastAsia="仿宋_GB2312" w:cs="仿宋_GB2312"/>
          <w:sz w:val="32"/>
          <w:szCs w:val="32"/>
          <w:highlight w:val="none"/>
        </w:rPr>
        <w:t>年度财政拨款收入、支出总计均为</w:t>
      </w:r>
      <w:r>
        <w:rPr>
          <w:rFonts w:hint="eastAsia" w:ascii="仿宋_GB2312" w:hAnsi="仿宋_GB2312" w:eastAsia="仿宋_GB2312" w:cs="仿宋_GB2312"/>
          <w:sz w:val="32"/>
          <w:szCs w:val="32"/>
          <w:highlight w:val="none"/>
          <w:lang w:val="en-US" w:eastAsia="zh-CN"/>
        </w:rPr>
        <w:t>2212.94</w:t>
      </w:r>
      <w:r>
        <w:rPr>
          <w:rFonts w:hint="eastAsia" w:eastAsia="仿宋_GB2312" w:cs="仿宋_GB2312"/>
          <w:sz w:val="32"/>
          <w:szCs w:val="32"/>
          <w:highlight w:val="none"/>
        </w:rPr>
        <w:t>万元。与202</w:t>
      </w:r>
      <w:r>
        <w:rPr>
          <w:rFonts w:hint="eastAsia" w:eastAsia="仿宋_GB2312" w:cs="仿宋_GB2312"/>
          <w:sz w:val="32"/>
          <w:szCs w:val="32"/>
          <w:highlight w:val="none"/>
          <w:lang w:val="en-US" w:eastAsia="zh-CN"/>
        </w:rPr>
        <w:t>4</w:t>
      </w:r>
      <w:r>
        <w:rPr>
          <w:rFonts w:hint="eastAsia" w:eastAsia="仿宋_GB2312" w:cs="仿宋_GB2312"/>
          <w:sz w:val="32"/>
          <w:szCs w:val="32"/>
          <w:highlight w:val="none"/>
        </w:rPr>
        <w:t>年度相比，财政拨款收入总计、支出总计各</w:t>
      </w:r>
      <w:r>
        <w:rPr>
          <w:rFonts w:hint="eastAsia" w:eastAsia="仿宋_GB2312" w:cs="仿宋_GB2312"/>
          <w:sz w:val="32"/>
          <w:szCs w:val="32"/>
          <w:highlight w:val="none"/>
          <w:lang w:eastAsia="zh-CN"/>
        </w:rPr>
        <w:t>减少</w:t>
      </w:r>
      <w:r>
        <w:rPr>
          <w:rFonts w:hint="eastAsia" w:eastAsia="仿宋_GB2312" w:cs="仿宋_GB2312"/>
          <w:sz w:val="32"/>
          <w:szCs w:val="32"/>
          <w:highlight w:val="none"/>
          <w:lang w:val="en-US" w:eastAsia="zh-CN"/>
        </w:rPr>
        <w:t>75</w:t>
      </w:r>
      <w:r>
        <w:rPr>
          <w:rFonts w:hint="eastAsia" w:eastAsia="仿宋_GB2312" w:cs="仿宋_GB2312"/>
          <w:sz w:val="32"/>
          <w:szCs w:val="32"/>
          <w:highlight w:val="none"/>
        </w:rPr>
        <w:t>万元，</w:t>
      </w:r>
      <w:r>
        <w:rPr>
          <w:rFonts w:hint="eastAsia" w:eastAsia="仿宋_GB2312" w:cs="仿宋_GB2312"/>
          <w:sz w:val="32"/>
          <w:szCs w:val="32"/>
          <w:highlight w:val="none"/>
          <w:lang w:eastAsia="zh-CN"/>
        </w:rPr>
        <w:t>减少</w:t>
      </w:r>
      <w:r>
        <w:rPr>
          <w:rFonts w:hint="eastAsia" w:eastAsia="仿宋_GB2312" w:cs="仿宋_GB2312"/>
          <w:sz w:val="32"/>
          <w:szCs w:val="32"/>
          <w:highlight w:val="none"/>
          <w:lang w:val="en-US" w:eastAsia="zh-CN"/>
        </w:rPr>
        <w:t>3.28</w:t>
      </w:r>
      <w:r>
        <w:rPr>
          <w:rFonts w:hint="eastAsia" w:eastAsia="仿宋_GB2312" w:cs="仿宋_GB2312"/>
          <w:sz w:val="32"/>
          <w:szCs w:val="32"/>
          <w:highlight w:val="none"/>
        </w:rPr>
        <w:t>%。主要变动原因是</w:t>
      </w:r>
      <w:r>
        <w:rPr>
          <w:rFonts w:hint="eastAsia" w:eastAsia="仿宋_GB2312" w:cs="仿宋_GB2312"/>
          <w:sz w:val="32"/>
          <w:szCs w:val="32"/>
          <w:highlight w:val="none"/>
          <w:lang w:val="en-US" w:eastAsia="zh-CN"/>
        </w:rPr>
        <w:t>项目减少导致。</w:t>
      </w:r>
    </w:p>
    <w:p>
      <w:pPr>
        <w:spacing w:line="600" w:lineRule="exact"/>
        <w:rPr>
          <w:rFonts w:hint="eastAsia" w:eastAsia="仿宋_GB2312" w:cs="仿宋_GB2312"/>
          <w:sz w:val="32"/>
          <w:szCs w:val="32"/>
        </w:rPr>
      </w:pPr>
      <w:r>
        <w:rPr>
          <w:rFonts w:hint="eastAsia" w:eastAsia="仿宋_GB2312" w:cs="仿宋_GB2312"/>
          <w:sz w:val="32"/>
          <w:szCs w:val="32"/>
          <w:lang w:eastAsia="zh-CN"/>
        </w:rPr>
        <w:drawing>
          <wp:anchor distT="0" distB="0" distL="114300" distR="114300" simplePos="0" relativeHeight="251664384" behindDoc="1" locked="0" layoutInCell="1" allowOverlap="1">
            <wp:simplePos x="0" y="0"/>
            <wp:positionH relativeFrom="column">
              <wp:posOffset>448945</wp:posOffset>
            </wp:positionH>
            <wp:positionV relativeFrom="paragraph">
              <wp:posOffset>-14605</wp:posOffset>
            </wp:positionV>
            <wp:extent cx="5080000" cy="2981325"/>
            <wp:effectExtent l="4445" t="4445" r="20955" b="5080"/>
            <wp:wrapTight wrapText="bothSides">
              <wp:wrapPolygon>
                <wp:start x="-19" y="-32"/>
                <wp:lineTo x="-19" y="21499"/>
                <wp:lineTo x="21527" y="21499"/>
                <wp:lineTo x="21527" y="-32"/>
                <wp:lineTo x="-19" y="-32"/>
              </wp:wrapPolygon>
            </wp:wrapTight>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spacing w:line="600" w:lineRule="exact"/>
        <w:ind w:firstLine="640" w:firstLineChars="200"/>
        <w:jc w:val="center"/>
        <w:rPr>
          <w:rFonts w:eastAsia="仿宋_GB2312" w:cs="仿宋_GB2312"/>
          <w:sz w:val="32"/>
          <w:szCs w:val="32"/>
        </w:rPr>
      </w:pPr>
      <w:r>
        <w:rPr>
          <w:rFonts w:hint="eastAsia" w:eastAsia="仿宋_GB2312" w:cs="仿宋_GB2312"/>
          <w:sz w:val="32"/>
          <w:szCs w:val="32"/>
        </w:rPr>
        <w:t>（图4：财政拨款收、支决算总计变动情况）</w:t>
      </w:r>
    </w:p>
    <w:p>
      <w:pPr>
        <w:spacing w:line="600" w:lineRule="exact"/>
        <w:ind w:firstLine="640" w:firstLineChars="200"/>
        <w:outlineLvl w:val="0"/>
        <w:rPr>
          <w:rStyle w:val="31"/>
          <w:rFonts w:ascii="Times New Roman" w:hAnsi="Times New Roman" w:eastAsia="黑体"/>
          <w:b w:val="0"/>
        </w:rPr>
      </w:pPr>
      <w:bookmarkStart w:id="34" w:name="_Toc21255"/>
      <w:bookmarkStart w:id="35" w:name="_Toc15377209"/>
      <w:bookmarkStart w:id="36" w:name="_Toc15396607"/>
      <w:r>
        <w:rPr>
          <w:rFonts w:hint="eastAsia" w:eastAsia="黑体"/>
          <w:sz w:val="32"/>
          <w:szCs w:val="32"/>
        </w:rPr>
        <w:t>五、</w:t>
      </w:r>
      <w:r>
        <w:rPr>
          <w:rFonts w:hint="eastAsia" w:eastAsia="黑体"/>
          <w:b/>
          <w:sz w:val="32"/>
          <w:szCs w:val="32"/>
        </w:rPr>
        <w:t>一</w:t>
      </w:r>
      <w:r>
        <w:rPr>
          <w:rStyle w:val="31"/>
          <w:rFonts w:hint="eastAsia" w:ascii="Times New Roman" w:hAnsi="Times New Roman" w:eastAsia="黑体"/>
          <w:b w:val="0"/>
        </w:rPr>
        <w:t>般公共预算财政拨款支出决算情况说明</w:t>
      </w:r>
      <w:bookmarkEnd w:id="34"/>
      <w:bookmarkEnd w:id="35"/>
      <w:bookmarkEnd w:id="36"/>
    </w:p>
    <w:p>
      <w:pPr>
        <w:spacing w:line="600" w:lineRule="exact"/>
        <w:ind w:firstLine="643" w:firstLineChars="200"/>
        <w:outlineLvl w:val="9"/>
        <w:rPr>
          <w:rFonts w:eastAsia="楷体_GB2312" w:cs="楷体_GB2312"/>
          <w:b/>
          <w:sz w:val="32"/>
          <w:szCs w:val="32"/>
        </w:rPr>
      </w:pPr>
      <w:bookmarkStart w:id="37" w:name="_Toc15377210"/>
      <w:r>
        <w:rPr>
          <w:rFonts w:hint="eastAsia" w:eastAsia="楷体_GB2312" w:cs="楷体_GB2312"/>
          <w:b/>
          <w:sz w:val="32"/>
          <w:szCs w:val="32"/>
        </w:rPr>
        <w:t>（一）一般公共预算财政拨款支出决算总体情况</w:t>
      </w:r>
      <w:bookmarkEnd w:id="37"/>
    </w:p>
    <w:p>
      <w:pPr>
        <w:spacing w:line="600" w:lineRule="exact"/>
        <w:ind w:firstLine="640"/>
        <w:rPr>
          <w:rFonts w:hint="eastAsia"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2212.94</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80.54</w:t>
      </w:r>
      <w:r>
        <w:rPr>
          <w:rFonts w:hint="eastAsia" w:ascii="仿宋_GB2312" w:hAnsi="仿宋_GB2312" w:eastAsia="仿宋_GB2312" w:cs="仿宋_GB2312"/>
          <w:sz w:val="32"/>
          <w:szCs w:val="32"/>
        </w:rPr>
        <w:t>%。与202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年度相比，一般公共预算财政拨款支出</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75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3.28</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eastAsia="zh-CN"/>
        </w:rPr>
        <w:t>项目减少</w:t>
      </w:r>
      <w:r>
        <w:rPr>
          <w:rFonts w:hint="eastAsia" w:ascii="仿宋_GB2312" w:hAnsi="仿宋_GB2312" w:eastAsia="仿宋_GB2312" w:cs="仿宋_GB2312"/>
          <w:sz w:val="32"/>
          <w:szCs w:val="32"/>
        </w:rPr>
        <w:t>导致</w:t>
      </w:r>
      <w:r>
        <w:rPr>
          <w:rFonts w:hint="eastAsia" w:ascii="仿宋_GB2312" w:hAnsi="仿宋_GB2312" w:eastAsia="仿宋_GB2312" w:cs="仿宋_GB2312"/>
          <w:sz w:val="32"/>
          <w:szCs w:val="32"/>
          <w:lang w:eastAsia="zh-CN"/>
        </w:rPr>
        <w:t>。</w:t>
      </w:r>
    </w:p>
    <w:p>
      <w:pPr>
        <w:pStyle w:val="9"/>
        <w:ind w:left="0" w:leftChars="0" w:firstLine="0" w:firstLineChars="0"/>
        <w:jc w:val="both"/>
        <w:rPr>
          <w:rFonts w:eastAsia="仿宋_GB2312" w:cs="仿宋_GB2312"/>
          <w:sz w:val="32"/>
          <w:szCs w:val="32"/>
        </w:rPr>
      </w:pPr>
      <w:r>
        <w:rPr>
          <w:rFonts w:hint="eastAsia" w:eastAsia="仿宋_GB2312" w:cs="仿宋_GB2312"/>
          <w:sz w:val="32"/>
          <w:szCs w:val="32"/>
          <w:lang w:eastAsia="zh-CN"/>
        </w:rPr>
        <w:drawing>
          <wp:anchor distT="0" distB="0" distL="114300" distR="114300" simplePos="0" relativeHeight="251665408" behindDoc="1" locked="0" layoutInCell="1" allowOverlap="1">
            <wp:simplePos x="0" y="0"/>
            <wp:positionH relativeFrom="column">
              <wp:posOffset>90170</wp:posOffset>
            </wp:positionH>
            <wp:positionV relativeFrom="paragraph">
              <wp:posOffset>267970</wp:posOffset>
            </wp:positionV>
            <wp:extent cx="5080000" cy="1820545"/>
            <wp:effectExtent l="4445" t="4445" r="20955" b="60960"/>
            <wp:wrapTight wrapText="bothSides">
              <wp:wrapPolygon>
                <wp:start x="-19" y="-53"/>
                <wp:lineTo x="-19" y="21419"/>
                <wp:lineTo x="21527" y="21419"/>
                <wp:lineTo x="21527" y="-53"/>
                <wp:lineTo x="-19" y="-53"/>
              </wp:wrapPolygon>
            </wp:wrapTight>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eastAsia="仿宋_GB2312" w:cs="仿宋_GB2312"/>
          <w:sz w:val="32"/>
          <w:szCs w:val="32"/>
          <w:lang w:val="en-US" w:eastAsia="zh-CN"/>
        </w:rPr>
        <w:t xml:space="preserve">    </w:t>
      </w:r>
      <w:r>
        <w:rPr>
          <w:rFonts w:hint="eastAsia" w:eastAsia="仿宋_GB2312" w:cs="仿宋_GB2312"/>
          <w:sz w:val="32"/>
          <w:szCs w:val="32"/>
        </w:rPr>
        <w:t>（图5：一般公共预算财政拨款支出决算变动情况）</w:t>
      </w:r>
    </w:p>
    <w:p>
      <w:pPr>
        <w:spacing w:line="600" w:lineRule="exact"/>
        <w:ind w:firstLine="643" w:firstLineChars="200"/>
        <w:outlineLvl w:val="9"/>
        <w:rPr>
          <w:rFonts w:eastAsia="楷体_GB2312" w:cs="楷体_GB2312"/>
          <w:b/>
          <w:sz w:val="32"/>
          <w:szCs w:val="32"/>
        </w:rPr>
      </w:pPr>
      <w:bookmarkStart w:id="38" w:name="_Toc15377211"/>
      <w:r>
        <w:rPr>
          <w:rFonts w:hint="eastAsia" w:eastAsia="楷体_GB2312" w:cs="楷体_GB2312"/>
          <w:b/>
          <w:sz w:val="32"/>
          <w:szCs w:val="32"/>
        </w:rPr>
        <w:t>（二）一般公共预算财政拨款支出决算结构情况</w:t>
      </w:r>
      <w:bookmarkEnd w:id="38"/>
    </w:p>
    <w:p>
      <w:pPr>
        <w:spacing w:line="600" w:lineRule="exact"/>
        <w:ind w:firstLine="640"/>
        <w:rPr>
          <w:rFonts w:hint="eastAsia" w:eastAsia="仿宋_GB2312" w:cs="仿宋_GB2312"/>
          <w:b/>
          <w:bCs/>
          <w:sz w:val="32"/>
          <w:szCs w:val="32"/>
          <w:lang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w:t>
      </w:r>
      <w:r>
        <w:rPr>
          <w:rFonts w:hint="eastAsia" w:eastAsia="仿宋_GB2312" w:cs="仿宋_GB2312"/>
          <w:sz w:val="32"/>
          <w:szCs w:val="32"/>
          <w:lang w:val="en-US" w:eastAsia="zh-CN"/>
        </w:rPr>
        <w:t>2212.94</w:t>
      </w:r>
      <w:r>
        <w:rPr>
          <w:rFonts w:hint="eastAsia" w:ascii="仿宋_GB2312" w:hAnsi="仿宋_GB2312" w:eastAsia="仿宋_GB2312" w:cs="仿宋_GB2312"/>
          <w:sz w:val="32"/>
          <w:szCs w:val="32"/>
        </w:rPr>
        <w:t>万元</w:t>
      </w:r>
      <w:r>
        <w:rPr>
          <w:rFonts w:hint="eastAsia" w:eastAsia="仿宋_GB2312" w:cs="仿宋_GB2312"/>
          <w:sz w:val="32"/>
          <w:szCs w:val="32"/>
        </w:rPr>
        <w:t>，主要用于以下方面：公共安全支出1842.72万元，占</w:t>
      </w:r>
      <w:r>
        <w:rPr>
          <w:rFonts w:hint="eastAsia" w:eastAsia="仿宋_GB2312" w:cs="仿宋_GB2312"/>
          <w:sz w:val="32"/>
          <w:szCs w:val="32"/>
          <w:lang w:val="en-US" w:eastAsia="zh-CN"/>
        </w:rPr>
        <w:t>83.27</w:t>
      </w:r>
      <w:r>
        <w:rPr>
          <w:rFonts w:hint="eastAsia" w:eastAsia="仿宋_GB2312" w:cs="仿宋_GB2312"/>
          <w:sz w:val="32"/>
          <w:szCs w:val="32"/>
        </w:rPr>
        <w:t>%；社会保障和就业支出171.98万元，占</w:t>
      </w:r>
      <w:r>
        <w:rPr>
          <w:rFonts w:hint="eastAsia" w:eastAsia="仿宋_GB2312" w:cs="仿宋_GB2312"/>
          <w:sz w:val="32"/>
          <w:szCs w:val="32"/>
          <w:lang w:val="en-US" w:eastAsia="zh-CN"/>
        </w:rPr>
        <w:t>7.77</w:t>
      </w:r>
      <w:r>
        <w:rPr>
          <w:rFonts w:hint="eastAsia" w:eastAsia="仿宋_GB2312" w:cs="仿宋_GB2312"/>
          <w:sz w:val="32"/>
          <w:szCs w:val="32"/>
        </w:rPr>
        <w:t>%；卫生健康支出82.97万元，占</w:t>
      </w:r>
      <w:r>
        <w:rPr>
          <w:rFonts w:hint="eastAsia" w:eastAsia="仿宋_GB2312" w:cs="仿宋_GB2312"/>
          <w:sz w:val="32"/>
          <w:szCs w:val="32"/>
          <w:lang w:val="en-US" w:eastAsia="zh-CN"/>
        </w:rPr>
        <w:t>3.75</w:t>
      </w:r>
      <w:r>
        <w:rPr>
          <w:rFonts w:hint="eastAsia" w:eastAsia="仿宋_GB2312" w:cs="仿宋_GB2312"/>
          <w:sz w:val="32"/>
          <w:szCs w:val="32"/>
        </w:rPr>
        <w:t>%；住房保障支出115.28万元，占</w:t>
      </w:r>
      <w:r>
        <w:rPr>
          <w:rFonts w:hint="eastAsia" w:eastAsia="仿宋_GB2312" w:cs="仿宋_GB2312"/>
          <w:sz w:val="32"/>
          <w:szCs w:val="32"/>
          <w:lang w:val="en-US" w:eastAsia="zh-CN"/>
        </w:rPr>
        <w:t>5.21</w:t>
      </w:r>
      <w:r>
        <w:rPr>
          <w:rFonts w:hint="eastAsia" w:eastAsia="仿宋_GB2312" w:cs="仿宋_GB2312"/>
          <w:sz w:val="32"/>
          <w:szCs w:val="32"/>
        </w:rPr>
        <w:t>%</w:t>
      </w:r>
      <w:r>
        <w:rPr>
          <w:rFonts w:hint="eastAsia" w:eastAsia="仿宋_GB2312" w:cs="仿宋_GB2312"/>
          <w:sz w:val="32"/>
          <w:szCs w:val="32"/>
          <w:lang w:eastAsia="zh-CN"/>
        </w:rPr>
        <w:t>。</w:t>
      </w:r>
    </w:p>
    <w:p>
      <w:pPr>
        <w:pStyle w:val="15"/>
        <w:rPr>
          <w:rFonts w:hint="eastAsia" w:eastAsia="仿宋_GB2312" w:cs="仿宋_GB2312"/>
          <w:b/>
          <w:bCs/>
          <w:sz w:val="32"/>
          <w:szCs w:val="32"/>
        </w:rPr>
      </w:pPr>
    </w:p>
    <w:p>
      <w:pPr>
        <w:pStyle w:val="9"/>
        <w:ind w:left="0" w:leftChars="0" w:firstLine="0" w:firstLineChars="0"/>
        <w:jc w:val="both"/>
        <w:rPr>
          <w:rFonts w:hint="eastAsia" w:eastAsia="仿宋_GB2312" w:cs="仿宋_GB2312"/>
          <w:b/>
          <w:bCs/>
          <w:sz w:val="32"/>
          <w:szCs w:val="32"/>
        </w:rPr>
      </w:pPr>
      <w:r>
        <w:rPr>
          <w:rFonts w:hint="eastAsia" w:eastAsia="仿宋_GB2312" w:cs="仿宋_GB2312"/>
          <w:b/>
          <w:bCs/>
          <w:sz w:val="32"/>
          <w:szCs w:val="32"/>
          <w:lang w:eastAsia="zh-CN"/>
        </w:rPr>
        <w:drawing>
          <wp:anchor distT="0" distB="0" distL="114300" distR="114300" simplePos="0" relativeHeight="251666432" behindDoc="1" locked="0" layoutInCell="1" allowOverlap="1">
            <wp:simplePos x="0" y="0"/>
            <wp:positionH relativeFrom="column">
              <wp:posOffset>296545</wp:posOffset>
            </wp:positionH>
            <wp:positionV relativeFrom="paragraph">
              <wp:posOffset>459740</wp:posOffset>
            </wp:positionV>
            <wp:extent cx="5080000" cy="2344420"/>
            <wp:effectExtent l="4445" t="4445" r="20955" b="51435"/>
            <wp:wrapTight wrapText="bothSides">
              <wp:wrapPolygon>
                <wp:start x="-19" y="-41"/>
                <wp:lineTo x="-19" y="21547"/>
                <wp:lineTo x="21527" y="21547"/>
                <wp:lineTo x="21527" y="-41"/>
                <wp:lineTo x="-19" y="-41"/>
              </wp:wrapPolygon>
            </wp:wrapTight>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pStyle w:val="9"/>
        <w:ind w:left="0" w:leftChars="0" w:firstLine="0" w:firstLineChars="0"/>
        <w:jc w:val="both"/>
        <w:rPr>
          <w:rFonts w:hint="eastAsia" w:eastAsia="仿宋_GB2312" w:cs="仿宋_GB2312"/>
          <w:b/>
          <w:bCs/>
          <w:sz w:val="32"/>
          <w:szCs w:val="32"/>
          <w:lang w:eastAsia="zh-CN"/>
        </w:rPr>
      </w:pPr>
    </w:p>
    <w:p>
      <w:pPr>
        <w:spacing w:line="600" w:lineRule="exact"/>
        <w:ind w:firstLine="640"/>
        <w:jc w:val="center"/>
        <w:rPr>
          <w:rFonts w:eastAsia="仿宋_GB2312" w:cs="仿宋_GB2312"/>
          <w:sz w:val="32"/>
          <w:szCs w:val="32"/>
        </w:rPr>
      </w:pPr>
      <w:r>
        <w:rPr>
          <w:rFonts w:hint="eastAsia" w:eastAsia="仿宋_GB2312" w:cs="仿宋_GB2312"/>
          <w:sz w:val="32"/>
          <w:szCs w:val="32"/>
        </w:rPr>
        <w:t>（图6：一般公共预算财政拨款支出决算结构）</w:t>
      </w:r>
    </w:p>
    <w:p>
      <w:pPr>
        <w:spacing w:line="600" w:lineRule="exact"/>
        <w:ind w:firstLine="643" w:firstLineChars="200"/>
        <w:outlineLvl w:val="9"/>
        <w:rPr>
          <w:rFonts w:eastAsia="楷体_GB2312" w:cs="楷体_GB2312"/>
          <w:b/>
          <w:sz w:val="32"/>
          <w:szCs w:val="32"/>
        </w:rPr>
      </w:pPr>
      <w:bookmarkStart w:id="39" w:name="_Toc15377212"/>
      <w:r>
        <w:rPr>
          <w:rFonts w:hint="eastAsia" w:eastAsia="楷体_GB2312" w:cs="楷体_GB2312"/>
          <w:b/>
          <w:sz w:val="32"/>
          <w:szCs w:val="32"/>
        </w:rPr>
        <w:t>（三）一般公共预算财政拨款支出决算具体情况</w:t>
      </w:r>
      <w:bookmarkEnd w:id="39"/>
    </w:p>
    <w:p>
      <w:pPr>
        <w:spacing w:line="600" w:lineRule="exact"/>
        <w:ind w:firstLine="640"/>
        <w:rPr>
          <w:rFonts w:eastAsia="仿宋_GB2312" w:cs="仿宋_GB2312"/>
          <w:sz w:val="32"/>
          <w:szCs w:val="32"/>
        </w:rPr>
      </w:pPr>
      <w:bookmarkStart w:id="40" w:name="_Toc15378460"/>
      <w:bookmarkStart w:id="41" w:name="_Toc15377213"/>
      <w:bookmarkStart w:id="42" w:name="_Toc15377444"/>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年度一般公共预算财政拨款支出决算数为</w:t>
      </w:r>
      <w:r>
        <w:rPr>
          <w:rFonts w:hint="eastAsia" w:eastAsia="仿宋_GB2312" w:cs="仿宋_GB2312"/>
          <w:sz w:val="32"/>
          <w:szCs w:val="32"/>
          <w:lang w:val="en-US" w:eastAsia="zh-CN"/>
        </w:rPr>
        <w:t>2212.94万元</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40"/>
      <w:bookmarkEnd w:id="41"/>
      <w:bookmarkEnd w:id="42"/>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lang w:val="en-US" w:eastAsia="zh-CN"/>
        </w:rPr>
        <w:t>公共安全支出</w:t>
      </w:r>
      <w:r>
        <w:rPr>
          <w:rFonts w:hint="eastAsia" w:eastAsia="仿宋_GB2312" w:cs="仿宋_GB2312"/>
          <w:sz w:val="32"/>
          <w:szCs w:val="32"/>
        </w:rPr>
        <w:t>（类）</w:t>
      </w:r>
      <w:r>
        <w:rPr>
          <w:rFonts w:hint="eastAsia" w:eastAsia="仿宋_GB2312" w:cs="仿宋_GB2312"/>
          <w:sz w:val="32"/>
          <w:szCs w:val="32"/>
          <w:lang w:val="en-US" w:eastAsia="zh-CN"/>
        </w:rPr>
        <w:t>法院</w:t>
      </w:r>
      <w:r>
        <w:rPr>
          <w:rFonts w:hint="eastAsia" w:eastAsia="仿宋_GB2312" w:cs="仿宋_GB2312"/>
          <w:sz w:val="32"/>
          <w:szCs w:val="32"/>
        </w:rPr>
        <w:t>（款）</w:t>
      </w:r>
      <w:r>
        <w:rPr>
          <w:rFonts w:hint="eastAsia" w:eastAsia="仿宋_GB2312" w:cs="仿宋_GB2312"/>
          <w:sz w:val="32"/>
          <w:szCs w:val="32"/>
          <w:lang w:val="en-US" w:eastAsia="zh-CN"/>
        </w:rPr>
        <w:t>行政运行</w:t>
      </w:r>
      <w:r>
        <w:rPr>
          <w:rFonts w:hint="eastAsia" w:eastAsia="仿宋_GB2312" w:cs="仿宋_GB2312"/>
          <w:sz w:val="32"/>
          <w:szCs w:val="32"/>
        </w:rPr>
        <w:t>（项）：支出决算为</w:t>
      </w:r>
      <w:r>
        <w:rPr>
          <w:rFonts w:hint="eastAsia" w:eastAsia="仿宋_GB2312" w:cs="仿宋_GB2312"/>
          <w:sz w:val="32"/>
          <w:szCs w:val="32"/>
          <w:lang w:val="en-US" w:eastAsia="zh-CN"/>
        </w:rPr>
        <w:t>963.51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lang w:val="en-US" w:eastAsia="zh-CN"/>
        </w:rPr>
        <w:t>公共安全支出</w:t>
      </w:r>
      <w:r>
        <w:rPr>
          <w:rFonts w:hint="eastAsia" w:eastAsia="仿宋_GB2312" w:cs="仿宋_GB2312"/>
          <w:sz w:val="32"/>
          <w:szCs w:val="32"/>
        </w:rPr>
        <w:t>（类）</w:t>
      </w:r>
      <w:r>
        <w:rPr>
          <w:rFonts w:hint="eastAsia" w:eastAsia="仿宋_GB2312" w:cs="仿宋_GB2312"/>
          <w:sz w:val="32"/>
          <w:szCs w:val="32"/>
          <w:lang w:val="en-US" w:eastAsia="zh-CN"/>
        </w:rPr>
        <w:t>法院</w:t>
      </w:r>
      <w:r>
        <w:rPr>
          <w:rFonts w:hint="eastAsia" w:eastAsia="仿宋_GB2312" w:cs="仿宋_GB2312"/>
          <w:sz w:val="32"/>
          <w:szCs w:val="32"/>
        </w:rPr>
        <w:t>（款）一般行政管理事务（项）: 支出决算为</w:t>
      </w:r>
      <w:r>
        <w:rPr>
          <w:rFonts w:hint="eastAsia" w:eastAsia="仿宋_GB2312" w:cs="仿宋_GB2312"/>
          <w:sz w:val="32"/>
          <w:szCs w:val="32"/>
          <w:lang w:val="en-US" w:eastAsia="zh-CN"/>
        </w:rPr>
        <w:t>599.22</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lang w:val="en-US" w:eastAsia="zh-CN"/>
        </w:rPr>
        <w:t>公共安全支出</w:t>
      </w:r>
      <w:r>
        <w:rPr>
          <w:rFonts w:hint="eastAsia" w:eastAsia="仿宋_GB2312" w:cs="仿宋_GB2312"/>
          <w:sz w:val="32"/>
          <w:szCs w:val="32"/>
        </w:rPr>
        <w:t>（类）</w:t>
      </w:r>
      <w:r>
        <w:rPr>
          <w:rFonts w:hint="eastAsia" w:eastAsia="仿宋_GB2312" w:cs="仿宋_GB2312"/>
          <w:sz w:val="32"/>
          <w:szCs w:val="32"/>
          <w:lang w:val="en-US" w:eastAsia="zh-CN"/>
        </w:rPr>
        <w:t>法院</w:t>
      </w:r>
      <w:r>
        <w:rPr>
          <w:rFonts w:hint="eastAsia" w:eastAsia="仿宋_GB2312" w:cs="仿宋_GB2312"/>
          <w:sz w:val="32"/>
          <w:szCs w:val="32"/>
        </w:rPr>
        <w:t>（款）“两庭”建设（项）: 支出决算为</w:t>
      </w:r>
      <w:r>
        <w:rPr>
          <w:rFonts w:hint="eastAsia" w:eastAsia="仿宋_GB2312" w:cs="仿宋_GB2312"/>
          <w:sz w:val="32"/>
          <w:szCs w:val="32"/>
          <w:lang w:val="en-US" w:eastAsia="zh-CN"/>
        </w:rPr>
        <w:t>179.99</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pPr>
      <w:r>
        <w:rPr>
          <w:rFonts w:hint="eastAsia" w:eastAsia="仿宋_GB2312" w:cs="仿宋_GB2312"/>
          <w:sz w:val="32"/>
          <w:szCs w:val="32"/>
          <w:lang w:val="en-US" w:eastAsia="zh-CN"/>
        </w:rPr>
        <w:t>公共安全支出</w:t>
      </w:r>
      <w:r>
        <w:rPr>
          <w:rFonts w:hint="eastAsia" w:eastAsia="仿宋_GB2312" w:cs="仿宋_GB2312"/>
          <w:sz w:val="32"/>
          <w:szCs w:val="32"/>
        </w:rPr>
        <w:t>（类）</w:t>
      </w:r>
      <w:r>
        <w:rPr>
          <w:rFonts w:hint="eastAsia" w:eastAsia="仿宋_GB2312" w:cs="仿宋_GB2312"/>
          <w:sz w:val="32"/>
          <w:szCs w:val="32"/>
          <w:lang w:val="en-US" w:eastAsia="zh-CN"/>
        </w:rPr>
        <w:t>法院</w:t>
      </w:r>
      <w:r>
        <w:rPr>
          <w:rFonts w:hint="eastAsia" w:eastAsia="仿宋_GB2312" w:cs="仿宋_GB2312"/>
          <w:sz w:val="32"/>
          <w:szCs w:val="32"/>
        </w:rPr>
        <w:t>（款）其他法院支出（项）: 支出决算为</w:t>
      </w:r>
      <w:r>
        <w:rPr>
          <w:rFonts w:hint="eastAsia" w:eastAsia="仿宋_GB2312" w:cs="仿宋_GB2312"/>
          <w:sz w:val="32"/>
          <w:szCs w:val="32"/>
          <w:lang w:val="en-US" w:eastAsia="zh-CN"/>
        </w:rPr>
        <w:t>100</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社会保障和就业</w:t>
      </w:r>
      <w:r>
        <w:rPr>
          <w:rFonts w:hint="eastAsia" w:eastAsia="仿宋_GB2312" w:cs="仿宋_GB2312"/>
          <w:sz w:val="32"/>
          <w:szCs w:val="32"/>
          <w:lang w:val="en-US" w:eastAsia="zh-CN"/>
        </w:rPr>
        <w:t>支出</w:t>
      </w:r>
      <w:r>
        <w:rPr>
          <w:rFonts w:hint="eastAsia" w:eastAsia="仿宋_GB2312" w:cs="仿宋_GB2312"/>
          <w:sz w:val="32"/>
          <w:szCs w:val="32"/>
        </w:rPr>
        <w:t>（类）行政事业单位养老支出（款）机关事业单位基本养老保险缴费支出（项）：支出决算为</w:t>
      </w:r>
      <w:r>
        <w:rPr>
          <w:rFonts w:hint="eastAsia" w:eastAsia="仿宋_GB2312" w:cs="仿宋_GB2312"/>
          <w:sz w:val="32"/>
          <w:szCs w:val="32"/>
          <w:lang w:val="en-US" w:eastAsia="zh-CN"/>
        </w:rPr>
        <w:t>114.65</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lang w:eastAsia="zh-CN"/>
        </w:rPr>
      </w:pPr>
      <w:r>
        <w:rPr>
          <w:rFonts w:hint="eastAsia" w:eastAsia="仿宋_GB2312" w:cs="仿宋_GB2312"/>
          <w:sz w:val="32"/>
          <w:szCs w:val="32"/>
        </w:rPr>
        <w:t>社会保障和就业</w:t>
      </w:r>
      <w:r>
        <w:rPr>
          <w:rFonts w:hint="eastAsia" w:eastAsia="仿宋_GB2312" w:cs="仿宋_GB2312"/>
          <w:sz w:val="32"/>
          <w:szCs w:val="32"/>
          <w:lang w:val="en-US" w:eastAsia="zh-CN"/>
        </w:rPr>
        <w:t>支出</w:t>
      </w:r>
      <w:r>
        <w:rPr>
          <w:rFonts w:hint="eastAsia" w:eastAsia="仿宋_GB2312" w:cs="仿宋_GB2312"/>
          <w:sz w:val="32"/>
          <w:szCs w:val="32"/>
        </w:rPr>
        <w:t>（类）行政事业单位养老支出（款）机关事业单位职业年金缴费支出（项）：支出决算为</w:t>
      </w:r>
      <w:r>
        <w:rPr>
          <w:rFonts w:hint="eastAsia" w:eastAsia="仿宋_GB2312" w:cs="仿宋_GB2312"/>
          <w:sz w:val="32"/>
          <w:szCs w:val="32"/>
          <w:lang w:val="en-US" w:eastAsia="zh-CN"/>
        </w:rPr>
        <w:t>57.33</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lang w:eastAsia="zh-CN"/>
        </w:rPr>
      </w:pPr>
      <w:r>
        <w:rPr>
          <w:rFonts w:hint="eastAsia" w:eastAsia="仿宋_GB2312" w:cs="仿宋_GB2312"/>
          <w:sz w:val="32"/>
          <w:szCs w:val="32"/>
        </w:rPr>
        <w:t>卫生健康</w:t>
      </w:r>
      <w:r>
        <w:rPr>
          <w:rFonts w:hint="eastAsia" w:eastAsia="仿宋_GB2312" w:cs="仿宋_GB2312"/>
          <w:sz w:val="32"/>
          <w:szCs w:val="32"/>
          <w:lang w:val="en-US" w:eastAsia="zh-CN"/>
        </w:rPr>
        <w:t>支出</w:t>
      </w:r>
      <w:r>
        <w:rPr>
          <w:rFonts w:hint="eastAsia" w:eastAsia="仿宋_GB2312" w:cs="仿宋_GB2312"/>
          <w:sz w:val="32"/>
          <w:szCs w:val="32"/>
        </w:rPr>
        <w:t>（类）行政事业单位医疗（款）行政单位医疗（项）：支出决算为</w:t>
      </w:r>
      <w:r>
        <w:rPr>
          <w:rFonts w:hint="eastAsia" w:eastAsia="仿宋_GB2312" w:cs="仿宋_GB2312"/>
          <w:sz w:val="32"/>
          <w:szCs w:val="32"/>
          <w:lang w:val="en-US" w:eastAsia="zh-CN"/>
        </w:rPr>
        <w:t>68.17</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卫生健康</w:t>
      </w:r>
      <w:r>
        <w:rPr>
          <w:rFonts w:hint="eastAsia" w:eastAsia="仿宋_GB2312" w:cs="仿宋_GB2312"/>
          <w:sz w:val="32"/>
          <w:szCs w:val="32"/>
          <w:lang w:val="en-US" w:eastAsia="zh-CN"/>
        </w:rPr>
        <w:t>支出</w:t>
      </w:r>
      <w:r>
        <w:rPr>
          <w:rFonts w:hint="eastAsia" w:eastAsia="仿宋_GB2312" w:cs="仿宋_GB2312"/>
          <w:sz w:val="32"/>
          <w:szCs w:val="32"/>
        </w:rPr>
        <w:t>（类）行政事业单位医疗（款）公务员医疗补助（项）：支出决算14.8万元，完成预算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住房保障支出（类）住房改革支出（款）住房公积金（项）：支出决算为</w:t>
      </w:r>
      <w:r>
        <w:rPr>
          <w:rFonts w:hint="eastAsia" w:eastAsia="仿宋_GB2312" w:cs="仿宋_GB2312"/>
          <w:sz w:val="32"/>
          <w:szCs w:val="32"/>
          <w:lang w:val="en-US" w:eastAsia="zh-CN"/>
        </w:rPr>
        <w:t>115.28</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pPr>
        <w:tabs>
          <w:tab w:val="right" w:pos="8306"/>
        </w:tabs>
        <w:spacing w:line="600" w:lineRule="exact"/>
        <w:ind w:firstLine="640" w:firstLineChars="0"/>
        <w:outlineLvl w:val="0"/>
        <w:rPr>
          <w:rStyle w:val="31"/>
          <w:rFonts w:ascii="Times New Roman" w:hAnsi="Times New Roman"/>
        </w:rPr>
      </w:pPr>
      <w:bookmarkStart w:id="43" w:name="_Toc15396608"/>
      <w:bookmarkStart w:id="44" w:name="_Toc15377214"/>
      <w:bookmarkStart w:id="45" w:name="_Toc822"/>
      <w:r>
        <w:rPr>
          <w:rFonts w:hint="eastAsia" w:eastAsia="黑体"/>
          <w:sz w:val="32"/>
          <w:szCs w:val="32"/>
        </w:rPr>
        <w:t>六</w:t>
      </w:r>
      <w:r>
        <w:rPr>
          <w:rFonts w:hint="eastAsia" w:eastAsia="黑体"/>
          <w:b/>
          <w:sz w:val="32"/>
          <w:szCs w:val="32"/>
        </w:rPr>
        <w:t>、一</w:t>
      </w:r>
      <w:r>
        <w:rPr>
          <w:rStyle w:val="31"/>
          <w:rFonts w:hint="eastAsia" w:ascii="Times New Roman" w:hAnsi="Times New Roman" w:eastAsia="黑体"/>
          <w:b w:val="0"/>
        </w:rPr>
        <w:t>般公共预算财政拨款基本支出决算情况说明</w:t>
      </w:r>
      <w:bookmarkEnd w:id="43"/>
      <w:bookmarkEnd w:id="44"/>
      <w:bookmarkEnd w:id="45"/>
      <w:r>
        <w:rPr>
          <w:rStyle w:val="31"/>
          <w:rFonts w:ascii="Times New Roman" w:hAnsi="Times New Roman" w:eastAsia="黑体"/>
          <w:b w:val="0"/>
        </w:rPr>
        <w:tab/>
      </w:r>
    </w:p>
    <w:p>
      <w:pPr>
        <w:spacing w:line="600" w:lineRule="exact"/>
        <w:ind w:firstLine="640"/>
        <w:rPr>
          <w:rFonts w:hint="eastAsia"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年度一般公共预算财政拨款基本支出1333.73万元，其中：</w:t>
      </w:r>
    </w:p>
    <w:p>
      <w:pPr>
        <w:spacing w:line="600" w:lineRule="exact"/>
        <w:ind w:firstLine="640"/>
        <w:rPr>
          <w:rFonts w:hint="eastAsia" w:eastAsia="仿宋_GB2312" w:cs="仿宋_GB2312"/>
          <w:sz w:val="32"/>
          <w:szCs w:val="32"/>
        </w:rPr>
      </w:pPr>
      <w:r>
        <w:rPr>
          <w:rFonts w:hint="eastAsia" w:eastAsia="仿宋_GB2312" w:cs="仿宋_GB2312"/>
          <w:sz w:val="32"/>
          <w:szCs w:val="32"/>
        </w:rPr>
        <w:t>人员经费1243.83万元，主要包括：基本工资、津贴补贴、奖金、伙食补助费、机关事业单位基本养老保险缴费、职业年金缴费、职工基本医疗保险缴费</w:t>
      </w:r>
      <w:r>
        <w:rPr>
          <w:rFonts w:hint="eastAsia" w:eastAsia="仿宋_GB2312" w:cs="仿宋_GB2312"/>
          <w:sz w:val="32"/>
          <w:szCs w:val="32"/>
          <w:lang w:eastAsia="zh-CN"/>
        </w:rPr>
        <w:t>、公务员医疗补助缴费、</w:t>
      </w:r>
      <w:r>
        <w:rPr>
          <w:rFonts w:hint="eastAsia" w:eastAsia="仿宋_GB2312" w:cs="仿宋_GB2312"/>
          <w:sz w:val="32"/>
          <w:szCs w:val="32"/>
        </w:rPr>
        <w:t>其他社会保障缴费、住房公积金</w:t>
      </w:r>
      <w:r>
        <w:rPr>
          <w:rFonts w:hint="eastAsia" w:eastAsia="仿宋_GB2312" w:cs="仿宋_GB2312"/>
          <w:sz w:val="32"/>
          <w:szCs w:val="32"/>
          <w:lang w:eastAsia="zh-CN"/>
        </w:rPr>
        <w:t>、</w:t>
      </w:r>
      <w:r>
        <w:rPr>
          <w:rFonts w:hint="eastAsia" w:eastAsia="仿宋_GB2312" w:cs="仿宋_GB2312"/>
          <w:sz w:val="32"/>
          <w:szCs w:val="32"/>
        </w:rPr>
        <w:t>其他工资福利支出、生活补助、救济费、奖励金。</w:t>
      </w:r>
      <w:r>
        <w:rPr>
          <w:rFonts w:hint="eastAsia" w:eastAsia="仿宋_GB2312" w:cs="仿宋_GB2312"/>
          <w:sz w:val="32"/>
          <w:szCs w:val="32"/>
        </w:rPr>
        <w:br w:type="textWrapping"/>
      </w:r>
      <w:r>
        <w:rPr>
          <w:rFonts w:hint="eastAsia" w:eastAsia="仿宋_GB2312" w:cs="仿宋_GB2312"/>
          <w:sz w:val="32"/>
          <w:szCs w:val="32"/>
        </w:rPr>
        <w:t>　　公用经费89.9万元，主要包括：办公费、水费、电费、物业管理费、差旅费、维修（护）费、培训费、公务接待费、福利费、公务用车运行维护费、其他商品和服务支出。</w:t>
      </w:r>
    </w:p>
    <w:p>
      <w:pPr>
        <w:spacing w:line="600" w:lineRule="exact"/>
        <w:ind w:firstLine="640" w:firstLineChars="0"/>
        <w:outlineLvl w:val="0"/>
        <w:rPr>
          <w:rStyle w:val="31"/>
          <w:rFonts w:ascii="Times New Roman" w:hAnsi="Times New Roman" w:eastAsia="黑体"/>
          <w:b w:val="0"/>
        </w:rPr>
      </w:pPr>
      <w:bookmarkStart w:id="46" w:name="_Toc15396609"/>
      <w:bookmarkStart w:id="47" w:name="_Toc27873"/>
      <w:bookmarkStart w:id="48" w:name="_Toc15377215"/>
      <w:r>
        <w:rPr>
          <w:rFonts w:hint="eastAsia" w:eastAsia="黑体"/>
          <w:sz w:val="32"/>
          <w:szCs w:val="32"/>
        </w:rPr>
        <w:t>七、</w:t>
      </w:r>
      <w:r>
        <w:rPr>
          <w:rStyle w:val="31"/>
          <w:rFonts w:hint="eastAsia" w:ascii="Times New Roman" w:hAnsi="Times New Roman" w:eastAsia="黑体"/>
          <w:b w:val="0"/>
        </w:rPr>
        <w:t>财政拨款</w:t>
      </w:r>
      <w:r>
        <w:rPr>
          <w:rStyle w:val="31"/>
          <w:rFonts w:hint="eastAsia" w:ascii="Times New Roman" w:hAnsi="Times New Roman" w:eastAsia="黑体"/>
        </w:rPr>
        <w:t>“</w:t>
      </w:r>
      <w:r>
        <w:rPr>
          <w:rStyle w:val="31"/>
          <w:rFonts w:hint="eastAsia" w:ascii="Times New Roman" w:hAnsi="Times New Roman" w:eastAsia="黑体"/>
          <w:b w:val="0"/>
        </w:rPr>
        <w:t>三公”经费支出决算情况说明</w:t>
      </w:r>
      <w:bookmarkEnd w:id="46"/>
      <w:bookmarkEnd w:id="47"/>
      <w:bookmarkEnd w:id="48"/>
    </w:p>
    <w:p>
      <w:pPr>
        <w:spacing w:line="600" w:lineRule="exact"/>
        <w:ind w:firstLine="643" w:firstLineChars="200"/>
        <w:outlineLvl w:val="9"/>
        <w:rPr>
          <w:rFonts w:eastAsia="楷体_GB2312" w:cs="楷体_GB2312"/>
          <w:b/>
          <w:sz w:val="32"/>
          <w:szCs w:val="32"/>
        </w:rPr>
      </w:pPr>
      <w:bookmarkStart w:id="49" w:name="_Toc15377216"/>
      <w:r>
        <w:rPr>
          <w:rFonts w:hint="eastAsia" w:eastAsia="楷体_GB2312" w:cs="楷体_GB2312"/>
          <w:b/>
          <w:sz w:val="32"/>
          <w:szCs w:val="32"/>
        </w:rPr>
        <w:t>（一）“三公”经费财政拨款支出决算总体情况说明</w:t>
      </w:r>
      <w:bookmarkEnd w:id="49"/>
    </w:p>
    <w:p>
      <w:pPr>
        <w:spacing w:line="600" w:lineRule="exact"/>
        <w:ind w:firstLine="640"/>
        <w:rPr>
          <w:rFonts w:hint="eastAsia"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年度“三公”经费财政拨款支出决算为</w:t>
      </w:r>
      <w:r>
        <w:rPr>
          <w:rFonts w:hint="eastAsia" w:eastAsia="仿宋_GB2312" w:cs="仿宋_GB2312"/>
          <w:sz w:val="32"/>
          <w:szCs w:val="32"/>
          <w:lang w:val="en-US" w:eastAsia="zh-CN"/>
        </w:rPr>
        <w:t>5.07</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%，较上年度</w:t>
      </w:r>
      <w:r>
        <w:rPr>
          <w:rFonts w:hint="eastAsia" w:eastAsia="仿宋_GB2312" w:cs="仿宋_GB2312"/>
          <w:sz w:val="32"/>
          <w:szCs w:val="32"/>
          <w:lang w:eastAsia="zh-CN"/>
        </w:rPr>
        <w:t>减少</w:t>
      </w:r>
      <w:r>
        <w:rPr>
          <w:rFonts w:hint="eastAsia" w:eastAsia="仿宋_GB2312" w:cs="仿宋_GB2312"/>
          <w:sz w:val="32"/>
          <w:szCs w:val="32"/>
          <w:lang w:val="en-US" w:eastAsia="zh-CN"/>
        </w:rPr>
        <w:t>0.45</w:t>
      </w:r>
      <w:r>
        <w:rPr>
          <w:rFonts w:hint="eastAsia" w:eastAsia="仿宋_GB2312" w:cs="仿宋_GB2312"/>
          <w:sz w:val="32"/>
          <w:szCs w:val="32"/>
        </w:rPr>
        <w:t>万元，</w:t>
      </w:r>
      <w:r>
        <w:rPr>
          <w:rFonts w:hint="eastAsia" w:eastAsia="仿宋_GB2312" w:cs="仿宋_GB2312"/>
          <w:sz w:val="32"/>
          <w:szCs w:val="32"/>
          <w:lang w:eastAsia="zh-CN"/>
        </w:rPr>
        <w:t>减少</w:t>
      </w:r>
      <w:r>
        <w:rPr>
          <w:rFonts w:hint="eastAsia" w:eastAsia="仿宋_GB2312" w:cs="仿宋_GB2312"/>
          <w:sz w:val="32"/>
          <w:szCs w:val="32"/>
          <w:lang w:val="en-US" w:eastAsia="zh-CN"/>
        </w:rPr>
        <w:t>8.15</w:t>
      </w:r>
      <w:r>
        <w:rPr>
          <w:rFonts w:hint="eastAsia" w:eastAsia="仿宋_GB2312" w:cs="仿宋_GB2312"/>
          <w:sz w:val="32"/>
          <w:szCs w:val="32"/>
        </w:rPr>
        <w:t>%。决算数与预算数持平</w:t>
      </w:r>
      <w:r>
        <w:rPr>
          <w:rFonts w:hint="eastAsia" w:eastAsia="仿宋_GB2312" w:cs="仿宋_GB2312"/>
          <w:sz w:val="32"/>
          <w:szCs w:val="32"/>
          <w:lang w:eastAsia="zh-CN"/>
        </w:rPr>
        <w:t>。</w:t>
      </w:r>
    </w:p>
    <w:p>
      <w:pPr>
        <w:spacing w:line="600" w:lineRule="exact"/>
        <w:ind w:firstLine="643" w:firstLineChars="200"/>
        <w:outlineLvl w:val="9"/>
        <w:rPr>
          <w:rFonts w:eastAsia="楷体_GB2312" w:cs="楷体_GB2312"/>
          <w:b/>
          <w:sz w:val="32"/>
          <w:szCs w:val="32"/>
        </w:rPr>
      </w:pPr>
      <w:bookmarkStart w:id="50" w:name="_Toc15377217"/>
      <w:r>
        <w:rPr>
          <w:rFonts w:hint="eastAsia" w:eastAsia="楷体_GB2312" w:cs="楷体_GB2312"/>
          <w:b/>
          <w:sz w:val="32"/>
          <w:szCs w:val="32"/>
        </w:rPr>
        <w:t>（二）“三公”经费财政拨款支出决算具体情况说明</w:t>
      </w:r>
      <w:bookmarkEnd w:id="50"/>
    </w:p>
    <w:p>
      <w:pPr>
        <w:spacing w:line="600" w:lineRule="exact"/>
        <w:ind w:firstLine="640"/>
        <w:rPr>
          <w:rFonts w:hint="eastAsia" w:ascii="仿宋_GB2312" w:hAnsi="仿宋_GB2312" w:eastAsia="仿宋_GB2312" w:cs="仿宋_GB2312"/>
          <w:sz w:val="32"/>
          <w:szCs w:val="32"/>
          <w:highlight w:val="none"/>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年度“三公”经费财政拨款支出决算中，因公出国（境）费支出决算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w:t>
      </w:r>
      <w:r>
        <w:rPr>
          <w:rFonts w:hint="eastAsia" w:eastAsia="仿宋_GB2312" w:cs="仿宋_GB2312"/>
          <w:sz w:val="32"/>
          <w:szCs w:val="32"/>
          <w:highlight w:val="none"/>
        </w:rPr>
        <w:t>元，占</w:t>
      </w:r>
      <w:r>
        <w:rPr>
          <w:rFonts w:hint="eastAsia" w:eastAsia="仿宋_GB2312" w:cs="仿宋_GB2312"/>
          <w:sz w:val="32"/>
          <w:szCs w:val="32"/>
          <w:highlight w:val="none"/>
          <w:lang w:val="en-US" w:eastAsia="zh-CN"/>
        </w:rPr>
        <w:t>0</w:t>
      </w:r>
      <w:r>
        <w:rPr>
          <w:rFonts w:hint="eastAsia" w:eastAsia="仿宋_GB2312" w:cs="仿宋_GB2312"/>
          <w:sz w:val="32"/>
          <w:szCs w:val="32"/>
          <w:highlight w:val="none"/>
        </w:rPr>
        <w:t>%；公务用车购置及运行维护费支出决算</w:t>
      </w:r>
      <w:r>
        <w:rPr>
          <w:rFonts w:hint="eastAsia" w:eastAsia="仿宋_GB2312" w:cs="仿宋_GB2312"/>
          <w:sz w:val="32"/>
          <w:szCs w:val="32"/>
          <w:highlight w:val="none"/>
          <w:lang w:val="en-US" w:eastAsia="zh-CN"/>
        </w:rPr>
        <w:t>3.16</w:t>
      </w:r>
      <w:r>
        <w:rPr>
          <w:rFonts w:hint="eastAsia" w:eastAsia="仿宋_GB2312" w:cs="仿宋_GB2312"/>
          <w:sz w:val="32"/>
          <w:szCs w:val="32"/>
          <w:highlight w:val="none"/>
        </w:rPr>
        <w:t>万元，占</w:t>
      </w:r>
      <w:r>
        <w:rPr>
          <w:rFonts w:hint="eastAsia" w:eastAsia="仿宋_GB2312" w:cs="仿宋_GB2312"/>
          <w:sz w:val="32"/>
          <w:szCs w:val="32"/>
          <w:highlight w:val="none"/>
          <w:lang w:val="en-US" w:eastAsia="zh-CN"/>
        </w:rPr>
        <w:t>62.33</w:t>
      </w:r>
      <w:r>
        <w:rPr>
          <w:rFonts w:hint="eastAsia" w:eastAsia="仿宋_GB2312" w:cs="仿宋_GB2312"/>
          <w:sz w:val="32"/>
          <w:szCs w:val="32"/>
          <w:highlight w:val="none"/>
        </w:rPr>
        <w:t>%；公务接待费支出决算</w:t>
      </w:r>
      <w:r>
        <w:rPr>
          <w:rFonts w:hint="eastAsia" w:eastAsia="仿宋_GB2312" w:cs="仿宋_GB2312"/>
          <w:sz w:val="32"/>
          <w:szCs w:val="32"/>
          <w:highlight w:val="none"/>
          <w:lang w:val="en-US" w:eastAsia="zh-CN"/>
        </w:rPr>
        <w:t>1.9</w:t>
      </w:r>
      <w:r>
        <w:rPr>
          <w:rFonts w:hint="eastAsia" w:eastAsia="仿宋_GB2312" w:cs="仿宋_GB2312"/>
          <w:sz w:val="32"/>
          <w:szCs w:val="32"/>
          <w:highlight w:val="none"/>
        </w:rPr>
        <w:t>万元，占</w:t>
      </w:r>
      <w:r>
        <w:rPr>
          <w:rFonts w:hint="eastAsia" w:eastAsia="仿宋_GB2312" w:cs="仿宋_GB2312"/>
          <w:sz w:val="32"/>
          <w:szCs w:val="32"/>
          <w:highlight w:val="none"/>
          <w:lang w:val="en-US" w:eastAsia="zh-CN"/>
        </w:rPr>
        <w:t>37.67</w:t>
      </w:r>
      <w:r>
        <w:rPr>
          <w:rFonts w:hint="eastAsia" w:eastAsia="仿宋_GB2312" w:cs="仿宋_GB2312"/>
          <w:sz w:val="32"/>
          <w:szCs w:val="32"/>
          <w:highlight w:val="none"/>
        </w:rPr>
        <w:t>%。具体情况如下：</w:t>
      </w:r>
    </w:p>
    <w:p>
      <w:pPr>
        <w:pStyle w:val="15"/>
        <w:jc w:val="center"/>
        <w:rPr>
          <w:rFonts w:hint="eastAsia" w:ascii="仿宋_GB2312" w:hAnsi="仿宋_GB2312" w:eastAsia="仿宋_GB2312" w:cs="仿宋_GB2312"/>
          <w:sz w:val="32"/>
          <w:szCs w:val="32"/>
        </w:rPr>
      </w:pPr>
    </w:p>
    <w:p>
      <w:pPr>
        <w:pStyle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anchor distT="0" distB="0" distL="114300" distR="114300" simplePos="0" relativeHeight="251667456" behindDoc="1" locked="0" layoutInCell="1" allowOverlap="1">
            <wp:simplePos x="0" y="0"/>
            <wp:positionH relativeFrom="column">
              <wp:posOffset>-55880</wp:posOffset>
            </wp:positionH>
            <wp:positionV relativeFrom="paragraph">
              <wp:posOffset>346075</wp:posOffset>
            </wp:positionV>
            <wp:extent cx="5080000" cy="2743200"/>
            <wp:effectExtent l="4445" t="4445" r="20955" b="14605"/>
            <wp:wrapTight wrapText="bothSides">
              <wp:wrapPolygon>
                <wp:start x="-19" y="-35"/>
                <wp:lineTo x="-19" y="21565"/>
                <wp:lineTo x="21527" y="21565"/>
                <wp:lineTo x="21527" y="-35"/>
                <wp:lineTo x="-19" y="-35"/>
              </wp:wrapPolygon>
            </wp:wrapTight>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pStyle w:val="9"/>
        <w:rPr>
          <w:rFonts w:hint="eastAsia" w:ascii="仿宋_GB2312" w:hAnsi="仿宋_GB2312" w:eastAsia="仿宋_GB2312" w:cs="仿宋_GB2312"/>
          <w:sz w:val="32"/>
          <w:szCs w:val="32"/>
        </w:rPr>
      </w:pPr>
    </w:p>
    <w:p>
      <w:pPr>
        <w:pStyle w:val="9"/>
        <w:rPr>
          <w:rFonts w:hint="eastAsia" w:ascii="仿宋_GB2312" w:hAnsi="仿宋_GB2312" w:eastAsia="仿宋_GB2312" w:cs="仿宋_GB2312"/>
          <w:sz w:val="32"/>
          <w:szCs w:val="32"/>
        </w:rPr>
      </w:pPr>
    </w:p>
    <w:p>
      <w:pPr>
        <w:pStyle w:val="9"/>
        <w:rPr>
          <w:rFonts w:hint="eastAsia" w:ascii="仿宋_GB2312" w:hAnsi="仿宋_GB2312" w:eastAsia="仿宋_GB2312" w:cs="仿宋_GB2312"/>
          <w:sz w:val="32"/>
          <w:szCs w:val="32"/>
        </w:rPr>
      </w:pPr>
    </w:p>
    <w:p>
      <w:pPr>
        <w:pStyle w:val="9"/>
        <w:rPr>
          <w:rFonts w:hint="eastAsia" w:ascii="仿宋_GB2312" w:hAnsi="仿宋_GB2312" w:eastAsia="仿宋_GB2312" w:cs="仿宋_GB2312"/>
          <w:sz w:val="32"/>
          <w:szCs w:val="32"/>
          <w:lang w:eastAsia="zh-CN"/>
        </w:rPr>
      </w:pPr>
    </w:p>
    <w:p>
      <w:pPr>
        <w:pStyle w:val="9"/>
        <w:rPr>
          <w:rFonts w:hint="eastAsia" w:ascii="仿宋_GB2312" w:hAnsi="仿宋_GB2312" w:eastAsia="仿宋_GB2312" w:cs="仿宋_GB2312"/>
          <w:sz w:val="32"/>
          <w:szCs w:val="32"/>
        </w:rPr>
      </w:pPr>
    </w:p>
    <w:p>
      <w:pPr>
        <w:pStyle w:val="9"/>
        <w:rPr>
          <w:rFonts w:hint="eastAsia" w:ascii="仿宋_GB2312" w:hAnsi="仿宋_GB2312" w:eastAsia="仿宋_GB2312" w:cs="仿宋_GB2312"/>
          <w:sz w:val="32"/>
          <w:szCs w:val="32"/>
        </w:rPr>
      </w:pPr>
    </w:p>
    <w:p>
      <w:pPr>
        <w:spacing w:line="600" w:lineRule="exact"/>
        <w:ind w:firstLine="640"/>
        <w:jc w:val="center"/>
        <w:rPr>
          <w:rFonts w:eastAsia="仿宋_GB2312" w:cs="仿宋_GB2312"/>
          <w:sz w:val="32"/>
          <w:szCs w:val="32"/>
        </w:rPr>
      </w:pPr>
      <w:r>
        <w:rPr>
          <w:rFonts w:hint="eastAsia" w:eastAsia="仿宋_GB2312" w:cs="仿宋_GB2312"/>
          <w:sz w:val="32"/>
          <w:szCs w:val="32"/>
        </w:rPr>
        <w:t>（图7：“三公”经费财政拨款支出结构）</w:t>
      </w:r>
    </w:p>
    <w:p>
      <w:pPr>
        <w:spacing w:line="600" w:lineRule="exact"/>
        <w:ind w:firstLine="640"/>
        <w:rPr>
          <w:rFonts w:hint="eastAsia" w:eastAsia="仿宋_GB2312" w:cs="仿宋_GB2312"/>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人。因公出国（境）支出决算</w:t>
      </w:r>
      <w:r>
        <w:rPr>
          <w:rFonts w:hint="eastAsia" w:eastAsia="仿宋_GB2312" w:cs="仿宋_GB2312"/>
          <w:sz w:val="32"/>
          <w:szCs w:val="32"/>
          <w:lang w:val="en-US" w:eastAsia="zh-CN"/>
        </w:rPr>
        <w:t>与</w:t>
      </w: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w:t>
      </w:r>
      <w:r>
        <w:rPr>
          <w:rFonts w:hint="eastAsia" w:eastAsia="仿宋_GB2312" w:cs="仿宋_GB2312"/>
          <w:sz w:val="32"/>
          <w:szCs w:val="32"/>
          <w:lang w:val="en-US" w:eastAsia="zh-CN"/>
        </w:rPr>
        <w:t>一致</w:t>
      </w:r>
      <w:r>
        <w:rPr>
          <w:rFonts w:hint="eastAsia" w:eastAsia="仿宋_GB2312" w:cs="仿宋_GB2312"/>
          <w:sz w:val="32"/>
          <w:szCs w:val="32"/>
        </w:rPr>
        <w:t>。</w:t>
      </w:r>
    </w:p>
    <w:p>
      <w:pPr>
        <w:spacing w:line="600" w:lineRule="exact"/>
        <w:ind w:firstLine="640"/>
        <w:rPr>
          <w:rFonts w:hint="default" w:eastAsia="仿宋_GB2312" w:cs="仿宋_GB2312"/>
          <w:sz w:val="32"/>
          <w:szCs w:val="32"/>
          <w:lang w:val="en-US" w:eastAsia="zh-CN"/>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lang w:val="en-US" w:eastAsia="zh-CN"/>
        </w:rPr>
        <w:t>3.16</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公务用车购置及运行维护费支出决算比202</w:t>
      </w:r>
      <w:r>
        <w:rPr>
          <w:rFonts w:hint="eastAsia" w:eastAsia="仿宋_GB2312" w:cs="仿宋_GB2312"/>
          <w:sz w:val="32"/>
          <w:szCs w:val="32"/>
          <w:lang w:val="en-US" w:eastAsia="zh-CN"/>
        </w:rPr>
        <w:t>4</w:t>
      </w:r>
      <w:r>
        <w:rPr>
          <w:rFonts w:hint="eastAsia" w:eastAsia="仿宋_GB2312" w:cs="仿宋_GB2312"/>
          <w:sz w:val="32"/>
          <w:szCs w:val="32"/>
        </w:rPr>
        <w:t>年度增加</w:t>
      </w:r>
      <w:r>
        <w:rPr>
          <w:rFonts w:hint="eastAsia" w:eastAsia="仿宋_GB2312" w:cs="仿宋_GB2312"/>
          <w:sz w:val="32"/>
          <w:szCs w:val="32"/>
          <w:lang w:val="en-US" w:eastAsia="zh-CN"/>
        </w:rPr>
        <w:t>0.07</w:t>
      </w:r>
      <w:r>
        <w:rPr>
          <w:rFonts w:hint="eastAsia" w:eastAsia="仿宋_GB2312" w:cs="仿宋_GB2312"/>
          <w:sz w:val="32"/>
          <w:szCs w:val="32"/>
        </w:rPr>
        <w:t>万元，增长</w:t>
      </w:r>
      <w:r>
        <w:rPr>
          <w:rFonts w:hint="eastAsia" w:eastAsia="仿宋_GB2312" w:cs="仿宋_GB2312"/>
          <w:sz w:val="32"/>
          <w:szCs w:val="32"/>
          <w:lang w:val="en-US" w:eastAsia="zh-CN"/>
        </w:rPr>
        <w:t>2.27</w:t>
      </w:r>
      <w:r>
        <w:rPr>
          <w:rFonts w:hint="eastAsia" w:eastAsia="仿宋_GB2312" w:cs="仿宋_GB2312"/>
          <w:sz w:val="32"/>
          <w:szCs w:val="32"/>
        </w:rPr>
        <w:t>%。主要原因是</w:t>
      </w:r>
      <w:r>
        <w:rPr>
          <w:rFonts w:hint="eastAsia" w:eastAsia="仿宋_GB2312" w:cs="仿宋_GB2312"/>
          <w:sz w:val="32"/>
          <w:szCs w:val="32"/>
          <w:lang w:val="en-US" w:eastAsia="zh-CN"/>
        </w:rPr>
        <w:t>公务车的维修维护费用较上年增加。</w:t>
      </w:r>
    </w:p>
    <w:p>
      <w:pPr>
        <w:spacing w:line="600" w:lineRule="exact"/>
        <w:ind w:firstLine="640"/>
        <w:rPr>
          <w:rFonts w:hint="eastAsia" w:eastAsia="仿宋_GB2312" w:cs="仿宋_GB2312"/>
          <w:sz w:val="32"/>
          <w:szCs w:val="32"/>
        </w:rPr>
      </w:pPr>
      <w:r>
        <w:rPr>
          <w:rFonts w:hint="eastAsia" w:eastAsia="仿宋_GB2312" w:cs="仿宋_GB2312"/>
          <w:sz w:val="32"/>
          <w:szCs w:val="32"/>
        </w:rPr>
        <w:t>其中：公务用车购置支出</w:t>
      </w:r>
      <w:r>
        <w:rPr>
          <w:rFonts w:hint="eastAsia"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辆。截至202</w:t>
      </w:r>
      <w:r>
        <w:rPr>
          <w:rFonts w:hint="eastAsia" w:eastAsia="仿宋_GB2312" w:cs="仿宋_GB2312"/>
          <w:sz w:val="32"/>
          <w:szCs w:val="32"/>
          <w:lang w:val="en-US" w:eastAsia="zh-CN"/>
        </w:rPr>
        <w:t>5</w:t>
      </w:r>
      <w:r>
        <w:rPr>
          <w:rFonts w:hint="eastAsia" w:eastAsia="仿宋_GB2312" w:cs="仿宋_GB2312"/>
          <w:sz w:val="32"/>
          <w:szCs w:val="32"/>
        </w:rPr>
        <w:t>年12月31日，单位共有公务用车</w:t>
      </w:r>
      <w:r>
        <w:rPr>
          <w:rFonts w:hint="eastAsia" w:eastAsia="仿宋_GB2312" w:cs="仿宋_GB2312"/>
          <w:sz w:val="32"/>
          <w:szCs w:val="32"/>
          <w:lang w:val="en-US" w:eastAsia="zh-CN"/>
        </w:rPr>
        <w:t>15</w:t>
      </w:r>
      <w:r>
        <w:rPr>
          <w:rFonts w:hint="eastAsia" w:eastAsia="仿宋_GB2312" w:cs="仿宋_GB2312"/>
          <w:sz w:val="32"/>
          <w:szCs w:val="32"/>
        </w:rPr>
        <w:t>辆，其中：执法执勤用车13辆、特种专业技术用车2辆。</w:t>
      </w:r>
    </w:p>
    <w:p>
      <w:pPr>
        <w:spacing w:line="600" w:lineRule="exact"/>
        <w:ind w:firstLine="640"/>
        <w:rPr>
          <w:rFonts w:hint="eastAsia" w:eastAsia="仿宋_GB2312" w:cs="仿宋_GB2312"/>
          <w:sz w:val="32"/>
          <w:szCs w:val="32"/>
        </w:rPr>
      </w:pPr>
      <w:r>
        <w:rPr>
          <w:rFonts w:hint="eastAsia" w:eastAsia="仿宋_GB2312" w:cs="仿宋_GB2312"/>
          <w:sz w:val="32"/>
          <w:szCs w:val="32"/>
        </w:rPr>
        <w:t>公务用车运行维护费支出3.</w:t>
      </w:r>
      <w:r>
        <w:rPr>
          <w:rFonts w:hint="eastAsia" w:eastAsia="仿宋_GB2312" w:cs="仿宋_GB2312"/>
          <w:sz w:val="32"/>
          <w:szCs w:val="32"/>
          <w:lang w:val="en-US" w:eastAsia="zh-CN"/>
        </w:rPr>
        <w:t>16</w:t>
      </w:r>
      <w:r>
        <w:rPr>
          <w:rFonts w:hint="eastAsia" w:eastAsia="仿宋_GB2312" w:cs="仿宋_GB2312"/>
          <w:sz w:val="32"/>
          <w:szCs w:val="32"/>
        </w:rPr>
        <w:t>万元。主要用于办案执法执勤用车燃料费、维修费、过路过桥费、保险费等支出。</w:t>
      </w:r>
    </w:p>
    <w:p>
      <w:pPr>
        <w:spacing w:line="600" w:lineRule="exact"/>
        <w:ind w:firstLine="640"/>
        <w:rPr>
          <w:rFonts w:hint="eastAsia"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lang w:val="en-US" w:eastAsia="zh-CN"/>
        </w:rPr>
        <w:t>1.91</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公务接待费支出决算比202</w:t>
      </w:r>
      <w:r>
        <w:rPr>
          <w:rFonts w:hint="eastAsia" w:eastAsia="仿宋_GB2312" w:cs="仿宋_GB2312"/>
          <w:sz w:val="32"/>
          <w:szCs w:val="32"/>
          <w:lang w:val="en-US" w:eastAsia="zh-CN"/>
        </w:rPr>
        <w:t>5</w:t>
      </w:r>
      <w:r>
        <w:rPr>
          <w:rFonts w:hint="eastAsia" w:eastAsia="仿宋_GB2312" w:cs="仿宋_GB2312"/>
          <w:sz w:val="32"/>
          <w:szCs w:val="32"/>
        </w:rPr>
        <w:t>年度减少</w:t>
      </w:r>
      <w:r>
        <w:rPr>
          <w:rFonts w:hint="eastAsia" w:eastAsia="仿宋_GB2312" w:cs="仿宋_GB2312"/>
          <w:sz w:val="32"/>
          <w:szCs w:val="32"/>
          <w:lang w:val="en-US" w:eastAsia="zh-CN"/>
        </w:rPr>
        <w:t>0.53</w:t>
      </w:r>
      <w:r>
        <w:rPr>
          <w:rFonts w:hint="eastAsia" w:eastAsia="仿宋_GB2312" w:cs="仿宋_GB2312"/>
          <w:sz w:val="32"/>
          <w:szCs w:val="32"/>
        </w:rPr>
        <w:t>万元，下降</w:t>
      </w:r>
      <w:r>
        <w:rPr>
          <w:rFonts w:hint="eastAsia" w:eastAsia="仿宋_GB2312" w:cs="仿宋_GB2312"/>
          <w:sz w:val="32"/>
          <w:szCs w:val="32"/>
          <w:lang w:val="en-US" w:eastAsia="zh-CN"/>
        </w:rPr>
        <w:t>21.72</w:t>
      </w:r>
      <w:r>
        <w:rPr>
          <w:rFonts w:hint="eastAsia" w:eastAsia="仿宋_GB2312" w:cs="仿宋_GB2312"/>
          <w:sz w:val="32"/>
          <w:szCs w:val="32"/>
        </w:rPr>
        <w:t>%。主要原因是</w:t>
      </w:r>
      <w:r>
        <w:rPr>
          <w:rFonts w:hint="eastAsia" w:eastAsia="仿宋_GB2312" w:cs="仿宋_GB2312"/>
          <w:sz w:val="32"/>
          <w:szCs w:val="32"/>
          <w:lang w:val="en-US" w:eastAsia="zh-CN"/>
        </w:rPr>
        <w:t>厉行节约缩减开支</w:t>
      </w:r>
      <w:r>
        <w:rPr>
          <w:rFonts w:hint="eastAsia" w:eastAsia="仿宋_GB2312" w:cs="仿宋_GB2312"/>
          <w:sz w:val="32"/>
          <w:szCs w:val="32"/>
        </w:rPr>
        <w:t>。其中：</w:t>
      </w:r>
    </w:p>
    <w:p>
      <w:pPr>
        <w:spacing w:line="600" w:lineRule="exact"/>
        <w:ind w:firstLine="640"/>
        <w:rPr>
          <w:rFonts w:hint="eastAsia" w:eastAsia="仿宋_GB2312" w:cs="仿宋_GB2312"/>
          <w:sz w:val="32"/>
          <w:szCs w:val="32"/>
          <w:highlight w:val="none"/>
        </w:rPr>
      </w:pPr>
      <w:r>
        <w:rPr>
          <w:rFonts w:hint="eastAsia" w:eastAsia="仿宋_GB2312" w:cs="仿宋_GB2312"/>
          <w:sz w:val="32"/>
          <w:szCs w:val="32"/>
        </w:rPr>
        <w:t>国内公务接待支出</w:t>
      </w:r>
      <w:r>
        <w:rPr>
          <w:rFonts w:hint="eastAsia" w:eastAsia="仿宋_GB2312" w:cs="仿宋_GB2312"/>
          <w:sz w:val="32"/>
          <w:szCs w:val="32"/>
          <w:lang w:val="en-US" w:eastAsia="zh-CN"/>
        </w:rPr>
        <w:t>1.91</w:t>
      </w:r>
      <w:r>
        <w:rPr>
          <w:rFonts w:hint="eastAsia" w:eastAsia="仿宋_GB2312" w:cs="仿宋_GB2312"/>
          <w:sz w:val="32"/>
          <w:szCs w:val="32"/>
        </w:rPr>
        <w:t>万元，主要用于执行公务、开展业务活动开支的交通费、住宿费、用餐费等。国内公务接待</w:t>
      </w:r>
      <w:r>
        <w:rPr>
          <w:rFonts w:hint="eastAsia" w:eastAsia="仿宋_GB2312" w:cs="仿宋_GB2312"/>
          <w:sz w:val="32"/>
          <w:szCs w:val="32"/>
          <w:highlight w:val="none"/>
          <w:lang w:val="en-US" w:eastAsia="zh-CN"/>
        </w:rPr>
        <w:t>142</w:t>
      </w:r>
      <w:r>
        <w:rPr>
          <w:rFonts w:hint="eastAsia" w:eastAsia="仿宋_GB2312" w:cs="仿宋_GB2312"/>
          <w:sz w:val="32"/>
          <w:szCs w:val="32"/>
          <w:highlight w:val="none"/>
        </w:rPr>
        <w:t>批次，</w:t>
      </w:r>
      <w:r>
        <w:rPr>
          <w:rFonts w:hint="eastAsia" w:eastAsia="仿宋_GB2312" w:cs="仿宋_GB2312"/>
          <w:sz w:val="32"/>
          <w:szCs w:val="32"/>
          <w:highlight w:val="none"/>
          <w:lang w:val="en-US" w:eastAsia="zh-CN"/>
        </w:rPr>
        <w:t>142</w:t>
      </w:r>
      <w:r>
        <w:rPr>
          <w:rFonts w:hint="eastAsia" w:eastAsia="仿宋_GB2312" w:cs="仿宋_GB2312"/>
          <w:sz w:val="32"/>
          <w:szCs w:val="32"/>
          <w:highlight w:val="none"/>
        </w:rPr>
        <w:t>人次（不包括陪同人员），共计支出</w:t>
      </w:r>
      <w:r>
        <w:rPr>
          <w:rFonts w:hint="eastAsia" w:eastAsia="仿宋_GB2312" w:cs="仿宋_GB2312"/>
          <w:sz w:val="32"/>
          <w:szCs w:val="32"/>
          <w:highlight w:val="none"/>
          <w:lang w:val="en-US" w:eastAsia="zh-CN"/>
        </w:rPr>
        <w:t>1.91</w:t>
      </w:r>
      <w:r>
        <w:rPr>
          <w:rFonts w:hint="eastAsia" w:eastAsia="仿宋_GB2312" w:cs="仿宋_GB2312"/>
          <w:sz w:val="32"/>
          <w:szCs w:val="32"/>
          <w:highlight w:val="none"/>
        </w:rPr>
        <w:t>万元，具体内容包括：眉山法院来我院开展援助工作，金额</w:t>
      </w:r>
      <w:r>
        <w:rPr>
          <w:rFonts w:hint="eastAsia" w:eastAsia="仿宋_GB2312" w:cs="仿宋_GB2312"/>
          <w:sz w:val="32"/>
          <w:szCs w:val="32"/>
          <w:highlight w:val="none"/>
          <w:lang w:val="en-US" w:eastAsia="zh-CN"/>
        </w:rPr>
        <w:t>0.16万元；德阳中院开展考察调研对口援助工作，金额0.12万元；四川省泸县法院到我院进行交流学习，金额0.12万元等</w:t>
      </w:r>
      <w:r>
        <w:rPr>
          <w:rFonts w:hint="eastAsia" w:eastAsia="仿宋_GB2312" w:cs="仿宋_GB2312"/>
          <w:sz w:val="32"/>
          <w:szCs w:val="32"/>
          <w:highlight w:val="none"/>
        </w:rPr>
        <w:t>。</w:t>
      </w:r>
    </w:p>
    <w:p>
      <w:pPr>
        <w:spacing w:line="600" w:lineRule="exact"/>
        <w:ind w:firstLine="640"/>
        <w:rPr>
          <w:rFonts w:hint="eastAsia" w:eastAsia="仿宋_GB2312" w:cs="仿宋_GB2312"/>
          <w:sz w:val="32"/>
          <w:szCs w:val="32"/>
          <w:highlight w:val="none"/>
        </w:rPr>
      </w:pPr>
      <w:r>
        <w:rPr>
          <w:rFonts w:hint="eastAsia" w:eastAsia="仿宋_GB2312" w:cs="仿宋_GB2312"/>
          <w:sz w:val="32"/>
          <w:szCs w:val="32"/>
          <w:highlight w:val="none"/>
        </w:rPr>
        <w:t>外事接待支出</w:t>
      </w:r>
      <w:r>
        <w:rPr>
          <w:rFonts w:hint="eastAsia" w:eastAsia="仿宋_GB2312" w:cs="仿宋_GB2312"/>
          <w:sz w:val="32"/>
          <w:szCs w:val="32"/>
          <w:highlight w:val="none"/>
          <w:lang w:val="en-US" w:eastAsia="zh-CN"/>
        </w:rPr>
        <w:t>0</w:t>
      </w:r>
      <w:r>
        <w:rPr>
          <w:rFonts w:hint="eastAsia" w:eastAsia="仿宋_GB2312" w:cs="仿宋_GB2312"/>
          <w:sz w:val="32"/>
          <w:szCs w:val="32"/>
          <w:highlight w:val="none"/>
        </w:rPr>
        <w:t>万元。</w:t>
      </w:r>
    </w:p>
    <w:p>
      <w:pPr>
        <w:spacing w:line="600" w:lineRule="exact"/>
        <w:ind w:firstLine="640" w:firstLineChars="0"/>
        <w:outlineLvl w:val="0"/>
        <w:rPr>
          <w:rStyle w:val="31"/>
          <w:rFonts w:ascii="Times New Roman" w:hAnsi="Times New Roman" w:eastAsia="黑体"/>
        </w:rPr>
      </w:pPr>
      <w:bookmarkStart w:id="51" w:name="_Toc15396610"/>
      <w:bookmarkStart w:id="52" w:name="_Toc15377218"/>
      <w:bookmarkStart w:id="53" w:name="_Toc31212"/>
      <w:r>
        <w:rPr>
          <w:rFonts w:hint="eastAsia" w:eastAsia="黑体"/>
          <w:sz w:val="32"/>
          <w:szCs w:val="32"/>
        </w:rPr>
        <w:t>八、</w:t>
      </w:r>
      <w:r>
        <w:rPr>
          <w:rStyle w:val="31"/>
          <w:rFonts w:hint="eastAsia" w:ascii="Times New Roman" w:hAnsi="Times New Roman" w:eastAsia="黑体"/>
          <w:b w:val="0"/>
        </w:rPr>
        <w:t>政府性基金预算支出决算情况说明</w:t>
      </w:r>
      <w:bookmarkEnd w:id="51"/>
      <w:bookmarkEnd w:id="52"/>
      <w:bookmarkEnd w:id="53"/>
    </w:p>
    <w:p>
      <w:pPr>
        <w:spacing w:line="600" w:lineRule="exact"/>
        <w:ind w:firstLine="640"/>
        <w:rPr>
          <w:rFonts w:hint="eastAsia"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年度政府性基金预算财政拨款支出</w:t>
      </w:r>
      <w:r>
        <w:rPr>
          <w:rFonts w:hint="eastAsia" w:eastAsia="仿宋_GB2312" w:cs="仿宋_GB2312"/>
          <w:sz w:val="32"/>
          <w:szCs w:val="32"/>
          <w:lang w:val="en-US" w:eastAsia="zh-CN"/>
        </w:rPr>
        <w:t>0</w:t>
      </w:r>
      <w:r>
        <w:rPr>
          <w:rFonts w:hint="eastAsia" w:eastAsia="仿宋_GB2312" w:cs="仿宋_GB2312"/>
          <w:sz w:val="32"/>
          <w:szCs w:val="32"/>
        </w:rPr>
        <w:t>万元。</w:t>
      </w:r>
    </w:p>
    <w:p>
      <w:pPr>
        <w:spacing w:line="600" w:lineRule="exact"/>
        <w:ind w:left="630" w:leftChars="0"/>
        <w:outlineLvl w:val="0"/>
        <w:rPr>
          <w:rStyle w:val="31"/>
          <w:rFonts w:ascii="Times New Roman" w:hAnsi="Times New Roman" w:eastAsia="黑体"/>
          <w:b w:val="0"/>
        </w:rPr>
      </w:pPr>
      <w:bookmarkStart w:id="54" w:name="_Toc2709"/>
      <w:bookmarkStart w:id="55" w:name="_Toc15377219"/>
      <w:bookmarkStart w:id="56" w:name="_Toc15396611"/>
      <w:r>
        <w:rPr>
          <w:rStyle w:val="31"/>
          <w:rFonts w:hint="eastAsia" w:ascii="Times New Roman" w:hAnsi="Times New Roman" w:eastAsia="黑体"/>
          <w:b w:val="0"/>
        </w:rPr>
        <w:t>九、国有资本经营预算支出决算情况说明</w:t>
      </w:r>
      <w:bookmarkEnd w:id="54"/>
      <w:bookmarkEnd w:id="55"/>
      <w:bookmarkEnd w:id="56"/>
    </w:p>
    <w:p>
      <w:pPr>
        <w:spacing w:line="600" w:lineRule="exact"/>
        <w:ind w:firstLine="640"/>
        <w:rPr>
          <w:rFonts w:hint="eastAsia"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w:t>
      </w:r>
    </w:p>
    <w:p>
      <w:pPr>
        <w:spacing w:line="600" w:lineRule="exact"/>
        <w:ind w:left="630" w:leftChars="0"/>
        <w:outlineLvl w:val="0"/>
        <w:rPr>
          <w:rStyle w:val="31"/>
          <w:rFonts w:ascii="Times New Roman" w:hAnsi="Times New Roman" w:eastAsia="黑体"/>
          <w:b w:val="0"/>
        </w:rPr>
      </w:pPr>
      <w:bookmarkStart w:id="57" w:name="_Toc15377221"/>
      <w:bookmarkStart w:id="58" w:name="_Toc15396612"/>
      <w:bookmarkStart w:id="59" w:name="_Toc12141"/>
      <w:r>
        <w:rPr>
          <w:rStyle w:val="31"/>
          <w:rFonts w:hint="eastAsia" w:ascii="Times New Roman" w:hAnsi="Times New Roman" w:eastAsia="黑体"/>
          <w:b w:val="0"/>
        </w:rPr>
        <w:t>十、其他重要事项的情况说明</w:t>
      </w:r>
      <w:bookmarkEnd w:id="57"/>
      <w:bookmarkEnd w:id="58"/>
      <w:bookmarkEnd w:id="59"/>
    </w:p>
    <w:p>
      <w:pPr>
        <w:spacing w:line="600" w:lineRule="exact"/>
        <w:ind w:firstLine="643" w:firstLineChars="200"/>
        <w:outlineLvl w:val="9"/>
        <w:rPr>
          <w:rFonts w:eastAsia="楷体_GB2312" w:cs="楷体_GB2312"/>
          <w:b/>
          <w:sz w:val="32"/>
          <w:szCs w:val="32"/>
        </w:rPr>
      </w:pPr>
      <w:bookmarkStart w:id="60" w:name="_Toc15377222"/>
      <w:r>
        <w:rPr>
          <w:rFonts w:hint="eastAsia" w:eastAsia="楷体_GB2312" w:cs="楷体_GB2312"/>
          <w:b/>
          <w:sz w:val="32"/>
          <w:szCs w:val="32"/>
        </w:rPr>
        <w:t>（一）机关运行经费支出情况</w:t>
      </w:r>
      <w:bookmarkEnd w:id="60"/>
    </w:p>
    <w:p>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年度，茂县人民法院机关运行经费支出</w:t>
      </w:r>
      <w:r>
        <w:rPr>
          <w:rFonts w:hint="eastAsia" w:eastAsia="仿宋_GB2312" w:cs="仿宋_GB2312"/>
          <w:sz w:val="32"/>
          <w:szCs w:val="32"/>
          <w:lang w:val="en-US" w:eastAsia="zh-CN"/>
        </w:rPr>
        <w:t>89.9</w:t>
      </w:r>
      <w:r>
        <w:rPr>
          <w:rFonts w:hint="eastAsia" w:eastAsia="仿宋_GB2312" w:cs="仿宋_GB2312"/>
          <w:sz w:val="32"/>
          <w:szCs w:val="32"/>
        </w:rPr>
        <w:t>万元，比202</w:t>
      </w:r>
      <w:r>
        <w:rPr>
          <w:rFonts w:hint="eastAsia" w:eastAsia="仿宋_GB2312" w:cs="仿宋_GB2312"/>
          <w:sz w:val="32"/>
          <w:szCs w:val="32"/>
          <w:lang w:val="en-US" w:eastAsia="zh-CN"/>
        </w:rPr>
        <w:t>4</w:t>
      </w:r>
      <w:r>
        <w:rPr>
          <w:rFonts w:hint="eastAsia" w:eastAsia="仿宋_GB2312" w:cs="仿宋_GB2312"/>
          <w:sz w:val="32"/>
          <w:szCs w:val="32"/>
        </w:rPr>
        <w:t>年度减少</w:t>
      </w:r>
      <w:r>
        <w:rPr>
          <w:rFonts w:hint="eastAsia" w:eastAsia="仿宋_GB2312" w:cs="仿宋_GB2312"/>
          <w:sz w:val="32"/>
          <w:szCs w:val="32"/>
          <w:lang w:val="en-US" w:eastAsia="zh-CN"/>
        </w:rPr>
        <w:t>6.91</w:t>
      </w:r>
      <w:r>
        <w:rPr>
          <w:rFonts w:hint="eastAsia" w:eastAsia="仿宋_GB2312" w:cs="仿宋_GB2312"/>
          <w:sz w:val="32"/>
          <w:szCs w:val="32"/>
        </w:rPr>
        <w:t>万元，下降</w:t>
      </w:r>
      <w:r>
        <w:rPr>
          <w:rFonts w:hint="eastAsia" w:eastAsia="仿宋_GB2312" w:cs="仿宋_GB2312"/>
          <w:sz w:val="32"/>
          <w:szCs w:val="32"/>
          <w:lang w:val="en-US" w:eastAsia="zh-CN"/>
        </w:rPr>
        <w:t>7.14</w:t>
      </w:r>
      <w:r>
        <w:rPr>
          <w:rFonts w:hint="eastAsia" w:eastAsia="仿宋_GB2312" w:cs="仿宋_GB2312"/>
          <w:sz w:val="32"/>
          <w:szCs w:val="32"/>
        </w:rPr>
        <w:t>%。主要原因是公用经费今年有所下降</w:t>
      </w:r>
      <w:r>
        <w:rPr>
          <w:rFonts w:hint="eastAsia" w:eastAsia="仿宋_GB2312" w:cs="仿宋_GB2312"/>
          <w:sz w:val="32"/>
          <w:szCs w:val="32"/>
          <w:lang w:eastAsia="zh-CN"/>
        </w:rPr>
        <w:t>。</w:t>
      </w:r>
    </w:p>
    <w:p>
      <w:pPr>
        <w:spacing w:line="600" w:lineRule="exact"/>
        <w:ind w:firstLine="643" w:firstLineChars="200"/>
        <w:outlineLvl w:val="9"/>
        <w:rPr>
          <w:rFonts w:eastAsia="楷体_GB2312" w:cs="楷体_GB2312"/>
          <w:b/>
          <w:sz w:val="32"/>
          <w:szCs w:val="32"/>
        </w:rPr>
      </w:pPr>
      <w:bookmarkStart w:id="61" w:name="_Toc15377223"/>
      <w:r>
        <w:rPr>
          <w:rFonts w:hint="eastAsia" w:eastAsia="楷体_GB2312" w:cs="楷体_GB2312"/>
          <w:b/>
          <w:sz w:val="32"/>
          <w:szCs w:val="32"/>
        </w:rPr>
        <w:t>（二）政府采购支出情况</w:t>
      </w:r>
      <w:bookmarkEnd w:id="61"/>
    </w:p>
    <w:p>
      <w:pPr>
        <w:spacing w:line="600" w:lineRule="exact"/>
        <w:ind w:firstLine="640"/>
        <w:rPr>
          <w:rFonts w:hint="eastAsia"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年度，茂县人民法院政府采购支出总额</w:t>
      </w:r>
      <w:r>
        <w:rPr>
          <w:rFonts w:hint="eastAsia" w:eastAsia="仿宋_GB2312" w:cs="仿宋_GB2312"/>
          <w:sz w:val="32"/>
          <w:szCs w:val="32"/>
          <w:lang w:val="en-US" w:eastAsia="zh-CN"/>
        </w:rPr>
        <w:t>41.31</w:t>
      </w:r>
      <w:r>
        <w:rPr>
          <w:rFonts w:hint="eastAsia" w:eastAsia="仿宋_GB2312" w:cs="仿宋_GB2312"/>
          <w:sz w:val="32"/>
          <w:szCs w:val="32"/>
        </w:rPr>
        <w:t>万元，其中：政府采购货物支出</w:t>
      </w:r>
      <w:r>
        <w:rPr>
          <w:rFonts w:hint="eastAsia" w:eastAsia="仿宋_GB2312" w:cs="仿宋_GB2312"/>
          <w:sz w:val="32"/>
          <w:szCs w:val="32"/>
          <w:lang w:val="en-US" w:eastAsia="zh-CN"/>
        </w:rPr>
        <w:t>41.31</w:t>
      </w:r>
      <w:r>
        <w:rPr>
          <w:rFonts w:hint="eastAsia" w:eastAsia="仿宋_GB2312" w:cs="仿宋_GB2312"/>
          <w:sz w:val="32"/>
          <w:szCs w:val="32"/>
        </w:rPr>
        <w:t>万元、政府采购工程支出</w:t>
      </w:r>
      <w:r>
        <w:rPr>
          <w:rFonts w:hint="eastAsia" w:eastAsia="仿宋_GB2312" w:cs="仿宋_GB2312"/>
          <w:sz w:val="32"/>
          <w:szCs w:val="32"/>
          <w:lang w:val="en-US" w:eastAsia="zh-CN"/>
        </w:rPr>
        <w:t>0</w:t>
      </w:r>
      <w:r>
        <w:rPr>
          <w:rFonts w:hint="eastAsia" w:eastAsia="仿宋_GB2312" w:cs="仿宋_GB2312"/>
          <w:sz w:val="32"/>
          <w:szCs w:val="32"/>
        </w:rPr>
        <w:t>万元、政府采购服务支出</w:t>
      </w:r>
      <w:r>
        <w:rPr>
          <w:rFonts w:hint="eastAsia" w:eastAsia="仿宋_GB2312" w:cs="仿宋_GB2312"/>
          <w:sz w:val="32"/>
          <w:szCs w:val="32"/>
          <w:lang w:val="en-US" w:eastAsia="zh-CN"/>
        </w:rPr>
        <w:t>0</w:t>
      </w:r>
      <w:r>
        <w:rPr>
          <w:rFonts w:hint="eastAsia" w:eastAsia="仿宋_GB2312" w:cs="仿宋_GB2312"/>
          <w:sz w:val="32"/>
          <w:szCs w:val="32"/>
        </w:rPr>
        <w:t>万元。主要用于</w:t>
      </w:r>
      <w:r>
        <w:rPr>
          <w:rFonts w:hint="eastAsia" w:eastAsia="仿宋_GB2312" w:cs="仿宋_GB2312"/>
          <w:sz w:val="32"/>
          <w:szCs w:val="32"/>
          <w:lang w:val="en-US" w:eastAsia="zh-CN"/>
        </w:rPr>
        <w:t>项目中购买货物</w:t>
      </w:r>
      <w:r>
        <w:rPr>
          <w:rFonts w:hint="eastAsia" w:eastAsia="仿宋_GB2312" w:cs="仿宋_GB2312"/>
          <w:sz w:val="32"/>
          <w:szCs w:val="32"/>
        </w:rPr>
        <w:t>。授予中小企业合同金额</w:t>
      </w:r>
      <w:r>
        <w:rPr>
          <w:rFonts w:hint="eastAsia" w:eastAsia="仿宋_GB2312" w:cs="仿宋_GB2312"/>
          <w:sz w:val="32"/>
          <w:szCs w:val="32"/>
          <w:lang w:val="en-US" w:eastAsia="zh-CN"/>
        </w:rPr>
        <w:t>0</w:t>
      </w:r>
      <w:r>
        <w:rPr>
          <w:rFonts w:hint="eastAsia" w:eastAsia="仿宋_GB2312" w:cs="仿宋_GB2312"/>
          <w:sz w:val="32"/>
          <w:szCs w:val="32"/>
        </w:rPr>
        <w:t>万元，占政府采购支出总额的</w:t>
      </w:r>
      <w:r>
        <w:rPr>
          <w:rFonts w:hint="eastAsia" w:eastAsia="仿宋_GB2312" w:cs="仿宋_GB2312"/>
          <w:sz w:val="32"/>
          <w:szCs w:val="32"/>
          <w:lang w:val="en-US" w:eastAsia="zh-CN"/>
        </w:rPr>
        <w:t>0</w:t>
      </w:r>
      <w:r>
        <w:rPr>
          <w:rFonts w:hint="eastAsia" w:eastAsia="仿宋_GB2312" w:cs="仿宋_GB2312"/>
          <w:sz w:val="32"/>
          <w:szCs w:val="32"/>
        </w:rPr>
        <w:t>%，其中：授予小微企业合同金额</w:t>
      </w:r>
      <w:r>
        <w:rPr>
          <w:rFonts w:hint="eastAsia" w:eastAsia="仿宋_GB2312" w:cs="仿宋_GB2312"/>
          <w:sz w:val="32"/>
          <w:szCs w:val="32"/>
          <w:lang w:val="en-US" w:eastAsia="zh-CN"/>
        </w:rPr>
        <w:t>0</w:t>
      </w:r>
      <w:r>
        <w:rPr>
          <w:rFonts w:hint="eastAsia" w:eastAsia="仿宋_GB2312" w:cs="仿宋_GB2312"/>
          <w:sz w:val="32"/>
          <w:szCs w:val="32"/>
        </w:rPr>
        <w:t>万元，占政府采购支出总额的</w:t>
      </w:r>
      <w:r>
        <w:rPr>
          <w:rFonts w:hint="eastAsia" w:eastAsia="仿宋_GB2312" w:cs="仿宋_GB2312"/>
          <w:sz w:val="32"/>
          <w:szCs w:val="32"/>
          <w:lang w:val="en-US" w:eastAsia="zh-CN"/>
        </w:rPr>
        <w:t>0</w:t>
      </w:r>
      <w:r>
        <w:rPr>
          <w:rFonts w:hint="eastAsia" w:eastAsia="仿宋_GB2312" w:cs="仿宋_GB2312"/>
          <w:sz w:val="32"/>
          <w:szCs w:val="32"/>
        </w:rPr>
        <w:t>%。</w:t>
      </w:r>
    </w:p>
    <w:p>
      <w:pPr>
        <w:spacing w:line="600" w:lineRule="exact"/>
        <w:ind w:firstLine="643" w:firstLineChars="200"/>
        <w:outlineLvl w:val="9"/>
        <w:rPr>
          <w:rFonts w:eastAsia="楷体_GB2312" w:cs="楷体_GB2312"/>
          <w:b/>
          <w:sz w:val="32"/>
          <w:szCs w:val="32"/>
        </w:rPr>
      </w:pPr>
      <w:bookmarkStart w:id="62" w:name="_Toc15377224"/>
      <w:r>
        <w:rPr>
          <w:rFonts w:hint="eastAsia" w:eastAsia="楷体_GB2312" w:cs="楷体_GB2312"/>
          <w:b/>
          <w:sz w:val="32"/>
          <w:szCs w:val="32"/>
        </w:rPr>
        <w:t>（三）国有资产占有使用情况</w:t>
      </w:r>
      <w:bookmarkEnd w:id="62"/>
    </w:p>
    <w:p>
      <w:pPr>
        <w:spacing w:line="600" w:lineRule="exact"/>
        <w:ind w:firstLine="640"/>
        <w:rPr>
          <w:rFonts w:eastAsia="仿宋_GB2312" w:cs="仿宋_GB2312"/>
          <w:sz w:val="32"/>
          <w:szCs w:val="32"/>
        </w:rPr>
      </w:pPr>
      <w:r>
        <w:rPr>
          <w:rFonts w:hint="eastAsia" w:eastAsia="仿宋_GB2312" w:cs="仿宋_GB2312"/>
          <w:sz w:val="32"/>
          <w:szCs w:val="32"/>
        </w:rPr>
        <w:t>截至202</w:t>
      </w:r>
      <w:r>
        <w:rPr>
          <w:rFonts w:hint="eastAsia" w:eastAsia="仿宋_GB2312" w:cs="仿宋_GB2312"/>
          <w:sz w:val="32"/>
          <w:szCs w:val="32"/>
          <w:lang w:val="en-US" w:eastAsia="zh-CN"/>
        </w:rPr>
        <w:t>5</w:t>
      </w:r>
      <w:r>
        <w:rPr>
          <w:rFonts w:hint="eastAsia" w:eastAsia="仿宋_GB2312" w:cs="仿宋_GB2312"/>
          <w:sz w:val="32"/>
          <w:szCs w:val="32"/>
        </w:rPr>
        <w:t>年12月31日，茂县人民法院共有车辆</w:t>
      </w:r>
      <w:r>
        <w:rPr>
          <w:rFonts w:hint="eastAsia" w:eastAsia="仿宋_GB2312" w:cs="仿宋_GB2312"/>
          <w:sz w:val="32"/>
          <w:szCs w:val="32"/>
          <w:lang w:val="en-US" w:eastAsia="zh-CN"/>
        </w:rPr>
        <w:t>15</w:t>
      </w:r>
      <w:r>
        <w:rPr>
          <w:rFonts w:hint="eastAsia" w:eastAsia="仿宋_GB2312" w:cs="仿宋_GB2312"/>
          <w:sz w:val="32"/>
          <w:szCs w:val="32"/>
        </w:rPr>
        <w:t>辆，其中：</w:t>
      </w:r>
      <w:r>
        <w:rPr>
          <w:rFonts w:hint="eastAsia" w:eastAsia="仿宋_GB2312" w:cs="仿宋_GB2312"/>
          <w:sz w:val="32"/>
          <w:szCs w:val="32"/>
          <w:lang w:val="en-US" w:eastAsia="zh-CN"/>
        </w:rPr>
        <w:t>执法执勤用车13</w:t>
      </w:r>
      <w:r>
        <w:rPr>
          <w:rFonts w:hint="eastAsia" w:eastAsia="仿宋_GB2312" w:cs="仿宋_GB2312"/>
          <w:sz w:val="32"/>
          <w:szCs w:val="32"/>
        </w:rPr>
        <w:t>辆、特种专业技术用车2辆。单价100万元（含）以上设备（不含车辆）</w:t>
      </w:r>
      <w:r>
        <w:rPr>
          <w:rFonts w:hint="eastAsia" w:eastAsia="仿宋_GB2312" w:cs="仿宋_GB2312"/>
          <w:sz w:val="32"/>
          <w:szCs w:val="32"/>
          <w:lang w:val="en-US" w:eastAsia="zh-CN"/>
        </w:rPr>
        <w:t>0</w:t>
      </w:r>
      <w:r>
        <w:rPr>
          <w:rFonts w:hint="eastAsia" w:eastAsia="仿宋_GB2312" w:cs="仿宋_GB2312"/>
          <w:sz w:val="32"/>
          <w:szCs w:val="32"/>
        </w:rPr>
        <w:t>台（套）。</w:t>
      </w:r>
    </w:p>
    <w:p>
      <w:pPr>
        <w:spacing w:line="600" w:lineRule="exact"/>
        <w:ind w:firstLine="643" w:firstLineChars="200"/>
        <w:outlineLvl w:val="9"/>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rPr>
          <w:rFonts w:hint="default" w:eastAsia="仿宋_GB2312" w:cs="仿宋_GB2312"/>
          <w:sz w:val="32"/>
          <w:szCs w:val="32"/>
          <w:lang w:val="en-US" w:eastAsia="zh-CN"/>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r>
        <w:rPr>
          <w:rFonts w:hint="eastAsia" w:eastAsia="仿宋_GB2312" w:cs="仿宋_GB2312"/>
          <w:sz w:val="32"/>
          <w:szCs w:val="32"/>
        </w:rPr>
        <w:t>根据预算绩效管理要求，茂县人民法院在202</w:t>
      </w:r>
      <w:r>
        <w:rPr>
          <w:rFonts w:hint="eastAsia" w:eastAsia="仿宋_GB2312" w:cs="仿宋_GB2312"/>
          <w:sz w:val="32"/>
          <w:szCs w:val="32"/>
          <w:lang w:val="en-US" w:eastAsia="zh-CN"/>
        </w:rPr>
        <w:t>5</w:t>
      </w:r>
      <w:r>
        <w:rPr>
          <w:rFonts w:hint="eastAsia" w:eastAsia="仿宋_GB2312" w:cs="仿宋_GB2312"/>
          <w:sz w:val="32"/>
          <w:szCs w:val="32"/>
        </w:rPr>
        <w:t>年度预算编制阶段，组织对茂县法院202</w:t>
      </w:r>
      <w:r>
        <w:rPr>
          <w:rFonts w:hint="eastAsia" w:eastAsia="仿宋_GB2312" w:cs="仿宋_GB2312"/>
          <w:sz w:val="32"/>
          <w:szCs w:val="32"/>
          <w:lang w:val="en-US" w:eastAsia="zh-CN"/>
        </w:rPr>
        <w:t>5</w:t>
      </w:r>
      <w:r>
        <w:rPr>
          <w:rFonts w:hint="eastAsia" w:eastAsia="仿宋_GB2312" w:cs="仿宋_GB2312"/>
          <w:sz w:val="32"/>
          <w:szCs w:val="32"/>
        </w:rPr>
        <w:t>年装备经费</w:t>
      </w:r>
      <w:r>
        <w:rPr>
          <w:rFonts w:hint="eastAsia" w:eastAsia="仿宋_GB2312" w:cs="仿宋_GB2312"/>
          <w:sz w:val="32"/>
          <w:szCs w:val="32"/>
          <w:lang w:val="en-US" w:eastAsia="zh-CN"/>
        </w:rPr>
        <w:t>1</w:t>
      </w:r>
      <w:r>
        <w:rPr>
          <w:rFonts w:hint="eastAsia" w:eastAsia="仿宋_GB2312" w:cs="仿宋_GB2312"/>
          <w:sz w:val="32"/>
          <w:szCs w:val="32"/>
        </w:rPr>
        <w:t>个项目开展了预算事前绩效评估，对</w:t>
      </w:r>
      <w:r>
        <w:rPr>
          <w:rFonts w:hint="eastAsia" w:eastAsia="仿宋_GB2312" w:cs="仿宋_GB2312"/>
          <w:sz w:val="32"/>
          <w:szCs w:val="32"/>
          <w:lang w:val="en-US" w:eastAsia="zh-CN"/>
        </w:rPr>
        <w:t>1</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1</w:t>
      </w:r>
      <w:r>
        <w:rPr>
          <w:rFonts w:hint="eastAsia" w:eastAsia="仿宋_GB2312" w:cs="仿宋_GB2312"/>
          <w:sz w:val="32"/>
          <w:szCs w:val="32"/>
        </w:rPr>
        <w:t>个项目开展绩效监控。</w:t>
      </w:r>
      <w:r>
        <w:rPr>
          <w:rFonts w:hint="eastAsia" w:eastAsia="仿宋_GB2312" w:cs="仿宋_GB2312"/>
          <w:sz w:val="32"/>
          <w:szCs w:val="32"/>
          <w:lang w:val="en-US" w:eastAsia="zh-CN"/>
        </w:rPr>
        <w:t>详情见附件。</w:t>
      </w:r>
    </w:p>
    <w:p>
      <w:pPr>
        <w:pStyle w:val="15"/>
      </w:pPr>
    </w:p>
    <w:p>
      <w:pPr>
        <w:spacing w:line="600" w:lineRule="exact"/>
        <w:jc w:val="center"/>
        <w:outlineLvl w:val="0"/>
        <w:rPr>
          <w:rFonts w:eastAsia="黑体"/>
          <w:sz w:val="44"/>
          <w:szCs w:val="44"/>
        </w:rPr>
      </w:pPr>
      <w:bookmarkStart w:id="63" w:name="_Toc478"/>
      <w:bookmarkStart w:id="64" w:name="_Toc15396613"/>
      <w:bookmarkStart w:id="65" w:name="_Toc15377225"/>
      <w:r>
        <w:rPr>
          <w:rFonts w:hint="eastAsia" w:eastAsia="黑体"/>
          <w:sz w:val="44"/>
          <w:szCs w:val="44"/>
        </w:rPr>
        <w:t>第三部分  名词解释</w:t>
      </w:r>
      <w:bookmarkEnd w:id="63"/>
      <w:bookmarkEnd w:id="64"/>
      <w:bookmarkEnd w:id="65"/>
    </w:p>
    <w:p>
      <w:pPr>
        <w:spacing w:line="600" w:lineRule="exact"/>
        <w:jc w:val="left"/>
        <w:rPr>
          <w:b/>
          <w:sz w:val="44"/>
          <w:szCs w:val="44"/>
        </w:rPr>
      </w:pP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财政拨款收入：指单位从同级财政部门取得的财政预算资金。</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事业收入：指事业单位开展专业业务活动及辅助活动取得的收入。</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经营收入：指事业单位在专业业务活动及其辅助活动之外开展非独立核算经营活动取得的收入。</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 xml:space="preserve">其他收入：指单位取得的除上述收入以外的各项收入。 </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 xml:space="preserve">使用非财政拨款结余（含专用结余）：指事业单位使用以前年度积累的非财政拨款结余弥补当年收支差额的金额。 </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 xml:space="preserve">年初结转和结余：指以前年度尚未完成、结转到本年按有关规定继续使用的资金。 </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结余分配：指事业单位按照会计制度规定缴纳的所得税、提取的专用结余以及转入非财政拨款结余的金额等。</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年末结转和结余：指单位按有关规定结转到下年或以后年度继续使用的资金。</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公共安全支出（类）法院（款）行政运行（项）：反映行政单位(包括实行公务员管理的事业单位)的基本支出。</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公共安全支出（类）法院（款）一般行政管理事务（项）: 反映行政单位(包括实行公务员管理的事业单位)未单独设置项级科目的其他项目支出。</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公共安全支出（类）法院（款）机关服务（项）: 反映为行政单位(包括实行公务员管理的事业单位)提供后勤服务的各类后勤服务中心、医务室等附属事业单位的支出。其他事业单位的支出，凡单独设置了项级科目的，在单独设置的项级科目中反映。未单设项级科目的，在“其他”项级科目中反映。</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公共安全支出（类）法院（款）其他法院支出（项）: 反映除上述项目以外其他用于法院方面的支出。</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社会保障和就业支出（类）行政事业单位养老支出（款）机关事业单位基本养老保险缴费支出（项）：反映机关事业单位实施养老保险制度由单位缴纳的基本养老保险费支出。</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社会保障和就业支出（类）行政事业单位养老支出（款）机关事业单位职业年金缴费支出（项）：反映机关事业单位实施养老保险制度由单位实际缴纳的职业年金支出。</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卫生健康支出（类）行政事业单位医疗（款）公务员医疗补助（项）：反映财政部门安排的公务员医疗补助经费。</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住房保障支出（类）住房改革支出（款）住房公积金（项）：反映行政事业单位按人力资源和社会保障部、财政部规定的 基本工资和津贴补贴以及规定比例为职工缴纳的住房公积金。</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基本支出：指为保障机构正常运转、完成日常工作任务而发生的人员支出和公用支出。</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 xml:space="preserve">项目支出：指在基本支出之外为完成特定行政任务和事业发展目标所发生的支出。 </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经营支出：指事业单位在专业业务活动及其辅助活动之外开展非独立核算经营活动发生的支出。</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outlineLvl w:val="0"/>
        <w:rPr>
          <w:rStyle w:val="30"/>
          <w:rFonts w:eastAsia="黑体"/>
          <w:b w:val="0"/>
        </w:rPr>
      </w:pPr>
      <w:bookmarkStart w:id="66" w:name="_Toc15377226"/>
      <w:r>
        <w:rPr>
          <w:rFonts w:hint="eastAsia" w:eastAsia="仿宋_GB2312" w:cs="仿宋_GB2312"/>
          <w:sz w:val="32"/>
          <w:szCs w:val="32"/>
        </w:rPr>
        <w:br w:type="page"/>
      </w:r>
      <w:bookmarkStart w:id="67" w:name="_Toc15396614"/>
      <w:bookmarkStart w:id="68" w:name="_Toc14162"/>
      <w:r>
        <w:rPr>
          <w:rFonts w:hint="eastAsia" w:eastAsia="黑体"/>
          <w:sz w:val="44"/>
          <w:szCs w:val="44"/>
        </w:rPr>
        <w:t>第四部分  附件</w:t>
      </w:r>
      <w:bookmarkEnd w:id="67"/>
      <w:bookmarkEnd w:id="68"/>
    </w:p>
    <w:p>
      <w:pPr>
        <w:spacing w:line="572" w:lineRule="exact"/>
        <w:jc w:val="left"/>
        <w:outlineLvl w:val="9"/>
        <w:rPr>
          <w:rFonts w:eastAsia="黑体" w:cs="黑体"/>
          <w:color w:val="FF0000"/>
          <w:sz w:val="32"/>
          <w:szCs w:val="32"/>
        </w:rPr>
      </w:pPr>
    </w:p>
    <w:p>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center"/>
        <w:textAlignment w:val="auto"/>
        <w:outlineLvl w:val="9"/>
        <w:rPr>
          <w:rFonts w:hint="eastAsia" w:ascii="宋体" w:hAnsi="宋体" w:eastAsia="宋体" w:cs="宋体"/>
          <w:b w:val="0"/>
          <w:bCs/>
          <w:caps w:val="0"/>
          <w:sz w:val="44"/>
          <w:szCs w:val="44"/>
          <w:highlight w:val="none"/>
          <w:shd w:val="clear" w:color="auto" w:fill="FFFFFF"/>
          <w:lang w:val="en-US" w:eastAsia="zh-CN"/>
        </w:rPr>
      </w:pPr>
      <w:r>
        <w:rPr>
          <w:rFonts w:hint="eastAsia" w:ascii="宋体" w:hAnsi="宋体" w:eastAsia="宋体" w:cs="宋体"/>
          <w:b w:val="0"/>
          <w:bCs/>
          <w:caps w:val="0"/>
          <w:sz w:val="44"/>
          <w:szCs w:val="44"/>
          <w:highlight w:val="none"/>
          <w:shd w:val="clear" w:color="auto" w:fill="FFFFFF"/>
          <w:lang w:val="en-US" w:eastAsia="zh-CN"/>
        </w:rPr>
        <w:t>茂县人民法院</w:t>
      </w:r>
    </w:p>
    <w:p>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center"/>
        <w:textAlignment w:val="auto"/>
        <w:outlineLvl w:val="9"/>
        <w:rPr>
          <w:rFonts w:hint="eastAsia" w:ascii="宋体" w:hAnsi="宋体" w:eastAsia="宋体" w:cs="宋体"/>
          <w:b w:val="0"/>
          <w:bCs/>
          <w:caps w:val="0"/>
          <w:sz w:val="44"/>
          <w:szCs w:val="44"/>
          <w:highlight w:val="none"/>
          <w:shd w:val="clear" w:color="auto" w:fill="FFFFFF"/>
          <w:lang w:val="en-US" w:eastAsia="zh-CN"/>
        </w:rPr>
      </w:pPr>
      <w:r>
        <w:rPr>
          <w:rFonts w:hint="eastAsia" w:ascii="宋体" w:hAnsi="宋体" w:eastAsia="宋体" w:cs="宋体"/>
          <w:b w:val="0"/>
          <w:bCs/>
          <w:caps w:val="0"/>
          <w:sz w:val="44"/>
          <w:szCs w:val="44"/>
          <w:highlight w:val="none"/>
          <w:shd w:val="clear" w:color="auto" w:fill="FFFFFF"/>
          <w:lang w:val="en-US" w:eastAsia="zh-CN"/>
        </w:rPr>
        <w:t>部门预算绩效评价报告</w:t>
      </w:r>
    </w:p>
    <w:p>
      <w:pPr>
        <w:keepNext w:val="0"/>
        <w:keepLines w:val="0"/>
        <w:pageBreakBefore w:val="0"/>
        <w:widowControl/>
        <w:kinsoku/>
        <w:wordWrap/>
        <w:overflowPunct/>
        <w:topLinePunct w:val="0"/>
        <w:autoSpaceDE/>
        <w:autoSpaceDN/>
        <w:bidi w:val="0"/>
        <w:spacing w:line="600" w:lineRule="atLeast"/>
        <w:contextualSpacing/>
        <w:jc w:val="center"/>
        <w:textAlignment w:val="auto"/>
        <w:outlineLvl w:val="9"/>
        <w:rPr>
          <w:rFonts w:hint="default" w:ascii="Times New Roman" w:hAnsi="Times New Roman" w:cs="Times New Roman"/>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600" w:lineRule="atLeast"/>
        <w:ind w:firstLine="640" w:firstLineChars="200"/>
        <w:contextualSpacing/>
        <w:jc w:val="left"/>
        <w:textAlignment w:val="auto"/>
        <w:outlineLvl w:val="0"/>
        <w:rPr>
          <w:rFonts w:hint="eastAsia" w:ascii="宋体" w:hAnsi="宋体" w:eastAsia="宋体" w:cs="宋体"/>
          <w:sz w:val="32"/>
          <w:szCs w:val="32"/>
        </w:rPr>
      </w:pPr>
      <w:r>
        <w:rPr>
          <w:rFonts w:hint="eastAsia" w:ascii="宋体" w:hAnsi="宋体" w:eastAsia="宋体" w:cs="宋体"/>
          <w:color w:val="000000"/>
          <w:kern w:val="0"/>
          <w:sz w:val="32"/>
          <w:szCs w:val="32"/>
          <w:highlight w:val="none"/>
          <w:shd w:val="clear" w:color="auto" w:fill="FFFFFF"/>
          <w:lang w:val="zh-CN"/>
        </w:rPr>
        <w:t>一、部门（单位）基本情况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600" w:lineRule="atLeast"/>
        <w:ind w:firstLine="643" w:firstLineChars="200"/>
        <w:contextualSpacing/>
        <w:jc w:val="left"/>
        <w:textAlignment w:val="auto"/>
        <w:outlineLvl w:val="1"/>
        <w:rPr>
          <w:rFonts w:hint="eastAsia" w:ascii="宋体" w:hAnsi="宋体" w:eastAsia="宋体" w:cs="宋体"/>
          <w:b/>
          <w:bCs/>
          <w:color w:val="000000"/>
          <w:kern w:val="0"/>
          <w:sz w:val="32"/>
          <w:szCs w:val="32"/>
          <w:highlight w:val="none"/>
          <w:shd w:val="clear" w:color="auto" w:fill="FFFFFF"/>
          <w:lang w:val="zh-CN"/>
        </w:rPr>
      </w:pPr>
      <w:r>
        <w:rPr>
          <w:rFonts w:hint="eastAsia" w:ascii="宋体" w:hAnsi="宋体" w:eastAsia="宋体" w:cs="宋体"/>
          <w:b/>
          <w:bCs/>
          <w:color w:val="000000"/>
          <w:kern w:val="0"/>
          <w:sz w:val="32"/>
          <w:szCs w:val="32"/>
          <w:highlight w:val="none"/>
          <w:shd w:val="clear" w:color="auto" w:fill="FFFFFF"/>
          <w:lang w:val="zh-CN"/>
        </w:rPr>
        <w:t>（一）机构组成。</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firstLine="640" w:firstLineChars="200"/>
        <w:textAlignment w:val="auto"/>
        <w:rPr>
          <w:rFonts w:hint="eastAsia" w:eastAsia="仿宋_GB2312" w:cs="仿宋_GB2312"/>
          <w:sz w:val="32"/>
          <w:szCs w:val="32"/>
          <w:lang w:eastAsia="zh-CN"/>
        </w:rPr>
      </w:pPr>
      <w:r>
        <w:rPr>
          <w:rFonts w:hint="eastAsia" w:eastAsia="仿宋_GB2312" w:cs="仿宋_GB2312"/>
          <w:sz w:val="32"/>
          <w:szCs w:val="32"/>
          <w:lang w:eastAsia="zh-CN"/>
        </w:rPr>
        <w:t>茂县人民法院（</w:t>
      </w:r>
      <w:r>
        <w:rPr>
          <w:rFonts w:hint="eastAsia" w:eastAsia="仿宋_GB2312" w:cs="仿宋_GB2312"/>
          <w:sz w:val="32"/>
          <w:szCs w:val="32"/>
          <w:lang w:val="en-US" w:eastAsia="zh-CN"/>
        </w:rPr>
        <w:t>后文简称“我院”</w:t>
      </w:r>
      <w:r>
        <w:rPr>
          <w:rFonts w:hint="eastAsia" w:eastAsia="仿宋_GB2312" w:cs="仿宋_GB2312"/>
          <w:sz w:val="32"/>
          <w:szCs w:val="32"/>
          <w:lang w:eastAsia="zh-CN"/>
        </w:rPr>
        <w:t>）</w:t>
      </w:r>
      <w:r>
        <w:rPr>
          <w:rFonts w:hint="eastAsia" w:eastAsia="仿宋_GB2312" w:cs="仿宋_GB2312"/>
          <w:sz w:val="32"/>
          <w:szCs w:val="32"/>
          <w:lang w:val="en-US" w:eastAsia="zh-CN"/>
        </w:rPr>
        <w:t>是基层人民法院，县级一级预算单位。我院有</w:t>
      </w:r>
      <w:r>
        <w:rPr>
          <w:rFonts w:hint="eastAsia" w:eastAsia="仿宋_GB2312" w:cs="仿宋_GB2312"/>
          <w:sz w:val="32"/>
          <w:szCs w:val="32"/>
          <w:lang w:eastAsia="zh-CN"/>
        </w:rPr>
        <w:t>办公室、政治处、民庭、刑事审判庭、立案庭、执行局、法警大队、行政审判庭、审判管理办公室</w:t>
      </w:r>
      <w:r>
        <w:rPr>
          <w:rFonts w:hint="eastAsia" w:eastAsia="仿宋_GB2312" w:cs="仿宋_GB2312"/>
          <w:sz w:val="32"/>
          <w:szCs w:val="32"/>
          <w:lang w:val="en-US" w:eastAsia="zh-CN"/>
        </w:rPr>
        <w:t>9</w:t>
      </w:r>
      <w:r>
        <w:rPr>
          <w:rFonts w:hint="eastAsia" w:eastAsia="仿宋_GB2312" w:cs="仿宋_GB2312"/>
          <w:sz w:val="32"/>
          <w:szCs w:val="32"/>
          <w:lang w:eastAsia="zh-CN"/>
        </w:rPr>
        <w:t>个内设机构，凤仪法庭、土门法庭、叠溪法庭、沙坝法庭4个派出法庭组成。</w:t>
      </w:r>
    </w:p>
    <w:p>
      <w:pPr>
        <w:keepNext w:val="0"/>
        <w:keepLines w:val="0"/>
        <w:pageBreakBefore w:val="0"/>
        <w:widowControl/>
        <w:numPr>
          <w:ilvl w:val="0"/>
          <w:numId w:val="4"/>
        </w:numPr>
        <w:kinsoku/>
        <w:wordWrap/>
        <w:overflowPunct/>
        <w:topLinePunct w:val="0"/>
        <w:autoSpaceDE/>
        <w:autoSpaceDN/>
        <w:bidi w:val="0"/>
        <w:adjustRightInd w:val="0"/>
        <w:snapToGrid w:val="0"/>
        <w:spacing w:line="600" w:lineRule="atLeast"/>
        <w:ind w:firstLine="643" w:firstLineChars="200"/>
        <w:contextualSpacing/>
        <w:jc w:val="left"/>
        <w:textAlignment w:val="auto"/>
        <w:outlineLvl w:val="1"/>
        <w:rPr>
          <w:rFonts w:hint="eastAsia" w:ascii="宋体" w:hAnsi="宋体" w:eastAsia="宋体" w:cs="宋体"/>
          <w:b/>
          <w:bCs/>
          <w:color w:val="000000"/>
          <w:kern w:val="0"/>
          <w:sz w:val="32"/>
          <w:szCs w:val="32"/>
          <w:highlight w:val="none"/>
          <w:shd w:val="clear" w:color="auto" w:fill="FFFFFF"/>
          <w:lang w:val="zh-CN"/>
        </w:rPr>
      </w:pPr>
      <w:r>
        <w:rPr>
          <w:rFonts w:hint="eastAsia" w:ascii="宋体" w:hAnsi="宋体" w:eastAsia="宋体" w:cs="宋体"/>
          <w:b/>
          <w:bCs/>
          <w:color w:val="000000"/>
          <w:kern w:val="0"/>
          <w:sz w:val="32"/>
          <w:szCs w:val="32"/>
          <w:highlight w:val="none"/>
          <w:shd w:val="clear" w:color="auto" w:fill="FFFFFF"/>
          <w:lang w:val="zh-CN"/>
        </w:rPr>
        <w:t>机构职能。</w:t>
      </w:r>
    </w:p>
    <w:p>
      <w:pPr>
        <w:pStyle w:val="9"/>
        <w:keepNext w:val="0"/>
        <w:keepLines w:val="0"/>
        <w:pageBreakBefore w:val="0"/>
        <w:widowControl w:val="0"/>
        <w:kinsoku/>
        <w:wordWrap/>
        <w:overflowPunct/>
        <w:topLinePunct w:val="0"/>
        <w:autoSpaceDE/>
        <w:autoSpaceDN/>
        <w:bidi w:val="0"/>
        <w:adjustRightInd/>
        <w:snapToGrid/>
        <w:spacing w:after="0" w:line="600" w:lineRule="atLeast"/>
        <w:ind w:left="0" w:leftChars="0" w:firstLine="640" w:firstLineChars="200"/>
        <w:textAlignment w:val="auto"/>
        <w:outlineLvl w:val="9"/>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en-US" w:eastAsia="zh-CN" w:bidi="ar-SA"/>
        </w:rPr>
        <w:t>我院</w:t>
      </w:r>
      <w:r>
        <w:rPr>
          <w:rFonts w:hint="eastAsia" w:ascii="Times New Roman" w:hAnsi="Times New Roman" w:eastAsia="仿宋_GB2312" w:cs="仿宋_GB2312"/>
          <w:kern w:val="2"/>
          <w:sz w:val="32"/>
          <w:szCs w:val="32"/>
          <w:lang w:val="zh-CN" w:eastAsia="zh-CN" w:bidi="ar-SA"/>
        </w:rPr>
        <w:t>是国家审判机关，依法独立行使审判权，接受上级人民法院的监督和指导，对县人民代表大会及其常务委员会负责并报告工作。其主要职责是：</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firstLine="640" w:firstLineChars="200"/>
        <w:textAlignment w:val="auto"/>
        <w:outlineLvl w:val="9"/>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1．审判法律规定由基层人民法院管辖的刑事、民事、行政等一审案件。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firstLine="640" w:firstLineChars="200"/>
        <w:textAlignment w:val="auto"/>
        <w:outlineLvl w:val="9"/>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2．处理简易的民事纠纷和轻微的刑事案件。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firstLine="640" w:firstLineChars="200"/>
        <w:textAlignment w:val="auto"/>
        <w:outlineLvl w:val="9"/>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3．指导人民调解委员会的工作。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firstLine="640" w:firstLineChars="200"/>
        <w:textAlignment w:val="auto"/>
        <w:outlineLvl w:val="9"/>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4．审理上级人民法院指令再审的案件，受理不服本院判决裁定的各类申诉和申诉再审等案件。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firstLine="640" w:firstLineChars="200"/>
        <w:textAlignment w:val="auto"/>
        <w:outlineLvl w:val="9"/>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5．对各人民法庭管辖争议的案件指定管辖。</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firstLine="640" w:firstLineChars="200"/>
        <w:textAlignment w:val="auto"/>
        <w:outlineLvl w:val="9"/>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6．监督和指导人民法庭的审判工作。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firstLine="640" w:firstLineChars="200"/>
        <w:textAlignment w:val="auto"/>
        <w:outlineLvl w:val="9"/>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7．针对案件审理中发现的问题提出司法建议。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firstLine="640" w:firstLineChars="200"/>
        <w:textAlignment w:val="auto"/>
        <w:outlineLvl w:val="9"/>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8．对已生效的各类法律文书有执行内容的进行执行，办理委托、协助执行事宜。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firstLine="640" w:firstLineChars="200"/>
        <w:textAlignment w:val="auto"/>
        <w:outlineLvl w:val="9"/>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9．接待申诉来访，受理应由基层人民法院受理的告诉、申诉等案件。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firstLine="640" w:firstLineChars="200"/>
        <w:textAlignment w:val="auto"/>
        <w:outlineLvl w:val="9"/>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10．负责本院思想、政治、教育、培训工作，按照权限管理法官、执行员、书记员、司法警察以及司法行政人员；协同主管部门管理人民法院机构设置、人员编制工作。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firstLine="640" w:firstLineChars="200"/>
        <w:textAlignment w:val="auto"/>
        <w:outlineLvl w:val="9"/>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11．负责本院的经费和物资装备管理。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firstLine="640" w:firstLineChars="200"/>
        <w:textAlignment w:val="auto"/>
        <w:outlineLvl w:val="9"/>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12．负责本院的纪检监察工作。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firstLine="640" w:firstLineChars="200"/>
        <w:textAlignment w:val="auto"/>
        <w:outlineLvl w:val="9"/>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13．宣传法制、教育公民、忠于社会主义祖国，自觉遵守宪法、法律和社会公德。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firstLine="640" w:firstLineChars="200"/>
        <w:textAlignment w:val="auto"/>
        <w:outlineLvl w:val="9"/>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14．承办其他应由县人民法院负责的工作。</w:t>
      </w:r>
    </w:p>
    <w:p>
      <w:pPr>
        <w:keepNext w:val="0"/>
        <w:keepLines w:val="0"/>
        <w:pageBreakBefore w:val="0"/>
        <w:widowControl w:val="0"/>
        <w:kinsoku/>
        <w:wordWrap/>
        <w:overflowPunct/>
        <w:topLinePunct w:val="0"/>
        <w:autoSpaceDE/>
        <w:autoSpaceDN/>
        <w:bidi w:val="0"/>
        <w:adjustRightInd/>
        <w:snapToGrid/>
        <w:spacing w:line="600" w:lineRule="atLeast"/>
        <w:ind w:firstLine="643" w:firstLineChars="200"/>
        <w:textAlignment w:val="auto"/>
        <w:outlineLvl w:val="1"/>
        <w:rPr>
          <w:rFonts w:hint="eastAsia" w:ascii="宋体" w:hAnsi="宋体" w:eastAsia="宋体" w:cs="宋体"/>
          <w:b/>
          <w:bCs/>
          <w:color w:val="000000"/>
          <w:kern w:val="0"/>
          <w:sz w:val="32"/>
          <w:szCs w:val="32"/>
          <w:highlight w:val="none"/>
          <w:shd w:val="clear" w:color="auto" w:fill="FFFFFF"/>
          <w:lang w:val="zh-CN"/>
        </w:rPr>
      </w:pPr>
      <w:r>
        <w:rPr>
          <w:rFonts w:hint="eastAsia" w:ascii="宋体" w:hAnsi="宋体" w:eastAsia="宋体" w:cs="宋体"/>
          <w:b/>
          <w:bCs/>
          <w:color w:val="000000"/>
          <w:kern w:val="0"/>
          <w:sz w:val="32"/>
          <w:szCs w:val="32"/>
          <w:highlight w:val="none"/>
          <w:shd w:val="clear" w:color="auto" w:fill="FFFFFF"/>
          <w:lang w:val="zh-CN"/>
        </w:rPr>
        <w:t>（三）人员概况。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firstLine="640" w:firstLineChars="200"/>
        <w:textAlignment w:val="auto"/>
        <w:outlineLvl w:val="9"/>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zh-CN" w:eastAsia="zh-CN" w:bidi="ar-SA"/>
        </w:rPr>
        <w:t>截至2025年末，</w:t>
      </w:r>
      <w:r>
        <w:rPr>
          <w:rFonts w:hint="eastAsia" w:ascii="Times New Roman" w:hAnsi="Times New Roman" w:eastAsia="仿宋_GB2312" w:cs="仿宋_GB2312"/>
          <w:kern w:val="2"/>
          <w:sz w:val="32"/>
          <w:szCs w:val="32"/>
          <w:lang w:val="en-US" w:eastAsia="zh-CN" w:bidi="ar-SA"/>
        </w:rPr>
        <w:t>我院实有人数87人。</w:t>
      </w:r>
    </w:p>
    <w:p>
      <w:pPr>
        <w:keepNext w:val="0"/>
        <w:keepLines w:val="0"/>
        <w:pageBreakBefore w:val="0"/>
        <w:widowControl/>
        <w:kinsoku/>
        <w:wordWrap/>
        <w:overflowPunct/>
        <w:topLinePunct w:val="0"/>
        <w:autoSpaceDE/>
        <w:autoSpaceDN/>
        <w:bidi w:val="0"/>
        <w:adjustRightInd w:val="0"/>
        <w:snapToGrid w:val="0"/>
        <w:spacing w:line="600" w:lineRule="atLeast"/>
        <w:ind w:firstLine="640" w:firstLineChars="200"/>
        <w:contextualSpacing/>
        <w:jc w:val="left"/>
        <w:textAlignment w:val="auto"/>
        <w:outlineLvl w:val="0"/>
        <w:rPr>
          <w:rFonts w:hint="eastAsia" w:ascii="宋体" w:hAnsi="宋体" w:eastAsia="宋体" w:cs="宋体"/>
          <w:color w:val="000000"/>
          <w:kern w:val="0"/>
          <w:sz w:val="32"/>
          <w:szCs w:val="32"/>
          <w:highlight w:val="none"/>
          <w:shd w:val="clear" w:color="auto" w:fill="FFFFFF"/>
        </w:rPr>
      </w:pPr>
      <w:r>
        <w:rPr>
          <w:rFonts w:hint="eastAsia" w:ascii="宋体" w:hAnsi="宋体" w:eastAsia="宋体" w:cs="宋体"/>
          <w:color w:val="000000"/>
          <w:kern w:val="0"/>
          <w:sz w:val="32"/>
          <w:szCs w:val="32"/>
          <w:highlight w:val="none"/>
          <w:shd w:val="clear" w:color="auto" w:fill="FFFFFF"/>
        </w:rPr>
        <w:t>二、</w:t>
      </w:r>
      <w:r>
        <w:rPr>
          <w:rFonts w:hint="eastAsia" w:ascii="宋体" w:hAnsi="宋体" w:eastAsia="宋体" w:cs="宋体"/>
          <w:color w:val="000000"/>
          <w:kern w:val="0"/>
          <w:sz w:val="32"/>
          <w:szCs w:val="32"/>
          <w:highlight w:val="none"/>
          <w:shd w:val="clear" w:color="auto" w:fill="FFFFFF"/>
          <w:lang w:eastAsia="zh-CN"/>
        </w:rPr>
        <w:t>部门</w:t>
      </w:r>
      <w:r>
        <w:rPr>
          <w:rFonts w:hint="eastAsia" w:ascii="宋体" w:hAnsi="宋体" w:eastAsia="宋体" w:cs="宋体"/>
          <w:color w:val="000000"/>
          <w:kern w:val="0"/>
          <w:sz w:val="32"/>
          <w:szCs w:val="32"/>
          <w:highlight w:val="none"/>
          <w:shd w:val="clear" w:color="auto" w:fill="FFFFFF"/>
        </w:rPr>
        <w:t>资金收支情况</w:t>
      </w:r>
    </w:p>
    <w:p>
      <w:pPr>
        <w:keepNext w:val="0"/>
        <w:keepLines w:val="0"/>
        <w:pageBreakBefore w:val="0"/>
        <w:widowControl/>
        <w:kinsoku/>
        <w:wordWrap/>
        <w:overflowPunct/>
        <w:topLinePunct w:val="0"/>
        <w:autoSpaceDE/>
        <w:autoSpaceDN/>
        <w:bidi w:val="0"/>
        <w:adjustRightInd w:val="0"/>
        <w:snapToGrid w:val="0"/>
        <w:spacing w:line="600" w:lineRule="atLeast"/>
        <w:ind w:firstLine="643" w:firstLineChars="200"/>
        <w:contextualSpacing/>
        <w:jc w:val="left"/>
        <w:textAlignment w:val="auto"/>
        <w:outlineLvl w:val="1"/>
        <w:rPr>
          <w:rFonts w:hint="eastAsia" w:ascii="宋体" w:hAnsi="宋体" w:eastAsia="宋体" w:cs="宋体"/>
          <w:b/>
          <w:bCs/>
          <w:color w:val="000000"/>
          <w:kern w:val="0"/>
          <w:sz w:val="32"/>
          <w:szCs w:val="32"/>
          <w:highlight w:val="none"/>
          <w:shd w:val="clear" w:color="auto" w:fill="FFFFFF"/>
          <w:lang w:val="zh-CN"/>
        </w:rPr>
      </w:pPr>
      <w:r>
        <w:rPr>
          <w:rFonts w:hint="eastAsia" w:ascii="宋体" w:hAnsi="宋体" w:eastAsia="宋体" w:cs="宋体"/>
          <w:b/>
          <w:bCs/>
          <w:color w:val="000000"/>
          <w:kern w:val="0"/>
          <w:sz w:val="32"/>
          <w:szCs w:val="32"/>
          <w:highlight w:val="none"/>
          <w:shd w:val="clear" w:color="auto" w:fill="FFFFFF"/>
          <w:lang w:val="zh-CN"/>
        </w:rPr>
        <w:t>（一）收入情况。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firstLine="640" w:firstLineChars="200"/>
        <w:textAlignment w:val="auto"/>
        <w:outlineLvl w:val="9"/>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我院2025年年初预算收入1,477.49万元，年中调整预算数为735.45万元，决算报表收入2,212.94万元。</w:t>
      </w:r>
      <w:r>
        <w:rPr>
          <w:rFonts w:hint="eastAsia" w:ascii="Times New Roman" w:hAnsi="Times New Roman" w:eastAsia="仿宋_GB2312" w:cs="仿宋_GB2312"/>
          <w:kern w:val="2"/>
          <w:sz w:val="32"/>
          <w:szCs w:val="32"/>
          <w:lang w:val="zh-CN" w:eastAsia="zh-CN" w:bidi="ar-SA"/>
        </w:rPr>
        <w:t>其中：上年结转</w:t>
      </w:r>
      <w:r>
        <w:rPr>
          <w:rFonts w:hint="eastAsia" w:ascii="Times New Roman" w:hAnsi="Times New Roman" w:eastAsia="仿宋_GB2312" w:cs="仿宋_GB2312"/>
          <w:kern w:val="2"/>
          <w:sz w:val="32"/>
          <w:szCs w:val="32"/>
          <w:lang w:val="en-US" w:eastAsia="zh-CN" w:bidi="ar-SA"/>
        </w:rPr>
        <w:t>0万</w:t>
      </w:r>
      <w:r>
        <w:rPr>
          <w:rFonts w:hint="eastAsia" w:ascii="Times New Roman" w:hAnsi="Times New Roman" w:eastAsia="仿宋_GB2312" w:cs="仿宋_GB2312"/>
          <w:kern w:val="2"/>
          <w:sz w:val="32"/>
          <w:szCs w:val="32"/>
          <w:lang w:val="zh-CN" w:eastAsia="zh-CN" w:bidi="ar-SA"/>
        </w:rPr>
        <w:t>元，占</w:t>
      </w:r>
      <w:r>
        <w:rPr>
          <w:rFonts w:hint="eastAsia" w:ascii="Times New Roman" w:hAnsi="Times New Roman" w:eastAsia="仿宋_GB2312" w:cs="仿宋_GB2312"/>
          <w:kern w:val="2"/>
          <w:sz w:val="32"/>
          <w:szCs w:val="32"/>
          <w:lang w:val="en-US" w:eastAsia="zh-CN" w:bidi="ar-SA"/>
        </w:rPr>
        <w:t>0</w:t>
      </w:r>
      <w:r>
        <w:rPr>
          <w:rFonts w:hint="eastAsia" w:ascii="Times New Roman" w:hAnsi="Times New Roman" w:eastAsia="仿宋_GB2312" w:cs="仿宋_GB2312"/>
          <w:kern w:val="2"/>
          <w:sz w:val="32"/>
          <w:szCs w:val="32"/>
          <w:lang w:val="en" w:eastAsia="zh-CN" w:bidi="ar-SA"/>
        </w:rPr>
        <w:t>%；</w:t>
      </w:r>
      <w:r>
        <w:rPr>
          <w:rFonts w:hint="eastAsia" w:ascii="Times New Roman" w:hAnsi="Times New Roman" w:eastAsia="仿宋_GB2312" w:cs="仿宋_GB2312"/>
          <w:kern w:val="2"/>
          <w:sz w:val="32"/>
          <w:szCs w:val="32"/>
          <w:lang w:val="zh-CN" w:eastAsia="zh-CN" w:bidi="ar-SA"/>
        </w:rPr>
        <w:t>一般公共预算拨款收入</w:t>
      </w:r>
      <w:r>
        <w:rPr>
          <w:rFonts w:hint="eastAsia" w:ascii="Times New Roman" w:hAnsi="Times New Roman" w:eastAsia="仿宋_GB2312" w:cs="仿宋_GB2312"/>
          <w:kern w:val="2"/>
          <w:sz w:val="32"/>
          <w:szCs w:val="32"/>
          <w:lang w:val="en-US" w:eastAsia="zh-CN" w:bidi="ar-SA"/>
        </w:rPr>
        <w:t>2,212.94</w:t>
      </w:r>
      <w:r>
        <w:rPr>
          <w:rFonts w:hint="eastAsia" w:ascii="Times New Roman" w:hAnsi="Times New Roman" w:eastAsia="仿宋_GB2312" w:cs="仿宋_GB2312"/>
          <w:kern w:val="2"/>
          <w:sz w:val="32"/>
          <w:szCs w:val="32"/>
          <w:lang w:val="zh-CN" w:eastAsia="zh-CN" w:bidi="ar-SA"/>
        </w:rPr>
        <w:t>万元，占</w:t>
      </w:r>
      <w:r>
        <w:rPr>
          <w:rFonts w:hint="eastAsia" w:ascii="Times New Roman" w:hAnsi="Times New Roman" w:eastAsia="仿宋_GB2312" w:cs="仿宋_GB2312"/>
          <w:kern w:val="2"/>
          <w:sz w:val="32"/>
          <w:szCs w:val="32"/>
          <w:lang w:val="en-US" w:eastAsia="zh-CN" w:bidi="ar-SA"/>
        </w:rPr>
        <w:t>81.63</w:t>
      </w:r>
      <w:r>
        <w:rPr>
          <w:rFonts w:hint="eastAsia" w:ascii="Times New Roman" w:hAnsi="Times New Roman" w:eastAsia="仿宋_GB2312" w:cs="仿宋_GB2312"/>
          <w:kern w:val="2"/>
          <w:sz w:val="32"/>
          <w:szCs w:val="32"/>
          <w:lang w:val="en" w:eastAsia="zh-CN" w:bidi="ar-SA"/>
        </w:rPr>
        <w:t>%；</w:t>
      </w:r>
      <w:r>
        <w:rPr>
          <w:rFonts w:hint="eastAsia" w:ascii="Times New Roman" w:hAnsi="Times New Roman" w:eastAsia="仿宋_GB2312" w:cs="仿宋_GB2312"/>
          <w:kern w:val="2"/>
          <w:sz w:val="32"/>
          <w:szCs w:val="32"/>
          <w:lang w:val="en-US" w:eastAsia="zh-CN" w:bidi="ar-SA"/>
        </w:rPr>
        <w:t>其他收入522.73万元，</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占18.54%</w:t>
      </w:r>
      <w:r>
        <w:rPr>
          <w:rFonts w:hint="eastAsia" w:ascii="Times New Roman" w:hAnsi="Times New Roman" w:eastAsia="仿宋_GB2312" w:cs="仿宋_GB2312"/>
          <w:kern w:val="2"/>
          <w:sz w:val="32"/>
          <w:szCs w:val="32"/>
          <w:lang w:val="en" w:eastAsia="zh-CN" w:bidi="ar-SA"/>
        </w:rPr>
        <w:t>。</w:t>
      </w:r>
    </w:p>
    <w:p>
      <w:pPr>
        <w:keepNext w:val="0"/>
        <w:keepLines w:val="0"/>
        <w:pageBreakBefore w:val="0"/>
        <w:widowControl/>
        <w:kinsoku/>
        <w:wordWrap/>
        <w:overflowPunct/>
        <w:topLinePunct w:val="0"/>
        <w:autoSpaceDE/>
        <w:autoSpaceDN/>
        <w:bidi w:val="0"/>
        <w:adjustRightInd w:val="0"/>
        <w:snapToGrid w:val="0"/>
        <w:spacing w:line="600" w:lineRule="atLeast"/>
        <w:ind w:firstLine="643" w:firstLineChars="200"/>
        <w:contextualSpacing/>
        <w:jc w:val="left"/>
        <w:textAlignment w:val="auto"/>
        <w:outlineLvl w:val="1"/>
        <w:rPr>
          <w:rFonts w:hint="eastAsia" w:ascii="宋体" w:hAnsi="宋体" w:eastAsia="宋体" w:cs="宋体"/>
          <w:b/>
          <w:bCs/>
          <w:color w:val="000000"/>
          <w:kern w:val="0"/>
          <w:sz w:val="32"/>
          <w:szCs w:val="32"/>
          <w:highlight w:val="none"/>
          <w:shd w:val="clear" w:color="auto" w:fill="FFFFFF"/>
          <w:lang w:val="zh-CN"/>
        </w:rPr>
      </w:pPr>
      <w:r>
        <w:rPr>
          <w:rFonts w:hint="eastAsia" w:ascii="宋体" w:hAnsi="宋体" w:eastAsia="宋体" w:cs="宋体"/>
          <w:b/>
          <w:bCs/>
          <w:color w:val="000000"/>
          <w:kern w:val="0"/>
          <w:sz w:val="32"/>
          <w:szCs w:val="32"/>
          <w:highlight w:val="none"/>
          <w:shd w:val="clear" w:color="auto" w:fill="FFFFFF"/>
          <w:lang w:val="zh-CN"/>
        </w:rPr>
        <w:t>（二）支出情况。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firstLine="640" w:firstLineChars="200"/>
        <w:textAlignment w:val="auto"/>
        <w:outlineLvl w:val="9"/>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我院2025年年初支出预算数为1,477.49万元，其中：基本支出1,277.49万元，占支出总额的86.46%。项目支出200万元，占支出总额的13.54%。</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firstLine="640" w:firstLineChars="200"/>
        <w:textAlignment w:val="auto"/>
        <w:outlineLvl w:val="9"/>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我院2025年支出决算数为2,716.61万元，其中：基本支出2,340.30万元，占支出总额的86.15%；项目支出376.31万元，占支出总额的13.85%。</w:t>
      </w:r>
    </w:p>
    <w:p>
      <w:pPr>
        <w:keepNext w:val="0"/>
        <w:keepLines w:val="0"/>
        <w:pageBreakBefore w:val="0"/>
        <w:widowControl/>
        <w:kinsoku/>
        <w:wordWrap/>
        <w:overflowPunct/>
        <w:topLinePunct w:val="0"/>
        <w:autoSpaceDE/>
        <w:autoSpaceDN/>
        <w:bidi w:val="0"/>
        <w:adjustRightInd w:val="0"/>
        <w:snapToGrid w:val="0"/>
        <w:spacing w:line="600" w:lineRule="atLeast"/>
        <w:ind w:firstLine="643" w:firstLineChars="200"/>
        <w:contextualSpacing/>
        <w:jc w:val="left"/>
        <w:textAlignment w:val="auto"/>
        <w:outlineLvl w:val="1"/>
        <w:rPr>
          <w:rFonts w:hint="eastAsia" w:ascii="宋体" w:hAnsi="宋体" w:eastAsia="宋体" w:cs="宋体"/>
          <w:b/>
          <w:sz w:val="32"/>
          <w:szCs w:val="32"/>
          <w:lang w:eastAsia="zh-CN"/>
        </w:rPr>
      </w:pPr>
      <w:r>
        <w:rPr>
          <w:rFonts w:hint="eastAsia" w:ascii="宋体" w:hAnsi="宋体" w:eastAsia="宋体" w:cs="宋体"/>
          <w:b/>
          <w:bCs/>
          <w:color w:val="000000"/>
          <w:kern w:val="0"/>
          <w:sz w:val="32"/>
          <w:szCs w:val="32"/>
          <w:highlight w:val="none"/>
          <w:shd w:val="clear" w:color="auto" w:fill="FFFFFF"/>
          <w:lang w:val="zh-CN"/>
        </w:rPr>
        <w:t>（三）</w:t>
      </w:r>
      <w:r>
        <w:rPr>
          <w:rFonts w:hint="eastAsia" w:ascii="宋体" w:hAnsi="宋体" w:eastAsia="宋体" w:cs="宋体"/>
          <w:b/>
          <w:sz w:val="32"/>
          <w:szCs w:val="32"/>
        </w:rPr>
        <w:t>结余分配和结转结余情况</w:t>
      </w:r>
      <w:r>
        <w:rPr>
          <w:rFonts w:hint="eastAsia" w:ascii="宋体" w:hAnsi="宋体" w:eastAsia="宋体" w:cs="宋体"/>
          <w:b/>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firstLine="640" w:firstLineChars="200"/>
        <w:textAlignment w:val="auto"/>
        <w:outlineLvl w:val="9"/>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en-US" w:eastAsia="zh-CN" w:bidi="ar-SA"/>
        </w:rPr>
        <w:t>根据2025年决算报表，我院2025年年末存在结转结余资金，金额为36.36万元。</w:t>
      </w:r>
    </w:p>
    <w:p>
      <w:pPr>
        <w:keepNext w:val="0"/>
        <w:keepLines w:val="0"/>
        <w:pageBreakBefore w:val="0"/>
        <w:widowControl/>
        <w:kinsoku/>
        <w:wordWrap/>
        <w:overflowPunct/>
        <w:topLinePunct w:val="0"/>
        <w:autoSpaceDE/>
        <w:autoSpaceDN/>
        <w:bidi w:val="0"/>
        <w:adjustRightInd w:val="0"/>
        <w:snapToGrid w:val="0"/>
        <w:spacing w:line="600" w:lineRule="atLeast"/>
        <w:ind w:firstLine="640" w:firstLineChars="200"/>
        <w:contextualSpacing/>
        <w:jc w:val="left"/>
        <w:textAlignment w:val="auto"/>
        <w:outlineLvl w:val="0"/>
        <w:rPr>
          <w:rFonts w:hint="eastAsia" w:ascii="宋体" w:hAnsi="宋体" w:eastAsia="宋体" w:cs="宋体"/>
          <w:color w:val="000000" w:themeColor="text1"/>
          <w:kern w:val="0"/>
          <w:sz w:val="32"/>
          <w:szCs w:val="32"/>
          <w:highlight w:val="none"/>
          <w:shd w:val="clear" w:color="auto" w:fill="FFFFFF"/>
          <w14:textFill>
            <w14:solidFill>
              <w14:schemeClr w14:val="tx1"/>
            </w14:solidFill>
          </w14:textFill>
        </w:rPr>
      </w:pPr>
      <w:r>
        <w:rPr>
          <w:rFonts w:hint="eastAsia" w:ascii="宋体" w:hAnsi="宋体" w:eastAsia="宋体" w:cs="宋体"/>
          <w:color w:val="000000"/>
          <w:kern w:val="0"/>
          <w:sz w:val="32"/>
          <w:szCs w:val="32"/>
          <w:highlight w:val="none"/>
          <w:shd w:val="clear" w:color="auto" w:fill="FFFFFF"/>
        </w:rPr>
        <w:t>三、</w:t>
      </w:r>
      <w:r>
        <w:rPr>
          <w:rFonts w:hint="eastAsia" w:ascii="宋体" w:hAnsi="宋体" w:eastAsia="宋体" w:cs="宋体"/>
          <w:color w:val="000000"/>
          <w:kern w:val="0"/>
          <w:sz w:val="32"/>
          <w:szCs w:val="32"/>
          <w:highlight w:val="none"/>
          <w:u w:val="none"/>
          <w:shd w:val="clear" w:color="auto" w:fill="FFFFFF"/>
        </w:rPr>
        <w:t>部门</w:t>
      </w:r>
      <w:r>
        <w:rPr>
          <w:rFonts w:hint="eastAsia" w:ascii="宋体" w:hAnsi="宋体" w:eastAsia="宋体" w:cs="宋体"/>
          <w:color w:val="000000"/>
          <w:kern w:val="0"/>
          <w:sz w:val="32"/>
          <w:szCs w:val="32"/>
          <w:highlight w:val="none"/>
          <w:u w:val="none"/>
          <w:shd w:val="clear" w:color="auto" w:fill="FFFFFF"/>
          <w:lang w:eastAsia="zh-CN"/>
        </w:rPr>
        <w:t>预算</w:t>
      </w:r>
      <w:r>
        <w:rPr>
          <w:rFonts w:hint="eastAsia" w:ascii="宋体" w:hAnsi="宋体" w:eastAsia="宋体" w:cs="宋体"/>
          <w:color w:val="000000"/>
          <w:kern w:val="0"/>
          <w:sz w:val="32"/>
          <w:szCs w:val="32"/>
          <w:highlight w:val="none"/>
          <w:u w:val="none"/>
          <w:shd w:val="clear" w:color="auto" w:fill="FFFFFF"/>
        </w:rPr>
        <w:t>绩效</w:t>
      </w:r>
      <w:r>
        <w:rPr>
          <w:rFonts w:hint="eastAsia" w:ascii="宋体" w:hAnsi="宋体" w:eastAsia="宋体" w:cs="宋体"/>
          <w:color w:val="000000"/>
          <w:kern w:val="0"/>
          <w:sz w:val="32"/>
          <w:szCs w:val="32"/>
          <w:highlight w:val="none"/>
          <w:u w:val="none"/>
          <w:shd w:val="clear" w:color="auto" w:fill="FFFFFF"/>
          <w:lang w:eastAsia="zh-CN"/>
        </w:rPr>
        <w:t>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atLeast"/>
        <w:ind w:firstLine="643" w:firstLineChars="200"/>
        <w:contextualSpacing/>
        <w:jc w:val="left"/>
        <w:textAlignment w:val="auto"/>
        <w:outlineLvl w:val="1"/>
        <w:rPr>
          <w:rFonts w:hint="eastAsia" w:ascii="宋体" w:hAnsi="宋体" w:eastAsia="宋体" w:cs="宋体"/>
          <w:color w:val="000000"/>
          <w:kern w:val="0"/>
          <w:sz w:val="32"/>
          <w:szCs w:val="32"/>
          <w:highlight w:val="none"/>
          <w:shd w:val="clear" w:color="auto" w:fill="FFFFFF"/>
          <w:lang w:val="zh-CN"/>
        </w:rPr>
      </w:pPr>
      <w:r>
        <w:rPr>
          <w:rFonts w:hint="eastAsia" w:ascii="宋体" w:hAnsi="宋体" w:eastAsia="宋体" w:cs="宋体"/>
          <w:b/>
          <w:bCs/>
          <w:color w:val="000000"/>
          <w:kern w:val="0"/>
          <w:sz w:val="32"/>
          <w:szCs w:val="32"/>
          <w:highlight w:val="none"/>
          <w:shd w:val="clear" w:color="auto" w:fill="FFFFFF"/>
          <w:lang w:val="zh-CN"/>
        </w:rPr>
        <w:t>（一）部门预算总体绩效分析。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atLeast"/>
        <w:ind w:firstLine="640" w:firstLineChars="200"/>
        <w:contextualSpacing/>
        <w:jc w:val="left"/>
        <w:textAlignment w:val="auto"/>
        <w:outlineLvl w:val="2"/>
        <w:rPr>
          <w:rFonts w:hint="eastAsia" w:ascii="宋体" w:hAnsi="宋体" w:eastAsia="宋体" w:cs="宋体"/>
          <w:color w:val="000000"/>
          <w:kern w:val="0"/>
          <w:sz w:val="32"/>
          <w:szCs w:val="32"/>
          <w:highlight w:val="none"/>
          <w:shd w:val="clear" w:color="auto" w:fill="FFFFFF"/>
          <w:lang w:val="zh-CN"/>
        </w:rPr>
      </w:pPr>
      <w:r>
        <w:rPr>
          <w:rFonts w:hint="eastAsia" w:ascii="宋体" w:hAnsi="宋体" w:eastAsia="宋体" w:cs="宋体"/>
          <w:color w:val="000000"/>
          <w:kern w:val="0"/>
          <w:sz w:val="32"/>
          <w:szCs w:val="32"/>
          <w:highlight w:val="none"/>
          <w:shd w:val="clear" w:color="auto" w:fill="FFFFFF"/>
          <w:lang w:val="en-US" w:eastAsia="zh-CN"/>
        </w:rPr>
        <w:t>1.</w:t>
      </w:r>
      <w:r>
        <w:rPr>
          <w:rFonts w:hint="eastAsia" w:ascii="宋体" w:hAnsi="宋体" w:eastAsia="宋体" w:cs="宋体"/>
          <w:color w:val="000000"/>
          <w:kern w:val="0"/>
          <w:sz w:val="32"/>
          <w:szCs w:val="32"/>
          <w:highlight w:val="none"/>
          <w:shd w:val="clear" w:color="auto" w:fill="FFFFFF"/>
          <w:lang w:val="zh-CN"/>
        </w:rPr>
        <w:t>履职效能。</w:t>
      </w:r>
    </w:p>
    <w:p>
      <w:pPr>
        <w:pStyle w:val="14"/>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保障我院依法审理应当由本院审理的刑事、民事、行政、执行等案件。充分发挥法院审判执行工作职能，全面提升审判执行工作质效。开展普法宣传，维护社会稳定和长治久安。推进装备系统化，信息化，规范化，提升诉讼服务质量。充分发挥法院审判执行工作职能，全面提升审判执行工作质效。开展普法宣传，维护社会稳定和长治久安。推进装备系统化，信息化，规范化，提升诉讼服务质量。2025年我院法院结案数≥500件；法院收案数≥500件；完成及时率=100%。2025年我院部门履职情况良好，目标基本实现。</w:t>
      </w:r>
    </w:p>
    <w:p>
      <w:pPr>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综上，根据评分标准，该项指标扣0分，得15分。</w:t>
      </w:r>
    </w:p>
    <w:p>
      <w:pPr>
        <w:pageBreakBefore w:val="0"/>
        <w:widowControl w:val="0"/>
        <w:kinsoku/>
        <w:wordWrap/>
        <w:overflowPunct/>
        <w:topLinePunct w:val="0"/>
        <w:autoSpaceDE/>
        <w:autoSpaceDN/>
        <w:bidi w:val="0"/>
        <w:adjustRightInd/>
        <w:snapToGrid/>
        <w:spacing w:line="600" w:lineRule="atLeast"/>
        <w:textAlignment w:val="auto"/>
        <w:outlineLvl w:val="2"/>
        <w:rPr>
          <w:rFonts w:hint="eastAsia" w:ascii="宋体" w:hAnsi="宋体" w:eastAsia="宋体" w:cs="宋体"/>
          <w:color w:val="000000"/>
          <w:kern w:val="0"/>
          <w:sz w:val="32"/>
          <w:szCs w:val="32"/>
          <w:highlight w:val="none"/>
          <w:shd w:val="clear" w:color="auto" w:fill="FFFFFF"/>
          <w:lang w:val="zh-CN"/>
        </w:rPr>
      </w:pPr>
      <w:r>
        <w:rPr>
          <w:rFonts w:hint="eastAsia" w:ascii="宋体" w:hAnsi="宋体" w:eastAsia="宋体" w:cs="宋体"/>
          <w:color w:val="000000"/>
          <w:kern w:val="0"/>
          <w:sz w:val="32"/>
          <w:szCs w:val="32"/>
          <w:highlight w:val="none"/>
          <w:shd w:val="clear" w:color="auto" w:fill="FFFFFF"/>
          <w:lang w:val="en-US" w:eastAsia="zh-CN"/>
        </w:rPr>
        <w:t>2.</w:t>
      </w:r>
      <w:r>
        <w:rPr>
          <w:rFonts w:hint="eastAsia" w:ascii="宋体" w:hAnsi="宋体" w:eastAsia="宋体" w:cs="宋体"/>
          <w:color w:val="000000"/>
          <w:kern w:val="0"/>
          <w:sz w:val="32"/>
          <w:szCs w:val="32"/>
          <w:highlight w:val="none"/>
          <w:shd w:val="clear" w:color="auto" w:fill="FFFFFF"/>
          <w:lang w:val="zh-CN"/>
        </w:rPr>
        <w:t>预算管理。</w:t>
      </w:r>
    </w:p>
    <w:p>
      <w:pPr>
        <w:pageBreakBefore w:val="0"/>
        <w:widowControl w:val="0"/>
        <w:kinsoku/>
        <w:wordWrap/>
        <w:overflowPunct/>
        <w:topLinePunct w:val="0"/>
        <w:autoSpaceDE/>
        <w:autoSpaceDN/>
        <w:bidi w:val="0"/>
        <w:adjustRightInd/>
        <w:snapToGrid/>
        <w:spacing w:line="600" w:lineRule="atLeast"/>
        <w:textAlignment w:val="auto"/>
        <w:outlineLvl w:val="3"/>
        <w:rPr>
          <w:rFonts w:hint="eastAsia" w:ascii="宋体" w:hAnsi="宋体" w:eastAsia="宋体" w:cs="宋体"/>
          <w:sz w:val="32"/>
          <w:szCs w:val="32"/>
          <w:lang w:val="zh-CN"/>
        </w:rPr>
      </w:pPr>
      <w:r>
        <w:rPr>
          <w:rFonts w:hint="eastAsia" w:ascii="宋体" w:hAnsi="宋体" w:eastAsia="宋体" w:cs="宋体"/>
          <w:sz w:val="32"/>
          <w:szCs w:val="32"/>
          <w:lang w:val="zh-CN"/>
        </w:rPr>
        <w:t>（</w:t>
      </w:r>
      <w:r>
        <w:rPr>
          <w:rFonts w:hint="eastAsia" w:ascii="宋体" w:hAnsi="宋体" w:eastAsia="宋体" w:cs="宋体"/>
          <w:sz w:val="32"/>
          <w:szCs w:val="32"/>
          <w:lang w:val="en-US" w:eastAsia="zh-CN"/>
        </w:rPr>
        <w:t>1</w:t>
      </w:r>
      <w:r>
        <w:rPr>
          <w:rFonts w:hint="eastAsia" w:ascii="宋体" w:hAnsi="宋体" w:eastAsia="宋体" w:cs="宋体"/>
          <w:sz w:val="32"/>
          <w:szCs w:val="32"/>
          <w:lang w:val="zh-CN"/>
        </w:rPr>
        <w:t>）预算编制质量</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2025年我院严格按照相关要求编制年初部门预算，根据2025年度预算执行情况，部门预算偏离程度如下：</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①财政拨款预算偏离度=|预算执行数-年初预算数|÷年初预算数=|2,716.61-1,477.49|÷1,477.49=0.84。</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②资产配置预算偏离度=|预算执行数-年初预算数|÷年初预算数，2025年我院资产配置年初预算数为0.00万元，资产配置预算执行数为0.00万元，故无法计算按照公式计算资产配置预算偏离度，但根据实际情况，我院2025年资产配置预算偏离程度正常。</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③政府采购预算偏离度=|预算执行数-年初预算数|÷年初预算数=|200-196.31|÷196.31=0.02。2025年我院安排政府采购预算200万元，政府采购预算执行数为196.31万元，我院2025年政府采购预算偏离程度较小。</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2025年我院年初财政拨款预算和资产配置预算偏离度较小，政府采购预算偏离度较小。该项指标得分=（1-财政拨款预算偏离度）×100%×4+（1-资产配置预算偏离度）×100%×2+（1-政府采购预算偏离度）×100%×2=（1-0.84）×100%×4+（1-0）×100%×2+（1-0.02）×100%×2=4.6</w:t>
      </w:r>
    </w:p>
    <w:p>
      <w:pPr>
        <w:pageBreakBefore w:val="0"/>
        <w:widowControl w:val="0"/>
        <w:kinsoku/>
        <w:wordWrap/>
        <w:overflowPunct/>
        <w:topLinePunct w:val="0"/>
        <w:autoSpaceDE/>
        <w:autoSpaceDN/>
        <w:bidi w:val="0"/>
        <w:adjustRightInd/>
        <w:snapToGrid/>
        <w:spacing w:line="600" w:lineRule="atLeast"/>
        <w:textAlignment w:val="auto"/>
        <w:rPr>
          <w:rFonts w:hint="eastAsia" w:ascii="宋体" w:hAnsi="宋体" w:eastAsia="宋体" w:cs="宋体"/>
          <w:sz w:val="32"/>
          <w:szCs w:val="32"/>
          <w:highlight w:val="none"/>
          <w:lang w:val="en-US" w:eastAsia="zh-CN"/>
        </w:rPr>
      </w:pPr>
      <w:r>
        <w:rPr>
          <w:rFonts w:hint="eastAsia" w:ascii="Times New Roman" w:hAnsi="Times New Roman" w:eastAsia="仿宋_GB2312" w:cs="仿宋_GB2312"/>
          <w:kern w:val="2"/>
          <w:sz w:val="32"/>
          <w:szCs w:val="32"/>
          <w:lang w:val="en-US" w:eastAsia="zh-CN" w:bidi="ar-SA"/>
        </w:rPr>
        <w:t>综上，根据评分标准，该项指标扣3.4分，得4.6分。</w:t>
      </w:r>
    </w:p>
    <w:p>
      <w:pPr>
        <w:pageBreakBefore w:val="0"/>
        <w:widowControl w:val="0"/>
        <w:kinsoku/>
        <w:wordWrap/>
        <w:overflowPunct/>
        <w:topLinePunct w:val="0"/>
        <w:autoSpaceDE/>
        <w:autoSpaceDN/>
        <w:bidi w:val="0"/>
        <w:adjustRightInd/>
        <w:snapToGrid/>
        <w:spacing w:line="600" w:lineRule="atLeast"/>
        <w:textAlignment w:val="auto"/>
        <w:outlineLvl w:val="3"/>
        <w:rPr>
          <w:rFonts w:hint="eastAsia" w:ascii="宋体" w:hAnsi="宋体" w:eastAsia="宋体" w:cs="宋体"/>
          <w:sz w:val="32"/>
          <w:szCs w:val="32"/>
          <w:highlight w:val="none"/>
          <w:lang w:val="en-US" w:eastAsia="zh-CN"/>
        </w:rPr>
      </w:pPr>
    </w:p>
    <w:p>
      <w:pPr>
        <w:pageBreakBefore w:val="0"/>
        <w:widowControl w:val="0"/>
        <w:kinsoku/>
        <w:wordWrap/>
        <w:overflowPunct/>
        <w:topLinePunct w:val="0"/>
        <w:autoSpaceDE/>
        <w:autoSpaceDN/>
        <w:bidi w:val="0"/>
        <w:adjustRightInd/>
        <w:snapToGrid/>
        <w:spacing w:line="600" w:lineRule="atLeast"/>
        <w:textAlignment w:val="auto"/>
        <w:outlineLvl w:val="3"/>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（2）单位收入统筹</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我院属于财政全额拨款单位，无自有收入，故不涉及此项考核。</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根据评分标准，该项指标不扣分，得4分。</w:t>
      </w:r>
    </w:p>
    <w:p>
      <w:pPr>
        <w:pageBreakBefore w:val="0"/>
        <w:widowControl w:val="0"/>
        <w:kinsoku/>
        <w:wordWrap/>
        <w:overflowPunct/>
        <w:topLinePunct w:val="0"/>
        <w:autoSpaceDE/>
        <w:autoSpaceDN/>
        <w:bidi w:val="0"/>
        <w:adjustRightInd/>
        <w:snapToGrid/>
        <w:spacing w:line="600" w:lineRule="atLeast"/>
        <w:textAlignment w:val="auto"/>
        <w:outlineLvl w:val="3"/>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（3）支出执行进度</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2025年我院全年预算数为2,716.61万元，1至6月预算执行数为1,036.72万元，支出预警金额为0.00万元，支出预警金额占比为0.00%，1-6月无支出违规事项；</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1至10月预算执行数为1,608.34万元，支出预警金额为0.00万元，支出预警金额占比为0.00%，无支出违规事项。</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综上，根据评分标准，该项指标扣1.47分，得4.53分。</w:t>
      </w:r>
    </w:p>
    <w:p>
      <w:pPr>
        <w:pageBreakBefore w:val="0"/>
        <w:widowControl w:val="0"/>
        <w:kinsoku/>
        <w:wordWrap/>
        <w:overflowPunct/>
        <w:topLinePunct w:val="0"/>
        <w:autoSpaceDE/>
        <w:autoSpaceDN/>
        <w:bidi w:val="0"/>
        <w:adjustRightInd/>
        <w:snapToGrid/>
        <w:spacing w:line="600" w:lineRule="atLeast"/>
        <w:textAlignment w:val="auto"/>
        <w:outlineLvl w:val="3"/>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（4）预算年终结余</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2025年我院全年预算数为2,716.61万元，预算执行数为2,716.61万元，部门整体预算结余率为0.00%。该项指标得分=（1-部门整体预算结余率）×100%×2=（1-0.00%）×100%×2=2</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宋体" w:hAnsi="宋体" w:eastAsia="宋体" w:cs="宋体"/>
          <w:sz w:val="32"/>
          <w:szCs w:val="32"/>
          <w:highlight w:val="none"/>
          <w:lang w:val="en-US" w:eastAsia="zh-CN"/>
        </w:rPr>
      </w:pPr>
      <w:r>
        <w:rPr>
          <w:rFonts w:hint="eastAsia" w:ascii="Times New Roman" w:hAnsi="Times New Roman" w:eastAsia="仿宋_GB2312" w:cs="仿宋_GB2312"/>
          <w:kern w:val="2"/>
          <w:sz w:val="32"/>
          <w:szCs w:val="32"/>
          <w:lang w:val="en-US" w:eastAsia="zh-CN" w:bidi="ar-SA"/>
        </w:rPr>
        <w:t>综上，根据评分标准，该项指标扣0分，得2分。</w:t>
      </w:r>
    </w:p>
    <w:p>
      <w:pPr>
        <w:pageBreakBefore w:val="0"/>
        <w:widowControl w:val="0"/>
        <w:kinsoku/>
        <w:wordWrap/>
        <w:overflowPunct/>
        <w:topLinePunct w:val="0"/>
        <w:autoSpaceDE/>
        <w:autoSpaceDN/>
        <w:bidi w:val="0"/>
        <w:adjustRightInd/>
        <w:snapToGrid/>
        <w:spacing w:line="600" w:lineRule="atLeast"/>
        <w:textAlignment w:val="auto"/>
        <w:outlineLvl w:val="3"/>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（5）严控一般性支出</w:t>
      </w:r>
    </w:p>
    <w:p>
      <w:pPr>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2025年我院“三公”经费5.06万元、差旅费21.65万元、培训费0.69万元。2025年度财政拨款预算执行数较 2024年度财政拨款预算执行数减少的主要原因为:坚持厉行节约、勤俭办切事业，深入贯彻国务院关于落实政府过“紧日子”的要求，从数量、规模、形式等方面压缩公务活动支出，严格执行会议费、培训费、差旅费等支出标准，严格控制和压减一般性支出。</w:t>
      </w:r>
    </w:p>
    <w:p>
      <w:pPr>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宋体" w:hAnsi="宋体" w:eastAsia="宋体" w:cs="宋体"/>
          <w:caps w:val="0"/>
          <w:kern w:val="2"/>
          <w:sz w:val="32"/>
          <w:szCs w:val="32"/>
          <w:highlight w:val="none"/>
          <w:lang w:val="en-US" w:eastAsia="zh-CN" w:bidi="ar-SA"/>
        </w:rPr>
      </w:pPr>
      <w:r>
        <w:rPr>
          <w:rFonts w:hint="eastAsia" w:ascii="Times New Roman" w:hAnsi="Times New Roman" w:eastAsia="仿宋_GB2312" w:cs="仿宋_GB2312"/>
          <w:b w:val="0"/>
          <w:bCs w:val="0"/>
          <w:kern w:val="2"/>
          <w:sz w:val="32"/>
          <w:szCs w:val="32"/>
          <w:lang w:val="en-US" w:eastAsia="zh-CN" w:bidi="ar-SA"/>
        </w:rPr>
        <w:t>综上，根据评分标准，该项指标扣2分，得3分</w:t>
      </w:r>
      <w:r>
        <w:rPr>
          <w:rFonts w:hint="eastAsia" w:ascii="宋体" w:hAnsi="宋体" w:eastAsia="宋体" w:cs="宋体"/>
          <w:caps w:val="0"/>
          <w:kern w:val="2"/>
          <w:sz w:val="32"/>
          <w:szCs w:val="32"/>
          <w:highlight w:val="none"/>
          <w:lang w:val="en-US" w:eastAsia="zh-CN" w:bidi="ar-SA"/>
        </w:rPr>
        <w:t>。</w:t>
      </w:r>
    </w:p>
    <w:p>
      <w:pPr>
        <w:pStyle w:val="5"/>
        <w:pageBreakBefore w:val="0"/>
        <w:widowControl w:val="0"/>
        <w:kinsoku/>
        <w:wordWrap/>
        <w:overflowPunct/>
        <w:topLinePunct w:val="0"/>
        <w:autoSpaceDE/>
        <w:autoSpaceDN/>
        <w:bidi w:val="0"/>
        <w:adjustRightInd/>
        <w:snapToGrid/>
        <w:spacing w:line="550" w:lineRule="exact"/>
        <w:textAlignment w:val="auto"/>
        <w:rPr>
          <w:rFonts w:hint="eastAsia" w:ascii="宋体" w:hAnsi="宋体" w:eastAsia="宋体" w:cs="宋体"/>
          <w:sz w:val="32"/>
          <w:szCs w:val="32"/>
          <w:highlight w:val="none"/>
          <w:lang w:val="zh-CN"/>
        </w:rPr>
      </w:pPr>
      <w:r>
        <w:rPr>
          <w:rFonts w:hint="eastAsia" w:ascii="宋体" w:hAnsi="宋体" w:eastAsia="宋体" w:cs="宋体"/>
          <w:sz w:val="32"/>
          <w:szCs w:val="32"/>
          <w:highlight w:val="none"/>
          <w:lang w:val="en-US" w:eastAsia="zh-CN"/>
        </w:rPr>
        <w:t>3.</w:t>
      </w:r>
      <w:r>
        <w:rPr>
          <w:rFonts w:hint="eastAsia" w:ascii="宋体" w:hAnsi="宋体" w:eastAsia="宋体" w:cs="宋体"/>
          <w:sz w:val="32"/>
          <w:szCs w:val="32"/>
          <w:highlight w:val="none"/>
          <w:lang w:val="zh-CN"/>
        </w:rPr>
        <w:t>财务管理。</w:t>
      </w:r>
    </w:p>
    <w:p>
      <w:pPr>
        <w:pageBreakBefore w:val="0"/>
        <w:widowControl w:val="0"/>
        <w:kinsoku/>
        <w:wordWrap/>
        <w:overflowPunct/>
        <w:topLinePunct w:val="0"/>
        <w:autoSpaceDE/>
        <w:autoSpaceDN/>
        <w:bidi w:val="0"/>
        <w:adjustRightInd/>
        <w:snapToGrid/>
        <w:spacing w:line="550" w:lineRule="exact"/>
        <w:textAlignment w:val="auto"/>
        <w:outlineLvl w:val="3"/>
        <w:rPr>
          <w:rFonts w:hint="eastAsia" w:ascii="宋体" w:hAnsi="宋体" w:eastAsia="宋体" w:cs="宋体"/>
          <w:sz w:val="32"/>
          <w:szCs w:val="32"/>
          <w:highlight w:val="none"/>
          <w:lang w:val="zh-CN"/>
        </w:rPr>
      </w:pPr>
      <w:r>
        <w:rPr>
          <w:rFonts w:hint="eastAsia" w:ascii="宋体" w:hAnsi="宋体" w:eastAsia="宋体" w:cs="宋体"/>
          <w:sz w:val="32"/>
          <w:szCs w:val="32"/>
          <w:highlight w:val="none"/>
          <w:lang w:val="zh-CN"/>
        </w:rPr>
        <w:t>（</w:t>
      </w:r>
      <w:r>
        <w:rPr>
          <w:rFonts w:hint="eastAsia" w:ascii="宋体" w:hAnsi="宋体" w:eastAsia="宋体" w:cs="宋体"/>
          <w:sz w:val="32"/>
          <w:szCs w:val="32"/>
          <w:highlight w:val="none"/>
          <w:lang w:val="en-US" w:eastAsia="zh-CN"/>
        </w:rPr>
        <w:t>1</w:t>
      </w:r>
      <w:r>
        <w:rPr>
          <w:rFonts w:hint="eastAsia" w:ascii="宋体" w:hAnsi="宋体" w:eastAsia="宋体" w:cs="宋体"/>
          <w:sz w:val="32"/>
          <w:szCs w:val="32"/>
          <w:highlight w:val="none"/>
          <w:lang w:val="zh-CN"/>
        </w:rPr>
        <w:t>）财务管理制度</w:t>
      </w:r>
    </w:p>
    <w:p>
      <w:pPr>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zh-CN" w:eastAsia="zh-CN" w:bidi="ar-SA"/>
        </w:rPr>
        <w:t>为加强和规范我院</w:t>
      </w:r>
      <w:r>
        <w:rPr>
          <w:rFonts w:hint="eastAsia" w:ascii="Times New Roman" w:hAnsi="Times New Roman" w:eastAsia="仿宋_GB2312" w:cs="仿宋_GB2312"/>
          <w:kern w:val="2"/>
          <w:sz w:val="32"/>
          <w:szCs w:val="32"/>
          <w:lang w:val="en-US" w:eastAsia="zh-CN" w:bidi="ar-SA"/>
        </w:rPr>
        <w:t>内部控制管理水平和风险防范能力，健全规范内部控制机制，加强廉政风险防控机制建设，我院2025年在对预算、收支、政府采购、资产、建设项目、合同等各类经济业务活动流程梳理的基础上，依据《关于全面推进行政事业单位内部控制建设的指导意见》（财会〔2015〕24号）等文件编制了《内部控制手册》，部门内部财务管理制度等制度机制建立健全，制度得到有效执行。</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综上，根据评分标准，该项指标扣0分，得4分。</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w:t>
      </w:r>
      <w:r>
        <w:rPr>
          <w:rFonts w:hint="eastAsia" w:ascii="Times New Roman" w:hAnsi="Times New Roman" w:eastAsia="仿宋_GB2312" w:cs="仿宋_GB2312"/>
          <w:kern w:val="2"/>
          <w:sz w:val="32"/>
          <w:szCs w:val="32"/>
          <w:lang w:val="en-US" w:eastAsia="zh-CN" w:bidi="ar-SA"/>
        </w:rPr>
        <w:t>2</w:t>
      </w:r>
      <w:r>
        <w:rPr>
          <w:rFonts w:hint="eastAsia" w:ascii="Times New Roman" w:hAnsi="Times New Roman" w:eastAsia="仿宋_GB2312" w:cs="仿宋_GB2312"/>
          <w:kern w:val="2"/>
          <w:sz w:val="32"/>
          <w:szCs w:val="32"/>
          <w:lang w:val="zh-CN" w:eastAsia="zh-CN" w:bidi="ar-SA"/>
        </w:rPr>
        <w:t>）财务岗位设置</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我院合理设置财务岗位，明确各岗位职责权限，确保工作有序进行。同时，严格遵循不相容岗位分离原则，如会计与出纳、审核与执行等岗位分离，形成了相互制约、监督的机制，</w:t>
      </w:r>
      <w:r>
        <w:rPr>
          <w:rFonts w:hint="eastAsia" w:ascii="Times New Roman" w:hAnsi="Times New Roman" w:eastAsia="仿宋_GB2312" w:cs="仿宋_GB2312"/>
          <w:kern w:val="2"/>
          <w:sz w:val="32"/>
          <w:szCs w:val="32"/>
          <w:lang w:val="en-US" w:eastAsia="zh-CN" w:bidi="ar-SA"/>
        </w:rPr>
        <w:t>进而</w:t>
      </w:r>
      <w:r>
        <w:rPr>
          <w:rFonts w:hint="eastAsia" w:ascii="Times New Roman" w:hAnsi="Times New Roman" w:eastAsia="仿宋_GB2312" w:cs="仿宋_GB2312"/>
          <w:kern w:val="2"/>
          <w:sz w:val="32"/>
          <w:szCs w:val="32"/>
          <w:lang w:val="zh-CN" w:eastAsia="zh-CN" w:bidi="ar-SA"/>
        </w:rPr>
        <w:t>增强了财务数据的准确性，提升了内部控制效能，确保了财务工作的高效与透明。</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en-US" w:eastAsia="zh-CN" w:bidi="ar-SA"/>
        </w:rPr>
        <w:t>综上，根据评分标准，该项指标扣0分，得2分。</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w:t>
      </w:r>
      <w:r>
        <w:rPr>
          <w:rFonts w:hint="eastAsia" w:ascii="Times New Roman" w:hAnsi="Times New Roman" w:eastAsia="仿宋_GB2312" w:cs="仿宋_GB2312"/>
          <w:kern w:val="2"/>
          <w:sz w:val="32"/>
          <w:szCs w:val="32"/>
          <w:lang w:val="en-US" w:eastAsia="zh-CN" w:bidi="ar-SA"/>
        </w:rPr>
        <w:t>3</w:t>
      </w:r>
      <w:r>
        <w:rPr>
          <w:rFonts w:hint="eastAsia" w:ascii="Times New Roman" w:hAnsi="Times New Roman" w:eastAsia="仿宋_GB2312" w:cs="仿宋_GB2312"/>
          <w:kern w:val="2"/>
          <w:sz w:val="32"/>
          <w:szCs w:val="32"/>
          <w:lang w:val="zh-CN" w:eastAsia="zh-CN" w:bidi="ar-SA"/>
        </w:rPr>
        <w:t>）资金使用规范</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我院严格按照已制定的内部控制制度文件和国家财经法规要求使用资金，资金使用符合相关财务管理制度规定，资金的拨付有完整的审批程序和手续，对项目的重大开支进行了评估论证，资金使用符合部门预算批复的用途，不存在截留、挤占、挪用、虚列支出等情况。</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en-US" w:eastAsia="zh-CN" w:bidi="ar-SA"/>
        </w:rPr>
        <w:t>综上，根据评分标准，该项指标扣0分，得4分。</w:t>
      </w:r>
    </w:p>
    <w:p>
      <w:pPr>
        <w:pStyle w:val="5"/>
        <w:pageBreakBefore w:val="0"/>
        <w:widowControl w:val="0"/>
        <w:kinsoku/>
        <w:wordWrap/>
        <w:overflowPunct/>
        <w:topLinePunct w:val="0"/>
        <w:autoSpaceDE/>
        <w:autoSpaceDN/>
        <w:bidi w:val="0"/>
        <w:adjustRightInd/>
        <w:snapToGrid/>
        <w:spacing w:line="600" w:lineRule="atLeast"/>
        <w:textAlignment w:val="auto"/>
        <w:rPr>
          <w:rFonts w:hint="eastAsia" w:ascii="宋体" w:hAnsi="宋体" w:eastAsia="宋体" w:cs="宋体"/>
          <w:sz w:val="32"/>
          <w:szCs w:val="32"/>
          <w:highlight w:val="none"/>
          <w:lang w:val="zh-CN"/>
        </w:rPr>
      </w:pPr>
      <w:r>
        <w:rPr>
          <w:rFonts w:hint="eastAsia" w:ascii="宋体" w:hAnsi="宋体" w:eastAsia="宋体" w:cs="宋体"/>
          <w:sz w:val="32"/>
          <w:szCs w:val="32"/>
          <w:highlight w:val="none"/>
          <w:lang w:val="en-US" w:eastAsia="zh-CN"/>
        </w:rPr>
        <w:t>4.</w:t>
      </w:r>
      <w:r>
        <w:rPr>
          <w:rFonts w:hint="eastAsia" w:ascii="宋体" w:hAnsi="宋体" w:eastAsia="宋体" w:cs="宋体"/>
          <w:sz w:val="32"/>
          <w:szCs w:val="32"/>
          <w:highlight w:val="none"/>
          <w:lang w:val="zh-CN"/>
        </w:rPr>
        <w:t>资产管理。</w:t>
      </w:r>
    </w:p>
    <w:p>
      <w:pPr>
        <w:pageBreakBefore w:val="0"/>
        <w:widowControl w:val="0"/>
        <w:kinsoku/>
        <w:wordWrap/>
        <w:overflowPunct/>
        <w:topLinePunct w:val="0"/>
        <w:autoSpaceDE/>
        <w:autoSpaceDN/>
        <w:bidi w:val="0"/>
        <w:adjustRightInd/>
        <w:snapToGrid/>
        <w:spacing w:line="600" w:lineRule="atLeast"/>
        <w:textAlignment w:val="auto"/>
        <w:outlineLvl w:val="3"/>
        <w:rPr>
          <w:rFonts w:hint="eastAsia" w:ascii="宋体" w:hAnsi="宋体" w:eastAsia="宋体" w:cs="宋体"/>
          <w:sz w:val="32"/>
          <w:szCs w:val="32"/>
          <w:highlight w:val="none"/>
          <w:lang w:val="zh-CN"/>
        </w:rPr>
      </w:pPr>
      <w:r>
        <w:rPr>
          <w:rFonts w:hint="eastAsia" w:ascii="宋体" w:hAnsi="宋体" w:eastAsia="宋体" w:cs="宋体"/>
          <w:sz w:val="32"/>
          <w:szCs w:val="32"/>
          <w:highlight w:val="none"/>
          <w:lang w:val="zh-CN"/>
        </w:rPr>
        <w:t>（</w:t>
      </w:r>
      <w:r>
        <w:rPr>
          <w:rFonts w:hint="eastAsia" w:ascii="宋体" w:hAnsi="宋体" w:eastAsia="宋体" w:cs="宋体"/>
          <w:sz w:val="32"/>
          <w:szCs w:val="32"/>
          <w:highlight w:val="none"/>
          <w:lang w:val="en-US" w:eastAsia="zh-CN"/>
        </w:rPr>
        <w:t>1</w:t>
      </w:r>
      <w:r>
        <w:rPr>
          <w:rFonts w:hint="eastAsia" w:ascii="宋体" w:hAnsi="宋体" w:eastAsia="宋体" w:cs="宋体"/>
          <w:sz w:val="32"/>
          <w:szCs w:val="32"/>
          <w:highlight w:val="none"/>
          <w:lang w:val="zh-CN"/>
        </w:rPr>
        <w:t>）人均资产变化率</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根据决算报表和国有资产年报表，我院202</w:t>
      </w:r>
      <w:r>
        <w:rPr>
          <w:rFonts w:hint="eastAsia" w:ascii="Times New Roman" w:hAnsi="Times New Roman" w:eastAsia="仿宋_GB2312" w:cs="仿宋_GB2312"/>
          <w:kern w:val="2"/>
          <w:sz w:val="32"/>
          <w:szCs w:val="32"/>
          <w:lang w:val="en-US" w:eastAsia="zh-CN" w:bidi="ar-SA"/>
        </w:rPr>
        <w:t>4</w:t>
      </w:r>
      <w:r>
        <w:rPr>
          <w:rFonts w:hint="eastAsia" w:ascii="Times New Roman" w:hAnsi="Times New Roman" w:eastAsia="仿宋_GB2312" w:cs="仿宋_GB2312"/>
          <w:kern w:val="2"/>
          <w:sz w:val="32"/>
          <w:szCs w:val="32"/>
          <w:lang w:val="zh-CN" w:eastAsia="zh-CN" w:bidi="ar-SA"/>
        </w:rPr>
        <w:t>年末实有人数为</w:t>
      </w:r>
      <w:r>
        <w:rPr>
          <w:rFonts w:hint="eastAsia" w:ascii="Times New Roman" w:hAnsi="Times New Roman" w:eastAsia="仿宋_GB2312" w:cs="仿宋_GB2312"/>
          <w:kern w:val="2"/>
          <w:sz w:val="32"/>
          <w:szCs w:val="32"/>
          <w:lang w:val="en-US" w:eastAsia="zh-CN" w:bidi="ar-SA"/>
        </w:rPr>
        <w:t>89人，</w:t>
      </w:r>
      <w:r>
        <w:rPr>
          <w:rFonts w:hint="eastAsia" w:ascii="Times New Roman" w:hAnsi="Times New Roman" w:eastAsia="仿宋_GB2312" w:cs="仿宋_GB2312"/>
          <w:kern w:val="2"/>
          <w:sz w:val="32"/>
          <w:szCs w:val="32"/>
          <w:lang w:val="zh-CN" w:eastAsia="zh-CN" w:bidi="ar-SA"/>
        </w:rPr>
        <w:t>固定资产和无形资产净值合计</w:t>
      </w:r>
      <w:r>
        <w:rPr>
          <w:rFonts w:hint="eastAsia" w:ascii="Times New Roman" w:hAnsi="Times New Roman" w:eastAsia="仿宋_GB2312" w:cs="仿宋_GB2312"/>
          <w:kern w:val="2"/>
          <w:sz w:val="32"/>
          <w:szCs w:val="32"/>
          <w:lang w:val="en-US" w:eastAsia="zh-CN" w:bidi="ar-SA"/>
        </w:rPr>
        <w:t>1,485.48万</w:t>
      </w:r>
      <w:r>
        <w:rPr>
          <w:rFonts w:hint="eastAsia" w:ascii="Times New Roman" w:hAnsi="Times New Roman" w:eastAsia="仿宋_GB2312" w:cs="仿宋_GB2312"/>
          <w:kern w:val="2"/>
          <w:sz w:val="32"/>
          <w:szCs w:val="32"/>
          <w:lang w:val="zh-CN" w:eastAsia="zh-CN" w:bidi="ar-SA"/>
        </w:rPr>
        <w:t>元；2025年末实有人数为</w:t>
      </w:r>
      <w:r>
        <w:rPr>
          <w:rFonts w:hint="eastAsia" w:ascii="Times New Roman" w:hAnsi="Times New Roman" w:eastAsia="仿宋_GB2312" w:cs="仿宋_GB2312"/>
          <w:kern w:val="2"/>
          <w:sz w:val="32"/>
          <w:szCs w:val="32"/>
          <w:lang w:val="en-US" w:eastAsia="zh-CN" w:bidi="ar-SA"/>
        </w:rPr>
        <w:t>87</w:t>
      </w:r>
      <w:r>
        <w:rPr>
          <w:rFonts w:hint="eastAsia" w:ascii="Times New Roman" w:hAnsi="Times New Roman" w:eastAsia="仿宋_GB2312" w:cs="仿宋_GB2312"/>
          <w:kern w:val="2"/>
          <w:sz w:val="32"/>
          <w:szCs w:val="32"/>
          <w:lang w:val="zh-CN" w:eastAsia="zh-CN" w:bidi="ar-SA"/>
        </w:rPr>
        <w:t>人，固定资产和无形资产净值合计</w:t>
      </w:r>
      <w:r>
        <w:rPr>
          <w:rFonts w:hint="eastAsia" w:ascii="Times New Roman" w:hAnsi="Times New Roman" w:eastAsia="仿宋_GB2312" w:cs="仿宋_GB2312"/>
          <w:kern w:val="2"/>
          <w:sz w:val="32"/>
          <w:szCs w:val="32"/>
          <w:lang w:val="en-US" w:eastAsia="zh-CN" w:bidi="ar-SA"/>
        </w:rPr>
        <w:t>1427.36万</w:t>
      </w:r>
      <w:r>
        <w:rPr>
          <w:rFonts w:hint="eastAsia" w:ascii="Times New Roman" w:hAnsi="Times New Roman" w:eastAsia="仿宋_GB2312" w:cs="仿宋_GB2312"/>
          <w:kern w:val="2"/>
          <w:sz w:val="32"/>
          <w:szCs w:val="32"/>
          <w:lang w:val="zh-CN" w:eastAsia="zh-CN" w:bidi="ar-SA"/>
        </w:rPr>
        <w:t>元。</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2024年人均占有资产=1,485.48÷89=16.69（万元/人），2025年人均占有资产=1,427.36÷87=16.41（万元/人），2025年我院人均资产变化率=（当年单位人均占有资产-上年单位人均占有资产）÷上年单位人均占有资产=(16.41-16.69）÷16.69×100%=-1.68%，大于阿坝州州直行政事业单位2025年人均资产变化率-3.49%，得1.5分；2025年我院人均资产变化率≤0，得1.5分</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根据评分标准，该项指标扣0分，得3分。</w:t>
      </w:r>
    </w:p>
    <w:p>
      <w:pPr>
        <w:pageBreakBefore w:val="0"/>
        <w:widowControl w:val="0"/>
        <w:kinsoku/>
        <w:wordWrap/>
        <w:overflowPunct/>
        <w:topLinePunct w:val="0"/>
        <w:autoSpaceDE/>
        <w:autoSpaceDN/>
        <w:bidi w:val="0"/>
        <w:adjustRightInd/>
        <w:snapToGrid/>
        <w:spacing w:line="600" w:lineRule="atLeast"/>
        <w:textAlignment w:val="auto"/>
        <w:outlineLvl w:val="3"/>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（2）资产利用率</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根据资产存量明细查询表，我院2025年办公家具账面价值为201.80万元，超最低使用年限的办公家具账面价值为33.48万元，故办公家具超最低使用年限资产利用率=超最低使用年限的办公家具账面价值÷办公家具账面价值×100%=33.48÷201.80×100%=16.59%，大于州直行政事业单位平均值12.93%；2025年办公设备账面价值为2,208.00万元，超最低使用年限的办公设备账面价值为1,459.23万元，故办公设备超最低使用年限资产利用率=超最低使用年限的办公设备账面价值÷办公设备账面价值×100%=1,459.23÷2,097.00×100%=69.59%，大于州直行政事业单位平均值53.14%。</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根据评分标准，该项指标扣0分，得3分。</w:t>
      </w:r>
    </w:p>
    <w:p>
      <w:pPr>
        <w:pageBreakBefore w:val="0"/>
        <w:widowControl w:val="0"/>
        <w:kinsoku/>
        <w:wordWrap/>
        <w:overflowPunct/>
        <w:topLinePunct w:val="0"/>
        <w:autoSpaceDE/>
        <w:autoSpaceDN/>
        <w:bidi w:val="0"/>
        <w:adjustRightInd/>
        <w:snapToGrid/>
        <w:spacing w:line="600" w:lineRule="atLeast"/>
        <w:textAlignment w:val="auto"/>
        <w:outlineLvl w:val="3"/>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（3）资产盘活率</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我院2025年、2025年均无闲置资产。</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根据评分标准，该项指标扣0分，得3分。</w:t>
      </w:r>
    </w:p>
    <w:p>
      <w:pPr>
        <w:pStyle w:val="5"/>
        <w:pageBreakBefore w:val="0"/>
        <w:widowControl w:val="0"/>
        <w:kinsoku/>
        <w:wordWrap/>
        <w:overflowPunct/>
        <w:topLinePunct w:val="0"/>
        <w:autoSpaceDE/>
        <w:autoSpaceDN/>
        <w:bidi w:val="0"/>
        <w:adjustRightInd/>
        <w:snapToGrid/>
        <w:spacing w:line="600" w:lineRule="atLeast"/>
        <w:textAlignment w:val="auto"/>
        <w:rPr>
          <w:rFonts w:hint="eastAsia" w:ascii="宋体" w:hAnsi="宋体" w:eastAsia="宋体" w:cs="宋体"/>
          <w:sz w:val="32"/>
          <w:szCs w:val="32"/>
          <w:highlight w:val="none"/>
          <w:lang w:val="zh-CN"/>
        </w:rPr>
      </w:pPr>
      <w:r>
        <w:rPr>
          <w:rFonts w:hint="eastAsia" w:ascii="宋体" w:hAnsi="宋体" w:eastAsia="宋体" w:cs="宋体"/>
          <w:sz w:val="32"/>
          <w:szCs w:val="32"/>
          <w:highlight w:val="none"/>
          <w:lang w:val="en-US" w:eastAsia="zh-CN"/>
        </w:rPr>
        <w:t>5.</w:t>
      </w:r>
      <w:r>
        <w:rPr>
          <w:rFonts w:hint="eastAsia" w:ascii="宋体" w:hAnsi="宋体" w:eastAsia="宋体" w:cs="宋体"/>
          <w:sz w:val="32"/>
          <w:szCs w:val="32"/>
          <w:highlight w:val="none"/>
          <w:lang w:val="zh-CN"/>
        </w:rPr>
        <w:t>采购管理。</w:t>
      </w:r>
    </w:p>
    <w:p>
      <w:pPr>
        <w:pageBreakBefore w:val="0"/>
        <w:widowControl w:val="0"/>
        <w:kinsoku/>
        <w:wordWrap/>
        <w:overflowPunct/>
        <w:topLinePunct w:val="0"/>
        <w:autoSpaceDE/>
        <w:autoSpaceDN/>
        <w:bidi w:val="0"/>
        <w:adjustRightInd/>
        <w:snapToGrid/>
        <w:spacing w:line="600" w:lineRule="atLeast"/>
        <w:textAlignment w:val="auto"/>
        <w:outlineLvl w:val="3"/>
        <w:rPr>
          <w:rFonts w:hint="eastAsia" w:ascii="宋体" w:hAnsi="宋体" w:eastAsia="宋体" w:cs="宋体"/>
          <w:sz w:val="32"/>
          <w:szCs w:val="32"/>
          <w:highlight w:val="none"/>
          <w:lang w:val="zh-CN"/>
        </w:rPr>
      </w:pPr>
      <w:r>
        <w:rPr>
          <w:rFonts w:hint="eastAsia" w:ascii="宋体" w:hAnsi="宋体" w:eastAsia="宋体" w:cs="宋体"/>
          <w:sz w:val="32"/>
          <w:szCs w:val="32"/>
          <w:highlight w:val="none"/>
          <w:lang w:val="zh-CN"/>
        </w:rPr>
        <w:t>（</w:t>
      </w:r>
      <w:r>
        <w:rPr>
          <w:rFonts w:hint="eastAsia" w:ascii="宋体" w:hAnsi="宋体" w:eastAsia="宋体" w:cs="宋体"/>
          <w:sz w:val="32"/>
          <w:szCs w:val="32"/>
          <w:highlight w:val="none"/>
          <w:lang w:val="en-US" w:eastAsia="zh-CN"/>
        </w:rPr>
        <w:t>1</w:t>
      </w:r>
      <w:r>
        <w:rPr>
          <w:rFonts w:hint="eastAsia" w:ascii="宋体" w:hAnsi="宋体" w:eastAsia="宋体" w:cs="宋体"/>
          <w:sz w:val="32"/>
          <w:szCs w:val="32"/>
          <w:highlight w:val="none"/>
          <w:lang w:val="zh-CN"/>
        </w:rPr>
        <w:t>）支持中小企业发展</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我院严格执行政府采购促进中小企业发展相关管理办法，对适宜由中小企业提供的采购项目和采购包，预留了采购份额专门面向中小企业采购，并在采购预算中单独列示。</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根据评分标准，该项指标扣0分，得3分。</w:t>
      </w:r>
    </w:p>
    <w:p>
      <w:pPr>
        <w:pageBreakBefore w:val="0"/>
        <w:widowControl w:val="0"/>
        <w:kinsoku/>
        <w:wordWrap/>
        <w:overflowPunct/>
        <w:topLinePunct w:val="0"/>
        <w:autoSpaceDE/>
        <w:autoSpaceDN/>
        <w:bidi w:val="0"/>
        <w:adjustRightInd/>
        <w:snapToGrid/>
        <w:spacing w:line="600" w:lineRule="atLeast"/>
        <w:textAlignment w:val="auto"/>
        <w:outlineLvl w:val="3"/>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（2）采购执行率</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我院2025年度的政府采购总预算数为200万元，当年政府采购预算执行数为196.31万元，已完成采购项目节约金额为0.00万元，故采购执行率=当年政府采购实际支付总金额÷（当年政府采购总预算数-当年已完成采购项目节约金额）×100%=196.31÷（196.31-0）×100%=100.00%。</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en-US" w:eastAsia="zh-CN" w:bidi="ar-SA"/>
        </w:rPr>
        <w:t>根据评分标准，该项指标扣0分，得3分。</w:t>
      </w:r>
    </w:p>
    <w:p>
      <w:pPr>
        <w:keepNext w:val="0"/>
        <w:keepLines w:val="0"/>
        <w:pageBreakBefore w:val="0"/>
        <w:widowControl/>
        <w:shd w:val="clear"/>
        <w:kinsoku/>
        <w:wordWrap/>
        <w:overflowPunct/>
        <w:topLinePunct w:val="0"/>
        <w:autoSpaceDE/>
        <w:autoSpaceDN/>
        <w:bidi w:val="0"/>
        <w:adjustRightInd w:val="0"/>
        <w:snapToGrid w:val="0"/>
        <w:spacing w:line="600" w:lineRule="atLeast"/>
        <w:ind w:firstLine="643" w:firstLineChars="200"/>
        <w:contextualSpacing/>
        <w:jc w:val="left"/>
        <w:textAlignment w:val="auto"/>
        <w:outlineLvl w:val="9"/>
        <w:rPr>
          <w:rFonts w:hint="eastAsia" w:ascii="宋体" w:hAnsi="宋体" w:eastAsia="宋体" w:cs="宋体"/>
          <w:color w:val="000000"/>
          <w:kern w:val="0"/>
          <w:sz w:val="32"/>
          <w:szCs w:val="32"/>
          <w:highlight w:val="none"/>
          <w:shd w:val="clear" w:color="auto" w:fill="FFFFFF"/>
          <w:lang w:val="en-US" w:eastAsia="zh-CN"/>
        </w:rPr>
      </w:pPr>
      <w:r>
        <w:rPr>
          <w:rFonts w:hint="eastAsia" w:ascii="宋体" w:hAnsi="宋体" w:eastAsia="宋体" w:cs="宋体"/>
          <w:b/>
          <w:bCs/>
          <w:color w:val="000000"/>
          <w:kern w:val="0"/>
          <w:sz w:val="32"/>
          <w:szCs w:val="32"/>
          <w:highlight w:val="none"/>
          <w:shd w:val="clear" w:color="auto" w:fill="FFFFFF"/>
          <w:lang w:val="zh-CN"/>
        </w:rPr>
        <w:t>（二）部门预算项目绩效分析。</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en-US" w:eastAsia="zh-CN" w:bidi="ar-SA"/>
        </w:rPr>
        <w:t>常年项目绩效分析。</w:t>
      </w:r>
      <w:r>
        <w:rPr>
          <w:rFonts w:hint="eastAsia" w:ascii="Times New Roman" w:hAnsi="Times New Roman" w:eastAsia="仿宋_GB2312" w:cs="仿宋_GB2312"/>
          <w:kern w:val="2"/>
          <w:sz w:val="32"/>
          <w:szCs w:val="32"/>
          <w:lang w:val="zh-CN" w:eastAsia="zh-CN" w:bidi="ar-SA"/>
        </w:rPr>
        <w:t>该类项目总数</w:t>
      </w:r>
      <w:r>
        <w:rPr>
          <w:rFonts w:hint="eastAsia" w:ascii="Times New Roman" w:hAnsi="Times New Roman" w:eastAsia="仿宋_GB2312" w:cs="仿宋_GB2312"/>
          <w:kern w:val="2"/>
          <w:sz w:val="32"/>
          <w:szCs w:val="32"/>
          <w:lang w:val="en-US" w:eastAsia="zh-CN" w:bidi="ar-SA"/>
        </w:rPr>
        <w:t>7</w:t>
      </w:r>
      <w:r>
        <w:rPr>
          <w:rFonts w:hint="eastAsia" w:ascii="Times New Roman" w:hAnsi="Times New Roman" w:eastAsia="仿宋_GB2312" w:cs="仿宋_GB2312"/>
          <w:kern w:val="2"/>
          <w:sz w:val="32"/>
          <w:szCs w:val="32"/>
          <w:lang w:val="zh-CN" w:eastAsia="zh-CN" w:bidi="ar-SA"/>
        </w:rPr>
        <w:t>个，涉及预算总金额</w:t>
      </w:r>
      <w:r>
        <w:rPr>
          <w:rFonts w:hint="eastAsia" w:ascii="Times New Roman" w:hAnsi="Times New Roman" w:eastAsia="仿宋_GB2312" w:cs="仿宋_GB2312"/>
          <w:kern w:val="2"/>
          <w:sz w:val="32"/>
          <w:szCs w:val="32"/>
          <w:lang w:val="en-US" w:eastAsia="zh-CN" w:bidi="ar-SA"/>
        </w:rPr>
        <w:t>1,207.38</w:t>
      </w:r>
      <w:r>
        <w:rPr>
          <w:rFonts w:hint="eastAsia" w:ascii="Times New Roman" w:hAnsi="Times New Roman" w:eastAsia="仿宋_GB2312" w:cs="仿宋_GB2312"/>
          <w:kern w:val="2"/>
          <w:sz w:val="32"/>
          <w:szCs w:val="32"/>
          <w:lang w:val="zh-CN" w:eastAsia="zh-CN" w:bidi="ar-SA"/>
        </w:rPr>
        <w:t>万元，1—1</w:t>
      </w:r>
      <w:r>
        <w:rPr>
          <w:rFonts w:hint="eastAsia" w:ascii="Times New Roman" w:hAnsi="Times New Roman" w:eastAsia="仿宋_GB2312" w:cs="仿宋_GB2312"/>
          <w:kern w:val="2"/>
          <w:sz w:val="32"/>
          <w:szCs w:val="32"/>
          <w:lang w:val="en-US" w:eastAsia="zh-CN" w:bidi="ar-SA"/>
        </w:rPr>
        <w:t>2</w:t>
      </w:r>
      <w:r>
        <w:rPr>
          <w:rFonts w:hint="eastAsia" w:ascii="Times New Roman" w:hAnsi="Times New Roman" w:eastAsia="仿宋_GB2312" w:cs="仿宋_GB2312"/>
          <w:kern w:val="2"/>
          <w:sz w:val="32"/>
          <w:szCs w:val="32"/>
          <w:lang w:val="zh-CN" w:eastAsia="zh-CN" w:bidi="ar-SA"/>
        </w:rPr>
        <w:t>月预算执行</w:t>
      </w:r>
      <w:r>
        <w:rPr>
          <w:rFonts w:hint="eastAsia" w:ascii="Times New Roman" w:hAnsi="Times New Roman" w:eastAsia="仿宋_GB2312" w:cs="仿宋_GB2312"/>
          <w:kern w:val="2"/>
          <w:sz w:val="32"/>
          <w:szCs w:val="32"/>
          <w:lang w:val="en-US" w:eastAsia="zh-CN" w:bidi="ar-SA"/>
        </w:rPr>
        <w:t>总金额为1,207.38万元，</w:t>
      </w:r>
      <w:r>
        <w:rPr>
          <w:rFonts w:hint="eastAsia" w:ascii="Times New Roman" w:hAnsi="Times New Roman" w:eastAsia="仿宋_GB2312" w:cs="仿宋_GB2312"/>
          <w:kern w:val="2"/>
          <w:sz w:val="32"/>
          <w:szCs w:val="32"/>
          <w:lang w:val="zh-CN" w:eastAsia="zh-CN" w:bidi="ar-SA"/>
        </w:rPr>
        <w:t>1—1</w:t>
      </w:r>
      <w:r>
        <w:rPr>
          <w:rFonts w:hint="eastAsia" w:ascii="Times New Roman" w:hAnsi="Times New Roman" w:eastAsia="仿宋_GB2312" w:cs="仿宋_GB2312"/>
          <w:kern w:val="2"/>
          <w:sz w:val="32"/>
          <w:szCs w:val="32"/>
          <w:lang w:val="en-US" w:eastAsia="zh-CN" w:bidi="ar-SA"/>
        </w:rPr>
        <w:t>2</w:t>
      </w:r>
      <w:r>
        <w:rPr>
          <w:rFonts w:hint="eastAsia" w:ascii="Times New Roman" w:hAnsi="Times New Roman" w:eastAsia="仿宋_GB2312" w:cs="仿宋_GB2312"/>
          <w:kern w:val="2"/>
          <w:sz w:val="32"/>
          <w:szCs w:val="32"/>
          <w:lang w:val="zh-CN" w:eastAsia="zh-CN" w:bidi="ar-SA"/>
        </w:rPr>
        <w:t>月预算执行总体进度为</w:t>
      </w:r>
      <w:r>
        <w:rPr>
          <w:rFonts w:hint="eastAsia" w:ascii="Times New Roman" w:hAnsi="Times New Roman" w:eastAsia="仿宋_GB2312" w:cs="仿宋_GB2312"/>
          <w:kern w:val="2"/>
          <w:sz w:val="32"/>
          <w:szCs w:val="32"/>
          <w:lang w:val="en-US" w:eastAsia="zh-CN" w:bidi="ar-SA"/>
        </w:rPr>
        <w:t>100</w:t>
      </w:r>
      <w:r>
        <w:rPr>
          <w:rFonts w:hint="eastAsia" w:ascii="Times New Roman" w:hAnsi="Times New Roman" w:eastAsia="仿宋_GB2312" w:cs="仿宋_GB2312"/>
          <w:kern w:val="2"/>
          <w:sz w:val="32"/>
          <w:szCs w:val="32"/>
          <w:lang w:val="zh-CN" w:eastAsia="zh-CN" w:bidi="ar-SA"/>
        </w:rPr>
        <w:t>%，其中：预算结余率大于</w:t>
      </w:r>
      <w:r>
        <w:rPr>
          <w:rFonts w:hint="eastAsia" w:ascii="Times New Roman" w:hAnsi="Times New Roman" w:eastAsia="仿宋_GB2312" w:cs="仿宋_GB2312"/>
          <w:kern w:val="2"/>
          <w:sz w:val="32"/>
          <w:szCs w:val="32"/>
          <w:lang w:val="en-US" w:eastAsia="zh-CN" w:bidi="ar-SA"/>
        </w:rPr>
        <w:t>10%</w:t>
      </w:r>
      <w:r>
        <w:rPr>
          <w:rFonts w:hint="eastAsia" w:ascii="Times New Roman" w:hAnsi="Times New Roman" w:eastAsia="仿宋_GB2312" w:cs="仿宋_GB2312"/>
          <w:kern w:val="2"/>
          <w:sz w:val="32"/>
          <w:szCs w:val="32"/>
          <w:lang w:val="zh-CN" w:eastAsia="zh-CN" w:bidi="ar-SA"/>
        </w:rPr>
        <w:t>的项目共计</w:t>
      </w:r>
      <w:r>
        <w:rPr>
          <w:rFonts w:hint="eastAsia" w:ascii="Times New Roman" w:hAnsi="Times New Roman" w:eastAsia="仿宋_GB2312" w:cs="仿宋_GB2312"/>
          <w:kern w:val="2"/>
          <w:sz w:val="32"/>
          <w:szCs w:val="32"/>
          <w:lang w:val="en-US" w:eastAsia="zh-CN" w:bidi="ar-SA"/>
        </w:rPr>
        <w:t>0</w:t>
      </w:r>
      <w:r>
        <w:rPr>
          <w:rFonts w:hint="eastAsia" w:ascii="Times New Roman" w:hAnsi="Times New Roman" w:eastAsia="仿宋_GB2312" w:cs="仿宋_GB2312"/>
          <w:kern w:val="2"/>
          <w:sz w:val="32"/>
          <w:szCs w:val="32"/>
          <w:lang w:val="zh-CN" w:eastAsia="zh-CN" w:bidi="ar-SA"/>
        </w:rPr>
        <w:t>个。</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en-US" w:eastAsia="zh-CN" w:bidi="ar-SA"/>
        </w:rPr>
        <w:t>阶段（一次性）项目绩效分析。</w:t>
      </w:r>
      <w:r>
        <w:rPr>
          <w:rFonts w:hint="eastAsia" w:ascii="Times New Roman" w:hAnsi="Times New Roman" w:eastAsia="仿宋_GB2312" w:cs="仿宋_GB2312"/>
          <w:kern w:val="2"/>
          <w:sz w:val="32"/>
          <w:szCs w:val="32"/>
          <w:lang w:val="zh-CN" w:eastAsia="zh-CN" w:bidi="ar-SA"/>
        </w:rPr>
        <w:t>该类项目总数</w:t>
      </w:r>
      <w:r>
        <w:rPr>
          <w:rFonts w:hint="eastAsia" w:ascii="Times New Roman" w:hAnsi="Times New Roman" w:eastAsia="仿宋_GB2312" w:cs="仿宋_GB2312"/>
          <w:kern w:val="2"/>
          <w:sz w:val="32"/>
          <w:szCs w:val="32"/>
          <w:lang w:val="en-US" w:eastAsia="zh-CN" w:bidi="ar-SA"/>
        </w:rPr>
        <w:t>2</w:t>
      </w:r>
      <w:r>
        <w:rPr>
          <w:rFonts w:hint="eastAsia" w:ascii="Times New Roman" w:hAnsi="Times New Roman" w:eastAsia="仿宋_GB2312" w:cs="仿宋_GB2312"/>
          <w:kern w:val="2"/>
          <w:sz w:val="32"/>
          <w:szCs w:val="32"/>
          <w:lang w:val="zh-CN" w:eastAsia="zh-CN" w:bidi="ar-SA"/>
        </w:rPr>
        <w:t>个，涉及预算总金额</w:t>
      </w:r>
      <w:r>
        <w:rPr>
          <w:rFonts w:hint="eastAsia" w:ascii="Times New Roman" w:hAnsi="Times New Roman" w:eastAsia="仿宋_GB2312" w:cs="仿宋_GB2312"/>
          <w:kern w:val="2"/>
          <w:sz w:val="32"/>
          <w:szCs w:val="32"/>
          <w:lang w:val="en-US" w:eastAsia="zh-CN" w:bidi="ar-SA"/>
        </w:rPr>
        <w:t>90.7</w:t>
      </w:r>
      <w:r>
        <w:rPr>
          <w:rFonts w:hint="eastAsia" w:ascii="Times New Roman" w:hAnsi="Times New Roman" w:eastAsia="仿宋_GB2312" w:cs="仿宋_GB2312"/>
          <w:kern w:val="2"/>
          <w:sz w:val="32"/>
          <w:szCs w:val="32"/>
          <w:lang w:val="zh-CN" w:eastAsia="zh-CN" w:bidi="ar-SA"/>
        </w:rPr>
        <w:t>万元，1—1</w:t>
      </w:r>
      <w:r>
        <w:rPr>
          <w:rFonts w:hint="eastAsia" w:ascii="Times New Roman" w:hAnsi="Times New Roman" w:eastAsia="仿宋_GB2312" w:cs="仿宋_GB2312"/>
          <w:kern w:val="2"/>
          <w:sz w:val="32"/>
          <w:szCs w:val="32"/>
          <w:lang w:val="en-US" w:eastAsia="zh-CN" w:bidi="ar-SA"/>
        </w:rPr>
        <w:t>2</w:t>
      </w:r>
      <w:r>
        <w:rPr>
          <w:rFonts w:hint="eastAsia" w:ascii="Times New Roman" w:hAnsi="Times New Roman" w:eastAsia="仿宋_GB2312" w:cs="仿宋_GB2312"/>
          <w:kern w:val="2"/>
          <w:sz w:val="32"/>
          <w:szCs w:val="32"/>
          <w:lang w:val="zh-CN" w:eastAsia="zh-CN" w:bidi="ar-SA"/>
        </w:rPr>
        <w:t>月预算执行</w:t>
      </w:r>
      <w:r>
        <w:rPr>
          <w:rFonts w:hint="eastAsia" w:ascii="Times New Roman" w:hAnsi="Times New Roman" w:eastAsia="仿宋_GB2312" w:cs="仿宋_GB2312"/>
          <w:kern w:val="2"/>
          <w:sz w:val="32"/>
          <w:szCs w:val="32"/>
          <w:lang w:val="en-US" w:eastAsia="zh-CN" w:bidi="ar-SA"/>
        </w:rPr>
        <w:t>总金额为90.7万元，</w:t>
      </w:r>
      <w:r>
        <w:rPr>
          <w:rFonts w:hint="eastAsia" w:ascii="Times New Roman" w:hAnsi="Times New Roman" w:eastAsia="仿宋_GB2312" w:cs="仿宋_GB2312"/>
          <w:kern w:val="2"/>
          <w:sz w:val="32"/>
          <w:szCs w:val="32"/>
          <w:lang w:val="zh-CN" w:eastAsia="zh-CN" w:bidi="ar-SA"/>
        </w:rPr>
        <w:t>1—1</w:t>
      </w:r>
      <w:r>
        <w:rPr>
          <w:rFonts w:hint="eastAsia" w:ascii="Times New Roman" w:hAnsi="Times New Roman" w:eastAsia="仿宋_GB2312" w:cs="仿宋_GB2312"/>
          <w:kern w:val="2"/>
          <w:sz w:val="32"/>
          <w:szCs w:val="32"/>
          <w:lang w:val="en-US" w:eastAsia="zh-CN" w:bidi="ar-SA"/>
        </w:rPr>
        <w:t>2</w:t>
      </w:r>
      <w:r>
        <w:rPr>
          <w:rFonts w:hint="eastAsia" w:ascii="Times New Roman" w:hAnsi="Times New Roman" w:eastAsia="仿宋_GB2312" w:cs="仿宋_GB2312"/>
          <w:kern w:val="2"/>
          <w:sz w:val="32"/>
          <w:szCs w:val="32"/>
          <w:lang w:val="zh-CN" w:eastAsia="zh-CN" w:bidi="ar-SA"/>
        </w:rPr>
        <w:t>月预算执行总体进度为</w:t>
      </w:r>
      <w:r>
        <w:rPr>
          <w:rFonts w:hint="eastAsia" w:ascii="Times New Roman" w:hAnsi="Times New Roman" w:eastAsia="仿宋_GB2312" w:cs="仿宋_GB2312"/>
          <w:kern w:val="2"/>
          <w:sz w:val="32"/>
          <w:szCs w:val="32"/>
          <w:lang w:val="en-US" w:eastAsia="zh-CN" w:bidi="ar-SA"/>
        </w:rPr>
        <w:t>100.00</w:t>
      </w:r>
      <w:r>
        <w:rPr>
          <w:rFonts w:hint="eastAsia" w:ascii="Times New Roman" w:hAnsi="Times New Roman" w:eastAsia="仿宋_GB2312" w:cs="仿宋_GB2312"/>
          <w:kern w:val="2"/>
          <w:sz w:val="32"/>
          <w:szCs w:val="32"/>
          <w:lang w:val="zh-CN" w:eastAsia="zh-CN" w:bidi="ar-SA"/>
        </w:rPr>
        <w:t>%，其中：预算结余率大于</w:t>
      </w:r>
      <w:r>
        <w:rPr>
          <w:rFonts w:hint="eastAsia" w:ascii="Times New Roman" w:hAnsi="Times New Roman" w:eastAsia="仿宋_GB2312" w:cs="仿宋_GB2312"/>
          <w:kern w:val="2"/>
          <w:sz w:val="32"/>
          <w:szCs w:val="32"/>
          <w:lang w:val="en-US" w:eastAsia="zh-CN" w:bidi="ar-SA"/>
        </w:rPr>
        <w:t>10%</w:t>
      </w:r>
      <w:r>
        <w:rPr>
          <w:rFonts w:hint="eastAsia" w:ascii="Times New Roman" w:hAnsi="Times New Roman" w:eastAsia="仿宋_GB2312" w:cs="仿宋_GB2312"/>
          <w:kern w:val="2"/>
          <w:sz w:val="32"/>
          <w:szCs w:val="32"/>
          <w:lang w:val="zh-CN" w:eastAsia="zh-CN" w:bidi="ar-SA"/>
        </w:rPr>
        <w:t>的项目共计</w:t>
      </w:r>
      <w:r>
        <w:rPr>
          <w:rFonts w:hint="eastAsia" w:ascii="Times New Roman" w:hAnsi="Times New Roman" w:eastAsia="仿宋_GB2312" w:cs="仿宋_GB2312"/>
          <w:kern w:val="2"/>
          <w:sz w:val="32"/>
          <w:szCs w:val="32"/>
          <w:lang w:val="en-US" w:eastAsia="zh-CN" w:bidi="ar-SA"/>
        </w:rPr>
        <w:t>0</w:t>
      </w:r>
      <w:r>
        <w:rPr>
          <w:rFonts w:hint="eastAsia" w:ascii="Times New Roman" w:hAnsi="Times New Roman" w:eastAsia="仿宋_GB2312" w:cs="仿宋_GB2312"/>
          <w:kern w:val="2"/>
          <w:sz w:val="32"/>
          <w:szCs w:val="32"/>
          <w:lang w:val="zh-CN" w:eastAsia="zh-CN" w:bidi="ar-SA"/>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atLeast"/>
        <w:ind w:firstLine="640" w:firstLineChars="200"/>
        <w:contextualSpacing/>
        <w:jc w:val="left"/>
        <w:textAlignment w:val="auto"/>
        <w:outlineLvl w:val="2"/>
        <w:rPr>
          <w:rFonts w:hint="eastAsia" w:ascii="宋体" w:hAnsi="宋体" w:eastAsia="宋体" w:cs="宋体"/>
          <w:color w:val="000000"/>
          <w:kern w:val="0"/>
          <w:sz w:val="32"/>
          <w:szCs w:val="32"/>
          <w:highlight w:val="none"/>
          <w:shd w:val="clear" w:color="auto" w:fill="FFFFFF"/>
          <w:lang w:val="zh-CN"/>
        </w:rPr>
      </w:pPr>
      <w:r>
        <w:rPr>
          <w:rFonts w:hint="eastAsia" w:ascii="宋体" w:hAnsi="宋体" w:eastAsia="宋体" w:cs="宋体"/>
          <w:color w:val="000000"/>
          <w:kern w:val="0"/>
          <w:sz w:val="32"/>
          <w:szCs w:val="32"/>
          <w:highlight w:val="none"/>
          <w:shd w:val="clear" w:color="auto" w:fill="FFFFFF"/>
          <w:lang w:val="en-US" w:eastAsia="zh-CN"/>
        </w:rPr>
        <w:t>1.</w:t>
      </w:r>
      <w:r>
        <w:rPr>
          <w:rFonts w:hint="eastAsia" w:ascii="宋体" w:hAnsi="宋体" w:eastAsia="宋体" w:cs="宋体"/>
          <w:color w:val="000000"/>
          <w:kern w:val="0"/>
          <w:sz w:val="32"/>
          <w:szCs w:val="32"/>
          <w:highlight w:val="none"/>
          <w:shd w:val="clear" w:color="auto" w:fill="FFFFFF"/>
          <w:lang w:val="zh-CN"/>
        </w:rPr>
        <w:t>项目决策。</w:t>
      </w:r>
    </w:p>
    <w:p>
      <w:pPr>
        <w:pageBreakBefore w:val="0"/>
        <w:widowControl w:val="0"/>
        <w:kinsoku/>
        <w:wordWrap/>
        <w:overflowPunct/>
        <w:topLinePunct w:val="0"/>
        <w:autoSpaceDE/>
        <w:autoSpaceDN/>
        <w:bidi w:val="0"/>
        <w:adjustRightInd/>
        <w:snapToGrid/>
        <w:spacing w:line="600" w:lineRule="atLeast"/>
        <w:textAlignment w:val="auto"/>
        <w:outlineLvl w:val="2"/>
        <w:rPr>
          <w:rFonts w:hint="eastAsia" w:ascii="宋体" w:hAnsi="宋体" w:eastAsia="宋体" w:cs="宋体"/>
          <w:sz w:val="32"/>
          <w:szCs w:val="32"/>
          <w:highlight w:val="none"/>
          <w:lang w:val="zh-CN"/>
        </w:rPr>
      </w:pPr>
      <w:r>
        <w:rPr>
          <w:rFonts w:hint="eastAsia" w:ascii="宋体" w:hAnsi="宋体" w:eastAsia="宋体" w:cs="宋体"/>
          <w:sz w:val="32"/>
          <w:szCs w:val="32"/>
          <w:highlight w:val="none"/>
          <w:lang w:val="zh-CN"/>
        </w:rPr>
        <w:t>（</w:t>
      </w:r>
      <w:r>
        <w:rPr>
          <w:rFonts w:hint="eastAsia" w:ascii="宋体" w:hAnsi="宋体" w:eastAsia="宋体" w:cs="宋体"/>
          <w:sz w:val="32"/>
          <w:szCs w:val="32"/>
          <w:highlight w:val="none"/>
          <w:lang w:val="en-US" w:eastAsia="zh-CN"/>
        </w:rPr>
        <w:t>1</w:t>
      </w:r>
      <w:r>
        <w:rPr>
          <w:rFonts w:hint="eastAsia" w:ascii="宋体" w:hAnsi="宋体" w:eastAsia="宋体" w:cs="宋体"/>
          <w:sz w:val="32"/>
          <w:szCs w:val="32"/>
          <w:highlight w:val="none"/>
          <w:lang w:val="zh-CN"/>
        </w:rPr>
        <w:t>）决策程序</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根据阿坝州事前绩效评估相关要求，2025年我院需履行事前评估程序的部门预算阶段项目（含一次性项目）均严格按规定履行评估论证、申报程序，开展了项目事前绩效评估，项目立项依据充分，决策程序规范。</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en-US" w:eastAsia="zh-CN" w:bidi="ar-SA"/>
        </w:rPr>
        <w:t>综上，</w:t>
      </w:r>
      <w:r>
        <w:rPr>
          <w:rFonts w:hint="eastAsia" w:ascii="Times New Roman" w:hAnsi="Times New Roman" w:eastAsia="仿宋_GB2312" w:cs="仿宋_GB2312"/>
          <w:kern w:val="2"/>
          <w:sz w:val="32"/>
          <w:szCs w:val="32"/>
          <w:lang w:val="zh-CN" w:eastAsia="zh-CN" w:bidi="ar-SA"/>
        </w:rPr>
        <w:t>根据评分标准，该项指标扣</w:t>
      </w:r>
      <w:r>
        <w:rPr>
          <w:rFonts w:hint="eastAsia" w:ascii="Times New Roman" w:hAnsi="Times New Roman" w:eastAsia="仿宋_GB2312" w:cs="仿宋_GB2312"/>
          <w:kern w:val="2"/>
          <w:sz w:val="32"/>
          <w:szCs w:val="32"/>
          <w:lang w:val="en-US" w:eastAsia="zh-CN" w:bidi="ar-SA"/>
        </w:rPr>
        <w:t>0</w:t>
      </w:r>
      <w:r>
        <w:rPr>
          <w:rFonts w:hint="eastAsia" w:ascii="Times New Roman" w:hAnsi="Times New Roman" w:eastAsia="仿宋_GB2312" w:cs="仿宋_GB2312"/>
          <w:kern w:val="2"/>
          <w:sz w:val="32"/>
          <w:szCs w:val="32"/>
          <w:lang w:val="zh-CN" w:eastAsia="zh-CN" w:bidi="ar-SA"/>
        </w:rPr>
        <w:t>分，得4分。</w:t>
      </w:r>
    </w:p>
    <w:p>
      <w:pPr>
        <w:pageBreakBefore w:val="0"/>
        <w:widowControl w:val="0"/>
        <w:kinsoku/>
        <w:wordWrap/>
        <w:overflowPunct/>
        <w:topLinePunct w:val="0"/>
        <w:autoSpaceDE/>
        <w:autoSpaceDN/>
        <w:bidi w:val="0"/>
        <w:adjustRightInd/>
        <w:snapToGrid/>
        <w:spacing w:line="600" w:lineRule="atLeast"/>
        <w:textAlignment w:val="auto"/>
        <w:outlineLvl w:val="2"/>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（2）目标设置</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2025年我院</w:t>
      </w:r>
      <w:r>
        <w:rPr>
          <w:rFonts w:hint="eastAsia" w:ascii="Times New Roman" w:hAnsi="Times New Roman" w:eastAsia="仿宋_GB2312" w:cs="仿宋_GB2312"/>
          <w:kern w:val="2"/>
          <w:sz w:val="32"/>
          <w:szCs w:val="32"/>
          <w:lang w:val="zh-CN" w:eastAsia="zh-CN" w:bidi="ar-SA"/>
        </w:rPr>
        <w:t>开展绩效目标管理的</w:t>
      </w:r>
      <w:r>
        <w:rPr>
          <w:rFonts w:hint="eastAsia" w:ascii="Times New Roman" w:hAnsi="Times New Roman" w:eastAsia="仿宋_GB2312" w:cs="仿宋_GB2312"/>
          <w:kern w:val="2"/>
          <w:sz w:val="32"/>
          <w:szCs w:val="32"/>
          <w:lang w:val="en-US" w:eastAsia="zh-CN" w:bidi="ar-SA"/>
        </w:rPr>
        <w:t>部门预算阶段项目（含一次性项目）共有12个</w:t>
      </w:r>
      <w:r>
        <w:rPr>
          <w:rFonts w:hint="eastAsia" w:ascii="Times New Roman" w:hAnsi="Times New Roman" w:eastAsia="仿宋_GB2312" w:cs="仿宋_GB2312"/>
          <w:kern w:val="2"/>
          <w:sz w:val="32"/>
          <w:szCs w:val="32"/>
          <w:lang w:val="zh-CN" w:eastAsia="zh-CN" w:bidi="ar-SA"/>
        </w:rPr>
        <w:t>，</w:t>
      </w:r>
      <w:r>
        <w:rPr>
          <w:rFonts w:hint="eastAsia" w:ascii="Times New Roman" w:hAnsi="Times New Roman" w:eastAsia="仿宋_GB2312" w:cs="仿宋_GB2312"/>
          <w:kern w:val="2"/>
          <w:sz w:val="32"/>
          <w:szCs w:val="32"/>
          <w:lang w:val="en-US" w:eastAsia="zh-CN" w:bidi="ar-SA"/>
        </w:rPr>
        <w:t>为充分发挥绩效目标引领作用，</w:t>
      </w:r>
      <w:r>
        <w:rPr>
          <w:rFonts w:hint="eastAsia" w:ascii="Times New Roman" w:hAnsi="Times New Roman" w:eastAsia="仿宋_GB2312" w:cs="仿宋_GB2312"/>
          <w:kern w:val="2"/>
          <w:sz w:val="32"/>
          <w:szCs w:val="32"/>
          <w:lang w:val="zh-CN" w:eastAsia="zh-CN" w:bidi="ar-SA"/>
        </w:rPr>
        <w:t>我院</w:t>
      </w:r>
      <w:r>
        <w:rPr>
          <w:rFonts w:hint="eastAsia" w:ascii="Times New Roman" w:hAnsi="Times New Roman" w:eastAsia="仿宋_GB2312" w:cs="仿宋_GB2312"/>
          <w:kern w:val="2"/>
          <w:sz w:val="32"/>
          <w:szCs w:val="32"/>
          <w:lang w:val="en-US" w:eastAsia="zh-CN" w:bidi="ar-SA"/>
        </w:rPr>
        <w:t>贯彻落实《中共四川省委办公厅四川省人民政府办公厅关于深入实施预算绩效管理的通知》（川委厅〔2021〕5号）文件精神，根据项目实施计划等资料，及时按照指向明确、细化量化、合理可行、相应匹配的要求设定绩效目标，按照高度关联、重点突出、量化易评的要求设置绩效指标，合理确定指标值，全面反映产出、效益和成本等绩效信息，项目绩效目标设置科学合理、规范完整、量化细化、预算匹配。</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en-US" w:eastAsia="zh-CN" w:bidi="ar-SA"/>
        </w:rPr>
        <w:t>综上，根据评分标准，该项指标扣0分，得4分。</w:t>
      </w:r>
    </w:p>
    <w:p>
      <w:pPr>
        <w:pageBreakBefore w:val="0"/>
        <w:widowControl w:val="0"/>
        <w:kinsoku/>
        <w:wordWrap/>
        <w:overflowPunct/>
        <w:topLinePunct w:val="0"/>
        <w:autoSpaceDE/>
        <w:autoSpaceDN/>
        <w:bidi w:val="0"/>
        <w:adjustRightInd/>
        <w:snapToGrid/>
        <w:spacing w:line="600" w:lineRule="atLeast"/>
        <w:textAlignment w:val="auto"/>
        <w:outlineLvl w:val="2"/>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（3）项目入库</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zh-CN" w:eastAsia="zh-CN" w:bidi="ar-SA"/>
        </w:rPr>
        <w:t>2025年我院需在</w:t>
      </w:r>
      <w:r>
        <w:rPr>
          <w:rFonts w:hint="eastAsia" w:ascii="Times New Roman" w:hAnsi="Times New Roman" w:eastAsia="仿宋_GB2312" w:cs="仿宋_GB2312"/>
          <w:kern w:val="2"/>
          <w:sz w:val="32"/>
          <w:szCs w:val="32"/>
          <w:lang w:val="en-US" w:eastAsia="zh-CN" w:bidi="ar-SA"/>
        </w:rPr>
        <w:t>规定时间内进行入库的</w:t>
      </w:r>
      <w:r>
        <w:rPr>
          <w:rFonts w:hint="eastAsia" w:ascii="Times New Roman" w:hAnsi="Times New Roman" w:eastAsia="仿宋_GB2312" w:cs="仿宋_GB2312"/>
          <w:kern w:val="2"/>
          <w:sz w:val="32"/>
          <w:szCs w:val="32"/>
          <w:lang w:val="zh-CN" w:eastAsia="zh-CN" w:bidi="ar-SA"/>
        </w:rPr>
        <w:t>项目共有</w:t>
      </w:r>
      <w:r>
        <w:rPr>
          <w:rFonts w:hint="eastAsia" w:ascii="Times New Roman" w:hAnsi="Times New Roman" w:eastAsia="仿宋_GB2312" w:cs="仿宋_GB2312"/>
          <w:kern w:val="2"/>
          <w:sz w:val="32"/>
          <w:szCs w:val="32"/>
          <w:lang w:val="en-US" w:eastAsia="zh-CN" w:bidi="ar-SA"/>
        </w:rPr>
        <w:t>4</w:t>
      </w:r>
      <w:r>
        <w:rPr>
          <w:rFonts w:hint="eastAsia" w:ascii="Times New Roman" w:hAnsi="Times New Roman" w:eastAsia="仿宋_GB2312" w:cs="仿宋_GB2312"/>
          <w:kern w:val="2"/>
          <w:sz w:val="32"/>
          <w:szCs w:val="32"/>
          <w:lang w:val="zh-CN" w:eastAsia="zh-CN" w:bidi="ar-SA"/>
        </w:rPr>
        <w:t>个，</w:t>
      </w:r>
      <w:r>
        <w:rPr>
          <w:rFonts w:hint="eastAsia" w:ascii="Times New Roman" w:hAnsi="Times New Roman" w:eastAsia="仿宋_GB2312" w:cs="仿宋_GB2312"/>
          <w:kern w:val="2"/>
          <w:sz w:val="32"/>
          <w:szCs w:val="32"/>
          <w:lang w:val="en-US" w:eastAsia="zh-CN" w:bidi="ar-SA"/>
        </w:rPr>
        <w:t>均在规定时间内完成了项目入库。</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en-US" w:eastAsia="zh-CN" w:bidi="ar-SA"/>
        </w:rPr>
        <w:t>综上，根据评分标准，该项指标扣0分，得4分。</w:t>
      </w:r>
    </w:p>
    <w:p>
      <w:pPr>
        <w:pStyle w:val="5"/>
        <w:pageBreakBefore w:val="0"/>
        <w:widowControl w:val="0"/>
        <w:kinsoku/>
        <w:wordWrap/>
        <w:overflowPunct/>
        <w:topLinePunct w:val="0"/>
        <w:autoSpaceDE/>
        <w:autoSpaceDN/>
        <w:bidi w:val="0"/>
        <w:adjustRightInd/>
        <w:snapToGrid/>
        <w:spacing w:line="600" w:lineRule="atLeast"/>
        <w:textAlignment w:val="auto"/>
        <w:rPr>
          <w:rFonts w:hint="eastAsia" w:ascii="宋体" w:hAnsi="宋体" w:eastAsia="宋体" w:cs="宋体"/>
          <w:sz w:val="32"/>
          <w:szCs w:val="32"/>
          <w:highlight w:val="none"/>
          <w:lang w:val="zh-CN"/>
        </w:rPr>
      </w:pPr>
      <w:r>
        <w:rPr>
          <w:rFonts w:hint="eastAsia" w:ascii="宋体" w:hAnsi="宋体" w:eastAsia="宋体" w:cs="宋体"/>
          <w:sz w:val="32"/>
          <w:szCs w:val="32"/>
          <w:highlight w:val="none"/>
          <w:lang w:val="en-US" w:eastAsia="zh-CN"/>
        </w:rPr>
        <w:t>2.项目执行</w:t>
      </w:r>
      <w:r>
        <w:rPr>
          <w:rFonts w:hint="eastAsia" w:ascii="宋体" w:hAnsi="宋体" w:eastAsia="宋体" w:cs="宋体"/>
          <w:sz w:val="32"/>
          <w:szCs w:val="32"/>
          <w:highlight w:val="none"/>
          <w:lang w:val="zh-CN"/>
        </w:rPr>
        <w:t>。</w:t>
      </w:r>
    </w:p>
    <w:p>
      <w:pPr>
        <w:pageBreakBefore w:val="0"/>
        <w:widowControl w:val="0"/>
        <w:kinsoku/>
        <w:wordWrap/>
        <w:overflowPunct/>
        <w:topLinePunct w:val="0"/>
        <w:autoSpaceDE/>
        <w:autoSpaceDN/>
        <w:bidi w:val="0"/>
        <w:adjustRightInd/>
        <w:snapToGrid/>
        <w:spacing w:line="600" w:lineRule="atLeast"/>
        <w:textAlignment w:val="auto"/>
        <w:rPr>
          <w:rFonts w:hint="eastAsia" w:ascii="宋体" w:hAnsi="宋体" w:eastAsia="宋体" w:cs="宋体"/>
          <w:sz w:val="32"/>
          <w:szCs w:val="32"/>
          <w:highlight w:val="none"/>
          <w:lang w:val="zh-CN"/>
        </w:rPr>
      </w:pPr>
      <w:r>
        <w:rPr>
          <w:rFonts w:hint="eastAsia" w:ascii="宋体" w:hAnsi="宋体" w:eastAsia="宋体" w:cs="宋体"/>
          <w:sz w:val="32"/>
          <w:szCs w:val="32"/>
          <w:highlight w:val="none"/>
          <w:lang w:val="zh-CN"/>
        </w:rPr>
        <w:t>（</w:t>
      </w:r>
      <w:r>
        <w:rPr>
          <w:rFonts w:hint="eastAsia" w:ascii="宋体" w:hAnsi="宋体" w:eastAsia="宋体" w:cs="宋体"/>
          <w:sz w:val="32"/>
          <w:szCs w:val="32"/>
          <w:highlight w:val="none"/>
          <w:lang w:val="en-US" w:eastAsia="zh-CN"/>
        </w:rPr>
        <w:t>1</w:t>
      </w:r>
      <w:r>
        <w:rPr>
          <w:rFonts w:hint="eastAsia" w:ascii="宋体" w:hAnsi="宋体" w:eastAsia="宋体" w:cs="宋体"/>
          <w:sz w:val="32"/>
          <w:szCs w:val="32"/>
          <w:highlight w:val="none"/>
          <w:lang w:val="zh-CN"/>
        </w:rPr>
        <w:t>）执行同向</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我院严格按照部门预算项目批复内容实施项目，项目资金使用符合预算批复用途，与项目绩效目标设置方向相符，没有相悖或不合理之处。</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根据评分标准，该项指标扣</w:t>
      </w:r>
      <w:r>
        <w:rPr>
          <w:rFonts w:hint="eastAsia" w:ascii="Times New Roman" w:hAnsi="Times New Roman" w:eastAsia="仿宋_GB2312" w:cs="仿宋_GB2312"/>
          <w:kern w:val="2"/>
          <w:sz w:val="32"/>
          <w:szCs w:val="32"/>
          <w:lang w:val="en-US" w:eastAsia="zh-CN" w:bidi="ar-SA"/>
        </w:rPr>
        <w:t>0</w:t>
      </w:r>
      <w:r>
        <w:rPr>
          <w:rFonts w:hint="eastAsia" w:ascii="Times New Roman" w:hAnsi="Times New Roman" w:eastAsia="仿宋_GB2312" w:cs="仿宋_GB2312"/>
          <w:kern w:val="2"/>
          <w:sz w:val="32"/>
          <w:szCs w:val="32"/>
          <w:lang w:val="zh-CN" w:eastAsia="zh-CN" w:bidi="ar-SA"/>
        </w:rPr>
        <w:t>分，得4分。</w:t>
      </w:r>
    </w:p>
    <w:p>
      <w:pPr>
        <w:pageBreakBefore w:val="0"/>
        <w:widowControl w:val="0"/>
        <w:kinsoku/>
        <w:wordWrap/>
        <w:overflowPunct/>
        <w:topLinePunct w:val="0"/>
        <w:autoSpaceDE/>
        <w:autoSpaceDN/>
        <w:bidi w:val="0"/>
        <w:adjustRightInd/>
        <w:snapToGrid/>
        <w:spacing w:line="600" w:lineRule="atLeast"/>
        <w:textAlignment w:val="auto"/>
        <w:rPr>
          <w:rFonts w:hint="eastAsia" w:ascii="宋体" w:hAnsi="宋体" w:eastAsia="宋体" w:cs="宋体"/>
          <w:sz w:val="32"/>
          <w:szCs w:val="32"/>
          <w:highlight w:val="none"/>
          <w:lang w:val="zh-CN"/>
        </w:rPr>
      </w:pPr>
      <w:r>
        <w:rPr>
          <w:rFonts w:hint="eastAsia" w:ascii="宋体" w:hAnsi="宋体" w:eastAsia="宋体" w:cs="宋体"/>
          <w:sz w:val="32"/>
          <w:szCs w:val="32"/>
          <w:highlight w:val="none"/>
          <w:lang w:val="zh-CN"/>
        </w:rPr>
        <w:t>（</w:t>
      </w:r>
      <w:r>
        <w:rPr>
          <w:rFonts w:hint="eastAsia" w:ascii="宋体" w:hAnsi="宋体" w:eastAsia="宋体" w:cs="宋体"/>
          <w:sz w:val="32"/>
          <w:szCs w:val="32"/>
          <w:highlight w:val="none"/>
          <w:lang w:val="en-US" w:eastAsia="zh-CN"/>
        </w:rPr>
        <w:t>2</w:t>
      </w:r>
      <w:r>
        <w:rPr>
          <w:rFonts w:hint="eastAsia" w:ascii="宋体" w:hAnsi="宋体" w:eastAsia="宋体" w:cs="宋体"/>
          <w:sz w:val="32"/>
          <w:szCs w:val="32"/>
          <w:highlight w:val="none"/>
          <w:lang w:val="zh-CN"/>
        </w:rPr>
        <w:t>）项目调整</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2025年我院年初设置的部门预算项目绩效目标科学合理，与实际情况相符，项目实施过程规范有序，预算执行与绩效目标无偏差，故不涉及收回预算、调整目标等处置措施。</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根据评分标准，该项指标扣</w:t>
      </w:r>
      <w:r>
        <w:rPr>
          <w:rFonts w:hint="eastAsia" w:ascii="Times New Roman" w:hAnsi="Times New Roman" w:eastAsia="仿宋_GB2312" w:cs="仿宋_GB2312"/>
          <w:kern w:val="2"/>
          <w:sz w:val="32"/>
          <w:szCs w:val="32"/>
          <w:lang w:val="en-US" w:eastAsia="zh-CN" w:bidi="ar-SA"/>
        </w:rPr>
        <w:t>0</w:t>
      </w:r>
      <w:r>
        <w:rPr>
          <w:rFonts w:hint="eastAsia" w:ascii="Times New Roman" w:hAnsi="Times New Roman" w:eastAsia="仿宋_GB2312" w:cs="仿宋_GB2312"/>
          <w:kern w:val="2"/>
          <w:sz w:val="32"/>
          <w:szCs w:val="32"/>
          <w:lang w:val="zh-CN" w:eastAsia="zh-CN" w:bidi="ar-SA"/>
        </w:rPr>
        <w:t>分，得4分。</w:t>
      </w:r>
    </w:p>
    <w:p>
      <w:pPr>
        <w:pageBreakBefore w:val="0"/>
        <w:widowControl w:val="0"/>
        <w:kinsoku/>
        <w:wordWrap/>
        <w:overflowPunct/>
        <w:topLinePunct w:val="0"/>
        <w:autoSpaceDE/>
        <w:autoSpaceDN/>
        <w:bidi w:val="0"/>
        <w:adjustRightInd/>
        <w:snapToGrid/>
        <w:spacing w:line="600" w:lineRule="atLeast"/>
        <w:textAlignment w:val="auto"/>
        <w:rPr>
          <w:rFonts w:hint="eastAsia" w:ascii="宋体" w:hAnsi="宋体" w:eastAsia="宋体" w:cs="宋体"/>
          <w:sz w:val="32"/>
          <w:szCs w:val="32"/>
          <w:highlight w:val="none"/>
          <w:lang w:val="zh-CN"/>
        </w:rPr>
      </w:pPr>
      <w:r>
        <w:rPr>
          <w:rFonts w:hint="eastAsia" w:ascii="宋体" w:hAnsi="宋体" w:eastAsia="宋体" w:cs="宋体"/>
          <w:sz w:val="32"/>
          <w:szCs w:val="32"/>
          <w:highlight w:val="none"/>
          <w:lang w:val="zh-CN"/>
        </w:rPr>
        <w:t>（</w:t>
      </w:r>
      <w:r>
        <w:rPr>
          <w:rFonts w:hint="eastAsia" w:ascii="宋体" w:hAnsi="宋体" w:eastAsia="宋体" w:cs="宋体"/>
          <w:sz w:val="32"/>
          <w:szCs w:val="32"/>
          <w:highlight w:val="none"/>
          <w:lang w:val="en-US" w:eastAsia="zh-CN"/>
        </w:rPr>
        <w:t>3</w:t>
      </w:r>
      <w:r>
        <w:rPr>
          <w:rFonts w:hint="eastAsia" w:ascii="宋体" w:hAnsi="宋体" w:eastAsia="宋体" w:cs="宋体"/>
          <w:sz w:val="32"/>
          <w:szCs w:val="32"/>
          <w:highlight w:val="none"/>
          <w:lang w:val="zh-CN"/>
        </w:rPr>
        <w:t>）执行结果</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2025年我院</w:t>
      </w:r>
      <w:r>
        <w:rPr>
          <w:rFonts w:hint="eastAsia" w:ascii="Times New Roman" w:hAnsi="Times New Roman" w:eastAsia="仿宋_GB2312" w:cs="仿宋_GB2312"/>
          <w:kern w:val="2"/>
          <w:sz w:val="32"/>
          <w:szCs w:val="32"/>
          <w:lang w:val="zh-CN" w:eastAsia="zh-CN" w:bidi="ar-SA"/>
        </w:rPr>
        <w:t>常年项目</w:t>
      </w:r>
      <w:r>
        <w:rPr>
          <w:rFonts w:hint="eastAsia" w:ascii="Times New Roman" w:hAnsi="Times New Roman" w:eastAsia="仿宋_GB2312" w:cs="仿宋_GB2312"/>
          <w:kern w:val="2"/>
          <w:sz w:val="32"/>
          <w:szCs w:val="32"/>
          <w:lang w:val="en-US" w:eastAsia="zh-CN" w:bidi="ar-SA"/>
        </w:rPr>
        <w:t>共计10</w:t>
      </w:r>
      <w:r>
        <w:rPr>
          <w:rFonts w:hint="eastAsia" w:ascii="Times New Roman" w:hAnsi="Times New Roman" w:eastAsia="仿宋_GB2312" w:cs="仿宋_GB2312"/>
          <w:kern w:val="2"/>
          <w:sz w:val="32"/>
          <w:szCs w:val="32"/>
          <w:lang w:val="zh-CN" w:eastAsia="zh-CN" w:bidi="ar-SA"/>
        </w:rPr>
        <w:t>个，其中预算结余率</w:t>
      </w:r>
      <w:r>
        <w:rPr>
          <w:rFonts w:hint="eastAsia" w:ascii="Times New Roman" w:hAnsi="Times New Roman" w:eastAsia="仿宋_GB2312" w:cs="仿宋_GB2312"/>
          <w:kern w:val="2"/>
          <w:sz w:val="32"/>
          <w:szCs w:val="32"/>
          <w:lang w:val="en-US" w:eastAsia="zh-CN" w:bidi="ar-SA"/>
        </w:rPr>
        <w:t>小</w:t>
      </w:r>
      <w:r>
        <w:rPr>
          <w:rFonts w:hint="eastAsia" w:ascii="Times New Roman" w:hAnsi="Times New Roman" w:eastAsia="仿宋_GB2312" w:cs="仿宋_GB2312"/>
          <w:kern w:val="2"/>
          <w:sz w:val="32"/>
          <w:szCs w:val="32"/>
          <w:lang w:val="zh-CN" w:eastAsia="zh-CN" w:bidi="ar-SA"/>
        </w:rPr>
        <w:t>于10%的项目共计</w:t>
      </w:r>
      <w:r>
        <w:rPr>
          <w:rFonts w:hint="eastAsia" w:ascii="Times New Roman" w:hAnsi="Times New Roman" w:eastAsia="仿宋_GB2312" w:cs="仿宋_GB2312"/>
          <w:kern w:val="2"/>
          <w:sz w:val="32"/>
          <w:szCs w:val="32"/>
          <w:lang w:val="en-US" w:eastAsia="zh-CN" w:bidi="ar-SA"/>
        </w:rPr>
        <w:t>0</w:t>
      </w:r>
      <w:r>
        <w:rPr>
          <w:rFonts w:hint="eastAsia" w:ascii="Times New Roman" w:hAnsi="Times New Roman" w:eastAsia="仿宋_GB2312" w:cs="仿宋_GB2312"/>
          <w:kern w:val="2"/>
          <w:sz w:val="32"/>
          <w:szCs w:val="32"/>
          <w:lang w:val="zh-CN" w:eastAsia="zh-CN" w:bidi="ar-SA"/>
        </w:rPr>
        <w:t>个；阶段（一次性）项目</w:t>
      </w:r>
      <w:r>
        <w:rPr>
          <w:rFonts w:hint="eastAsia" w:ascii="Times New Roman" w:hAnsi="Times New Roman" w:eastAsia="仿宋_GB2312" w:cs="仿宋_GB2312"/>
          <w:kern w:val="2"/>
          <w:sz w:val="32"/>
          <w:szCs w:val="32"/>
          <w:lang w:val="en-US" w:eastAsia="zh-CN" w:bidi="ar-SA"/>
        </w:rPr>
        <w:t>共计2</w:t>
      </w:r>
      <w:r>
        <w:rPr>
          <w:rFonts w:hint="eastAsia" w:ascii="Times New Roman" w:hAnsi="Times New Roman" w:eastAsia="仿宋_GB2312" w:cs="仿宋_GB2312"/>
          <w:kern w:val="2"/>
          <w:sz w:val="32"/>
          <w:szCs w:val="32"/>
          <w:lang w:val="zh-CN" w:eastAsia="zh-CN" w:bidi="ar-SA"/>
        </w:rPr>
        <w:t>个，其中预算结余率</w:t>
      </w:r>
      <w:r>
        <w:rPr>
          <w:rFonts w:hint="eastAsia" w:ascii="Times New Roman" w:hAnsi="Times New Roman" w:eastAsia="仿宋_GB2312" w:cs="仿宋_GB2312"/>
          <w:kern w:val="2"/>
          <w:sz w:val="32"/>
          <w:szCs w:val="32"/>
          <w:lang w:val="en-US" w:eastAsia="zh-CN" w:bidi="ar-SA"/>
        </w:rPr>
        <w:t>小</w:t>
      </w:r>
      <w:r>
        <w:rPr>
          <w:rFonts w:hint="eastAsia" w:ascii="Times New Roman" w:hAnsi="Times New Roman" w:eastAsia="仿宋_GB2312" w:cs="仿宋_GB2312"/>
          <w:kern w:val="2"/>
          <w:sz w:val="32"/>
          <w:szCs w:val="32"/>
          <w:lang w:val="zh-CN" w:eastAsia="zh-CN" w:bidi="ar-SA"/>
        </w:rPr>
        <w:t>于10%的项目共计</w:t>
      </w:r>
      <w:r>
        <w:rPr>
          <w:rFonts w:hint="eastAsia" w:ascii="Times New Roman" w:hAnsi="Times New Roman" w:eastAsia="仿宋_GB2312" w:cs="仿宋_GB2312"/>
          <w:kern w:val="2"/>
          <w:sz w:val="32"/>
          <w:szCs w:val="32"/>
          <w:lang w:val="en-US" w:eastAsia="zh-CN" w:bidi="ar-SA"/>
        </w:rPr>
        <w:t>0</w:t>
      </w:r>
      <w:r>
        <w:rPr>
          <w:rFonts w:hint="eastAsia" w:ascii="Times New Roman" w:hAnsi="Times New Roman" w:eastAsia="仿宋_GB2312" w:cs="仿宋_GB2312"/>
          <w:kern w:val="2"/>
          <w:sz w:val="32"/>
          <w:szCs w:val="32"/>
          <w:lang w:val="zh-CN" w:eastAsia="zh-CN" w:bidi="ar-SA"/>
        </w:rPr>
        <w:t>个。该项指标得分=预算结余率小于10%的常年项目数量÷部门预算常年项目总数×100%×2+预算结余率小于10%的一次性项目和阶段项目数量÷部门预算一次性项目和阶段项目总数×100%×2</w:t>
      </w:r>
      <w:r>
        <w:rPr>
          <w:rFonts w:hint="eastAsia" w:ascii="Times New Roman" w:hAnsi="Times New Roman" w:eastAsia="仿宋_GB2312" w:cs="仿宋_GB2312"/>
          <w:kern w:val="2"/>
          <w:sz w:val="32"/>
          <w:szCs w:val="32"/>
          <w:lang w:val="en-US" w:eastAsia="zh-CN" w:bidi="ar-SA"/>
        </w:rPr>
        <w:t>=2+2=4。</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en-US" w:eastAsia="zh-CN" w:bidi="ar-SA"/>
        </w:rPr>
        <w:t>综上，</w:t>
      </w:r>
      <w:r>
        <w:rPr>
          <w:rFonts w:hint="eastAsia" w:ascii="Times New Roman" w:hAnsi="Times New Roman" w:eastAsia="仿宋_GB2312" w:cs="仿宋_GB2312"/>
          <w:kern w:val="2"/>
          <w:sz w:val="32"/>
          <w:szCs w:val="32"/>
          <w:lang w:val="zh-CN" w:eastAsia="zh-CN" w:bidi="ar-SA"/>
        </w:rPr>
        <w:t>根据评分标准，该项指标得</w:t>
      </w:r>
      <w:r>
        <w:rPr>
          <w:rFonts w:hint="eastAsia" w:ascii="Times New Roman" w:hAnsi="Times New Roman" w:eastAsia="仿宋_GB2312" w:cs="仿宋_GB2312"/>
          <w:kern w:val="2"/>
          <w:sz w:val="32"/>
          <w:szCs w:val="32"/>
          <w:lang w:val="en-US" w:eastAsia="zh-CN" w:bidi="ar-SA"/>
        </w:rPr>
        <w:t>4</w:t>
      </w:r>
      <w:r>
        <w:rPr>
          <w:rFonts w:hint="eastAsia" w:ascii="Times New Roman" w:hAnsi="Times New Roman" w:eastAsia="仿宋_GB2312" w:cs="仿宋_GB2312"/>
          <w:kern w:val="2"/>
          <w:sz w:val="32"/>
          <w:szCs w:val="32"/>
          <w:lang w:val="zh-CN" w:eastAsia="zh-CN" w:bidi="ar-SA"/>
        </w:rPr>
        <w:t>分。</w:t>
      </w:r>
    </w:p>
    <w:p>
      <w:pPr>
        <w:pStyle w:val="5"/>
        <w:pageBreakBefore w:val="0"/>
        <w:widowControl w:val="0"/>
        <w:kinsoku/>
        <w:wordWrap/>
        <w:overflowPunct/>
        <w:topLinePunct w:val="0"/>
        <w:autoSpaceDE/>
        <w:autoSpaceDN/>
        <w:bidi w:val="0"/>
        <w:adjustRightInd/>
        <w:snapToGrid/>
        <w:spacing w:line="600" w:lineRule="atLeast"/>
        <w:textAlignment w:val="auto"/>
        <w:rPr>
          <w:rFonts w:hint="eastAsia" w:ascii="宋体" w:hAnsi="宋体" w:eastAsia="宋体" w:cs="宋体"/>
          <w:sz w:val="32"/>
          <w:szCs w:val="32"/>
          <w:highlight w:val="none"/>
          <w:lang w:val="zh-CN"/>
        </w:rPr>
      </w:pPr>
      <w:r>
        <w:rPr>
          <w:rFonts w:hint="eastAsia" w:ascii="宋体" w:hAnsi="宋体" w:eastAsia="宋体" w:cs="宋体"/>
          <w:sz w:val="32"/>
          <w:szCs w:val="32"/>
          <w:highlight w:val="none"/>
          <w:lang w:val="en-US" w:eastAsia="zh-CN"/>
        </w:rPr>
        <w:t>3.</w:t>
      </w:r>
      <w:r>
        <w:rPr>
          <w:rFonts w:hint="eastAsia" w:ascii="宋体" w:hAnsi="宋体" w:eastAsia="宋体" w:cs="宋体"/>
          <w:sz w:val="32"/>
          <w:szCs w:val="32"/>
          <w:highlight w:val="none"/>
          <w:lang w:val="zh-CN"/>
        </w:rPr>
        <w:t>目标实现。</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zh-CN" w:eastAsia="zh-CN" w:bidi="ar-SA"/>
        </w:rPr>
        <w:t>我院</w:t>
      </w:r>
      <w:r>
        <w:rPr>
          <w:rFonts w:hint="eastAsia" w:ascii="Times New Roman" w:hAnsi="Times New Roman" w:eastAsia="仿宋_GB2312" w:cs="仿宋_GB2312"/>
          <w:kern w:val="2"/>
          <w:sz w:val="32"/>
          <w:szCs w:val="32"/>
          <w:lang w:val="en-US" w:eastAsia="zh-CN" w:bidi="ar-SA"/>
        </w:rPr>
        <w:t>2025年度不涉及国有资本经营预算、社会保险基金预算。部门预算项目实现情况如下：</w:t>
      </w:r>
    </w:p>
    <w:p>
      <w:pPr>
        <w:pageBreakBefore w:val="0"/>
        <w:widowControl w:val="0"/>
        <w:kinsoku/>
        <w:wordWrap/>
        <w:overflowPunct/>
        <w:topLinePunct w:val="0"/>
        <w:autoSpaceDE/>
        <w:autoSpaceDN/>
        <w:bidi w:val="0"/>
        <w:adjustRightInd/>
        <w:snapToGrid/>
        <w:spacing w:line="600" w:lineRule="atLeast"/>
        <w:textAlignment w:val="auto"/>
        <w:rPr>
          <w:rFonts w:hint="eastAsia" w:ascii="宋体" w:hAnsi="宋体" w:eastAsia="宋体" w:cs="宋体"/>
          <w:sz w:val="32"/>
          <w:szCs w:val="32"/>
          <w:highlight w:val="none"/>
          <w:lang w:eastAsia="zh-CN"/>
        </w:rPr>
      </w:pPr>
      <w:r>
        <w:rPr>
          <w:rFonts w:hint="eastAsia" w:ascii="宋体" w:hAnsi="宋体" w:eastAsia="宋体" w:cs="宋体"/>
          <w:sz w:val="32"/>
          <w:szCs w:val="32"/>
          <w:highlight w:val="none"/>
          <w:lang w:eastAsia="zh-CN"/>
        </w:rPr>
        <w:t>（</w:t>
      </w:r>
      <w:r>
        <w:rPr>
          <w:rFonts w:hint="eastAsia" w:ascii="宋体" w:hAnsi="宋体" w:eastAsia="宋体" w:cs="宋体"/>
          <w:sz w:val="32"/>
          <w:szCs w:val="32"/>
          <w:highlight w:val="none"/>
          <w:lang w:val="en-US" w:eastAsia="zh-CN"/>
        </w:rPr>
        <w:t>1</w:t>
      </w:r>
      <w:r>
        <w:rPr>
          <w:rFonts w:hint="eastAsia" w:ascii="宋体" w:hAnsi="宋体" w:eastAsia="宋体" w:cs="宋体"/>
          <w:sz w:val="32"/>
          <w:szCs w:val="32"/>
          <w:highlight w:val="none"/>
          <w:lang w:eastAsia="zh-CN"/>
        </w:rPr>
        <w:t>）目标完成</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zh-CN" w:eastAsia="zh-CN" w:bidi="ar-SA"/>
        </w:rPr>
        <w:t>2025年部门预算阶段项目（含一次性项目）共有</w:t>
      </w:r>
      <w:r>
        <w:rPr>
          <w:rFonts w:hint="eastAsia" w:ascii="Times New Roman" w:hAnsi="Times New Roman" w:eastAsia="仿宋_GB2312" w:cs="仿宋_GB2312"/>
          <w:kern w:val="2"/>
          <w:sz w:val="32"/>
          <w:szCs w:val="32"/>
          <w:lang w:val="en-US" w:eastAsia="zh-CN" w:bidi="ar-SA"/>
        </w:rPr>
        <w:t>12</w:t>
      </w:r>
      <w:r>
        <w:rPr>
          <w:rFonts w:hint="eastAsia" w:ascii="Times New Roman" w:hAnsi="Times New Roman" w:eastAsia="仿宋_GB2312" w:cs="仿宋_GB2312"/>
          <w:kern w:val="2"/>
          <w:sz w:val="32"/>
          <w:szCs w:val="32"/>
          <w:lang w:val="zh-CN" w:eastAsia="zh-CN" w:bidi="ar-SA"/>
        </w:rPr>
        <w:t>个，</w:t>
      </w:r>
      <w:r>
        <w:rPr>
          <w:rFonts w:hint="eastAsia" w:ascii="Times New Roman" w:hAnsi="Times New Roman" w:eastAsia="仿宋_GB2312" w:cs="仿宋_GB2312"/>
          <w:kern w:val="2"/>
          <w:sz w:val="32"/>
          <w:szCs w:val="32"/>
          <w:lang w:val="en-US" w:eastAsia="zh-CN" w:bidi="ar-SA"/>
        </w:rPr>
        <w:t>我院对照预期设定的绩效目标实施项目，各项目数量指标均已完成。</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en-US" w:eastAsia="zh-CN" w:bidi="ar-SA"/>
        </w:rPr>
        <w:t>综上，</w:t>
      </w:r>
      <w:r>
        <w:rPr>
          <w:rFonts w:hint="eastAsia" w:ascii="Times New Roman" w:hAnsi="Times New Roman" w:eastAsia="仿宋_GB2312" w:cs="仿宋_GB2312"/>
          <w:kern w:val="2"/>
          <w:sz w:val="32"/>
          <w:szCs w:val="32"/>
          <w:lang w:val="zh-CN" w:eastAsia="zh-CN" w:bidi="ar-SA"/>
        </w:rPr>
        <w:t>根据评分标准，该项指标扣</w:t>
      </w:r>
      <w:r>
        <w:rPr>
          <w:rFonts w:hint="eastAsia" w:ascii="Times New Roman" w:hAnsi="Times New Roman" w:eastAsia="仿宋_GB2312" w:cs="仿宋_GB2312"/>
          <w:kern w:val="2"/>
          <w:sz w:val="32"/>
          <w:szCs w:val="32"/>
          <w:lang w:val="en-US" w:eastAsia="zh-CN" w:bidi="ar-SA"/>
        </w:rPr>
        <w:t>0</w:t>
      </w:r>
      <w:r>
        <w:rPr>
          <w:rFonts w:hint="eastAsia" w:ascii="Times New Roman" w:hAnsi="Times New Roman" w:eastAsia="仿宋_GB2312" w:cs="仿宋_GB2312"/>
          <w:kern w:val="2"/>
          <w:sz w:val="32"/>
          <w:szCs w:val="32"/>
          <w:lang w:val="zh-CN" w:eastAsia="zh-CN" w:bidi="ar-SA"/>
        </w:rPr>
        <w:t>分，得</w:t>
      </w:r>
      <w:r>
        <w:rPr>
          <w:rFonts w:hint="eastAsia" w:ascii="Times New Roman" w:hAnsi="Times New Roman" w:eastAsia="仿宋_GB2312" w:cs="仿宋_GB2312"/>
          <w:kern w:val="2"/>
          <w:sz w:val="32"/>
          <w:szCs w:val="32"/>
          <w:lang w:val="en-US" w:eastAsia="zh-CN" w:bidi="ar-SA"/>
        </w:rPr>
        <w:t>4</w:t>
      </w:r>
      <w:r>
        <w:rPr>
          <w:rFonts w:hint="eastAsia" w:ascii="Times New Roman" w:hAnsi="Times New Roman" w:eastAsia="仿宋_GB2312" w:cs="仿宋_GB2312"/>
          <w:kern w:val="2"/>
          <w:sz w:val="32"/>
          <w:szCs w:val="32"/>
          <w:lang w:val="zh-CN" w:eastAsia="zh-CN" w:bidi="ar-SA"/>
        </w:rPr>
        <w:t>分。</w:t>
      </w:r>
    </w:p>
    <w:p>
      <w:pPr>
        <w:pageBreakBefore w:val="0"/>
        <w:widowControl w:val="0"/>
        <w:kinsoku/>
        <w:wordWrap/>
        <w:overflowPunct/>
        <w:topLinePunct w:val="0"/>
        <w:autoSpaceDE/>
        <w:autoSpaceDN/>
        <w:bidi w:val="0"/>
        <w:adjustRightInd/>
        <w:snapToGrid/>
        <w:spacing w:line="600" w:lineRule="atLeast"/>
        <w:textAlignment w:val="auto"/>
        <w:rPr>
          <w:rFonts w:hint="eastAsia" w:ascii="宋体" w:hAnsi="宋体" w:eastAsia="宋体" w:cs="宋体"/>
          <w:sz w:val="32"/>
          <w:szCs w:val="32"/>
          <w:highlight w:val="none"/>
          <w:lang w:eastAsia="zh-CN"/>
        </w:rPr>
      </w:pPr>
      <w:r>
        <w:rPr>
          <w:rFonts w:hint="eastAsia" w:ascii="宋体" w:hAnsi="宋体" w:eastAsia="宋体" w:cs="宋体"/>
          <w:sz w:val="32"/>
          <w:szCs w:val="32"/>
          <w:highlight w:val="none"/>
          <w:lang w:eastAsia="zh-CN"/>
        </w:rPr>
        <w:t>（</w:t>
      </w:r>
      <w:r>
        <w:rPr>
          <w:rFonts w:hint="eastAsia" w:ascii="宋体" w:hAnsi="宋体" w:eastAsia="宋体" w:cs="宋体"/>
          <w:sz w:val="32"/>
          <w:szCs w:val="32"/>
          <w:highlight w:val="none"/>
          <w:lang w:val="en-US" w:eastAsia="zh-CN"/>
        </w:rPr>
        <w:t>2</w:t>
      </w:r>
      <w:r>
        <w:rPr>
          <w:rFonts w:hint="eastAsia" w:ascii="宋体" w:hAnsi="宋体" w:eastAsia="宋体" w:cs="宋体"/>
          <w:sz w:val="32"/>
          <w:szCs w:val="32"/>
          <w:highlight w:val="none"/>
          <w:lang w:eastAsia="zh-CN"/>
        </w:rPr>
        <w:t>）目标偏离</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zh-CN" w:eastAsia="zh-CN" w:bidi="ar-SA"/>
        </w:rPr>
        <w:t>2025年我院部门预算阶段项目（含一次性项目）共有</w:t>
      </w:r>
      <w:r>
        <w:rPr>
          <w:rFonts w:hint="eastAsia" w:ascii="Times New Roman" w:hAnsi="Times New Roman" w:eastAsia="仿宋_GB2312" w:cs="仿宋_GB2312"/>
          <w:kern w:val="2"/>
          <w:sz w:val="32"/>
          <w:szCs w:val="32"/>
          <w:lang w:val="en-US" w:eastAsia="zh-CN" w:bidi="ar-SA"/>
        </w:rPr>
        <w:t>12</w:t>
      </w:r>
      <w:r>
        <w:rPr>
          <w:rFonts w:hint="eastAsia" w:ascii="Times New Roman" w:hAnsi="Times New Roman" w:eastAsia="仿宋_GB2312" w:cs="仿宋_GB2312"/>
          <w:kern w:val="2"/>
          <w:sz w:val="32"/>
          <w:szCs w:val="32"/>
          <w:lang w:val="zh-CN" w:eastAsia="zh-CN" w:bidi="ar-SA"/>
        </w:rPr>
        <w:t>个，</w:t>
      </w:r>
      <w:r>
        <w:rPr>
          <w:rFonts w:hint="eastAsia" w:ascii="Times New Roman" w:hAnsi="Times New Roman" w:eastAsia="仿宋_GB2312" w:cs="仿宋_GB2312"/>
          <w:kern w:val="2"/>
          <w:sz w:val="32"/>
          <w:szCs w:val="32"/>
          <w:lang w:val="en-US" w:eastAsia="zh-CN" w:bidi="ar-SA"/>
        </w:rPr>
        <w:t>各项目数量指标的完成值与设定预期指标值的偏离度均在30%以内。</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综上，根据评分标准，该项指标扣0分，得4分。</w:t>
      </w:r>
    </w:p>
    <w:p>
      <w:pPr>
        <w:pageBreakBefore w:val="0"/>
        <w:widowControl w:val="0"/>
        <w:kinsoku/>
        <w:wordWrap/>
        <w:overflowPunct/>
        <w:topLinePunct w:val="0"/>
        <w:autoSpaceDE/>
        <w:autoSpaceDN/>
        <w:bidi w:val="0"/>
        <w:adjustRightInd/>
        <w:snapToGrid/>
        <w:spacing w:line="600" w:lineRule="atLeast"/>
        <w:textAlignment w:val="auto"/>
        <w:rPr>
          <w:rFonts w:hint="eastAsia" w:ascii="宋体" w:hAnsi="宋体" w:eastAsia="宋体" w:cs="宋体"/>
          <w:sz w:val="32"/>
          <w:szCs w:val="32"/>
          <w:highlight w:val="none"/>
          <w:lang w:eastAsia="zh-CN"/>
        </w:rPr>
      </w:pPr>
      <w:r>
        <w:rPr>
          <w:rFonts w:hint="eastAsia" w:ascii="宋体" w:hAnsi="宋体" w:eastAsia="宋体" w:cs="宋体"/>
          <w:sz w:val="32"/>
          <w:szCs w:val="32"/>
          <w:highlight w:val="none"/>
          <w:lang w:eastAsia="zh-CN"/>
        </w:rPr>
        <w:t>（</w:t>
      </w:r>
      <w:r>
        <w:rPr>
          <w:rFonts w:hint="eastAsia" w:ascii="宋体" w:hAnsi="宋体" w:eastAsia="宋体" w:cs="宋体"/>
          <w:sz w:val="32"/>
          <w:szCs w:val="32"/>
          <w:highlight w:val="none"/>
          <w:lang w:val="en-US" w:eastAsia="zh-CN"/>
        </w:rPr>
        <w:t>3</w:t>
      </w:r>
      <w:r>
        <w:rPr>
          <w:rFonts w:hint="eastAsia" w:ascii="宋体" w:hAnsi="宋体" w:eastAsia="宋体" w:cs="宋体"/>
          <w:sz w:val="32"/>
          <w:szCs w:val="32"/>
          <w:highlight w:val="none"/>
          <w:lang w:eastAsia="zh-CN"/>
        </w:rPr>
        <w:t>）实现效果</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zh-CN" w:eastAsia="zh-CN" w:bidi="ar-SA"/>
        </w:rPr>
        <w:t>2025年我院需进行绩效目标管理的部门预算阶段项目共有</w:t>
      </w:r>
      <w:r>
        <w:rPr>
          <w:rFonts w:hint="eastAsia" w:ascii="Times New Roman" w:hAnsi="Times New Roman" w:eastAsia="仿宋_GB2312" w:cs="仿宋_GB2312"/>
          <w:kern w:val="2"/>
          <w:sz w:val="32"/>
          <w:szCs w:val="32"/>
          <w:lang w:val="en-US" w:eastAsia="zh-CN" w:bidi="ar-SA"/>
        </w:rPr>
        <w:t>12</w:t>
      </w:r>
      <w:r>
        <w:rPr>
          <w:rFonts w:hint="eastAsia" w:ascii="Times New Roman" w:hAnsi="Times New Roman" w:eastAsia="仿宋_GB2312" w:cs="仿宋_GB2312"/>
          <w:kern w:val="2"/>
          <w:sz w:val="32"/>
          <w:szCs w:val="32"/>
          <w:lang w:val="zh-CN" w:eastAsia="zh-CN" w:bidi="ar-SA"/>
        </w:rPr>
        <w:t>个，</w:t>
      </w:r>
      <w:r>
        <w:rPr>
          <w:rFonts w:hint="eastAsia" w:ascii="Times New Roman" w:hAnsi="Times New Roman" w:eastAsia="仿宋_GB2312" w:cs="仿宋_GB2312"/>
          <w:kern w:val="2"/>
          <w:sz w:val="32"/>
          <w:szCs w:val="32"/>
          <w:lang w:val="en-US" w:eastAsia="zh-CN" w:bidi="ar-SA"/>
        </w:rPr>
        <w:t>各项目实施情况良好，预期效益指标均已完成。</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en-US" w:eastAsia="zh-CN" w:bidi="ar-SA"/>
        </w:rPr>
        <w:t>综上，根据评分标准，该项指标扣0分，得3分。</w:t>
      </w:r>
    </w:p>
    <w:p>
      <w:pPr>
        <w:keepNext w:val="0"/>
        <w:keepLines w:val="0"/>
        <w:pageBreakBefore w:val="0"/>
        <w:widowControl/>
        <w:kinsoku/>
        <w:wordWrap/>
        <w:overflowPunct/>
        <w:topLinePunct w:val="0"/>
        <w:autoSpaceDE/>
        <w:autoSpaceDN/>
        <w:bidi w:val="0"/>
        <w:adjustRightInd w:val="0"/>
        <w:snapToGrid w:val="0"/>
        <w:spacing w:line="600" w:lineRule="atLeast"/>
        <w:ind w:firstLine="643" w:firstLineChars="200"/>
        <w:contextualSpacing/>
        <w:jc w:val="left"/>
        <w:textAlignment w:val="auto"/>
        <w:outlineLvl w:val="9"/>
        <w:rPr>
          <w:rFonts w:hint="eastAsia" w:ascii="宋体" w:hAnsi="宋体" w:eastAsia="宋体" w:cs="宋体"/>
          <w:b/>
          <w:bCs/>
          <w:color w:val="000000"/>
          <w:kern w:val="0"/>
          <w:sz w:val="32"/>
          <w:szCs w:val="32"/>
          <w:highlight w:val="none"/>
          <w:shd w:val="clear" w:color="auto" w:fill="FFFFFF"/>
          <w:lang w:val="zh-CN" w:eastAsia="zh-CN"/>
        </w:rPr>
      </w:pPr>
      <w:r>
        <w:rPr>
          <w:rFonts w:hint="eastAsia" w:ascii="宋体" w:hAnsi="宋体" w:eastAsia="宋体" w:cs="宋体"/>
          <w:b/>
          <w:bCs/>
          <w:color w:val="000000"/>
          <w:kern w:val="0"/>
          <w:sz w:val="32"/>
          <w:szCs w:val="32"/>
          <w:highlight w:val="none"/>
          <w:shd w:val="clear" w:color="auto" w:fill="FFFFFF"/>
          <w:lang w:val="zh-CN"/>
        </w:rPr>
        <w:t>（三）</w:t>
      </w:r>
      <w:r>
        <w:rPr>
          <w:rFonts w:hint="eastAsia" w:ascii="宋体" w:hAnsi="宋体" w:eastAsia="宋体" w:cs="宋体"/>
          <w:b/>
          <w:bCs/>
          <w:color w:val="000000"/>
          <w:kern w:val="0"/>
          <w:sz w:val="32"/>
          <w:szCs w:val="32"/>
          <w:highlight w:val="none"/>
          <w:shd w:val="clear" w:color="auto" w:fill="FFFFFF"/>
          <w:lang w:val="zh-CN" w:eastAsia="zh-CN"/>
        </w:rPr>
        <w:t>重点领域</w:t>
      </w:r>
      <w:r>
        <w:rPr>
          <w:rFonts w:hint="eastAsia" w:ascii="宋体" w:hAnsi="宋体" w:eastAsia="宋体" w:cs="宋体"/>
          <w:b/>
          <w:bCs/>
          <w:color w:val="000000"/>
          <w:kern w:val="0"/>
          <w:sz w:val="32"/>
          <w:szCs w:val="32"/>
          <w:highlight w:val="none"/>
          <w:shd w:val="clear" w:color="auto" w:fill="FFFFFF"/>
          <w:lang w:val="zh-CN"/>
        </w:rPr>
        <w:t>绩效分析</w:t>
      </w:r>
      <w:r>
        <w:rPr>
          <w:rFonts w:hint="eastAsia" w:ascii="宋体" w:hAnsi="宋体" w:eastAsia="宋体" w:cs="宋体"/>
          <w:b/>
          <w:bCs/>
          <w:color w:val="000000"/>
          <w:kern w:val="0"/>
          <w:sz w:val="32"/>
          <w:szCs w:val="32"/>
          <w:highlight w:val="none"/>
          <w:shd w:val="clear" w:color="auto" w:fill="FFFFFF"/>
          <w:lang w:val="zh-CN" w:eastAsia="zh-CN"/>
        </w:rPr>
        <w:t>。</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我院2025年度不涉及国有资本、债券资金，行政事业性国有资产、政府采购和政府购买服务等重点领域的绩效情况如下：</w:t>
      </w:r>
    </w:p>
    <w:p>
      <w:pPr>
        <w:pStyle w:val="5"/>
        <w:pageBreakBefore w:val="0"/>
        <w:widowControl w:val="0"/>
        <w:kinsoku/>
        <w:wordWrap/>
        <w:overflowPunct/>
        <w:topLinePunct w:val="0"/>
        <w:autoSpaceDE/>
        <w:autoSpaceDN/>
        <w:bidi w:val="0"/>
        <w:adjustRightInd/>
        <w:snapToGrid/>
        <w:spacing w:line="600" w:lineRule="atLeast"/>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1.行政事业性国有资产。</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为了加强国有资产管理，提高固定资产的使用效率，保证国有资产的完整，我院根据《行政单位国有资产管理暂行办法》（财政部令第35号）和《四川省省级机关国有资产管理暂行办法》（川办发〔2005〕45号）等文件规定，结合</w:t>
      </w:r>
      <w:r>
        <w:rPr>
          <w:rFonts w:hint="eastAsia" w:ascii="Times New Roman" w:hAnsi="Times New Roman" w:eastAsia="仿宋_GB2312" w:cs="仿宋_GB2312"/>
          <w:kern w:val="2"/>
          <w:sz w:val="32"/>
          <w:szCs w:val="32"/>
          <w:lang w:val="en-US" w:eastAsia="zh-CN" w:bidi="ar-SA"/>
        </w:rPr>
        <w:t>部门</w:t>
      </w:r>
      <w:r>
        <w:rPr>
          <w:rFonts w:hint="eastAsia" w:ascii="Times New Roman" w:hAnsi="Times New Roman" w:eastAsia="仿宋_GB2312" w:cs="仿宋_GB2312"/>
          <w:kern w:val="2"/>
          <w:sz w:val="32"/>
          <w:szCs w:val="32"/>
          <w:lang w:val="zh-CN" w:eastAsia="zh-CN" w:bidi="ar-SA"/>
        </w:rPr>
        <w:t>实际，制定了《固定资产管理办法》，并严格按照制度执行，具体情况如下：</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2025年度，我院认真实行资产配置计划预算管理，严格执行资产配置标准和资产购置程序，在年度内按计划顺利完成相关资产配置，并及时在资产管理系统中录入资产信息，确保资产卡片的完整性和准确性；严格按照《固定资产管理办法》要求，做好国有资产的清理盘点、统计报告及日常监督检查工作，2025年度国有资产基础管理、日常管理、效率管理等方面整体效益较好，有效保障了国有资产安全，提高了国有资产利用率。</w:t>
      </w:r>
    </w:p>
    <w:p>
      <w:pPr>
        <w:pStyle w:val="5"/>
        <w:pageBreakBefore w:val="0"/>
        <w:widowControl w:val="0"/>
        <w:kinsoku/>
        <w:wordWrap/>
        <w:overflowPunct/>
        <w:topLinePunct w:val="0"/>
        <w:autoSpaceDE/>
        <w:autoSpaceDN/>
        <w:bidi w:val="0"/>
        <w:adjustRightInd/>
        <w:snapToGrid/>
        <w:spacing w:line="600" w:lineRule="atLeast"/>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2.政府采购和政府购买服务。</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我院严格按照政府采购程序进行采购，政府采购预算执行率较高，所购服务和货物均达到质量要求，采购流程遵循相关规定，采购程序合理合规。</w:t>
      </w:r>
    </w:p>
    <w:p>
      <w:pPr>
        <w:keepNext w:val="0"/>
        <w:keepLines w:val="0"/>
        <w:pageBreakBefore w:val="0"/>
        <w:widowControl w:val="0"/>
        <w:kinsoku/>
        <w:wordWrap/>
        <w:overflowPunct/>
        <w:topLinePunct w:val="0"/>
        <w:autoSpaceDE/>
        <w:autoSpaceDN/>
        <w:bidi w:val="0"/>
        <w:snapToGrid w:val="0"/>
        <w:spacing w:line="600" w:lineRule="atLeast"/>
        <w:ind w:firstLine="643" w:firstLineChars="200"/>
        <w:textAlignment w:val="auto"/>
        <w:rPr>
          <w:rFonts w:hint="eastAsia" w:ascii="宋体" w:hAnsi="宋体" w:eastAsia="宋体" w:cs="宋体"/>
          <w:b/>
          <w:bCs/>
          <w:sz w:val="32"/>
          <w:szCs w:val="32"/>
          <w:lang w:val="zh-CN"/>
        </w:rPr>
      </w:pPr>
      <w:r>
        <w:rPr>
          <w:rFonts w:hint="eastAsia" w:ascii="宋体" w:hAnsi="宋体" w:eastAsia="宋体" w:cs="宋体"/>
          <w:b/>
          <w:bCs/>
          <w:sz w:val="32"/>
          <w:szCs w:val="32"/>
          <w:lang w:val="zh-CN"/>
        </w:rPr>
        <w:t>（四）绩效结果应用情况。</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zh-CN" w:eastAsia="zh-CN" w:bidi="ar-SA"/>
        </w:rPr>
        <w:t>为进一步提高行政事业单位内部管理水平和风险防范能力，规范内部控制，加强廉政风险防控机制建设，我院在对预算、收支、政府采购、资产、建设项目、合同等各类经济业务活动流程梳理的基础上，明确业务环节，系统分析经济活动风险，确定风险点，选择应对策略，形成了内部控制制度</w:t>
      </w:r>
      <w:r>
        <w:rPr>
          <w:rFonts w:hint="eastAsia" w:ascii="Times New Roman" w:hAnsi="Times New Roman" w:eastAsia="仿宋_GB2312" w:cs="仿宋_GB2312"/>
          <w:kern w:val="2"/>
          <w:sz w:val="32"/>
          <w:szCs w:val="32"/>
          <w:lang w:val="en-US" w:eastAsia="zh-CN" w:bidi="ar-SA"/>
        </w:rPr>
        <w:t>手册</w:t>
      </w:r>
      <w:r>
        <w:rPr>
          <w:rFonts w:hint="eastAsia" w:ascii="Times New Roman" w:hAnsi="Times New Roman" w:eastAsia="仿宋_GB2312" w:cs="仿宋_GB2312"/>
          <w:kern w:val="2"/>
          <w:sz w:val="32"/>
          <w:szCs w:val="32"/>
          <w:lang w:val="zh-CN" w:eastAsia="zh-CN" w:bidi="ar-SA"/>
        </w:rPr>
        <w:t>，我院严格按照内控制度进行预算绩效管理，并按照相关要求将绩效信息随同</w:t>
      </w:r>
      <w:r>
        <w:rPr>
          <w:rFonts w:hint="eastAsia" w:ascii="Times New Roman" w:hAnsi="Times New Roman" w:eastAsia="仿宋_GB2312" w:cs="仿宋_GB2312"/>
          <w:kern w:val="2"/>
          <w:sz w:val="32"/>
          <w:szCs w:val="32"/>
          <w:lang w:val="en-US" w:eastAsia="zh-CN" w:bidi="ar-SA"/>
        </w:rPr>
        <w:t>预</w:t>
      </w:r>
      <w:r>
        <w:rPr>
          <w:rFonts w:hint="eastAsia" w:ascii="Times New Roman" w:hAnsi="Times New Roman" w:eastAsia="仿宋_GB2312" w:cs="仿宋_GB2312"/>
          <w:kern w:val="2"/>
          <w:sz w:val="32"/>
          <w:szCs w:val="32"/>
          <w:lang w:val="zh-CN" w:eastAsia="zh-CN" w:bidi="ar-SA"/>
        </w:rPr>
        <w:t>决算公开。在</w:t>
      </w:r>
      <w:r>
        <w:rPr>
          <w:rFonts w:hint="eastAsia" w:ascii="Times New Roman" w:hAnsi="Times New Roman" w:eastAsia="仿宋_GB2312" w:cs="仿宋_GB2312"/>
          <w:kern w:val="2"/>
          <w:sz w:val="32"/>
          <w:szCs w:val="32"/>
          <w:lang w:val="en-US" w:eastAsia="zh-CN" w:bidi="ar-SA"/>
        </w:rPr>
        <w:t>2025年度的</w:t>
      </w:r>
      <w:r>
        <w:rPr>
          <w:rFonts w:hint="eastAsia" w:ascii="Times New Roman" w:hAnsi="Times New Roman" w:eastAsia="仿宋_GB2312" w:cs="仿宋_GB2312"/>
          <w:kern w:val="2"/>
          <w:sz w:val="32"/>
          <w:szCs w:val="32"/>
          <w:lang w:val="zh-CN" w:eastAsia="zh-CN" w:bidi="ar-SA"/>
        </w:rPr>
        <w:t>绩效管理过程中，未发现我院存在相关问题。</w:t>
      </w:r>
    </w:p>
    <w:p>
      <w:pPr>
        <w:keepNext w:val="0"/>
        <w:keepLines w:val="0"/>
        <w:pageBreakBefore w:val="0"/>
        <w:widowControl/>
        <w:kinsoku/>
        <w:wordWrap/>
        <w:overflowPunct/>
        <w:topLinePunct w:val="0"/>
        <w:autoSpaceDE/>
        <w:autoSpaceDN/>
        <w:bidi w:val="0"/>
        <w:adjustRightInd w:val="0"/>
        <w:snapToGrid w:val="0"/>
        <w:spacing w:line="600" w:lineRule="atLeast"/>
        <w:ind w:firstLine="640" w:firstLineChars="200"/>
        <w:contextualSpacing/>
        <w:jc w:val="left"/>
        <w:textAlignment w:val="auto"/>
        <w:outlineLvl w:val="0"/>
        <w:rPr>
          <w:rFonts w:hint="eastAsia" w:ascii="宋体" w:hAnsi="宋体" w:eastAsia="宋体" w:cs="宋体"/>
          <w:color w:val="000000"/>
          <w:kern w:val="0"/>
          <w:sz w:val="32"/>
          <w:szCs w:val="32"/>
          <w:highlight w:val="none"/>
          <w:shd w:val="clear" w:color="auto" w:fill="FFFFFF"/>
        </w:rPr>
      </w:pPr>
      <w:r>
        <w:rPr>
          <w:rFonts w:hint="eastAsia" w:ascii="宋体" w:hAnsi="宋体" w:eastAsia="宋体" w:cs="宋体"/>
          <w:color w:val="000000"/>
          <w:kern w:val="0"/>
          <w:sz w:val="32"/>
          <w:szCs w:val="32"/>
          <w:highlight w:val="none"/>
          <w:shd w:val="clear" w:color="auto" w:fill="FFFFFF"/>
          <w:lang w:eastAsia="zh-CN"/>
        </w:rPr>
        <w:t>四、</w:t>
      </w:r>
      <w:r>
        <w:rPr>
          <w:rFonts w:hint="eastAsia" w:ascii="宋体" w:hAnsi="宋体" w:eastAsia="宋体" w:cs="宋体"/>
          <w:color w:val="000000"/>
          <w:kern w:val="0"/>
          <w:sz w:val="32"/>
          <w:szCs w:val="32"/>
          <w:highlight w:val="none"/>
          <w:shd w:val="clear" w:color="auto" w:fill="FFFFFF"/>
        </w:rPr>
        <w:t>评价结论及建议</w:t>
      </w:r>
    </w:p>
    <w:p>
      <w:pPr>
        <w:keepNext w:val="0"/>
        <w:keepLines w:val="0"/>
        <w:pageBreakBefore w:val="0"/>
        <w:widowControl/>
        <w:kinsoku/>
        <w:wordWrap/>
        <w:overflowPunct/>
        <w:topLinePunct w:val="0"/>
        <w:autoSpaceDE/>
        <w:autoSpaceDN/>
        <w:bidi w:val="0"/>
        <w:adjustRightInd w:val="0"/>
        <w:snapToGrid w:val="0"/>
        <w:spacing w:line="600" w:lineRule="atLeast"/>
        <w:ind w:firstLine="643" w:firstLineChars="200"/>
        <w:contextualSpacing/>
        <w:jc w:val="left"/>
        <w:textAlignment w:val="auto"/>
        <w:outlineLvl w:val="9"/>
        <w:rPr>
          <w:rFonts w:hint="eastAsia" w:ascii="宋体" w:hAnsi="宋体" w:eastAsia="宋体" w:cs="宋体"/>
          <w:b/>
          <w:bCs/>
          <w:color w:val="000000"/>
          <w:kern w:val="0"/>
          <w:sz w:val="32"/>
          <w:szCs w:val="32"/>
          <w:highlight w:val="none"/>
          <w:shd w:val="clear" w:color="auto" w:fill="FFFFFF"/>
          <w:lang w:val="zh-CN"/>
        </w:rPr>
      </w:pPr>
      <w:r>
        <w:rPr>
          <w:rFonts w:hint="eastAsia" w:ascii="宋体" w:hAnsi="宋体" w:eastAsia="宋体" w:cs="宋体"/>
          <w:b/>
          <w:bCs/>
          <w:color w:val="000000"/>
          <w:kern w:val="0"/>
          <w:sz w:val="32"/>
          <w:szCs w:val="32"/>
          <w:highlight w:val="none"/>
          <w:shd w:val="clear" w:color="auto" w:fill="FFFFFF"/>
          <w:lang w:val="zh-CN"/>
        </w:rPr>
        <w:t>（一）评价结论。</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2025年，我院始终坚持以习近平新时代中国特色社会主义思想为指导，全面贯彻党的二十大精神，以高度的政治责任和思想认识推进各项工作开展，切实履行了部门职责，部门预算管理、财务管理、资产管理和采购管理等规范有序，较好地完成了各项年度任务，部门预算支出使用效益达到预期，根据部门预算绩效评价指标体系，2025年我院部门预算绩效评价综合得分93.13分。</w:t>
      </w:r>
    </w:p>
    <w:p>
      <w:pPr>
        <w:keepNext w:val="0"/>
        <w:keepLines w:val="0"/>
        <w:pageBreakBefore w:val="0"/>
        <w:widowControl/>
        <w:kinsoku/>
        <w:wordWrap/>
        <w:overflowPunct/>
        <w:topLinePunct w:val="0"/>
        <w:autoSpaceDE/>
        <w:autoSpaceDN/>
        <w:bidi w:val="0"/>
        <w:adjustRightInd w:val="0"/>
        <w:snapToGrid w:val="0"/>
        <w:spacing w:line="600" w:lineRule="atLeast"/>
        <w:ind w:firstLine="643" w:firstLineChars="200"/>
        <w:contextualSpacing/>
        <w:jc w:val="left"/>
        <w:textAlignment w:val="auto"/>
        <w:outlineLvl w:val="1"/>
        <w:rPr>
          <w:rFonts w:hint="eastAsia" w:ascii="宋体" w:hAnsi="宋体" w:eastAsia="宋体" w:cs="宋体"/>
          <w:b/>
          <w:bCs/>
          <w:color w:val="000000"/>
          <w:kern w:val="0"/>
          <w:sz w:val="32"/>
          <w:szCs w:val="32"/>
          <w:highlight w:val="none"/>
          <w:shd w:val="clear" w:color="auto" w:fill="FFFFFF"/>
          <w:lang w:val="zh-CN"/>
        </w:rPr>
      </w:pPr>
      <w:r>
        <w:rPr>
          <w:rFonts w:hint="eastAsia" w:ascii="宋体" w:hAnsi="宋体" w:eastAsia="宋体" w:cs="宋体"/>
          <w:b/>
          <w:bCs/>
          <w:color w:val="000000"/>
          <w:kern w:val="0"/>
          <w:sz w:val="32"/>
          <w:szCs w:val="32"/>
          <w:highlight w:val="none"/>
          <w:shd w:val="clear" w:color="auto" w:fill="FFFFFF"/>
          <w:lang w:val="zh-CN"/>
        </w:rPr>
        <w:t>（二）存在问题。</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资产管理能力有待进一步提高。2025年，我院存在资产管理信息延后更新的情况，主要原因系资产管理任务不够细化，资产总额及数量较多，资产管理能力较弱。</w:t>
      </w:r>
    </w:p>
    <w:p>
      <w:pPr>
        <w:keepNext w:val="0"/>
        <w:keepLines w:val="0"/>
        <w:pageBreakBefore w:val="0"/>
        <w:widowControl/>
        <w:kinsoku/>
        <w:wordWrap/>
        <w:overflowPunct/>
        <w:topLinePunct w:val="0"/>
        <w:autoSpaceDE/>
        <w:autoSpaceDN/>
        <w:bidi w:val="0"/>
        <w:adjustRightInd w:val="0"/>
        <w:snapToGrid w:val="0"/>
        <w:spacing w:line="600" w:lineRule="atLeast"/>
        <w:ind w:firstLine="643" w:firstLineChars="200"/>
        <w:contextualSpacing/>
        <w:jc w:val="left"/>
        <w:textAlignment w:val="auto"/>
        <w:outlineLvl w:val="9"/>
        <w:rPr>
          <w:rFonts w:hint="eastAsia" w:ascii="宋体" w:hAnsi="宋体" w:eastAsia="宋体" w:cs="宋体"/>
          <w:b/>
          <w:bCs/>
          <w:color w:val="000000"/>
          <w:kern w:val="0"/>
          <w:sz w:val="32"/>
          <w:szCs w:val="32"/>
          <w:highlight w:val="none"/>
          <w:shd w:val="clear" w:color="auto" w:fill="FFFFFF"/>
          <w:lang w:val="zh-CN" w:eastAsia="zh-CN"/>
        </w:rPr>
      </w:pPr>
      <w:r>
        <w:rPr>
          <w:rFonts w:hint="eastAsia" w:ascii="宋体" w:hAnsi="宋体" w:eastAsia="宋体" w:cs="宋体"/>
          <w:b/>
          <w:bCs/>
          <w:color w:val="000000"/>
          <w:kern w:val="0"/>
          <w:sz w:val="32"/>
          <w:szCs w:val="32"/>
          <w:highlight w:val="none"/>
          <w:shd w:val="clear" w:color="auto" w:fill="FFFFFF"/>
          <w:lang w:val="zh-CN" w:eastAsia="zh-CN"/>
        </w:rPr>
        <w:t>（三）改进建议。</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bookmarkStart w:id="69" w:name="_Hlk110546638"/>
      <w:r>
        <w:rPr>
          <w:rFonts w:hint="eastAsia" w:ascii="Times New Roman" w:hAnsi="Times New Roman" w:eastAsia="仿宋_GB2312" w:cs="仿宋_GB2312"/>
          <w:kern w:val="2"/>
          <w:sz w:val="32"/>
          <w:szCs w:val="32"/>
          <w:lang w:val="en-US" w:eastAsia="zh-CN" w:bidi="ar-SA"/>
        </w:rPr>
        <w:t>建议考虑全年可能出现的资产变化需求，合理安排资产管理人员，加强资产管理手段，同时严格按照内控制度中的内部控制规范建设制度运行，遵循安全规范、节约高效、公开透明、权责一致的原则，实现实物管理与价值管理相统一，资产管理与预算管理、财务管理相结合，提升资产管理水平。</w:t>
      </w:r>
    </w:p>
    <w:p>
      <w:pPr>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仿宋_GB2312"/>
          <w:kern w:val="2"/>
          <w:sz w:val="32"/>
          <w:szCs w:val="32"/>
          <w:lang w:val="en-US" w:eastAsia="zh-CN" w:bidi="ar-SA"/>
        </w:rPr>
      </w:pPr>
    </w:p>
    <w:p>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宋体" w:hAnsi="宋体" w:eastAsia="宋体" w:cs="宋体"/>
          <w:caps w:val="0"/>
          <w:strike w:val="0"/>
          <w:sz w:val="32"/>
          <w:szCs w:val="32"/>
          <w:u w:val="none"/>
          <w:lang w:val="en-US" w:eastAsia="zh-CN" w:bidi="ar"/>
        </w:rPr>
      </w:pPr>
      <w:r>
        <w:rPr>
          <w:rFonts w:hint="eastAsia" w:ascii="宋体" w:hAnsi="宋体" w:eastAsia="宋体" w:cs="宋体"/>
          <w:caps w:val="0"/>
          <w:color w:val="000000"/>
          <w:kern w:val="0"/>
          <w:sz w:val="32"/>
          <w:szCs w:val="32"/>
          <w:highlight w:val="none"/>
          <w:shd w:val="clear" w:color="auto" w:fill="FFFFFF"/>
          <w:lang w:val="en-US" w:eastAsia="zh-CN"/>
        </w:rPr>
        <w:t>附表：1.</w:t>
      </w:r>
      <w:r>
        <w:rPr>
          <w:rFonts w:hint="eastAsia" w:ascii="宋体" w:hAnsi="宋体" w:eastAsia="宋体" w:cs="宋体"/>
          <w:caps w:val="0"/>
          <w:strike w:val="0"/>
          <w:sz w:val="32"/>
          <w:szCs w:val="32"/>
          <w:u w:val="none"/>
          <w:lang w:val="en-US" w:eastAsia="zh-CN" w:bidi="ar"/>
        </w:rPr>
        <w:t>部门预算绩效自评打分表</w:t>
      </w:r>
    </w:p>
    <w:p>
      <w:pPr>
        <w:keepNext w:val="0"/>
        <w:keepLines w:val="0"/>
        <w:pageBreakBefore w:val="0"/>
        <w:numPr>
          <w:ilvl w:val="0"/>
          <w:numId w:val="5"/>
        </w:numPr>
        <w:kinsoku/>
        <w:wordWrap/>
        <w:overflowPunct/>
        <w:topLinePunct w:val="0"/>
        <w:autoSpaceDE/>
        <w:autoSpaceDN/>
        <w:bidi w:val="0"/>
        <w:spacing w:line="578" w:lineRule="exact"/>
        <w:ind w:firstLine="1600" w:firstLineChars="500"/>
        <w:textAlignment w:val="auto"/>
        <w:rPr>
          <w:rFonts w:hint="eastAsia" w:ascii="宋体" w:hAnsi="宋体" w:eastAsia="宋体" w:cs="宋体"/>
          <w:caps w:val="0"/>
          <w:color w:val="000000"/>
          <w:kern w:val="0"/>
          <w:sz w:val="32"/>
          <w:szCs w:val="32"/>
          <w:highlight w:val="none"/>
          <w:shd w:val="clear" w:color="auto" w:fill="FFFFFF"/>
          <w:lang w:val="en-US" w:eastAsia="zh-CN"/>
        </w:rPr>
      </w:pPr>
      <w:r>
        <w:rPr>
          <w:rFonts w:hint="eastAsia" w:ascii="宋体" w:hAnsi="宋体" w:eastAsia="宋体" w:cs="宋体"/>
          <w:caps w:val="0"/>
          <w:color w:val="000000"/>
          <w:kern w:val="0"/>
          <w:sz w:val="32"/>
          <w:szCs w:val="32"/>
          <w:highlight w:val="none"/>
          <w:shd w:val="clear" w:color="auto" w:fill="FFFFFF"/>
          <w:lang w:val="en-US" w:eastAsia="zh-CN"/>
        </w:rPr>
        <w:t>部门整体绩效目标完成情况自评表</w:t>
      </w:r>
    </w:p>
    <w:bookmarkEnd w:id="69"/>
    <w:p>
      <w:pPr>
        <w:pStyle w:val="2"/>
        <w:rPr>
          <w:rFonts w:hint="default"/>
          <w:lang w:val="en-US" w:eastAsia="zh-CN"/>
        </w:rPr>
      </w:pPr>
    </w:p>
    <w:p>
      <w:pPr>
        <w:keepNext w:val="0"/>
        <w:keepLines w:val="0"/>
        <w:pageBreakBefore w:val="0"/>
        <w:kinsoku/>
        <w:wordWrap/>
        <w:overflowPunct/>
        <w:topLinePunct w:val="0"/>
        <w:autoSpaceDE/>
        <w:autoSpaceDN/>
        <w:bidi w:val="0"/>
        <w:spacing w:line="578" w:lineRule="exact"/>
        <w:ind w:firstLine="0" w:firstLineChars="0"/>
        <w:jc w:val="left"/>
        <w:textAlignment w:val="auto"/>
        <w:rPr>
          <w:rFonts w:hint="eastAsia"/>
          <w:lang w:val="en-US" w:eastAsia="zh-CN"/>
        </w:rPr>
      </w:pPr>
      <w:r>
        <w:rPr>
          <w:rFonts w:hint="default" w:ascii="Times New Roman" w:hAnsi="Times New Roman" w:eastAsia="黑体" w:cs="Times New Roman"/>
          <w:caps w:val="0"/>
          <w:kern w:val="2"/>
          <w:sz w:val="32"/>
          <w:szCs w:val="24"/>
          <w:highlight w:val="none"/>
          <w:lang w:val="en-US" w:eastAsia="zh-CN" w:bidi="ar-SA"/>
        </w:rPr>
        <w:t>附表</w:t>
      </w:r>
      <w:r>
        <w:rPr>
          <w:rFonts w:hint="eastAsia" w:ascii="Times New Roman" w:hAnsi="Times New Roman" w:eastAsia="黑体" w:cs="Times New Roman"/>
          <w:caps w:val="0"/>
          <w:kern w:val="2"/>
          <w:sz w:val="32"/>
          <w:szCs w:val="24"/>
          <w:highlight w:val="none"/>
          <w:lang w:val="en-US" w:eastAsia="zh-CN" w:bidi="ar-SA"/>
        </w:rPr>
        <w:t>1</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0" w:firstLineChars="0"/>
        <w:jc w:val="center"/>
        <w:textAlignment w:val="center"/>
        <w:outlineLvl w:val="9"/>
        <w:rPr>
          <w:rFonts w:hint="eastAsia" w:ascii="Times New Roman" w:hAnsi="Times New Roman" w:eastAsia="方正小标宋简体" w:cs="Times New Roman"/>
          <w:i w:val="0"/>
          <w:caps w:val="0"/>
          <w:color w:val="000000"/>
          <w:kern w:val="0"/>
          <w:sz w:val="44"/>
          <w:szCs w:val="44"/>
          <w:u w:val="none"/>
          <w:lang w:val="en-US" w:eastAsia="zh-CN" w:bidi="ar"/>
        </w:rPr>
      </w:pPr>
      <w:r>
        <w:rPr>
          <w:rFonts w:hint="eastAsia" w:ascii="Times New Roman" w:hAnsi="Times New Roman" w:eastAsia="方正小标宋简体" w:cs="Times New Roman"/>
          <w:i w:val="0"/>
          <w:caps w:val="0"/>
          <w:color w:val="000000"/>
          <w:kern w:val="0"/>
          <w:sz w:val="44"/>
          <w:szCs w:val="44"/>
          <w:u w:val="none"/>
          <w:lang w:val="en-US" w:eastAsia="zh-CN" w:bidi="ar"/>
        </w:rPr>
        <w:t>部门预算绩效自评打分表</w:t>
      </w:r>
    </w:p>
    <w:tbl>
      <w:tblPr>
        <w:tblStyle w:val="17"/>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4"/>
        <w:gridCol w:w="1462"/>
        <w:gridCol w:w="1665"/>
        <w:gridCol w:w="720"/>
        <w:gridCol w:w="4734"/>
        <w:gridCol w:w="756"/>
        <w:gridCol w:w="4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ascii="Times New Roman" w:hAnsi="Times New Roman" w:eastAsia="黑体" w:cs="黑体"/>
                <w:i w:val="0"/>
                <w:caps w:val="0"/>
                <w:color w:val="000000"/>
                <w:sz w:val="24"/>
                <w:szCs w:val="24"/>
                <w:u w:val="none"/>
              </w:rPr>
            </w:pPr>
            <w:r>
              <w:rPr>
                <w:rFonts w:hint="eastAsia" w:ascii="Times New Roman" w:hAnsi="Times New Roman" w:eastAsia="黑体" w:cs="黑体"/>
                <w:i w:val="0"/>
                <w:caps w:val="0"/>
                <w:color w:val="000000"/>
                <w:kern w:val="0"/>
                <w:sz w:val="24"/>
                <w:szCs w:val="24"/>
                <w:u w:val="none"/>
                <w:lang w:val="en-US" w:eastAsia="zh-CN" w:bidi="ar"/>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黑体" w:cs="黑体"/>
                <w:i w:val="0"/>
                <w:caps w:val="0"/>
                <w:color w:val="000000"/>
                <w:sz w:val="24"/>
                <w:szCs w:val="24"/>
                <w:u w:val="none"/>
              </w:rPr>
            </w:pPr>
            <w:r>
              <w:rPr>
                <w:rFonts w:hint="eastAsia" w:ascii="Times New Roman" w:hAnsi="Times New Roman" w:eastAsia="黑体" w:cs="黑体"/>
                <w:i w:val="0"/>
                <w:caps w:val="0"/>
                <w:color w:val="000000"/>
                <w:kern w:val="0"/>
                <w:sz w:val="24"/>
                <w:szCs w:val="24"/>
                <w:u w:val="none"/>
                <w:lang w:val="en-US" w:eastAsia="zh-CN" w:bidi="ar"/>
              </w:rPr>
              <w:t>指标解释</w:t>
            </w:r>
          </w:p>
        </w:tc>
        <w:tc>
          <w:tcPr>
            <w:tcW w:w="75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黑体" w:cs="黑体"/>
                <w:i w:val="0"/>
                <w:caps w:val="0"/>
                <w:color w:val="000000"/>
                <w:kern w:val="0"/>
                <w:sz w:val="24"/>
                <w:szCs w:val="24"/>
                <w:u w:val="none"/>
                <w:lang w:val="en-US" w:eastAsia="zh-CN" w:bidi="ar"/>
              </w:rPr>
            </w:pPr>
            <w:r>
              <w:rPr>
                <w:rFonts w:hint="eastAsia" w:ascii="Times New Roman" w:hAnsi="Times New Roman" w:eastAsia="黑体" w:cs="黑体"/>
                <w:i w:val="0"/>
                <w:caps w:val="0"/>
                <w:color w:val="000000"/>
                <w:kern w:val="0"/>
                <w:sz w:val="24"/>
                <w:szCs w:val="24"/>
                <w:u w:val="none"/>
                <w:lang w:val="en-US" w:eastAsia="zh-CN" w:bidi="ar"/>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黑体" w:cs="黑体"/>
                <w:i w:val="0"/>
                <w:caps w:val="0"/>
                <w:color w:val="000000"/>
                <w:kern w:val="0"/>
                <w:sz w:val="24"/>
                <w:szCs w:val="24"/>
                <w:u w:val="none"/>
                <w:lang w:val="en-US" w:eastAsia="zh-CN" w:bidi="ar"/>
              </w:rPr>
            </w:pPr>
            <w:r>
              <w:rPr>
                <w:rFonts w:hint="eastAsia" w:ascii="Times New Roman" w:hAnsi="Times New Roman" w:eastAsia="黑体" w:cs="黑体"/>
                <w:i w:val="0"/>
                <w:cap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黑体" w:cs="黑体"/>
                <w:i w:val="0"/>
                <w:caps w:val="0"/>
                <w:color w:val="000000"/>
                <w:sz w:val="24"/>
                <w:szCs w:val="24"/>
                <w:u w:val="none"/>
              </w:rPr>
            </w:pPr>
            <w:r>
              <w:rPr>
                <w:rFonts w:hint="eastAsia" w:ascii="Times New Roman" w:hAnsi="Times New Roman" w:eastAsia="黑体" w:cs="黑体"/>
                <w:i w:val="0"/>
                <w:caps w:val="0"/>
                <w:color w:val="000000"/>
                <w:kern w:val="0"/>
                <w:sz w:val="24"/>
                <w:szCs w:val="24"/>
                <w:u w:val="none"/>
                <w:lang w:val="en-US" w:eastAsia="zh-CN" w:bidi="ar"/>
              </w:rPr>
              <w:t>一级指标</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黑体" w:cs="黑体"/>
                <w:i w:val="0"/>
                <w:caps w:val="0"/>
                <w:color w:val="000000"/>
                <w:sz w:val="24"/>
                <w:szCs w:val="24"/>
                <w:u w:val="none"/>
              </w:rPr>
            </w:pPr>
            <w:r>
              <w:rPr>
                <w:rFonts w:hint="eastAsia" w:ascii="Times New Roman" w:hAnsi="Times New Roman" w:eastAsia="黑体" w:cs="黑体"/>
                <w:i w:val="0"/>
                <w:caps w:val="0"/>
                <w:color w:val="000000"/>
                <w:kern w:val="0"/>
                <w:sz w:val="24"/>
                <w:szCs w:val="24"/>
                <w:u w:val="none"/>
                <w:lang w:val="en-US" w:eastAsia="zh-CN" w:bidi="ar"/>
              </w:rPr>
              <w:t>二级指标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黑体" w:cs="黑体"/>
                <w:i w:val="0"/>
                <w:caps w:val="0"/>
                <w:color w:val="000000"/>
                <w:sz w:val="24"/>
                <w:szCs w:val="24"/>
                <w:u w:val="none"/>
              </w:rPr>
            </w:pPr>
            <w:r>
              <w:rPr>
                <w:rFonts w:hint="eastAsia" w:ascii="Times New Roman" w:hAnsi="Times New Roman" w:eastAsia="黑体" w:cs="黑体"/>
                <w:i w:val="0"/>
                <w:caps w:val="0"/>
                <w:color w:val="000000"/>
                <w:kern w:val="0"/>
                <w:sz w:val="24"/>
                <w:szCs w:val="24"/>
                <w:u w:val="none"/>
                <w:lang w:val="en-US" w:eastAsia="zh-CN" w:bidi="ar"/>
              </w:rPr>
              <w:t>三级指标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黑体" w:cs="黑体"/>
                <w:i w:val="0"/>
                <w:caps w:val="0"/>
                <w:color w:val="000000"/>
                <w:sz w:val="24"/>
                <w:szCs w:val="24"/>
                <w:u w:val="none"/>
              </w:rPr>
            </w:pPr>
            <w:r>
              <w:rPr>
                <w:rFonts w:hint="eastAsia" w:ascii="Times New Roman" w:hAnsi="Times New Roman" w:eastAsia="黑体" w:cs="黑体"/>
                <w:i w:val="0"/>
                <w:caps w:val="0"/>
                <w:color w:val="000000"/>
                <w:kern w:val="0"/>
                <w:sz w:val="24"/>
                <w:szCs w:val="24"/>
                <w:u w:val="none"/>
                <w:lang w:val="en-US" w:eastAsia="zh-CN" w:bidi="ar"/>
              </w:rPr>
              <w:t>指标</w:t>
            </w:r>
            <w:r>
              <w:rPr>
                <w:rFonts w:hint="eastAsia" w:ascii="Times New Roman" w:hAnsi="Times New Roman" w:eastAsia="黑体" w:cs="黑体"/>
                <w:i w:val="0"/>
                <w:caps w:val="0"/>
                <w:color w:val="000000"/>
                <w:kern w:val="0"/>
                <w:sz w:val="24"/>
                <w:szCs w:val="24"/>
                <w:u w:val="none"/>
                <w:lang w:val="en-US" w:eastAsia="zh-CN" w:bidi="ar"/>
              </w:rPr>
              <w:br w:type="textWrapping"/>
            </w:r>
            <w:r>
              <w:rPr>
                <w:rFonts w:hint="eastAsia" w:ascii="Times New Roman" w:hAnsi="Times New Roman" w:eastAsia="黑体" w:cs="黑体"/>
                <w:i w:val="0"/>
                <w:caps w:val="0"/>
                <w:color w:val="000000"/>
                <w:kern w:val="0"/>
                <w:sz w:val="24"/>
                <w:szCs w:val="24"/>
                <w:u w:val="none"/>
                <w:lang w:val="en-US" w:eastAsia="zh-CN" w:bidi="ar"/>
              </w:rPr>
              <w:t>分值</w:t>
            </w:r>
          </w:p>
        </w:tc>
        <w:tc>
          <w:tcPr>
            <w:tcW w:w="4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黑体" w:cs="黑体"/>
                <w:i w:val="0"/>
                <w:caps w:val="0"/>
                <w:color w:val="000000"/>
                <w:sz w:val="24"/>
                <w:szCs w:val="24"/>
                <w:u w:val="none"/>
              </w:rPr>
            </w:pPr>
          </w:p>
        </w:tc>
        <w:tc>
          <w:tcPr>
            <w:tcW w:w="756"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黑体" w:cs="黑体"/>
                <w:i w:val="0"/>
                <w:caps w:val="0"/>
                <w:color w:val="000000"/>
                <w:sz w:val="24"/>
                <w:szCs w:val="24"/>
                <w:u w:val="none"/>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黑体" w:cs="黑体"/>
                <w:i w:val="0"/>
                <w:cap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b/>
                <w:i w:val="0"/>
                <w:caps w:val="0"/>
                <w:color w:val="000000"/>
                <w:sz w:val="24"/>
                <w:szCs w:val="24"/>
                <w:u w:val="none"/>
              </w:rPr>
            </w:pPr>
            <w:r>
              <w:rPr>
                <w:rFonts w:hint="eastAsia" w:ascii="Times New Roman" w:hAnsi="Times New Roman" w:eastAsia="宋体" w:cs="宋体"/>
                <w:b/>
                <w:i w:val="0"/>
                <w:caps w:val="0"/>
                <w:color w:val="000000"/>
                <w:kern w:val="0"/>
                <w:sz w:val="24"/>
                <w:szCs w:val="24"/>
                <w:u w:val="none"/>
                <w:lang w:val="en-US" w:eastAsia="zh-CN" w:bidi="ar"/>
              </w:rPr>
              <w:t>总体绩效</w:t>
            </w:r>
            <w:r>
              <w:rPr>
                <w:rFonts w:hint="eastAsia" w:ascii="Times New Roman" w:hAnsi="Times New Roman" w:eastAsia="宋体" w:cs="宋体"/>
                <w:b/>
                <w:i w:val="0"/>
                <w:caps w:val="0"/>
                <w:color w:val="000000"/>
                <w:kern w:val="0"/>
                <w:sz w:val="24"/>
                <w:szCs w:val="24"/>
                <w:u w:val="none"/>
                <w:lang w:val="en-US" w:eastAsia="zh-CN" w:bidi="ar"/>
              </w:rPr>
              <w:br w:type="textWrapping"/>
            </w:r>
            <w:r>
              <w:rPr>
                <w:rFonts w:hint="eastAsia" w:ascii="Times New Roman" w:hAnsi="Times New Roman" w:eastAsia="宋体" w:cs="宋体"/>
                <w:b/>
                <w:i w:val="0"/>
                <w:caps w:val="0"/>
                <w:color w:val="000000"/>
                <w:kern w:val="0"/>
                <w:sz w:val="24"/>
                <w:szCs w:val="24"/>
                <w:u w:val="none"/>
                <w:lang w:val="en-US" w:eastAsia="zh-CN"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b/>
                <w:i w:val="0"/>
                <w:caps w:val="0"/>
                <w:color w:val="000000"/>
                <w:sz w:val="24"/>
                <w:szCs w:val="24"/>
                <w:u w:val="none"/>
              </w:rPr>
            </w:pPr>
            <w:r>
              <w:rPr>
                <w:rFonts w:hint="eastAsia" w:ascii="Times New Roman" w:hAnsi="Times New Roman" w:eastAsia="宋体" w:cs="宋体"/>
                <w:b/>
                <w:i w:val="0"/>
                <w:caps w:val="0"/>
                <w:color w:val="000000"/>
                <w:kern w:val="0"/>
                <w:sz w:val="24"/>
                <w:szCs w:val="24"/>
                <w:u w:val="none"/>
                <w:lang w:val="en-US" w:eastAsia="zh-CN" w:bidi="ar"/>
              </w:rPr>
              <w:t>履职效能</w:t>
            </w:r>
            <w:r>
              <w:rPr>
                <w:rFonts w:hint="eastAsia" w:ascii="Times New Roman" w:hAnsi="Times New Roman" w:eastAsia="宋体" w:cs="宋体"/>
                <w:b/>
                <w:i w:val="0"/>
                <w:caps w:val="0"/>
                <w:color w:val="000000"/>
                <w:kern w:val="0"/>
                <w:sz w:val="24"/>
                <w:szCs w:val="24"/>
                <w:u w:val="none"/>
                <w:lang w:val="en-US" w:eastAsia="zh-CN" w:bidi="ar"/>
              </w:rPr>
              <w:br w:type="textWrapping"/>
            </w:r>
            <w:r>
              <w:rPr>
                <w:rFonts w:hint="eastAsia" w:ascii="Times New Roman" w:hAnsi="Times New Roman" w:eastAsia="宋体" w:cs="宋体"/>
                <w:b/>
                <w:i w:val="0"/>
                <w:caps w:val="0"/>
                <w:color w:val="000000"/>
                <w:kern w:val="0"/>
                <w:sz w:val="24"/>
                <w:szCs w:val="24"/>
                <w:u w:val="none"/>
                <w:lang w:val="en-US" w:eastAsia="zh-CN" w:bidi="ar"/>
              </w:rPr>
              <w:t>（15分）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履职效果</w:t>
            </w:r>
          </w:p>
        </w:tc>
        <w:tc>
          <w:tcPr>
            <w:tcW w:w="72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15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ascii="Times New Roman" w:hAnsi="Times New Roman" w:eastAsia="宋体" w:cs="宋体"/>
                <w:i w:val="0"/>
                <w:caps w:val="0"/>
                <w:color w:val="000000"/>
                <w:kern w:val="0"/>
                <w:sz w:val="24"/>
                <w:szCs w:val="24"/>
                <w:u w:val="none"/>
                <w:lang w:val="en-US" w:eastAsia="zh-CN" w:bidi="ar"/>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b/>
                <w:i w:val="0"/>
                <w:caps w:val="0"/>
                <w:color w:val="000000"/>
                <w:sz w:val="24"/>
                <w:szCs w:val="24"/>
                <w:u w:val="none"/>
              </w:rPr>
            </w:pPr>
            <w:r>
              <w:rPr>
                <w:rFonts w:hint="eastAsia" w:ascii="Times New Roman" w:hAnsi="Times New Roman" w:eastAsia="宋体" w:cs="宋体"/>
                <w:b/>
                <w:i w:val="0"/>
                <w:caps w:val="0"/>
                <w:color w:val="000000"/>
                <w:kern w:val="0"/>
                <w:sz w:val="24"/>
                <w:szCs w:val="24"/>
                <w:u w:val="none"/>
                <w:lang w:val="en-US" w:eastAsia="zh-CN" w:bidi="ar"/>
              </w:rPr>
              <w:t>预算管理</w:t>
            </w:r>
            <w:r>
              <w:rPr>
                <w:rFonts w:hint="eastAsia" w:ascii="Times New Roman" w:hAnsi="Times New Roman" w:eastAsia="宋体" w:cs="宋体"/>
                <w:b/>
                <w:i w:val="0"/>
                <w:caps w:val="0"/>
                <w:color w:val="000000"/>
                <w:kern w:val="0"/>
                <w:sz w:val="24"/>
                <w:szCs w:val="24"/>
                <w:u w:val="none"/>
                <w:lang w:val="en-US" w:eastAsia="zh-CN" w:bidi="ar"/>
              </w:rPr>
              <w:br w:type="textWrapping"/>
            </w:r>
            <w:r>
              <w:rPr>
                <w:rFonts w:hint="eastAsia" w:ascii="Times New Roman" w:hAnsi="Times New Roman" w:eastAsia="宋体" w:cs="宋体"/>
                <w:b/>
                <w:i w:val="0"/>
                <w:caps w:val="0"/>
                <w:color w:val="000000"/>
                <w:kern w:val="0"/>
                <w:sz w:val="24"/>
                <w:szCs w:val="24"/>
                <w:u w:val="none"/>
                <w:lang w:val="en-US" w:eastAsia="zh-CN" w:bidi="ar"/>
              </w:rPr>
              <w:t>（25分）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预算编制质量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8</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eastAsia="宋体" w:cs="宋体"/>
                <w:i w:val="0"/>
                <w:caps w:val="0"/>
                <w:color w:val="000000"/>
                <w:kern w:val="0"/>
                <w:sz w:val="24"/>
                <w:szCs w:val="24"/>
                <w:u w:val="none"/>
                <w:lang w:val="en-US" w:eastAsia="zh-CN" w:bidi="ar"/>
              </w:rPr>
              <w:t>4.6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单位收入统筹</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部门统筹自有收入程度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ascii="Times New Roman" w:hAnsi="Times New Roman" w:eastAsia="宋体" w:cs="宋体"/>
                <w:i w:val="0"/>
                <w:caps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支出执行进度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6</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ascii="Times New Roman" w:hAnsi="Times New Roman" w:eastAsia="宋体" w:cs="宋体"/>
                <w:i w:val="0"/>
                <w:caps w:val="0"/>
                <w:color w:val="000000"/>
                <w:kern w:val="0"/>
                <w:sz w:val="24"/>
                <w:szCs w:val="24"/>
                <w:u w:val="none"/>
                <w:lang w:val="en-US" w:eastAsia="zh-CN" w:bidi="ar"/>
              </w:rPr>
              <w:t>4.</w:t>
            </w:r>
            <w:r>
              <w:rPr>
                <w:rFonts w:hint="eastAsia" w:eastAsia="宋体" w:cs="宋体"/>
                <w:i w:val="0"/>
                <w:caps w:val="0"/>
                <w:color w:val="000000"/>
                <w:kern w:val="0"/>
                <w:sz w:val="24"/>
                <w:szCs w:val="24"/>
                <w:u w:val="none"/>
                <w:lang w:val="en-US" w:eastAsia="zh-CN" w:bidi="ar"/>
              </w:rPr>
              <w:t>5</w:t>
            </w:r>
            <w:r>
              <w:rPr>
                <w:rFonts w:hint="eastAsia" w:ascii="Times New Roman" w:hAnsi="Times New Roman" w:eastAsia="宋体" w:cs="宋体"/>
                <w:i w:val="0"/>
                <w:caps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预算年终结余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ascii="Times New Roman" w:hAnsi="Times New Roman" w:eastAsia="宋体" w:cs="宋体"/>
                <w:i w:val="0"/>
                <w:caps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严控一般性支出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ascii="Times New Roman" w:hAnsi="Times New Roman" w:eastAsia="宋体" w:cs="宋体"/>
                <w:i w:val="0"/>
                <w:caps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b/>
                <w:i w:val="0"/>
                <w:caps w:val="0"/>
                <w:color w:val="000000"/>
                <w:sz w:val="24"/>
                <w:szCs w:val="24"/>
                <w:u w:val="none"/>
              </w:rPr>
            </w:pPr>
            <w:r>
              <w:rPr>
                <w:rFonts w:hint="eastAsia" w:ascii="Times New Roman" w:hAnsi="Times New Roman" w:eastAsia="宋体" w:cs="宋体"/>
                <w:b/>
                <w:i w:val="0"/>
                <w:caps w:val="0"/>
                <w:color w:val="000000"/>
                <w:kern w:val="0"/>
                <w:sz w:val="24"/>
                <w:szCs w:val="24"/>
                <w:u w:val="none"/>
                <w:lang w:val="en-US" w:eastAsia="zh-CN" w:bidi="ar"/>
              </w:rPr>
              <w:t>财务管理</w:t>
            </w:r>
            <w:r>
              <w:rPr>
                <w:rFonts w:hint="eastAsia" w:ascii="Times New Roman" w:hAnsi="Times New Roman" w:eastAsia="宋体" w:cs="宋体"/>
                <w:b/>
                <w:i w:val="0"/>
                <w:caps w:val="0"/>
                <w:color w:val="000000"/>
                <w:kern w:val="0"/>
                <w:sz w:val="24"/>
                <w:szCs w:val="24"/>
                <w:u w:val="none"/>
                <w:lang w:val="en-US" w:eastAsia="zh-CN" w:bidi="ar"/>
              </w:rPr>
              <w:br w:type="textWrapping"/>
            </w:r>
            <w:r>
              <w:rPr>
                <w:rFonts w:hint="eastAsia" w:ascii="Times New Roman" w:hAnsi="Times New Roman" w:eastAsia="宋体" w:cs="宋体"/>
                <w:b/>
                <w:i w:val="0"/>
                <w:caps w:val="0"/>
                <w:color w:val="000000"/>
                <w:kern w:val="0"/>
                <w:sz w:val="24"/>
                <w:szCs w:val="24"/>
                <w:u w:val="none"/>
                <w:lang w:val="en-US" w:eastAsia="zh-CN" w:bidi="ar"/>
              </w:rPr>
              <w:t>（10分）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财务管理制度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ascii="Times New Roman" w:hAnsi="Times New Roman" w:eastAsia="宋体" w:cs="宋体"/>
                <w:i w:val="0"/>
                <w:caps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财务岗位设置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ascii="Times New Roman" w:hAnsi="Times New Roman" w:eastAsia="宋体" w:cs="宋体"/>
                <w:i w:val="0"/>
                <w:caps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资金使用规范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ascii="Times New Roman" w:hAnsi="Times New Roman" w:eastAsia="宋体" w:cs="宋体"/>
                <w:i w:val="0"/>
                <w:caps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b/>
                <w:i w:val="0"/>
                <w:caps w:val="0"/>
                <w:color w:val="000000"/>
                <w:sz w:val="24"/>
                <w:szCs w:val="24"/>
                <w:u w:val="none"/>
              </w:rPr>
            </w:pPr>
            <w:r>
              <w:rPr>
                <w:rFonts w:hint="eastAsia" w:ascii="Times New Roman" w:hAnsi="Times New Roman" w:eastAsia="宋体" w:cs="宋体"/>
                <w:b/>
                <w:i w:val="0"/>
                <w:caps w:val="0"/>
                <w:color w:val="000000"/>
                <w:kern w:val="0"/>
                <w:sz w:val="24"/>
                <w:szCs w:val="24"/>
                <w:u w:val="none"/>
                <w:lang w:val="en-US" w:eastAsia="zh-CN" w:bidi="ar"/>
              </w:rPr>
              <w:t>资产管理</w:t>
            </w:r>
            <w:r>
              <w:rPr>
                <w:rFonts w:hint="eastAsia" w:ascii="Times New Roman" w:hAnsi="Times New Roman" w:eastAsia="宋体" w:cs="宋体"/>
                <w:b/>
                <w:i w:val="0"/>
                <w:caps w:val="0"/>
                <w:color w:val="000000"/>
                <w:kern w:val="0"/>
                <w:sz w:val="24"/>
                <w:szCs w:val="24"/>
                <w:u w:val="none"/>
                <w:lang w:val="en-US" w:eastAsia="zh-CN" w:bidi="ar"/>
              </w:rPr>
              <w:br w:type="textWrapping"/>
            </w:r>
            <w:r>
              <w:rPr>
                <w:rFonts w:hint="eastAsia" w:ascii="Times New Roman" w:hAnsi="Times New Roman" w:eastAsia="宋体" w:cs="宋体"/>
                <w:b/>
                <w:i w:val="0"/>
                <w:caps w:val="0"/>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人均资产变化率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eastAsia="宋体" w:cs="宋体"/>
                <w:i w:val="0"/>
                <w:caps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资产利用率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eastAsia="宋体" w:cs="宋体"/>
                <w:i w:val="0"/>
                <w:caps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b/>
                <w:i w:val="0"/>
                <w:caps w:val="0"/>
                <w:color w:val="000000"/>
                <w:sz w:val="24"/>
                <w:szCs w:val="24"/>
                <w:u w:val="none"/>
              </w:rPr>
            </w:pPr>
            <w:r>
              <w:rPr>
                <w:rFonts w:hint="eastAsia" w:ascii="Times New Roman" w:hAnsi="Times New Roman" w:eastAsia="宋体" w:cs="宋体"/>
                <w:b/>
                <w:i w:val="0"/>
                <w:caps w:val="0"/>
                <w:color w:val="000000"/>
                <w:kern w:val="0"/>
                <w:sz w:val="24"/>
                <w:szCs w:val="24"/>
                <w:u w:val="none"/>
                <w:lang w:val="en-US" w:eastAsia="zh-CN" w:bidi="ar"/>
              </w:rPr>
              <w:t>总体绩效</w:t>
            </w:r>
            <w:r>
              <w:rPr>
                <w:rFonts w:hint="eastAsia" w:ascii="Times New Roman" w:hAnsi="Times New Roman" w:eastAsia="宋体" w:cs="宋体"/>
                <w:b/>
                <w:i w:val="0"/>
                <w:caps w:val="0"/>
                <w:color w:val="000000"/>
                <w:kern w:val="0"/>
                <w:sz w:val="24"/>
                <w:szCs w:val="24"/>
                <w:u w:val="none"/>
                <w:lang w:val="en-US" w:eastAsia="zh-CN" w:bidi="ar"/>
              </w:rPr>
              <w:br w:type="textWrapping"/>
            </w:r>
            <w:r>
              <w:rPr>
                <w:rFonts w:hint="eastAsia" w:ascii="Times New Roman" w:hAnsi="Times New Roman" w:eastAsia="宋体" w:cs="宋体"/>
                <w:b/>
                <w:i w:val="0"/>
                <w:caps w:val="0"/>
                <w:color w:val="000000"/>
                <w:kern w:val="0"/>
                <w:sz w:val="24"/>
                <w:szCs w:val="24"/>
                <w:u w:val="none"/>
                <w:lang w:val="en-US" w:eastAsia="zh-CN"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b/>
                <w:i w:val="0"/>
                <w:caps w:val="0"/>
                <w:color w:val="000000"/>
                <w:sz w:val="24"/>
                <w:szCs w:val="24"/>
                <w:u w:val="none"/>
              </w:rPr>
            </w:pPr>
            <w:r>
              <w:rPr>
                <w:rFonts w:hint="eastAsia" w:ascii="Times New Roman" w:hAnsi="Times New Roman" w:eastAsia="宋体" w:cs="宋体"/>
                <w:b/>
                <w:i w:val="0"/>
                <w:caps w:val="0"/>
                <w:color w:val="000000"/>
                <w:kern w:val="0"/>
                <w:sz w:val="24"/>
                <w:szCs w:val="24"/>
                <w:u w:val="none"/>
                <w:lang w:val="en-US" w:eastAsia="zh-CN" w:bidi="ar"/>
              </w:rPr>
              <w:t>资产管理</w:t>
            </w:r>
            <w:r>
              <w:rPr>
                <w:rFonts w:hint="eastAsia" w:ascii="Times New Roman" w:hAnsi="Times New Roman" w:eastAsia="宋体" w:cs="宋体"/>
                <w:b/>
                <w:i w:val="0"/>
                <w:caps w:val="0"/>
                <w:color w:val="000000"/>
                <w:kern w:val="0"/>
                <w:sz w:val="24"/>
                <w:szCs w:val="24"/>
                <w:u w:val="none"/>
                <w:lang w:val="en-US" w:eastAsia="zh-CN" w:bidi="ar"/>
              </w:rPr>
              <w:br w:type="textWrapping"/>
            </w:r>
            <w:r>
              <w:rPr>
                <w:rFonts w:hint="eastAsia" w:ascii="Times New Roman" w:hAnsi="Times New Roman" w:eastAsia="宋体" w:cs="宋体"/>
                <w:b/>
                <w:i w:val="0"/>
                <w:caps w:val="0"/>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资产盘活率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eastAsia="宋体" w:cs="宋体"/>
                <w:i w:val="0"/>
                <w:caps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b/>
                <w:i w:val="0"/>
                <w:caps w:val="0"/>
                <w:color w:val="000000"/>
                <w:sz w:val="24"/>
                <w:szCs w:val="24"/>
                <w:u w:val="none"/>
              </w:rPr>
            </w:pPr>
            <w:r>
              <w:rPr>
                <w:rFonts w:hint="eastAsia" w:ascii="Times New Roman" w:hAnsi="Times New Roman" w:eastAsia="宋体" w:cs="宋体"/>
                <w:b/>
                <w:i w:val="0"/>
                <w:caps w:val="0"/>
                <w:color w:val="000000"/>
                <w:kern w:val="0"/>
                <w:sz w:val="24"/>
                <w:szCs w:val="24"/>
                <w:u w:val="none"/>
                <w:lang w:val="en-US" w:eastAsia="zh-CN" w:bidi="ar"/>
              </w:rPr>
              <w:t>采购管理</w:t>
            </w:r>
            <w:r>
              <w:rPr>
                <w:rFonts w:hint="eastAsia" w:ascii="Times New Roman" w:hAnsi="Times New Roman" w:eastAsia="宋体" w:cs="宋体"/>
                <w:b/>
                <w:i w:val="0"/>
                <w:caps w:val="0"/>
                <w:color w:val="000000"/>
                <w:kern w:val="0"/>
                <w:sz w:val="24"/>
                <w:szCs w:val="24"/>
                <w:u w:val="none"/>
                <w:lang w:val="en-US" w:eastAsia="zh-CN" w:bidi="ar"/>
              </w:rPr>
              <w:br w:type="textWrapping"/>
            </w:r>
            <w:r>
              <w:rPr>
                <w:rFonts w:hint="eastAsia" w:ascii="Times New Roman" w:hAnsi="Times New Roman" w:eastAsia="宋体" w:cs="宋体"/>
                <w:b/>
                <w:i w:val="0"/>
                <w:caps w:val="0"/>
                <w:color w:val="000000"/>
                <w:kern w:val="0"/>
                <w:sz w:val="24"/>
                <w:szCs w:val="24"/>
                <w:u w:val="none"/>
                <w:lang w:val="en-US" w:eastAsia="zh-CN" w:bidi="ar"/>
              </w:rPr>
              <w:t>（6分）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支持中小企业发展</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ascii="Times New Roman" w:hAnsi="Times New Roman" w:eastAsia="宋体" w:cs="宋体"/>
                <w:i w:val="0"/>
                <w:caps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采购执行率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ascii="Times New Roman" w:hAnsi="Times New Roman" w:eastAsia="宋体" w:cs="宋体"/>
                <w:i w:val="0"/>
                <w:caps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b/>
                <w:i w:val="0"/>
                <w:caps w:val="0"/>
                <w:color w:val="000000"/>
                <w:sz w:val="24"/>
                <w:szCs w:val="24"/>
                <w:u w:val="none"/>
              </w:rPr>
            </w:pPr>
            <w:r>
              <w:rPr>
                <w:rFonts w:hint="eastAsia" w:ascii="Times New Roman" w:hAnsi="Times New Roman" w:eastAsia="宋体" w:cs="宋体"/>
                <w:b/>
                <w:i w:val="0"/>
                <w:caps w:val="0"/>
                <w:color w:val="000000"/>
                <w:kern w:val="0"/>
                <w:sz w:val="24"/>
                <w:szCs w:val="24"/>
                <w:u w:val="none"/>
                <w:lang w:val="en-US" w:eastAsia="zh-CN" w:bidi="ar"/>
              </w:rPr>
              <w:t>项目绩效</w:t>
            </w:r>
            <w:r>
              <w:rPr>
                <w:rFonts w:hint="eastAsia" w:ascii="Times New Roman" w:hAnsi="Times New Roman" w:eastAsia="宋体" w:cs="宋体"/>
                <w:b/>
                <w:i w:val="0"/>
                <w:caps w:val="0"/>
                <w:color w:val="000000"/>
                <w:kern w:val="0"/>
                <w:sz w:val="24"/>
                <w:szCs w:val="24"/>
                <w:u w:val="none"/>
                <w:lang w:val="en-US" w:eastAsia="zh-CN" w:bidi="ar"/>
              </w:rPr>
              <w:br w:type="textWrapping"/>
            </w:r>
            <w:r>
              <w:rPr>
                <w:rFonts w:hint="eastAsia" w:ascii="Times New Roman" w:hAnsi="Times New Roman" w:eastAsia="宋体" w:cs="宋体"/>
                <w:b/>
                <w:i w:val="0"/>
                <w:caps w:val="0"/>
                <w:color w:val="000000"/>
                <w:kern w:val="0"/>
                <w:sz w:val="24"/>
                <w:szCs w:val="24"/>
                <w:u w:val="none"/>
                <w:lang w:val="en-US" w:eastAsia="zh-CN" w:bidi="ar"/>
              </w:rPr>
              <w:t>（35分）</w:t>
            </w: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b/>
                <w:i w:val="0"/>
                <w:caps w:val="0"/>
                <w:color w:val="000000"/>
                <w:sz w:val="24"/>
                <w:szCs w:val="24"/>
                <w:u w:val="none"/>
              </w:rPr>
            </w:pPr>
            <w:r>
              <w:rPr>
                <w:rFonts w:hint="eastAsia" w:ascii="Times New Roman" w:hAnsi="Times New Roman" w:eastAsia="宋体" w:cs="宋体"/>
                <w:b/>
                <w:i w:val="0"/>
                <w:caps w:val="0"/>
                <w:color w:val="000000"/>
                <w:kern w:val="0"/>
                <w:sz w:val="24"/>
                <w:szCs w:val="24"/>
                <w:u w:val="none"/>
                <w:lang w:val="en-US" w:eastAsia="zh-CN" w:bidi="ar"/>
              </w:rPr>
              <w:t>项目决策</w:t>
            </w:r>
            <w:r>
              <w:rPr>
                <w:rFonts w:hint="eastAsia" w:ascii="Times New Roman" w:hAnsi="Times New Roman" w:eastAsia="宋体" w:cs="宋体"/>
                <w:b/>
                <w:i w:val="0"/>
                <w:caps w:val="0"/>
                <w:color w:val="000000"/>
                <w:kern w:val="0"/>
                <w:sz w:val="24"/>
                <w:szCs w:val="24"/>
                <w:u w:val="none"/>
                <w:lang w:val="en-US" w:eastAsia="zh-CN" w:bidi="ar"/>
              </w:rPr>
              <w:br w:type="textWrapping"/>
            </w:r>
            <w:r>
              <w:rPr>
                <w:rFonts w:hint="eastAsia" w:ascii="Times New Roman" w:hAnsi="Times New Roman" w:eastAsia="宋体" w:cs="宋体"/>
                <w:b/>
                <w:i w:val="0"/>
                <w:caps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决策程序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ascii="Times New Roman" w:hAnsi="Times New Roman" w:eastAsia="宋体" w:cs="宋体"/>
                <w:i w:val="0"/>
                <w:caps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目标设置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ascii="Times New Roman" w:hAnsi="Times New Roman" w:eastAsia="宋体" w:cs="宋体"/>
                <w:i w:val="0"/>
                <w:caps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项目入库</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ascii="Times New Roman" w:hAnsi="Times New Roman" w:eastAsia="宋体" w:cs="宋体"/>
                <w:i w:val="0"/>
                <w:caps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b/>
                <w:i w:val="0"/>
                <w:caps w:val="0"/>
                <w:color w:val="000000"/>
                <w:sz w:val="24"/>
                <w:szCs w:val="24"/>
                <w:u w:val="none"/>
              </w:rPr>
            </w:pPr>
            <w:r>
              <w:rPr>
                <w:rFonts w:hint="eastAsia" w:ascii="Times New Roman" w:hAnsi="Times New Roman" w:eastAsia="宋体" w:cs="宋体"/>
                <w:b/>
                <w:i w:val="0"/>
                <w:caps w:val="0"/>
                <w:color w:val="000000"/>
                <w:kern w:val="0"/>
                <w:sz w:val="24"/>
                <w:szCs w:val="24"/>
                <w:u w:val="none"/>
                <w:lang w:val="en-US" w:eastAsia="zh-CN" w:bidi="ar"/>
              </w:rPr>
              <w:t>项目执行</w:t>
            </w:r>
            <w:r>
              <w:rPr>
                <w:rFonts w:hint="eastAsia" w:ascii="Times New Roman" w:hAnsi="Times New Roman" w:eastAsia="宋体" w:cs="宋体"/>
                <w:b/>
                <w:i w:val="0"/>
                <w:caps w:val="0"/>
                <w:color w:val="000000"/>
                <w:kern w:val="0"/>
                <w:sz w:val="24"/>
                <w:szCs w:val="24"/>
                <w:u w:val="none"/>
                <w:lang w:val="en-US" w:eastAsia="zh-CN" w:bidi="ar"/>
              </w:rPr>
              <w:br w:type="textWrapping"/>
            </w:r>
            <w:r>
              <w:rPr>
                <w:rFonts w:hint="eastAsia" w:ascii="Times New Roman" w:hAnsi="Times New Roman" w:eastAsia="宋体" w:cs="宋体"/>
                <w:b/>
                <w:i w:val="0"/>
                <w:caps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执行同向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ascii="Times New Roman" w:hAnsi="Times New Roman" w:eastAsia="宋体" w:cs="宋体"/>
                <w:i w:val="0"/>
                <w:caps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66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项目调整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ascii="Times New Roman" w:hAnsi="Times New Roman" w:eastAsia="宋体" w:cs="宋体"/>
                <w:i w:val="0"/>
                <w:caps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执行结果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ascii="Times New Roman" w:hAnsi="Times New Roman" w:eastAsia="宋体" w:cs="宋体"/>
                <w:i w:val="0"/>
                <w:caps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b/>
                <w:i w:val="0"/>
                <w:caps w:val="0"/>
                <w:color w:val="000000"/>
                <w:sz w:val="24"/>
                <w:szCs w:val="24"/>
                <w:u w:val="none"/>
              </w:rPr>
            </w:pPr>
            <w:r>
              <w:rPr>
                <w:rFonts w:hint="eastAsia" w:ascii="Times New Roman" w:hAnsi="Times New Roman" w:eastAsia="宋体" w:cs="宋体"/>
                <w:b/>
                <w:i w:val="0"/>
                <w:caps w:val="0"/>
                <w:color w:val="000000"/>
                <w:kern w:val="0"/>
                <w:sz w:val="24"/>
                <w:szCs w:val="24"/>
                <w:u w:val="none"/>
                <w:lang w:val="en-US" w:eastAsia="zh-CN" w:bidi="ar"/>
              </w:rPr>
              <w:t>目标实现</w:t>
            </w:r>
            <w:r>
              <w:rPr>
                <w:rFonts w:hint="eastAsia" w:ascii="Times New Roman" w:hAnsi="Times New Roman" w:eastAsia="宋体" w:cs="宋体"/>
                <w:b/>
                <w:i w:val="0"/>
                <w:caps w:val="0"/>
                <w:color w:val="000000"/>
                <w:kern w:val="0"/>
                <w:sz w:val="24"/>
                <w:szCs w:val="24"/>
                <w:u w:val="none"/>
                <w:lang w:val="en-US" w:eastAsia="zh-CN" w:bidi="ar"/>
              </w:rPr>
              <w:br w:type="textWrapping"/>
            </w:r>
            <w:r>
              <w:rPr>
                <w:rFonts w:hint="eastAsia" w:ascii="Times New Roman" w:hAnsi="Times New Roman" w:eastAsia="宋体" w:cs="宋体"/>
                <w:b/>
                <w:i w:val="0"/>
                <w:caps w:val="0"/>
                <w:color w:val="000000"/>
                <w:kern w:val="0"/>
                <w:sz w:val="24"/>
                <w:szCs w:val="24"/>
                <w:u w:val="none"/>
                <w:lang w:val="en-US" w:eastAsia="zh-CN" w:bidi="ar"/>
              </w:rPr>
              <w:t>（11分）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目标完成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ascii="Times New Roman" w:hAnsi="Times New Roman" w:eastAsia="宋体" w:cs="宋体"/>
                <w:i w:val="0"/>
                <w:caps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目标偏离</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ascii="Times New Roman" w:hAnsi="Times New Roman" w:eastAsia="宋体" w:cs="宋体"/>
                <w:i w:val="0"/>
                <w:caps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eastAsia" w:ascii="Times New Roman" w:hAnsi="Times New Roman" w:eastAsia="宋体" w:cs="宋体"/>
                <w:b/>
                <w:i w:val="0"/>
                <w:caps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实现效果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宋体"/>
                <w:i w:val="0"/>
                <w:caps w:val="0"/>
                <w:color w:val="000000"/>
                <w:kern w:val="0"/>
                <w:sz w:val="24"/>
                <w:szCs w:val="24"/>
                <w:u w:val="none"/>
                <w:lang w:val="en-US" w:eastAsia="zh-CN" w:bidi="ar"/>
              </w:rPr>
            </w:pPr>
            <w:r>
              <w:rPr>
                <w:rFonts w:hint="eastAsia" w:ascii="Times New Roman" w:hAnsi="Times New Roman" w:eastAsia="宋体" w:cs="宋体"/>
                <w:i w:val="0"/>
                <w:caps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b/>
                <w:i w:val="0"/>
                <w:caps w:val="0"/>
                <w:color w:val="000000"/>
                <w:sz w:val="24"/>
                <w:szCs w:val="24"/>
                <w:u w:val="none"/>
              </w:rPr>
            </w:pPr>
            <w:r>
              <w:rPr>
                <w:rFonts w:hint="eastAsia" w:ascii="Times New Roman" w:hAnsi="Times New Roman" w:eastAsia="宋体" w:cs="宋体"/>
                <w:b/>
                <w:i w:val="0"/>
                <w:caps w:val="0"/>
                <w:color w:val="000000"/>
                <w:kern w:val="0"/>
                <w:sz w:val="24"/>
                <w:szCs w:val="24"/>
                <w:u w:val="none"/>
                <w:lang w:val="en-US" w:eastAsia="zh-CN" w:bidi="ar"/>
              </w:rPr>
              <w:t>扣分项</w:t>
            </w:r>
            <w:r>
              <w:rPr>
                <w:rFonts w:hint="eastAsia" w:ascii="Times New Roman" w:hAnsi="Times New Roman" w:eastAsia="宋体" w:cs="宋体"/>
                <w:b/>
                <w:i w:val="0"/>
                <w:caps w:val="0"/>
                <w:color w:val="000000"/>
                <w:kern w:val="0"/>
                <w:sz w:val="24"/>
                <w:szCs w:val="24"/>
                <w:u w:val="none"/>
                <w:lang w:val="en-US" w:eastAsia="zh-CN" w:bidi="ar"/>
              </w:rPr>
              <w:br w:type="textWrapping"/>
            </w:r>
            <w:r>
              <w:rPr>
                <w:rFonts w:hint="eastAsia" w:ascii="Times New Roman" w:hAnsi="Times New Roman" w:eastAsia="宋体" w:cs="宋体"/>
                <w:b/>
                <w:i w:val="0"/>
                <w:caps w:val="0"/>
                <w:color w:val="000000"/>
                <w:kern w:val="0"/>
                <w:sz w:val="24"/>
                <w:szCs w:val="24"/>
                <w:u w:val="none"/>
                <w:lang w:val="en-US" w:eastAsia="zh-CN" w:bidi="ar"/>
              </w:rPr>
              <w:t>（10分）</w:t>
            </w:r>
          </w:p>
        </w:tc>
        <w:tc>
          <w:tcPr>
            <w:tcW w:w="31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被评价部门配合度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sz w:val="24"/>
                <w:szCs w:val="24"/>
                <w:u w:val="none"/>
              </w:rPr>
            </w:pPr>
            <w:r>
              <w:rPr>
                <w:rFonts w:hint="eastAsia" w:ascii="Times New Roman" w:hAnsi="Times New Roman" w:eastAsia="宋体" w:cs="宋体"/>
                <w:i w:val="0"/>
                <w:caps w:val="0"/>
                <w:color w:val="000000"/>
                <w:kern w:val="0"/>
                <w:sz w:val="24"/>
                <w:szCs w:val="24"/>
                <w:u w:val="none"/>
                <w:lang w:val="en-US" w:eastAsia="zh-CN" w:bidi="ar"/>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Times New Roman" w:hAnsi="Times New Roman" w:eastAsia="宋体" w:cs="宋体"/>
                <w:i w:val="0"/>
                <w:caps w:val="0"/>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Times New Roman" w:hAnsi="Times New Roman" w:eastAsia="宋体" w:cs="宋体"/>
                <w:i w:val="0"/>
                <w:caps w:val="0"/>
                <w:color w:val="000000"/>
                <w:kern w:val="0"/>
                <w:sz w:val="24"/>
                <w:szCs w:val="24"/>
                <w:u w:val="none"/>
                <w:lang w:val="en-US" w:eastAsia="zh-CN" w:bidi="ar"/>
              </w:rPr>
            </w:pPr>
          </w:p>
        </w:tc>
      </w:tr>
    </w:tbl>
    <w:p>
      <w:pPr>
        <w:keepNext w:val="0"/>
        <w:keepLines w:val="0"/>
        <w:pageBreakBefore w:val="0"/>
        <w:kinsoku/>
        <w:wordWrap/>
        <w:overflowPunct/>
        <w:topLinePunct w:val="0"/>
        <w:autoSpaceDE/>
        <w:autoSpaceDN/>
        <w:bidi w:val="0"/>
        <w:spacing w:line="578" w:lineRule="exact"/>
        <w:jc w:val="left"/>
        <w:textAlignment w:val="auto"/>
        <w:rPr>
          <w:rFonts w:hint="default" w:ascii="Times New Roman" w:hAnsi="Times New Roman" w:eastAsia="黑体" w:cs="Times New Roman"/>
          <w:caps w:val="0"/>
          <w:kern w:val="2"/>
          <w:sz w:val="32"/>
          <w:szCs w:val="24"/>
          <w:highlight w:val="none"/>
          <w:lang w:val="en-US" w:eastAsia="zh-CN" w:bidi="ar-SA"/>
        </w:rPr>
      </w:pPr>
      <w:r>
        <w:rPr>
          <w:rFonts w:hint="default" w:ascii="Times New Roman" w:hAnsi="Times New Roman" w:eastAsia="黑体" w:cs="Times New Roman"/>
          <w:caps w:val="0"/>
          <w:kern w:val="2"/>
          <w:sz w:val="32"/>
          <w:szCs w:val="24"/>
          <w:highlight w:val="none"/>
          <w:lang w:val="en-US" w:eastAsia="zh-CN" w:bidi="ar-SA"/>
        </w:rPr>
        <w:t>附表</w:t>
      </w:r>
      <w:r>
        <w:rPr>
          <w:rFonts w:hint="eastAsia" w:ascii="Times New Roman" w:hAnsi="Times New Roman" w:eastAsia="黑体" w:cs="Times New Roman"/>
          <w:caps w:val="0"/>
          <w:kern w:val="2"/>
          <w:sz w:val="32"/>
          <w:szCs w:val="24"/>
          <w:highlight w:val="none"/>
          <w:lang w:val="en-US" w:eastAsia="zh-CN" w:bidi="ar-SA"/>
        </w:rPr>
        <w:t>2</w:t>
      </w:r>
    </w:p>
    <w:tbl>
      <w:tblPr>
        <w:tblStyle w:val="17"/>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273"/>
        <w:gridCol w:w="1303"/>
        <w:gridCol w:w="941"/>
        <w:gridCol w:w="1"/>
        <w:gridCol w:w="1289"/>
        <w:gridCol w:w="1058"/>
        <w:gridCol w:w="926"/>
        <w:gridCol w:w="1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10"/>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aps w:val="0"/>
                <w:color w:val="000000"/>
                <w:sz w:val="28"/>
                <w:szCs w:val="28"/>
                <w:u w:val="none"/>
              </w:rPr>
            </w:pPr>
            <w:r>
              <w:rPr>
                <w:rFonts w:hint="default" w:ascii="Times New Roman" w:hAnsi="Times New Roman" w:eastAsia="方正小标宋简体" w:cs="Times New Roman"/>
                <w:i w:val="0"/>
                <w:caps w:val="0"/>
                <w:color w:val="000000"/>
                <w:kern w:val="0"/>
                <w:sz w:val="44"/>
                <w:szCs w:val="44"/>
                <w:u w:val="none"/>
                <w:lang w:val="en-US" w:eastAsia="zh-CN" w:bidi="ar"/>
              </w:rPr>
              <w:t>部门整体绩效目标完成情况自评表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10"/>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aps w:val="0"/>
                <w:color w:val="000000"/>
                <w:sz w:val="28"/>
                <w:szCs w:val="28"/>
                <w:u w:val="none"/>
              </w:rPr>
            </w:pPr>
            <w:r>
              <w:rPr>
                <w:rFonts w:hint="default" w:ascii="Times New Roman" w:hAnsi="Times New Roman" w:eastAsia="宋体" w:cs="Times New Roman"/>
                <w:i w:val="0"/>
                <w:caps w:val="0"/>
                <w:color w:val="000000"/>
                <w:kern w:val="0"/>
                <w:sz w:val="28"/>
                <w:szCs w:val="28"/>
                <w:u w:val="none"/>
                <w:lang w:val="en-US" w:eastAsia="zh-CN" w:bidi="ar"/>
              </w:rPr>
              <w:t>（</w:t>
            </w:r>
            <w:r>
              <w:rPr>
                <w:rFonts w:hint="eastAsia" w:eastAsia="宋体" w:cs="Times New Roman"/>
                <w:i w:val="0"/>
                <w:caps w:val="0"/>
                <w:color w:val="000000"/>
                <w:kern w:val="0"/>
                <w:sz w:val="28"/>
                <w:szCs w:val="28"/>
                <w:u w:val="none"/>
                <w:lang w:val="en-US" w:eastAsia="zh-CN" w:bidi="ar"/>
              </w:rPr>
              <w:t>2025年</w:t>
            </w:r>
            <w:r>
              <w:rPr>
                <w:rFonts w:hint="default" w:ascii="Times New Roman" w:hAnsi="Times New Roman" w:eastAsia="宋体" w:cs="Times New Roman"/>
                <w:i w:val="0"/>
                <w:caps w:val="0"/>
                <w:color w:val="000000"/>
                <w:kern w:val="0"/>
                <w:sz w:val="28"/>
                <w:szCs w:val="28"/>
                <w:u w:val="none"/>
                <w:lang w:val="en-US" w:eastAsia="zh-CN" w:bidi="ar"/>
              </w:rPr>
              <w:t>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10"/>
            <w:tcBorders>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i w:val="0"/>
                <w:caps w:val="0"/>
                <w:color w:val="000000"/>
                <w:sz w:val="21"/>
                <w:szCs w:val="21"/>
                <w:u w:val="none"/>
              </w:rPr>
            </w:pPr>
            <w:r>
              <w:rPr>
                <w:rFonts w:hint="default" w:ascii="Times New Roman" w:hAnsi="Times New Roman" w:eastAsia="宋体" w:cs="Times New Roman"/>
                <w:i w:val="0"/>
                <w:caps w:val="0"/>
                <w:color w:val="000000"/>
                <w:kern w:val="0"/>
                <w:sz w:val="21"/>
                <w:szCs w:val="21"/>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aps w:val="0"/>
                <w:color w:val="000000"/>
                <w:sz w:val="24"/>
                <w:szCs w:val="24"/>
                <w:u w:val="none"/>
              </w:rPr>
            </w:pPr>
            <w:r>
              <w:rPr>
                <w:rFonts w:hint="default" w:ascii="Times New Roman" w:hAnsi="Times New Roman" w:eastAsia="宋体" w:cs="Times New Roman"/>
                <w:i w:val="0"/>
                <w:caps w:val="0"/>
                <w:color w:val="000000"/>
                <w:kern w:val="0"/>
                <w:sz w:val="24"/>
                <w:szCs w:val="24"/>
                <w:u w:val="none"/>
                <w:lang w:val="en-US" w:eastAsia="zh-CN" w:bidi="ar"/>
              </w:rPr>
              <w:t>部门名称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aps w:val="0"/>
                <w:color w:val="000000"/>
                <w:sz w:val="24"/>
                <w:szCs w:val="24"/>
                <w:u w:val="none"/>
              </w:rPr>
            </w:pPr>
            <w:r>
              <w:rPr>
                <w:rFonts w:hint="eastAsia" w:ascii="Times New Roman" w:hAnsi="Times New Roman" w:eastAsia="宋体" w:cs="Times New Roman"/>
                <w:i w:val="0"/>
                <w:caps w:val="0"/>
                <w:color w:val="000000"/>
                <w:sz w:val="24"/>
                <w:szCs w:val="24"/>
                <w:u w:val="none"/>
                <w:lang w:val="en-US" w:eastAsia="zh-CN"/>
              </w:rPr>
              <w:t>茂县</w:t>
            </w:r>
            <w:r>
              <w:rPr>
                <w:rFonts w:hint="default" w:ascii="Times New Roman" w:hAnsi="Times New Roman" w:eastAsia="宋体" w:cs="Times New Roman"/>
                <w:i w:val="0"/>
                <w:caps w:val="0"/>
                <w:color w:val="000000"/>
                <w:sz w:val="24"/>
                <w:szCs w:val="24"/>
                <w:u w:val="none"/>
              </w:rPr>
              <w:t>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sz w:val="24"/>
                <w:szCs w:val="24"/>
                <w:u w:val="none"/>
              </w:rPr>
            </w:pPr>
            <w:r>
              <w:rPr>
                <w:rFonts w:hint="default" w:ascii="Times New Roman" w:hAnsi="Times New Roman" w:eastAsia="宋体" w:cs="Times New Roman"/>
                <w:i w:val="0"/>
                <w:caps w:val="0"/>
                <w:color w:val="000000"/>
                <w:kern w:val="0"/>
                <w:sz w:val="24"/>
                <w:szCs w:val="24"/>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aps w:val="0"/>
                <w:color w:val="000000"/>
                <w:sz w:val="24"/>
                <w:szCs w:val="24"/>
                <w:u w:val="none"/>
              </w:rPr>
            </w:pPr>
            <w:r>
              <w:rPr>
                <w:rFonts w:hint="default" w:ascii="Times New Roman" w:hAnsi="Times New Roman" w:eastAsia="宋体" w:cs="Times New Roman"/>
                <w:i w:val="0"/>
                <w:caps w:val="0"/>
                <w:color w:val="000000"/>
                <w:kern w:val="0"/>
                <w:sz w:val="24"/>
                <w:szCs w:val="24"/>
                <w:u w:val="none"/>
                <w:lang w:val="en-US" w:eastAsia="zh-CN" w:bidi="ar"/>
              </w:rPr>
              <w:t>资金总额</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aps w:val="0"/>
                <w:color w:val="000000"/>
                <w:sz w:val="24"/>
                <w:szCs w:val="24"/>
                <w:u w:val="none"/>
              </w:rPr>
            </w:pPr>
            <w:r>
              <w:rPr>
                <w:rFonts w:hint="default" w:ascii="Times New Roman" w:hAnsi="Times New Roman" w:eastAsia="宋体" w:cs="Times New Roman"/>
                <w:i w:val="0"/>
                <w:caps w:val="0"/>
                <w:color w:val="000000"/>
                <w:kern w:val="0"/>
                <w:sz w:val="24"/>
                <w:szCs w:val="24"/>
                <w:u w:val="none"/>
                <w:lang w:val="en-US" w:eastAsia="zh-CN" w:bidi="ar"/>
              </w:rPr>
              <w:t>财政拨款</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aps w:val="0"/>
                <w:color w:val="000000"/>
                <w:sz w:val="24"/>
                <w:szCs w:val="24"/>
                <w:u w:val="none"/>
              </w:rPr>
            </w:pPr>
            <w:r>
              <w:rPr>
                <w:rFonts w:hint="default" w:ascii="Times New Roman" w:hAnsi="Times New Roman" w:eastAsia="宋体" w:cs="Times New Roman"/>
                <w:i w:val="0"/>
                <w:caps w:val="0"/>
                <w:color w:val="000000"/>
                <w:kern w:val="0"/>
                <w:sz w:val="24"/>
                <w:szCs w:val="24"/>
                <w:u w:val="none"/>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aps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eastAsia" w:ascii="Times New Roman" w:hAnsi="Times New Roman" w:eastAsia="宋体" w:cs="Times New Roman"/>
                <w:i w:val="0"/>
                <w:caps w:val="0"/>
                <w:color w:val="000000"/>
                <w:kern w:val="0"/>
                <w:sz w:val="24"/>
                <w:szCs w:val="24"/>
                <w:u w:val="none"/>
                <w:lang w:val="en-US" w:eastAsia="zh-CN" w:bidi="ar"/>
              </w:rPr>
              <w:t>1,4</w:t>
            </w:r>
            <w:r>
              <w:rPr>
                <w:rFonts w:hint="eastAsia" w:eastAsia="宋体" w:cs="Times New Roman"/>
                <w:i w:val="0"/>
                <w:caps w:val="0"/>
                <w:color w:val="000000"/>
                <w:kern w:val="0"/>
                <w:sz w:val="24"/>
                <w:szCs w:val="24"/>
                <w:u w:val="none"/>
                <w:lang w:val="en-US" w:eastAsia="zh-CN" w:bidi="ar"/>
              </w:rPr>
              <w:t>77</w:t>
            </w:r>
            <w:r>
              <w:rPr>
                <w:rFonts w:hint="eastAsia" w:ascii="Times New Roman" w:hAnsi="Times New Roman" w:eastAsia="宋体" w:cs="Times New Roman"/>
                <w:i w:val="0"/>
                <w:caps w:val="0"/>
                <w:color w:val="000000"/>
                <w:kern w:val="0"/>
                <w:sz w:val="24"/>
                <w:szCs w:val="24"/>
                <w:u w:val="none"/>
                <w:lang w:val="en-US" w:eastAsia="zh-CN" w:bidi="ar"/>
              </w:rPr>
              <w:t>.</w:t>
            </w:r>
            <w:r>
              <w:rPr>
                <w:rFonts w:hint="eastAsia" w:eastAsia="宋体" w:cs="Times New Roman"/>
                <w:i w:val="0"/>
                <w:caps w:val="0"/>
                <w:color w:val="000000"/>
                <w:kern w:val="0"/>
                <w:sz w:val="24"/>
                <w:szCs w:val="24"/>
                <w:u w:val="none"/>
                <w:lang w:val="en-US" w:eastAsia="zh-CN" w:bidi="ar"/>
              </w:rPr>
              <w:t>49</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eastAsia" w:ascii="Times New Roman" w:hAnsi="Times New Roman" w:eastAsia="宋体" w:cs="Times New Roman"/>
                <w:i w:val="0"/>
                <w:caps w:val="0"/>
                <w:color w:val="000000"/>
                <w:kern w:val="0"/>
                <w:sz w:val="24"/>
                <w:szCs w:val="24"/>
                <w:u w:val="none"/>
                <w:lang w:val="en-US" w:eastAsia="zh-CN" w:bidi="ar"/>
              </w:rPr>
              <w:t>1,4</w:t>
            </w:r>
            <w:r>
              <w:rPr>
                <w:rFonts w:hint="eastAsia" w:eastAsia="宋体" w:cs="Times New Roman"/>
                <w:i w:val="0"/>
                <w:caps w:val="0"/>
                <w:color w:val="000000"/>
                <w:kern w:val="0"/>
                <w:sz w:val="24"/>
                <w:szCs w:val="24"/>
                <w:u w:val="none"/>
                <w:lang w:val="en-US" w:eastAsia="zh-CN" w:bidi="ar"/>
              </w:rPr>
              <w:t>77</w:t>
            </w:r>
            <w:r>
              <w:rPr>
                <w:rFonts w:hint="eastAsia" w:ascii="Times New Roman" w:hAnsi="Times New Roman" w:eastAsia="宋体" w:cs="Times New Roman"/>
                <w:i w:val="0"/>
                <w:caps w:val="0"/>
                <w:color w:val="000000"/>
                <w:kern w:val="0"/>
                <w:sz w:val="24"/>
                <w:szCs w:val="24"/>
                <w:u w:val="none"/>
                <w:lang w:val="en-US" w:eastAsia="zh-CN" w:bidi="ar"/>
              </w:rPr>
              <w:t>.</w:t>
            </w:r>
            <w:r>
              <w:rPr>
                <w:rFonts w:hint="eastAsia" w:eastAsia="宋体" w:cs="Times New Roman"/>
                <w:i w:val="0"/>
                <w:caps w:val="0"/>
                <w:color w:val="000000"/>
                <w:kern w:val="0"/>
                <w:sz w:val="24"/>
                <w:szCs w:val="24"/>
                <w:u w:val="none"/>
                <w:lang w:val="en-US" w:eastAsia="zh-CN" w:bidi="ar"/>
              </w:rPr>
              <w:t>49</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eastAsia" w:ascii="Times New Roman" w:hAnsi="Times New Roman" w:eastAsia="宋体" w:cs="Times New Roman"/>
                <w:i w:val="0"/>
                <w:caps w:val="0"/>
                <w:color w:val="000000"/>
                <w:kern w:val="0"/>
                <w:sz w:val="24"/>
                <w:szCs w:val="24"/>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sz w:val="24"/>
                <w:szCs w:val="24"/>
                <w:u w:val="none"/>
              </w:rPr>
            </w:pPr>
            <w:r>
              <w:rPr>
                <w:rFonts w:hint="default" w:ascii="Times New Roman" w:hAnsi="Times New Roman" w:eastAsia="宋体" w:cs="Times New Roman"/>
                <w:i w:val="0"/>
                <w:caps w:val="0"/>
                <w:color w:val="000000"/>
                <w:kern w:val="0"/>
                <w:sz w:val="24"/>
                <w:szCs w:val="24"/>
                <w:u w:val="none"/>
                <w:lang w:val="en-US" w:eastAsia="zh-CN" w:bidi="ar"/>
              </w:rPr>
              <w:t>年度总体目标</w:t>
            </w:r>
          </w:p>
        </w:tc>
        <w:tc>
          <w:tcPr>
            <w:tcW w:w="925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left"/>
              <w:textAlignment w:val="center"/>
              <w:outlineLvl w:val="9"/>
              <w:rPr>
                <w:rFonts w:hint="default" w:ascii="Times New Roman" w:hAnsi="Times New Roman" w:cs="Times New Roman"/>
                <w:caps w:val="0"/>
              </w:rPr>
            </w:pPr>
            <w:r>
              <w:rPr>
                <w:rFonts w:hint="default" w:ascii="Times New Roman" w:hAnsi="Times New Roman" w:eastAsia="宋体" w:cs="Times New Roman"/>
                <w:i w:val="0"/>
                <w:caps w:val="0"/>
                <w:color w:val="000000"/>
                <w:kern w:val="0"/>
                <w:sz w:val="24"/>
                <w:szCs w:val="24"/>
                <w:u w:val="none"/>
                <w:lang w:val="en-US" w:eastAsia="zh-CN" w:bidi="ar"/>
              </w:rPr>
              <w:t>保障我院依法履行审判执行职能，维护社会稳定。保障我院依法履行审判执行职能，维护社会稳定。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1309"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年度主要</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sz w:val="24"/>
                <w:szCs w:val="24"/>
                <w:u w:val="none"/>
              </w:rPr>
            </w:pPr>
            <w:r>
              <w:rPr>
                <w:rFonts w:hint="default" w:ascii="Times New Roman" w:hAnsi="Times New Roman" w:eastAsia="宋体" w:cs="Times New Roman"/>
                <w:i w:val="0"/>
                <w:caps w:val="0"/>
                <w:color w:val="000000"/>
                <w:kern w:val="0"/>
                <w:sz w:val="24"/>
                <w:szCs w:val="24"/>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aps w:val="0"/>
                <w:color w:val="000000"/>
                <w:sz w:val="24"/>
                <w:szCs w:val="24"/>
                <w:u w:val="none"/>
              </w:rPr>
            </w:pPr>
            <w:r>
              <w:rPr>
                <w:rFonts w:hint="default" w:ascii="Times New Roman" w:hAnsi="Times New Roman" w:eastAsia="宋体" w:cs="Times New Roman"/>
                <w:i w:val="0"/>
                <w:caps w:val="0"/>
                <w:color w:val="000000"/>
                <w:kern w:val="0"/>
                <w:sz w:val="24"/>
                <w:szCs w:val="24"/>
                <w:u w:val="none"/>
                <w:lang w:val="en-US" w:eastAsia="zh-CN" w:bidi="ar"/>
              </w:rPr>
              <w:t>任务名称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aps w:val="0"/>
                <w:color w:val="000000"/>
                <w:sz w:val="24"/>
                <w:szCs w:val="24"/>
                <w:u w:val="none"/>
              </w:rPr>
            </w:pPr>
            <w:r>
              <w:rPr>
                <w:rFonts w:hint="default" w:ascii="Times New Roman" w:hAnsi="Times New Roman" w:eastAsia="宋体" w:cs="Times New Roman"/>
                <w:i w:val="0"/>
                <w:caps w:val="0"/>
                <w:color w:val="000000"/>
                <w:kern w:val="0"/>
                <w:sz w:val="24"/>
                <w:szCs w:val="24"/>
                <w:u w:val="none"/>
                <w:lang w:val="en-US" w:eastAsia="zh-CN" w:bidi="ar"/>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aps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left"/>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依法履行审判执行职能</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left"/>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依法履行审判执行工作职能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aps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left"/>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维护社会稳定</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left"/>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维护社会工作稳定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aps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left"/>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人民调解委员会的工作</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left"/>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调解群众之间的矛盾与纠纷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aps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left"/>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监督和指导人民法庭的审判工作</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left"/>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监督和指导人民法庭的审判工作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auto" w:sz="4" w:space="0"/>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年度绩效</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sz w:val="24"/>
                <w:szCs w:val="24"/>
                <w:u w:val="none"/>
              </w:rPr>
            </w:pPr>
            <w:r>
              <w:rPr>
                <w:rFonts w:hint="default" w:ascii="Times New Roman" w:hAnsi="Times New Roman" w:eastAsia="宋体" w:cs="Times New Roman"/>
                <w:i w:val="0"/>
                <w:caps w:val="0"/>
                <w:color w:val="000000"/>
                <w:kern w:val="0"/>
                <w:sz w:val="24"/>
                <w:szCs w:val="24"/>
                <w:u w:val="none"/>
                <w:lang w:val="en-US" w:eastAsia="zh-CN" w:bidi="ar"/>
              </w:rPr>
              <w:t>指标</w:t>
            </w:r>
          </w:p>
        </w:tc>
        <w:tc>
          <w:tcPr>
            <w:tcW w:w="13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sz w:val="24"/>
                <w:szCs w:val="24"/>
                <w:u w:val="none"/>
              </w:rPr>
            </w:pPr>
            <w:r>
              <w:rPr>
                <w:rFonts w:hint="default" w:ascii="Times New Roman" w:hAnsi="Times New Roman" w:eastAsia="宋体" w:cs="Times New Roman"/>
                <w:i w:val="0"/>
                <w:caps w:val="0"/>
                <w:color w:val="000000"/>
                <w:kern w:val="0"/>
                <w:sz w:val="24"/>
                <w:szCs w:val="24"/>
                <w:u w:val="none"/>
                <w:lang w:val="en-US" w:eastAsia="zh-CN" w:bidi="ar"/>
              </w:rPr>
              <w:t>一级指标</w:t>
            </w:r>
          </w:p>
        </w:tc>
        <w:tc>
          <w:tcPr>
            <w:tcW w:w="127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sz w:val="24"/>
                <w:szCs w:val="24"/>
                <w:u w:val="none"/>
              </w:rPr>
            </w:pPr>
            <w:r>
              <w:rPr>
                <w:rFonts w:hint="default" w:ascii="Times New Roman" w:hAnsi="Times New Roman" w:eastAsia="宋体" w:cs="Times New Roman"/>
                <w:i w:val="0"/>
                <w:caps w:val="0"/>
                <w:color w:val="000000"/>
                <w:kern w:val="0"/>
                <w:sz w:val="24"/>
                <w:szCs w:val="24"/>
                <w:u w:val="none"/>
                <w:lang w:val="en-US" w:eastAsia="zh-CN" w:bidi="ar"/>
              </w:rPr>
              <w:t>二级指标</w:t>
            </w:r>
          </w:p>
        </w:tc>
        <w:tc>
          <w:tcPr>
            <w:tcW w:w="13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sz w:val="24"/>
                <w:szCs w:val="24"/>
                <w:u w:val="none"/>
              </w:rPr>
            </w:pPr>
            <w:r>
              <w:rPr>
                <w:rFonts w:hint="default" w:ascii="Times New Roman" w:hAnsi="Times New Roman" w:eastAsia="宋体" w:cs="Times New Roman"/>
                <w:i w:val="0"/>
                <w:caps w:val="0"/>
                <w:color w:val="000000"/>
                <w:kern w:val="0"/>
                <w:sz w:val="24"/>
                <w:szCs w:val="24"/>
                <w:u w:val="none"/>
                <w:lang w:val="en-US" w:eastAsia="zh-CN" w:bidi="ar"/>
              </w:rPr>
              <w:t>三级指标</w:t>
            </w:r>
          </w:p>
        </w:tc>
        <w:tc>
          <w:tcPr>
            <w:tcW w:w="942"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绩效指标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sz w:val="24"/>
                <w:szCs w:val="24"/>
                <w:u w:val="none"/>
              </w:rPr>
            </w:pPr>
            <w:r>
              <w:rPr>
                <w:rFonts w:hint="default" w:ascii="Times New Roman" w:hAnsi="Times New Roman" w:eastAsia="宋体" w:cs="Times New Roman"/>
                <w:i w:val="0"/>
                <w:caps w:val="0"/>
                <w:color w:val="000000"/>
                <w:kern w:val="0"/>
                <w:sz w:val="24"/>
                <w:szCs w:val="24"/>
                <w:u w:val="none"/>
                <w:lang w:val="en-US" w:eastAsia="zh-CN" w:bidi="ar"/>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sz w:val="24"/>
                <w:szCs w:val="24"/>
                <w:u w:val="none"/>
              </w:rPr>
            </w:pPr>
            <w:r>
              <w:rPr>
                <w:rFonts w:hint="default" w:ascii="Times New Roman" w:hAnsi="Times New Roman" w:eastAsia="宋体" w:cs="Times New Roman"/>
                <w:i w:val="0"/>
                <w:caps w:val="0"/>
                <w:color w:val="000000"/>
                <w:kern w:val="0"/>
                <w:sz w:val="24"/>
                <w:szCs w:val="24"/>
                <w:u w:val="none"/>
                <w:lang w:val="en-US" w:eastAsia="zh-CN" w:bidi="ar"/>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sz w:val="24"/>
                <w:szCs w:val="24"/>
                <w:u w:val="none"/>
              </w:rPr>
            </w:pPr>
            <w:r>
              <w:rPr>
                <w:rFonts w:hint="default" w:ascii="Times New Roman" w:hAnsi="Times New Roman" w:eastAsia="宋体" w:cs="Times New Roman"/>
                <w:i w:val="0"/>
                <w:caps w:val="0"/>
                <w:color w:val="000000"/>
                <w:kern w:val="0"/>
                <w:sz w:val="24"/>
                <w:szCs w:val="24"/>
                <w:u w:val="none"/>
                <w:lang w:val="en-US" w:eastAsia="zh-CN" w:bidi="ar"/>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sz w:val="24"/>
                <w:szCs w:val="24"/>
                <w:u w:val="none"/>
              </w:rPr>
            </w:pPr>
            <w:r>
              <w:rPr>
                <w:rFonts w:hint="default" w:ascii="Times New Roman" w:hAnsi="Times New Roman" w:eastAsia="宋体" w:cs="Times New Roman"/>
                <w:i w:val="0"/>
                <w:caps w:val="0"/>
                <w:color w:val="000000"/>
                <w:kern w:val="0"/>
                <w:sz w:val="24"/>
                <w:szCs w:val="24"/>
                <w:u w:val="none"/>
                <w:lang w:val="en-US" w:eastAsia="zh-CN"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实际完成</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sz w:val="24"/>
                <w:szCs w:val="24"/>
                <w:u w:val="none"/>
              </w:rPr>
            </w:pPr>
            <w:r>
              <w:rPr>
                <w:rFonts w:hint="default" w:ascii="Times New Roman" w:hAnsi="Times New Roman" w:eastAsia="宋体" w:cs="Times New Roman"/>
                <w:i w:val="0"/>
                <w:caps w:val="0"/>
                <w:color w:val="000000"/>
                <w:kern w:val="0"/>
                <w:sz w:val="24"/>
                <w:szCs w:val="24"/>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p>
        </w:tc>
        <w:tc>
          <w:tcPr>
            <w:tcW w:w="134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产出指标</w:t>
            </w:r>
          </w:p>
        </w:tc>
        <w:tc>
          <w:tcPr>
            <w:tcW w:w="12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数量指标</w:t>
            </w:r>
          </w:p>
        </w:tc>
        <w:tc>
          <w:tcPr>
            <w:tcW w:w="13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法院结案数</w:t>
            </w:r>
          </w:p>
        </w:tc>
        <w:tc>
          <w:tcPr>
            <w:tcW w:w="942"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500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案件数</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10</w:t>
            </w:r>
          </w:p>
        </w:tc>
        <w:tc>
          <w:tcPr>
            <w:tcW w:w="1113"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65" w:hRule="atLeast"/>
          <w:jc w:val="center"/>
        </w:trPr>
        <w:tc>
          <w:tcPr>
            <w:tcW w:w="1309"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p>
        </w:tc>
        <w:tc>
          <w:tcPr>
            <w:tcW w:w="134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p>
        </w:tc>
        <w:tc>
          <w:tcPr>
            <w:tcW w:w="12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p>
        </w:tc>
        <w:tc>
          <w:tcPr>
            <w:tcW w:w="13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法院收案数</w:t>
            </w:r>
          </w:p>
        </w:tc>
        <w:tc>
          <w:tcPr>
            <w:tcW w:w="942"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500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案件数</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p>
        </w:tc>
        <w:tc>
          <w:tcPr>
            <w:tcW w:w="134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p>
        </w:tc>
        <w:tc>
          <w:tcPr>
            <w:tcW w:w="12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p>
        </w:tc>
        <w:tc>
          <w:tcPr>
            <w:tcW w:w="13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保障干部职工工资待遇，按时发放工资</w:t>
            </w:r>
          </w:p>
        </w:tc>
        <w:tc>
          <w:tcPr>
            <w:tcW w:w="942"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eastAsia" w:eastAsia="宋体" w:cs="Times New Roman"/>
                <w:i w:val="0"/>
                <w:caps w:val="0"/>
                <w:color w:val="000000"/>
                <w:kern w:val="0"/>
                <w:sz w:val="24"/>
                <w:szCs w:val="24"/>
                <w:u w:val="none"/>
                <w:lang w:val="en-US" w:eastAsia="zh-CN" w:bidi="ar"/>
              </w:rPr>
              <w:t>56</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eastAsia" w:eastAsia="宋体" w:cs="Times New Roman"/>
                <w:i w:val="0"/>
                <w:caps w:val="0"/>
                <w:color w:val="000000"/>
                <w:kern w:val="0"/>
                <w:sz w:val="24"/>
                <w:szCs w:val="24"/>
                <w:u w:val="none"/>
                <w:lang w:val="en-US" w:eastAsia="zh-CN" w:bidi="ar"/>
              </w:rPr>
              <w:t>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p>
        </w:tc>
        <w:tc>
          <w:tcPr>
            <w:tcW w:w="134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p>
        </w:tc>
        <w:tc>
          <w:tcPr>
            <w:tcW w:w="127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质量指标</w:t>
            </w:r>
          </w:p>
        </w:tc>
        <w:tc>
          <w:tcPr>
            <w:tcW w:w="1303"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保障我院审判执行案件有序进行，为案件审理、执行工作等提供基础</w:t>
            </w:r>
          </w:p>
        </w:tc>
        <w:tc>
          <w:tcPr>
            <w:tcW w:w="9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效果显著</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效果显著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p>
        </w:tc>
        <w:tc>
          <w:tcPr>
            <w:tcW w:w="134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p>
        </w:tc>
        <w:tc>
          <w:tcPr>
            <w:tcW w:w="127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时效指标</w:t>
            </w:r>
          </w:p>
        </w:tc>
        <w:tc>
          <w:tcPr>
            <w:tcW w:w="1303"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完成及时率</w:t>
            </w:r>
          </w:p>
        </w:tc>
        <w:tc>
          <w:tcPr>
            <w:tcW w:w="9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100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p>
        </w:tc>
        <w:tc>
          <w:tcPr>
            <w:tcW w:w="134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效益指标</w:t>
            </w:r>
          </w:p>
        </w:tc>
        <w:tc>
          <w:tcPr>
            <w:tcW w:w="12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社会效益指标</w:t>
            </w:r>
          </w:p>
        </w:tc>
        <w:tc>
          <w:tcPr>
            <w:tcW w:w="1303"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化解社会矛盾，为经济发展提供有力保障</w:t>
            </w:r>
          </w:p>
        </w:tc>
        <w:tc>
          <w:tcPr>
            <w:tcW w:w="9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优</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p>
        </w:tc>
        <w:tc>
          <w:tcPr>
            <w:tcW w:w="134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p>
        </w:tc>
        <w:tc>
          <w:tcPr>
            <w:tcW w:w="12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p>
        </w:tc>
        <w:tc>
          <w:tcPr>
            <w:tcW w:w="1303"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民事案件调解率</w:t>
            </w:r>
          </w:p>
        </w:tc>
        <w:tc>
          <w:tcPr>
            <w:tcW w:w="9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86</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p>
        </w:tc>
        <w:tc>
          <w:tcPr>
            <w:tcW w:w="13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满意度指标</w:t>
            </w:r>
          </w:p>
        </w:tc>
        <w:tc>
          <w:tcPr>
            <w:tcW w:w="127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服务对象满意度指标</w:t>
            </w:r>
          </w:p>
        </w:tc>
        <w:tc>
          <w:tcPr>
            <w:tcW w:w="1303"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提高诉讼人员满意度</w:t>
            </w:r>
          </w:p>
        </w:tc>
        <w:tc>
          <w:tcPr>
            <w:tcW w:w="9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90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p>
        </w:tc>
        <w:tc>
          <w:tcPr>
            <w:tcW w:w="13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成本指标</w:t>
            </w:r>
          </w:p>
        </w:tc>
        <w:tc>
          <w:tcPr>
            <w:tcW w:w="127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经济成本指标</w:t>
            </w:r>
          </w:p>
        </w:tc>
        <w:tc>
          <w:tcPr>
            <w:tcW w:w="1303" w:type="dxa"/>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成本控制率</w:t>
            </w:r>
          </w:p>
        </w:tc>
        <w:tc>
          <w:tcPr>
            <w:tcW w:w="9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90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aps w:val="0"/>
                <w:color w:val="000000"/>
                <w:kern w:val="0"/>
                <w:sz w:val="24"/>
                <w:szCs w:val="24"/>
                <w:u w:val="none"/>
                <w:lang w:val="en-US" w:eastAsia="zh-CN" w:bidi="ar"/>
              </w:rPr>
            </w:pPr>
            <w:r>
              <w:rPr>
                <w:rFonts w:hint="default" w:ascii="Times New Roman" w:hAnsi="Times New Roman" w:eastAsia="宋体" w:cs="Times New Roman"/>
                <w:i w:val="0"/>
                <w:caps w:val="0"/>
                <w:color w:val="000000"/>
                <w:kern w:val="0"/>
                <w:sz w:val="24"/>
                <w:szCs w:val="24"/>
                <w:u w:val="none"/>
                <w:lang w:val="en-US" w:eastAsia="zh-CN" w:bidi="ar"/>
              </w:rPr>
              <w:t>90</w:t>
            </w:r>
          </w:p>
        </w:tc>
      </w:tr>
    </w:tbl>
    <w:p>
      <w:pPr>
        <w:rPr>
          <w:lang w:val="zh-CN"/>
        </w:rPr>
      </w:pPr>
    </w:p>
    <w:p>
      <w:pPr>
        <w:rPr>
          <w:rFonts w:ascii="Times New Roman" w:cs="宋体"/>
          <w:color w:val="FF0000"/>
          <w:sz w:val="32"/>
          <w:szCs w:val="32"/>
          <w:highlight w:val="yellow"/>
          <w:shd w:val="clear" w:color="auto" w:fill="FFFFFF"/>
          <w:lang w:val="zh-CN"/>
        </w:rPr>
      </w:pPr>
    </w:p>
    <w:p>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黑体" w:hAnsi="黑体" w:eastAsia="黑体" w:cs="黑体"/>
          <w:color w:val="auto"/>
          <w:kern w:val="2"/>
          <w:sz w:val="44"/>
          <w:szCs w:val="44"/>
          <w:highlight w:val="none"/>
          <w:lang w:val="en-US" w:eastAsia="zh-CN"/>
        </w:rPr>
      </w:pPr>
      <w:r>
        <w:rPr>
          <w:rFonts w:hint="eastAsia" w:ascii="黑体" w:hAnsi="黑体" w:eastAsia="黑体" w:cs="黑体"/>
          <w:color w:val="auto"/>
          <w:kern w:val="2"/>
          <w:sz w:val="44"/>
          <w:szCs w:val="44"/>
          <w:highlight w:val="none"/>
          <w:lang w:val="en-US" w:eastAsia="zh-CN"/>
        </w:rPr>
        <w:t>茂县人民法院</w:t>
      </w:r>
    </w:p>
    <w:p>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黑体" w:hAnsi="黑体" w:eastAsia="黑体" w:cs="黑体"/>
          <w:color w:val="auto"/>
          <w:kern w:val="2"/>
          <w:sz w:val="44"/>
          <w:szCs w:val="44"/>
          <w:highlight w:val="none"/>
          <w:lang w:val="en-US" w:eastAsia="zh-CN"/>
        </w:rPr>
      </w:pPr>
      <w:r>
        <w:rPr>
          <w:rFonts w:hint="eastAsia" w:ascii="黑体" w:hAnsi="黑体" w:eastAsia="黑体" w:cs="黑体"/>
          <w:color w:val="auto"/>
          <w:kern w:val="2"/>
          <w:sz w:val="44"/>
          <w:szCs w:val="44"/>
          <w:highlight w:val="none"/>
          <w:lang w:val="en-US" w:eastAsia="zh-CN"/>
        </w:rPr>
        <w:t>审判庭扩建工程项目支出绩效自评报告</w:t>
      </w:r>
    </w:p>
    <w:p>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Times New Roman"/>
          <w:color w:val="auto"/>
          <w:kern w:val="2"/>
          <w:sz w:val="44"/>
          <w:szCs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_GB2312" w:cs="仿宋"/>
          <w:b w:val="0"/>
          <w:bCs/>
          <w:color w:val="auto"/>
          <w:sz w:val="32"/>
          <w:szCs w:val="32"/>
          <w:highlight w:val="none"/>
          <w:u w:val="none"/>
          <w:lang w:val="en-US" w:eastAsia="zh-CN"/>
        </w:rPr>
      </w:pPr>
      <w:r>
        <w:rPr>
          <w:rFonts w:hint="eastAsia" w:cs="仿宋"/>
          <w:b w:val="0"/>
          <w:bCs/>
          <w:color w:val="auto"/>
          <w:sz w:val="32"/>
          <w:szCs w:val="32"/>
          <w:highlight w:val="none"/>
          <w:u w:val="none"/>
          <w:lang w:val="en-US" w:eastAsia="zh-CN"/>
        </w:rPr>
        <w:t>州财政局</w:t>
      </w:r>
      <w:r>
        <w:rPr>
          <w:rFonts w:hint="eastAsia" w:ascii="Times New Roman" w:hAnsi="Times New Roman" w:eastAsia="仿宋_GB2312" w:cs="仿宋"/>
          <w:b w:val="0"/>
          <w:bCs/>
          <w:color w:val="auto"/>
          <w:sz w:val="32"/>
          <w:szCs w:val="32"/>
          <w:highlight w:val="none"/>
          <w:u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cs="仿宋"/>
          <w:b w:val="0"/>
          <w:bCs/>
          <w:color w:val="auto"/>
          <w:sz w:val="32"/>
          <w:szCs w:val="32"/>
          <w:highlight w:val="none"/>
          <w:u w:val="none"/>
          <w:lang w:val="en-US" w:eastAsia="zh-CN"/>
        </w:rPr>
      </w:pPr>
      <w:r>
        <w:rPr>
          <w:rFonts w:hint="eastAsia" w:ascii="Times New Roman" w:hAnsi="Times New Roman" w:eastAsia="仿宋_GB2312" w:cs="仿宋"/>
          <w:b w:val="0"/>
          <w:bCs/>
          <w:color w:val="auto"/>
          <w:sz w:val="32"/>
          <w:szCs w:val="32"/>
          <w:highlight w:val="none"/>
          <w:u w:val="none"/>
          <w:lang w:val="en-US" w:eastAsia="zh-CN"/>
        </w:rPr>
        <w:t>按照《阿坝州财政局关于开展202</w:t>
      </w:r>
      <w:r>
        <w:rPr>
          <w:rFonts w:hint="default" w:cs="仿宋"/>
          <w:b w:val="0"/>
          <w:bCs/>
          <w:color w:val="auto"/>
          <w:sz w:val="32"/>
          <w:szCs w:val="32"/>
          <w:highlight w:val="none"/>
          <w:u w:val="none"/>
          <w:lang w:val="en" w:eastAsia="zh-CN"/>
        </w:rPr>
        <w:t>6</w:t>
      </w:r>
      <w:r>
        <w:rPr>
          <w:rFonts w:hint="eastAsia" w:ascii="Times New Roman" w:hAnsi="Times New Roman" w:eastAsia="仿宋_GB2312" w:cs="仿宋"/>
          <w:b w:val="0"/>
          <w:bCs/>
          <w:color w:val="auto"/>
          <w:sz w:val="32"/>
          <w:szCs w:val="32"/>
          <w:highlight w:val="none"/>
          <w:u w:val="none"/>
          <w:lang w:val="en-US" w:eastAsia="zh-CN"/>
        </w:rPr>
        <w:t>年州级部门预算绩效自评工作的通知》（阿州财监绩</w:t>
      </w:r>
      <w:r>
        <w:rPr>
          <w:rFonts w:hint="eastAsia" w:cs="仿宋"/>
          <w:b w:val="0"/>
          <w:bCs/>
          <w:color w:val="auto"/>
          <w:sz w:val="32"/>
          <w:szCs w:val="32"/>
          <w:highlight w:val="none"/>
          <w:u w:val="none"/>
          <w:lang w:val="en-US" w:eastAsia="zh-CN"/>
        </w:rPr>
        <w:t>【</w:t>
      </w:r>
      <w:r>
        <w:rPr>
          <w:rFonts w:hint="eastAsia" w:ascii="Times New Roman" w:hAnsi="Times New Roman" w:eastAsia="仿宋_GB2312" w:cs="仿宋"/>
          <w:b w:val="0"/>
          <w:bCs/>
          <w:color w:val="auto"/>
          <w:sz w:val="32"/>
          <w:szCs w:val="32"/>
          <w:highlight w:val="none"/>
          <w:u w:val="none"/>
          <w:lang w:val="en-US" w:eastAsia="zh-CN"/>
        </w:rPr>
        <w:t>202</w:t>
      </w:r>
      <w:r>
        <w:rPr>
          <w:rFonts w:hint="default" w:cs="仿宋"/>
          <w:b w:val="0"/>
          <w:bCs/>
          <w:color w:val="auto"/>
          <w:sz w:val="32"/>
          <w:szCs w:val="32"/>
          <w:highlight w:val="none"/>
          <w:u w:val="none"/>
          <w:lang w:val="en" w:eastAsia="zh-CN"/>
        </w:rPr>
        <w:t>6</w:t>
      </w:r>
      <w:r>
        <w:rPr>
          <w:rFonts w:hint="eastAsia" w:cs="仿宋"/>
          <w:b w:val="0"/>
          <w:bCs/>
          <w:color w:val="auto"/>
          <w:sz w:val="32"/>
          <w:szCs w:val="32"/>
          <w:highlight w:val="none"/>
          <w:u w:val="none"/>
          <w:lang w:val="en-US" w:eastAsia="zh-CN"/>
        </w:rPr>
        <w:t>】</w:t>
      </w:r>
      <w:r>
        <w:rPr>
          <w:rFonts w:hint="default" w:cs="仿宋"/>
          <w:b w:val="0"/>
          <w:bCs/>
          <w:color w:val="auto"/>
          <w:sz w:val="32"/>
          <w:szCs w:val="32"/>
          <w:highlight w:val="none"/>
          <w:u w:val="none"/>
          <w:lang w:val="en" w:eastAsia="zh-CN"/>
        </w:rPr>
        <w:t>3</w:t>
      </w:r>
      <w:r>
        <w:rPr>
          <w:rFonts w:hint="eastAsia" w:ascii="Times New Roman" w:hAnsi="Times New Roman" w:eastAsia="仿宋_GB2312" w:cs="仿宋"/>
          <w:b w:val="0"/>
          <w:bCs/>
          <w:color w:val="auto"/>
          <w:sz w:val="32"/>
          <w:szCs w:val="32"/>
          <w:highlight w:val="none"/>
          <w:u w:val="none"/>
          <w:lang w:val="en-US" w:eastAsia="zh-CN"/>
        </w:rPr>
        <w:t>号）文件的要求，现将</w:t>
      </w:r>
      <w:r>
        <w:rPr>
          <w:rFonts w:hint="eastAsia" w:cs="仿宋"/>
          <w:b w:val="0"/>
          <w:bCs/>
          <w:color w:val="auto"/>
          <w:sz w:val="32"/>
          <w:szCs w:val="32"/>
          <w:highlight w:val="none"/>
          <w:u w:val="none"/>
          <w:lang w:val="en-US" w:eastAsia="zh-CN"/>
        </w:rPr>
        <w:t>茂县人民法院相关</w:t>
      </w:r>
      <w:r>
        <w:rPr>
          <w:rFonts w:hint="eastAsia" w:ascii="Times New Roman" w:hAnsi="Times New Roman" w:eastAsia="仿宋_GB2312" w:cs="仿宋"/>
          <w:b w:val="0"/>
          <w:bCs/>
          <w:color w:val="auto"/>
          <w:sz w:val="32"/>
          <w:szCs w:val="32"/>
          <w:highlight w:val="none"/>
          <w:u w:val="none"/>
          <w:lang w:val="en-US" w:eastAsia="zh-CN"/>
        </w:rPr>
        <w:t>项目支出绩效自评情况报告如下：</w:t>
      </w:r>
    </w:p>
    <w:p>
      <w:pPr>
        <w:keepNext w:val="0"/>
        <w:keepLines w:val="0"/>
        <w:pageBreakBefore w:val="0"/>
        <w:widowControl w:val="0"/>
        <w:kinsoku/>
        <w:wordWrap/>
        <w:overflowPunct/>
        <w:topLinePunct w:val="0"/>
        <w:autoSpaceDE/>
        <w:autoSpaceDN/>
        <w:bidi w:val="0"/>
        <w:adjustRightInd w:val="0"/>
        <w:snapToGrid w:val="0"/>
        <w:spacing w:line="240" w:lineRule="auto"/>
        <w:ind w:firstLine="643" w:firstLineChars="200"/>
        <w:textAlignment w:val="auto"/>
        <w:rPr>
          <w:rFonts w:hint="eastAsia" w:ascii="Times New Roman" w:hAnsi="Times New Roman" w:eastAsia="黑体" w:cs="Times New Roman"/>
          <w:b/>
          <w:bCs/>
          <w:sz w:val="32"/>
          <w:szCs w:val="32"/>
          <w:highlight w:val="none"/>
          <w:lang w:val="en-US" w:eastAsia="zh-CN"/>
        </w:rPr>
      </w:pPr>
      <w:r>
        <w:rPr>
          <w:rFonts w:hint="eastAsia" w:ascii="Times New Roman" w:hAnsi="Times New Roman" w:eastAsia="黑体" w:cs="Times New Roman"/>
          <w:b/>
          <w:bCs/>
          <w:sz w:val="32"/>
          <w:szCs w:val="32"/>
          <w:highlight w:val="none"/>
          <w:lang w:val="en-US" w:eastAsia="zh-CN"/>
        </w:rPr>
        <w:t>一、项目概况</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rFonts w:hint="eastAsia" w:ascii="Times New Roman" w:hAnsi="Times New Roman" w:eastAsia="仿宋_GB2312" w:cs="仿宋"/>
          <w:b w:val="0"/>
          <w:bCs/>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（一）设立背景及基本情况。</w:t>
      </w:r>
      <w:r>
        <w:rPr>
          <w:rFonts w:hint="eastAsia" w:cs="仿宋"/>
          <w:b w:val="0"/>
          <w:bCs/>
          <w:color w:val="auto"/>
          <w:sz w:val="32"/>
          <w:szCs w:val="32"/>
          <w:highlight w:val="none"/>
          <w:u w:val="none"/>
          <w:lang w:val="en-US" w:eastAsia="zh-CN"/>
        </w:rPr>
        <w:t>因</w:t>
      </w:r>
      <w:r>
        <w:rPr>
          <w:rFonts w:hint="eastAsia" w:ascii="Times New Roman" w:hAnsi="Times New Roman" w:eastAsia="仿宋_GB2312" w:cs="仿宋"/>
          <w:b w:val="0"/>
          <w:bCs/>
          <w:color w:val="auto"/>
          <w:sz w:val="32"/>
          <w:szCs w:val="32"/>
          <w:highlight w:val="none"/>
          <w:u w:val="none"/>
          <w:lang w:val="en-US" w:eastAsia="zh-CN"/>
        </w:rPr>
        <w:t>需要对办公场所及相关设施进行有效管理，以保障机关单位的正常办公秩序和工作环境</w:t>
      </w:r>
      <w:r>
        <w:rPr>
          <w:rFonts w:hint="eastAsia" w:cs="仿宋"/>
          <w:b w:val="0"/>
          <w:bCs/>
          <w:color w:val="auto"/>
          <w:sz w:val="32"/>
          <w:szCs w:val="32"/>
          <w:highlight w:val="none"/>
          <w:u w:val="none"/>
          <w:lang w:val="en-US" w:eastAsia="zh-CN"/>
        </w:rPr>
        <w:t>，</w:t>
      </w:r>
      <w:r>
        <w:rPr>
          <w:rFonts w:hint="eastAsia" w:ascii="Times New Roman" w:hAnsi="Times New Roman" w:eastAsia="仿宋_GB2312" w:cs="仿宋"/>
          <w:b w:val="0"/>
          <w:bCs/>
          <w:color w:val="auto"/>
          <w:sz w:val="32"/>
          <w:szCs w:val="32"/>
          <w:highlight w:val="none"/>
          <w:u w:val="none"/>
          <w:lang w:val="en-US" w:eastAsia="zh-CN"/>
        </w:rPr>
        <w:t>更好地落实其工作职责</w:t>
      </w:r>
      <w:r>
        <w:rPr>
          <w:rFonts w:hint="eastAsia" w:cs="仿宋"/>
          <w:b w:val="0"/>
          <w:bCs/>
          <w:color w:val="auto"/>
          <w:sz w:val="32"/>
          <w:szCs w:val="32"/>
          <w:highlight w:val="none"/>
          <w:u w:val="none"/>
          <w:lang w:val="en-US" w:eastAsia="zh-CN"/>
        </w:rPr>
        <w:t>，茂县人民法院设立了审判庭扩建工程项目，</w:t>
      </w:r>
      <w:r>
        <w:rPr>
          <w:rFonts w:hint="eastAsia" w:ascii="Times New Roman" w:hAnsi="Times New Roman" w:eastAsia="仿宋_GB2312" w:cs="仿宋"/>
          <w:b w:val="0"/>
          <w:bCs/>
          <w:color w:val="auto"/>
          <w:sz w:val="32"/>
          <w:szCs w:val="32"/>
          <w:highlight w:val="none"/>
          <w:u w:val="none"/>
          <w:lang w:val="en-US" w:eastAsia="zh-CN"/>
        </w:rPr>
        <w:t>项目金额为</w:t>
      </w:r>
      <w:r>
        <w:rPr>
          <w:rFonts w:hint="eastAsia" w:cs="仿宋"/>
          <w:b w:val="0"/>
          <w:bCs/>
          <w:color w:val="auto"/>
          <w:sz w:val="32"/>
          <w:szCs w:val="32"/>
          <w:highlight w:val="none"/>
          <w:u w:val="none"/>
          <w:lang w:val="en-US" w:eastAsia="zh-CN"/>
        </w:rPr>
        <w:t>200</w:t>
      </w:r>
      <w:r>
        <w:rPr>
          <w:rFonts w:hint="eastAsia" w:ascii="Times New Roman" w:hAnsi="Times New Roman" w:eastAsia="仿宋_GB2312" w:cs="仿宋"/>
          <w:b w:val="0"/>
          <w:bCs/>
          <w:color w:val="auto"/>
          <w:sz w:val="32"/>
          <w:szCs w:val="32"/>
          <w:highlight w:val="none"/>
          <w:u w:val="none"/>
          <w:lang w:val="en-US" w:eastAsia="zh-CN"/>
        </w:rPr>
        <w:t>万元。</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b w:val="0"/>
          <w:bCs/>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仿宋_GB2312" w:hAnsi="仿宋_GB2312" w:eastAsia="仿宋_GB2312" w:cs="仿宋_GB2312"/>
          <w:b w:val="0"/>
          <w:bCs/>
          <w:color w:val="auto"/>
          <w:sz w:val="32"/>
          <w:szCs w:val="32"/>
          <w:highlight w:val="none"/>
          <w:u w:val="none"/>
          <w:lang w:val="en-US" w:eastAsia="zh-CN"/>
        </w:rPr>
        <w:t>一是保障办公环境与秩序</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 w:val="0"/>
          <w:bCs/>
          <w:color w:val="auto"/>
          <w:sz w:val="32"/>
          <w:szCs w:val="32"/>
          <w:highlight w:val="none"/>
          <w:u w:val="none"/>
          <w:lang w:val="en-US" w:eastAsia="zh-CN"/>
        </w:rPr>
      </w:pPr>
      <w:r>
        <w:rPr>
          <w:rFonts w:hint="eastAsia" w:ascii="仿宋_GB2312" w:hAnsi="仿宋_GB2312" w:eastAsia="仿宋_GB2312" w:cs="仿宋_GB2312"/>
          <w:b w:val="0"/>
          <w:bCs/>
          <w:color w:val="auto"/>
          <w:sz w:val="32"/>
          <w:szCs w:val="32"/>
          <w:highlight w:val="none"/>
          <w:u w:val="none"/>
          <w:lang w:val="en-US" w:eastAsia="zh-CN"/>
        </w:rPr>
        <w:t>营造舒适办公环境</w:t>
      </w:r>
      <w:r>
        <w:rPr>
          <w:rFonts w:hint="eastAsia" w:ascii="仿宋_GB2312" w:hAnsi="仿宋_GB2312" w:cs="仿宋_GB2312"/>
          <w:b w:val="0"/>
          <w:bCs/>
          <w:color w:val="auto"/>
          <w:sz w:val="32"/>
          <w:szCs w:val="32"/>
          <w:highlight w:val="none"/>
          <w:u w:val="none"/>
          <w:lang w:val="en-US" w:eastAsia="zh-CN"/>
        </w:rPr>
        <w:t>，</w:t>
      </w:r>
      <w:r>
        <w:rPr>
          <w:rFonts w:hint="eastAsia" w:ascii="仿宋_GB2312" w:hAnsi="仿宋_GB2312" w:eastAsia="仿宋_GB2312" w:cs="仿宋_GB2312"/>
          <w:b w:val="0"/>
          <w:bCs/>
          <w:color w:val="auto"/>
          <w:sz w:val="32"/>
          <w:szCs w:val="32"/>
          <w:highlight w:val="none"/>
          <w:u w:val="none"/>
          <w:lang w:val="en-US" w:eastAsia="zh-CN"/>
        </w:rPr>
        <w:t>通过专业的清洁、绿化养护等服务，保持办公区域的整洁、美观，为工作人员提供舒适、健康的工作环境，从而提高工作效率和工作满意度。</w:t>
      </w:r>
      <w:r>
        <w:rPr>
          <w:rFonts w:hint="eastAsia" w:ascii="仿宋_GB2312" w:hAnsi="仿宋_GB2312" w:cs="仿宋_GB2312"/>
          <w:b w:val="0"/>
          <w:bCs/>
          <w:color w:val="auto"/>
          <w:sz w:val="32"/>
          <w:szCs w:val="32"/>
          <w:highlight w:val="none"/>
          <w:u w:val="none"/>
          <w:lang w:val="en-US" w:eastAsia="zh-CN"/>
        </w:rPr>
        <w:t>二是</w:t>
      </w:r>
      <w:r>
        <w:rPr>
          <w:rFonts w:hint="eastAsia" w:ascii="仿宋_GB2312" w:hAnsi="仿宋_GB2312" w:eastAsia="仿宋_GB2312" w:cs="仿宋_GB2312"/>
          <w:b w:val="0"/>
          <w:bCs/>
          <w:color w:val="auto"/>
          <w:sz w:val="32"/>
          <w:szCs w:val="32"/>
          <w:highlight w:val="none"/>
          <w:u w:val="none"/>
          <w:lang w:val="en-US" w:eastAsia="zh-CN"/>
        </w:rPr>
        <w:t>维护工作秩序</w:t>
      </w:r>
      <w:r>
        <w:rPr>
          <w:rFonts w:hint="eastAsia" w:ascii="仿宋_GB2312" w:hAnsi="仿宋_GB2312" w:cs="仿宋_GB2312"/>
          <w:b w:val="0"/>
          <w:bCs/>
          <w:color w:val="auto"/>
          <w:sz w:val="32"/>
          <w:szCs w:val="32"/>
          <w:highlight w:val="none"/>
          <w:u w:val="none"/>
          <w:lang w:val="en-US" w:eastAsia="zh-CN"/>
        </w:rPr>
        <w:t>，</w:t>
      </w:r>
      <w:r>
        <w:rPr>
          <w:rFonts w:hint="eastAsia" w:ascii="仿宋_GB2312" w:hAnsi="仿宋_GB2312" w:eastAsia="仿宋_GB2312" w:cs="仿宋_GB2312"/>
          <w:b w:val="0"/>
          <w:bCs/>
          <w:color w:val="auto"/>
          <w:sz w:val="32"/>
          <w:szCs w:val="32"/>
          <w:highlight w:val="none"/>
          <w:u w:val="none"/>
          <w:lang w:val="en-US" w:eastAsia="zh-CN"/>
        </w:rPr>
        <w:t>秩序维护服务能够确保办公场所的安全、有序，防止无关人员进入，保障办公活动的正常开展，避免因秩序混乱而影响工作进度</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b w:val="0"/>
          <w:bCs/>
          <w:color w:val="auto"/>
          <w:sz w:val="32"/>
          <w:szCs w:val="32"/>
          <w:highlight w:val="yellow"/>
          <w:u w:val="none"/>
          <w:lang w:val="en-US" w:eastAsia="zh-CN"/>
        </w:rPr>
      </w:pPr>
      <w:r>
        <w:rPr>
          <w:rFonts w:hint="eastAsia" w:cs="Times New Roman"/>
          <w:b w:val="0"/>
          <w:bCs/>
          <w:color w:val="auto"/>
          <w:sz w:val="32"/>
          <w:szCs w:val="32"/>
          <w:highlight w:val="none"/>
          <w:u w:val="none"/>
          <w:lang w:val="en-US" w:eastAsia="zh-CN"/>
        </w:rPr>
        <w:t>审判庭扩建工程项目安排资金200万元，资金来源均为财政拨款。</w:t>
      </w:r>
    </w:p>
    <w:p>
      <w:pPr>
        <w:keepNext w:val="0"/>
        <w:keepLines w:val="0"/>
        <w:pageBreakBefore w:val="0"/>
        <w:widowControl w:val="0"/>
        <w:numPr>
          <w:ilvl w:val="0"/>
          <w:numId w:val="6"/>
        </w:numPr>
        <w:kinsoku/>
        <w:wordWrap/>
        <w:overflowPunct/>
        <w:topLinePunct w:val="0"/>
        <w:autoSpaceDE/>
        <w:autoSpaceDN/>
        <w:bidi w:val="0"/>
        <w:adjustRightInd/>
        <w:snapToGrid/>
        <w:spacing w:line="240" w:lineRule="auto"/>
        <w:ind w:firstLine="643" w:firstLineChars="200"/>
        <w:textAlignment w:val="auto"/>
        <w:rPr>
          <w:rFonts w:hint="default" w:ascii="Times New Roman" w:hAnsi="Times New Roman" w:eastAsia="楷体_GB2312" w:cs="Times New Roman"/>
          <w:b/>
          <w:bCs w:val="0"/>
          <w:color w:val="auto"/>
          <w:sz w:val="32"/>
          <w:szCs w:val="32"/>
          <w:highlight w:val="none"/>
          <w:u w:val="none"/>
          <w:lang w:val="zh-CN" w:eastAsia="zh-CN"/>
        </w:rPr>
      </w:pPr>
      <w:r>
        <w:rPr>
          <w:rFonts w:hint="default" w:ascii="Times New Roman" w:hAnsi="Times New Roman" w:eastAsia="楷体_GB2312" w:cs="Times New Roman"/>
          <w:b/>
          <w:bCs w:val="0"/>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cs="仿宋"/>
          <w:b w:val="0"/>
          <w:bCs/>
          <w:color w:val="auto"/>
          <w:sz w:val="32"/>
          <w:szCs w:val="32"/>
          <w:highlight w:val="none"/>
          <w:u w:val="none"/>
          <w:lang w:val="en-US" w:eastAsia="zh-CN"/>
        </w:rPr>
      </w:pPr>
      <w:r>
        <w:rPr>
          <w:rFonts w:hint="eastAsia" w:ascii="Times New Roman" w:hAnsi="Times New Roman" w:eastAsia="仿宋_GB2312" w:cs="仿宋"/>
          <w:b w:val="0"/>
          <w:bCs/>
          <w:color w:val="auto"/>
          <w:sz w:val="32"/>
          <w:szCs w:val="32"/>
          <w:highlight w:val="none"/>
          <w:u w:val="none"/>
          <w:lang w:val="en-US" w:eastAsia="zh-CN"/>
        </w:rPr>
        <w:t>通过</w:t>
      </w:r>
      <w:r>
        <w:rPr>
          <w:rFonts w:hint="eastAsia" w:ascii="仿宋_GB2312" w:hAnsi="宋体" w:eastAsia="仿宋_GB2312"/>
          <w:sz w:val="32"/>
          <w:szCs w:val="32"/>
        </w:rPr>
        <w:t>增加审判庭室数量及完善配套设施解决开庭难问题，提升办案及审判质效，强化庭审庄严与司法权威，提供公正、高效、便民的司法保障。</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rFonts w:hint="eastAsia" w:ascii="Times New Roman" w:hAnsi="Times New Roman" w:eastAsia="黑体" w:cs="Times New Roman"/>
          <w:b/>
          <w:bCs/>
          <w:color w:val="000000"/>
          <w:sz w:val="32"/>
          <w:szCs w:val="32"/>
          <w:highlight w:val="none"/>
          <w:lang w:val="en-US" w:eastAsia="zh-CN"/>
        </w:rPr>
      </w:pPr>
      <w:r>
        <w:rPr>
          <w:rFonts w:hint="eastAsia" w:ascii="Times New Roman" w:hAnsi="Times New Roman" w:eastAsia="黑体" w:cs="Times New Roman"/>
          <w:b/>
          <w:bCs/>
          <w:color w:val="000000"/>
          <w:sz w:val="32"/>
          <w:szCs w:val="32"/>
          <w:highlight w:val="none"/>
          <w:lang w:val="en-US" w:eastAsia="zh-CN"/>
        </w:rPr>
        <w:t>二、评价实施</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rFonts w:hint="eastAsia" w:ascii="Times New Roman" w:hAnsi="Times New Roman" w:eastAsia="仿宋_GB2312" w:cs="仿宋"/>
          <w:b w:val="0"/>
          <w:bCs/>
          <w:color w:val="000000"/>
          <w:sz w:val="32"/>
          <w:szCs w:val="32"/>
          <w:highlight w:val="none"/>
          <w:u w:val="none"/>
          <w:lang w:val="en-US" w:eastAsia="zh-CN"/>
        </w:rPr>
      </w:pPr>
      <w:r>
        <w:rPr>
          <w:rFonts w:hint="default" w:ascii="Times New Roman" w:hAnsi="Times New Roman" w:eastAsia="楷体_GB2312" w:cs="Times New Roman"/>
          <w:b/>
          <w:color w:val="000000"/>
          <w:sz w:val="32"/>
          <w:szCs w:val="32"/>
          <w:highlight w:val="none"/>
          <w:u w:val="none"/>
          <w:lang w:val="zh-CN"/>
        </w:rPr>
        <w:t>（一）评价目的。</w:t>
      </w:r>
      <w:r>
        <w:rPr>
          <w:rFonts w:hint="eastAsia" w:ascii="Times New Roman" w:hAnsi="Times New Roman" w:eastAsia="仿宋_GB2312" w:cs="仿宋"/>
          <w:b w:val="0"/>
          <w:bCs/>
          <w:color w:val="000000"/>
          <w:sz w:val="32"/>
          <w:szCs w:val="32"/>
          <w:highlight w:val="none"/>
          <w:u w:val="none"/>
          <w:lang w:val="en-US" w:eastAsia="zh-CN"/>
        </w:rPr>
        <w:t>全面、客观地评估</w:t>
      </w:r>
      <w:r>
        <w:rPr>
          <w:rFonts w:hint="eastAsia" w:cs="仿宋"/>
          <w:b w:val="0"/>
          <w:bCs/>
          <w:color w:val="000000"/>
          <w:sz w:val="32"/>
          <w:szCs w:val="32"/>
          <w:highlight w:val="none"/>
          <w:u w:val="none"/>
          <w:lang w:val="en-US" w:eastAsia="zh-CN"/>
        </w:rPr>
        <w:t>茂县人民法院审判庭扩建工程</w:t>
      </w:r>
      <w:r>
        <w:rPr>
          <w:rFonts w:hint="eastAsia" w:ascii="Times New Roman" w:hAnsi="Times New Roman" w:eastAsia="仿宋_GB2312" w:cs="仿宋"/>
          <w:b w:val="0"/>
          <w:bCs/>
          <w:color w:val="000000"/>
          <w:sz w:val="32"/>
          <w:szCs w:val="32"/>
          <w:highlight w:val="none"/>
          <w:u w:val="none"/>
          <w:lang w:val="en-US" w:eastAsia="zh-CN"/>
        </w:rPr>
        <w:t>项目的实施效果，总结项目实施过程中的经验教训，查找存在的问题和不足，为后续项目的改进和优化提供依据，确保项目能够持续、稳定、高效地推进，实现预期的绩效目标，提高财政资金的使用效益。</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rFonts w:hint="default" w:ascii="仿宋_GB2312" w:hAnsi="宋体" w:eastAsia="仿宋_GB2312"/>
          <w:sz w:val="32"/>
          <w:szCs w:val="32"/>
          <w:lang w:val="en-US" w:eastAsia="zh-CN"/>
        </w:rPr>
      </w:pPr>
      <w:r>
        <w:rPr>
          <w:rFonts w:hint="default" w:ascii="Times New Roman" w:hAnsi="Times New Roman" w:eastAsia="楷体_GB2312" w:cs="Times New Roman"/>
          <w:b/>
          <w:color w:val="000000"/>
          <w:sz w:val="32"/>
          <w:szCs w:val="32"/>
          <w:highlight w:val="none"/>
          <w:u w:val="none"/>
          <w:lang w:val="zh-CN"/>
        </w:rPr>
        <w:t>（二）预设问题及评价重点。</w:t>
      </w:r>
      <w:r>
        <w:rPr>
          <w:rFonts w:hint="eastAsia" w:ascii="仿宋_GB2312" w:hAnsi="仿宋_GB2312" w:eastAsia="仿宋_GB2312" w:cs="仿宋_GB2312"/>
          <w:b/>
          <w:color w:val="000000"/>
          <w:sz w:val="32"/>
          <w:szCs w:val="32"/>
          <w:highlight w:val="none"/>
          <w:u w:val="none"/>
          <w:lang w:val="en-US" w:eastAsia="zh-CN"/>
        </w:rPr>
        <w:t>预设问题：</w:t>
      </w:r>
      <w:r>
        <w:rPr>
          <w:rFonts w:hint="eastAsia" w:ascii="仿宋_GB2312" w:hAnsi="宋体" w:eastAsia="仿宋_GB2312"/>
          <w:sz w:val="32"/>
          <w:szCs w:val="32"/>
          <w:lang w:val="en-US" w:eastAsia="zh-CN"/>
        </w:rPr>
        <w:t>项目设定的服务目标是否全部实现？例如，修缮房屋面积是否达到预期标准？工程开展是否及时？审判庭扩建工程资金是否专款专用？是否存在挪用或浪费资金的情况？评价重点：重点评估项目设定的目标是否全部达成，以及达成的程度。例如，修缮房屋面积是否达到预期标准及工程开展是否及时；扩建总成本是否控制在既定的标准内。</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仿宋_GB2312" w:hAnsi="宋体" w:eastAsia="仿宋_GB2312"/>
          <w:sz w:val="32"/>
          <w:szCs w:val="32"/>
          <w:lang w:val="zh-CN" w:eastAsia="zh-CN"/>
        </w:rPr>
      </w:pPr>
      <w:r>
        <w:rPr>
          <w:rFonts w:hint="default" w:ascii="Times New Roman" w:hAnsi="Times New Roman" w:eastAsia="楷体_GB2312" w:cs="Times New Roman"/>
          <w:b/>
          <w:color w:val="auto"/>
          <w:sz w:val="32"/>
          <w:szCs w:val="32"/>
          <w:highlight w:val="none"/>
          <w:u w:val="none"/>
          <w:lang w:val="zh-CN"/>
        </w:rPr>
        <w:t>（三）评价选点。</w:t>
      </w:r>
      <w:r>
        <w:rPr>
          <w:rFonts w:hint="default" w:ascii="仿宋_GB2312" w:hAnsi="宋体" w:eastAsia="仿宋_GB2312"/>
          <w:sz w:val="32"/>
          <w:szCs w:val="32"/>
          <w:lang w:val="zh-CN" w:eastAsia="zh-CN"/>
        </w:rPr>
        <w:t>项目绩效自评所抽样点位情况。每个专项预算项目</w:t>
      </w:r>
      <w:r>
        <w:rPr>
          <w:rFonts w:hint="default" w:ascii="仿宋_GB2312" w:hAnsi="宋体" w:eastAsia="仿宋_GB2312"/>
          <w:sz w:val="32"/>
          <w:szCs w:val="32"/>
          <w:lang w:val="en-US" w:eastAsia="zh-CN"/>
        </w:rPr>
        <w:t>应选取</w:t>
      </w:r>
      <w:r>
        <w:rPr>
          <w:rFonts w:hint="eastAsia" w:ascii="仿宋_GB2312" w:hAnsi="宋体" w:eastAsia="仿宋_GB2312"/>
          <w:sz w:val="32"/>
          <w:szCs w:val="32"/>
          <w:lang w:val="en-US" w:eastAsia="zh-CN"/>
        </w:rPr>
        <w:t>专项资金分配涉及市县总数的20%、总计不超过</w:t>
      </w:r>
      <w:r>
        <w:rPr>
          <w:rFonts w:hint="default" w:ascii="仿宋_GB2312" w:hAnsi="宋体" w:eastAsia="仿宋_GB2312"/>
          <w:sz w:val="32"/>
          <w:szCs w:val="32"/>
          <w:lang w:val="en-US" w:eastAsia="zh-CN"/>
        </w:rPr>
        <w:t>20个的市县点位进行实地踏勘，且点位清单应作为自评附</w:t>
      </w:r>
      <w:r>
        <w:rPr>
          <w:rFonts w:hint="eastAsia" w:ascii="仿宋_GB2312" w:hAnsi="宋体" w:eastAsia="仿宋_GB2312"/>
          <w:sz w:val="32"/>
          <w:szCs w:val="32"/>
          <w:lang w:val="en-US" w:eastAsia="zh-CN"/>
        </w:rPr>
        <w:t>表</w:t>
      </w:r>
      <w:r>
        <w:rPr>
          <w:rFonts w:hint="default" w:ascii="仿宋_GB2312" w:hAnsi="宋体" w:eastAsia="仿宋_GB2312"/>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b w:val="0"/>
          <w:bCs/>
          <w:color w:val="000000"/>
          <w:sz w:val="32"/>
          <w:szCs w:val="32"/>
          <w:highlight w:val="none"/>
          <w:u w:val="none"/>
          <w:lang w:val="en-US" w:eastAsia="zh-CN"/>
        </w:rPr>
      </w:pPr>
      <w:r>
        <w:rPr>
          <w:rFonts w:hint="default" w:ascii="Times New Roman" w:hAnsi="Times New Roman" w:eastAsia="楷体_GB2312" w:cs="Times New Roman"/>
          <w:b/>
          <w:color w:val="000000"/>
          <w:sz w:val="32"/>
          <w:szCs w:val="32"/>
          <w:highlight w:val="none"/>
          <w:u w:val="none"/>
          <w:lang w:val="zh-CN"/>
        </w:rPr>
        <w:t>（</w:t>
      </w:r>
      <w:r>
        <w:rPr>
          <w:rFonts w:hint="eastAsia" w:eastAsia="楷体_GB2312" w:cs="Times New Roman"/>
          <w:b/>
          <w:color w:val="000000"/>
          <w:sz w:val="32"/>
          <w:szCs w:val="32"/>
          <w:highlight w:val="none"/>
          <w:u w:val="none"/>
          <w:lang w:val="en-US" w:eastAsia="zh-CN"/>
        </w:rPr>
        <w:t>四</w:t>
      </w:r>
      <w:r>
        <w:rPr>
          <w:rFonts w:hint="default" w:ascii="Times New Roman" w:hAnsi="Times New Roman" w:eastAsia="楷体_GB2312" w:cs="Times New Roman"/>
          <w:b/>
          <w:color w:val="000000"/>
          <w:sz w:val="32"/>
          <w:szCs w:val="32"/>
          <w:highlight w:val="none"/>
          <w:u w:val="none"/>
          <w:lang w:val="zh-CN"/>
        </w:rPr>
        <w:t>）评价方法。</w:t>
      </w:r>
      <w:r>
        <w:rPr>
          <w:rFonts w:hint="eastAsia" w:ascii="仿宋_GB2312" w:hAnsi="仿宋_GB2312" w:eastAsia="仿宋_GB2312" w:cs="仿宋_GB2312"/>
          <w:b/>
          <w:color w:val="000000"/>
          <w:sz w:val="32"/>
          <w:szCs w:val="32"/>
          <w:highlight w:val="none"/>
          <w:u w:val="none"/>
          <w:lang w:val="en-US" w:eastAsia="zh-CN"/>
        </w:rPr>
        <w:t>成本效益分析法</w:t>
      </w:r>
      <w:r>
        <w:rPr>
          <w:rFonts w:hint="eastAsia" w:ascii="Times New Roman" w:hAnsi="Times New Roman" w:eastAsia="仿宋" w:cs="仿宋"/>
          <w:b/>
          <w:color w:val="000000"/>
          <w:sz w:val="32"/>
          <w:szCs w:val="32"/>
          <w:highlight w:val="none"/>
          <w:u w:val="none"/>
          <w:lang w:val="en-US" w:eastAsia="zh-CN"/>
        </w:rPr>
        <w:t>：</w:t>
      </w:r>
      <w:r>
        <w:rPr>
          <w:rFonts w:hint="eastAsia" w:ascii="仿宋_GB2312" w:hAnsi="仿宋_GB2312" w:eastAsia="仿宋_GB2312" w:cs="仿宋_GB2312"/>
          <w:b w:val="0"/>
          <w:bCs/>
          <w:color w:val="000000"/>
          <w:sz w:val="32"/>
          <w:szCs w:val="32"/>
          <w:highlight w:val="none"/>
          <w:u w:val="none"/>
          <w:lang w:val="en-US" w:eastAsia="zh-CN"/>
        </w:rPr>
        <w:t>对效益确定的多个同类对象的实施成本进行比较，评价绩效目标的实现程度。这种方法可以评估项目资金的使用效率和效益，确保资金投入与产出之间的紧密对应关系。</w:t>
      </w:r>
      <w:r>
        <w:rPr>
          <w:rFonts w:hint="eastAsia" w:ascii="仿宋_GB2312" w:hAnsi="仿宋_GB2312" w:eastAsia="仿宋_GB2312" w:cs="仿宋_GB2312"/>
          <w:b/>
          <w:color w:val="000000"/>
          <w:sz w:val="32"/>
          <w:szCs w:val="32"/>
          <w:highlight w:val="none"/>
          <w:u w:val="none"/>
          <w:lang w:val="en-US" w:eastAsia="zh-CN"/>
        </w:rPr>
        <w:t>综合评价法</w:t>
      </w:r>
      <w:r>
        <w:rPr>
          <w:rFonts w:hint="eastAsia" w:ascii="仿宋_GB2312" w:hAnsi="仿宋_GB2312" w:eastAsia="仿宋_GB2312" w:cs="仿宋_GB2312"/>
          <w:b w:val="0"/>
          <w:bCs/>
          <w:color w:val="000000"/>
          <w:sz w:val="32"/>
          <w:szCs w:val="32"/>
          <w:highlight w:val="none"/>
          <w:u w:val="none"/>
          <w:lang w:val="en-US" w:eastAsia="zh-CN"/>
        </w:rPr>
        <w:t>：结合多种评价方法，对项目进行全面、综合的评估。</w:t>
      </w:r>
      <w:r>
        <w:rPr>
          <w:rFonts w:hint="eastAsia" w:ascii="仿宋_GB2312" w:hAnsi="仿宋_GB2312" w:cs="仿宋_GB2312"/>
          <w:b/>
          <w:bCs w:val="0"/>
          <w:color w:val="000000"/>
          <w:sz w:val="32"/>
          <w:szCs w:val="32"/>
          <w:highlight w:val="none"/>
          <w:u w:val="none"/>
          <w:lang w:val="en-US" w:eastAsia="zh-CN"/>
        </w:rPr>
        <w:t>满意度调查：</w:t>
      </w:r>
      <w:r>
        <w:rPr>
          <w:rFonts w:hint="eastAsia" w:ascii="仿宋_GB2312" w:hAnsi="仿宋_GB2312" w:eastAsia="仿宋_GB2312" w:cs="仿宋_GB2312"/>
          <w:b w:val="0"/>
          <w:bCs/>
          <w:color w:val="000000"/>
          <w:sz w:val="32"/>
          <w:szCs w:val="32"/>
          <w:highlight w:val="none"/>
          <w:u w:val="none"/>
          <w:lang w:val="en-US" w:eastAsia="zh-CN"/>
        </w:rPr>
        <w:t>在绩效自评期间，开展满意度问卷调查，收集服务对象的反馈，作为评价的重要参考</w:t>
      </w:r>
      <w:r>
        <w:rPr>
          <w:rFonts w:hint="eastAsia" w:ascii="仿宋_GB2312" w:hAnsi="仿宋_GB2312" w:cs="仿宋_GB2312"/>
          <w:b w:val="0"/>
          <w:bCs/>
          <w:color w:val="000000"/>
          <w:sz w:val="32"/>
          <w:szCs w:val="32"/>
          <w:highlight w:val="none"/>
          <w:u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_GB2312" w:cs="仿宋"/>
          <w:b w:val="0"/>
          <w:bCs/>
          <w:color w:val="000000"/>
          <w:sz w:val="32"/>
          <w:szCs w:val="32"/>
          <w:lang w:val="en-US" w:eastAsia="zh-CN"/>
        </w:rPr>
      </w:pPr>
      <w:r>
        <w:rPr>
          <w:rFonts w:hint="eastAsia" w:ascii="Times New Roman" w:hAnsi="Times New Roman" w:eastAsia="楷体_GB2312" w:cs="Times New Roman"/>
          <w:b w:val="0"/>
          <w:bCs/>
          <w:color w:val="000000"/>
          <w:sz w:val="32"/>
          <w:szCs w:val="32"/>
          <w:highlight w:val="none"/>
          <w:u w:val="none"/>
          <w:lang w:val="en-US" w:eastAsia="zh-CN"/>
        </w:rPr>
        <w:t xml:space="preserve">   </w:t>
      </w:r>
      <w:r>
        <w:rPr>
          <w:rFonts w:hint="default" w:ascii="Times New Roman" w:hAnsi="Times New Roman" w:eastAsia="楷体_GB2312" w:cs="Times New Roman"/>
          <w:b/>
          <w:color w:val="000000"/>
          <w:sz w:val="32"/>
          <w:szCs w:val="32"/>
          <w:highlight w:val="none"/>
          <w:u w:val="none"/>
          <w:lang w:val="zh-CN"/>
        </w:rPr>
        <w:t>（</w:t>
      </w:r>
      <w:r>
        <w:rPr>
          <w:rFonts w:hint="eastAsia" w:eastAsia="楷体_GB2312" w:cs="Times New Roman"/>
          <w:b/>
          <w:color w:val="000000"/>
          <w:sz w:val="32"/>
          <w:szCs w:val="32"/>
          <w:highlight w:val="none"/>
          <w:u w:val="none"/>
          <w:lang w:val="en-US" w:eastAsia="zh-CN"/>
        </w:rPr>
        <w:t>五</w:t>
      </w:r>
      <w:r>
        <w:rPr>
          <w:rFonts w:hint="default" w:ascii="Times New Roman" w:hAnsi="Times New Roman" w:eastAsia="楷体_GB2312" w:cs="Times New Roman"/>
          <w:b/>
          <w:color w:val="000000"/>
          <w:sz w:val="32"/>
          <w:szCs w:val="32"/>
          <w:highlight w:val="none"/>
          <w:u w:val="none"/>
          <w:lang w:val="zh-CN"/>
        </w:rPr>
        <w:t>）评价组织。</w:t>
      </w:r>
      <w:r>
        <w:rPr>
          <w:rFonts w:hint="eastAsia" w:ascii="Times New Roman" w:hAnsi="Times New Roman" w:eastAsia="仿宋_GB2312" w:cs="仿宋"/>
          <w:b w:val="0"/>
          <w:bCs/>
          <w:color w:val="000000"/>
          <w:sz w:val="32"/>
          <w:szCs w:val="32"/>
          <w:highlight w:val="none"/>
          <w:u w:val="none"/>
          <w:lang w:val="en-US" w:eastAsia="zh-CN"/>
        </w:rPr>
        <w:t>成立</w:t>
      </w:r>
      <w:r>
        <w:rPr>
          <w:rFonts w:hint="eastAsia" w:cs="仿宋"/>
          <w:b w:val="0"/>
          <w:bCs/>
          <w:color w:val="000000"/>
          <w:sz w:val="32"/>
          <w:szCs w:val="32"/>
          <w:highlight w:val="none"/>
          <w:u w:val="none"/>
          <w:lang w:val="en-US" w:eastAsia="zh-CN"/>
        </w:rPr>
        <w:t>审判庭扩建工程</w:t>
      </w:r>
      <w:r>
        <w:rPr>
          <w:rFonts w:hint="eastAsia" w:eastAsia="仿宋_GB2312" w:cs="仿宋"/>
          <w:b w:val="0"/>
          <w:bCs/>
          <w:color w:val="000000"/>
          <w:sz w:val="32"/>
          <w:szCs w:val="32"/>
          <w:highlight w:val="none"/>
          <w:u w:val="none"/>
          <w:lang w:val="en-US" w:eastAsia="zh-CN"/>
        </w:rPr>
        <w:t>项目</w:t>
      </w:r>
      <w:r>
        <w:rPr>
          <w:rFonts w:hint="eastAsia" w:ascii="Times New Roman" w:hAnsi="Times New Roman" w:eastAsia="仿宋_GB2312" w:cs="仿宋"/>
          <w:b w:val="0"/>
          <w:bCs/>
          <w:color w:val="000000"/>
          <w:sz w:val="32"/>
          <w:szCs w:val="32"/>
          <w:highlight w:val="none"/>
          <w:u w:val="none"/>
          <w:lang w:val="en-US" w:eastAsia="zh-CN"/>
        </w:rPr>
        <w:t>评价工作领导小组，分管领导担任组长，业务各科室等部门负责人为成员。主要负责评价工作的整体规划与决策，协调各部门间工作，对重大问题进行研究和处理，确保评价工作顺利开展。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rFonts w:hint="eastAsia" w:ascii="Times New Roman" w:hAnsi="Times New Roman" w:eastAsia="黑体" w:cs="Times New Roman"/>
          <w:b/>
          <w:bCs/>
          <w:color w:val="000000"/>
          <w:sz w:val="32"/>
          <w:szCs w:val="32"/>
          <w:highlight w:val="none"/>
          <w:u w:val="none"/>
          <w:lang w:eastAsia="zh-CN"/>
        </w:rPr>
      </w:pPr>
      <w:r>
        <w:rPr>
          <w:rFonts w:hint="default" w:ascii="Times New Roman" w:hAnsi="Times New Roman" w:eastAsia="黑体" w:cs="Times New Roman"/>
          <w:b/>
          <w:bCs/>
          <w:color w:val="000000"/>
          <w:sz w:val="32"/>
          <w:szCs w:val="32"/>
          <w:highlight w:val="none"/>
          <w:u w:val="none"/>
        </w:rPr>
        <w:t>三、</w:t>
      </w:r>
      <w:r>
        <w:rPr>
          <w:rFonts w:hint="default" w:ascii="Times New Roman" w:hAnsi="Times New Roman" w:eastAsia="黑体" w:cs="Times New Roman"/>
          <w:b/>
          <w:bCs/>
          <w:color w:val="000000"/>
          <w:sz w:val="32"/>
          <w:szCs w:val="32"/>
          <w:highlight w:val="none"/>
          <w:u w:val="none"/>
          <w:lang w:eastAsia="zh-CN"/>
        </w:rPr>
        <w:t>绩效分析</w:t>
      </w:r>
      <w:r>
        <w:rPr>
          <w:rFonts w:hint="eastAsia" w:ascii="Times New Roman" w:hAnsi="Times New Roman" w:eastAsia="黑体" w:cs="Times New Roman"/>
          <w:b/>
          <w:bCs/>
          <w:color w:val="000000"/>
          <w:sz w:val="32"/>
          <w:szCs w:val="32"/>
          <w:highlight w:val="none"/>
          <w:u w:val="none"/>
          <w:lang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根据项目预算绩效评价指标体系“通用指标”“专用指标”“个性指标”涉及二、三及指标进行了逐项分析并评分。</w:t>
      </w:r>
    </w:p>
    <w:p>
      <w:pPr>
        <w:keepNext w:val="0"/>
        <w:keepLines w:val="0"/>
        <w:pageBreakBefore w:val="0"/>
        <w:numPr>
          <w:ilvl w:val="0"/>
          <w:numId w:val="7"/>
        </w:numPr>
        <w:kinsoku/>
        <w:wordWrap/>
        <w:overflowPunct/>
        <w:topLinePunct w:val="0"/>
        <w:autoSpaceDE/>
        <w:autoSpaceDN/>
        <w:bidi w:val="0"/>
        <w:spacing w:line="240" w:lineRule="auto"/>
        <w:ind w:firstLine="643" w:firstLineChars="200"/>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Times New Roman" w:hAnsi="Times New Roman" w:eastAsia="楷体_GB2312" w:cs="Times New Roman"/>
          <w:b/>
          <w:color w:val="000000"/>
          <w:sz w:val="32"/>
          <w:szCs w:val="32"/>
          <w:highlight w:val="none"/>
          <w:u w:val="none"/>
          <w:lang w:val="en-US" w:eastAsia="zh-CN"/>
        </w:rPr>
        <w:t>通用指标绩效分析。</w:t>
      </w:r>
    </w:p>
    <w:p>
      <w:pPr>
        <w:spacing w:line="240" w:lineRule="auto"/>
        <w:ind w:firstLine="643" w:firstLineChars="200"/>
        <w:jc w:val="both"/>
        <w:rPr>
          <w:rFonts w:hint="default" w:ascii="Times New Roman" w:hAnsi="Times New Roman" w:eastAsia="仿宋_GB2312" w:cstheme="minorBidi"/>
          <w:b w:val="0"/>
          <w:spacing w:val="6"/>
          <w:kern w:val="2"/>
          <w:sz w:val="32"/>
          <w:szCs w:val="24"/>
          <w:highlight w:val="none"/>
          <w:lang w:val="en-US" w:eastAsia="zh-CN" w:bidi="ar-SA"/>
        </w:rPr>
      </w:pPr>
      <w:r>
        <w:rPr>
          <w:rFonts w:hint="eastAsia" w:ascii="Times New Roman" w:hAnsi="Times New Roman" w:eastAsia="楷体_GB2312" w:cs="Times New Roman"/>
          <w:b/>
          <w:color w:val="000000"/>
          <w:sz w:val="32"/>
          <w:szCs w:val="32"/>
          <w:highlight w:val="none"/>
          <w:u w:val="none"/>
          <w:lang w:val="en-US" w:eastAsia="zh-CN"/>
        </w:rPr>
        <w:t>１．项目决策。</w:t>
      </w:r>
      <w:r>
        <w:rPr>
          <w:rFonts w:hint="eastAsia" w:ascii="Times New Roman" w:hAnsi="Times New Roman" w:eastAsia="仿宋_GB2312" w:cstheme="minorBidi"/>
          <w:b w:val="0"/>
          <w:spacing w:val="6"/>
          <w:kern w:val="2"/>
          <w:sz w:val="32"/>
          <w:szCs w:val="24"/>
          <w:highlight w:val="none"/>
          <w:lang w:val="en-US" w:eastAsia="zh-CN" w:bidi="ar-SA"/>
        </w:rPr>
        <w:t>项</w:t>
      </w:r>
      <w:r>
        <w:rPr>
          <w:rFonts w:hint="eastAsia" w:ascii="仿宋_GB2312" w:hAnsi="宋体" w:eastAsia="仿宋_GB2312"/>
          <w:sz w:val="32"/>
          <w:szCs w:val="32"/>
          <w:lang w:val="en-US" w:eastAsia="zh-CN"/>
        </w:rPr>
        <w:t>目决策指标</w:t>
      </w:r>
      <w:r>
        <w:rPr>
          <w:rFonts w:hint="default" w:ascii="仿宋_GB2312" w:hAnsi="宋体" w:eastAsia="仿宋_GB2312"/>
          <w:sz w:val="32"/>
          <w:szCs w:val="32"/>
          <w:lang w:val="en-US" w:eastAsia="zh-CN"/>
        </w:rPr>
        <w:t>下设三个</w:t>
      </w:r>
      <w:r>
        <w:rPr>
          <w:rFonts w:hint="eastAsia" w:ascii="仿宋_GB2312" w:hAnsi="宋体" w:eastAsia="仿宋_GB2312"/>
          <w:sz w:val="32"/>
          <w:szCs w:val="32"/>
          <w:lang w:val="en-US" w:eastAsia="zh-CN"/>
        </w:rPr>
        <w:t>三</w:t>
      </w:r>
      <w:r>
        <w:rPr>
          <w:rFonts w:hint="default" w:ascii="仿宋_GB2312" w:hAnsi="宋体" w:eastAsia="仿宋_GB2312"/>
          <w:sz w:val="32"/>
          <w:szCs w:val="32"/>
          <w:lang w:val="en-US" w:eastAsia="zh-CN"/>
        </w:rPr>
        <w:t>级指标，从</w:t>
      </w:r>
      <w:r>
        <w:rPr>
          <w:rFonts w:hint="eastAsia" w:ascii="仿宋_GB2312" w:hAnsi="宋体" w:eastAsia="仿宋_GB2312"/>
          <w:sz w:val="32"/>
          <w:szCs w:val="32"/>
          <w:lang w:val="en-US" w:eastAsia="zh-CN"/>
        </w:rPr>
        <w:t>决策程序</w:t>
      </w:r>
      <w:r>
        <w:rPr>
          <w:rFonts w:hint="default" w:ascii="仿宋_GB2312" w:hAnsi="宋体" w:eastAsia="仿宋_GB2312"/>
          <w:sz w:val="32"/>
          <w:szCs w:val="32"/>
          <w:lang w:val="en-US" w:eastAsia="zh-CN"/>
        </w:rPr>
        <w:t>、</w:t>
      </w:r>
      <w:r>
        <w:rPr>
          <w:rFonts w:hint="eastAsia" w:ascii="仿宋_GB2312" w:hAnsi="宋体" w:eastAsia="仿宋_GB2312"/>
          <w:sz w:val="32"/>
          <w:szCs w:val="32"/>
          <w:lang w:val="en-US" w:eastAsia="zh-CN"/>
        </w:rPr>
        <w:t>规划论证</w:t>
      </w:r>
      <w:r>
        <w:rPr>
          <w:rFonts w:hint="default" w:ascii="仿宋_GB2312" w:hAnsi="宋体" w:eastAsia="仿宋_GB2312"/>
          <w:sz w:val="32"/>
          <w:szCs w:val="32"/>
          <w:lang w:val="en-US" w:eastAsia="zh-CN"/>
        </w:rPr>
        <w:t>、</w:t>
      </w:r>
      <w:r>
        <w:rPr>
          <w:rFonts w:hint="eastAsia" w:ascii="仿宋_GB2312" w:hAnsi="宋体" w:eastAsia="仿宋_GB2312"/>
          <w:sz w:val="32"/>
          <w:szCs w:val="32"/>
          <w:lang w:val="en-US" w:eastAsia="zh-CN"/>
        </w:rPr>
        <w:t>资金投向</w:t>
      </w:r>
      <w:r>
        <w:rPr>
          <w:rFonts w:hint="default" w:ascii="仿宋_GB2312" w:hAnsi="宋体" w:eastAsia="仿宋_GB2312"/>
          <w:sz w:val="32"/>
          <w:szCs w:val="32"/>
          <w:lang w:val="en-US" w:eastAsia="zh-CN"/>
        </w:rPr>
        <w:t>三个方面进行考察，指标分值</w:t>
      </w:r>
      <w:r>
        <w:rPr>
          <w:rFonts w:hint="eastAsia" w:ascii="仿宋_GB2312" w:hAnsi="宋体" w:eastAsia="仿宋_GB2312"/>
          <w:sz w:val="32"/>
          <w:szCs w:val="32"/>
          <w:lang w:val="en-US" w:eastAsia="zh-CN"/>
        </w:rPr>
        <w:t>18</w:t>
      </w:r>
      <w:r>
        <w:rPr>
          <w:rFonts w:hint="default" w:ascii="仿宋_GB2312" w:hAnsi="宋体" w:eastAsia="仿宋_GB2312"/>
          <w:sz w:val="32"/>
          <w:szCs w:val="32"/>
          <w:lang w:val="en-US" w:eastAsia="zh-CN"/>
        </w:rPr>
        <w:t>分，评价得分为</w:t>
      </w:r>
      <w:r>
        <w:rPr>
          <w:rFonts w:hint="eastAsia" w:ascii="仿宋_GB2312" w:hAnsi="宋体" w:eastAsia="仿宋_GB2312"/>
          <w:sz w:val="32"/>
          <w:szCs w:val="32"/>
          <w:lang w:val="en-US" w:eastAsia="zh-CN"/>
        </w:rPr>
        <w:t>15</w:t>
      </w:r>
      <w:r>
        <w:rPr>
          <w:rFonts w:hint="default" w:ascii="仿宋_GB2312" w:hAnsi="宋体" w:eastAsia="仿宋_GB2312"/>
          <w:sz w:val="32"/>
          <w:szCs w:val="32"/>
          <w:lang w:val="en-US" w:eastAsia="zh-CN"/>
        </w:rPr>
        <w:t>分，得分率</w:t>
      </w:r>
      <w:r>
        <w:rPr>
          <w:rFonts w:hint="eastAsia" w:ascii="仿宋_GB2312" w:hAnsi="宋体" w:eastAsia="仿宋_GB2312"/>
          <w:sz w:val="32"/>
          <w:szCs w:val="32"/>
          <w:lang w:val="en-US" w:eastAsia="zh-CN"/>
        </w:rPr>
        <w:t>为83.33</w:t>
      </w:r>
      <w:r>
        <w:rPr>
          <w:rFonts w:hint="default" w:ascii="仿宋_GB2312" w:hAnsi="宋体" w:eastAsia="仿宋_GB2312"/>
          <w:sz w:val="32"/>
          <w:szCs w:val="32"/>
          <w:lang w:val="en-US" w:eastAsia="zh-CN"/>
        </w:rPr>
        <w:t>%。</w:t>
      </w:r>
    </w:p>
    <w:p>
      <w:pPr>
        <w:keepNext w:val="0"/>
        <w:keepLines w:val="0"/>
        <w:pageBreakBefore w:val="0"/>
        <w:numPr>
          <w:ilvl w:val="0"/>
          <w:numId w:val="0"/>
        </w:numPr>
        <w:kinsoku/>
        <w:wordWrap/>
        <w:overflowPunct/>
        <w:topLinePunct w:val="0"/>
        <w:autoSpaceDE/>
        <w:autoSpaceDN/>
        <w:bidi w:val="0"/>
        <w:spacing w:line="240" w:lineRule="auto"/>
        <w:ind w:firstLine="640" w:firstLineChars="200"/>
        <w:textAlignment w:val="auto"/>
        <w:rPr>
          <w:rFonts w:hint="eastAsia" w:ascii="仿宋_GB2312" w:hAnsi="宋体" w:eastAsia="仿宋_GB2312"/>
          <w:sz w:val="32"/>
          <w:szCs w:val="32"/>
          <w:lang w:val="en-US" w:eastAsia="zh-CN"/>
        </w:rPr>
      </w:pPr>
      <w:r>
        <w:rPr>
          <w:rFonts w:hint="eastAsia" w:ascii="Times New Roman" w:hAnsi="Times New Roman" w:eastAsia="仿宋_GB2312" w:cs="仿宋_GB2312"/>
          <w:b w:val="0"/>
          <w:bCs w:val="0"/>
          <w:color w:val="auto"/>
          <w:sz w:val="32"/>
          <w:szCs w:val="32"/>
          <w:highlight w:val="none"/>
          <w:u w:val="none"/>
          <w:lang w:val="en-US" w:eastAsia="zh-CN"/>
        </w:rPr>
        <w:t>（</w:t>
      </w:r>
      <w:r>
        <w:rPr>
          <w:rFonts w:hint="eastAsia" w:ascii="Times New Roman" w:hAnsi="Times New Roman" w:cs="仿宋_GB2312"/>
          <w:b w:val="0"/>
          <w:bCs w:val="0"/>
          <w:color w:val="auto"/>
          <w:sz w:val="32"/>
          <w:szCs w:val="32"/>
          <w:highlight w:val="none"/>
          <w:u w:val="none"/>
          <w:lang w:val="en-US" w:eastAsia="zh-CN"/>
        </w:rPr>
        <w:t>1</w:t>
      </w:r>
      <w:r>
        <w:rPr>
          <w:rFonts w:hint="eastAsia" w:ascii="Times New Roman" w:hAnsi="Times New Roman" w:eastAsia="仿宋_GB2312" w:cs="仿宋_GB2312"/>
          <w:b w:val="0"/>
          <w:bCs w:val="0"/>
          <w:color w:val="auto"/>
          <w:sz w:val="32"/>
          <w:szCs w:val="32"/>
          <w:highlight w:val="none"/>
          <w:u w:val="none"/>
          <w:lang w:val="en-US" w:eastAsia="zh-CN"/>
        </w:rPr>
        <w:t>）决策程序：</w:t>
      </w:r>
      <w:r>
        <w:rPr>
          <w:rFonts w:hint="eastAsia" w:ascii="仿宋_GB2312" w:hAnsi="宋体" w:eastAsia="仿宋_GB2312"/>
          <w:sz w:val="32"/>
          <w:szCs w:val="32"/>
          <w:lang w:val="en-US" w:eastAsia="zh-CN"/>
        </w:rPr>
        <w:t>因需要增加审判庭室数量及完善配套设施，以保障机关单位的工作环境和解决开庭难问题，提升办案及审判质效，更好地落实其工作职责，茂县人民法院设立了审判庭扩建工程项目。指标赋分６分，得分６分。</w:t>
      </w:r>
    </w:p>
    <w:p>
      <w:pPr>
        <w:spacing w:line="240" w:lineRule="auto"/>
        <w:ind w:left="0" w:leftChars="0" w:firstLine="640" w:firstLineChars="200"/>
        <w:jc w:val="both"/>
        <w:rPr>
          <w:rFonts w:hint="default" w:ascii="仿宋_GB2312" w:hAnsi="宋体" w:eastAsia="仿宋_GB2312"/>
          <w:sz w:val="32"/>
          <w:szCs w:val="32"/>
          <w:lang w:val="en-US" w:eastAsia="zh-CN"/>
        </w:rPr>
      </w:pPr>
      <w:r>
        <w:rPr>
          <w:rFonts w:hint="eastAsia" w:ascii="Times New Roman" w:hAnsi="Times New Roman" w:eastAsia="仿宋_GB2312"/>
          <w:sz w:val="32"/>
          <w:lang w:val="en-US" w:eastAsia="zh-CN"/>
        </w:rPr>
        <w:t>（2）规划论证：</w:t>
      </w:r>
      <w:r>
        <w:rPr>
          <w:rFonts w:hint="eastAsia" w:ascii="仿宋_GB2312" w:hAnsi="宋体" w:eastAsia="仿宋_GB2312"/>
          <w:sz w:val="32"/>
          <w:szCs w:val="32"/>
          <w:lang w:val="en-US" w:eastAsia="zh-CN"/>
        </w:rPr>
        <w:t>审判庭扩建工程项目立项时，茂县人民法院按照规定的程序申请，相关设立审批文件、材料符合要求，但未见可行性研究、专家论证、风险评估等资料。</w:t>
      </w:r>
      <w:r>
        <w:rPr>
          <w:rFonts w:hint="default" w:ascii="仿宋_GB2312" w:hAnsi="宋体" w:eastAsia="仿宋_GB2312"/>
          <w:sz w:val="32"/>
          <w:szCs w:val="32"/>
          <w:lang w:val="en-US" w:eastAsia="zh-CN"/>
        </w:rPr>
        <w:t>指标赋分</w:t>
      </w:r>
      <w:r>
        <w:rPr>
          <w:rFonts w:hint="eastAsia" w:ascii="仿宋_GB2312" w:hAnsi="宋体" w:eastAsia="仿宋_GB2312"/>
          <w:sz w:val="32"/>
          <w:szCs w:val="32"/>
          <w:lang w:val="en-US" w:eastAsia="zh-CN"/>
        </w:rPr>
        <w:t>6</w:t>
      </w:r>
      <w:r>
        <w:rPr>
          <w:rFonts w:hint="default" w:ascii="仿宋_GB2312" w:hAnsi="宋体" w:eastAsia="仿宋_GB2312"/>
          <w:sz w:val="32"/>
          <w:szCs w:val="32"/>
          <w:lang w:val="en-US" w:eastAsia="zh-CN"/>
        </w:rPr>
        <w:t>分，得分</w:t>
      </w:r>
      <w:r>
        <w:rPr>
          <w:rFonts w:hint="eastAsia" w:ascii="仿宋_GB2312" w:hAnsi="宋体" w:eastAsia="仿宋_GB2312"/>
          <w:sz w:val="32"/>
          <w:szCs w:val="32"/>
          <w:lang w:val="en-US" w:eastAsia="zh-CN"/>
        </w:rPr>
        <w:t>3</w:t>
      </w:r>
      <w:r>
        <w:rPr>
          <w:rFonts w:hint="default" w:ascii="仿宋_GB2312" w:hAnsi="宋体" w:eastAsia="仿宋_GB2312"/>
          <w:sz w:val="32"/>
          <w:szCs w:val="32"/>
          <w:lang w:val="en-US" w:eastAsia="zh-CN"/>
        </w:rPr>
        <w:t>分。</w:t>
      </w:r>
    </w:p>
    <w:p>
      <w:pPr>
        <w:spacing w:line="240" w:lineRule="auto"/>
        <w:ind w:left="0" w:leftChars="0" w:firstLine="640" w:firstLineChars="200"/>
        <w:jc w:val="both"/>
        <w:rPr>
          <w:rFonts w:hint="default" w:cstheme="minorBidi"/>
          <w:b w:val="0"/>
          <w:spacing w:val="6"/>
          <w:kern w:val="2"/>
          <w:sz w:val="32"/>
          <w:szCs w:val="24"/>
          <w:lang w:val="en-US" w:eastAsia="zh-CN" w:bidi="ar-SA"/>
        </w:rPr>
      </w:pPr>
      <w:r>
        <w:rPr>
          <w:rFonts w:hint="eastAsia" w:ascii="Times New Roman" w:hAnsi="Times New Roman" w:eastAsia="仿宋_GB2312"/>
          <w:sz w:val="32"/>
          <w:lang w:val="en-US" w:eastAsia="zh-CN"/>
        </w:rPr>
        <w:t>（3）</w:t>
      </w:r>
      <w:r>
        <w:rPr>
          <w:rFonts w:hint="eastAsia" w:ascii="Times New Roman" w:hAnsi="Times New Roman" w:eastAsia="仿宋_GB2312" w:cstheme="minorBidi"/>
          <w:b w:val="0"/>
          <w:spacing w:val="6"/>
          <w:kern w:val="2"/>
          <w:sz w:val="32"/>
          <w:szCs w:val="24"/>
          <w:highlight w:val="none"/>
          <w:lang w:val="en-US" w:eastAsia="zh-CN" w:bidi="ar-SA"/>
        </w:rPr>
        <w:t>资金投向</w:t>
      </w:r>
      <w:r>
        <w:rPr>
          <w:rFonts w:hint="eastAsia" w:ascii="Times New Roman" w:hAnsi="Times New Roman" w:cstheme="minorBidi"/>
          <w:b w:val="0"/>
          <w:spacing w:val="6"/>
          <w:kern w:val="2"/>
          <w:sz w:val="32"/>
          <w:szCs w:val="24"/>
          <w:highlight w:val="none"/>
          <w:lang w:val="en-US" w:eastAsia="zh-CN" w:bidi="ar-SA"/>
        </w:rPr>
        <w:t>：</w:t>
      </w:r>
      <w:r>
        <w:rPr>
          <w:rFonts w:hint="eastAsia" w:ascii="仿宋_GB2312" w:hAnsi="宋体" w:eastAsia="仿宋_GB2312"/>
          <w:sz w:val="32"/>
          <w:szCs w:val="32"/>
          <w:lang w:val="en-US" w:eastAsia="zh-CN"/>
        </w:rPr>
        <w:t>茂县人民法院审判庭扩建工程项目预算内容与项目内容相匹配，同时有预算额度测算依据，按照标准进行编制。</w:t>
      </w:r>
      <w:r>
        <w:rPr>
          <w:rFonts w:hint="default" w:ascii="仿宋_GB2312" w:hAnsi="宋体" w:eastAsia="仿宋_GB2312"/>
          <w:sz w:val="32"/>
          <w:szCs w:val="32"/>
          <w:lang w:val="en-US" w:eastAsia="zh-CN"/>
        </w:rPr>
        <w:t>指标赋分</w:t>
      </w:r>
      <w:r>
        <w:rPr>
          <w:rFonts w:hint="eastAsia" w:ascii="仿宋_GB2312" w:hAnsi="宋体" w:eastAsia="仿宋_GB2312"/>
          <w:sz w:val="32"/>
          <w:szCs w:val="32"/>
          <w:lang w:val="en-US" w:eastAsia="zh-CN"/>
        </w:rPr>
        <w:t>6</w:t>
      </w:r>
      <w:r>
        <w:rPr>
          <w:rFonts w:hint="default" w:ascii="仿宋_GB2312" w:hAnsi="宋体" w:eastAsia="仿宋_GB2312"/>
          <w:sz w:val="32"/>
          <w:szCs w:val="32"/>
          <w:lang w:val="en-US" w:eastAsia="zh-CN"/>
        </w:rPr>
        <w:t>分，评价得分</w:t>
      </w:r>
      <w:r>
        <w:rPr>
          <w:rFonts w:hint="eastAsia" w:ascii="仿宋_GB2312" w:hAnsi="宋体" w:eastAsia="仿宋_GB2312"/>
          <w:sz w:val="32"/>
          <w:szCs w:val="32"/>
          <w:lang w:val="en-US" w:eastAsia="zh-CN"/>
        </w:rPr>
        <w:t>6</w:t>
      </w:r>
      <w:r>
        <w:rPr>
          <w:rFonts w:hint="default" w:ascii="仿宋_GB2312" w:hAnsi="宋体" w:eastAsia="仿宋_GB2312"/>
          <w:sz w:val="32"/>
          <w:szCs w:val="32"/>
          <w:lang w:val="en-US" w:eastAsia="zh-CN"/>
        </w:rPr>
        <w:t>分</w:t>
      </w:r>
      <w:r>
        <w:rPr>
          <w:rFonts w:hint="default" w:cstheme="minorBidi"/>
          <w:b w:val="0"/>
          <w:spacing w:val="6"/>
          <w:kern w:val="2"/>
          <w:sz w:val="32"/>
          <w:szCs w:val="24"/>
          <w:lang w:val="en-US" w:eastAsia="zh-CN" w:bidi="ar-SA"/>
        </w:rPr>
        <w:t>。</w:t>
      </w:r>
    </w:p>
    <w:p>
      <w:pPr>
        <w:keepNext w:val="0"/>
        <w:keepLines w:val="0"/>
        <w:pageBreakBefore w:val="0"/>
        <w:numPr>
          <w:ilvl w:val="0"/>
          <w:numId w:val="0"/>
        </w:numPr>
        <w:kinsoku/>
        <w:wordWrap/>
        <w:overflowPunct/>
        <w:topLinePunct w:val="0"/>
        <w:autoSpaceDE/>
        <w:autoSpaceDN/>
        <w:bidi w:val="0"/>
        <w:spacing w:line="240" w:lineRule="auto"/>
        <w:ind w:firstLine="643" w:firstLineChars="200"/>
        <w:textAlignment w:val="auto"/>
        <w:rPr>
          <w:rFonts w:hint="default" w:ascii="Times New Roman" w:hAnsi="Times New Roman" w:eastAsia="仿宋_GB2312" w:cstheme="minorBidi"/>
          <w:b w:val="0"/>
          <w:spacing w:val="6"/>
          <w:kern w:val="2"/>
          <w:sz w:val="32"/>
          <w:szCs w:val="24"/>
          <w:highlight w:val="none"/>
          <w:lang w:val="en-US" w:eastAsia="zh-CN" w:bidi="ar-SA"/>
        </w:rPr>
      </w:pPr>
      <w:r>
        <w:rPr>
          <w:rFonts w:hint="eastAsia" w:ascii="Times New Roman" w:hAnsi="Times New Roman" w:eastAsia="楷体_GB2312" w:cs="Times New Roman"/>
          <w:b/>
          <w:color w:val="000000"/>
          <w:sz w:val="32"/>
          <w:szCs w:val="32"/>
          <w:highlight w:val="none"/>
          <w:u w:val="none"/>
          <w:lang w:val="en-US" w:eastAsia="zh-CN"/>
        </w:rPr>
        <w:t>2．项目管理。</w:t>
      </w:r>
      <w:r>
        <w:rPr>
          <w:rFonts w:hint="eastAsia" w:ascii="仿宋_GB2312" w:hAnsi="宋体" w:eastAsia="仿宋_GB2312"/>
          <w:sz w:val="32"/>
          <w:szCs w:val="32"/>
          <w:lang w:val="en-US" w:eastAsia="zh-CN"/>
        </w:rPr>
        <w:t>项目管理指标</w:t>
      </w:r>
      <w:r>
        <w:rPr>
          <w:rFonts w:hint="default" w:ascii="仿宋_GB2312" w:hAnsi="宋体" w:eastAsia="仿宋_GB2312"/>
          <w:sz w:val="32"/>
          <w:szCs w:val="32"/>
          <w:lang w:val="en-US" w:eastAsia="zh-CN"/>
        </w:rPr>
        <w:t>下设三个</w:t>
      </w:r>
      <w:r>
        <w:rPr>
          <w:rFonts w:hint="eastAsia" w:ascii="仿宋_GB2312" w:hAnsi="宋体" w:eastAsia="仿宋_GB2312"/>
          <w:sz w:val="32"/>
          <w:szCs w:val="32"/>
          <w:lang w:val="en-US" w:eastAsia="zh-CN"/>
        </w:rPr>
        <w:t>三</w:t>
      </w:r>
      <w:r>
        <w:rPr>
          <w:rFonts w:hint="default" w:ascii="仿宋_GB2312" w:hAnsi="宋体" w:eastAsia="仿宋_GB2312"/>
          <w:sz w:val="32"/>
          <w:szCs w:val="32"/>
          <w:lang w:val="en-US" w:eastAsia="zh-CN"/>
        </w:rPr>
        <w:t>级指标，从</w:t>
      </w:r>
      <w:r>
        <w:rPr>
          <w:rFonts w:hint="eastAsia" w:ascii="仿宋_GB2312" w:hAnsi="宋体" w:eastAsia="仿宋_GB2312"/>
          <w:sz w:val="32"/>
          <w:szCs w:val="32"/>
          <w:lang w:val="en-US" w:eastAsia="zh-CN"/>
        </w:rPr>
        <w:t>制度办法</w:t>
      </w:r>
      <w:r>
        <w:rPr>
          <w:rFonts w:hint="default" w:ascii="仿宋_GB2312" w:hAnsi="宋体" w:eastAsia="仿宋_GB2312"/>
          <w:sz w:val="32"/>
          <w:szCs w:val="32"/>
          <w:lang w:val="en-US" w:eastAsia="zh-CN"/>
        </w:rPr>
        <w:t>、</w:t>
      </w:r>
      <w:r>
        <w:rPr>
          <w:rFonts w:hint="eastAsia" w:ascii="仿宋_GB2312" w:hAnsi="宋体" w:eastAsia="仿宋_GB2312"/>
          <w:sz w:val="32"/>
          <w:szCs w:val="32"/>
          <w:lang w:val="en-US" w:eastAsia="zh-CN"/>
        </w:rPr>
        <w:t>分配管理</w:t>
      </w:r>
      <w:r>
        <w:rPr>
          <w:rFonts w:hint="default" w:ascii="仿宋_GB2312" w:hAnsi="宋体" w:eastAsia="仿宋_GB2312"/>
          <w:sz w:val="32"/>
          <w:szCs w:val="32"/>
          <w:lang w:val="en-US" w:eastAsia="zh-CN"/>
        </w:rPr>
        <w:t>、</w:t>
      </w:r>
      <w:r>
        <w:rPr>
          <w:rFonts w:hint="eastAsia" w:ascii="仿宋_GB2312" w:hAnsi="宋体" w:eastAsia="仿宋_GB2312"/>
          <w:sz w:val="32"/>
          <w:szCs w:val="32"/>
          <w:lang w:val="en-US" w:eastAsia="zh-CN"/>
        </w:rPr>
        <w:t>绩效监管</w:t>
      </w:r>
      <w:r>
        <w:rPr>
          <w:rFonts w:hint="default" w:ascii="仿宋_GB2312" w:hAnsi="宋体" w:eastAsia="仿宋_GB2312"/>
          <w:sz w:val="32"/>
          <w:szCs w:val="32"/>
          <w:lang w:val="en-US" w:eastAsia="zh-CN"/>
        </w:rPr>
        <w:t>三个方面进行考察，指标分值</w:t>
      </w:r>
      <w:r>
        <w:rPr>
          <w:rFonts w:hint="eastAsia" w:ascii="仿宋_GB2312" w:hAnsi="宋体" w:eastAsia="仿宋_GB2312"/>
          <w:sz w:val="32"/>
          <w:szCs w:val="32"/>
          <w:lang w:val="en-US" w:eastAsia="zh-CN"/>
        </w:rPr>
        <w:t>18</w:t>
      </w:r>
      <w:r>
        <w:rPr>
          <w:rFonts w:hint="default" w:ascii="仿宋_GB2312" w:hAnsi="宋体" w:eastAsia="仿宋_GB2312"/>
          <w:sz w:val="32"/>
          <w:szCs w:val="32"/>
          <w:lang w:val="en-US" w:eastAsia="zh-CN"/>
        </w:rPr>
        <w:t>分，评价得分为</w:t>
      </w:r>
      <w:r>
        <w:rPr>
          <w:rFonts w:hint="eastAsia" w:ascii="仿宋_GB2312" w:hAnsi="宋体" w:eastAsia="仿宋_GB2312"/>
          <w:sz w:val="32"/>
          <w:szCs w:val="32"/>
          <w:lang w:val="en-US" w:eastAsia="zh-CN"/>
        </w:rPr>
        <w:t>18</w:t>
      </w:r>
      <w:r>
        <w:rPr>
          <w:rFonts w:hint="default" w:ascii="仿宋_GB2312" w:hAnsi="宋体" w:eastAsia="仿宋_GB2312"/>
          <w:sz w:val="32"/>
          <w:szCs w:val="32"/>
          <w:lang w:val="en-US" w:eastAsia="zh-CN"/>
        </w:rPr>
        <w:t>分，得分率</w:t>
      </w:r>
      <w:r>
        <w:rPr>
          <w:rFonts w:hint="eastAsia" w:ascii="仿宋_GB2312" w:hAnsi="宋体" w:eastAsia="仿宋_GB2312"/>
          <w:sz w:val="32"/>
          <w:szCs w:val="32"/>
          <w:lang w:val="en-US" w:eastAsia="zh-CN"/>
        </w:rPr>
        <w:t>为100.00</w:t>
      </w:r>
      <w:r>
        <w:rPr>
          <w:rFonts w:hint="default" w:ascii="仿宋_GB2312" w:hAnsi="宋体" w:eastAsia="仿宋_GB2312"/>
          <w:sz w:val="32"/>
          <w:szCs w:val="32"/>
          <w:lang w:val="en-US" w:eastAsia="zh-CN"/>
        </w:rPr>
        <w:t>%</w:t>
      </w:r>
      <w:r>
        <w:rPr>
          <w:rFonts w:hint="default" w:ascii="Times New Roman" w:hAnsi="Times New Roman" w:eastAsia="仿宋_GB2312" w:cstheme="minorBidi"/>
          <w:b w:val="0"/>
          <w:spacing w:val="6"/>
          <w:kern w:val="2"/>
          <w:sz w:val="32"/>
          <w:szCs w:val="24"/>
          <w:highlight w:val="none"/>
          <w:lang w:val="en-US" w:eastAsia="zh-CN" w:bidi="ar-SA"/>
        </w:rPr>
        <w:t>。</w:t>
      </w:r>
    </w:p>
    <w:p>
      <w:pPr>
        <w:spacing w:line="240" w:lineRule="auto"/>
        <w:ind w:left="0" w:leftChars="0" w:firstLine="640" w:firstLineChars="200"/>
        <w:jc w:val="both"/>
        <w:rPr>
          <w:rFonts w:hint="default" w:ascii="仿宋_GB2312" w:hAnsi="宋体" w:eastAsia="仿宋_GB2312"/>
          <w:sz w:val="32"/>
          <w:szCs w:val="32"/>
          <w:lang w:val="en-US" w:eastAsia="zh-CN"/>
        </w:rPr>
      </w:pPr>
      <w:r>
        <w:rPr>
          <w:rFonts w:hint="eastAsia" w:ascii="Times New Roman" w:hAnsi="Times New Roman" w:eastAsia="仿宋_GB2312" w:cs="Times New Roman"/>
          <w:b w:val="0"/>
          <w:bCs w:val="0"/>
          <w:color w:val="auto"/>
          <w:kern w:val="2"/>
          <w:position w:val="0"/>
          <w:sz w:val="32"/>
          <w:szCs w:val="32"/>
          <w:highlight w:val="none"/>
          <w:u w:val="none"/>
          <w:lang w:val="en-US" w:eastAsia="zh-CN" w:bidi="ar-SA"/>
        </w:rPr>
        <w:t>（1）制度办法：</w:t>
      </w:r>
      <w:r>
        <w:rPr>
          <w:rFonts w:hint="eastAsia" w:ascii="仿宋_GB2312" w:hAnsi="宋体" w:eastAsia="仿宋_GB2312"/>
          <w:sz w:val="32"/>
          <w:szCs w:val="32"/>
          <w:lang w:val="en-US" w:eastAsia="zh-CN"/>
        </w:rPr>
        <w:t>审判庭扩建工程项目立项时，茂县人民法院按照规定设立了相关管理办法。</w:t>
      </w:r>
      <w:r>
        <w:rPr>
          <w:rFonts w:hint="default" w:ascii="仿宋_GB2312" w:hAnsi="宋体" w:eastAsia="仿宋_GB2312"/>
          <w:sz w:val="32"/>
          <w:szCs w:val="32"/>
          <w:lang w:val="en-US" w:eastAsia="zh-CN"/>
        </w:rPr>
        <w:t>指标赋分</w:t>
      </w:r>
      <w:r>
        <w:rPr>
          <w:rFonts w:hint="eastAsia" w:ascii="仿宋_GB2312" w:hAnsi="宋体" w:eastAsia="仿宋_GB2312"/>
          <w:sz w:val="32"/>
          <w:szCs w:val="32"/>
          <w:lang w:val="en-US" w:eastAsia="zh-CN"/>
        </w:rPr>
        <w:t>2</w:t>
      </w:r>
      <w:r>
        <w:rPr>
          <w:rFonts w:hint="default" w:ascii="仿宋_GB2312" w:hAnsi="宋体" w:eastAsia="仿宋_GB2312"/>
          <w:sz w:val="32"/>
          <w:szCs w:val="32"/>
          <w:lang w:val="en-US" w:eastAsia="zh-CN"/>
        </w:rPr>
        <w:t>分，得分</w:t>
      </w:r>
      <w:r>
        <w:rPr>
          <w:rFonts w:hint="eastAsia" w:ascii="仿宋_GB2312" w:hAnsi="宋体" w:eastAsia="仿宋_GB2312"/>
          <w:sz w:val="32"/>
          <w:szCs w:val="32"/>
          <w:lang w:val="en-US" w:eastAsia="zh-CN"/>
        </w:rPr>
        <w:t>2</w:t>
      </w:r>
      <w:r>
        <w:rPr>
          <w:rFonts w:hint="default" w:ascii="仿宋_GB2312" w:hAnsi="宋体" w:eastAsia="仿宋_GB2312"/>
          <w:sz w:val="32"/>
          <w:szCs w:val="32"/>
          <w:lang w:val="en-US" w:eastAsia="zh-CN"/>
        </w:rPr>
        <w:t>分。</w:t>
      </w:r>
    </w:p>
    <w:p>
      <w:pPr>
        <w:spacing w:line="240" w:lineRule="auto"/>
        <w:ind w:left="0" w:leftChars="0" w:firstLine="640" w:firstLineChars="200"/>
        <w:jc w:val="both"/>
        <w:rPr>
          <w:rFonts w:hint="default" w:ascii="仿宋_GB2312" w:hAnsi="宋体" w:eastAsia="仿宋_GB2312"/>
          <w:sz w:val="32"/>
          <w:szCs w:val="32"/>
          <w:lang w:val="en-US" w:eastAsia="zh-CN"/>
        </w:rPr>
      </w:pPr>
      <w:r>
        <w:rPr>
          <w:rFonts w:hint="eastAsia" w:ascii="Times New Roman" w:hAnsi="Times New Roman" w:eastAsia="仿宋_GB2312" w:cs="Times New Roman"/>
          <w:b w:val="0"/>
          <w:bCs w:val="0"/>
          <w:color w:val="auto"/>
          <w:kern w:val="2"/>
          <w:position w:val="0"/>
          <w:sz w:val="32"/>
          <w:szCs w:val="32"/>
          <w:highlight w:val="none"/>
          <w:u w:val="none"/>
          <w:lang w:val="en-US" w:eastAsia="zh-CN" w:bidi="ar-SA"/>
        </w:rPr>
        <w:t>（</w:t>
      </w:r>
      <w:r>
        <w:rPr>
          <w:rFonts w:hint="eastAsia" w:ascii="Times New Roman" w:hAnsi="Times New Roman" w:cs="Times New Roman"/>
          <w:b w:val="0"/>
          <w:bCs w:val="0"/>
          <w:color w:val="auto"/>
          <w:kern w:val="2"/>
          <w:position w:val="0"/>
          <w:sz w:val="32"/>
          <w:szCs w:val="32"/>
          <w:highlight w:val="none"/>
          <w:u w:val="none"/>
          <w:lang w:val="en-US" w:eastAsia="zh-CN" w:bidi="ar-SA"/>
        </w:rPr>
        <w:t>2</w:t>
      </w:r>
      <w:r>
        <w:rPr>
          <w:rFonts w:hint="eastAsia" w:ascii="Times New Roman" w:hAnsi="Times New Roman" w:eastAsia="仿宋_GB2312" w:cs="Times New Roman"/>
          <w:b w:val="0"/>
          <w:bCs w:val="0"/>
          <w:color w:val="auto"/>
          <w:kern w:val="2"/>
          <w:position w:val="0"/>
          <w:sz w:val="32"/>
          <w:szCs w:val="32"/>
          <w:highlight w:val="none"/>
          <w:u w:val="none"/>
          <w:lang w:val="en-US" w:eastAsia="zh-CN" w:bidi="ar-SA"/>
        </w:rPr>
        <w:t>）</w:t>
      </w:r>
      <w:r>
        <w:rPr>
          <w:rFonts w:hint="eastAsia" w:ascii="Times New Roman" w:hAnsi="Times New Roman" w:cs="Times New Roman"/>
          <w:b w:val="0"/>
          <w:bCs w:val="0"/>
          <w:color w:val="auto"/>
          <w:kern w:val="2"/>
          <w:position w:val="0"/>
          <w:sz w:val="32"/>
          <w:szCs w:val="32"/>
          <w:highlight w:val="none"/>
          <w:u w:val="none"/>
          <w:lang w:val="en-US" w:eastAsia="zh-CN" w:bidi="ar-SA"/>
        </w:rPr>
        <w:t>分配管理</w:t>
      </w:r>
      <w:r>
        <w:rPr>
          <w:rFonts w:hint="eastAsia" w:ascii="Times New Roman" w:hAnsi="Times New Roman" w:eastAsia="仿宋_GB2312" w:cs="Times New Roman"/>
          <w:b w:val="0"/>
          <w:bCs w:val="0"/>
          <w:color w:val="auto"/>
          <w:kern w:val="2"/>
          <w:position w:val="0"/>
          <w:sz w:val="32"/>
          <w:szCs w:val="32"/>
          <w:highlight w:val="none"/>
          <w:u w:val="none"/>
          <w:lang w:val="en-US" w:eastAsia="zh-CN" w:bidi="ar-SA"/>
        </w:rPr>
        <w:t>：</w:t>
      </w:r>
      <w:r>
        <w:rPr>
          <w:rFonts w:hint="eastAsia" w:ascii="仿宋_GB2312" w:hAnsi="宋体" w:eastAsia="仿宋_GB2312"/>
          <w:sz w:val="32"/>
          <w:szCs w:val="32"/>
          <w:lang w:val="en-US" w:eastAsia="zh-CN"/>
        </w:rPr>
        <w:t>审判庭扩建工程项目资金分配按照项目实施方案进行资金分配，资金分配合理。</w:t>
      </w:r>
      <w:r>
        <w:rPr>
          <w:rFonts w:hint="default" w:ascii="仿宋_GB2312" w:hAnsi="宋体" w:eastAsia="仿宋_GB2312"/>
          <w:sz w:val="32"/>
          <w:szCs w:val="32"/>
          <w:lang w:val="en-US" w:eastAsia="zh-CN"/>
        </w:rPr>
        <w:t>指标赋分</w:t>
      </w:r>
      <w:r>
        <w:rPr>
          <w:rFonts w:hint="eastAsia" w:ascii="仿宋_GB2312" w:hAnsi="宋体" w:eastAsia="仿宋_GB2312"/>
          <w:sz w:val="32"/>
          <w:szCs w:val="32"/>
          <w:lang w:val="en-US" w:eastAsia="zh-CN"/>
        </w:rPr>
        <w:t>10</w:t>
      </w:r>
      <w:r>
        <w:rPr>
          <w:rFonts w:hint="default" w:ascii="仿宋_GB2312" w:hAnsi="宋体" w:eastAsia="仿宋_GB2312"/>
          <w:sz w:val="32"/>
          <w:szCs w:val="32"/>
          <w:lang w:val="en-US" w:eastAsia="zh-CN"/>
        </w:rPr>
        <w:t>分，得分</w:t>
      </w:r>
      <w:r>
        <w:rPr>
          <w:rFonts w:hint="eastAsia" w:ascii="仿宋_GB2312" w:hAnsi="宋体" w:eastAsia="仿宋_GB2312"/>
          <w:sz w:val="32"/>
          <w:szCs w:val="32"/>
          <w:lang w:val="en-US" w:eastAsia="zh-CN"/>
        </w:rPr>
        <w:t>9</w:t>
      </w:r>
      <w:r>
        <w:rPr>
          <w:rFonts w:hint="default" w:ascii="仿宋_GB2312" w:hAnsi="宋体" w:eastAsia="仿宋_GB2312"/>
          <w:sz w:val="32"/>
          <w:szCs w:val="32"/>
          <w:lang w:val="en-US" w:eastAsia="zh-CN"/>
        </w:rPr>
        <w:t>分。</w:t>
      </w:r>
    </w:p>
    <w:p>
      <w:pPr>
        <w:spacing w:line="240" w:lineRule="auto"/>
        <w:ind w:left="0" w:leftChars="0" w:firstLine="640" w:firstLineChars="200"/>
        <w:jc w:val="both"/>
        <w:rPr>
          <w:rFonts w:hint="default" w:ascii="仿宋_GB2312" w:hAnsi="宋体" w:eastAsia="仿宋_GB2312"/>
          <w:sz w:val="32"/>
          <w:szCs w:val="32"/>
          <w:lang w:val="en-US" w:eastAsia="zh-CN"/>
        </w:rPr>
      </w:pPr>
      <w:r>
        <w:rPr>
          <w:rFonts w:hint="eastAsia" w:ascii="Times New Roman" w:hAnsi="Times New Roman" w:eastAsia="仿宋_GB2312" w:cs="Times New Roman"/>
          <w:b w:val="0"/>
          <w:bCs w:val="0"/>
          <w:color w:val="auto"/>
          <w:kern w:val="2"/>
          <w:position w:val="0"/>
          <w:sz w:val="32"/>
          <w:szCs w:val="32"/>
          <w:highlight w:val="none"/>
          <w:u w:val="none"/>
          <w:lang w:val="en-US" w:eastAsia="zh-CN" w:bidi="ar-SA"/>
        </w:rPr>
        <w:t>（</w:t>
      </w:r>
      <w:r>
        <w:rPr>
          <w:rFonts w:hint="eastAsia" w:ascii="Times New Roman" w:hAnsi="Times New Roman" w:cs="Times New Roman"/>
          <w:b w:val="0"/>
          <w:bCs w:val="0"/>
          <w:color w:val="auto"/>
          <w:kern w:val="2"/>
          <w:position w:val="0"/>
          <w:sz w:val="32"/>
          <w:szCs w:val="32"/>
          <w:highlight w:val="none"/>
          <w:u w:val="none"/>
          <w:lang w:val="en-US" w:eastAsia="zh-CN" w:bidi="ar-SA"/>
        </w:rPr>
        <w:t>3</w:t>
      </w:r>
      <w:r>
        <w:rPr>
          <w:rFonts w:hint="eastAsia" w:ascii="Times New Roman" w:hAnsi="Times New Roman" w:eastAsia="仿宋_GB2312" w:cs="Times New Roman"/>
          <w:b w:val="0"/>
          <w:bCs w:val="0"/>
          <w:color w:val="auto"/>
          <w:kern w:val="2"/>
          <w:position w:val="0"/>
          <w:sz w:val="32"/>
          <w:szCs w:val="32"/>
          <w:highlight w:val="none"/>
          <w:u w:val="none"/>
          <w:lang w:val="en-US" w:eastAsia="zh-CN" w:bidi="ar-SA"/>
        </w:rPr>
        <w:t>）</w:t>
      </w:r>
      <w:r>
        <w:rPr>
          <w:rFonts w:hint="eastAsia" w:ascii="Times New Roman" w:hAnsi="Times New Roman" w:cs="Times New Roman"/>
          <w:b w:val="0"/>
          <w:bCs w:val="0"/>
          <w:color w:val="auto"/>
          <w:kern w:val="2"/>
          <w:position w:val="0"/>
          <w:sz w:val="32"/>
          <w:szCs w:val="32"/>
          <w:highlight w:val="none"/>
          <w:u w:val="none"/>
          <w:lang w:val="en-US" w:eastAsia="zh-CN" w:bidi="ar-SA"/>
        </w:rPr>
        <w:t>绩效管理</w:t>
      </w:r>
      <w:r>
        <w:rPr>
          <w:rFonts w:hint="eastAsia" w:ascii="Times New Roman" w:hAnsi="Times New Roman" w:eastAsia="仿宋_GB2312" w:cs="Times New Roman"/>
          <w:b w:val="0"/>
          <w:bCs w:val="0"/>
          <w:color w:val="auto"/>
          <w:kern w:val="2"/>
          <w:position w:val="0"/>
          <w:sz w:val="32"/>
          <w:szCs w:val="32"/>
          <w:highlight w:val="none"/>
          <w:u w:val="none"/>
          <w:lang w:val="en-US" w:eastAsia="zh-CN" w:bidi="ar-SA"/>
        </w:rPr>
        <w:t>：</w:t>
      </w:r>
      <w:r>
        <w:rPr>
          <w:rFonts w:hint="eastAsia" w:ascii="仿宋_GB2312" w:hAnsi="宋体" w:eastAsia="仿宋_GB2312"/>
          <w:sz w:val="32"/>
          <w:szCs w:val="32"/>
          <w:lang w:val="en-US" w:eastAsia="zh-CN"/>
        </w:rPr>
        <w:t>审判庭扩建工程项目资金分配按照项目实施方案进行资金分配，资金分配合理。</w:t>
      </w:r>
      <w:r>
        <w:rPr>
          <w:rFonts w:hint="default" w:ascii="仿宋_GB2312" w:hAnsi="宋体" w:eastAsia="仿宋_GB2312"/>
          <w:sz w:val="32"/>
          <w:szCs w:val="32"/>
          <w:lang w:val="en-US" w:eastAsia="zh-CN"/>
        </w:rPr>
        <w:t>指标赋分</w:t>
      </w:r>
      <w:r>
        <w:rPr>
          <w:rFonts w:hint="eastAsia" w:ascii="仿宋_GB2312" w:hAnsi="宋体" w:eastAsia="仿宋_GB2312"/>
          <w:sz w:val="32"/>
          <w:szCs w:val="32"/>
          <w:lang w:val="en-US" w:eastAsia="zh-CN"/>
        </w:rPr>
        <w:t>6</w:t>
      </w:r>
      <w:r>
        <w:rPr>
          <w:rFonts w:hint="default" w:ascii="仿宋_GB2312" w:hAnsi="宋体" w:eastAsia="仿宋_GB2312"/>
          <w:sz w:val="32"/>
          <w:szCs w:val="32"/>
          <w:lang w:val="en-US" w:eastAsia="zh-CN"/>
        </w:rPr>
        <w:t>分，得分</w:t>
      </w:r>
      <w:r>
        <w:rPr>
          <w:rFonts w:hint="eastAsia" w:ascii="仿宋_GB2312" w:hAnsi="宋体" w:eastAsia="仿宋_GB2312"/>
          <w:sz w:val="32"/>
          <w:szCs w:val="32"/>
          <w:lang w:val="en-US" w:eastAsia="zh-CN"/>
        </w:rPr>
        <w:t>6</w:t>
      </w:r>
      <w:r>
        <w:rPr>
          <w:rFonts w:hint="default" w:ascii="仿宋_GB2312" w:hAnsi="宋体" w:eastAsia="仿宋_GB2312"/>
          <w:sz w:val="32"/>
          <w:szCs w:val="32"/>
          <w:lang w:val="en-US" w:eastAsia="zh-CN"/>
        </w:rPr>
        <w:t>分。</w:t>
      </w:r>
    </w:p>
    <w:p>
      <w:pPr>
        <w:keepNext w:val="0"/>
        <w:keepLines w:val="0"/>
        <w:pageBreakBefore w:val="0"/>
        <w:numPr>
          <w:ilvl w:val="0"/>
          <w:numId w:val="0"/>
        </w:numPr>
        <w:kinsoku/>
        <w:wordWrap/>
        <w:overflowPunct/>
        <w:topLinePunct w:val="0"/>
        <w:autoSpaceDE/>
        <w:autoSpaceDN/>
        <w:bidi w:val="0"/>
        <w:spacing w:line="240" w:lineRule="auto"/>
        <w:ind w:firstLine="643" w:firstLineChars="200"/>
        <w:textAlignment w:val="auto"/>
        <w:rPr>
          <w:rFonts w:hint="default" w:ascii="仿宋_GB2312" w:hAnsi="宋体" w:eastAsia="仿宋_GB2312"/>
          <w:sz w:val="32"/>
          <w:szCs w:val="32"/>
          <w:lang w:val="en-US" w:eastAsia="zh-CN"/>
        </w:rPr>
      </w:pPr>
      <w:r>
        <w:rPr>
          <w:rFonts w:hint="eastAsia" w:ascii="Times New Roman" w:hAnsi="Times New Roman" w:eastAsia="楷体_GB2312" w:cs="Times New Roman"/>
          <w:b/>
          <w:color w:val="000000"/>
          <w:sz w:val="32"/>
          <w:szCs w:val="32"/>
          <w:highlight w:val="none"/>
          <w:u w:val="none"/>
          <w:lang w:val="en-US" w:eastAsia="zh-CN"/>
        </w:rPr>
        <w:t>3．项目实施。</w:t>
      </w:r>
      <w:r>
        <w:rPr>
          <w:rFonts w:hint="eastAsia" w:ascii="仿宋_GB2312" w:hAnsi="宋体" w:eastAsia="仿宋_GB2312"/>
          <w:sz w:val="32"/>
          <w:szCs w:val="32"/>
          <w:lang w:val="en-US" w:eastAsia="zh-CN"/>
        </w:rPr>
        <w:t>项目实施指标</w:t>
      </w:r>
      <w:r>
        <w:rPr>
          <w:rFonts w:hint="default" w:ascii="仿宋_GB2312" w:hAnsi="宋体" w:eastAsia="仿宋_GB2312"/>
          <w:sz w:val="32"/>
          <w:szCs w:val="32"/>
          <w:lang w:val="en-US" w:eastAsia="zh-CN"/>
        </w:rPr>
        <w:t>下设</w:t>
      </w:r>
      <w:r>
        <w:rPr>
          <w:rFonts w:hint="eastAsia" w:ascii="仿宋_GB2312" w:hAnsi="宋体" w:eastAsia="仿宋_GB2312"/>
          <w:sz w:val="32"/>
          <w:szCs w:val="32"/>
          <w:lang w:val="en-US" w:eastAsia="zh-CN"/>
        </w:rPr>
        <w:t>两</w:t>
      </w:r>
      <w:r>
        <w:rPr>
          <w:rFonts w:hint="default" w:ascii="仿宋_GB2312" w:hAnsi="宋体" w:eastAsia="仿宋_GB2312"/>
          <w:sz w:val="32"/>
          <w:szCs w:val="32"/>
          <w:lang w:val="en-US" w:eastAsia="zh-CN"/>
        </w:rPr>
        <w:t>个</w:t>
      </w:r>
      <w:r>
        <w:rPr>
          <w:rFonts w:hint="eastAsia" w:ascii="仿宋_GB2312" w:hAnsi="宋体" w:eastAsia="仿宋_GB2312"/>
          <w:sz w:val="32"/>
          <w:szCs w:val="32"/>
          <w:lang w:val="en-US" w:eastAsia="zh-CN"/>
        </w:rPr>
        <w:t>三</w:t>
      </w:r>
      <w:r>
        <w:rPr>
          <w:rFonts w:hint="default" w:ascii="仿宋_GB2312" w:hAnsi="宋体" w:eastAsia="仿宋_GB2312"/>
          <w:sz w:val="32"/>
          <w:szCs w:val="32"/>
          <w:lang w:val="en-US" w:eastAsia="zh-CN"/>
        </w:rPr>
        <w:t>级指标，从</w:t>
      </w:r>
      <w:r>
        <w:rPr>
          <w:rFonts w:hint="eastAsia" w:ascii="仿宋_GB2312" w:hAnsi="宋体" w:eastAsia="仿宋_GB2312"/>
          <w:sz w:val="32"/>
          <w:szCs w:val="32"/>
          <w:lang w:val="en-US" w:eastAsia="zh-CN"/>
        </w:rPr>
        <w:t>预算执行、资金使用两</w:t>
      </w:r>
      <w:r>
        <w:rPr>
          <w:rFonts w:hint="default" w:ascii="仿宋_GB2312" w:hAnsi="宋体" w:eastAsia="仿宋_GB2312"/>
          <w:sz w:val="32"/>
          <w:szCs w:val="32"/>
          <w:lang w:val="en-US" w:eastAsia="zh-CN"/>
        </w:rPr>
        <w:t>个方面进行考察，指标分值</w:t>
      </w:r>
      <w:r>
        <w:rPr>
          <w:rFonts w:hint="eastAsia" w:ascii="仿宋_GB2312" w:hAnsi="宋体" w:eastAsia="仿宋_GB2312"/>
          <w:sz w:val="32"/>
          <w:szCs w:val="32"/>
          <w:lang w:val="en-US" w:eastAsia="zh-CN"/>
        </w:rPr>
        <w:t>9</w:t>
      </w:r>
      <w:r>
        <w:rPr>
          <w:rFonts w:hint="default" w:ascii="仿宋_GB2312" w:hAnsi="宋体" w:eastAsia="仿宋_GB2312"/>
          <w:sz w:val="32"/>
          <w:szCs w:val="32"/>
          <w:lang w:val="en-US" w:eastAsia="zh-CN"/>
        </w:rPr>
        <w:t>分，评价得分为</w:t>
      </w:r>
      <w:r>
        <w:rPr>
          <w:rFonts w:hint="eastAsia" w:ascii="仿宋_GB2312" w:hAnsi="宋体" w:eastAsia="仿宋_GB2312"/>
          <w:sz w:val="32"/>
          <w:szCs w:val="32"/>
          <w:lang w:val="en-US" w:eastAsia="zh-CN"/>
        </w:rPr>
        <w:t>9</w:t>
      </w:r>
      <w:r>
        <w:rPr>
          <w:rFonts w:hint="default" w:ascii="仿宋_GB2312" w:hAnsi="宋体" w:eastAsia="仿宋_GB2312"/>
          <w:sz w:val="32"/>
          <w:szCs w:val="32"/>
          <w:lang w:val="en-US" w:eastAsia="zh-CN"/>
        </w:rPr>
        <w:t>分，得分率</w:t>
      </w:r>
      <w:r>
        <w:rPr>
          <w:rFonts w:hint="eastAsia" w:ascii="仿宋_GB2312" w:hAnsi="宋体" w:eastAsia="仿宋_GB2312"/>
          <w:sz w:val="32"/>
          <w:szCs w:val="32"/>
          <w:lang w:val="en-US" w:eastAsia="zh-CN"/>
        </w:rPr>
        <w:t>为100.00</w:t>
      </w:r>
      <w:r>
        <w:rPr>
          <w:rFonts w:hint="default" w:ascii="仿宋_GB2312" w:hAnsi="宋体" w:eastAsia="仿宋_GB2312"/>
          <w:sz w:val="32"/>
          <w:szCs w:val="32"/>
          <w:lang w:val="en-US" w:eastAsia="zh-CN"/>
        </w:rPr>
        <w:t>%。</w:t>
      </w:r>
    </w:p>
    <w:p>
      <w:pPr>
        <w:spacing w:line="240" w:lineRule="auto"/>
        <w:ind w:left="0" w:leftChars="0" w:firstLine="640" w:firstLineChars="200"/>
        <w:jc w:val="both"/>
        <w:rPr>
          <w:rFonts w:hint="default" w:ascii="仿宋_GB2312" w:hAnsi="宋体" w:eastAsia="仿宋_GB2312"/>
          <w:sz w:val="32"/>
          <w:szCs w:val="32"/>
          <w:lang w:val="en-US" w:eastAsia="zh-CN"/>
        </w:rPr>
      </w:pPr>
      <w:r>
        <w:rPr>
          <w:rFonts w:hint="eastAsia" w:ascii="Times New Roman" w:hAnsi="Times New Roman" w:eastAsia="仿宋_GB2312" w:cs="Times New Roman"/>
          <w:b w:val="0"/>
          <w:bCs w:val="0"/>
          <w:color w:val="auto"/>
          <w:kern w:val="2"/>
          <w:position w:val="0"/>
          <w:sz w:val="32"/>
          <w:szCs w:val="32"/>
          <w:highlight w:val="none"/>
          <w:u w:val="none"/>
          <w:lang w:val="en-US" w:eastAsia="zh-CN" w:bidi="ar-SA"/>
        </w:rPr>
        <w:t>（1）</w:t>
      </w:r>
      <w:r>
        <w:rPr>
          <w:rFonts w:hint="eastAsia" w:ascii="Times New Roman" w:hAnsi="Times New Roman" w:cs="Times New Roman"/>
          <w:b w:val="0"/>
          <w:bCs w:val="0"/>
          <w:color w:val="auto"/>
          <w:kern w:val="2"/>
          <w:position w:val="0"/>
          <w:sz w:val="32"/>
          <w:szCs w:val="32"/>
          <w:highlight w:val="none"/>
          <w:u w:val="none"/>
          <w:lang w:val="en-US" w:eastAsia="zh-CN" w:bidi="ar-SA"/>
        </w:rPr>
        <w:t>预算执行</w:t>
      </w:r>
      <w:r>
        <w:rPr>
          <w:rFonts w:hint="eastAsia" w:ascii="Times New Roman" w:hAnsi="Times New Roman" w:eastAsia="仿宋_GB2312" w:cs="Times New Roman"/>
          <w:b w:val="0"/>
          <w:bCs w:val="0"/>
          <w:color w:val="auto"/>
          <w:kern w:val="2"/>
          <w:position w:val="0"/>
          <w:sz w:val="32"/>
          <w:szCs w:val="32"/>
          <w:highlight w:val="none"/>
          <w:u w:val="none"/>
          <w:lang w:val="en-US" w:eastAsia="zh-CN" w:bidi="ar-SA"/>
        </w:rPr>
        <w:t>：</w:t>
      </w:r>
      <w:r>
        <w:rPr>
          <w:rFonts w:hint="eastAsia" w:ascii="仿宋_GB2312" w:hAnsi="宋体" w:eastAsia="仿宋_GB2312"/>
          <w:sz w:val="32"/>
          <w:szCs w:val="32"/>
          <w:lang w:val="en-US" w:eastAsia="zh-CN"/>
        </w:rPr>
        <w:t>茂县人民法院审判庭扩建工程项目预算为200万元，预算执行179.99万元，预算执行率为90.00%。</w:t>
      </w:r>
      <w:r>
        <w:rPr>
          <w:rFonts w:hint="default" w:ascii="仿宋_GB2312" w:hAnsi="宋体" w:eastAsia="仿宋_GB2312"/>
          <w:sz w:val="32"/>
          <w:szCs w:val="32"/>
          <w:lang w:val="en-US" w:eastAsia="zh-CN"/>
        </w:rPr>
        <w:t>指标赋分</w:t>
      </w:r>
      <w:r>
        <w:rPr>
          <w:rFonts w:hint="eastAsia" w:ascii="仿宋_GB2312" w:hAnsi="宋体" w:eastAsia="仿宋_GB2312"/>
          <w:sz w:val="32"/>
          <w:szCs w:val="32"/>
          <w:lang w:val="en-US" w:eastAsia="zh-CN"/>
        </w:rPr>
        <w:t>6</w:t>
      </w:r>
      <w:r>
        <w:rPr>
          <w:rFonts w:hint="default" w:ascii="仿宋_GB2312" w:hAnsi="宋体" w:eastAsia="仿宋_GB2312"/>
          <w:sz w:val="32"/>
          <w:szCs w:val="32"/>
          <w:lang w:val="en-US" w:eastAsia="zh-CN"/>
        </w:rPr>
        <w:t>分，得分</w:t>
      </w:r>
      <w:r>
        <w:rPr>
          <w:rFonts w:hint="eastAsia" w:ascii="仿宋_GB2312" w:hAnsi="宋体" w:eastAsia="仿宋_GB2312"/>
          <w:sz w:val="32"/>
          <w:szCs w:val="32"/>
          <w:lang w:val="en-US" w:eastAsia="zh-CN"/>
        </w:rPr>
        <w:t xml:space="preserve">5.4 </w:t>
      </w:r>
      <w:r>
        <w:rPr>
          <w:rFonts w:hint="default" w:ascii="仿宋_GB2312" w:hAnsi="宋体" w:eastAsia="仿宋_GB2312"/>
          <w:sz w:val="32"/>
          <w:szCs w:val="32"/>
          <w:lang w:val="en-US" w:eastAsia="zh-CN"/>
        </w:rPr>
        <w:t>分。</w:t>
      </w:r>
    </w:p>
    <w:p>
      <w:pPr>
        <w:spacing w:line="240" w:lineRule="auto"/>
        <w:ind w:left="0" w:leftChars="0" w:firstLine="640" w:firstLineChars="200"/>
        <w:jc w:val="both"/>
        <w:rPr>
          <w:rFonts w:hint="default" w:ascii="仿宋_GB2312" w:hAnsi="宋体" w:eastAsia="仿宋_GB2312"/>
          <w:sz w:val="32"/>
          <w:szCs w:val="32"/>
          <w:lang w:val="en-US" w:eastAsia="zh-CN"/>
        </w:rPr>
      </w:pPr>
      <w:r>
        <w:rPr>
          <w:rFonts w:hint="eastAsia" w:ascii="Times New Roman" w:hAnsi="Times New Roman" w:eastAsia="仿宋_GB2312" w:cs="Times New Roman"/>
          <w:b w:val="0"/>
          <w:bCs w:val="0"/>
          <w:color w:val="auto"/>
          <w:kern w:val="2"/>
          <w:position w:val="0"/>
          <w:sz w:val="32"/>
          <w:szCs w:val="32"/>
          <w:highlight w:val="none"/>
          <w:u w:val="none"/>
          <w:lang w:val="en-US" w:eastAsia="zh-CN" w:bidi="ar-SA"/>
        </w:rPr>
        <w:t>（</w:t>
      </w:r>
      <w:r>
        <w:rPr>
          <w:rFonts w:hint="eastAsia" w:ascii="Times New Roman" w:hAnsi="Times New Roman" w:cs="Times New Roman"/>
          <w:b w:val="0"/>
          <w:bCs w:val="0"/>
          <w:color w:val="auto"/>
          <w:kern w:val="2"/>
          <w:position w:val="0"/>
          <w:sz w:val="32"/>
          <w:szCs w:val="32"/>
          <w:highlight w:val="none"/>
          <w:u w:val="none"/>
          <w:lang w:val="en-US" w:eastAsia="zh-CN" w:bidi="ar-SA"/>
        </w:rPr>
        <w:t>2</w:t>
      </w:r>
      <w:r>
        <w:rPr>
          <w:rFonts w:hint="eastAsia" w:ascii="Times New Roman" w:hAnsi="Times New Roman" w:eastAsia="仿宋_GB2312" w:cs="Times New Roman"/>
          <w:b w:val="0"/>
          <w:bCs w:val="0"/>
          <w:color w:val="auto"/>
          <w:kern w:val="2"/>
          <w:position w:val="0"/>
          <w:sz w:val="32"/>
          <w:szCs w:val="32"/>
          <w:highlight w:val="none"/>
          <w:u w:val="none"/>
          <w:lang w:val="en-US" w:eastAsia="zh-CN" w:bidi="ar-SA"/>
        </w:rPr>
        <w:t>）</w:t>
      </w:r>
      <w:r>
        <w:rPr>
          <w:rFonts w:hint="eastAsia" w:ascii="Times New Roman" w:hAnsi="Times New Roman" w:cs="Times New Roman"/>
          <w:b w:val="0"/>
          <w:bCs w:val="0"/>
          <w:color w:val="auto"/>
          <w:kern w:val="2"/>
          <w:position w:val="0"/>
          <w:sz w:val="32"/>
          <w:szCs w:val="32"/>
          <w:highlight w:val="none"/>
          <w:u w:val="none"/>
          <w:lang w:val="en-US" w:eastAsia="zh-CN" w:bidi="ar-SA"/>
        </w:rPr>
        <w:t>资金使用</w:t>
      </w:r>
      <w:r>
        <w:rPr>
          <w:rFonts w:hint="eastAsia" w:cs="Times New Roman"/>
          <w:b w:val="0"/>
          <w:bCs w:val="0"/>
          <w:color w:val="auto"/>
          <w:kern w:val="2"/>
          <w:position w:val="0"/>
          <w:sz w:val="32"/>
          <w:szCs w:val="32"/>
          <w:highlight w:val="none"/>
          <w:u w:val="none"/>
          <w:lang w:val="en-US" w:eastAsia="zh-CN" w:bidi="ar-SA"/>
        </w:rPr>
        <w:t>：</w:t>
      </w:r>
      <w:r>
        <w:rPr>
          <w:rFonts w:hint="eastAsia" w:ascii="仿宋_GB2312" w:hAnsi="宋体" w:eastAsia="仿宋_GB2312"/>
          <w:sz w:val="32"/>
          <w:szCs w:val="32"/>
          <w:lang w:val="en-US" w:eastAsia="zh-CN"/>
        </w:rPr>
        <w:t>茂县人民法院审判庭扩建工程项目资金使用</w:t>
      </w:r>
      <w:r>
        <w:rPr>
          <w:rFonts w:hint="default" w:ascii="仿宋_GB2312" w:hAnsi="宋体" w:eastAsia="仿宋_GB2312"/>
          <w:sz w:val="32"/>
          <w:szCs w:val="32"/>
          <w:lang w:val="en-US" w:eastAsia="zh-CN"/>
        </w:rPr>
        <w:t>符合国家财经法规和财务管理制度以及有关专项资金管理办法的规定</w:t>
      </w:r>
      <w:r>
        <w:rPr>
          <w:rFonts w:hint="eastAsia" w:ascii="仿宋_GB2312" w:hAnsi="宋体" w:eastAsia="仿宋_GB2312"/>
          <w:sz w:val="32"/>
          <w:szCs w:val="32"/>
          <w:lang w:val="en-US" w:eastAsia="zh-CN"/>
        </w:rPr>
        <w:t>。</w:t>
      </w:r>
      <w:r>
        <w:rPr>
          <w:rFonts w:hint="default" w:ascii="仿宋_GB2312" w:hAnsi="宋体" w:eastAsia="仿宋_GB2312"/>
          <w:sz w:val="32"/>
          <w:szCs w:val="32"/>
          <w:lang w:val="en-US" w:eastAsia="zh-CN"/>
        </w:rPr>
        <w:t>指标赋分</w:t>
      </w:r>
      <w:r>
        <w:rPr>
          <w:rFonts w:hint="eastAsia" w:ascii="仿宋_GB2312" w:hAnsi="宋体" w:eastAsia="仿宋_GB2312"/>
          <w:sz w:val="32"/>
          <w:szCs w:val="32"/>
          <w:lang w:val="en-US" w:eastAsia="zh-CN"/>
        </w:rPr>
        <w:t>3</w:t>
      </w:r>
      <w:r>
        <w:rPr>
          <w:rFonts w:hint="default" w:ascii="仿宋_GB2312" w:hAnsi="宋体" w:eastAsia="仿宋_GB2312"/>
          <w:sz w:val="32"/>
          <w:szCs w:val="32"/>
          <w:lang w:val="en-US" w:eastAsia="zh-CN"/>
        </w:rPr>
        <w:t>分，得分</w:t>
      </w:r>
      <w:r>
        <w:rPr>
          <w:rFonts w:hint="eastAsia" w:ascii="仿宋_GB2312" w:hAnsi="宋体" w:eastAsia="仿宋_GB2312"/>
          <w:sz w:val="32"/>
          <w:szCs w:val="32"/>
          <w:lang w:val="en-US" w:eastAsia="zh-CN"/>
        </w:rPr>
        <w:t>3</w:t>
      </w:r>
      <w:r>
        <w:rPr>
          <w:rFonts w:hint="default" w:ascii="仿宋_GB2312" w:hAnsi="宋体" w:eastAsia="仿宋_GB2312"/>
          <w:sz w:val="32"/>
          <w:szCs w:val="32"/>
          <w:lang w:val="en-US" w:eastAsia="zh-CN"/>
        </w:rPr>
        <w:t>分。</w:t>
      </w:r>
    </w:p>
    <w:p>
      <w:pPr>
        <w:keepNext w:val="0"/>
        <w:keepLines w:val="0"/>
        <w:pageBreakBefore w:val="0"/>
        <w:numPr>
          <w:ilvl w:val="0"/>
          <w:numId w:val="0"/>
        </w:numPr>
        <w:kinsoku/>
        <w:wordWrap/>
        <w:overflowPunct/>
        <w:topLinePunct w:val="0"/>
        <w:autoSpaceDE/>
        <w:autoSpaceDN/>
        <w:bidi w:val="0"/>
        <w:spacing w:line="240" w:lineRule="auto"/>
        <w:ind w:firstLine="643" w:firstLineChars="200"/>
        <w:textAlignment w:val="auto"/>
        <w:rPr>
          <w:rFonts w:hint="default" w:ascii="仿宋_GB2312" w:hAnsi="宋体" w:eastAsia="仿宋_GB2312"/>
          <w:sz w:val="30"/>
          <w:szCs w:val="30"/>
          <w:lang w:val="en-US" w:eastAsia="zh-CN"/>
        </w:rPr>
      </w:pPr>
      <w:r>
        <w:rPr>
          <w:rFonts w:hint="eastAsia" w:ascii="Times New Roman" w:hAnsi="Times New Roman" w:eastAsia="楷体_GB2312" w:cs="Times New Roman"/>
          <w:b/>
          <w:color w:val="000000"/>
          <w:sz w:val="32"/>
          <w:szCs w:val="32"/>
          <w:highlight w:val="none"/>
          <w:u w:val="none"/>
          <w:lang w:val="en-US" w:eastAsia="zh-CN"/>
        </w:rPr>
        <w:t>4．项目结果。</w:t>
      </w:r>
      <w:r>
        <w:rPr>
          <w:rFonts w:hint="eastAsia" w:ascii="仿宋_GB2312" w:hAnsi="宋体" w:eastAsia="仿宋_GB2312"/>
          <w:sz w:val="30"/>
          <w:szCs w:val="30"/>
          <w:lang w:val="en-US" w:eastAsia="zh-CN"/>
        </w:rPr>
        <w:t>项目结果指标</w:t>
      </w:r>
      <w:r>
        <w:rPr>
          <w:rFonts w:hint="default" w:ascii="仿宋_GB2312" w:hAnsi="宋体" w:eastAsia="仿宋_GB2312"/>
          <w:sz w:val="30"/>
          <w:szCs w:val="30"/>
          <w:lang w:val="en-US" w:eastAsia="zh-CN"/>
        </w:rPr>
        <w:t>下设</w:t>
      </w:r>
      <w:r>
        <w:rPr>
          <w:rFonts w:hint="eastAsia" w:ascii="仿宋_GB2312" w:hAnsi="宋体" w:eastAsia="仿宋_GB2312"/>
          <w:sz w:val="30"/>
          <w:szCs w:val="30"/>
          <w:lang w:val="en-US" w:eastAsia="zh-CN"/>
        </w:rPr>
        <w:t>两</w:t>
      </w:r>
      <w:r>
        <w:rPr>
          <w:rFonts w:hint="default" w:ascii="仿宋_GB2312" w:hAnsi="宋体" w:eastAsia="仿宋_GB2312"/>
          <w:sz w:val="30"/>
          <w:szCs w:val="30"/>
          <w:lang w:val="en-US" w:eastAsia="zh-CN"/>
        </w:rPr>
        <w:t>个</w:t>
      </w:r>
      <w:r>
        <w:rPr>
          <w:rFonts w:hint="eastAsia" w:ascii="仿宋_GB2312" w:hAnsi="宋体" w:eastAsia="仿宋_GB2312"/>
          <w:sz w:val="30"/>
          <w:szCs w:val="30"/>
          <w:lang w:val="en-US" w:eastAsia="zh-CN"/>
        </w:rPr>
        <w:t>三</w:t>
      </w:r>
      <w:r>
        <w:rPr>
          <w:rFonts w:hint="default" w:ascii="仿宋_GB2312" w:hAnsi="宋体" w:eastAsia="仿宋_GB2312"/>
          <w:sz w:val="30"/>
          <w:szCs w:val="30"/>
          <w:lang w:val="en-US" w:eastAsia="zh-CN"/>
        </w:rPr>
        <w:t>级指标，从</w:t>
      </w:r>
      <w:r>
        <w:rPr>
          <w:rFonts w:hint="eastAsia" w:ascii="仿宋_GB2312" w:hAnsi="宋体" w:eastAsia="仿宋_GB2312"/>
          <w:sz w:val="30"/>
          <w:szCs w:val="30"/>
          <w:lang w:val="en-US" w:eastAsia="zh-CN"/>
        </w:rPr>
        <w:t>目标完成、完成时效两</w:t>
      </w:r>
      <w:r>
        <w:rPr>
          <w:rFonts w:hint="default" w:ascii="仿宋_GB2312" w:hAnsi="宋体" w:eastAsia="仿宋_GB2312"/>
          <w:sz w:val="30"/>
          <w:szCs w:val="30"/>
          <w:lang w:val="en-US" w:eastAsia="zh-CN"/>
        </w:rPr>
        <w:t>个方面进行考察，指标分值</w:t>
      </w:r>
      <w:r>
        <w:rPr>
          <w:rFonts w:hint="eastAsia" w:ascii="仿宋_GB2312" w:hAnsi="宋体" w:eastAsia="仿宋_GB2312"/>
          <w:sz w:val="30"/>
          <w:szCs w:val="30"/>
          <w:lang w:val="en-US" w:eastAsia="zh-CN"/>
        </w:rPr>
        <w:t>9</w:t>
      </w:r>
      <w:r>
        <w:rPr>
          <w:rFonts w:hint="default" w:ascii="仿宋_GB2312" w:hAnsi="宋体" w:eastAsia="仿宋_GB2312"/>
          <w:sz w:val="30"/>
          <w:szCs w:val="30"/>
          <w:lang w:val="en-US" w:eastAsia="zh-CN"/>
        </w:rPr>
        <w:t>分，评价得分为</w:t>
      </w:r>
      <w:r>
        <w:rPr>
          <w:rFonts w:hint="eastAsia" w:ascii="仿宋_GB2312" w:hAnsi="宋体" w:eastAsia="仿宋_GB2312"/>
          <w:sz w:val="30"/>
          <w:szCs w:val="30"/>
          <w:lang w:val="en-US" w:eastAsia="zh-CN"/>
        </w:rPr>
        <w:t>9</w:t>
      </w:r>
      <w:r>
        <w:rPr>
          <w:rFonts w:hint="default" w:ascii="仿宋_GB2312" w:hAnsi="宋体" w:eastAsia="仿宋_GB2312"/>
          <w:sz w:val="30"/>
          <w:szCs w:val="30"/>
          <w:lang w:val="en-US" w:eastAsia="zh-CN"/>
        </w:rPr>
        <w:t>分，得分率</w:t>
      </w:r>
      <w:r>
        <w:rPr>
          <w:rFonts w:hint="eastAsia" w:ascii="仿宋_GB2312" w:hAnsi="宋体" w:eastAsia="仿宋_GB2312"/>
          <w:sz w:val="30"/>
          <w:szCs w:val="30"/>
          <w:lang w:val="en-US" w:eastAsia="zh-CN"/>
        </w:rPr>
        <w:t>为100.00</w:t>
      </w:r>
      <w:r>
        <w:rPr>
          <w:rFonts w:hint="default" w:ascii="仿宋_GB2312" w:hAnsi="宋体" w:eastAsia="仿宋_GB2312"/>
          <w:sz w:val="30"/>
          <w:szCs w:val="30"/>
          <w:lang w:val="en-US" w:eastAsia="zh-CN"/>
        </w:rPr>
        <w:t>%。</w:t>
      </w:r>
    </w:p>
    <w:p>
      <w:pPr>
        <w:spacing w:line="240" w:lineRule="auto"/>
        <w:ind w:left="0" w:leftChars="0" w:firstLine="640" w:firstLineChars="200"/>
        <w:jc w:val="both"/>
        <w:rPr>
          <w:rFonts w:hint="default" w:ascii="仿宋_GB2312" w:hAnsi="宋体" w:eastAsia="仿宋_GB2312"/>
          <w:sz w:val="30"/>
          <w:szCs w:val="30"/>
          <w:lang w:val="en-US" w:eastAsia="zh-CN"/>
        </w:rPr>
      </w:pPr>
      <w:r>
        <w:rPr>
          <w:rFonts w:hint="eastAsia" w:ascii="Times New Roman" w:hAnsi="Times New Roman" w:eastAsia="仿宋_GB2312" w:cs="Times New Roman"/>
          <w:b w:val="0"/>
          <w:bCs w:val="0"/>
          <w:color w:val="auto"/>
          <w:kern w:val="2"/>
          <w:position w:val="0"/>
          <w:sz w:val="32"/>
          <w:szCs w:val="32"/>
          <w:highlight w:val="none"/>
          <w:u w:val="none"/>
          <w:lang w:val="en-US" w:eastAsia="zh-CN" w:bidi="ar-SA"/>
        </w:rPr>
        <w:t>（1）</w:t>
      </w:r>
      <w:r>
        <w:rPr>
          <w:rFonts w:hint="eastAsia" w:ascii="Times New Roman" w:hAnsi="Times New Roman" w:cs="Times New Roman"/>
          <w:b w:val="0"/>
          <w:bCs w:val="0"/>
          <w:color w:val="auto"/>
          <w:kern w:val="2"/>
          <w:position w:val="0"/>
          <w:sz w:val="32"/>
          <w:szCs w:val="32"/>
          <w:highlight w:val="none"/>
          <w:u w:val="none"/>
          <w:lang w:val="en-US" w:eastAsia="zh-CN" w:bidi="ar-SA"/>
        </w:rPr>
        <w:t>目标完成</w:t>
      </w:r>
      <w:r>
        <w:rPr>
          <w:rFonts w:hint="eastAsia" w:ascii="Times New Roman" w:hAnsi="Times New Roman" w:eastAsia="仿宋_GB2312" w:cs="Times New Roman"/>
          <w:b w:val="0"/>
          <w:bCs w:val="0"/>
          <w:color w:val="auto"/>
          <w:kern w:val="2"/>
          <w:position w:val="0"/>
          <w:sz w:val="32"/>
          <w:szCs w:val="32"/>
          <w:highlight w:val="none"/>
          <w:u w:val="none"/>
          <w:lang w:val="en-US" w:eastAsia="zh-CN" w:bidi="ar-SA"/>
        </w:rPr>
        <w:t>：</w:t>
      </w:r>
      <w:r>
        <w:rPr>
          <w:rFonts w:hint="eastAsia" w:ascii="仿宋_GB2312" w:hAnsi="宋体" w:eastAsia="仿宋_GB2312"/>
          <w:sz w:val="30"/>
          <w:szCs w:val="30"/>
          <w:lang w:val="en-US" w:eastAsia="zh-CN"/>
        </w:rPr>
        <w:t>茂县人民法院审判庭扩建工程项目已按照项目实施方案开展，设置的绩效目标已全部完成。</w:t>
      </w:r>
      <w:r>
        <w:rPr>
          <w:rFonts w:hint="default" w:ascii="仿宋_GB2312" w:hAnsi="宋体" w:eastAsia="仿宋_GB2312"/>
          <w:sz w:val="30"/>
          <w:szCs w:val="30"/>
          <w:lang w:val="en-US" w:eastAsia="zh-CN"/>
        </w:rPr>
        <w:t>指标赋分</w:t>
      </w:r>
      <w:r>
        <w:rPr>
          <w:rFonts w:hint="eastAsia" w:ascii="仿宋_GB2312" w:hAnsi="宋体" w:eastAsia="仿宋_GB2312"/>
          <w:sz w:val="30"/>
          <w:szCs w:val="30"/>
          <w:lang w:val="en-US" w:eastAsia="zh-CN"/>
        </w:rPr>
        <w:t>6</w:t>
      </w:r>
      <w:r>
        <w:rPr>
          <w:rFonts w:hint="default" w:ascii="仿宋_GB2312" w:hAnsi="宋体" w:eastAsia="仿宋_GB2312"/>
          <w:sz w:val="30"/>
          <w:szCs w:val="30"/>
          <w:lang w:val="en-US" w:eastAsia="zh-CN"/>
        </w:rPr>
        <w:t>分，得分</w:t>
      </w:r>
      <w:r>
        <w:rPr>
          <w:rFonts w:hint="eastAsia" w:ascii="仿宋_GB2312" w:hAnsi="宋体" w:eastAsia="仿宋_GB2312"/>
          <w:sz w:val="30"/>
          <w:szCs w:val="30"/>
          <w:lang w:val="en-US" w:eastAsia="zh-CN"/>
        </w:rPr>
        <w:t xml:space="preserve">6 </w:t>
      </w:r>
      <w:r>
        <w:rPr>
          <w:rFonts w:hint="default" w:ascii="仿宋_GB2312" w:hAnsi="宋体" w:eastAsia="仿宋_GB2312"/>
          <w:sz w:val="30"/>
          <w:szCs w:val="30"/>
          <w:lang w:val="en-US" w:eastAsia="zh-CN"/>
        </w:rPr>
        <w:t>分。</w:t>
      </w:r>
    </w:p>
    <w:p>
      <w:pPr>
        <w:spacing w:line="240" w:lineRule="auto"/>
        <w:ind w:left="0" w:leftChars="0" w:firstLine="640" w:firstLineChars="200"/>
        <w:jc w:val="both"/>
        <w:rPr>
          <w:rFonts w:hint="default" w:ascii="仿宋_GB2312" w:hAnsi="宋体" w:eastAsia="仿宋_GB2312"/>
          <w:sz w:val="30"/>
          <w:szCs w:val="30"/>
          <w:lang w:val="en-US" w:eastAsia="zh-CN"/>
        </w:rPr>
      </w:pPr>
      <w:r>
        <w:rPr>
          <w:rFonts w:hint="eastAsia" w:ascii="Times New Roman" w:hAnsi="Times New Roman" w:eastAsia="仿宋_GB2312" w:cs="Times New Roman"/>
          <w:b w:val="0"/>
          <w:bCs w:val="0"/>
          <w:color w:val="auto"/>
          <w:kern w:val="2"/>
          <w:position w:val="0"/>
          <w:sz w:val="32"/>
          <w:szCs w:val="32"/>
          <w:highlight w:val="none"/>
          <w:u w:val="none"/>
          <w:lang w:val="en-US" w:eastAsia="zh-CN" w:bidi="ar-SA"/>
        </w:rPr>
        <w:t>（</w:t>
      </w:r>
      <w:r>
        <w:rPr>
          <w:rFonts w:hint="eastAsia" w:ascii="Times New Roman" w:hAnsi="Times New Roman" w:cs="Times New Roman"/>
          <w:b w:val="0"/>
          <w:bCs w:val="0"/>
          <w:color w:val="auto"/>
          <w:kern w:val="2"/>
          <w:position w:val="0"/>
          <w:sz w:val="32"/>
          <w:szCs w:val="32"/>
          <w:highlight w:val="none"/>
          <w:u w:val="none"/>
          <w:lang w:val="en-US" w:eastAsia="zh-CN" w:bidi="ar-SA"/>
        </w:rPr>
        <w:t>2</w:t>
      </w:r>
      <w:r>
        <w:rPr>
          <w:rFonts w:hint="eastAsia" w:ascii="Times New Roman" w:hAnsi="Times New Roman" w:eastAsia="仿宋_GB2312" w:cs="Times New Roman"/>
          <w:b w:val="0"/>
          <w:bCs w:val="0"/>
          <w:color w:val="auto"/>
          <w:kern w:val="2"/>
          <w:position w:val="0"/>
          <w:sz w:val="32"/>
          <w:szCs w:val="32"/>
          <w:highlight w:val="none"/>
          <w:u w:val="none"/>
          <w:lang w:val="en-US" w:eastAsia="zh-CN" w:bidi="ar-SA"/>
        </w:rPr>
        <w:t>）</w:t>
      </w:r>
      <w:r>
        <w:rPr>
          <w:rFonts w:hint="eastAsia" w:ascii="Times New Roman" w:hAnsi="Times New Roman" w:cs="Times New Roman"/>
          <w:b w:val="0"/>
          <w:bCs w:val="0"/>
          <w:color w:val="auto"/>
          <w:kern w:val="2"/>
          <w:position w:val="0"/>
          <w:sz w:val="32"/>
          <w:szCs w:val="32"/>
          <w:highlight w:val="none"/>
          <w:u w:val="none"/>
          <w:lang w:val="en-US" w:eastAsia="zh-CN" w:bidi="ar-SA"/>
        </w:rPr>
        <w:t>完成时效</w:t>
      </w:r>
      <w:r>
        <w:rPr>
          <w:rFonts w:hint="eastAsia" w:ascii="Times New Roman" w:hAnsi="Times New Roman" w:eastAsia="仿宋_GB2312" w:cs="Times New Roman"/>
          <w:b w:val="0"/>
          <w:bCs w:val="0"/>
          <w:color w:val="auto"/>
          <w:kern w:val="2"/>
          <w:position w:val="0"/>
          <w:sz w:val="32"/>
          <w:szCs w:val="32"/>
          <w:highlight w:val="none"/>
          <w:u w:val="none"/>
          <w:lang w:val="en-US" w:eastAsia="zh-CN" w:bidi="ar-SA"/>
        </w:rPr>
        <w:t>：</w:t>
      </w:r>
      <w:r>
        <w:rPr>
          <w:rFonts w:hint="eastAsia" w:ascii="仿宋_GB2312" w:hAnsi="宋体" w:eastAsia="仿宋_GB2312"/>
          <w:sz w:val="30"/>
          <w:szCs w:val="30"/>
          <w:lang w:val="en-US" w:eastAsia="zh-CN"/>
        </w:rPr>
        <w:t>茂县人民法院审判庭扩建工程项目自立项批复后规定时间内，按照项目按规划完成原定实施内容。</w:t>
      </w:r>
      <w:r>
        <w:rPr>
          <w:rFonts w:hint="default" w:ascii="仿宋_GB2312" w:hAnsi="宋体" w:eastAsia="仿宋_GB2312"/>
          <w:sz w:val="30"/>
          <w:szCs w:val="30"/>
          <w:lang w:val="en-US" w:eastAsia="zh-CN"/>
        </w:rPr>
        <w:t>指标赋分</w:t>
      </w:r>
      <w:r>
        <w:rPr>
          <w:rFonts w:hint="eastAsia" w:ascii="仿宋_GB2312" w:hAnsi="宋体" w:eastAsia="仿宋_GB2312"/>
          <w:sz w:val="30"/>
          <w:szCs w:val="30"/>
          <w:lang w:val="en-US" w:eastAsia="zh-CN"/>
        </w:rPr>
        <w:t>3</w:t>
      </w:r>
      <w:r>
        <w:rPr>
          <w:rFonts w:hint="default" w:ascii="仿宋_GB2312" w:hAnsi="宋体" w:eastAsia="仿宋_GB2312"/>
          <w:sz w:val="30"/>
          <w:szCs w:val="30"/>
          <w:lang w:val="en-US" w:eastAsia="zh-CN"/>
        </w:rPr>
        <w:t>分，得分</w:t>
      </w:r>
      <w:r>
        <w:rPr>
          <w:rFonts w:hint="eastAsia" w:ascii="仿宋_GB2312" w:hAnsi="宋体" w:eastAsia="仿宋_GB2312"/>
          <w:sz w:val="30"/>
          <w:szCs w:val="30"/>
          <w:lang w:val="en-US" w:eastAsia="zh-CN"/>
        </w:rPr>
        <w:t>3</w:t>
      </w:r>
      <w:r>
        <w:rPr>
          <w:rFonts w:hint="default" w:ascii="仿宋_GB2312" w:hAnsi="宋体" w:eastAsia="仿宋_GB2312"/>
          <w:sz w:val="30"/>
          <w:szCs w:val="30"/>
          <w:lang w:val="en-US" w:eastAsia="zh-CN"/>
        </w:rPr>
        <w:t>分。</w:t>
      </w:r>
    </w:p>
    <w:p>
      <w:pPr>
        <w:keepNext w:val="0"/>
        <w:keepLines w:val="0"/>
        <w:pageBreakBefore w:val="0"/>
        <w:widowControl w:val="0"/>
        <w:kinsoku/>
        <w:wordWrap/>
        <w:overflowPunct/>
        <w:topLinePunct w:val="0"/>
        <w:autoSpaceDE/>
        <w:autoSpaceDN/>
        <w:bidi w:val="0"/>
        <w:adjustRightInd/>
        <w:snapToGrid/>
        <w:spacing w:line="240" w:lineRule="auto"/>
        <w:ind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（二）专用指标绩效分析（行政运转类）</w:t>
      </w:r>
    </w:p>
    <w:p>
      <w:pPr>
        <w:spacing w:line="240" w:lineRule="auto"/>
        <w:ind w:left="0" w:leftChars="0" w:firstLine="600" w:firstLineChars="200"/>
        <w:jc w:val="both"/>
        <w:rPr>
          <w:rFonts w:hint="default" w:ascii="仿宋_GB2312" w:hAnsi="宋体" w:eastAsia="仿宋_GB2312"/>
          <w:sz w:val="30"/>
          <w:szCs w:val="30"/>
          <w:lang w:val="zh-CN" w:eastAsia="zh-CN"/>
        </w:rPr>
      </w:pPr>
      <w:r>
        <w:rPr>
          <w:rFonts w:hint="default" w:ascii="仿宋_GB2312" w:hAnsi="宋体" w:eastAsia="仿宋_GB2312"/>
          <w:sz w:val="30"/>
          <w:szCs w:val="30"/>
          <w:lang w:val="zh-CN" w:eastAsia="zh-CN"/>
        </w:rPr>
        <w:t>专用指标指标下设三个三级指标，从用途合规性、程序合规性、标准合规性三个方面进行考察，指标分值30分，评价得分为30分，得分率为100.00%。</w:t>
      </w:r>
    </w:p>
    <w:p>
      <w:pPr>
        <w:spacing w:line="240" w:lineRule="auto"/>
        <w:ind w:left="0" w:leftChars="0" w:firstLine="600" w:firstLineChars="200"/>
        <w:jc w:val="both"/>
        <w:rPr>
          <w:rFonts w:hint="default" w:ascii="仿宋_GB2312" w:hAnsi="宋体" w:eastAsia="仿宋_GB2312"/>
          <w:sz w:val="30"/>
          <w:szCs w:val="30"/>
          <w:lang w:val="zh-CN" w:eastAsia="zh-CN"/>
        </w:rPr>
      </w:pPr>
      <w:r>
        <w:rPr>
          <w:rFonts w:hint="default" w:ascii="仿宋_GB2312" w:hAnsi="宋体" w:eastAsia="仿宋_GB2312"/>
          <w:sz w:val="30"/>
          <w:szCs w:val="30"/>
          <w:lang w:val="zh-CN" w:eastAsia="zh-CN"/>
        </w:rPr>
        <w:t>1．用途合规性：</w:t>
      </w:r>
      <w:r>
        <w:rPr>
          <w:rFonts w:hint="eastAsia" w:ascii="仿宋_GB2312" w:hAnsi="宋体" w:eastAsia="仿宋_GB2312"/>
          <w:sz w:val="30"/>
          <w:szCs w:val="30"/>
          <w:lang w:val="zh-CN" w:eastAsia="zh-CN"/>
        </w:rPr>
        <w:t>茂县人民法院</w:t>
      </w:r>
      <w:r>
        <w:rPr>
          <w:rFonts w:hint="eastAsia" w:ascii="仿宋_GB2312" w:hAnsi="宋体" w:eastAsia="仿宋_GB2312"/>
          <w:sz w:val="30"/>
          <w:szCs w:val="30"/>
          <w:lang w:val="en-US" w:eastAsia="zh-CN"/>
        </w:rPr>
        <w:t>审判庭扩建工程项目</w:t>
      </w:r>
      <w:r>
        <w:rPr>
          <w:rFonts w:hint="default" w:ascii="仿宋_GB2312" w:hAnsi="宋体" w:eastAsia="仿宋_GB2312"/>
          <w:sz w:val="30"/>
          <w:szCs w:val="30"/>
          <w:lang w:val="zh-CN" w:eastAsia="zh-CN"/>
        </w:rPr>
        <w:t>按规定用途、适用范围进行本地区专项资金分配。指标赋分10分，得分10分。</w:t>
      </w:r>
    </w:p>
    <w:p>
      <w:pPr>
        <w:spacing w:line="240" w:lineRule="auto"/>
        <w:ind w:left="0" w:leftChars="0" w:firstLine="600" w:firstLineChars="200"/>
        <w:jc w:val="both"/>
        <w:rPr>
          <w:rFonts w:hint="default" w:ascii="仿宋_GB2312" w:hAnsi="宋体" w:eastAsia="仿宋_GB2312"/>
          <w:sz w:val="30"/>
          <w:szCs w:val="30"/>
          <w:lang w:val="zh-CN" w:eastAsia="zh-CN"/>
        </w:rPr>
      </w:pPr>
      <w:r>
        <w:rPr>
          <w:rFonts w:hint="default" w:ascii="仿宋_GB2312" w:hAnsi="宋体" w:eastAsia="仿宋_GB2312"/>
          <w:sz w:val="30"/>
          <w:szCs w:val="30"/>
          <w:lang w:val="zh-CN" w:eastAsia="zh-CN"/>
        </w:rPr>
        <w:t>2．程序合规性：</w:t>
      </w:r>
      <w:r>
        <w:rPr>
          <w:rFonts w:hint="eastAsia" w:ascii="仿宋_GB2312" w:hAnsi="宋体" w:eastAsia="仿宋_GB2312"/>
          <w:sz w:val="30"/>
          <w:szCs w:val="30"/>
          <w:lang w:val="zh-CN" w:eastAsia="zh-CN"/>
        </w:rPr>
        <w:t>茂县人民法院</w:t>
      </w:r>
      <w:r>
        <w:rPr>
          <w:rFonts w:hint="eastAsia" w:ascii="仿宋_GB2312" w:hAnsi="宋体" w:eastAsia="仿宋_GB2312"/>
          <w:sz w:val="30"/>
          <w:szCs w:val="30"/>
          <w:lang w:val="en-US" w:eastAsia="zh-CN"/>
        </w:rPr>
        <w:t>审判庭扩建工程项目</w:t>
      </w:r>
      <w:r>
        <w:rPr>
          <w:rFonts w:hint="default" w:ascii="仿宋_GB2312" w:hAnsi="宋体" w:eastAsia="仿宋_GB2312"/>
          <w:sz w:val="30"/>
          <w:szCs w:val="30"/>
          <w:lang w:val="zh-CN" w:eastAsia="zh-CN"/>
        </w:rPr>
        <w:t>资金管理程序符合专项资金管理要求。指标赋分10分，得分10分。</w:t>
      </w:r>
    </w:p>
    <w:p>
      <w:pPr>
        <w:spacing w:line="240" w:lineRule="auto"/>
        <w:ind w:left="0" w:leftChars="0" w:firstLine="600" w:firstLineChars="200"/>
        <w:jc w:val="both"/>
        <w:rPr>
          <w:rFonts w:hint="default" w:ascii="仿宋_GB2312" w:hAnsi="宋体" w:eastAsia="仿宋_GB2312"/>
          <w:sz w:val="30"/>
          <w:szCs w:val="30"/>
          <w:lang w:val="zh-CN" w:eastAsia="zh-CN"/>
        </w:rPr>
      </w:pPr>
      <w:r>
        <w:rPr>
          <w:rFonts w:hint="default" w:ascii="仿宋_GB2312" w:hAnsi="宋体" w:eastAsia="仿宋_GB2312"/>
          <w:sz w:val="30"/>
          <w:szCs w:val="30"/>
          <w:lang w:val="zh-CN" w:eastAsia="zh-CN"/>
        </w:rPr>
        <w:t>3．标准合规性：</w:t>
      </w:r>
      <w:r>
        <w:rPr>
          <w:rFonts w:hint="eastAsia" w:ascii="仿宋_GB2312" w:hAnsi="宋体" w:eastAsia="仿宋_GB2312"/>
          <w:sz w:val="30"/>
          <w:szCs w:val="30"/>
          <w:lang w:val="zh-CN" w:eastAsia="zh-CN"/>
        </w:rPr>
        <w:t>茂县人民法院</w:t>
      </w:r>
      <w:r>
        <w:rPr>
          <w:rFonts w:hint="eastAsia" w:ascii="仿宋_GB2312" w:hAnsi="宋体" w:eastAsia="仿宋_GB2312"/>
          <w:sz w:val="30"/>
          <w:szCs w:val="30"/>
          <w:lang w:val="en-US" w:eastAsia="zh-CN"/>
        </w:rPr>
        <w:t>审判庭扩建工程项目</w:t>
      </w:r>
      <w:r>
        <w:rPr>
          <w:rFonts w:hint="default" w:ascii="仿宋_GB2312" w:hAnsi="宋体" w:eastAsia="仿宋_GB2312"/>
          <w:sz w:val="30"/>
          <w:szCs w:val="30"/>
          <w:lang w:val="zh-CN" w:eastAsia="zh-CN"/>
        </w:rPr>
        <w:t>资金分配标准符合专项资金管理要求。指标赋分10分，得分10分。</w:t>
      </w:r>
    </w:p>
    <w:p>
      <w:pPr>
        <w:spacing w:line="240" w:lineRule="auto"/>
        <w:ind w:left="0" w:leftChars="0" w:firstLine="643" w:firstLineChars="200"/>
        <w:jc w:val="both"/>
        <w:rPr>
          <w:rFonts w:hint="default" w:ascii="Times New Roman" w:hAnsi="Times New Roman" w:eastAsia="楷体_GB2312" w:cs="Times New Roman"/>
          <w:b/>
          <w:bCs/>
          <w:color w:val="auto"/>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auto"/>
          <w:kern w:val="0"/>
          <w:szCs w:val="32"/>
          <w:highlight w:val="none"/>
          <w:shd w:val="clear" w:color="auto" w:fill="FFFFFF"/>
          <w:lang w:val="zh-CN"/>
        </w:rPr>
        <w:t>绩效分析。</w:t>
      </w:r>
    </w:p>
    <w:p>
      <w:pPr>
        <w:spacing w:line="240" w:lineRule="auto"/>
        <w:ind w:left="0" w:leftChars="0" w:firstLine="600" w:firstLineChars="200"/>
        <w:jc w:val="both"/>
        <w:rPr>
          <w:rFonts w:hint="default" w:ascii="仿宋_GB2312" w:hAnsi="宋体" w:eastAsia="仿宋_GB2312"/>
          <w:sz w:val="30"/>
          <w:szCs w:val="30"/>
          <w:lang w:val="en-US" w:eastAsia="zh-CN"/>
        </w:rPr>
      </w:pPr>
      <w:r>
        <w:rPr>
          <w:rFonts w:hint="eastAsia" w:ascii="仿宋_GB2312" w:hAnsi="宋体" w:eastAsia="仿宋_GB2312"/>
          <w:sz w:val="30"/>
          <w:szCs w:val="30"/>
          <w:lang w:val="en-US" w:eastAsia="zh-CN"/>
        </w:rPr>
        <w:t>个性指标指标</w:t>
      </w:r>
      <w:r>
        <w:rPr>
          <w:rFonts w:hint="default" w:ascii="仿宋_GB2312" w:hAnsi="宋体" w:eastAsia="仿宋_GB2312"/>
          <w:sz w:val="30"/>
          <w:szCs w:val="30"/>
          <w:lang w:val="en-US" w:eastAsia="zh-CN"/>
        </w:rPr>
        <w:t>下设</w:t>
      </w:r>
      <w:r>
        <w:rPr>
          <w:rFonts w:hint="eastAsia" w:ascii="仿宋_GB2312" w:hAnsi="宋体" w:eastAsia="仿宋_GB2312"/>
          <w:sz w:val="30"/>
          <w:szCs w:val="30"/>
          <w:lang w:val="en-US" w:eastAsia="zh-CN"/>
        </w:rPr>
        <w:t>两</w:t>
      </w:r>
      <w:r>
        <w:rPr>
          <w:rFonts w:hint="default" w:ascii="仿宋_GB2312" w:hAnsi="宋体" w:eastAsia="仿宋_GB2312"/>
          <w:sz w:val="30"/>
          <w:szCs w:val="30"/>
          <w:lang w:val="en-US" w:eastAsia="zh-CN"/>
        </w:rPr>
        <w:t>个</w:t>
      </w:r>
      <w:r>
        <w:rPr>
          <w:rFonts w:hint="eastAsia" w:ascii="仿宋_GB2312" w:hAnsi="宋体" w:eastAsia="仿宋_GB2312"/>
          <w:sz w:val="30"/>
          <w:szCs w:val="30"/>
          <w:lang w:val="en-US" w:eastAsia="zh-CN"/>
        </w:rPr>
        <w:t>三</w:t>
      </w:r>
      <w:r>
        <w:rPr>
          <w:rFonts w:hint="default" w:ascii="仿宋_GB2312" w:hAnsi="宋体" w:eastAsia="仿宋_GB2312"/>
          <w:sz w:val="30"/>
          <w:szCs w:val="30"/>
          <w:lang w:val="en-US" w:eastAsia="zh-CN"/>
        </w:rPr>
        <w:t>级指标，</w:t>
      </w:r>
      <w:r>
        <w:rPr>
          <w:rFonts w:hint="eastAsia" w:ascii="仿宋_GB2312" w:hAnsi="宋体" w:eastAsia="仿宋_GB2312"/>
          <w:sz w:val="30"/>
          <w:szCs w:val="30"/>
          <w:lang w:val="en-US" w:eastAsia="zh-CN"/>
        </w:rPr>
        <w:t>从项目建设实施方案可行性、审判庭修建预算成本两</w:t>
      </w:r>
      <w:r>
        <w:rPr>
          <w:rFonts w:hint="default" w:ascii="仿宋_GB2312" w:hAnsi="宋体" w:eastAsia="仿宋_GB2312"/>
          <w:sz w:val="30"/>
          <w:szCs w:val="30"/>
          <w:lang w:val="en-US" w:eastAsia="zh-CN"/>
        </w:rPr>
        <w:t>个方面进行考察，指标分值</w:t>
      </w:r>
      <w:r>
        <w:rPr>
          <w:rFonts w:hint="eastAsia" w:ascii="仿宋_GB2312" w:hAnsi="宋体" w:eastAsia="仿宋_GB2312"/>
          <w:sz w:val="30"/>
          <w:szCs w:val="30"/>
          <w:lang w:val="en-US" w:eastAsia="zh-CN"/>
        </w:rPr>
        <w:t>16</w:t>
      </w:r>
      <w:r>
        <w:rPr>
          <w:rFonts w:hint="default" w:ascii="仿宋_GB2312" w:hAnsi="宋体" w:eastAsia="仿宋_GB2312"/>
          <w:sz w:val="30"/>
          <w:szCs w:val="30"/>
          <w:lang w:val="en-US" w:eastAsia="zh-CN"/>
        </w:rPr>
        <w:t>分，评价得分为</w:t>
      </w:r>
      <w:r>
        <w:rPr>
          <w:rFonts w:hint="eastAsia" w:ascii="仿宋_GB2312" w:hAnsi="宋体" w:eastAsia="仿宋_GB2312"/>
          <w:sz w:val="30"/>
          <w:szCs w:val="30"/>
          <w:lang w:val="en-US" w:eastAsia="zh-CN"/>
        </w:rPr>
        <w:t>16</w:t>
      </w:r>
      <w:r>
        <w:rPr>
          <w:rFonts w:hint="default" w:ascii="仿宋_GB2312" w:hAnsi="宋体" w:eastAsia="仿宋_GB2312"/>
          <w:sz w:val="30"/>
          <w:szCs w:val="30"/>
          <w:lang w:val="en-US" w:eastAsia="zh-CN"/>
        </w:rPr>
        <w:t>分，得分率</w:t>
      </w:r>
      <w:r>
        <w:rPr>
          <w:rFonts w:hint="eastAsia" w:ascii="仿宋_GB2312" w:hAnsi="宋体" w:eastAsia="仿宋_GB2312"/>
          <w:sz w:val="30"/>
          <w:szCs w:val="30"/>
          <w:lang w:val="en-US" w:eastAsia="zh-CN"/>
        </w:rPr>
        <w:t>为100.00</w:t>
      </w:r>
      <w:r>
        <w:rPr>
          <w:rFonts w:hint="default" w:ascii="仿宋_GB2312" w:hAnsi="宋体" w:eastAsia="仿宋_GB2312"/>
          <w:sz w:val="30"/>
          <w:szCs w:val="30"/>
          <w:lang w:val="en-US" w:eastAsia="zh-CN"/>
        </w:rPr>
        <w:t>%。</w:t>
      </w:r>
    </w:p>
    <w:p>
      <w:pPr>
        <w:spacing w:line="240" w:lineRule="auto"/>
        <w:ind w:left="0" w:leftChars="0" w:firstLine="600" w:firstLineChars="200"/>
        <w:jc w:val="both"/>
        <w:rPr>
          <w:rFonts w:hint="default" w:ascii="仿宋_GB2312" w:hAnsi="宋体" w:eastAsia="仿宋_GB2312"/>
          <w:sz w:val="30"/>
          <w:szCs w:val="30"/>
          <w:lang w:val="en-US" w:eastAsia="zh-CN"/>
        </w:rPr>
      </w:pPr>
      <w:r>
        <w:rPr>
          <w:rFonts w:hint="eastAsia" w:ascii="仿宋_GB2312" w:hAnsi="宋体" w:eastAsia="仿宋_GB2312"/>
          <w:sz w:val="30"/>
          <w:szCs w:val="30"/>
          <w:lang w:val="en-US" w:eastAsia="zh-CN"/>
        </w:rPr>
        <w:t>1、项目建设实施方案可行性：茂县人民法院通过实施审判庭扩建工程项目，达到了设定的目标值。</w:t>
      </w:r>
      <w:r>
        <w:rPr>
          <w:rFonts w:hint="default" w:ascii="仿宋_GB2312" w:hAnsi="宋体" w:eastAsia="仿宋_GB2312"/>
          <w:sz w:val="30"/>
          <w:szCs w:val="30"/>
          <w:lang w:val="en-US" w:eastAsia="zh-CN"/>
        </w:rPr>
        <w:t>指标赋分</w:t>
      </w:r>
      <w:r>
        <w:rPr>
          <w:rFonts w:hint="eastAsia" w:ascii="仿宋_GB2312" w:hAnsi="宋体" w:eastAsia="仿宋_GB2312"/>
          <w:sz w:val="30"/>
          <w:szCs w:val="30"/>
          <w:lang w:val="en-US" w:eastAsia="zh-CN"/>
        </w:rPr>
        <w:t>8</w:t>
      </w:r>
      <w:r>
        <w:rPr>
          <w:rFonts w:hint="default" w:ascii="仿宋_GB2312" w:hAnsi="宋体" w:eastAsia="仿宋_GB2312"/>
          <w:sz w:val="30"/>
          <w:szCs w:val="30"/>
          <w:lang w:val="en-US" w:eastAsia="zh-CN"/>
        </w:rPr>
        <w:t>分，得分</w:t>
      </w:r>
      <w:r>
        <w:rPr>
          <w:rFonts w:hint="eastAsia" w:ascii="仿宋_GB2312" w:hAnsi="宋体" w:eastAsia="仿宋_GB2312"/>
          <w:sz w:val="30"/>
          <w:szCs w:val="30"/>
          <w:lang w:val="en-US" w:eastAsia="zh-CN"/>
        </w:rPr>
        <w:t>8</w:t>
      </w:r>
      <w:r>
        <w:rPr>
          <w:rFonts w:hint="default" w:ascii="仿宋_GB2312" w:hAnsi="宋体" w:eastAsia="仿宋_GB2312"/>
          <w:sz w:val="30"/>
          <w:szCs w:val="30"/>
          <w:lang w:val="en-US" w:eastAsia="zh-CN"/>
        </w:rPr>
        <w:t>分。</w:t>
      </w:r>
    </w:p>
    <w:p>
      <w:pPr>
        <w:spacing w:line="240" w:lineRule="auto"/>
        <w:ind w:left="0" w:leftChars="0" w:firstLine="600" w:firstLineChars="200"/>
        <w:jc w:val="both"/>
        <w:rPr>
          <w:rFonts w:hint="default" w:ascii="仿宋_GB2312" w:hAnsi="宋体" w:eastAsia="仿宋_GB2312"/>
          <w:sz w:val="30"/>
          <w:szCs w:val="30"/>
          <w:lang w:val="zh-CN" w:eastAsia="zh-CN"/>
        </w:rPr>
      </w:pPr>
      <w:r>
        <w:rPr>
          <w:rFonts w:hint="eastAsia" w:ascii="仿宋_GB2312" w:hAnsi="宋体" w:eastAsia="仿宋_GB2312"/>
          <w:sz w:val="30"/>
          <w:szCs w:val="30"/>
          <w:lang w:val="en-US" w:eastAsia="zh-CN"/>
        </w:rPr>
        <w:t>2、审判庭修建预算成本：茂县人民法院实施审判庭扩建工程项目的过程中，合理控制了成本，目前项目尚未完工，暂时达到了预期设定的目标值97%。</w:t>
      </w:r>
      <w:r>
        <w:rPr>
          <w:rFonts w:hint="default" w:ascii="仿宋_GB2312" w:hAnsi="宋体" w:eastAsia="仿宋_GB2312"/>
          <w:sz w:val="30"/>
          <w:szCs w:val="30"/>
          <w:lang w:val="en-US" w:eastAsia="zh-CN"/>
        </w:rPr>
        <w:t>指标赋分</w:t>
      </w:r>
      <w:r>
        <w:rPr>
          <w:rFonts w:hint="eastAsia" w:ascii="仿宋_GB2312" w:hAnsi="宋体" w:eastAsia="仿宋_GB2312"/>
          <w:sz w:val="30"/>
          <w:szCs w:val="30"/>
          <w:lang w:val="en-US" w:eastAsia="zh-CN"/>
        </w:rPr>
        <w:t>8</w:t>
      </w:r>
      <w:r>
        <w:rPr>
          <w:rFonts w:hint="default" w:ascii="仿宋_GB2312" w:hAnsi="宋体" w:eastAsia="仿宋_GB2312"/>
          <w:sz w:val="30"/>
          <w:szCs w:val="30"/>
          <w:lang w:val="en-US" w:eastAsia="zh-CN"/>
        </w:rPr>
        <w:t>分，得分</w:t>
      </w:r>
      <w:r>
        <w:rPr>
          <w:rFonts w:hint="eastAsia" w:ascii="仿宋_GB2312" w:hAnsi="宋体" w:eastAsia="仿宋_GB2312"/>
          <w:sz w:val="30"/>
          <w:szCs w:val="30"/>
          <w:lang w:val="en-US" w:eastAsia="zh-CN"/>
        </w:rPr>
        <w:t>8</w:t>
      </w:r>
      <w:r>
        <w:rPr>
          <w:rFonts w:hint="default" w:ascii="仿宋_GB2312" w:hAnsi="宋体" w:eastAsia="仿宋_GB2312"/>
          <w:sz w:val="30"/>
          <w:szCs w:val="30"/>
          <w:lang w:val="en-US" w:eastAsia="zh-CN"/>
        </w:rPr>
        <w:t>分。</w:t>
      </w:r>
    </w:p>
    <w:p>
      <w:pPr>
        <w:pStyle w:val="6"/>
        <w:keepNext w:val="0"/>
        <w:keepLines w:val="0"/>
        <w:pageBreakBefore w:val="0"/>
        <w:numPr>
          <w:ilvl w:val="0"/>
          <w:numId w:val="0"/>
        </w:numPr>
        <w:tabs>
          <w:tab w:val="left" w:pos="2160"/>
        </w:tabs>
        <w:kinsoku/>
        <w:wordWrap/>
        <w:overflowPunct/>
        <w:topLinePunct w:val="0"/>
        <w:autoSpaceDE/>
        <w:autoSpaceDN/>
        <w:bidi w:val="0"/>
        <w:adjustRightInd/>
        <w:spacing w:line="240" w:lineRule="auto"/>
        <w:ind w:firstLine="643" w:firstLineChars="200"/>
        <w:textAlignment w:val="auto"/>
        <w:rPr>
          <w:rFonts w:hint="eastAsia" w:ascii="Times New Roman" w:hAnsi="Times New Roman" w:cs="Times New Roman"/>
          <w:b/>
          <w:bCs/>
          <w:color w:val="auto"/>
          <w:sz w:val="32"/>
          <w:szCs w:val="32"/>
          <w:highlight w:val="none"/>
          <w:u w:val="none"/>
          <w:lang w:eastAsia="zh-CN"/>
        </w:rPr>
      </w:pPr>
      <w:r>
        <w:rPr>
          <w:rFonts w:hint="default" w:ascii="Times New Roman" w:hAnsi="Times New Roman" w:eastAsia="黑体" w:cs="Times New Roman"/>
          <w:b/>
          <w:bCs/>
          <w:color w:val="auto"/>
          <w:sz w:val="32"/>
          <w:szCs w:val="32"/>
          <w:highlight w:val="none"/>
          <w:u w:val="none"/>
          <w:lang w:eastAsia="zh-CN"/>
        </w:rPr>
        <w:t>四</w:t>
      </w:r>
      <w:r>
        <w:rPr>
          <w:rFonts w:hint="default" w:ascii="Times New Roman" w:hAnsi="Times New Roman" w:eastAsia="黑体" w:cs="Times New Roman"/>
          <w:b/>
          <w:bCs/>
          <w:color w:val="auto"/>
          <w:sz w:val="32"/>
          <w:szCs w:val="32"/>
          <w:highlight w:val="none"/>
          <w:u w:val="none"/>
        </w:rPr>
        <w:t>、评价结论</w:t>
      </w:r>
    </w:p>
    <w:p>
      <w:pPr>
        <w:spacing w:line="240" w:lineRule="auto"/>
        <w:ind w:left="0" w:leftChars="0" w:firstLine="600" w:firstLineChars="200"/>
        <w:jc w:val="both"/>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综合各项评价内容来看，茂县人民法院审判庭扩建工程项目</w:t>
      </w:r>
      <w:r>
        <w:rPr>
          <w:rFonts w:hint="default" w:ascii="仿宋_GB2312" w:hAnsi="宋体" w:eastAsia="仿宋_GB2312"/>
          <w:sz w:val="30"/>
          <w:szCs w:val="30"/>
          <w:lang w:val="en-US" w:eastAsia="zh-CN"/>
        </w:rPr>
        <w:t>评价总分</w:t>
      </w:r>
      <w:r>
        <w:rPr>
          <w:rFonts w:hint="eastAsia" w:ascii="仿宋_GB2312" w:hAnsi="宋体" w:eastAsia="仿宋_GB2312"/>
          <w:sz w:val="30"/>
          <w:szCs w:val="30"/>
          <w:lang w:val="en-US" w:eastAsia="zh-CN"/>
        </w:rPr>
        <w:t>95.4分，在过紧日子的背景下，茂县人民法院通过优化采购等方式，降低了建设成本、提升了项目建设实施方案的可行性。</w:t>
      </w:r>
    </w:p>
    <w:p>
      <w:pPr>
        <w:pStyle w:val="6"/>
        <w:keepNext w:val="0"/>
        <w:keepLines w:val="0"/>
        <w:pageBreakBefore w:val="0"/>
        <w:numPr>
          <w:ilvl w:val="0"/>
          <w:numId w:val="0"/>
        </w:numPr>
        <w:tabs>
          <w:tab w:val="left" w:pos="2160"/>
        </w:tabs>
        <w:kinsoku/>
        <w:wordWrap/>
        <w:overflowPunct/>
        <w:topLinePunct w:val="0"/>
        <w:autoSpaceDE/>
        <w:autoSpaceDN/>
        <w:bidi w:val="0"/>
        <w:adjustRightInd/>
        <w:spacing w:line="240" w:lineRule="auto"/>
        <w:ind w:firstLine="643" w:firstLineChars="200"/>
        <w:textAlignment w:val="auto"/>
        <w:rPr>
          <w:rFonts w:hint="default" w:ascii="Times New Roman" w:hAnsi="Times New Roman" w:eastAsia="黑体" w:cs="Times New Roman"/>
          <w:b/>
          <w:bCs/>
          <w:color w:val="auto"/>
          <w:sz w:val="32"/>
          <w:szCs w:val="32"/>
          <w:highlight w:val="none"/>
          <w:u w:val="none"/>
          <w:lang w:eastAsia="zh-CN"/>
        </w:rPr>
      </w:pPr>
      <w:r>
        <w:rPr>
          <w:rFonts w:hint="default" w:ascii="Times New Roman" w:hAnsi="Times New Roman" w:cs="Times New Roman"/>
          <w:b/>
          <w:bCs/>
          <w:color w:val="auto"/>
          <w:sz w:val="32"/>
          <w:szCs w:val="32"/>
          <w:highlight w:val="none"/>
          <w:u w:val="none"/>
          <w:lang w:eastAsia="zh-CN"/>
        </w:rPr>
        <w:t>五、</w:t>
      </w:r>
      <w:r>
        <w:rPr>
          <w:rFonts w:hint="default" w:ascii="Times New Roman" w:hAnsi="Times New Roman" w:eastAsia="黑体" w:cs="Times New Roman"/>
          <w:b/>
          <w:bCs/>
          <w:color w:val="auto"/>
          <w:sz w:val="32"/>
          <w:szCs w:val="32"/>
          <w:highlight w:val="none"/>
          <w:u w:val="none"/>
          <w:lang w:eastAsia="zh-CN"/>
        </w:rPr>
        <w:t>存在主要问题</w:t>
      </w:r>
    </w:p>
    <w:p>
      <w:pPr>
        <w:pStyle w:val="6"/>
        <w:keepNext w:val="0"/>
        <w:keepLines w:val="0"/>
        <w:pageBreakBefore w:val="0"/>
        <w:numPr>
          <w:ilvl w:val="0"/>
          <w:numId w:val="0"/>
        </w:numPr>
        <w:tabs>
          <w:tab w:val="left" w:pos="2160"/>
        </w:tabs>
        <w:kinsoku/>
        <w:wordWrap/>
        <w:overflowPunct/>
        <w:topLinePunct w:val="0"/>
        <w:autoSpaceDE/>
        <w:autoSpaceDN/>
        <w:bidi w:val="0"/>
        <w:adjustRightInd/>
        <w:spacing w:line="240" w:lineRule="auto"/>
        <w:ind w:firstLine="643" w:firstLineChars="200"/>
        <w:textAlignment w:val="auto"/>
        <w:rPr>
          <w:rFonts w:hint="eastAsia" w:ascii="仿宋_GB2312" w:hAnsi="宋体" w:eastAsia="仿宋_GB2312" w:cs="Times New Roman"/>
          <w:kern w:val="2"/>
          <w:sz w:val="30"/>
          <w:szCs w:val="30"/>
          <w:lang w:val="en-US" w:eastAsia="zh-CN" w:bidi="ar-SA"/>
        </w:rPr>
      </w:pPr>
      <w:r>
        <w:rPr>
          <w:rFonts w:hint="eastAsia" w:ascii="Times New Roman" w:hAnsi="Times New Roman" w:eastAsia="楷体_GB2312" w:cs="Times New Roman"/>
          <w:b/>
          <w:color w:val="000000"/>
          <w:kern w:val="2"/>
          <w:position w:val="0"/>
          <w:sz w:val="32"/>
          <w:szCs w:val="32"/>
          <w:highlight w:val="none"/>
          <w:u w:val="none"/>
          <w:lang w:val="en-US" w:eastAsia="zh-CN" w:bidi="ar-SA"/>
        </w:rPr>
        <w:t>（一）项目实施过程中的监督和管理机制有待加强。</w:t>
      </w:r>
      <w:r>
        <w:rPr>
          <w:rFonts w:hint="eastAsia" w:ascii="仿宋_GB2312" w:hAnsi="宋体" w:eastAsia="仿宋_GB2312" w:cs="Times New Roman"/>
          <w:kern w:val="2"/>
          <w:sz w:val="30"/>
          <w:szCs w:val="30"/>
          <w:lang w:val="en-US" w:eastAsia="zh-CN" w:bidi="ar-SA"/>
        </w:rPr>
        <w:t>在</w:t>
      </w:r>
      <w:r>
        <w:rPr>
          <w:rFonts w:hint="eastAsia" w:ascii="仿宋_GB2312" w:hAnsi="宋体" w:eastAsia="仿宋_GB2312" w:cs="Times New Roman"/>
          <w:kern w:val="2"/>
          <w:sz w:val="32"/>
          <w:szCs w:val="32"/>
          <w:lang w:val="en-US" w:eastAsia="zh-CN" w:bidi="ar-SA"/>
        </w:rPr>
        <w:t>绩效考评指标的设计上，部分特色指标缺乏数据支持和可行的分析测评，绩效指标体系有待完善。</w:t>
      </w:r>
    </w:p>
    <w:p>
      <w:pPr>
        <w:pStyle w:val="6"/>
        <w:keepNext w:val="0"/>
        <w:keepLines w:val="0"/>
        <w:pageBreakBefore w:val="0"/>
        <w:numPr>
          <w:ilvl w:val="0"/>
          <w:numId w:val="0"/>
        </w:numPr>
        <w:tabs>
          <w:tab w:val="left" w:pos="2160"/>
        </w:tabs>
        <w:kinsoku/>
        <w:wordWrap/>
        <w:overflowPunct/>
        <w:topLinePunct w:val="0"/>
        <w:autoSpaceDE/>
        <w:autoSpaceDN/>
        <w:bidi w:val="0"/>
        <w:adjustRightInd/>
        <w:spacing w:line="240" w:lineRule="auto"/>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Times New Roman" w:hAnsi="Times New Roman" w:eastAsia="楷体_GB2312" w:cs="Times New Roman"/>
          <w:b/>
          <w:color w:val="000000"/>
          <w:kern w:val="2"/>
          <w:position w:val="0"/>
          <w:sz w:val="32"/>
          <w:szCs w:val="32"/>
          <w:highlight w:val="none"/>
          <w:u w:val="none"/>
          <w:lang w:val="en-US" w:eastAsia="zh-CN" w:bidi="ar-SA"/>
        </w:rPr>
        <w:t>（二）决策依据不足。</w:t>
      </w:r>
      <w:r>
        <w:rPr>
          <w:rFonts w:hint="eastAsia" w:ascii="仿宋_GB2312" w:hAnsi="仿宋_GB2312" w:eastAsia="仿宋_GB2312" w:cs="仿宋_GB2312"/>
          <w:color w:val="auto"/>
          <w:sz w:val="32"/>
          <w:szCs w:val="32"/>
          <w:lang w:val="en-US" w:eastAsia="zh-CN"/>
        </w:rPr>
        <w:t>未开展可行性研究，可能导致项目需求与实际需求脱节。</w:t>
      </w:r>
    </w:p>
    <w:p>
      <w:pPr>
        <w:pStyle w:val="6"/>
        <w:keepNext w:val="0"/>
        <w:keepLines w:val="0"/>
        <w:pageBreakBefore w:val="0"/>
        <w:numPr>
          <w:ilvl w:val="0"/>
          <w:numId w:val="0"/>
        </w:numPr>
        <w:tabs>
          <w:tab w:val="left" w:pos="2160"/>
        </w:tabs>
        <w:kinsoku/>
        <w:wordWrap/>
        <w:overflowPunct/>
        <w:topLinePunct w:val="0"/>
        <w:autoSpaceDE/>
        <w:autoSpaceDN/>
        <w:bidi w:val="0"/>
        <w:adjustRightInd/>
        <w:spacing w:line="240" w:lineRule="auto"/>
        <w:ind w:firstLine="643" w:firstLineChars="200"/>
        <w:textAlignment w:val="auto"/>
        <w:rPr>
          <w:rFonts w:hint="default" w:ascii="Times New Roman" w:hAnsi="Times New Roman" w:eastAsia="黑体" w:cs="Times New Roman"/>
          <w:b/>
          <w:bCs/>
          <w:color w:val="auto"/>
          <w:kern w:val="0"/>
          <w:position w:val="3"/>
          <w:sz w:val="32"/>
          <w:szCs w:val="32"/>
          <w:highlight w:val="none"/>
          <w:u w:val="none"/>
          <w:lang w:val="zh-CN" w:eastAsia="zh-CN" w:bidi="ar-SA"/>
        </w:rPr>
      </w:pPr>
      <w:r>
        <w:rPr>
          <w:rFonts w:hint="default" w:ascii="Times New Roman" w:hAnsi="Times New Roman" w:eastAsia="黑体" w:cs="Times New Roman"/>
          <w:b/>
          <w:bCs/>
          <w:color w:val="auto"/>
          <w:kern w:val="0"/>
          <w:position w:val="3"/>
          <w:sz w:val="32"/>
          <w:szCs w:val="32"/>
          <w:highlight w:val="none"/>
          <w:u w:val="none"/>
          <w:lang w:val="zh-CN" w:eastAsia="zh-CN" w:bidi="ar-SA"/>
        </w:rPr>
        <w:t>六、改进建议</w:t>
      </w:r>
    </w:p>
    <w:p>
      <w:pPr>
        <w:keepNext w:val="0"/>
        <w:keepLines w:val="0"/>
        <w:pageBreakBefore w:val="0"/>
        <w:tabs>
          <w:tab w:val="left" w:pos="1911"/>
        </w:tabs>
        <w:kinsoku/>
        <w:wordWrap/>
        <w:overflowPunct/>
        <w:topLinePunct w:val="0"/>
        <w:autoSpaceDE/>
        <w:autoSpaceDN/>
        <w:bidi w:val="0"/>
        <w:spacing w:line="240" w:lineRule="auto"/>
        <w:ind w:firstLine="643" w:firstLineChars="200"/>
        <w:jc w:val="left"/>
        <w:textAlignment w:val="auto"/>
        <w:rPr>
          <w:rFonts w:hint="eastAsia" w:ascii="仿宋_GB2312" w:hAnsi="仿宋_GB2312" w:eastAsia="仿宋_GB2312" w:cs="仿宋_GB2312"/>
          <w:color w:val="auto"/>
          <w:sz w:val="32"/>
          <w:szCs w:val="32"/>
          <w:lang w:val="en-US" w:eastAsia="zh-CN"/>
        </w:rPr>
      </w:pPr>
      <w:r>
        <w:rPr>
          <w:rFonts w:hint="eastAsia" w:ascii="Times New Roman" w:hAnsi="Times New Roman" w:eastAsia="楷体_GB2312" w:cs="Times New Roman"/>
          <w:b/>
          <w:color w:val="000000"/>
          <w:kern w:val="2"/>
          <w:position w:val="0"/>
          <w:sz w:val="32"/>
          <w:szCs w:val="32"/>
          <w:highlight w:val="none"/>
          <w:u w:val="none"/>
          <w:lang w:val="en-US" w:eastAsia="zh-CN" w:bidi="ar-SA"/>
        </w:rPr>
        <w:t>（一）完善监督和管理机制。</w:t>
      </w:r>
      <w:r>
        <w:rPr>
          <w:rFonts w:hint="eastAsia" w:ascii="仿宋_GB2312" w:hAnsi="仿宋_GB2312" w:eastAsia="仿宋_GB2312" w:cs="仿宋_GB2312"/>
          <w:color w:val="auto"/>
          <w:sz w:val="32"/>
          <w:szCs w:val="32"/>
          <w:lang w:val="en-US" w:eastAsia="zh-CN"/>
        </w:rPr>
        <w:t>加强对绩效考评指标设计的研究，确保特色指标有数据支持和可行的分析测评，完善绩效指标体系。</w:t>
      </w:r>
    </w:p>
    <w:p>
      <w:pPr>
        <w:keepNext w:val="0"/>
        <w:keepLines w:val="0"/>
        <w:pageBreakBefore w:val="0"/>
        <w:tabs>
          <w:tab w:val="left" w:pos="1911"/>
        </w:tabs>
        <w:kinsoku/>
        <w:wordWrap/>
        <w:overflowPunct/>
        <w:topLinePunct w:val="0"/>
        <w:autoSpaceDE/>
        <w:autoSpaceDN/>
        <w:bidi w:val="0"/>
        <w:spacing w:line="240" w:lineRule="auto"/>
        <w:ind w:firstLine="643" w:firstLineChars="200"/>
        <w:jc w:val="left"/>
        <w:textAlignment w:val="auto"/>
        <w:rPr>
          <w:rFonts w:hint="default" w:ascii="仿宋_GB2312" w:hAnsi="仿宋_GB2312" w:eastAsia="仿宋_GB2312" w:cs="仿宋_GB2312"/>
          <w:color w:val="auto"/>
          <w:sz w:val="32"/>
          <w:szCs w:val="32"/>
          <w:lang w:val="en-US" w:eastAsia="zh-CN"/>
        </w:rPr>
      </w:pPr>
      <w:r>
        <w:rPr>
          <w:rFonts w:hint="eastAsia" w:ascii="Times New Roman" w:hAnsi="Times New Roman" w:eastAsia="楷体_GB2312" w:cs="Times New Roman"/>
          <w:b/>
          <w:color w:val="000000"/>
          <w:kern w:val="2"/>
          <w:position w:val="0"/>
          <w:sz w:val="32"/>
          <w:szCs w:val="32"/>
          <w:highlight w:val="none"/>
          <w:u w:val="none"/>
          <w:lang w:val="en-US" w:eastAsia="zh-CN" w:bidi="ar-SA"/>
        </w:rPr>
        <w:t>（二）以问题为导向。</w:t>
      </w:r>
      <w:r>
        <w:rPr>
          <w:rFonts w:hint="eastAsia" w:ascii="仿宋_GB2312" w:hAnsi="仿宋_GB2312" w:eastAsia="仿宋_GB2312" w:cs="仿宋_GB2312"/>
          <w:color w:val="auto"/>
          <w:sz w:val="32"/>
          <w:szCs w:val="32"/>
          <w:lang w:val="en-US" w:eastAsia="zh-CN"/>
        </w:rPr>
        <w:t>通过</w:t>
      </w:r>
      <w:r>
        <w:rPr>
          <w:rFonts w:hint="default" w:ascii="仿宋_GB2312" w:hAnsi="仿宋_GB2312" w:eastAsia="仿宋_GB2312" w:cs="仿宋_GB2312"/>
          <w:color w:val="auto"/>
          <w:sz w:val="32"/>
          <w:szCs w:val="32"/>
          <w:lang w:val="en-US" w:eastAsia="zh-CN"/>
        </w:rPr>
        <w:t>补程序、强监督、重绩效三重措施，确保项目“建得成、用得好、可持续”</w:t>
      </w:r>
      <w:r>
        <w:rPr>
          <w:rFonts w:hint="eastAsia" w:ascii="仿宋_GB2312" w:hAnsi="仿宋_GB2312" w:cs="仿宋_GB2312"/>
          <w:color w:val="auto"/>
          <w:sz w:val="32"/>
          <w:szCs w:val="32"/>
          <w:lang w:val="en-US" w:eastAsia="zh-CN"/>
        </w:rPr>
        <w:t>，同时</w:t>
      </w:r>
      <w:r>
        <w:rPr>
          <w:rFonts w:hint="default" w:ascii="仿宋_GB2312" w:hAnsi="仿宋_GB2312" w:eastAsia="仿宋_GB2312" w:cs="仿宋_GB2312"/>
          <w:color w:val="auto"/>
          <w:sz w:val="32"/>
          <w:szCs w:val="32"/>
          <w:lang w:val="en-US" w:eastAsia="zh-CN"/>
        </w:rPr>
        <w:t>兼顾技术先进性与文化适应性。</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right"/>
        <w:textAlignment w:val="auto"/>
        <w:rPr>
          <w:rFonts w:hint="eastAsia" w:ascii="Times New Roman" w:hAnsi="Times New Roman" w:eastAsia="仿宋_GB2312" w:cs="仿宋"/>
          <w:color w:val="auto"/>
          <w:sz w:val="32"/>
          <w:szCs w:val="32"/>
          <w:lang w:val="en-US" w:eastAsia="zh-CN"/>
        </w:rPr>
      </w:pPr>
    </w:p>
    <w:p>
      <w:pPr>
        <w:keepNext w:val="0"/>
        <w:keepLines w:val="0"/>
        <w:pageBreakBefore w:val="0"/>
        <w:tabs>
          <w:tab w:val="left" w:pos="1911"/>
        </w:tabs>
        <w:kinsoku/>
        <w:wordWrap/>
        <w:overflowPunct/>
        <w:topLinePunct w:val="0"/>
        <w:autoSpaceDE/>
        <w:autoSpaceDN/>
        <w:bidi w:val="0"/>
        <w:spacing w:line="240" w:lineRule="auto"/>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附表：1.</w:t>
      </w:r>
      <w:r>
        <w:rPr>
          <w:rFonts w:hint="eastAsia" w:ascii="仿宋_GB2312" w:hAnsi="仿宋_GB2312" w:eastAsia="仿宋_GB2312" w:cs="仿宋_GB2312"/>
          <w:color w:val="auto"/>
          <w:sz w:val="32"/>
          <w:szCs w:val="32"/>
          <w:lang w:val="en-US" w:eastAsia="zh-CN"/>
        </w:rPr>
        <w:t>专项</w:t>
      </w:r>
      <w:r>
        <w:rPr>
          <w:rFonts w:hint="default" w:ascii="仿宋_GB2312" w:hAnsi="仿宋_GB2312" w:eastAsia="仿宋_GB2312" w:cs="仿宋_GB2312"/>
          <w:color w:val="auto"/>
          <w:sz w:val="32"/>
          <w:szCs w:val="32"/>
          <w:lang w:val="en-US" w:eastAsia="zh-CN"/>
        </w:rPr>
        <w:t>预算绩效自评打分表</w:t>
      </w:r>
    </w:p>
    <w:p>
      <w:pPr>
        <w:keepNext w:val="0"/>
        <w:keepLines w:val="0"/>
        <w:pageBreakBefore w:val="0"/>
        <w:tabs>
          <w:tab w:val="left" w:pos="1911"/>
        </w:tabs>
        <w:kinsoku/>
        <w:wordWrap/>
        <w:overflowPunct/>
        <w:topLinePunct w:val="0"/>
        <w:autoSpaceDE/>
        <w:autoSpaceDN/>
        <w:bidi w:val="0"/>
        <w:spacing w:line="240" w:lineRule="auto"/>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2.专项预算绩效自评实地踏勘点位清单表</w:t>
      </w:r>
    </w:p>
    <w:p>
      <w:pPr>
        <w:keepNext w:val="0"/>
        <w:keepLines w:val="0"/>
        <w:pageBreakBefore w:val="0"/>
        <w:tabs>
          <w:tab w:val="left" w:pos="1911"/>
        </w:tabs>
        <w:kinsoku/>
        <w:wordWrap/>
        <w:overflowPunct/>
        <w:topLinePunct w:val="0"/>
        <w:autoSpaceDE/>
        <w:autoSpaceDN/>
        <w:bidi w:val="0"/>
        <w:spacing w:line="240" w:lineRule="auto"/>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w:t>
      </w:r>
      <w:r>
        <w:rPr>
          <w:rFonts w:hint="default" w:ascii="仿宋_GB2312" w:hAnsi="仿宋_GB2312" w:eastAsia="仿宋_GB2312" w:cs="仿宋_GB2312"/>
          <w:color w:val="auto"/>
          <w:sz w:val="32"/>
          <w:szCs w:val="32"/>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240" w:lineRule="auto"/>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240" w:lineRule="auto"/>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7"/>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1590"/>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4"/>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黑体" w:cs="黑体"/>
                <w:i w:val="0"/>
                <w:color w:val="000000"/>
                <w:sz w:val="24"/>
                <w:szCs w:val="24"/>
                <w:u w:val="none"/>
              </w:rPr>
            </w:pPr>
            <w:r>
              <w:rPr>
                <w:rFonts w:hint="eastAsia" w:ascii="Times New Roman" w:hAnsi="Times New Roman"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黑体" w:cs="黑体"/>
                <w:i w:val="0"/>
                <w:color w:val="000000"/>
                <w:sz w:val="24"/>
                <w:szCs w:val="24"/>
                <w:u w:val="none"/>
              </w:rPr>
            </w:pPr>
            <w:r>
              <w:rPr>
                <w:rFonts w:hint="eastAsia" w:ascii="Times New Roman" w:hAnsi="Times New Roman"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黑体" w:cs="黑体"/>
                <w:i w:val="0"/>
                <w:color w:val="000000"/>
                <w:kern w:val="0"/>
                <w:sz w:val="24"/>
                <w:szCs w:val="24"/>
                <w:u w:val="none"/>
                <w:lang w:val="en-US" w:eastAsia="zh-CN" w:bidi="ar"/>
              </w:rPr>
            </w:pPr>
            <w:r>
              <w:rPr>
                <w:rFonts w:hint="eastAsia" w:ascii="Times New Roman" w:hAnsi="Times New Roman"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黑体" w:cs="黑体"/>
                <w:i w:val="0"/>
                <w:color w:val="000000"/>
                <w:kern w:val="0"/>
                <w:sz w:val="24"/>
                <w:szCs w:val="24"/>
                <w:u w:val="none"/>
                <w:lang w:val="en-US" w:eastAsia="zh-CN" w:bidi="ar"/>
              </w:rPr>
            </w:pPr>
            <w:r>
              <w:rPr>
                <w:rFonts w:hint="eastAsia" w:ascii="Times New Roman" w:hAnsi="Times New Roman"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黑体" w:cs="黑体"/>
                <w:i w:val="0"/>
                <w:color w:val="000000"/>
                <w:sz w:val="24"/>
                <w:szCs w:val="24"/>
                <w:u w:val="none"/>
              </w:rPr>
            </w:pPr>
            <w:r>
              <w:rPr>
                <w:rFonts w:hint="eastAsia" w:ascii="Times New Roman" w:hAnsi="Times New Roman" w:eastAsia="黑体" w:cs="黑体"/>
                <w:i w:val="0"/>
                <w:color w:val="000000"/>
                <w:kern w:val="0"/>
                <w:sz w:val="24"/>
                <w:szCs w:val="24"/>
                <w:u w:val="none"/>
                <w:lang w:val="en-US" w:eastAsia="zh-CN" w:bidi="ar"/>
              </w:rPr>
              <w:t>一级指标</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黑体" w:cs="黑体"/>
                <w:i w:val="0"/>
                <w:color w:val="000000"/>
                <w:sz w:val="24"/>
                <w:szCs w:val="24"/>
                <w:u w:val="none"/>
              </w:rPr>
            </w:pPr>
            <w:r>
              <w:rPr>
                <w:rFonts w:hint="eastAsia" w:ascii="Times New Roman" w:hAnsi="Times New Roman"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黑体" w:cs="黑体"/>
                <w:i w:val="0"/>
                <w:color w:val="000000"/>
                <w:sz w:val="24"/>
                <w:szCs w:val="24"/>
                <w:u w:val="none"/>
              </w:rPr>
            </w:pPr>
            <w:r>
              <w:rPr>
                <w:rFonts w:hint="eastAsia" w:ascii="Times New Roman" w:hAnsi="Times New Roman"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黑体" w:cs="黑体"/>
                <w:i w:val="0"/>
                <w:color w:val="000000"/>
                <w:sz w:val="24"/>
                <w:szCs w:val="24"/>
                <w:u w:val="none"/>
              </w:rPr>
            </w:pPr>
            <w:r>
              <w:rPr>
                <w:rFonts w:hint="eastAsia" w:ascii="Times New Roman" w:hAnsi="Times New Roman" w:eastAsia="黑体" w:cs="黑体"/>
                <w:i w:val="0"/>
                <w:color w:val="000000"/>
                <w:kern w:val="0"/>
                <w:sz w:val="24"/>
                <w:szCs w:val="24"/>
                <w:u w:val="none"/>
                <w:lang w:val="en-US" w:eastAsia="zh-CN" w:bidi="ar"/>
              </w:rPr>
              <w:t>指标</w:t>
            </w:r>
            <w:r>
              <w:rPr>
                <w:rFonts w:hint="eastAsia" w:ascii="Times New Roman" w:hAnsi="Times New Roman" w:eastAsia="黑体" w:cs="黑体"/>
                <w:i w:val="0"/>
                <w:color w:val="000000"/>
                <w:kern w:val="0"/>
                <w:sz w:val="24"/>
                <w:szCs w:val="24"/>
                <w:u w:val="none"/>
                <w:lang w:val="en-US" w:eastAsia="zh-CN" w:bidi="ar"/>
              </w:rPr>
              <w:br w:type="textWrapping"/>
            </w:r>
            <w:r>
              <w:rPr>
                <w:rFonts w:hint="eastAsia" w:ascii="Times New Roman" w:hAnsi="Times New Roman"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b/>
                <w:i w:val="0"/>
                <w:color w:val="000000"/>
                <w:sz w:val="24"/>
                <w:szCs w:val="24"/>
                <w:u w:val="none"/>
              </w:rPr>
            </w:pPr>
            <w:r>
              <w:rPr>
                <w:rFonts w:hint="eastAsia" w:ascii="Times New Roman" w:hAnsi="Times New Roman" w:eastAsia="宋体" w:cs="宋体"/>
                <w:b/>
                <w:i w:val="0"/>
                <w:color w:val="000000"/>
                <w:kern w:val="0"/>
                <w:sz w:val="24"/>
                <w:szCs w:val="24"/>
                <w:u w:val="none"/>
                <w:lang w:val="en-US" w:eastAsia="zh-CN" w:bidi="ar"/>
              </w:rPr>
              <w:t>通用指标</w:t>
            </w:r>
            <w:r>
              <w:rPr>
                <w:rFonts w:hint="eastAsia" w:ascii="Times New Roman" w:hAnsi="Times New Roman" w:eastAsia="宋体" w:cs="宋体"/>
                <w:b/>
                <w:i w:val="0"/>
                <w:color w:val="000000"/>
                <w:kern w:val="0"/>
                <w:sz w:val="24"/>
                <w:szCs w:val="24"/>
                <w:u w:val="none"/>
                <w:lang w:val="en-US" w:eastAsia="zh-CN" w:bidi="ar"/>
              </w:rPr>
              <w:br w:type="textWrapping"/>
            </w:r>
            <w:r>
              <w:rPr>
                <w:rFonts w:hint="eastAsia" w:ascii="Times New Roman" w:hAnsi="Times New Roman" w:eastAsia="宋体" w:cs="宋体"/>
                <w:b/>
                <w:i w:val="0"/>
                <w:color w:val="000000"/>
                <w:kern w:val="0"/>
                <w:sz w:val="24"/>
                <w:szCs w:val="24"/>
                <w:u w:val="none"/>
                <w:lang w:val="en-US" w:eastAsia="zh-CN" w:bidi="ar"/>
              </w:rPr>
              <w:t>（54分）</w:t>
            </w:r>
          </w:p>
        </w:tc>
        <w:tc>
          <w:tcPr>
            <w:tcW w:w="15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b/>
                <w:i w:val="0"/>
                <w:color w:val="000000"/>
                <w:sz w:val="24"/>
                <w:szCs w:val="24"/>
                <w:u w:val="none"/>
              </w:rPr>
            </w:pPr>
            <w:r>
              <w:rPr>
                <w:rFonts w:hint="eastAsia" w:ascii="Times New Roman" w:hAnsi="Times New Roman" w:eastAsia="宋体" w:cs="宋体"/>
                <w:b/>
                <w:i w:val="0"/>
                <w:color w:val="000000"/>
                <w:kern w:val="0"/>
                <w:sz w:val="24"/>
                <w:szCs w:val="24"/>
                <w:u w:val="none"/>
                <w:lang w:val="en-US" w:eastAsia="zh-CN" w:bidi="ar"/>
              </w:rPr>
              <w:t>项目决策</w:t>
            </w:r>
            <w:r>
              <w:rPr>
                <w:rFonts w:hint="eastAsia" w:ascii="Times New Roman" w:hAnsi="Times New Roman" w:eastAsia="宋体" w:cs="宋体"/>
                <w:b/>
                <w:i w:val="0"/>
                <w:color w:val="000000"/>
                <w:kern w:val="0"/>
                <w:sz w:val="24"/>
                <w:szCs w:val="24"/>
                <w:u w:val="none"/>
                <w:lang w:val="en-US" w:eastAsia="zh-CN" w:bidi="ar"/>
              </w:rPr>
              <w:br w:type="textWrapping"/>
            </w:r>
            <w:r>
              <w:rPr>
                <w:rFonts w:hint="eastAsia" w:ascii="Times New Roman" w:hAnsi="Times New Roman"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宋体"/>
                <w:i w:val="0"/>
                <w:color w:val="000000"/>
                <w:kern w:val="0"/>
                <w:sz w:val="24"/>
                <w:szCs w:val="24"/>
                <w:u w:val="none"/>
                <w:lang w:val="en-US" w:eastAsia="zh-CN" w:bidi="ar"/>
              </w:rPr>
            </w:pPr>
            <w:r>
              <w:rPr>
                <w:rFonts w:hint="eastAsia"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宋体"/>
                <w:b/>
                <w:i w:val="0"/>
                <w:color w:val="000000"/>
                <w:sz w:val="24"/>
                <w:szCs w:val="24"/>
                <w:u w:val="none"/>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宋体"/>
                <w:i w:val="0"/>
                <w:color w:val="000000"/>
                <w:kern w:val="0"/>
                <w:sz w:val="24"/>
                <w:szCs w:val="24"/>
                <w:u w:val="none"/>
                <w:lang w:val="en-US" w:eastAsia="zh-CN" w:bidi="ar"/>
              </w:rPr>
            </w:pPr>
            <w:r>
              <w:rPr>
                <w:rFonts w:hint="eastAsia"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宋体"/>
                <w:b/>
                <w:i w:val="0"/>
                <w:color w:val="000000"/>
                <w:sz w:val="24"/>
                <w:szCs w:val="24"/>
                <w:u w:val="none"/>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宋体"/>
                <w:i w:val="0"/>
                <w:color w:val="000000"/>
                <w:kern w:val="0"/>
                <w:sz w:val="24"/>
                <w:szCs w:val="24"/>
                <w:u w:val="none"/>
                <w:lang w:val="en-US" w:eastAsia="zh-CN" w:bidi="ar"/>
              </w:rPr>
            </w:pPr>
            <w:r>
              <w:rPr>
                <w:rFonts w:hint="eastAsia"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宋体"/>
                <w:b/>
                <w:i w:val="0"/>
                <w:color w:val="000000"/>
                <w:sz w:val="24"/>
                <w:szCs w:val="24"/>
                <w:u w:val="none"/>
              </w:rPr>
            </w:pPr>
          </w:p>
        </w:tc>
        <w:tc>
          <w:tcPr>
            <w:tcW w:w="15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b/>
                <w:i w:val="0"/>
                <w:color w:val="000000"/>
                <w:sz w:val="24"/>
                <w:szCs w:val="24"/>
                <w:u w:val="none"/>
              </w:rPr>
            </w:pPr>
            <w:r>
              <w:rPr>
                <w:rFonts w:hint="eastAsia" w:ascii="Times New Roman" w:hAnsi="Times New Roman" w:eastAsia="宋体" w:cs="宋体"/>
                <w:b/>
                <w:i w:val="0"/>
                <w:color w:val="000000"/>
                <w:kern w:val="0"/>
                <w:sz w:val="24"/>
                <w:szCs w:val="24"/>
                <w:u w:val="none"/>
                <w:lang w:val="en-US" w:eastAsia="zh-CN" w:bidi="ar"/>
              </w:rPr>
              <w:t>项目管理</w:t>
            </w:r>
            <w:r>
              <w:rPr>
                <w:rFonts w:hint="eastAsia" w:ascii="Times New Roman" w:hAnsi="Times New Roman" w:eastAsia="宋体" w:cs="宋体"/>
                <w:b/>
                <w:i w:val="0"/>
                <w:color w:val="000000"/>
                <w:kern w:val="0"/>
                <w:sz w:val="24"/>
                <w:szCs w:val="24"/>
                <w:u w:val="none"/>
                <w:lang w:val="en-US" w:eastAsia="zh-CN" w:bidi="ar"/>
              </w:rPr>
              <w:br w:type="textWrapping"/>
            </w:r>
            <w:r>
              <w:rPr>
                <w:rFonts w:hint="eastAsia" w:ascii="Times New Roman" w:hAnsi="Times New Roman"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宋体"/>
                <w:i w:val="0"/>
                <w:color w:val="000000"/>
                <w:kern w:val="0"/>
                <w:sz w:val="24"/>
                <w:szCs w:val="24"/>
                <w:u w:val="none"/>
                <w:lang w:val="en-US" w:eastAsia="zh-CN" w:bidi="ar"/>
              </w:rPr>
            </w:pPr>
            <w:r>
              <w:rPr>
                <w:rFonts w:hint="eastAsia"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宋体"/>
                <w:b/>
                <w:i w:val="0"/>
                <w:color w:val="000000"/>
                <w:sz w:val="24"/>
                <w:szCs w:val="24"/>
                <w:u w:val="none"/>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宋体"/>
                <w:i w:val="0"/>
                <w:color w:val="000000"/>
                <w:kern w:val="0"/>
                <w:sz w:val="24"/>
                <w:szCs w:val="24"/>
                <w:u w:val="none"/>
                <w:lang w:val="en-US" w:eastAsia="zh-CN" w:bidi="ar"/>
              </w:rPr>
            </w:pPr>
            <w:r>
              <w:rPr>
                <w:rFonts w:hint="eastAsia" w:eastAsia="宋体" w:cs="宋体"/>
                <w:i w:val="0"/>
                <w:color w:val="000000"/>
                <w:kern w:val="0"/>
                <w:sz w:val="24"/>
                <w:szCs w:val="24"/>
                <w:u w:val="none"/>
                <w:lang w:val="en-US" w:eastAsia="zh-CN" w:bidi="ar"/>
              </w:rPr>
              <w:t>9</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宋体"/>
                <w:b/>
                <w:i w:val="0"/>
                <w:color w:val="000000"/>
                <w:sz w:val="24"/>
                <w:szCs w:val="24"/>
                <w:u w:val="none"/>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宋体"/>
                <w:i w:val="0"/>
                <w:color w:val="000000"/>
                <w:kern w:val="0"/>
                <w:sz w:val="24"/>
                <w:szCs w:val="24"/>
                <w:u w:val="none"/>
                <w:lang w:val="en-US" w:eastAsia="zh-CN" w:bidi="ar"/>
              </w:rPr>
            </w:pPr>
            <w:r>
              <w:rPr>
                <w:rFonts w:hint="eastAsia"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宋体"/>
                <w:b/>
                <w:i w:val="0"/>
                <w:color w:val="000000"/>
                <w:sz w:val="24"/>
                <w:szCs w:val="24"/>
                <w:u w:val="none"/>
              </w:rPr>
            </w:pPr>
          </w:p>
        </w:tc>
        <w:tc>
          <w:tcPr>
            <w:tcW w:w="15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b/>
                <w:i w:val="0"/>
                <w:color w:val="000000"/>
                <w:sz w:val="24"/>
                <w:szCs w:val="24"/>
                <w:u w:val="none"/>
              </w:rPr>
            </w:pPr>
            <w:r>
              <w:rPr>
                <w:rFonts w:hint="eastAsia" w:ascii="Times New Roman" w:hAnsi="Times New Roman" w:eastAsia="宋体" w:cs="宋体"/>
                <w:b/>
                <w:i w:val="0"/>
                <w:color w:val="000000"/>
                <w:kern w:val="0"/>
                <w:sz w:val="24"/>
                <w:szCs w:val="24"/>
                <w:u w:val="none"/>
                <w:lang w:val="en-US" w:eastAsia="zh-CN" w:bidi="ar"/>
              </w:rPr>
              <w:t>项目实施</w:t>
            </w:r>
            <w:r>
              <w:rPr>
                <w:rFonts w:hint="eastAsia" w:ascii="Times New Roman" w:hAnsi="Times New Roman" w:eastAsia="宋体" w:cs="宋体"/>
                <w:b/>
                <w:i w:val="0"/>
                <w:color w:val="000000"/>
                <w:kern w:val="0"/>
                <w:sz w:val="24"/>
                <w:szCs w:val="24"/>
                <w:u w:val="none"/>
                <w:lang w:val="en-US" w:eastAsia="zh-CN" w:bidi="ar"/>
              </w:rPr>
              <w:br w:type="textWrapping"/>
            </w:r>
            <w:r>
              <w:rPr>
                <w:rFonts w:hint="eastAsia" w:ascii="Times New Roman" w:hAnsi="Times New Roman"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宋体"/>
                <w:i w:val="0"/>
                <w:color w:val="000000"/>
                <w:kern w:val="0"/>
                <w:sz w:val="24"/>
                <w:szCs w:val="24"/>
                <w:u w:val="none"/>
                <w:lang w:val="en-US" w:eastAsia="zh-CN" w:bidi="ar"/>
              </w:rPr>
            </w:pPr>
            <w:r>
              <w:rPr>
                <w:rFonts w:hint="eastAsia" w:eastAsia="宋体" w:cs="宋体"/>
                <w:i w:val="0"/>
                <w:color w:val="000000"/>
                <w:kern w:val="0"/>
                <w:sz w:val="24"/>
                <w:szCs w:val="24"/>
                <w:u w:val="none"/>
                <w:lang w:val="en-US" w:eastAsia="zh-CN" w:bidi="ar"/>
              </w:rPr>
              <w:t>5.4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宋体"/>
                <w:b/>
                <w:i w:val="0"/>
                <w:color w:val="000000"/>
                <w:sz w:val="24"/>
                <w:szCs w:val="24"/>
                <w:u w:val="none"/>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宋体"/>
                <w:i w:val="0"/>
                <w:color w:val="000000"/>
                <w:kern w:val="0"/>
                <w:sz w:val="24"/>
                <w:szCs w:val="24"/>
                <w:u w:val="none"/>
                <w:lang w:val="en-US" w:eastAsia="zh-CN" w:bidi="ar"/>
              </w:rPr>
            </w:pPr>
            <w:r>
              <w:rPr>
                <w:rFonts w:hint="eastAsia"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宋体"/>
                <w:b/>
                <w:i w:val="0"/>
                <w:color w:val="000000"/>
                <w:sz w:val="24"/>
                <w:szCs w:val="24"/>
                <w:u w:val="none"/>
              </w:rPr>
            </w:pPr>
          </w:p>
        </w:tc>
        <w:tc>
          <w:tcPr>
            <w:tcW w:w="15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b/>
                <w:i w:val="0"/>
                <w:color w:val="000000"/>
                <w:sz w:val="24"/>
                <w:szCs w:val="24"/>
                <w:u w:val="none"/>
              </w:rPr>
            </w:pPr>
            <w:r>
              <w:rPr>
                <w:rFonts w:hint="eastAsia" w:ascii="Times New Roman" w:hAnsi="Times New Roman" w:eastAsia="宋体" w:cs="宋体"/>
                <w:b/>
                <w:i w:val="0"/>
                <w:color w:val="000000"/>
                <w:kern w:val="0"/>
                <w:sz w:val="24"/>
                <w:szCs w:val="24"/>
                <w:u w:val="none"/>
                <w:lang w:val="en-US" w:eastAsia="zh-CN" w:bidi="ar"/>
              </w:rPr>
              <w:t>项目结果</w:t>
            </w:r>
            <w:r>
              <w:rPr>
                <w:rFonts w:hint="eastAsia" w:ascii="Times New Roman" w:hAnsi="Times New Roman" w:eastAsia="宋体" w:cs="宋体"/>
                <w:b/>
                <w:i w:val="0"/>
                <w:color w:val="000000"/>
                <w:kern w:val="0"/>
                <w:sz w:val="24"/>
                <w:szCs w:val="24"/>
                <w:u w:val="none"/>
                <w:lang w:val="en-US" w:eastAsia="zh-CN" w:bidi="ar"/>
              </w:rPr>
              <w:br w:type="textWrapping"/>
            </w:r>
            <w:r>
              <w:rPr>
                <w:rFonts w:hint="eastAsia" w:ascii="Times New Roman" w:hAnsi="Times New Roman"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宋体"/>
                <w:i w:val="0"/>
                <w:color w:val="000000"/>
                <w:kern w:val="0"/>
                <w:sz w:val="24"/>
                <w:szCs w:val="24"/>
                <w:u w:val="none"/>
                <w:lang w:val="en-US" w:eastAsia="zh-CN" w:bidi="ar"/>
              </w:rPr>
            </w:pPr>
            <w:r>
              <w:rPr>
                <w:rFonts w:hint="eastAsia"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jc w:val="center"/>
        </w:trPr>
        <w:tc>
          <w:tcPr>
            <w:tcW w:w="720"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宋体"/>
                <w:b/>
                <w:i w:val="0"/>
                <w:color w:val="000000"/>
                <w:sz w:val="24"/>
                <w:szCs w:val="24"/>
                <w:u w:val="none"/>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宋体"/>
                <w:i w:val="0"/>
                <w:color w:val="000000"/>
                <w:kern w:val="0"/>
                <w:sz w:val="24"/>
                <w:szCs w:val="24"/>
                <w:u w:val="none"/>
                <w:lang w:val="en-US" w:eastAsia="zh-CN" w:bidi="ar"/>
              </w:rPr>
            </w:pPr>
            <w:r>
              <w:rPr>
                <w:rFonts w:hint="eastAsia"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b/>
                <w:i w:val="0"/>
                <w:color w:val="000000"/>
                <w:sz w:val="24"/>
                <w:szCs w:val="24"/>
                <w:u w:val="none"/>
              </w:rPr>
            </w:pPr>
            <w:r>
              <w:rPr>
                <w:rFonts w:hint="eastAsia" w:ascii="Times New Roman" w:hAnsi="Times New Roman" w:eastAsia="宋体" w:cs="宋体"/>
                <w:b/>
                <w:i w:val="0"/>
                <w:color w:val="000000"/>
                <w:kern w:val="0"/>
                <w:sz w:val="24"/>
                <w:szCs w:val="24"/>
                <w:u w:val="none"/>
                <w:lang w:val="en-US" w:eastAsia="zh-CN" w:bidi="ar"/>
              </w:rPr>
              <w:t>专用指标</w:t>
            </w:r>
            <w:r>
              <w:rPr>
                <w:rFonts w:hint="eastAsia" w:ascii="Times New Roman" w:hAnsi="Times New Roman" w:eastAsia="宋体" w:cs="宋体"/>
                <w:b/>
                <w:i w:val="0"/>
                <w:color w:val="000000"/>
                <w:kern w:val="0"/>
                <w:sz w:val="24"/>
                <w:szCs w:val="24"/>
                <w:u w:val="none"/>
                <w:lang w:val="en-US" w:eastAsia="zh-CN" w:bidi="ar"/>
              </w:rPr>
              <w:br w:type="textWrapping"/>
            </w:r>
            <w:r>
              <w:rPr>
                <w:rFonts w:hint="eastAsia" w:ascii="Times New Roman" w:hAnsi="Times New Roman" w:eastAsia="宋体" w:cs="宋体"/>
                <w:b/>
                <w:i w:val="0"/>
                <w:color w:val="000000"/>
                <w:kern w:val="0"/>
                <w:sz w:val="24"/>
                <w:szCs w:val="24"/>
                <w:u w:val="none"/>
                <w:lang w:val="en-US" w:eastAsia="zh-CN" w:bidi="ar"/>
              </w:rPr>
              <w:t>（30分）</w:t>
            </w:r>
          </w:p>
        </w:tc>
        <w:tc>
          <w:tcPr>
            <w:tcW w:w="15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b/>
                <w:i w:val="0"/>
                <w:color w:val="000000"/>
                <w:kern w:val="0"/>
                <w:sz w:val="24"/>
                <w:szCs w:val="24"/>
                <w:u w:val="none"/>
                <w:lang w:val="en-US" w:eastAsia="zh-CN" w:bidi="ar"/>
              </w:rPr>
            </w:pPr>
            <w:r>
              <w:rPr>
                <w:rFonts w:hint="eastAsia" w:ascii="Times New Roman" w:hAnsi="Times New Roman" w:eastAsia="宋体" w:cs="宋体"/>
                <w:b/>
                <w:i w:val="0"/>
                <w:color w:val="000000"/>
                <w:kern w:val="0"/>
                <w:sz w:val="24"/>
                <w:szCs w:val="24"/>
                <w:u w:val="none"/>
                <w:lang w:val="en-US" w:eastAsia="zh-CN" w:bidi="ar"/>
              </w:rPr>
              <w:t>建成项目</w:t>
            </w:r>
          </w:p>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lang w:val="en-US"/>
              </w:rPr>
            </w:pPr>
            <w:r>
              <w:rPr>
                <w:rFonts w:hint="eastAsia" w:ascii="Times New Roman" w:hAnsi="Times New Roman"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宋体"/>
                <w:i w:val="0"/>
                <w:color w:val="000000"/>
                <w:sz w:val="24"/>
                <w:szCs w:val="24"/>
                <w:u w:val="none"/>
                <w:lang w:val="en-US" w:eastAsia="zh-CN"/>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kern w:val="0"/>
                <w:sz w:val="24"/>
                <w:szCs w:val="24"/>
                <w:u w:val="none"/>
                <w:lang w:val="en-US" w:eastAsia="zh-CN" w:bidi="ar"/>
              </w:rPr>
            </w:pPr>
            <w:r>
              <w:rPr>
                <w:rFonts w:hint="eastAsia" w:ascii="Times New Roman" w:hAnsi="Times New Roman"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Times New Roman" w:hAnsi="Times New Roman"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宋体"/>
                <w:i w:val="0"/>
                <w:color w:val="000000"/>
                <w:kern w:val="0"/>
                <w:sz w:val="24"/>
                <w:szCs w:val="24"/>
                <w:u w:val="none"/>
                <w:lang w:val="en-US" w:eastAsia="zh-CN" w:bidi="ar"/>
              </w:rPr>
            </w:pPr>
            <w:r>
              <w:rPr>
                <w:rFonts w:hint="eastAsia" w:eastAsia="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宋体"/>
                <w:b/>
                <w:i w:val="0"/>
                <w:color w:val="000000"/>
                <w:sz w:val="24"/>
                <w:szCs w:val="24"/>
                <w:u w:val="none"/>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宋体"/>
                <w:i w:val="0"/>
                <w:color w:val="000000"/>
                <w:sz w:val="24"/>
                <w:szCs w:val="24"/>
                <w:u w:val="none"/>
                <w:lang w:val="en-US" w:eastAsia="zh-CN"/>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kern w:val="0"/>
                <w:sz w:val="24"/>
                <w:szCs w:val="24"/>
                <w:u w:val="none"/>
                <w:lang w:val="en-US" w:eastAsia="zh-CN" w:bidi="ar"/>
              </w:rPr>
            </w:pPr>
            <w:r>
              <w:rPr>
                <w:rFonts w:hint="eastAsia" w:ascii="Times New Roman" w:hAnsi="Times New Roman"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Times New Roman" w:hAnsi="Times New Roman"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宋体"/>
                <w:i w:val="0"/>
                <w:color w:val="000000"/>
                <w:kern w:val="0"/>
                <w:sz w:val="24"/>
                <w:szCs w:val="24"/>
                <w:u w:val="none"/>
                <w:lang w:val="en-US" w:eastAsia="zh-CN" w:bidi="ar"/>
              </w:rPr>
            </w:pPr>
            <w:r>
              <w:rPr>
                <w:rFonts w:hint="eastAsia"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宋体"/>
                <w:b/>
                <w:i w:val="0"/>
                <w:color w:val="000000"/>
                <w:sz w:val="24"/>
                <w:szCs w:val="24"/>
                <w:u w:val="none"/>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宋体"/>
                <w:i w:val="0"/>
                <w:color w:val="000000"/>
                <w:sz w:val="24"/>
                <w:szCs w:val="24"/>
                <w:u w:val="none"/>
                <w:lang w:val="en-US" w:eastAsia="zh-CN"/>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kern w:val="0"/>
                <w:sz w:val="24"/>
                <w:szCs w:val="24"/>
                <w:u w:val="none"/>
                <w:lang w:val="en-US" w:eastAsia="zh-CN" w:bidi="ar"/>
              </w:rPr>
            </w:pPr>
            <w:r>
              <w:rPr>
                <w:rFonts w:hint="eastAsia" w:ascii="Times New Roman" w:hAnsi="Times New Roman"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Times New Roman" w:hAnsi="Times New Roman"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宋体"/>
                <w:i w:val="0"/>
                <w:color w:val="000000"/>
                <w:kern w:val="0"/>
                <w:sz w:val="24"/>
                <w:szCs w:val="24"/>
                <w:u w:val="none"/>
                <w:lang w:val="en-US" w:eastAsia="zh-CN" w:bidi="ar"/>
              </w:rPr>
            </w:pPr>
            <w:r>
              <w:rPr>
                <w:rFonts w:hint="eastAsia"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b/>
                <w:i w:val="0"/>
                <w:color w:val="000000"/>
                <w:sz w:val="24"/>
                <w:szCs w:val="24"/>
                <w:u w:val="none"/>
              </w:rPr>
            </w:pPr>
            <w:r>
              <w:rPr>
                <w:rFonts w:hint="eastAsia" w:ascii="Times New Roman" w:hAnsi="Times New Roman" w:eastAsia="宋体" w:cs="宋体"/>
                <w:b/>
                <w:i w:val="0"/>
                <w:color w:val="000000"/>
                <w:kern w:val="0"/>
                <w:sz w:val="24"/>
                <w:szCs w:val="24"/>
                <w:u w:val="none"/>
                <w:lang w:val="en-US" w:eastAsia="zh-CN" w:bidi="ar"/>
              </w:rPr>
              <w:t>个性指标</w:t>
            </w:r>
            <w:r>
              <w:rPr>
                <w:rFonts w:hint="eastAsia" w:ascii="Times New Roman" w:hAnsi="Times New Roman" w:eastAsia="宋体" w:cs="宋体"/>
                <w:b/>
                <w:i w:val="0"/>
                <w:color w:val="000000"/>
                <w:kern w:val="0"/>
                <w:sz w:val="24"/>
                <w:szCs w:val="24"/>
                <w:u w:val="none"/>
                <w:lang w:val="en-US" w:eastAsia="zh-CN" w:bidi="ar"/>
              </w:rPr>
              <w:br w:type="textWrapping"/>
            </w:r>
            <w:r>
              <w:rPr>
                <w:rFonts w:hint="eastAsia" w:ascii="Times New Roman" w:hAnsi="Times New Roman"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宋体"/>
                <w:i w:val="0"/>
                <w:color w:val="000000"/>
                <w:sz w:val="24"/>
                <w:szCs w:val="24"/>
                <w:u w:val="none"/>
                <w:lang w:val="en-US" w:eastAsia="zh-CN"/>
              </w:rPr>
            </w:pPr>
            <w:r>
              <w:rPr>
                <w:rFonts w:hint="eastAsia" w:eastAsia="宋体" w:cs="宋体"/>
                <w:i w:val="0"/>
                <w:color w:val="000000"/>
                <w:sz w:val="24"/>
                <w:szCs w:val="24"/>
                <w:u w:val="none"/>
                <w:lang w:val="en-US" w:eastAsia="zh-CN"/>
              </w:rPr>
              <w:t>保障全院职工生活保障</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lang w:val="en-US" w:eastAsia="zh-CN"/>
              </w:rPr>
            </w:pPr>
            <w:r>
              <w:rPr>
                <w:rFonts w:hint="eastAsia" w:ascii="Times New Roman" w:hAnsi="Times New Roman" w:eastAsia="宋体" w:cs="宋体"/>
                <w:i w:val="0"/>
                <w:color w:val="000000"/>
                <w:sz w:val="24"/>
                <w:szCs w:val="24"/>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宋体"/>
                <w:i w:val="0"/>
                <w:color w:val="000000"/>
                <w:sz w:val="24"/>
                <w:szCs w:val="24"/>
                <w:u w:val="none"/>
                <w:lang w:val="en-US" w:eastAsia="zh-CN"/>
              </w:rPr>
            </w:pPr>
            <w:r>
              <w:rPr>
                <w:rFonts w:hint="eastAsia" w:ascii="Times New Roman" w:hAnsi="Times New Roman" w:eastAsia="宋体" w:cs="宋体"/>
                <w:i w:val="0"/>
                <w:color w:val="000000"/>
                <w:sz w:val="24"/>
                <w:szCs w:val="24"/>
                <w:u w:val="none"/>
                <w:lang w:val="en-US" w:eastAsia="zh-CN"/>
              </w:rPr>
              <w:t>该项</w:t>
            </w:r>
            <w:r>
              <w:rPr>
                <w:rFonts w:hint="eastAsia" w:eastAsia="宋体" w:cs="宋体"/>
                <w:i w:val="0"/>
                <w:color w:val="000000"/>
                <w:sz w:val="24"/>
                <w:szCs w:val="24"/>
                <w:u w:val="none"/>
                <w:lang w:val="en-US" w:eastAsia="zh-CN"/>
              </w:rPr>
              <w:t>指标</w:t>
            </w:r>
            <w:r>
              <w:rPr>
                <w:rFonts w:hint="eastAsia" w:ascii="Times New Roman" w:hAnsi="Times New Roman" w:eastAsia="宋体" w:cs="宋体"/>
                <w:i w:val="0"/>
                <w:color w:val="000000"/>
                <w:sz w:val="24"/>
                <w:szCs w:val="24"/>
                <w:u w:val="none"/>
                <w:lang w:val="en-US" w:eastAsia="zh-CN"/>
              </w:rPr>
              <w:t>是否</w:t>
            </w:r>
            <w:r>
              <w:rPr>
                <w:rFonts w:hint="eastAsia" w:eastAsia="宋体" w:cs="宋体"/>
                <w:i w:val="0"/>
                <w:color w:val="000000"/>
                <w:sz w:val="24"/>
                <w:szCs w:val="24"/>
                <w:u w:val="none"/>
                <w:lang w:val="en-US" w:eastAsia="zh-CN"/>
              </w:rPr>
              <w:t>达到了预期目标值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宋体"/>
                <w:i w:val="0"/>
                <w:color w:val="000000"/>
                <w:kern w:val="0"/>
                <w:sz w:val="24"/>
                <w:szCs w:val="24"/>
                <w:u w:val="none"/>
                <w:lang w:val="en-US" w:eastAsia="zh-CN" w:bidi="ar"/>
              </w:rPr>
            </w:pPr>
            <w:r>
              <w:rPr>
                <w:rFonts w:hint="eastAsia" w:eastAsia="宋体" w:cs="宋体"/>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宋体"/>
                <w:i w:val="0"/>
                <w:color w:val="000000"/>
                <w:sz w:val="24"/>
                <w:szCs w:val="24"/>
                <w:u w:val="none"/>
                <w:lang w:val="en-US" w:eastAsia="zh-CN"/>
              </w:rPr>
            </w:pPr>
            <w:r>
              <w:rPr>
                <w:rFonts w:hint="eastAsia" w:eastAsia="宋体" w:cs="宋体"/>
                <w:i w:val="0"/>
                <w:color w:val="000000"/>
                <w:sz w:val="24"/>
                <w:szCs w:val="24"/>
                <w:u w:val="none"/>
                <w:lang w:val="en-US" w:eastAsia="zh-CN"/>
              </w:rPr>
              <w:t>保障法院后勤正常运转</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lang w:val="en-US" w:eastAsia="zh-CN"/>
              </w:rPr>
            </w:pPr>
            <w:r>
              <w:rPr>
                <w:rFonts w:hint="eastAsia" w:ascii="Times New Roman" w:hAnsi="Times New Roman" w:eastAsia="宋体" w:cs="宋体"/>
                <w:i w:val="0"/>
                <w:color w:val="000000"/>
                <w:sz w:val="24"/>
                <w:szCs w:val="24"/>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宋体"/>
                <w:i w:val="0"/>
                <w:color w:val="000000"/>
                <w:sz w:val="24"/>
                <w:szCs w:val="24"/>
                <w:u w:val="none"/>
                <w:lang w:val="en-US" w:eastAsia="zh-CN"/>
              </w:rPr>
            </w:pPr>
            <w:r>
              <w:rPr>
                <w:rFonts w:hint="eastAsia" w:ascii="Times New Roman" w:hAnsi="Times New Roman" w:eastAsia="宋体" w:cs="宋体"/>
                <w:i w:val="0"/>
                <w:color w:val="000000"/>
                <w:sz w:val="24"/>
                <w:szCs w:val="24"/>
                <w:u w:val="none"/>
                <w:lang w:val="en-US" w:eastAsia="zh-CN"/>
              </w:rPr>
              <w:t>该项</w:t>
            </w:r>
            <w:r>
              <w:rPr>
                <w:rFonts w:hint="eastAsia" w:eastAsia="宋体" w:cs="宋体"/>
                <w:i w:val="0"/>
                <w:color w:val="000000"/>
                <w:sz w:val="24"/>
                <w:szCs w:val="24"/>
                <w:u w:val="none"/>
                <w:lang w:val="en-US" w:eastAsia="zh-CN"/>
              </w:rPr>
              <w:t>指标</w:t>
            </w:r>
            <w:r>
              <w:rPr>
                <w:rFonts w:hint="eastAsia" w:ascii="Times New Roman" w:hAnsi="Times New Roman" w:eastAsia="宋体" w:cs="宋体"/>
                <w:i w:val="0"/>
                <w:color w:val="000000"/>
                <w:sz w:val="24"/>
                <w:szCs w:val="24"/>
                <w:u w:val="none"/>
                <w:lang w:val="en-US" w:eastAsia="zh-CN"/>
              </w:rPr>
              <w:t>是否</w:t>
            </w:r>
            <w:r>
              <w:rPr>
                <w:rFonts w:hint="eastAsia" w:eastAsia="宋体" w:cs="宋体"/>
                <w:i w:val="0"/>
                <w:color w:val="000000"/>
                <w:sz w:val="24"/>
                <w:szCs w:val="24"/>
                <w:u w:val="none"/>
                <w:lang w:val="en-US" w:eastAsia="zh-CN"/>
              </w:rPr>
              <w:t>达到了预期目标值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宋体"/>
                <w:i w:val="0"/>
                <w:color w:val="000000"/>
                <w:sz w:val="24"/>
                <w:szCs w:val="24"/>
                <w:u w:val="none"/>
                <w:lang w:val="en-US" w:eastAsia="zh-CN"/>
              </w:rPr>
            </w:pPr>
            <w:r>
              <w:rPr>
                <w:rFonts w:hint="eastAsia" w:eastAsia="宋体" w:cs="宋体"/>
                <w:i w:val="0"/>
                <w:color w:val="000000"/>
                <w:sz w:val="24"/>
                <w:szCs w:val="24"/>
                <w:u w:val="none"/>
                <w:lang w:val="en-US" w:eastAsia="zh-CN"/>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left"/>
              <w:rPr>
                <w:rFonts w:hint="eastAsia" w:ascii="Times New Roman" w:hAnsi="Times New Roman"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b/>
                <w:i w:val="0"/>
                <w:color w:val="000000"/>
                <w:sz w:val="24"/>
                <w:szCs w:val="24"/>
                <w:u w:val="none"/>
              </w:rPr>
            </w:pPr>
            <w:r>
              <w:rPr>
                <w:rFonts w:hint="eastAsia" w:ascii="Times New Roman" w:hAnsi="Times New Roman" w:eastAsia="宋体" w:cs="宋体"/>
                <w:b/>
                <w:i w:val="0"/>
                <w:color w:val="000000"/>
                <w:kern w:val="0"/>
                <w:sz w:val="24"/>
                <w:szCs w:val="24"/>
                <w:u w:val="none"/>
                <w:lang w:val="en-US" w:eastAsia="zh-CN" w:bidi="ar"/>
              </w:rPr>
              <w:t>扣分项</w:t>
            </w:r>
            <w:r>
              <w:rPr>
                <w:rFonts w:hint="eastAsia" w:ascii="Times New Roman" w:hAnsi="Times New Roman" w:eastAsia="宋体" w:cs="宋体"/>
                <w:b/>
                <w:i w:val="0"/>
                <w:color w:val="000000"/>
                <w:kern w:val="0"/>
                <w:sz w:val="24"/>
                <w:szCs w:val="24"/>
                <w:u w:val="none"/>
                <w:lang w:val="en-US" w:eastAsia="zh-CN" w:bidi="ar"/>
              </w:rPr>
              <w:br w:type="textWrapping"/>
            </w:r>
            <w:r>
              <w:rPr>
                <w:rFonts w:hint="eastAsia" w:ascii="Times New Roman" w:hAnsi="Times New Roman"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被评价</w:t>
            </w:r>
            <w:r>
              <w:rPr>
                <w:rFonts w:hint="eastAsia" w:ascii="Times New Roman" w:hAnsi="Times New Roman" w:eastAsia="宋体" w:cs="宋体"/>
                <w:i w:val="0"/>
                <w:color w:val="000000"/>
                <w:kern w:val="0"/>
                <w:sz w:val="24"/>
                <w:szCs w:val="24"/>
                <w:u w:val="none"/>
                <w:lang w:val="en-US" w:eastAsia="zh-CN" w:bidi="ar"/>
              </w:rPr>
              <w:br w:type="textWrapping"/>
            </w:r>
            <w:r>
              <w:rPr>
                <w:rFonts w:hint="eastAsia" w:ascii="Times New Roman" w:hAnsi="Times New Roman"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sz w:val="24"/>
                <w:szCs w:val="24"/>
                <w:u w:val="none"/>
              </w:rPr>
            </w:pPr>
            <w:r>
              <w:rPr>
                <w:rFonts w:hint="eastAsia" w:ascii="Times New Roman" w:hAnsi="Times New Roman"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imes New Roman" w:hAnsi="Times New Roman" w:eastAsia="宋体" w:cs="宋体"/>
                <w:i w:val="0"/>
                <w:color w:val="000000"/>
                <w:kern w:val="0"/>
                <w:sz w:val="24"/>
                <w:szCs w:val="24"/>
                <w:u w:val="none"/>
                <w:lang w:val="en-US" w:eastAsia="zh-CN" w:bidi="ar"/>
              </w:rPr>
            </w:pPr>
          </w:p>
        </w:tc>
      </w:tr>
    </w:tbl>
    <w:p>
      <w:pPr>
        <w:keepNext w:val="0"/>
        <w:keepLines w:val="0"/>
        <w:pageBreakBefore w:val="0"/>
        <w:kinsoku/>
        <w:wordWrap/>
        <w:overflowPunct/>
        <w:topLinePunct w:val="0"/>
        <w:autoSpaceDE/>
        <w:autoSpaceDN/>
        <w:bidi w:val="0"/>
        <w:adjustRightInd/>
        <w:snapToGrid w:val="0"/>
        <w:spacing w:line="240" w:lineRule="auto"/>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sectPr>
          <w:footerReference r:id="rId7" w:type="default"/>
          <w:pgSz w:w="11906" w:h="16838"/>
          <w:pgMar w:top="1440" w:right="1797" w:bottom="1440" w:left="1797" w:header="851" w:footer="992" w:gutter="0"/>
          <w:pgNumType w:fmt="decimal"/>
          <w:cols w:space="720" w:num="1"/>
          <w:docGrid w:type="lines" w:linePitch="312" w:charSpace="0"/>
        </w:sectPr>
      </w:pP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p>
    <w:tbl>
      <w:tblPr>
        <w:tblStyle w:val="18"/>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茂县人民法院审判庭扩建工程项目</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sectPr>
          <w:pgSz w:w="11906" w:h="16838"/>
          <w:pgMar w:top="1440" w:right="1797" w:bottom="1440" w:left="1797" w:header="851" w:footer="992" w:gutter="0"/>
          <w:pgNumType w:fmt="decimal"/>
          <w:cols w:space="720" w:num="1"/>
          <w:docGrid w:type="lines" w:linePitch="312" w:charSpace="0"/>
        </w:sect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240" w:lineRule="auto"/>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17"/>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rPr>
                <w:rFonts w:hint="default"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审判庭扩建工程</w:t>
            </w:r>
            <w:r>
              <w:rPr>
                <w:rFonts w:hint="default" w:ascii="宋体" w:hAnsi="宋体" w:eastAsia="宋体" w:cs="宋体"/>
                <w:i w:val="0"/>
                <w:color w:val="000000"/>
                <w:sz w:val="21"/>
                <w:szCs w:val="21"/>
                <w:u w:val="none"/>
                <w:lang w:val="en-US" w:eastAsia="zh-CN"/>
              </w:rPr>
              <w:t>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茂县人民法院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一次性项目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jc w:val="left"/>
              <w:rPr>
                <w:rFonts w:hint="eastAsia" w:ascii="宋体" w:hAnsi="宋体" w:eastAsia="宋体" w:cs="宋体"/>
                <w:i w:val="0"/>
                <w:color w:val="000000"/>
                <w:sz w:val="21"/>
                <w:szCs w:val="21"/>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rPr>
                <w:rFonts w:hint="eastAsia" w:ascii="宋体" w:hAnsi="宋体" w:eastAsia="宋体" w:cs="宋体"/>
                <w:i w:val="0"/>
                <w:color w:val="00000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宋体" w:hAnsi="宋体" w:eastAsia="宋体" w:cs="宋体"/>
                <w:i w:val="0"/>
                <w:color w:val="000000"/>
                <w:sz w:val="21"/>
                <w:szCs w:val="21"/>
                <w:u w:val="none"/>
                <w:lang w:val="en-US"/>
              </w:rPr>
            </w:pPr>
            <w:r>
              <w:rPr>
                <w:rFonts w:hint="eastAsia" w:ascii="宋体" w:hAnsi="宋体" w:eastAsia="宋体" w:cs="宋体"/>
                <w:i w:val="0"/>
                <w:color w:val="000000"/>
                <w:sz w:val="21"/>
                <w:szCs w:val="21"/>
                <w:u w:val="none"/>
                <w:lang w:val="en-US" w:eastAsia="zh-CN"/>
              </w:rPr>
              <w:t>《专项资金管理办法》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rPr>
                <w:rFonts w:hint="eastAsia" w:ascii="宋体" w:hAnsi="宋体" w:eastAsia="宋体" w:cs="宋体"/>
                <w:i w:val="0"/>
                <w:color w:val="00000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210" w:firstLineChars="100"/>
              <w:jc w:val="left"/>
              <w:textAlignment w:val="center"/>
              <w:rPr>
                <w:rFonts w:hint="eastAsia" w:ascii="宋体" w:hAnsi="宋体" w:eastAsia="宋体" w:cs="宋体"/>
                <w:i w:val="0"/>
                <w:color w:val="000000"/>
                <w:sz w:val="21"/>
                <w:szCs w:val="21"/>
                <w:u w:val="none"/>
              </w:rPr>
            </w:pPr>
            <w:r>
              <w:rPr>
                <w:rFonts w:hint="eastAsia" w:ascii="宋体" w:hAnsi="宋体" w:eastAsia="宋体" w:cs="宋体"/>
                <w:sz w:val="21"/>
                <w:szCs w:val="21"/>
              </w:rPr>
              <mc:AlternateContent>
                <mc:Choice Requires="wps">
                  <w:drawing>
                    <wp:anchor distT="0" distB="0" distL="114300" distR="114300" simplePos="0" relativeHeight="251668480" behindDoc="0" locked="0" layoutInCell="1" allowOverlap="1">
                      <wp:simplePos x="0" y="0"/>
                      <wp:positionH relativeFrom="column">
                        <wp:posOffset>24765</wp:posOffset>
                      </wp:positionH>
                      <wp:positionV relativeFrom="paragraph">
                        <wp:posOffset>47625</wp:posOffset>
                      </wp:positionV>
                      <wp:extent cx="111125" cy="86995"/>
                      <wp:effectExtent l="4445" t="4445" r="17780" b="22860"/>
                      <wp:wrapNone/>
                      <wp:docPr id="13" name="矩形 13"/>
                      <wp:cNvGraphicFramePr/>
                      <a:graphic xmlns:a="http://schemas.openxmlformats.org/drawingml/2006/main">
                        <a:graphicData uri="http://schemas.microsoft.com/office/word/2010/wordprocessingShape">
                          <wps:wsp>
                            <wps:cNvSpPr/>
                            <wps:spPr>
                              <a:xfrm>
                                <a:off x="0" y="0"/>
                                <a:ext cx="111125" cy="86995"/>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1.95pt;margin-top:3.75pt;height:6.85pt;width:8.75pt;z-index:251668480;mso-width-relative:page;mso-height-relative:page;" fillcolor="#FFFFFF" filled="t" stroked="t" coordsize="21600,21600" o:gfxdata="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AyyxHHUAAAABQEAAA8AAAAAAAAAAQAgAAAAIgAAAGRycy9kb3ducmV2LnhtbFBLAQIU&#10;ABQAAAAIAIdO4kA94f1Z9wEAAB4EAAAOAAAAAAAAAAEAIAAAACMBAABkcnMvZTJvRG9jLnhtbFBL&#10;BQYAAAAABgAGAFkBAACMBQAAAAA=&#10;">
                      <v:fill on="t" focussize="0,0"/>
                      <v:stroke color="#000000" joinstyle="miter"/>
                      <v:imagedata o:title=""/>
                      <o:lock v:ext="edit" aspectratio="f"/>
                    </v:rect>
                  </w:pict>
                </mc:Fallback>
              </mc:AlternateContent>
            </w:r>
            <w:r>
              <w:rPr>
                <w:rFonts w:hint="eastAsia" w:ascii="宋体" w:hAnsi="宋体" w:eastAsia="宋体" w:cs="宋体"/>
                <w:i w:val="0"/>
                <w:color w:val="000000"/>
                <w:kern w:val="0"/>
                <w:sz w:val="21"/>
                <w:szCs w:val="21"/>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w:t>
            </w:r>
            <w:r>
              <w:rPr>
                <w:rFonts w:hint="eastAsia" w:ascii="宋体" w:hAnsi="宋体" w:eastAsia="宋体" w:cs="宋体"/>
                <w:sz w:val="21"/>
                <w:szCs w:val="21"/>
              </w:rPr>
              <mc:AlternateContent>
                <mc:Choice Requires="wps">
                  <w:drawing>
                    <wp:anchor distT="0" distB="0" distL="114300" distR="114300" simplePos="0" relativeHeight="251669504" behindDoc="0" locked="0" layoutInCell="1" allowOverlap="1">
                      <wp:simplePos x="0" y="0"/>
                      <wp:positionH relativeFrom="column">
                        <wp:posOffset>271145</wp:posOffset>
                      </wp:positionH>
                      <wp:positionV relativeFrom="paragraph">
                        <wp:posOffset>41275</wp:posOffset>
                      </wp:positionV>
                      <wp:extent cx="111125" cy="86995"/>
                      <wp:effectExtent l="4445" t="4445" r="17780" b="22860"/>
                      <wp:wrapNone/>
                      <wp:docPr id="4" name="矩形 4"/>
                      <wp:cNvGraphicFramePr/>
                      <a:graphic xmlns:a="http://schemas.openxmlformats.org/drawingml/2006/main">
                        <a:graphicData uri="http://schemas.microsoft.com/office/word/2010/wordprocessingShape">
                          <wps:wsp>
                            <wps:cNvSpPr/>
                            <wps:spPr>
                              <a:xfrm>
                                <a:off x="0" y="0"/>
                                <a:ext cx="111125" cy="86995"/>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21.35pt;margin-top:3.25pt;height:6.85pt;width:8.75pt;z-index:251669504;mso-width-relative:page;mso-height-relative:page;" fillcolor="#FFFFFF" filled="t" stroked="t" coordsize="21600,21600" o:gfxdata="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iQcWldQAAAAGAQAADwAAAAAAAAABACAAAAAiAAAAZHJzL2Rvd25yZXYueG1sUEsBAhQA&#10;FAAAAAgAh07iQKBwPMf2AQAAHAQAAA4AAAAAAAAAAQAgAAAAIwEAAGRycy9lMm9Eb2MueG1sUEsF&#10;BgAAAAAGAAYAWQEAAIsFAAAAAA==&#10;">
                      <v:fill on="t" focussize="0,0"/>
                      <v:stroke color="#000000" joinstyle="miter"/>
                      <v:imagedata o:title=""/>
                      <o:lock v:ext="edit" aspectratio="f"/>
                    </v:rect>
                  </w:pict>
                </mc:Fallback>
              </mc:AlternateContent>
            </w:r>
            <w:r>
              <w:rPr>
                <w:rFonts w:hint="eastAsia" w:ascii="宋体" w:hAnsi="宋体" w:eastAsia="宋体" w:cs="宋体"/>
                <w:i w:val="0"/>
                <w:color w:val="000000"/>
                <w:kern w:val="0"/>
                <w:sz w:val="21"/>
                <w:szCs w:val="21"/>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sz w:val="21"/>
                <w:szCs w:val="21"/>
              </w:rPr>
              <mc:AlternateContent>
                <mc:Choice Requires="wps">
                  <w:drawing>
                    <wp:anchor distT="0" distB="0" distL="114300" distR="114300" simplePos="0" relativeHeight="251670528" behindDoc="0" locked="0" layoutInCell="1" allowOverlap="1">
                      <wp:simplePos x="0" y="0"/>
                      <wp:positionH relativeFrom="column">
                        <wp:posOffset>12700</wp:posOffset>
                      </wp:positionH>
                      <wp:positionV relativeFrom="paragraph">
                        <wp:posOffset>57150</wp:posOffset>
                      </wp:positionV>
                      <wp:extent cx="111125" cy="86995"/>
                      <wp:effectExtent l="4445" t="4445" r="17780" b="22860"/>
                      <wp:wrapNone/>
                      <wp:docPr id="15" name="矩形 15"/>
                      <wp:cNvGraphicFramePr/>
                      <a:graphic xmlns:a="http://schemas.openxmlformats.org/drawingml/2006/main">
                        <a:graphicData uri="http://schemas.microsoft.com/office/word/2010/wordprocessingShape">
                          <wps:wsp>
                            <wps:cNvSpPr/>
                            <wps:spPr>
                              <a:xfrm>
                                <a:off x="0" y="0"/>
                                <a:ext cx="111125" cy="86995"/>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1pt;margin-top:4.5pt;height:6.85pt;width:8.75pt;z-index:251670528;mso-width-relative:page;mso-height-relative:page;" fillcolor="#FFFFFF" filled="t" stroked="t" coordsize="21600,21600" o:gfxdata="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o64ZN9QAAAAFAQAADwAAAAAAAAABACAAAAAiAAAAZHJzL2Rvd25yZXYueG1sUEsB&#10;AhQAFAAAAAgAh07iQLK3HT35AQAAHgQAAA4AAAAAAAAAAQAgAAAAIwEAAGRycy9lMm9Eb2MueG1s&#10;UEsFBgAAAAAGAAYAWQEAAI4FAAAAAA==&#10;">
                      <v:fill on="t" focussize="0,0"/>
                      <v:stroke color="#000000" joinstyle="miter"/>
                      <v:imagedata o:title=""/>
                      <o:lock v:ext="edit" aspectratio="f"/>
                    </v:rect>
                  </w:pict>
                </mc:Fallback>
              </mc:AlternateContent>
            </w:r>
            <w:r>
              <w:rPr>
                <w:rFonts w:hint="eastAsia" w:ascii="宋体" w:hAnsi="宋体" w:eastAsia="宋体" w:cs="宋体"/>
                <w:i w:val="0"/>
                <w:color w:val="000000"/>
                <w:kern w:val="0"/>
                <w:sz w:val="21"/>
                <w:szCs w:val="21"/>
                <w:u w:val="none"/>
                <w:lang w:val="en-US" w:eastAsia="zh-CN" w:bidi="ar"/>
              </w:rPr>
              <w:t>据实</w:t>
            </w: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sz w:val="21"/>
                <w:szCs w:val="21"/>
              </w:rPr>
              <mc:AlternateContent>
                <mc:Choice Requires="wps">
                  <w:drawing>
                    <wp:anchor distT="0" distB="0" distL="114300" distR="114300" simplePos="0" relativeHeight="251671552" behindDoc="0" locked="0" layoutInCell="1" allowOverlap="1">
                      <wp:simplePos x="0" y="0"/>
                      <wp:positionH relativeFrom="column">
                        <wp:posOffset>59690</wp:posOffset>
                      </wp:positionH>
                      <wp:positionV relativeFrom="paragraph">
                        <wp:posOffset>41275</wp:posOffset>
                      </wp:positionV>
                      <wp:extent cx="111125" cy="86995"/>
                      <wp:effectExtent l="4445" t="4445" r="17780" b="22860"/>
                      <wp:wrapNone/>
                      <wp:docPr id="16" name="矩形 16"/>
                      <wp:cNvGraphicFramePr/>
                      <a:graphic xmlns:a="http://schemas.openxmlformats.org/drawingml/2006/main">
                        <a:graphicData uri="http://schemas.microsoft.com/office/word/2010/wordprocessingShape">
                          <wps:wsp>
                            <wps:cNvSpPr/>
                            <wps:spPr>
                              <a:xfrm>
                                <a:off x="0" y="0"/>
                                <a:ext cx="111125" cy="86995"/>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4.7pt;margin-top:3.25pt;height:6.85pt;width:8.75pt;z-index:251671552;mso-width-relative:page;mso-height-relative:page;" fillcolor="#FFFFFF" filled="t" stroked="t" coordsize="21600,21600" o:gfxdata="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3xadLUAAAABQEAAA8AAAAAAAAAAQAgAAAAIgAAAGRycy9kb3ducmV2LnhtbFBLAQIU&#10;ABQAAAAIAIdO4kDVH9Xi9wEAAB4EAAAOAAAAAAAAAAEAIAAAACMBAABkcnMvZTJvRG9jLnhtbFBL&#10;BQYAAAAABgAGAFkBAACMBQAAAAA=&#10;">
                      <v:fill on="t" focussize="0,0"/>
                      <v:stroke color="#000000" joinstyle="miter"/>
                      <v:imagedata o:title=""/>
                      <o:lock v:ext="edit" aspectratio="f"/>
                    </v:rect>
                  </w:pict>
                </mc:Fallback>
              </mc:AlternateContent>
            </w:r>
            <w:r>
              <w:rPr>
                <w:rFonts w:hint="eastAsia" w:ascii="宋体" w:hAnsi="宋体" w:eastAsia="宋体" w:cs="宋体"/>
                <w:i w:val="0"/>
                <w:color w:val="000000"/>
                <w:kern w:val="0"/>
                <w:sz w:val="21"/>
                <w:szCs w:val="21"/>
                <w:u w:val="none"/>
                <w:lang w:val="en-US" w:eastAsia="zh-CN" w:bidi="ar"/>
              </w:rPr>
              <w:t>因素法与项</w:t>
            </w: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rPr>
                <w:rFonts w:hint="eastAsia" w:ascii="宋体" w:hAnsi="宋体" w:eastAsia="宋体" w:cs="宋体"/>
                <w:i w:val="0"/>
                <w:color w:val="00000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宋体" w:hAnsi="宋体" w:eastAsia="宋体" w:cs="宋体"/>
                <w:i w:val="0"/>
                <w:color w:val="000000"/>
                <w:sz w:val="21"/>
                <w:szCs w:val="21"/>
                <w:u w:val="none"/>
                <w:lang w:val="en-US"/>
              </w:rPr>
            </w:pPr>
            <w:r>
              <w:rPr>
                <w:rFonts w:hint="eastAsia" w:ascii="宋体" w:hAnsi="宋体" w:eastAsia="宋体" w:cs="宋体"/>
                <w:i w:val="0"/>
                <w:color w:val="000000"/>
                <w:sz w:val="21"/>
                <w:szCs w:val="21"/>
                <w:u w:val="none"/>
                <w:lang w:val="en-US" w:eastAsia="zh-CN"/>
              </w:rPr>
              <w:t>《专项资金管理办法》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rPr>
                <w:rFonts w:hint="eastAsia" w:ascii="宋体" w:hAnsi="宋体" w:eastAsia="宋体" w:cs="宋体"/>
                <w:i w:val="0"/>
                <w:color w:val="00000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jc w:val="left"/>
              <w:rPr>
                <w:rFonts w:hint="eastAsia" w:ascii="宋体" w:hAnsi="宋体" w:eastAsia="宋体" w:cs="宋体"/>
                <w:i w:val="0"/>
                <w:color w:val="000000"/>
                <w:sz w:val="21"/>
                <w:szCs w:val="21"/>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rPr>
                <w:rFonts w:hint="eastAsia" w:ascii="宋体" w:hAnsi="宋体" w:eastAsia="宋体" w:cs="宋体"/>
                <w:i w:val="0"/>
                <w:color w:val="00000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rPr>
                <w:rFonts w:hint="eastAsia" w:ascii="宋体" w:hAnsi="宋体" w:eastAsia="宋体" w:cs="宋体"/>
                <w:i w:val="0"/>
                <w:color w:val="00000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2025年1月-2025年12月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rPr>
                <w:rFonts w:hint="eastAsia" w:ascii="宋体" w:hAnsi="宋体" w:eastAsia="宋体" w:cs="宋体"/>
                <w:i w:val="0"/>
                <w:color w:val="000000"/>
                <w:sz w:val="21"/>
                <w:szCs w:val="21"/>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rPr>
                <w:rFonts w:hint="eastAsia" w:ascii="宋体" w:hAnsi="宋体" w:eastAsia="宋体" w:cs="宋体"/>
                <w:i w:val="0"/>
                <w:color w:val="000000"/>
                <w:sz w:val="21"/>
                <w:szCs w:val="21"/>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jc w:val="righ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rPr>
                <w:rFonts w:hint="default" w:ascii="Times New Roman" w:hAnsi="Times New Roman" w:eastAsia="宋体" w:cs="Times New Roman"/>
                <w:i w:val="0"/>
                <w:color w:val="000000"/>
                <w:sz w:val="21"/>
                <w:szCs w:val="21"/>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sz w:val="21"/>
                <w:szCs w:val="21"/>
                <w:u w:val="none"/>
              </w:rPr>
              <w:t>保障法院后勤正常运转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color w:val="000000"/>
                <w:sz w:val="21"/>
                <w:szCs w:val="21"/>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时效</w:t>
            </w:r>
            <w:r>
              <w:rPr>
                <w:rFonts w:hint="default" w:ascii="Times New Roman" w:hAnsi="Times New Roman" w:eastAsia="宋体" w:cs="Times New Roman"/>
                <w:i w:val="0"/>
                <w:color w:val="000000"/>
                <w:kern w:val="0"/>
                <w:sz w:val="21"/>
                <w:szCs w:val="21"/>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按时完工率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1</w:t>
            </w:r>
            <w:r>
              <w:rPr>
                <w:rFonts w:hint="default" w:ascii="Times New Roman" w:hAnsi="Times New Roman" w:eastAsia="宋体" w:cs="Times New Roman"/>
                <w:i w:val="0"/>
                <w:color w:val="000000"/>
                <w:kern w:val="0"/>
                <w:sz w:val="21"/>
                <w:szCs w:val="21"/>
                <w:u w:val="none"/>
                <w:lang w:val="en-US" w:eastAsia="zh-CN" w:bidi="ar"/>
              </w:rPr>
              <w:t>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color w:val="000000"/>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kern w:val="0"/>
                <w:sz w:val="21"/>
                <w:szCs w:val="21"/>
                <w:u w:val="none"/>
                <w:lang w:val="en-US" w:eastAsia="zh-CN" w:bidi="ar"/>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kern w:val="0"/>
                <w:sz w:val="21"/>
                <w:szCs w:val="21"/>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案件办理效率提升率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96</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color w:val="000000"/>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kern w:val="0"/>
                <w:sz w:val="21"/>
                <w:szCs w:val="21"/>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1</w:t>
            </w:r>
            <w:r>
              <w:rPr>
                <w:rFonts w:hint="default" w:ascii="Times New Roman" w:hAnsi="Times New Roman" w:eastAsia="宋体" w:cs="Times New Roman"/>
                <w:i w:val="0"/>
                <w:color w:val="000000"/>
                <w:kern w:val="0"/>
                <w:sz w:val="21"/>
                <w:szCs w:val="21"/>
                <w:u w:val="none"/>
                <w:lang w:val="en-US" w:eastAsia="zh-CN" w:bidi="ar"/>
              </w:rPr>
              <w:t>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76" w:hRule="atLeast"/>
          <w:jc w:val="center"/>
        </w:trPr>
        <w:tc>
          <w:tcPr>
            <w:tcW w:w="652" w:type="dxa"/>
            <w:vMerge w:val="continue"/>
            <w:tcBorders>
              <w:lef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color w:val="000000"/>
                <w:sz w:val="21"/>
                <w:szCs w:val="21"/>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效益指标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社会效益指标</w:t>
            </w:r>
          </w:p>
        </w:tc>
        <w:tc>
          <w:tcPr>
            <w:tcW w:w="1312"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促进公平正义</w:t>
            </w:r>
          </w:p>
        </w:tc>
        <w:tc>
          <w:tcPr>
            <w:tcW w:w="1127"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定性</w:t>
            </w:r>
          </w:p>
        </w:tc>
        <w:tc>
          <w:tcPr>
            <w:tcW w:w="97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良好成效</w:t>
            </w:r>
          </w:p>
        </w:tc>
        <w:tc>
          <w:tcPr>
            <w:tcW w:w="106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eastAsia" w:ascii="Times New Roman" w:hAnsi="Times New Roman" w:eastAsia="宋体" w:cs="Times New Roman"/>
                <w:i w:val="0"/>
                <w:color w:val="000000"/>
                <w:kern w:val="0"/>
                <w:sz w:val="21"/>
                <w:szCs w:val="21"/>
                <w:u w:val="none"/>
                <w:lang w:val="en-US" w:eastAsia="zh-CN" w:bidi="ar"/>
              </w:rPr>
            </w:pPr>
          </w:p>
        </w:tc>
        <w:tc>
          <w:tcPr>
            <w:tcW w:w="938"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2</w:t>
            </w:r>
            <w:r>
              <w:rPr>
                <w:rFonts w:hint="default" w:ascii="Times New Roman" w:hAnsi="Times New Roman" w:eastAsia="宋体" w:cs="Times New Roman"/>
                <w:i w:val="0"/>
                <w:color w:val="000000"/>
                <w:kern w:val="0"/>
                <w:sz w:val="21"/>
                <w:szCs w:val="21"/>
                <w:u w:val="none"/>
                <w:lang w:val="en-US" w:eastAsia="zh-CN" w:bidi="ar"/>
              </w:rPr>
              <w:t>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良好成效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color w:val="000000"/>
                <w:sz w:val="21"/>
                <w:szCs w:val="21"/>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服务对象满意度指标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当事人及干警满意度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较高</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eastAsia" w:ascii="Times New Roman" w:hAnsi="Times New Roman" w:eastAsia="宋体" w:cs="Times New Roman"/>
                <w:i w:val="0"/>
                <w:color w:val="000000"/>
                <w:kern w:val="0"/>
                <w:sz w:val="21"/>
                <w:szCs w:val="21"/>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较高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lef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color w:val="000000"/>
                <w:sz w:val="21"/>
                <w:szCs w:val="21"/>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数量指标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新增审判庭室个数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color w:val="000000"/>
                <w:sz w:val="21"/>
                <w:szCs w:val="21"/>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经济成本指标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审判庭修建预算成本</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568</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eastAsia"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eastAsia="宋体" w:cs="Times New Roman"/>
                <w:i w:val="0"/>
                <w:color w:val="000000"/>
                <w:kern w:val="0"/>
                <w:sz w:val="21"/>
                <w:szCs w:val="21"/>
                <w:u w:val="none"/>
                <w:lang w:val="en-US" w:eastAsia="zh-CN" w:bidi="ar"/>
              </w:rPr>
              <w:t>179.99</w:t>
            </w:r>
          </w:p>
        </w:tc>
      </w:tr>
    </w:tbl>
    <w:p>
      <w:pPr>
        <w:pStyle w:val="2"/>
        <w:rPr>
          <w:rFonts w:ascii="Times New Roman" w:cs="宋体"/>
          <w:color w:val="FF0000"/>
          <w:sz w:val="32"/>
          <w:szCs w:val="32"/>
          <w:highlight w:val="yellow"/>
          <w:shd w:val="clear" w:color="auto" w:fill="FFFFFF"/>
          <w:lang w:val="zh-CN"/>
        </w:rPr>
      </w:pPr>
    </w:p>
    <w:p>
      <w:pPr>
        <w:rPr>
          <w:lang w:val="zh-CN"/>
        </w:rPr>
      </w:pPr>
    </w:p>
    <w:p>
      <w:pPr>
        <w:rPr>
          <w:rFonts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p>
    <w:p>
      <w:pPr>
        <w:widowControl/>
        <w:jc w:val="center"/>
        <w:outlineLvl w:val="0"/>
        <w:rPr>
          <w:rFonts w:eastAsia="仿宋"/>
        </w:rPr>
      </w:pPr>
      <w:bookmarkStart w:id="70" w:name="_Toc400"/>
      <w:bookmarkStart w:id="71" w:name="_Toc15396618"/>
      <w:r>
        <w:rPr>
          <w:rFonts w:hint="eastAsia" w:eastAsia="黑体"/>
          <w:sz w:val="44"/>
          <w:szCs w:val="44"/>
        </w:rPr>
        <w:t>第</w:t>
      </w:r>
      <w:r>
        <w:rPr>
          <w:rStyle w:val="30"/>
          <w:rFonts w:hint="eastAsia" w:eastAsia="黑体"/>
          <w:b w:val="0"/>
        </w:rPr>
        <w:t>五部分 附表</w:t>
      </w:r>
      <w:bookmarkEnd w:id="66"/>
      <w:bookmarkEnd w:id="70"/>
      <w:bookmarkEnd w:id="71"/>
      <w:bookmarkStart w:id="72" w:name="_Toc15396619"/>
    </w:p>
    <w:p>
      <w:pPr>
        <w:pStyle w:val="16"/>
        <w:adjustRightInd w:val="0"/>
        <w:snapToGrid w:val="0"/>
        <w:spacing w:line="560" w:lineRule="exact"/>
        <w:jc w:val="left"/>
        <w:rPr>
          <w:rFonts w:eastAsia="仿宋_GB2312" w:cs="仿宋_GB2312"/>
          <w:sz w:val="32"/>
          <w:szCs w:val="32"/>
        </w:rPr>
      </w:pPr>
    </w:p>
    <w:p>
      <w:pPr>
        <w:pStyle w:val="16"/>
        <w:adjustRightInd w:val="0"/>
        <w:snapToGrid w:val="0"/>
        <w:spacing w:line="560" w:lineRule="exact"/>
        <w:ind w:left="420" w:leftChars="200"/>
        <w:jc w:val="left"/>
        <w:outlineLvl w:val="0"/>
        <w:rPr>
          <w:rFonts w:eastAsia="仿宋_GB2312" w:cs="仿宋_GB2312"/>
          <w:sz w:val="32"/>
          <w:szCs w:val="32"/>
        </w:rPr>
      </w:pPr>
      <w:bookmarkStart w:id="73" w:name="_Toc20537"/>
      <w:r>
        <w:rPr>
          <w:rFonts w:hint="eastAsia" w:eastAsia="仿宋_GB2312" w:cs="仿宋_GB2312"/>
          <w:sz w:val="32"/>
          <w:szCs w:val="32"/>
        </w:rPr>
        <w:t>一、收入支出决算总表</w:t>
      </w:r>
      <w:bookmarkEnd w:id="72"/>
      <w:bookmarkEnd w:id="73"/>
    </w:p>
    <w:p>
      <w:pPr>
        <w:pStyle w:val="16"/>
        <w:adjustRightInd w:val="0"/>
        <w:snapToGrid w:val="0"/>
        <w:spacing w:line="560" w:lineRule="exact"/>
        <w:ind w:left="420" w:leftChars="200"/>
        <w:jc w:val="left"/>
        <w:outlineLvl w:val="0"/>
        <w:rPr>
          <w:rFonts w:hint="eastAsia" w:eastAsia="仿宋_GB2312" w:cs="仿宋_GB2312"/>
          <w:sz w:val="32"/>
          <w:szCs w:val="32"/>
        </w:rPr>
      </w:pPr>
      <w:bookmarkStart w:id="74" w:name="_Toc21634"/>
      <w:bookmarkStart w:id="75" w:name="_Toc15396620"/>
      <w:r>
        <w:rPr>
          <w:rFonts w:hint="eastAsia" w:eastAsia="仿宋_GB2312" w:cs="仿宋_GB2312"/>
          <w:sz w:val="32"/>
          <w:szCs w:val="32"/>
        </w:rPr>
        <w:t>二、收入决算表</w:t>
      </w:r>
      <w:bookmarkEnd w:id="74"/>
      <w:bookmarkEnd w:id="75"/>
    </w:p>
    <w:p>
      <w:pPr>
        <w:pStyle w:val="16"/>
        <w:adjustRightInd w:val="0"/>
        <w:snapToGrid w:val="0"/>
        <w:spacing w:line="560" w:lineRule="exact"/>
        <w:ind w:left="420" w:leftChars="200"/>
        <w:jc w:val="left"/>
        <w:outlineLvl w:val="0"/>
        <w:rPr>
          <w:rFonts w:hint="eastAsia" w:eastAsia="仿宋_GB2312" w:cs="仿宋_GB2312"/>
          <w:sz w:val="32"/>
          <w:szCs w:val="32"/>
        </w:rPr>
      </w:pPr>
      <w:bookmarkStart w:id="76" w:name="_Toc19845"/>
      <w:bookmarkStart w:id="77" w:name="_Toc15396621"/>
      <w:r>
        <w:rPr>
          <w:rFonts w:hint="eastAsia" w:eastAsia="仿宋_GB2312" w:cs="仿宋_GB2312"/>
          <w:sz w:val="32"/>
          <w:szCs w:val="32"/>
        </w:rPr>
        <w:t>三、支出决算表</w:t>
      </w:r>
      <w:bookmarkEnd w:id="76"/>
      <w:bookmarkEnd w:id="77"/>
    </w:p>
    <w:p>
      <w:pPr>
        <w:pStyle w:val="16"/>
        <w:adjustRightInd w:val="0"/>
        <w:snapToGrid w:val="0"/>
        <w:spacing w:line="560" w:lineRule="exact"/>
        <w:ind w:left="420" w:leftChars="200"/>
        <w:jc w:val="left"/>
        <w:outlineLvl w:val="0"/>
        <w:rPr>
          <w:rFonts w:hint="eastAsia" w:eastAsia="仿宋_GB2312" w:cs="仿宋_GB2312"/>
          <w:sz w:val="32"/>
          <w:szCs w:val="32"/>
        </w:rPr>
      </w:pPr>
      <w:bookmarkStart w:id="78" w:name="_Toc3281"/>
      <w:bookmarkStart w:id="79" w:name="_Toc15396622"/>
      <w:r>
        <w:rPr>
          <w:rFonts w:hint="eastAsia" w:eastAsia="仿宋_GB2312" w:cs="仿宋_GB2312"/>
          <w:sz w:val="32"/>
          <w:szCs w:val="32"/>
        </w:rPr>
        <w:t>四、财政拨款收入支出决算总表</w:t>
      </w:r>
      <w:bookmarkEnd w:id="78"/>
      <w:bookmarkEnd w:id="79"/>
    </w:p>
    <w:p>
      <w:pPr>
        <w:pStyle w:val="16"/>
        <w:adjustRightInd w:val="0"/>
        <w:snapToGrid w:val="0"/>
        <w:spacing w:line="560" w:lineRule="exact"/>
        <w:ind w:left="420" w:leftChars="200"/>
        <w:jc w:val="left"/>
        <w:outlineLvl w:val="0"/>
        <w:rPr>
          <w:rFonts w:hint="eastAsia" w:eastAsia="仿宋_GB2312" w:cs="仿宋_GB2312"/>
          <w:sz w:val="32"/>
          <w:szCs w:val="32"/>
        </w:rPr>
      </w:pPr>
      <w:bookmarkStart w:id="80" w:name="_Toc23582"/>
      <w:bookmarkStart w:id="81" w:name="_Toc15396623"/>
      <w:r>
        <w:rPr>
          <w:rFonts w:hint="eastAsia" w:eastAsia="仿宋_GB2312" w:cs="仿宋_GB2312"/>
          <w:sz w:val="32"/>
          <w:szCs w:val="32"/>
        </w:rPr>
        <w:t>五、财政拨款支出决算明细表</w:t>
      </w:r>
      <w:bookmarkEnd w:id="80"/>
      <w:bookmarkEnd w:id="81"/>
      <w:bookmarkStart w:id="82" w:name="_Toc15396624"/>
    </w:p>
    <w:p>
      <w:pPr>
        <w:pStyle w:val="16"/>
        <w:adjustRightInd w:val="0"/>
        <w:snapToGrid w:val="0"/>
        <w:spacing w:line="560" w:lineRule="exact"/>
        <w:ind w:left="420" w:leftChars="200"/>
        <w:jc w:val="left"/>
        <w:outlineLvl w:val="0"/>
        <w:rPr>
          <w:rFonts w:hint="eastAsia" w:eastAsia="仿宋_GB2312" w:cs="仿宋_GB2312"/>
          <w:sz w:val="32"/>
          <w:szCs w:val="32"/>
        </w:rPr>
      </w:pPr>
      <w:bookmarkStart w:id="83" w:name="_Toc25113"/>
      <w:r>
        <w:rPr>
          <w:rFonts w:hint="eastAsia" w:eastAsia="仿宋_GB2312" w:cs="仿宋_GB2312"/>
          <w:sz w:val="32"/>
          <w:szCs w:val="32"/>
        </w:rPr>
        <w:t>六、一般公共预算财政拨款支出决算表</w:t>
      </w:r>
      <w:bookmarkEnd w:id="82"/>
      <w:bookmarkEnd w:id="83"/>
    </w:p>
    <w:p>
      <w:pPr>
        <w:pStyle w:val="16"/>
        <w:adjustRightInd w:val="0"/>
        <w:snapToGrid w:val="0"/>
        <w:spacing w:line="560" w:lineRule="exact"/>
        <w:ind w:left="420" w:leftChars="200"/>
        <w:jc w:val="left"/>
        <w:outlineLvl w:val="0"/>
        <w:rPr>
          <w:rFonts w:hint="eastAsia" w:eastAsia="仿宋_GB2312" w:cs="仿宋_GB2312"/>
          <w:sz w:val="32"/>
          <w:szCs w:val="32"/>
        </w:rPr>
      </w:pPr>
      <w:bookmarkStart w:id="84" w:name="_Toc25145"/>
      <w:bookmarkStart w:id="85" w:name="_Toc15396625"/>
      <w:r>
        <w:rPr>
          <w:rFonts w:hint="eastAsia" w:eastAsia="仿宋_GB2312" w:cs="仿宋_GB2312"/>
          <w:sz w:val="32"/>
          <w:szCs w:val="32"/>
        </w:rPr>
        <w:t>七、一般公共预算财政拨款支出决算明细表</w:t>
      </w:r>
      <w:bookmarkEnd w:id="84"/>
      <w:bookmarkEnd w:id="85"/>
    </w:p>
    <w:p>
      <w:pPr>
        <w:pStyle w:val="16"/>
        <w:adjustRightInd w:val="0"/>
        <w:snapToGrid w:val="0"/>
        <w:spacing w:line="560" w:lineRule="exact"/>
        <w:ind w:left="420" w:leftChars="200"/>
        <w:jc w:val="left"/>
        <w:outlineLvl w:val="0"/>
        <w:rPr>
          <w:rFonts w:hint="eastAsia" w:eastAsia="仿宋_GB2312" w:cs="仿宋_GB2312"/>
          <w:sz w:val="32"/>
          <w:szCs w:val="32"/>
        </w:rPr>
      </w:pPr>
      <w:bookmarkStart w:id="86" w:name="_Toc15396626"/>
      <w:bookmarkStart w:id="87" w:name="_Toc8854"/>
      <w:r>
        <w:rPr>
          <w:rFonts w:hint="eastAsia" w:eastAsia="仿宋_GB2312" w:cs="仿宋_GB2312"/>
          <w:sz w:val="32"/>
          <w:szCs w:val="32"/>
        </w:rPr>
        <w:t>八、一般公共预算财政拨款基本支出决算表</w:t>
      </w:r>
      <w:bookmarkEnd w:id="86"/>
      <w:bookmarkEnd w:id="87"/>
    </w:p>
    <w:p>
      <w:pPr>
        <w:pStyle w:val="16"/>
        <w:adjustRightInd w:val="0"/>
        <w:snapToGrid w:val="0"/>
        <w:spacing w:line="560" w:lineRule="exact"/>
        <w:ind w:left="420" w:leftChars="200"/>
        <w:jc w:val="left"/>
        <w:outlineLvl w:val="0"/>
        <w:rPr>
          <w:rFonts w:hint="eastAsia" w:eastAsia="仿宋_GB2312" w:cs="仿宋_GB2312"/>
          <w:sz w:val="32"/>
          <w:szCs w:val="32"/>
        </w:rPr>
      </w:pPr>
      <w:bookmarkStart w:id="88" w:name="_Toc15396627"/>
      <w:bookmarkStart w:id="89" w:name="_Toc31352"/>
      <w:r>
        <w:rPr>
          <w:rFonts w:hint="eastAsia" w:eastAsia="仿宋_GB2312" w:cs="仿宋_GB2312"/>
          <w:sz w:val="32"/>
          <w:szCs w:val="32"/>
        </w:rPr>
        <w:t>九、一般公共预算财政拨款项目支出决算表</w:t>
      </w:r>
      <w:bookmarkEnd w:id="88"/>
      <w:bookmarkEnd w:id="89"/>
    </w:p>
    <w:p>
      <w:pPr>
        <w:pStyle w:val="16"/>
        <w:adjustRightInd w:val="0"/>
        <w:snapToGrid w:val="0"/>
        <w:spacing w:line="560" w:lineRule="exact"/>
        <w:ind w:left="420" w:leftChars="200"/>
        <w:jc w:val="left"/>
        <w:outlineLvl w:val="0"/>
        <w:rPr>
          <w:rFonts w:hint="eastAsia" w:eastAsia="仿宋_GB2312" w:cs="仿宋_GB2312"/>
          <w:sz w:val="32"/>
          <w:szCs w:val="32"/>
        </w:rPr>
      </w:pPr>
      <w:bookmarkStart w:id="90" w:name="_Toc15396628"/>
      <w:bookmarkStart w:id="91" w:name="_Toc22102"/>
      <w:r>
        <w:rPr>
          <w:rFonts w:hint="eastAsia" w:eastAsia="仿宋_GB2312" w:cs="仿宋_GB2312"/>
          <w:sz w:val="32"/>
          <w:szCs w:val="32"/>
        </w:rPr>
        <w:t>十、</w:t>
      </w:r>
      <w:bookmarkEnd w:id="90"/>
      <w:r>
        <w:rPr>
          <w:rFonts w:hint="eastAsia" w:eastAsia="仿宋_GB2312" w:cs="仿宋_GB2312"/>
          <w:sz w:val="32"/>
          <w:szCs w:val="32"/>
        </w:rPr>
        <w:t>政府性基金预算财政拨款收入支出决算表</w:t>
      </w:r>
      <w:bookmarkEnd w:id="91"/>
    </w:p>
    <w:p>
      <w:pPr>
        <w:pStyle w:val="16"/>
        <w:adjustRightInd w:val="0"/>
        <w:snapToGrid w:val="0"/>
        <w:spacing w:line="560" w:lineRule="exact"/>
        <w:ind w:left="420" w:leftChars="200"/>
        <w:jc w:val="left"/>
        <w:outlineLvl w:val="0"/>
        <w:rPr>
          <w:rFonts w:hint="eastAsia" w:eastAsia="仿宋_GB2312" w:cs="仿宋_GB2312"/>
          <w:sz w:val="32"/>
          <w:szCs w:val="32"/>
        </w:rPr>
      </w:pPr>
      <w:bookmarkStart w:id="92" w:name="_Toc15396629"/>
      <w:bookmarkStart w:id="93" w:name="_Toc19675"/>
      <w:r>
        <w:rPr>
          <w:rFonts w:hint="eastAsia" w:eastAsia="仿宋_GB2312" w:cs="仿宋_GB2312"/>
          <w:sz w:val="32"/>
          <w:szCs w:val="32"/>
        </w:rPr>
        <w:t>十一、</w:t>
      </w:r>
      <w:bookmarkEnd w:id="92"/>
      <w:r>
        <w:rPr>
          <w:rFonts w:hint="eastAsia" w:eastAsia="仿宋_GB2312" w:cs="仿宋_GB2312"/>
          <w:sz w:val="32"/>
          <w:szCs w:val="32"/>
        </w:rPr>
        <w:t>国有资本经营预算财政拨款收入支出决算表</w:t>
      </w:r>
      <w:bookmarkEnd w:id="93"/>
    </w:p>
    <w:p>
      <w:pPr>
        <w:pStyle w:val="16"/>
        <w:adjustRightInd w:val="0"/>
        <w:snapToGrid w:val="0"/>
        <w:spacing w:line="560" w:lineRule="exact"/>
        <w:ind w:left="420" w:leftChars="200"/>
        <w:jc w:val="left"/>
        <w:outlineLvl w:val="0"/>
        <w:rPr>
          <w:rFonts w:hint="eastAsia" w:eastAsia="仿宋_GB2312" w:cs="仿宋_GB2312"/>
          <w:sz w:val="32"/>
          <w:szCs w:val="32"/>
        </w:rPr>
      </w:pPr>
      <w:bookmarkStart w:id="94" w:name="_Toc15396630"/>
      <w:bookmarkStart w:id="95" w:name="_Toc27868"/>
      <w:r>
        <w:rPr>
          <w:rFonts w:hint="eastAsia" w:eastAsia="仿宋_GB2312" w:cs="仿宋_GB2312"/>
          <w:sz w:val="32"/>
          <w:szCs w:val="32"/>
        </w:rPr>
        <w:t>十二、</w:t>
      </w:r>
      <w:bookmarkEnd w:id="94"/>
      <w:r>
        <w:rPr>
          <w:rFonts w:hint="eastAsia" w:eastAsia="仿宋_GB2312" w:cs="仿宋_GB2312"/>
          <w:sz w:val="32"/>
          <w:szCs w:val="32"/>
        </w:rPr>
        <w:t>国有资本经营预算财政拨款支出决算表</w:t>
      </w:r>
      <w:bookmarkEnd w:id="95"/>
    </w:p>
    <w:p>
      <w:pPr>
        <w:pStyle w:val="16"/>
        <w:adjustRightInd w:val="0"/>
        <w:snapToGrid w:val="0"/>
        <w:spacing w:line="560" w:lineRule="exact"/>
        <w:ind w:left="420" w:leftChars="200"/>
        <w:jc w:val="left"/>
        <w:outlineLvl w:val="0"/>
        <w:rPr>
          <w:rFonts w:hint="eastAsia" w:eastAsia="仿宋_GB2312" w:cs="仿宋_GB2312"/>
          <w:sz w:val="32"/>
          <w:szCs w:val="32"/>
        </w:rPr>
      </w:pPr>
      <w:bookmarkStart w:id="96" w:name="_Toc15396631"/>
      <w:bookmarkStart w:id="97" w:name="_Toc23639"/>
      <w:r>
        <w:rPr>
          <w:rFonts w:hint="eastAsia" w:eastAsia="仿宋_GB2312" w:cs="仿宋_GB2312"/>
          <w:sz w:val="32"/>
          <w:szCs w:val="32"/>
        </w:rPr>
        <w:t>十三、</w:t>
      </w:r>
      <w:bookmarkEnd w:id="96"/>
      <w:r>
        <w:rPr>
          <w:rFonts w:hint="eastAsia" w:eastAsia="仿宋_GB2312" w:cs="仿宋_GB2312"/>
          <w:sz w:val="32"/>
          <w:szCs w:val="32"/>
        </w:rPr>
        <w:t>财政拨款“三公”经费支出决算表</w:t>
      </w:r>
      <w:bookmarkEnd w:id="97"/>
    </w:p>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decorative"/>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方正舒体"/>
    <w:panose1 w:val="03000509000000000000"/>
    <w:charset w:val="86"/>
    <w:family w:val="script"/>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254927"/>
    <w:multiLevelType w:val="singleLevel"/>
    <w:tmpl w:val="A9254927"/>
    <w:lvl w:ilvl="0" w:tentative="0">
      <w:start w:val="1"/>
      <w:numFmt w:val="chineseCounting"/>
      <w:suff w:val="nothing"/>
      <w:lvlText w:val="%1、"/>
      <w:lvlJc w:val="left"/>
      <w:rPr>
        <w:rFonts w:hint="eastAsia"/>
      </w:rPr>
    </w:lvl>
  </w:abstractNum>
  <w:abstractNum w:abstractNumId="1">
    <w:nsid w:val="BAB520BC"/>
    <w:multiLevelType w:val="singleLevel"/>
    <w:tmpl w:val="BAB520BC"/>
    <w:lvl w:ilvl="0" w:tentative="0">
      <w:start w:val="4"/>
      <w:numFmt w:val="chineseCounting"/>
      <w:suff w:val="nothing"/>
      <w:lvlText w:val="（%1）"/>
      <w:lvlJc w:val="left"/>
      <w:rPr>
        <w:rFonts w:hint="eastAsia"/>
      </w:rPr>
    </w:lvl>
  </w:abstractNum>
  <w:abstractNum w:abstractNumId="2">
    <w:nsid w:val="04015DE6"/>
    <w:multiLevelType w:val="singleLevel"/>
    <w:tmpl w:val="04015DE6"/>
    <w:lvl w:ilvl="0" w:tentative="0">
      <w:start w:val="1"/>
      <w:numFmt w:val="decimal"/>
      <w:suff w:val="space"/>
      <w:lvlText w:val="%1."/>
      <w:lvlJc w:val="left"/>
      <w:pPr>
        <w:ind w:left="113" w:leftChars="0" w:hanging="113" w:firstLineChars="0"/>
      </w:pPr>
      <w:rPr>
        <w:rFonts w:hint="default"/>
      </w:rPr>
    </w:lvl>
  </w:abstractNum>
  <w:abstractNum w:abstractNumId="3">
    <w:nsid w:val="1A6F4E69"/>
    <w:multiLevelType w:val="singleLevel"/>
    <w:tmpl w:val="1A6F4E69"/>
    <w:lvl w:ilvl="0" w:tentative="0">
      <w:start w:val="1"/>
      <w:numFmt w:val="decimal"/>
      <w:suff w:val="space"/>
      <w:lvlText w:val="%1."/>
      <w:lvlJc w:val="left"/>
      <w:pPr>
        <w:ind w:left="425" w:hanging="425"/>
      </w:pPr>
      <w:rPr>
        <w:rFonts w:hint="default"/>
      </w:rPr>
    </w:lvl>
  </w:abstractNum>
  <w:abstractNum w:abstractNumId="4">
    <w:nsid w:val="1F6F1405"/>
    <w:multiLevelType w:val="singleLevel"/>
    <w:tmpl w:val="1F6F1405"/>
    <w:lvl w:ilvl="0" w:tentative="0">
      <w:start w:val="1"/>
      <w:numFmt w:val="chineseCounting"/>
      <w:suff w:val="nothing"/>
      <w:lvlText w:val="（%1）"/>
      <w:lvlJc w:val="left"/>
      <w:rPr>
        <w:rFonts w:hint="eastAsia" w:ascii="楷体_GB2312" w:hAnsi="楷体_GB2312" w:eastAsia="楷体_GB2312" w:cs="楷体_GB2312"/>
        <w:b/>
        <w:bCs/>
      </w:rPr>
    </w:lvl>
  </w:abstractNum>
  <w:abstractNum w:abstractNumId="5">
    <w:nsid w:val="55D67A4B"/>
    <w:multiLevelType w:val="singleLevel"/>
    <w:tmpl w:val="55D67A4B"/>
    <w:lvl w:ilvl="0" w:tentative="0">
      <w:start w:val="2"/>
      <w:numFmt w:val="chineseCounting"/>
      <w:suff w:val="nothing"/>
      <w:lvlText w:val="（%1）"/>
      <w:lvlJc w:val="left"/>
      <w:rPr>
        <w:rFonts w:hint="eastAsia"/>
      </w:rPr>
    </w:lvl>
  </w:abstractNum>
  <w:abstractNum w:abstractNumId="6">
    <w:nsid w:val="772D4F9B"/>
    <w:multiLevelType w:val="singleLevel"/>
    <w:tmpl w:val="772D4F9B"/>
    <w:lvl w:ilvl="0" w:tentative="0">
      <w:start w:val="2"/>
      <w:numFmt w:val="decimal"/>
      <w:lvlText w:val="%1."/>
      <w:lvlJc w:val="left"/>
      <w:pPr>
        <w:tabs>
          <w:tab w:val="left" w:pos="312"/>
        </w:tabs>
      </w:pPr>
    </w:lvl>
  </w:abstractNum>
  <w:num w:numId="1">
    <w:abstractNumId w:val="0"/>
  </w:num>
  <w:num w:numId="2">
    <w:abstractNumId w:val="2"/>
  </w:num>
  <w:num w:numId="3">
    <w:abstractNumId w:val="3"/>
  </w:num>
  <w:num w:numId="4">
    <w:abstractNumId w:val="5"/>
  </w:num>
  <w:num w:numId="5">
    <w:abstractNumId w:val="6"/>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07004"/>
    <w:rsid w:val="00512FDA"/>
    <w:rsid w:val="00520DA0"/>
    <w:rsid w:val="005664BB"/>
    <w:rsid w:val="00566FFA"/>
    <w:rsid w:val="0057481D"/>
    <w:rsid w:val="0058486E"/>
    <w:rsid w:val="00585B33"/>
    <w:rsid w:val="0059014D"/>
    <w:rsid w:val="005B5C64"/>
    <w:rsid w:val="005C5337"/>
    <w:rsid w:val="005C6BD0"/>
    <w:rsid w:val="005D1C8B"/>
    <w:rsid w:val="005D2854"/>
    <w:rsid w:val="005D468D"/>
    <w:rsid w:val="005D5CED"/>
    <w:rsid w:val="005F1A4C"/>
    <w:rsid w:val="00605688"/>
    <w:rsid w:val="006070AF"/>
    <w:rsid w:val="00607E6C"/>
    <w:rsid w:val="006101B1"/>
    <w:rsid w:val="00612345"/>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B4F71"/>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0A1D"/>
    <w:rsid w:val="007F1991"/>
    <w:rsid w:val="007F2C2F"/>
    <w:rsid w:val="007F55FC"/>
    <w:rsid w:val="007F5665"/>
    <w:rsid w:val="00800112"/>
    <w:rsid w:val="00813348"/>
    <w:rsid w:val="008253BB"/>
    <w:rsid w:val="0083706E"/>
    <w:rsid w:val="0083795B"/>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D4EE8"/>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22A3"/>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02FE1"/>
    <w:rsid w:val="00D114F0"/>
    <w:rsid w:val="00D20620"/>
    <w:rsid w:val="00D254F7"/>
    <w:rsid w:val="00D26091"/>
    <w:rsid w:val="00D2685C"/>
    <w:rsid w:val="00D34E7C"/>
    <w:rsid w:val="00D35489"/>
    <w:rsid w:val="00D36AFE"/>
    <w:rsid w:val="00D51276"/>
    <w:rsid w:val="00D5444D"/>
    <w:rsid w:val="00D7035F"/>
    <w:rsid w:val="00DA634F"/>
    <w:rsid w:val="00DA65AC"/>
    <w:rsid w:val="00DB1913"/>
    <w:rsid w:val="00DC2C99"/>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1A6F"/>
    <w:rsid w:val="00F36D8F"/>
    <w:rsid w:val="00F417B1"/>
    <w:rsid w:val="00F45853"/>
    <w:rsid w:val="00F602DF"/>
    <w:rsid w:val="00F754A1"/>
    <w:rsid w:val="00F81FD9"/>
    <w:rsid w:val="00F841AA"/>
    <w:rsid w:val="00F84A94"/>
    <w:rsid w:val="00F87E96"/>
    <w:rsid w:val="00FA23E8"/>
    <w:rsid w:val="00FD3CC1"/>
    <w:rsid w:val="00FE5DE6"/>
    <w:rsid w:val="00FF1E02"/>
    <w:rsid w:val="00FF30B4"/>
    <w:rsid w:val="01166242"/>
    <w:rsid w:val="012A5EC2"/>
    <w:rsid w:val="015975B8"/>
    <w:rsid w:val="015F20EB"/>
    <w:rsid w:val="01633E9B"/>
    <w:rsid w:val="01CF1530"/>
    <w:rsid w:val="02F74180"/>
    <w:rsid w:val="02FEBE30"/>
    <w:rsid w:val="02FF5E45"/>
    <w:rsid w:val="034F0B7A"/>
    <w:rsid w:val="03914CEF"/>
    <w:rsid w:val="03A01502"/>
    <w:rsid w:val="03C36E72"/>
    <w:rsid w:val="03DC2C52"/>
    <w:rsid w:val="03E77005"/>
    <w:rsid w:val="03E94B2B"/>
    <w:rsid w:val="044537FB"/>
    <w:rsid w:val="045D1075"/>
    <w:rsid w:val="046917C8"/>
    <w:rsid w:val="04916F1E"/>
    <w:rsid w:val="04B769D7"/>
    <w:rsid w:val="04E83035"/>
    <w:rsid w:val="051756C8"/>
    <w:rsid w:val="05285C39"/>
    <w:rsid w:val="05A607FA"/>
    <w:rsid w:val="05B8311D"/>
    <w:rsid w:val="05F6352F"/>
    <w:rsid w:val="05FE0636"/>
    <w:rsid w:val="06112117"/>
    <w:rsid w:val="061E35DE"/>
    <w:rsid w:val="06233BF8"/>
    <w:rsid w:val="063B7194"/>
    <w:rsid w:val="0668405D"/>
    <w:rsid w:val="066E0107"/>
    <w:rsid w:val="067A5F0E"/>
    <w:rsid w:val="06955533"/>
    <w:rsid w:val="06A35C1D"/>
    <w:rsid w:val="06D7510F"/>
    <w:rsid w:val="07996F6E"/>
    <w:rsid w:val="07DFD8BA"/>
    <w:rsid w:val="081450A2"/>
    <w:rsid w:val="08381BDD"/>
    <w:rsid w:val="08C2594B"/>
    <w:rsid w:val="08C6368D"/>
    <w:rsid w:val="09867E8F"/>
    <w:rsid w:val="09905A49"/>
    <w:rsid w:val="09C6146A"/>
    <w:rsid w:val="0A2032A3"/>
    <w:rsid w:val="0A374116"/>
    <w:rsid w:val="0A3B59B5"/>
    <w:rsid w:val="0A4D7496"/>
    <w:rsid w:val="0A7B4003"/>
    <w:rsid w:val="0B0A4AD4"/>
    <w:rsid w:val="0B5A630E"/>
    <w:rsid w:val="0B8213C1"/>
    <w:rsid w:val="0B8D4DCB"/>
    <w:rsid w:val="0C1666D9"/>
    <w:rsid w:val="0CA8290A"/>
    <w:rsid w:val="0CE9794A"/>
    <w:rsid w:val="0D186481"/>
    <w:rsid w:val="0D35B1ED"/>
    <w:rsid w:val="0D6C40D7"/>
    <w:rsid w:val="0E254B6B"/>
    <w:rsid w:val="0E6B25E0"/>
    <w:rsid w:val="0EFE5203"/>
    <w:rsid w:val="0F2A424A"/>
    <w:rsid w:val="0F4C6A04"/>
    <w:rsid w:val="0F81030D"/>
    <w:rsid w:val="0F98263C"/>
    <w:rsid w:val="0FDF5034"/>
    <w:rsid w:val="101860EC"/>
    <w:rsid w:val="101F47CC"/>
    <w:rsid w:val="1021564D"/>
    <w:rsid w:val="103E7FAD"/>
    <w:rsid w:val="105C0433"/>
    <w:rsid w:val="10B63FE7"/>
    <w:rsid w:val="10C055FF"/>
    <w:rsid w:val="10D75D0B"/>
    <w:rsid w:val="1145536B"/>
    <w:rsid w:val="11513D10"/>
    <w:rsid w:val="11694EBD"/>
    <w:rsid w:val="11772AA4"/>
    <w:rsid w:val="118107EC"/>
    <w:rsid w:val="119105B0"/>
    <w:rsid w:val="11CC054E"/>
    <w:rsid w:val="12CD386A"/>
    <w:rsid w:val="12DE7825"/>
    <w:rsid w:val="12E24EE2"/>
    <w:rsid w:val="1319085D"/>
    <w:rsid w:val="135B70C7"/>
    <w:rsid w:val="13693592"/>
    <w:rsid w:val="136F4921"/>
    <w:rsid w:val="13A91BE1"/>
    <w:rsid w:val="13D50BC4"/>
    <w:rsid w:val="13D724A0"/>
    <w:rsid w:val="13F13588"/>
    <w:rsid w:val="147C605C"/>
    <w:rsid w:val="14991C55"/>
    <w:rsid w:val="14B17F78"/>
    <w:rsid w:val="14DE58BA"/>
    <w:rsid w:val="151B11DC"/>
    <w:rsid w:val="156009C5"/>
    <w:rsid w:val="15A44D56"/>
    <w:rsid w:val="15EE1080"/>
    <w:rsid w:val="16300397"/>
    <w:rsid w:val="165E0673"/>
    <w:rsid w:val="16A9014A"/>
    <w:rsid w:val="16B831D5"/>
    <w:rsid w:val="16BB723D"/>
    <w:rsid w:val="17147B00"/>
    <w:rsid w:val="171E4694"/>
    <w:rsid w:val="17C53164"/>
    <w:rsid w:val="17E50567"/>
    <w:rsid w:val="17FF44C5"/>
    <w:rsid w:val="1854340F"/>
    <w:rsid w:val="18644328"/>
    <w:rsid w:val="186504BB"/>
    <w:rsid w:val="18666659"/>
    <w:rsid w:val="188B7B07"/>
    <w:rsid w:val="18944412"/>
    <w:rsid w:val="18BC23B6"/>
    <w:rsid w:val="18E60132"/>
    <w:rsid w:val="19063631"/>
    <w:rsid w:val="19566367"/>
    <w:rsid w:val="19614D0C"/>
    <w:rsid w:val="19A445FC"/>
    <w:rsid w:val="1A8B2040"/>
    <w:rsid w:val="1A911621"/>
    <w:rsid w:val="1AA22A86"/>
    <w:rsid w:val="1AEC6857"/>
    <w:rsid w:val="1AF5570C"/>
    <w:rsid w:val="1BC03F6C"/>
    <w:rsid w:val="1BCF2401"/>
    <w:rsid w:val="1BDD1D1E"/>
    <w:rsid w:val="1BE8440E"/>
    <w:rsid w:val="1C316C17"/>
    <w:rsid w:val="1C511068"/>
    <w:rsid w:val="1C984EE8"/>
    <w:rsid w:val="1CC6347C"/>
    <w:rsid w:val="1CD53A47"/>
    <w:rsid w:val="1D046172"/>
    <w:rsid w:val="1D155CEE"/>
    <w:rsid w:val="1D1638FE"/>
    <w:rsid w:val="1D3F5364"/>
    <w:rsid w:val="1D6848BB"/>
    <w:rsid w:val="1D7A639C"/>
    <w:rsid w:val="1D943B13"/>
    <w:rsid w:val="1DB01D23"/>
    <w:rsid w:val="1E312DEB"/>
    <w:rsid w:val="1E740ACF"/>
    <w:rsid w:val="1F234F3D"/>
    <w:rsid w:val="1FA94D17"/>
    <w:rsid w:val="1FC14756"/>
    <w:rsid w:val="1FF35744"/>
    <w:rsid w:val="1FF6BC77"/>
    <w:rsid w:val="1FF73CD4"/>
    <w:rsid w:val="20016901"/>
    <w:rsid w:val="207B66B3"/>
    <w:rsid w:val="207C3357"/>
    <w:rsid w:val="209F6845"/>
    <w:rsid w:val="20DA787E"/>
    <w:rsid w:val="210B5C89"/>
    <w:rsid w:val="21115DFB"/>
    <w:rsid w:val="21146782"/>
    <w:rsid w:val="21333432"/>
    <w:rsid w:val="21613AFB"/>
    <w:rsid w:val="2186353C"/>
    <w:rsid w:val="21B90668"/>
    <w:rsid w:val="21DB709D"/>
    <w:rsid w:val="21F91F85"/>
    <w:rsid w:val="223B07F0"/>
    <w:rsid w:val="228757E3"/>
    <w:rsid w:val="228958CD"/>
    <w:rsid w:val="228D26CE"/>
    <w:rsid w:val="23860B96"/>
    <w:rsid w:val="238735C1"/>
    <w:rsid w:val="239F3FC5"/>
    <w:rsid w:val="240371BF"/>
    <w:rsid w:val="241D3F64"/>
    <w:rsid w:val="24290FD2"/>
    <w:rsid w:val="244F3473"/>
    <w:rsid w:val="245F009A"/>
    <w:rsid w:val="24C148B0"/>
    <w:rsid w:val="24C97D99"/>
    <w:rsid w:val="24D003C5"/>
    <w:rsid w:val="24DF23EF"/>
    <w:rsid w:val="25A14E0E"/>
    <w:rsid w:val="25A718F0"/>
    <w:rsid w:val="25BB59F6"/>
    <w:rsid w:val="25D16D75"/>
    <w:rsid w:val="260F557C"/>
    <w:rsid w:val="266D2F42"/>
    <w:rsid w:val="26970054"/>
    <w:rsid w:val="26EF48E0"/>
    <w:rsid w:val="278F23BE"/>
    <w:rsid w:val="27CB6172"/>
    <w:rsid w:val="27E47234"/>
    <w:rsid w:val="27E77793"/>
    <w:rsid w:val="281408E2"/>
    <w:rsid w:val="281F026C"/>
    <w:rsid w:val="288307FB"/>
    <w:rsid w:val="28836A4D"/>
    <w:rsid w:val="28894FF8"/>
    <w:rsid w:val="28EF5E90"/>
    <w:rsid w:val="29133E61"/>
    <w:rsid w:val="297D524A"/>
    <w:rsid w:val="29967724"/>
    <w:rsid w:val="29AC1FD3"/>
    <w:rsid w:val="29B0453D"/>
    <w:rsid w:val="29E452C9"/>
    <w:rsid w:val="29FD04D3"/>
    <w:rsid w:val="2A6F3CC8"/>
    <w:rsid w:val="2AE632C3"/>
    <w:rsid w:val="2B2D4E9D"/>
    <w:rsid w:val="2B373B1E"/>
    <w:rsid w:val="2BFF7BC6"/>
    <w:rsid w:val="2C025EDA"/>
    <w:rsid w:val="2C4B7881"/>
    <w:rsid w:val="2C792640"/>
    <w:rsid w:val="2C8A61B5"/>
    <w:rsid w:val="2C9034E6"/>
    <w:rsid w:val="2C9F5E1F"/>
    <w:rsid w:val="2CC413E2"/>
    <w:rsid w:val="2D2500D2"/>
    <w:rsid w:val="2D297497"/>
    <w:rsid w:val="2DEC5D5C"/>
    <w:rsid w:val="2DF04E50"/>
    <w:rsid w:val="2E271C28"/>
    <w:rsid w:val="2E4E3659"/>
    <w:rsid w:val="2E586DFA"/>
    <w:rsid w:val="2EDB07A2"/>
    <w:rsid w:val="2EF20488"/>
    <w:rsid w:val="2F040D46"/>
    <w:rsid w:val="2F6B035B"/>
    <w:rsid w:val="2F9401B9"/>
    <w:rsid w:val="2F9B1447"/>
    <w:rsid w:val="2FA33530"/>
    <w:rsid w:val="2FAE5751"/>
    <w:rsid w:val="2FB1A395"/>
    <w:rsid w:val="2FD9A7D8"/>
    <w:rsid w:val="2FDBF714"/>
    <w:rsid w:val="2FE34275"/>
    <w:rsid w:val="30313232"/>
    <w:rsid w:val="309061AB"/>
    <w:rsid w:val="3096144D"/>
    <w:rsid w:val="30AB6865"/>
    <w:rsid w:val="30BD0622"/>
    <w:rsid w:val="30D342E9"/>
    <w:rsid w:val="311A5A74"/>
    <w:rsid w:val="31286F6B"/>
    <w:rsid w:val="317258B0"/>
    <w:rsid w:val="31745184"/>
    <w:rsid w:val="31927D00"/>
    <w:rsid w:val="319F7F4E"/>
    <w:rsid w:val="31A812D2"/>
    <w:rsid w:val="32455753"/>
    <w:rsid w:val="326E450F"/>
    <w:rsid w:val="32BD1EF1"/>
    <w:rsid w:val="3304709D"/>
    <w:rsid w:val="33274478"/>
    <w:rsid w:val="338F16D8"/>
    <w:rsid w:val="33A773CB"/>
    <w:rsid w:val="34394463"/>
    <w:rsid w:val="349D6851"/>
    <w:rsid w:val="34AC732B"/>
    <w:rsid w:val="34B41D3C"/>
    <w:rsid w:val="34BF277E"/>
    <w:rsid w:val="355C48AD"/>
    <w:rsid w:val="35E6413B"/>
    <w:rsid w:val="363248DE"/>
    <w:rsid w:val="366E2AEA"/>
    <w:rsid w:val="36AA5135"/>
    <w:rsid w:val="36BE0DA7"/>
    <w:rsid w:val="36EA07C0"/>
    <w:rsid w:val="36EC6B40"/>
    <w:rsid w:val="375C0B95"/>
    <w:rsid w:val="376B6AA6"/>
    <w:rsid w:val="376D39B2"/>
    <w:rsid w:val="376F791B"/>
    <w:rsid w:val="378473D8"/>
    <w:rsid w:val="37E16F03"/>
    <w:rsid w:val="37E62B54"/>
    <w:rsid w:val="37F53A3B"/>
    <w:rsid w:val="381B0A50"/>
    <w:rsid w:val="38725E31"/>
    <w:rsid w:val="389B6C89"/>
    <w:rsid w:val="38A74091"/>
    <w:rsid w:val="38D469F0"/>
    <w:rsid w:val="38D806EF"/>
    <w:rsid w:val="38F90665"/>
    <w:rsid w:val="39627CCD"/>
    <w:rsid w:val="397BAF1F"/>
    <w:rsid w:val="398F454B"/>
    <w:rsid w:val="39BD78E5"/>
    <w:rsid w:val="39F03816"/>
    <w:rsid w:val="3A2A31CC"/>
    <w:rsid w:val="3A3A038A"/>
    <w:rsid w:val="3A450921"/>
    <w:rsid w:val="3AB79AF3"/>
    <w:rsid w:val="3AC54CA3"/>
    <w:rsid w:val="3AE834C0"/>
    <w:rsid w:val="3B7EF35A"/>
    <w:rsid w:val="3B9FDB6C"/>
    <w:rsid w:val="3BA725FA"/>
    <w:rsid w:val="3BF5BC2F"/>
    <w:rsid w:val="3C2854E9"/>
    <w:rsid w:val="3C421C9A"/>
    <w:rsid w:val="3C4A1903"/>
    <w:rsid w:val="3C502C92"/>
    <w:rsid w:val="3C574020"/>
    <w:rsid w:val="3C7324DC"/>
    <w:rsid w:val="3CB12EF4"/>
    <w:rsid w:val="3CEBA265"/>
    <w:rsid w:val="3D106DE6"/>
    <w:rsid w:val="3D1B504E"/>
    <w:rsid w:val="3D430101"/>
    <w:rsid w:val="3D670293"/>
    <w:rsid w:val="3D98207C"/>
    <w:rsid w:val="3DC72AE0"/>
    <w:rsid w:val="3DEE7CF3"/>
    <w:rsid w:val="3E4203B8"/>
    <w:rsid w:val="3E740A63"/>
    <w:rsid w:val="3E78745D"/>
    <w:rsid w:val="3EE17838"/>
    <w:rsid w:val="3EF95FE2"/>
    <w:rsid w:val="3F0F473E"/>
    <w:rsid w:val="3F55381A"/>
    <w:rsid w:val="3F7F7599"/>
    <w:rsid w:val="3FF4CAE0"/>
    <w:rsid w:val="3FF7B227"/>
    <w:rsid w:val="403D0519"/>
    <w:rsid w:val="406B4E8F"/>
    <w:rsid w:val="416A65A4"/>
    <w:rsid w:val="420E5181"/>
    <w:rsid w:val="429D6505"/>
    <w:rsid w:val="42A67168"/>
    <w:rsid w:val="42CA554C"/>
    <w:rsid w:val="431A7B56"/>
    <w:rsid w:val="431E77B5"/>
    <w:rsid w:val="4321632E"/>
    <w:rsid w:val="43301127"/>
    <w:rsid w:val="43805C0B"/>
    <w:rsid w:val="446612A5"/>
    <w:rsid w:val="44A771C7"/>
    <w:rsid w:val="44E268DA"/>
    <w:rsid w:val="45010FCD"/>
    <w:rsid w:val="450D13D7"/>
    <w:rsid w:val="45506656"/>
    <w:rsid w:val="45F4468E"/>
    <w:rsid w:val="46D63D94"/>
    <w:rsid w:val="4723522B"/>
    <w:rsid w:val="47524BF0"/>
    <w:rsid w:val="47613FA5"/>
    <w:rsid w:val="47B83B92"/>
    <w:rsid w:val="47DB5B06"/>
    <w:rsid w:val="48054931"/>
    <w:rsid w:val="48230E62"/>
    <w:rsid w:val="486A6C7A"/>
    <w:rsid w:val="487209AE"/>
    <w:rsid w:val="48FE28A6"/>
    <w:rsid w:val="499441BE"/>
    <w:rsid w:val="49B371DE"/>
    <w:rsid w:val="49E35145"/>
    <w:rsid w:val="49E54A1A"/>
    <w:rsid w:val="49ED78C9"/>
    <w:rsid w:val="4A627F82"/>
    <w:rsid w:val="4A8A55C1"/>
    <w:rsid w:val="4A8E7C7E"/>
    <w:rsid w:val="4B0E749A"/>
    <w:rsid w:val="4B2477C4"/>
    <w:rsid w:val="4B4F25DA"/>
    <w:rsid w:val="4BE068DB"/>
    <w:rsid w:val="4C0118B3"/>
    <w:rsid w:val="4C392DFB"/>
    <w:rsid w:val="4C45100A"/>
    <w:rsid w:val="4C9B3AB5"/>
    <w:rsid w:val="4D577224"/>
    <w:rsid w:val="4D5A18E8"/>
    <w:rsid w:val="4D73058E"/>
    <w:rsid w:val="4D810EFD"/>
    <w:rsid w:val="4DAE3BA2"/>
    <w:rsid w:val="4DBF1CEB"/>
    <w:rsid w:val="4DE20D76"/>
    <w:rsid w:val="4DF0007C"/>
    <w:rsid w:val="4DFA0CB0"/>
    <w:rsid w:val="4E08517B"/>
    <w:rsid w:val="4EAB630A"/>
    <w:rsid w:val="4ECE2238"/>
    <w:rsid w:val="4F025EB9"/>
    <w:rsid w:val="4F275AD4"/>
    <w:rsid w:val="4F6F7AB6"/>
    <w:rsid w:val="4F833267"/>
    <w:rsid w:val="4F895E47"/>
    <w:rsid w:val="4F8C3212"/>
    <w:rsid w:val="4F8D1DDB"/>
    <w:rsid w:val="4FE15C83"/>
    <w:rsid w:val="4FE9BD67"/>
    <w:rsid w:val="4FFB052F"/>
    <w:rsid w:val="50215340"/>
    <w:rsid w:val="50C02639"/>
    <w:rsid w:val="514209A3"/>
    <w:rsid w:val="5174109B"/>
    <w:rsid w:val="51907961"/>
    <w:rsid w:val="51967BEC"/>
    <w:rsid w:val="51F003FF"/>
    <w:rsid w:val="51F223CA"/>
    <w:rsid w:val="52065E75"/>
    <w:rsid w:val="52730B44"/>
    <w:rsid w:val="52CD6993"/>
    <w:rsid w:val="52EB0BC7"/>
    <w:rsid w:val="533223C9"/>
    <w:rsid w:val="533B1B4E"/>
    <w:rsid w:val="53582700"/>
    <w:rsid w:val="537E6D0A"/>
    <w:rsid w:val="53837051"/>
    <w:rsid w:val="53D77AC9"/>
    <w:rsid w:val="53F74C96"/>
    <w:rsid w:val="54041F40"/>
    <w:rsid w:val="54817A35"/>
    <w:rsid w:val="54C152EF"/>
    <w:rsid w:val="55170BA8"/>
    <w:rsid w:val="553218C9"/>
    <w:rsid w:val="55AF7FC7"/>
    <w:rsid w:val="55D447DE"/>
    <w:rsid w:val="55F83D27"/>
    <w:rsid w:val="560426CB"/>
    <w:rsid w:val="560C77D2"/>
    <w:rsid w:val="563C00B7"/>
    <w:rsid w:val="567E1AA5"/>
    <w:rsid w:val="56BF15B2"/>
    <w:rsid w:val="56E47B74"/>
    <w:rsid w:val="5714693E"/>
    <w:rsid w:val="57175D52"/>
    <w:rsid w:val="576D604E"/>
    <w:rsid w:val="57BD3DD4"/>
    <w:rsid w:val="57E37B17"/>
    <w:rsid w:val="57F023AB"/>
    <w:rsid w:val="57FB365A"/>
    <w:rsid w:val="5827444F"/>
    <w:rsid w:val="58451857"/>
    <w:rsid w:val="588C69A8"/>
    <w:rsid w:val="58951D01"/>
    <w:rsid w:val="596A5132"/>
    <w:rsid w:val="59861649"/>
    <w:rsid w:val="59A0270B"/>
    <w:rsid w:val="59C35481"/>
    <w:rsid w:val="5A6B0F6B"/>
    <w:rsid w:val="5A9B1124"/>
    <w:rsid w:val="5AF92295"/>
    <w:rsid w:val="5AFD28F5"/>
    <w:rsid w:val="5B250254"/>
    <w:rsid w:val="5B4B2B4A"/>
    <w:rsid w:val="5BDD79E6"/>
    <w:rsid w:val="5BDD7C46"/>
    <w:rsid w:val="5BF561CA"/>
    <w:rsid w:val="5BF8682E"/>
    <w:rsid w:val="5BFF5DFC"/>
    <w:rsid w:val="5C1F025F"/>
    <w:rsid w:val="5C537F09"/>
    <w:rsid w:val="5C8435CD"/>
    <w:rsid w:val="5C8F4507"/>
    <w:rsid w:val="5CD71FC4"/>
    <w:rsid w:val="5D1F11B5"/>
    <w:rsid w:val="5D303DA6"/>
    <w:rsid w:val="5D695134"/>
    <w:rsid w:val="5D952174"/>
    <w:rsid w:val="5DAE1B18"/>
    <w:rsid w:val="5DB93D9B"/>
    <w:rsid w:val="5DE7D9E5"/>
    <w:rsid w:val="5E4428C3"/>
    <w:rsid w:val="5E59557E"/>
    <w:rsid w:val="5E6B43C9"/>
    <w:rsid w:val="5E9B16F3"/>
    <w:rsid w:val="5EAC1B52"/>
    <w:rsid w:val="5EBE45DD"/>
    <w:rsid w:val="5EC831A0"/>
    <w:rsid w:val="5ECEC941"/>
    <w:rsid w:val="5ED52E57"/>
    <w:rsid w:val="5F396D54"/>
    <w:rsid w:val="5FBF9FF3"/>
    <w:rsid w:val="5FCD4E2C"/>
    <w:rsid w:val="5FEF394A"/>
    <w:rsid w:val="5FF67715"/>
    <w:rsid w:val="602120CC"/>
    <w:rsid w:val="60B371C8"/>
    <w:rsid w:val="60D31618"/>
    <w:rsid w:val="6105554A"/>
    <w:rsid w:val="611F2AAF"/>
    <w:rsid w:val="61744924"/>
    <w:rsid w:val="617C3A5E"/>
    <w:rsid w:val="619E57AE"/>
    <w:rsid w:val="623954AB"/>
    <w:rsid w:val="627209BD"/>
    <w:rsid w:val="62BF3928"/>
    <w:rsid w:val="63260125"/>
    <w:rsid w:val="635822A8"/>
    <w:rsid w:val="63604CB9"/>
    <w:rsid w:val="636536D2"/>
    <w:rsid w:val="63B3701E"/>
    <w:rsid w:val="641C32D6"/>
    <w:rsid w:val="647F5392"/>
    <w:rsid w:val="64A84B6A"/>
    <w:rsid w:val="64B4350F"/>
    <w:rsid w:val="655A40B6"/>
    <w:rsid w:val="659A0956"/>
    <w:rsid w:val="65BF29F8"/>
    <w:rsid w:val="65C82C47"/>
    <w:rsid w:val="65D5373C"/>
    <w:rsid w:val="65E240AB"/>
    <w:rsid w:val="65E66580"/>
    <w:rsid w:val="65FF6A0B"/>
    <w:rsid w:val="6646463A"/>
    <w:rsid w:val="664B1D71"/>
    <w:rsid w:val="664B4E8E"/>
    <w:rsid w:val="66BB5028"/>
    <w:rsid w:val="67277B67"/>
    <w:rsid w:val="67332E10"/>
    <w:rsid w:val="677D63AA"/>
    <w:rsid w:val="67AA3209"/>
    <w:rsid w:val="67B6759E"/>
    <w:rsid w:val="67F00D02"/>
    <w:rsid w:val="68723567"/>
    <w:rsid w:val="68BE495C"/>
    <w:rsid w:val="68BE670A"/>
    <w:rsid w:val="69286279"/>
    <w:rsid w:val="693410C2"/>
    <w:rsid w:val="69747710"/>
    <w:rsid w:val="698D0931"/>
    <w:rsid w:val="69C8652A"/>
    <w:rsid w:val="69EC72A7"/>
    <w:rsid w:val="69F148BD"/>
    <w:rsid w:val="6A072332"/>
    <w:rsid w:val="6A7FE5F3"/>
    <w:rsid w:val="6A9242F2"/>
    <w:rsid w:val="6AE8437B"/>
    <w:rsid w:val="6AF91C7B"/>
    <w:rsid w:val="6B053271"/>
    <w:rsid w:val="6B2A0087"/>
    <w:rsid w:val="6B39476E"/>
    <w:rsid w:val="6BDD78B3"/>
    <w:rsid w:val="6C4A05C8"/>
    <w:rsid w:val="6C8742B8"/>
    <w:rsid w:val="6CE07597"/>
    <w:rsid w:val="6D57537F"/>
    <w:rsid w:val="6D7C6B93"/>
    <w:rsid w:val="6DBF5E93"/>
    <w:rsid w:val="6DC946EA"/>
    <w:rsid w:val="6DD30EA9"/>
    <w:rsid w:val="6DFF077E"/>
    <w:rsid w:val="6E4A5A76"/>
    <w:rsid w:val="6E714EF0"/>
    <w:rsid w:val="6E7A1325"/>
    <w:rsid w:val="6E7E3605"/>
    <w:rsid w:val="6E7FDCC7"/>
    <w:rsid w:val="6EA445F4"/>
    <w:rsid w:val="6ED6A62E"/>
    <w:rsid w:val="6EE00B15"/>
    <w:rsid w:val="6EE031AD"/>
    <w:rsid w:val="6EE3336E"/>
    <w:rsid w:val="6F17750E"/>
    <w:rsid w:val="6F1C062E"/>
    <w:rsid w:val="6F283D86"/>
    <w:rsid w:val="6F6FB3EB"/>
    <w:rsid w:val="6F8731EA"/>
    <w:rsid w:val="6FCE6052"/>
    <w:rsid w:val="6FD57C00"/>
    <w:rsid w:val="6FE3114C"/>
    <w:rsid w:val="6FEFFFD8"/>
    <w:rsid w:val="6FF5199C"/>
    <w:rsid w:val="6FF5CC65"/>
    <w:rsid w:val="6FFB47EC"/>
    <w:rsid w:val="6FFF034A"/>
    <w:rsid w:val="703D44F7"/>
    <w:rsid w:val="70484440"/>
    <w:rsid w:val="708244C1"/>
    <w:rsid w:val="70D869D4"/>
    <w:rsid w:val="71257C6E"/>
    <w:rsid w:val="712A28F1"/>
    <w:rsid w:val="714479C8"/>
    <w:rsid w:val="71520337"/>
    <w:rsid w:val="715B74BE"/>
    <w:rsid w:val="715C0E4B"/>
    <w:rsid w:val="71992E7C"/>
    <w:rsid w:val="71AA1F21"/>
    <w:rsid w:val="71F25676"/>
    <w:rsid w:val="72233669"/>
    <w:rsid w:val="722515A8"/>
    <w:rsid w:val="722E4900"/>
    <w:rsid w:val="72404633"/>
    <w:rsid w:val="72734D90"/>
    <w:rsid w:val="72966949"/>
    <w:rsid w:val="72C40DC1"/>
    <w:rsid w:val="73160E6D"/>
    <w:rsid w:val="73270EF3"/>
    <w:rsid w:val="7332FE48"/>
    <w:rsid w:val="73375A36"/>
    <w:rsid w:val="73404E51"/>
    <w:rsid w:val="73AB61DA"/>
    <w:rsid w:val="73AD73D5"/>
    <w:rsid w:val="73AF7CC3"/>
    <w:rsid w:val="73B6EB34"/>
    <w:rsid w:val="73E21E46"/>
    <w:rsid w:val="73EF5D73"/>
    <w:rsid w:val="73FA497D"/>
    <w:rsid w:val="74343D24"/>
    <w:rsid w:val="744731E5"/>
    <w:rsid w:val="74BBD01D"/>
    <w:rsid w:val="74D13C69"/>
    <w:rsid w:val="74ED5379"/>
    <w:rsid w:val="753D4E5A"/>
    <w:rsid w:val="75524DAA"/>
    <w:rsid w:val="757C3BD5"/>
    <w:rsid w:val="75C662A9"/>
    <w:rsid w:val="75DEEEC2"/>
    <w:rsid w:val="75E32345"/>
    <w:rsid w:val="76037AB0"/>
    <w:rsid w:val="76452218"/>
    <w:rsid w:val="76E3355F"/>
    <w:rsid w:val="76FF5125"/>
    <w:rsid w:val="77000835"/>
    <w:rsid w:val="772B7660"/>
    <w:rsid w:val="77433631"/>
    <w:rsid w:val="77514BED"/>
    <w:rsid w:val="776F6FFA"/>
    <w:rsid w:val="778769C8"/>
    <w:rsid w:val="77A75DCA"/>
    <w:rsid w:val="77D221D2"/>
    <w:rsid w:val="77D575CC"/>
    <w:rsid w:val="77DC22F5"/>
    <w:rsid w:val="7820118F"/>
    <w:rsid w:val="783E271A"/>
    <w:rsid w:val="78616DE9"/>
    <w:rsid w:val="78840F19"/>
    <w:rsid w:val="78AA0A59"/>
    <w:rsid w:val="78E875D7"/>
    <w:rsid w:val="79086DAD"/>
    <w:rsid w:val="794762A8"/>
    <w:rsid w:val="798E3ED6"/>
    <w:rsid w:val="79D7FD79"/>
    <w:rsid w:val="79EE5BA4"/>
    <w:rsid w:val="7A1B7E60"/>
    <w:rsid w:val="7A4E3666"/>
    <w:rsid w:val="7A894339"/>
    <w:rsid w:val="7ABD3286"/>
    <w:rsid w:val="7AC878BC"/>
    <w:rsid w:val="7AD284E8"/>
    <w:rsid w:val="7AFF7572"/>
    <w:rsid w:val="7B6C7DFB"/>
    <w:rsid w:val="7BBFBED0"/>
    <w:rsid w:val="7BC3E394"/>
    <w:rsid w:val="7C1F3737"/>
    <w:rsid w:val="7C5D739D"/>
    <w:rsid w:val="7CAB4D9F"/>
    <w:rsid w:val="7CBFC87B"/>
    <w:rsid w:val="7CEB6CCD"/>
    <w:rsid w:val="7CFA2B42"/>
    <w:rsid w:val="7CFE0F48"/>
    <w:rsid w:val="7D1868D9"/>
    <w:rsid w:val="7D20753B"/>
    <w:rsid w:val="7D272ABC"/>
    <w:rsid w:val="7D4E40A8"/>
    <w:rsid w:val="7D7358BD"/>
    <w:rsid w:val="7D7EC23E"/>
    <w:rsid w:val="7DF32EA2"/>
    <w:rsid w:val="7E066731"/>
    <w:rsid w:val="7E8ADEBF"/>
    <w:rsid w:val="7E9F26E2"/>
    <w:rsid w:val="7EAA512E"/>
    <w:rsid w:val="7EE34CC4"/>
    <w:rsid w:val="7EEF11D3"/>
    <w:rsid w:val="7EFB200E"/>
    <w:rsid w:val="7EFE4840"/>
    <w:rsid w:val="7F0971A6"/>
    <w:rsid w:val="7F1D62E7"/>
    <w:rsid w:val="7F2F3A66"/>
    <w:rsid w:val="7F3F679B"/>
    <w:rsid w:val="7F4FC4EF"/>
    <w:rsid w:val="7F5E4D54"/>
    <w:rsid w:val="7F6E0135"/>
    <w:rsid w:val="7F79F205"/>
    <w:rsid w:val="7F9B734D"/>
    <w:rsid w:val="7FA30C79"/>
    <w:rsid w:val="7FA79C44"/>
    <w:rsid w:val="7FAF8ABF"/>
    <w:rsid w:val="7FB7269E"/>
    <w:rsid w:val="7FBE039C"/>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Body Text"/>
    <w:basedOn w:val="1"/>
    <w:next w:val="7"/>
    <w:link w:val="27"/>
    <w:qFormat/>
    <w:uiPriority w:val="99"/>
    <w:pPr>
      <w:spacing w:beforeLines="30"/>
    </w:pPr>
    <w:rPr>
      <w:rFonts w:ascii="仿宋_GB2312" w:eastAsia="仿宋_GB2312"/>
      <w:kern w:val="0"/>
      <w:sz w:val="30"/>
    </w:rPr>
  </w:style>
  <w:style w:type="paragraph" w:styleId="7">
    <w:name w:val="Body Text First Indent"/>
    <w:basedOn w:val="6"/>
    <w:unhideWhenUsed/>
    <w:qFormat/>
    <w:uiPriority w:val="99"/>
    <w:pPr>
      <w:tabs>
        <w:tab w:val="left" w:pos="2160"/>
      </w:tabs>
      <w:ind w:firstLine="420" w:firstLineChars="100"/>
    </w:pPr>
  </w:style>
  <w:style w:type="paragraph" w:styleId="8">
    <w:name w:val="Body Text Indent"/>
    <w:basedOn w:val="1"/>
    <w:next w:val="9"/>
    <w:qFormat/>
    <w:uiPriority w:val="0"/>
    <w:pPr>
      <w:spacing w:after="120"/>
      <w:ind w:left="200"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character" w:customStyle="1" w:styleId="22">
    <w:name w:val="Header Char"/>
    <w:basedOn w:val="19"/>
    <w:semiHidden/>
    <w:qFormat/>
    <w:uiPriority w:val="99"/>
    <w:rPr>
      <w:rFonts w:ascii="Times New Roman" w:hAnsi="Times New Roman"/>
      <w:sz w:val="18"/>
      <w:szCs w:val="18"/>
    </w:rPr>
  </w:style>
  <w:style w:type="character" w:customStyle="1" w:styleId="23">
    <w:name w:val="页眉 字符"/>
    <w:link w:val="13"/>
    <w:semiHidden/>
    <w:qFormat/>
    <w:locked/>
    <w:uiPriority w:val="99"/>
    <w:rPr>
      <w:sz w:val="18"/>
    </w:rPr>
  </w:style>
  <w:style w:type="character" w:customStyle="1" w:styleId="24">
    <w:name w:val="Footer Char"/>
    <w:basedOn w:val="19"/>
    <w:semiHidden/>
    <w:qFormat/>
    <w:uiPriority w:val="99"/>
    <w:rPr>
      <w:rFonts w:ascii="Times New Roman" w:hAnsi="Times New Roman"/>
      <w:sz w:val="18"/>
      <w:szCs w:val="18"/>
    </w:rPr>
  </w:style>
  <w:style w:type="character" w:customStyle="1" w:styleId="25">
    <w:name w:val="页脚 字符"/>
    <w:link w:val="12"/>
    <w:qFormat/>
    <w:locked/>
    <w:uiPriority w:val="99"/>
    <w:rPr>
      <w:sz w:val="18"/>
    </w:rPr>
  </w:style>
  <w:style w:type="character" w:customStyle="1" w:styleId="26">
    <w:name w:val="Body Text Char"/>
    <w:basedOn w:val="19"/>
    <w:semiHidden/>
    <w:qFormat/>
    <w:uiPriority w:val="99"/>
    <w:rPr>
      <w:rFonts w:ascii="Times New Roman" w:hAnsi="Times New Roman"/>
      <w:szCs w:val="24"/>
    </w:rPr>
  </w:style>
  <w:style w:type="character" w:customStyle="1" w:styleId="27">
    <w:name w:val="正文文本 字符"/>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字符"/>
    <w:basedOn w:val="19"/>
    <w:link w:val="3"/>
    <w:qFormat/>
    <w:uiPriority w:val="9"/>
    <w:rPr>
      <w:rFonts w:ascii="Times New Roman" w:hAnsi="Times New Roman"/>
      <w:b/>
      <w:bCs/>
      <w:kern w:val="44"/>
      <w:sz w:val="44"/>
      <w:szCs w:val="44"/>
    </w:rPr>
  </w:style>
  <w:style w:type="character" w:customStyle="1" w:styleId="31">
    <w:name w:val="标题 2 字符"/>
    <w:basedOn w:val="19"/>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字符"/>
    <w:basedOn w:val="19"/>
    <w:link w:val="11"/>
    <w:semiHidden/>
    <w:qFormat/>
    <w:uiPriority w:val="99"/>
    <w:rPr>
      <w:rFonts w:ascii="Times New Roman" w:hAnsi="Times New Roman"/>
      <w:kern w:val="2"/>
      <w:sz w:val="18"/>
      <w:szCs w:val="18"/>
    </w:rPr>
  </w:style>
  <w:style w:type="character" w:customStyle="1" w:styleId="34">
    <w:name w:val="标题 3 字符"/>
    <w:basedOn w:val="19"/>
    <w:link w:val="5"/>
    <w:qFormat/>
    <w:uiPriority w:val="9"/>
    <w:rPr>
      <w:rFonts w:ascii="Times New Roman" w:hAnsi="Times New Roman"/>
      <w:b/>
      <w:bCs/>
      <w:kern w:val="2"/>
      <w:sz w:val="32"/>
      <w:szCs w:val="32"/>
    </w:rPr>
  </w:style>
  <w:style w:type="paragraph" w:customStyle="1" w:styleId="35">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收入、支出决算总计变动情况表</a:t>
            </a:r>
          </a:p>
        </c:rich>
      </c:tx>
      <c:layout/>
      <c:overlay val="0"/>
      <c:spPr>
        <a:noFill/>
        <a:ln>
          <a:noFill/>
        </a:ln>
        <a:effectLst/>
      </c:spPr>
    </c:title>
    <c:autoTitleDeleted val="0"/>
    <c:plotArea>
      <c:layout>
        <c:manualLayout>
          <c:layoutTarget val="inner"/>
          <c:xMode val="edge"/>
          <c:yMode val="edge"/>
          <c:x val="0.076825"/>
          <c:y val="0.132"/>
          <c:w val="0.8938"/>
          <c:h val="0.716566666666667"/>
        </c:manualLayout>
      </c:layout>
      <c:barChart>
        <c:barDir val="col"/>
        <c:grouping val="clustered"/>
        <c:varyColors val="0"/>
        <c:ser>
          <c:idx val="0"/>
          <c:order val="0"/>
          <c:tx>
            <c:strRef>
              <c:f>Sheet1!$B$1</c:f>
              <c:strCache>
                <c:ptCount val="1"/>
                <c:pt idx="0">
                  <c:v/>
                </c:pt>
              </c:strCache>
            </c:strRef>
          </c:tx>
          <c:spPr>
            <a:solidFill>
              <a:schemeClr val="accent1"/>
            </a:solidFill>
            <a:ln>
              <a:noFill/>
            </a:ln>
            <a:effectLst/>
          </c:spPr>
          <c:invertIfNegative val="0"/>
          <c:dLbls>
            <c:delete val="1"/>
          </c:dLbls>
          <c:cat>
            <c:strRef>
              <c:f>Sheet1!$A$2:$A$3</c:f>
              <c:strCache>
                <c:ptCount val="2"/>
                <c:pt idx="0">
                  <c:v>2024年（万元）</c:v>
                </c:pt>
                <c:pt idx="1">
                  <c:v>2025年（万元）</c:v>
                </c:pt>
              </c:strCache>
            </c:strRef>
          </c:cat>
          <c:val>
            <c:numRef>
              <c:f>Sheet1!$B$2:$B$3</c:f>
              <c:numCache>
                <c:formatCode>General</c:formatCode>
                <c:ptCount val="2"/>
                <c:pt idx="0">
                  <c:v>2818.81</c:v>
                </c:pt>
                <c:pt idx="1">
                  <c:v>2747.46</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strRef>
              <c:f>Sheet1!$A$2:$A$3</c:f>
              <c:strCache>
                <c:ptCount val="2"/>
                <c:pt idx="0">
                  <c:v>2024年（万元）</c:v>
                </c:pt>
                <c:pt idx="1">
                  <c:v>2025年（万元）</c:v>
                </c:pt>
              </c:strCache>
            </c:str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2024年（万元）</c:v>
                </c:pt>
                <c:pt idx="1">
                  <c:v>2025年（万元）</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500805965"/>
        <c:axId val="908565845"/>
      </c:barChart>
      <c:catAx>
        <c:axId val="50080596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8565845"/>
        <c:crosses val="autoZero"/>
        <c:auto val="1"/>
        <c:lblAlgn val="ctr"/>
        <c:lblOffset val="100"/>
        <c:noMultiLvlLbl val="0"/>
      </c:catAx>
      <c:valAx>
        <c:axId val="90856584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080596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一般公共预算财政拨款收入(万元）</c:v>
                </c:pt>
                <c:pt idx="1">
                  <c:v>其他收入（万元）</c:v>
                </c:pt>
              </c:strCache>
            </c:strRef>
          </c:cat>
          <c:val>
            <c:numRef>
              <c:f>Sheet1!$B$2:$B$3</c:f>
              <c:numCache>
                <c:formatCode>General</c:formatCode>
                <c:ptCount val="2"/>
                <c:pt idx="0">
                  <c:v>2212.94</c:v>
                </c:pt>
                <c:pt idx="1">
                  <c:v>498.16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manualLayout>
          <c:xMode val="edge"/>
          <c:yMode val="edge"/>
          <c:x val="0.367375"/>
          <c:y val="0.0289073039121218"/>
        </c:manualLayout>
      </c:layout>
      <c:overlay val="0"/>
      <c:spPr>
        <a:noFill/>
        <a:ln>
          <a:noFill/>
        </a:ln>
        <a:effectLst/>
      </c:spPr>
    </c:title>
    <c:autoTitleDeleted val="0"/>
    <c:plotArea>
      <c:layout/>
      <c:pieChart>
        <c:varyColors val="1"/>
        <c:ser>
          <c:idx val="0"/>
          <c:order val="0"/>
          <c:tx>
            <c:strRef>
              <c:f>Sheet1!$B$1</c:f>
              <c:strCache>
                <c:ptCount val="1"/>
                <c:pt idx="0">
                  <c:v>列1</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1696.09</c:v>
                </c:pt>
                <c:pt idx="1">
                  <c:v>1020.51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endParaRPr altLang="en-US"/>
          </a:p>
        </c:rich>
      </c:tx>
      <c:layout/>
      <c:overlay val="0"/>
      <c:spPr>
        <a:noFill/>
        <a:ln>
          <a:noFill/>
        </a:ln>
        <a:effectLst/>
      </c:spPr>
    </c:title>
    <c:autoTitleDeleted val="0"/>
    <c:plotArea>
      <c:layout>
        <c:manualLayout>
          <c:layoutTarget val="inner"/>
          <c:xMode val="edge"/>
          <c:yMode val="edge"/>
          <c:x val="0.06995"/>
          <c:y val="0.162300319488818"/>
          <c:w val="0.927925"/>
          <c:h val="0.637784877529286"/>
        </c:manualLayout>
      </c:layout>
      <c:barChart>
        <c:barDir val="col"/>
        <c:grouping val="clustered"/>
        <c:varyColors val="0"/>
        <c:ser>
          <c:idx val="0"/>
          <c:order val="0"/>
          <c:tx>
            <c:strRef>
              <c:f>Sheet1!#REF!</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Sheet1!$A$1:$A$2</c:f>
              <c:strCache>
                <c:ptCount val="2"/>
                <c:pt idx="0">
                  <c:v>2024年（万元）</c:v>
                </c:pt>
                <c:pt idx="1">
                  <c:v>2025年（万元 ）</c:v>
                </c:pt>
              </c:strCache>
            </c:strRef>
          </c:cat>
          <c:val>
            <c:numRef>
              <c:f>Sheet1!$B$1:$B$2</c:f>
              <c:numCache>
                <c:formatCode>General</c:formatCode>
                <c:ptCount val="2"/>
                <c:pt idx="0">
                  <c:v>2287.94</c:v>
                </c:pt>
                <c:pt idx="1">
                  <c:v>2212.94</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strRef>
              <c:f>Sheet1!$A$1:$A$2</c:f>
              <c:strCache>
                <c:ptCount val="2"/>
                <c:pt idx="0">
                  <c:v>2024年（万元）</c:v>
                </c:pt>
                <c:pt idx="1">
                  <c:v>2025年（万元 ）</c:v>
                </c:pt>
              </c:strCache>
            </c:str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Sheet1!$A$1:$A$2</c:f>
              <c:strCache>
                <c:ptCount val="2"/>
                <c:pt idx="0">
                  <c:v>2024年（万元）</c:v>
                </c:pt>
                <c:pt idx="1">
                  <c:v>2025年（万元 ）</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630117004"/>
        <c:axId val="49499614"/>
      </c:barChart>
      <c:catAx>
        <c:axId val="63011700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9614"/>
        <c:crosses val="autoZero"/>
        <c:auto val="1"/>
        <c:lblAlgn val="ctr"/>
        <c:lblOffset val="100"/>
        <c:noMultiLvlLbl val="0"/>
      </c:catAx>
      <c:valAx>
        <c:axId val="4949961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01170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altLang="en-US"/>
              <a:t>一般公共预算财政拨款支出决算变动情况</a:t>
            </a:r>
            <a:endParaRPr altLang="en-US"/>
          </a:p>
        </c:rich>
      </c:tx>
      <c:layout/>
      <c:overlay val="0"/>
      <c:spPr>
        <a:noFill/>
        <a:ln>
          <a:noFill/>
        </a:ln>
        <a:effectLst/>
      </c:spPr>
    </c:title>
    <c:autoTitleDeleted val="0"/>
    <c:plotArea>
      <c:layout>
        <c:manualLayout>
          <c:layoutTarget val="inner"/>
          <c:xMode val="edge"/>
          <c:yMode val="edge"/>
          <c:x val="0.06995"/>
          <c:y val="0.242172523961661"/>
          <c:w val="0.927925"/>
          <c:h val="0.637784877529286"/>
        </c:manualLayout>
      </c:layout>
      <c:barChart>
        <c:barDir val="col"/>
        <c:grouping val="clustered"/>
        <c:varyColors val="0"/>
        <c:ser>
          <c:idx val="0"/>
          <c:order val="0"/>
          <c:tx>
            <c:strRef>
              <c:f>Sheet1!#REF!</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Sheet1!$A$1:$A$2</c:f>
              <c:strCache>
                <c:ptCount val="2"/>
                <c:pt idx="0">
                  <c:v>2024年（万元）</c:v>
                </c:pt>
                <c:pt idx="1">
                  <c:v>2025年（万元 ）</c:v>
                </c:pt>
              </c:strCache>
            </c:strRef>
          </c:cat>
          <c:val>
            <c:numRef>
              <c:f>Sheet1!$B$1:$B$2</c:f>
              <c:numCache>
                <c:formatCode>General</c:formatCode>
                <c:ptCount val="2"/>
                <c:pt idx="0">
                  <c:v>2287.94</c:v>
                </c:pt>
                <c:pt idx="1">
                  <c:v>2212.94</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strRef>
              <c:f>Sheet1!$A$1:$A$2</c:f>
              <c:strCache>
                <c:ptCount val="2"/>
                <c:pt idx="0">
                  <c:v>2024年（万元）</c:v>
                </c:pt>
                <c:pt idx="1">
                  <c:v>2025年（万元 ）</c:v>
                </c:pt>
              </c:strCache>
            </c:str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Sheet1!$A$1:$A$2</c:f>
              <c:strCache>
                <c:ptCount val="2"/>
                <c:pt idx="0">
                  <c:v>2024年（万元）</c:v>
                </c:pt>
                <c:pt idx="1">
                  <c:v>2025年（万元 ）</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630117004"/>
        <c:axId val="49499614"/>
      </c:barChart>
      <c:catAx>
        <c:axId val="63011700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9614"/>
        <c:crosses val="autoZero"/>
        <c:auto val="1"/>
        <c:lblAlgn val="ctr"/>
        <c:lblOffset val="100"/>
        <c:noMultiLvlLbl val="0"/>
      </c:catAx>
      <c:valAx>
        <c:axId val="4949961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01170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tx>
            <c:strRef>
              <c:f>Sheet1!$B$1</c:f>
              <c:strCache>
                <c:ptCount val="1"/>
                <c:pt idx="0">
                  <c:v>列1</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公共安全支出</c:v>
                </c:pt>
                <c:pt idx="1">
                  <c:v>社会保障和就业支出</c:v>
                </c:pt>
                <c:pt idx="2">
                  <c:v>卫生健康支出</c:v>
                </c:pt>
                <c:pt idx="3">
                  <c:v>住房保障支出</c:v>
                </c:pt>
              </c:strCache>
            </c:strRef>
          </c:cat>
          <c:val>
            <c:numRef>
              <c:f>Sheet1!$B$2:$B$5</c:f>
              <c:numCache>
                <c:formatCode>General</c:formatCode>
                <c:ptCount val="4"/>
                <c:pt idx="0">
                  <c:v>1842.72</c:v>
                </c:pt>
                <c:pt idx="1">
                  <c:v>171.98</c:v>
                </c:pt>
                <c:pt idx="2">
                  <c:v>82.97</c:v>
                </c:pt>
                <c:pt idx="3">
                  <c:v>115.28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公务用车购置及运行维护费支出</c:v>
                </c:pt>
                <c:pt idx="1">
                  <c:v>公务接待费支出</c:v>
                </c:pt>
              </c:strCache>
            </c:strRef>
          </c:cat>
          <c:val>
            <c:numRef>
              <c:f>Sheet1!$B$2:$B$3</c:f>
              <c:numCache>
                <c:formatCode>General</c:formatCode>
                <c:ptCount val="2"/>
                <c:pt idx="0">
                  <c:v>3.16</c:v>
                </c:pt>
                <c:pt idx="1">
                  <c:v>1.91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46</Pages>
  <Words>16257</Words>
  <Characters>17713</Characters>
  <Lines>60</Lines>
  <Paragraphs>17</Paragraphs>
  <TotalTime>74</TotalTime>
  <ScaleCrop>false</ScaleCrop>
  <LinksUpToDate>false</LinksUpToDate>
  <CharactersWithSpaces>18056</CharactersWithSpaces>
  <Application>WPS Office_11.1.0.11369_F1E327BC-269C-435d-A152-05C5408002CA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LENOVO</cp:lastModifiedBy>
  <cp:lastPrinted>2025-08-06T17:34:00Z</cp:lastPrinted>
  <dcterms:modified xsi:type="dcterms:W3CDTF">2026-09-16T07:55:13Z</dcterms:modified>
  <dc:title>四川省***</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2052-11.1.0.11369</vt:lpwstr>
  </property>
  <property fmtid="{D5CDD505-2E9C-101B-9397-08002B2CF9AE}" pid="3" name="ICV">
    <vt:lpwstr>E28698C3F61746E4B1578E34C309F397</vt:lpwstr>
  </property>
  <property fmtid="{D5CDD505-2E9C-101B-9397-08002B2CF9AE}" pid="4" name="KSOTemplateDocerSaveRecord">
    <vt:lpwstr>eyJoZGlkIjoiNGFlMDUwNWM0MTNlNTlkMWFhZmQ3ZWQzNmFhM2M4MGUiLCJ1c2VySWQiOiIzMTg5Nzk4OTQifQ==</vt:lpwstr>
  </property>
</Properties>
</file>