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9EC909">
      <w:pPr>
        <w:pStyle w:val="8"/>
        <w:rPr>
          <w:rFonts w:hint="eastAsia" w:ascii="黑体" w:hAnsi="黑体" w:eastAsia="黑体" w:cs="黑体"/>
          <w:color w:val="auto"/>
          <w:kern w:val="2"/>
          <w:sz w:val="32"/>
          <w:szCs w:val="32"/>
          <w:highlight w:val="none"/>
          <w:lang w:val="en-US" w:eastAsia="zh-CN" w:bidi="ar-SA"/>
        </w:rPr>
      </w:pPr>
      <w:bookmarkStart w:id="0" w:name="_Toc15378441"/>
      <w:bookmarkStart w:id="1" w:name="_Toc15377193"/>
      <w:bookmarkStart w:id="2" w:name="_Toc15377425"/>
      <w:bookmarkStart w:id="3" w:name="_Toc15396597"/>
      <w:bookmarkStart w:id="4" w:name="_Toc15396475"/>
      <w:bookmarkStart w:id="5" w:name="_Toc15306267"/>
      <w:r>
        <w:rPr>
          <w:rFonts w:hint="eastAsia" w:ascii="黑体" w:hAnsi="黑体" w:eastAsia="黑体" w:cs="黑体"/>
          <w:color w:val="auto"/>
          <w:kern w:val="2"/>
          <w:sz w:val="32"/>
          <w:szCs w:val="32"/>
          <w:highlight w:val="none"/>
          <w:lang w:val="en-US" w:eastAsia="zh-CN" w:bidi="ar-SA"/>
        </w:rPr>
        <w:t>附件4</w:t>
      </w:r>
    </w:p>
    <w:p w14:paraId="48439689">
      <w:pPr>
        <w:pStyle w:val="8"/>
        <w:rPr>
          <w:rFonts w:hint="eastAsia" w:ascii="Times New Roman" w:hAnsi="Times New Roman" w:eastAsia="方正小标宋简体" w:cs="Times New Roman"/>
          <w:color w:val="auto"/>
          <w:kern w:val="2"/>
          <w:sz w:val="72"/>
          <w:szCs w:val="72"/>
          <w:highlight w:val="none"/>
          <w:lang w:val="en-US" w:eastAsia="zh-CN" w:bidi="ar-SA"/>
        </w:rPr>
      </w:pPr>
    </w:p>
    <w:p w14:paraId="30F1EED1">
      <w:pPr>
        <w:pStyle w:val="8"/>
        <w:rPr>
          <w:rFonts w:hint="eastAsia" w:ascii="Times New Roman" w:hAnsi="Times New Roman" w:eastAsia="方正小标宋简体" w:cs="Times New Roman"/>
          <w:color w:val="auto"/>
          <w:kern w:val="2"/>
          <w:sz w:val="72"/>
          <w:szCs w:val="72"/>
          <w:highlight w:val="none"/>
          <w:lang w:val="en-US" w:eastAsia="zh-CN" w:bidi="ar-SA"/>
        </w:rPr>
      </w:pPr>
    </w:p>
    <w:p w14:paraId="6E71B645">
      <w:pPr>
        <w:pStyle w:val="8"/>
        <w:rPr>
          <w:rFonts w:hint="eastAsia" w:ascii="Times New Roman" w:hAnsi="Times New Roman" w:eastAsia="方正小标宋简体" w:cs="Times New Roman"/>
          <w:color w:val="auto"/>
          <w:kern w:val="2"/>
          <w:sz w:val="72"/>
          <w:szCs w:val="72"/>
          <w:highlight w:val="none"/>
          <w:lang w:val="en-US" w:eastAsia="zh-CN" w:bidi="ar-SA"/>
        </w:rPr>
      </w:pPr>
    </w:p>
    <w:p w14:paraId="70E85226">
      <w:pPr>
        <w:pStyle w:val="8"/>
        <w:rPr>
          <w:rFonts w:hint="eastAsia" w:ascii="Times New Roman" w:hAnsi="Times New Roman" w:eastAsia="方正小标宋简体" w:cs="Times New Roman"/>
          <w:color w:val="auto"/>
          <w:kern w:val="2"/>
          <w:sz w:val="72"/>
          <w:szCs w:val="72"/>
          <w:highlight w:val="none"/>
          <w:lang w:val="en-US" w:eastAsia="zh-CN" w:bidi="ar-SA"/>
        </w:rPr>
      </w:pPr>
    </w:p>
    <w:p w14:paraId="5F3B1A1F">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2025年度州</w:t>
      </w:r>
      <w:r>
        <w:rPr>
          <w:rFonts w:hint="eastAsia" w:ascii="Times New Roman" w:hAnsi="Times New Roman" w:eastAsia="方正小标宋简体" w:cs="Times New Roman"/>
          <w:color w:val="auto"/>
          <w:kern w:val="2"/>
          <w:sz w:val="44"/>
          <w:szCs w:val="44"/>
          <w:highlight w:val="none"/>
          <w:lang w:val="en-US" w:eastAsia="zh-CN" w:bidi="ar-SA"/>
        </w:rPr>
        <w:t>级部门（单位）决算</w:t>
      </w:r>
    </w:p>
    <w:p w14:paraId="22191295">
      <w:pPr>
        <w:pStyle w:val="8"/>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w:t>
      </w:r>
    </w:p>
    <w:p w14:paraId="2349B97F">
      <w:pPr>
        <w:spacing w:line="600" w:lineRule="exact"/>
        <w:jc w:val="center"/>
        <w:outlineLvl w:val="0"/>
        <w:rPr>
          <w:rFonts w:ascii="Times New Roman" w:hAnsi="Times New Roman" w:eastAsia="方正小标宋简体"/>
          <w:color w:val="auto"/>
          <w:sz w:val="72"/>
          <w:szCs w:val="72"/>
          <w:highlight w:val="none"/>
        </w:rPr>
      </w:pPr>
    </w:p>
    <w:p w14:paraId="292A6B03">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00D62AFB">
      <w:pPr>
        <w:rPr>
          <w:rFonts w:ascii="Times New Roman" w:hAnsi="Times New Roman"/>
        </w:rPr>
      </w:pPr>
    </w:p>
    <w:p w14:paraId="60FA8CF4">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53C8DC82">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4BDDC6CA">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6448F64E">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5C9ECADC">
      <w:pPr>
        <w:pStyle w:val="8"/>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7426"/>
      <w:bookmarkStart w:id="7" w:name="_Toc15377194"/>
      <w:bookmarkStart w:id="8" w:name="_Toc15396476"/>
      <w:bookmarkStart w:id="9" w:name="_Toc15378442"/>
      <w:bookmarkStart w:id="10" w:name="_Toc15396598"/>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r>
        <w:rPr>
          <w:rFonts w:hint="eastAsia" w:ascii="Times New Roman" w:eastAsia="方正小标宋简体" w:cs="Times New Roman"/>
          <w:color w:val="auto"/>
          <w:kern w:val="2"/>
          <w:sz w:val="44"/>
          <w:szCs w:val="44"/>
          <w:highlight w:val="none"/>
          <w:lang w:val="en-US" w:eastAsia="zh-CN" w:bidi="ar-SA"/>
        </w:rPr>
        <w:t>阿坝州</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松潘县人民检察院</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0444F6DA">
      <w:pPr>
        <w:widowControl/>
        <w:jc w:val="center"/>
        <w:rPr>
          <w:rFonts w:hint="eastAsia" w:ascii="Times New Roman" w:hAnsi="Times New Roman" w:eastAsia="黑体"/>
          <w:color w:val="auto"/>
          <w:sz w:val="48"/>
          <w:szCs w:val="48"/>
          <w:highlight w:val="none"/>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p>
    <w:p w14:paraId="72B89E4D">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0F94C13">
      <w:pPr>
        <w:widowControl/>
        <w:jc w:val="center"/>
        <w:rPr>
          <w:rFonts w:ascii="Times New Roman" w:hAnsi="Times New Roman" w:eastAsia="黑体" w:cstheme="minorBidi"/>
          <w:color w:val="auto"/>
          <w:sz w:val="28"/>
          <w:szCs w:val="28"/>
          <w:highlight w:val="none"/>
        </w:rPr>
      </w:pPr>
    </w:p>
    <w:p w14:paraId="7EEA1B10">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17</w:t>
      </w:r>
      <w:r>
        <w:rPr>
          <w:rFonts w:hint="eastAsia" w:ascii="Times New Roman" w:hAnsi="Times New Roman" w:eastAsia="仿宋_GB2312" w:cs="仿宋_GB2312"/>
          <w:color w:val="auto"/>
          <w:sz w:val="32"/>
          <w:szCs w:val="32"/>
          <w:highlight w:val="none"/>
        </w:rPr>
        <w:t>日</w:t>
      </w:r>
    </w:p>
    <w:p w14:paraId="26D0F943">
      <w:pPr>
        <w:rPr>
          <w:rFonts w:ascii="Times New Roman" w:hAnsi="Times New Roman"/>
          <w:color w:val="auto"/>
          <w:highlight w:val="none"/>
        </w:rPr>
      </w:pPr>
    </w:p>
    <w:p w14:paraId="42E987A8">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7400536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50935E9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6F9B486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2D8BFCF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62DCB55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4A598DC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5AD8835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586916F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0388FD1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48A7BE2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566BD3D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6F0365D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19F7EAC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550CE2F7">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7D986B9C">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51CF04F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26D46CD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2B05146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47D975C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3B0FCE3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12A53D5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29F718F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394F21A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1A3B2AC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666C4BC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436D1C9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620024A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2441A26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073B6F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5BE4941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4C37DBA0">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5E7063D0">
      <w:pPr>
        <w:ind w:firstLine="800" w:firstLineChars="250"/>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val="en-US" w:eastAsia="zh-CN"/>
        </w:rPr>
        <w:t>第一部分  部门概况</w:t>
      </w:r>
      <w:bookmarkEnd w:id="12"/>
      <w:bookmarkEnd w:id="13"/>
    </w:p>
    <w:p w14:paraId="00CBD749">
      <w:pPr>
        <w:ind w:firstLine="800" w:firstLineChars="250"/>
        <w:rPr>
          <w:rFonts w:hint="eastAsia" w:eastAsia="仿宋_GB2312" w:cs="仿宋_GB2312"/>
          <w:color w:val="auto"/>
          <w:sz w:val="32"/>
          <w:szCs w:val="32"/>
          <w:highlight w:val="none"/>
          <w:lang w:val="en-US" w:eastAsia="zh-CN"/>
        </w:rPr>
      </w:pPr>
    </w:p>
    <w:p w14:paraId="3E79FC6C">
      <w:pPr>
        <w:pStyle w:val="6"/>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086D9710">
      <w:pPr>
        <w:ind w:firstLine="800" w:firstLineChars="250"/>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val="en-US" w:eastAsia="zh-CN"/>
        </w:rPr>
        <w:t>（1）受理单位和个人的报案、控告、申诉、举报以及犯罪嫌疑人的自首。</w:t>
      </w:r>
    </w:p>
    <w:p w14:paraId="210AEB54">
      <w:pPr>
        <w:ind w:firstLine="800" w:firstLineChars="250"/>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val="en-US" w:eastAsia="zh-CN"/>
        </w:rPr>
        <w:t>（2）依法对刑事、行政、公益诉讼案件进行办理。</w:t>
      </w:r>
    </w:p>
    <w:p w14:paraId="317ACD11">
      <w:pPr>
        <w:ind w:firstLine="800" w:firstLineChars="250"/>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val="en-US" w:eastAsia="zh-CN"/>
        </w:rPr>
        <w:t>（3）依法对刑事诉讼、民事审判和行政诉讼实行法律监督工作。</w:t>
      </w:r>
    </w:p>
    <w:p w14:paraId="45B35862">
      <w:pPr>
        <w:ind w:firstLine="800" w:firstLineChars="250"/>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val="en-US" w:eastAsia="zh-CN"/>
        </w:rPr>
        <w:t>（4）依法对执行机关执行罪罚的活动是否合法实行监督。</w:t>
      </w:r>
    </w:p>
    <w:p w14:paraId="566FA213">
      <w:pPr>
        <w:ind w:firstLine="800" w:firstLineChars="250"/>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val="en-US" w:eastAsia="zh-CN"/>
        </w:rPr>
        <w:t>（5）对法院已经发生法律效力、确有错误的判决和裁定，依法提请抗诉。</w:t>
      </w:r>
    </w:p>
    <w:p w14:paraId="74A5CECB">
      <w:pPr>
        <w:pStyle w:val="6"/>
        <w:rPr>
          <w:rStyle w:val="29"/>
          <w:rFonts w:ascii="Times New Roman" w:hAnsi="Times New Roman"/>
          <w:b w:val="0"/>
          <w:bCs w:val="0"/>
          <w:color w:val="auto"/>
          <w:highlight w:val="none"/>
        </w:rPr>
      </w:pPr>
      <w:bookmarkStart w:id="14" w:name="_Toc15396601"/>
      <w:bookmarkStart w:id="15"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4"/>
      <w:bookmarkEnd w:id="15"/>
    </w:p>
    <w:p w14:paraId="3D8F1BBB">
      <w:pPr>
        <w:ind w:firstLine="800" w:firstLineChars="250"/>
        <w:rPr>
          <w:rFonts w:ascii="Times New Roman" w:hAnsi="Times New Roman" w:eastAsia="仿宋"/>
          <w:color w:val="auto"/>
          <w:kern w:val="0"/>
          <w:sz w:val="32"/>
          <w:szCs w:val="32"/>
          <w:highlight w:val="none"/>
        </w:rPr>
      </w:pPr>
      <w:r>
        <w:rPr>
          <w:rFonts w:hint="eastAsia" w:eastAsia="仿宋_GB2312" w:cs="仿宋_GB2312"/>
          <w:color w:val="auto"/>
          <w:sz w:val="32"/>
          <w:szCs w:val="32"/>
          <w:highlight w:val="none"/>
          <w:lang w:val="en-US" w:eastAsia="zh-CN"/>
        </w:rPr>
        <w:t>松潘县人民检察院无</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ascii="Times New Roman" w:hAnsi="Times New Roman" w:eastAsia="仿宋"/>
          <w:color w:val="auto"/>
          <w:sz w:val="32"/>
          <w:szCs w:val="32"/>
          <w:highlight w:val="none"/>
        </w:rPr>
        <w:br w:type="page"/>
      </w:r>
    </w:p>
    <w:p w14:paraId="2DDDF530">
      <w:pPr>
        <w:pStyle w:val="5"/>
        <w:jc w:val="center"/>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60536CE4">
      <w:pPr>
        <w:rPr>
          <w:rFonts w:ascii="Times New Roman" w:hAnsi="Times New Roman"/>
          <w:color w:val="auto"/>
          <w:highlight w:val="none"/>
        </w:rPr>
      </w:pPr>
    </w:p>
    <w:p w14:paraId="032582E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8"/>
      <w:bookmarkEnd w:id="19"/>
    </w:p>
    <w:p w14:paraId="546D772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901.36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val="en-US" w:eastAsia="zh-CN"/>
        </w:rPr>
        <w:t>增加20.42</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val="en-US" w:eastAsia="zh-CN"/>
        </w:rPr>
        <w:t>上涨2.32</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人员新增2名。</w:t>
      </w:r>
    </w:p>
    <w:p w14:paraId="6775993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347A7B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66055" cy="2252345"/>
            <wp:effectExtent l="0" t="0" r="10795" b="0"/>
            <wp:docPr id="1" name="图片 1" descr="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1"/>
                    <pic:cNvPicPr>
                      <a:picLocks noChangeAspect="1"/>
                    </pic:cNvPicPr>
                  </pic:nvPicPr>
                  <pic:blipFill>
                    <a:blip r:embed="rId10"/>
                    <a:stretch>
                      <a:fillRect/>
                    </a:stretch>
                  </pic:blipFill>
                  <pic:spPr>
                    <a:xfrm>
                      <a:off x="0" y="0"/>
                      <a:ext cx="5266055" cy="2252345"/>
                    </a:xfrm>
                    <a:prstGeom prst="rect">
                      <a:avLst/>
                    </a:prstGeom>
                  </pic:spPr>
                </pic:pic>
              </a:graphicData>
            </a:graphic>
          </wp:inline>
        </w:drawing>
      </w:r>
    </w:p>
    <w:p w14:paraId="2913116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77206"/>
      <w:bookmarkStart w:id="21" w:name="_Toc15396604"/>
      <w:r>
        <w:rPr>
          <w:rFonts w:hint="eastAsia" w:ascii="Times New Roman" w:hAnsi="Times New Roman" w:eastAsia="黑体"/>
          <w:color w:val="auto"/>
          <w:sz w:val="32"/>
          <w:szCs w:val="32"/>
          <w:highlight w:val="none"/>
          <w:lang w:eastAsia="zh-CN"/>
        </w:rPr>
        <w:t>二、收入决算情况说明</w:t>
      </w:r>
      <w:bookmarkEnd w:id="20"/>
      <w:bookmarkEnd w:id="21"/>
    </w:p>
    <w:p w14:paraId="5CDF451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901.36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900.52</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99.91</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0.85</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0.09</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61FBB699">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r>
        <w:rPr>
          <w:rFonts w:hint="eastAsia" w:ascii="Times New Roman" w:hAnsi="Times New Roman" w:eastAsia="仿宋_GB2312" w:cs="仿宋_GB2312"/>
          <w:color w:val="auto"/>
          <w:sz w:val="32"/>
          <w:szCs w:val="32"/>
          <w:highlight w:val="none"/>
          <w:lang w:eastAsia="zh-CN"/>
        </w:rPr>
        <w:drawing>
          <wp:inline distT="0" distB="0" distL="114300" distR="114300">
            <wp:extent cx="5266055" cy="2252345"/>
            <wp:effectExtent l="0" t="0" r="0" b="0"/>
            <wp:docPr id="2" name="图片 2" descr="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2"/>
                    <pic:cNvPicPr>
                      <a:picLocks noChangeAspect="1"/>
                    </pic:cNvPicPr>
                  </pic:nvPicPr>
                  <pic:blipFill>
                    <a:blip r:embed="rId11"/>
                    <a:stretch>
                      <a:fillRect/>
                    </a:stretch>
                  </pic:blipFill>
                  <pic:spPr>
                    <a:xfrm>
                      <a:off x="0" y="0"/>
                      <a:ext cx="5266055" cy="2252345"/>
                    </a:xfrm>
                    <a:prstGeom prst="rect">
                      <a:avLst/>
                    </a:prstGeom>
                  </pic:spPr>
                </pic:pic>
              </a:graphicData>
            </a:graphic>
          </wp:inline>
        </w:drawing>
      </w:r>
    </w:p>
    <w:p w14:paraId="21724843">
      <w:pPr>
        <w:ind w:firstLine="800" w:firstLineChars="250"/>
        <w:rPr>
          <w:rFonts w:hint="eastAsia" w:ascii="Times New Roman" w:hAnsi="Times New Roman" w:eastAsia="仿宋_GB2312" w:cs="仿宋_GB2312"/>
          <w:color w:val="auto"/>
          <w:sz w:val="32"/>
          <w:szCs w:val="32"/>
          <w:highlight w:val="none"/>
          <w:lang w:eastAsia="zh-CN"/>
        </w:rPr>
      </w:pPr>
    </w:p>
    <w:p w14:paraId="6BFFDF1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2" w:name="_Toc15396605"/>
      <w:bookmarkStart w:id="2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2"/>
      <w:bookmarkEnd w:id="23"/>
    </w:p>
    <w:p w14:paraId="6510021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901.36</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670.43</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74.38</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230.93</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25.62</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41C36999">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r>
        <w:rPr>
          <w:rFonts w:hint="eastAsia" w:ascii="Times New Roman" w:hAnsi="Times New Roman" w:eastAsia="仿宋_GB2312" w:cs="仿宋_GB2312"/>
          <w:color w:val="auto"/>
          <w:sz w:val="32"/>
          <w:szCs w:val="32"/>
          <w:highlight w:val="none"/>
          <w:lang w:eastAsia="zh-CN"/>
        </w:rPr>
        <w:drawing>
          <wp:inline distT="0" distB="0" distL="114300" distR="114300">
            <wp:extent cx="5266055" cy="2252345"/>
            <wp:effectExtent l="0" t="0" r="0" b="0"/>
            <wp:docPr id="3" name="图片 3" descr="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3"/>
                    <pic:cNvPicPr>
                      <a:picLocks noChangeAspect="1"/>
                    </pic:cNvPicPr>
                  </pic:nvPicPr>
                  <pic:blipFill>
                    <a:blip r:embed="rId12"/>
                    <a:stretch>
                      <a:fillRect/>
                    </a:stretch>
                  </pic:blipFill>
                  <pic:spPr>
                    <a:xfrm>
                      <a:off x="0" y="0"/>
                      <a:ext cx="5266055" cy="2252345"/>
                    </a:xfrm>
                    <a:prstGeom prst="rect">
                      <a:avLst/>
                    </a:prstGeom>
                  </pic:spPr>
                </pic:pic>
              </a:graphicData>
            </a:graphic>
          </wp:inline>
        </w:drawing>
      </w:r>
    </w:p>
    <w:p w14:paraId="67655085">
      <w:pPr>
        <w:ind w:firstLine="800" w:firstLineChars="250"/>
        <w:rPr>
          <w:rFonts w:hint="eastAsia" w:ascii="Times New Roman" w:hAnsi="Times New Roman" w:eastAsia="仿宋_GB2312" w:cs="仿宋_GB2312"/>
          <w:color w:val="auto"/>
          <w:sz w:val="32"/>
          <w:szCs w:val="32"/>
          <w:highlight w:val="none"/>
          <w:lang w:eastAsia="zh-CN"/>
        </w:rPr>
      </w:pPr>
    </w:p>
    <w:p w14:paraId="466ACD89">
      <w:pPr>
        <w:spacing w:line="600" w:lineRule="exact"/>
        <w:ind w:firstLine="640" w:firstLineChars="200"/>
        <w:outlineLvl w:val="1"/>
        <w:rPr>
          <w:rStyle w:val="29"/>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4"/>
      <w:bookmarkEnd w:id="25"/>
    </w:p>
    <w:p w14:paraId="7A85661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900.52</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19.58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2.32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新增人员2名。</w:t>
      </w:r>
    </w:p>
    <w:p w14:paraId="368B122C">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30C96D2A">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66055" cy="2252345"/>
            <wp:effectExtent l="0" t="0" r="0" b="0"/>
            <wp:docPr id="4" name="图片 4" descr="图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4"/>
                    <pic:cNvPicPr>
                      <a:picLocks noChangeAspect="1"/>
                    </pic:cNvPicPr>
                  </pic:nvPicPr>
                  <pic:blipFill>
                    <a:blip r:embed="rId13"/>
                    <a:stretch>
                      <a:fillRect/>
                    </a:stretch>
                  </pic:blipFill>
                  <pic:spPr>
                    <a:xfrm>
                      <a:off x="0" y="0"/>
                      <a:ext cx="5266055" cy="2252345"/>
                    </a:xfrm>
                    <a:prstGeom prst="rect">
                      <a:avLst/>
                    </a:prstGeom>
                  </pic:spPr>
                </pic:pic>
              </a:graphicData>
            </a:graphic>
          </wp:inline>
        </w:drawing>
      </w:r>
    </w:p>
    <w:p w14:paraId="6083FCA9">
      <w:pPr>
        <w:spacing w:line="600" w:lineRule="exact"/>
        <w:ind w:firstLine="640" w:firstLineChars="200"/>
        <w:outlineLvl w:val="1"/>
        <w:rPr>
          <w:rStyle w:val="29"/>
          <w:rFonts w:ascii="Times New Roman" w:hAnsi="Times New Roman" w:eastAsia="黑体"/>
          <w:b w:val="0"/>
          <w:color w:val="auto"/>
          <w:highlight w:val="none"/>
        </w:rPr>
      </w:pPr>
      <w:bookmarkStart w:id="26" w:name="_Toc15396607"/>
      <w:bookmarkStart w:id="27"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6"/>
      <w:bookmarkEnd w:id="27"/>
    </w:p>
    <w:p w14:paraId="256148C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63FECF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900.52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99.91</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19.58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2.22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新增人员2名。</w:t>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5CAEAAD3">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66055" cy="2252345"/>
            <wp:effectExtent l="0" t="0" r="0" b="0"/>
            <wp:docPr id="5" name="图片 5" descr="图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5"/>
                    <pic:cNvPicPr>
                      <a:picLocks noChangeAspect="1"/>
                    </pic:cNvPicPr>
                  </pic:nvPicPr>
                  <pic:blipFill>
                    <a:blip r:embed="rId14"/>
                    <a:stretch>
                      <a:fillRect/>
                    </a:stretch>
                  </pic:blipFill>
                  <pic:spPr>
                    <a:xfrm>
                      <a:off x="0" y="0"/>
                      <a:ext cx="5266055" cy="2252345"/>
                    </a:xfrm>
                    <a:prstGeom prst="rect">
                      <a:avLst/>
                    </a:prstGeom>
                  </pic:spPr>
                </pic:pic>
              </a:graphicData>
            </a:graphic>
          </wp:inline>
        </w:drawing>
      </w:r>
    </w:p>
    <w:p w14:paraId="6337C57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3D7F628B">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900.52</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公共安全支出726.15万元，占80.64%；教育支出0万元，占0%；科学技术支出0万元，占0%；文化旅游体育与传媒支出0万元，占0%；社会保障和就业支出85.23万元，占9.46%；卫生健康支出33.47万元，占3.72%；住房保障支出55.66万元，占6.18%。</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1111D80E">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66055" cy="2252345"/>
            <wp:effectExtent l="0" t="0" r="0" b="0"/>
            <wp:docPr id="7" name="图片 7" descr="图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6"/>
                    <pic:cNvPicPr>
                      <a:picLocks noChangeAspect="1"/>
                    </pic:cNvPicPr>
                  </pic:nvPicPr>
                  <pic:blipFill>
                    <a:blip r:embed="rId15"/>
                    <a:stretch>
                      <a:fillRect/>
                    </a:stretch>
                  </pic:blipFill>
                  <pic:spPr>
                    <a:xfrm>
                      <a:off x="0" y="0"/>
                      <a:ext cx="5266055" cy="2252345"/>
                    </a:xfrm>
                    <a:prstGeom prst="rect">
                      <a:avLst/>
                    </a:prstGeom>
                  </pic:spPr>
                </pic:pic>
              </a:graphicData>
            </a:graphic>
          </wp:inline>
        </w:drawing>
      </w:r>
    </w:p>
    <w:p w14:paraId="57F51E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FEA1CF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678EF2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8460"/>
      <w:bookmarkStart w:id="32" w:name="_Toc15377213"/>
      <w:bookmarkStart w:id="33"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900.52</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0A8B63DD">
      <w:pPr>
        <w:spacing w:line="600" w:lineRule="exact"/>
        <w:ind w:firstLine="640"/>
        <w:rPr>
          <w:rFonts w:eastAsia="仿宋_GB2312" w:cs="仿宋_GB2312"/>
          <w:sz w:val="32"/>
          <w:szCs w:val="32"/>
        </w:rPr>
      </w:pPr>
      <w:r>
        <w:rPr>
          <w:rFonts w:eastAsia="仿宋_GB2312" w:cs="仿宋_GB2312"/>
          <w:sz w:val="32"/>
          <w:szCs w:val="32"/>
        </w:rPr>
        <w:t>1.</w:t>
      </w:r>
      <w:r>
        <w:rPr>
          <w:rFonts w:hint="eastAsia" w:eastAsia="仿宋_GB2312" w:cs="仿宋_GB2312"/>
          <w:sz w:val="32"/>
          <w:szCs w:val="32"/>
        </w:rPr>
        <w:t xml:space="preserve"> 公共安全（类）04（款）04（项）：支出决算为</w:t>
      </w:r>
      <w:r>
        <w:rPr>
          <w:rFonts w:hint="eastAsia" w:eastAsia="仿宋_GB2312" w:cs="仿宋_GB2312"/>
          <w:sz w:val="32"/>
          <w:szCs w:val="32"/>
          <w:lang w:val="en-US" w:eastAsia="zh-CN"/>
        </w:rPr>
        <w:t>726.15</w:t>
      </w:r>
      <w:r>
        <w:rPr>
          <w:rFonts w:hint="eastAsia" w:eastAsia="仿宋_GB2312" w:cs="仿宋_GB2312"/>
          <w:sz w:val="32"/>
          <w:szCs w:val="32"/>
        </w:rPr>
        <w:t>万元，完成预算100</w:t>
      </w:r>
      <w:r>
        <w:rPr>
          <w:rFonts w:eastAsia="仿宋_GB2312" w:cs="仿宋_GB2312"/>
          <w:sz w:val="32"/>
          <w:szCs w:val="32"/>
        </w:rPr>
        <w:t>%</w:t>
      </w:r>
      <w:r>
        <w:rPr>
          <w:rFonts w:hint="eastAsia" w:eastAsia="仿宋_GB2312" w:cs="仿宋_GB2312"/>
          <w:sz w:val="32"/>
          <w:szCs w:val="32"/>
        </w:rPr>
        <w:t>。</w:t>
      </w:r>
    </w:p>
    <w:p w14:paraId="60555E36">
      <w:pPr>
        <w:spacing w:line="600" w:lineRule="exact"/>
        <w:ind w:firstLine="640"/>
        <w:rPr>
          <w:rFonts w:eastAsia="仿宋_GB2312" w:cs="仿宋_GB2312"/>
          <w:sz w:val="32"/>
          <w:szCs w:val="32"/>
        </w:rPr>
      </w:pPr>
      <w:r>
        <w:rPr>
          <w:rFonts w:hint="eastAsia" w:eastAsia="仿宋_GB2312" w:cs="仿宋_GB2312"/>
          <w:sz w:val="32"/>
          <w:szCs w:val="32"/>
        </w:rPr>
        <w:t>2</w:t>
      </w:r>
      <w:r>
        <w:rPr>
          <w:rFonts w:eastAsia="仿宋_GB2312" w:cs="仿宋_GB2312"/>
          <w:sz w:val="32"/>
          <w:szCs w:val="32"/>
        </w:rPr>
        <w:t>.</w:t>
      </w:r>
      <w:r>
        <w:rPr>
          <w:rFonts w:hint="eastAsia" w:eastAsia="仿宋_GB2312" w:cs="仿宋_GB2312"/>
          <w:sz w:val="32"/>
          <w:szCs w:val="32"/>
        </w:rPr>
        <w:t>社会保障和就业（类）08（款）05（项）：支出决算为</w:t>
      </w:r>
      <w:r>
        <w:rPr>
          <w:rFonts w:hint="eastAsia" w:eastAsia="仿宋_GB2312" w:cs="仿宋_GB2312"/>
          <w:sz w:val="32"/>
          <w:szCs w:val="32"/>
          <w:lang w:val="en-US" w:eastAsia="zh-CN"/>
        </w:rPr>
        <w:t>85.23</w:t>
      </w:r>
      <w:r>
        <w:rPr>
          <w:rFonts w:hint="eastAsia" w:eastAsia="仿宋_GB2312" w:cs="仿宋_GB2312"/>
          <w:sz w:val="32"/>
          <w:szCs w:val="32"/>
        </w:rPr>
        <w:t>万元，完成预算100</w:t>
      </w:r>
      <w:r>
        <w:rPr>
          <w:rFonts w:eastAsia="仿宋_GB2312" w:cs="仿宋_GB2312"/>
          <w:sz w:val="32"/>
          <w:szCs w:val="32"/>
        </w:rPr>
        <w:t>%</w:t>
      </w:r>
      <w:r>
        <w:rPr>
          <w:rFonts w:hint="eastAsia" w:eastAsia="仿宋_GB2312" w:cs="仿宋_GB2312"/>
          <w:sz w:val="32"/>
          <w:szCs w:val="32"/>
        </w:rPr>
        <w:t>。</w:t>
      </w:r>
    </w:p>
    <w:p w14:paraId="70E45AAF">
      <w:pPr>
        <w:spacing w:line="600" w:lineRule="exact"/>
        <w:ind w:firstLine="640"/>
        <w:rPr>
          <w:rFonts w:eastAsia="仿宋_GB2312" w:cs="仿宋_GB2312"/>
          <w:sz w:val="32"/>
          <w:szCs w:val="32"/>
        </w:rPr>
      </w:pPr>
      <w:r>
        <w:rPr>
          <w:rFonts w:hint="eastAsia" w:eastAsia="仿宋_GB2312" w:cs="仿宋_GB2312"/>
          <w:sz w:val="32"/>
          <w:szCs w:val="32"/>
        </w:rPr>
        <w:t>3</w:t>
      </w:r>
      <w:r>
        <w:rPr>
          <w:rFonts w:eastAsia="仿宋_GB2312" w:cs="仿宋_GB2312"/>
          <w:sz w:val="32"/>
          <w:szCs w:val="32"/>
        </w:rPr>
        <w:t>.</w:t>
      </w:r>
      <w:r>
        <w:rPr>
          <w:rFonts w:hint="eastAsia" w:eastAsia="仿宋_GB2312" w:cs="仿宋_GB2312"/>
          <w:sz w:val="32"/>
          <w:szCs w:val="32"/>
        </w:rPr>
        <w:t>卫生健康（类）10（款）11（项）：支出决算为</w:t>
      </w:r>
      <w:r>
        <w:rPr>
          <w:rFonts w:hint="eastAsia" w:eastAsia="仿宋_GB2312" w:cs="仿宋_GB2312"/>
          <w:sz w:val="32"/>
          <w:szCs w:val="32"/>
          <w:lang w:val="en-US" w:eastAsia="zh-CN"/>
        </w:rPr>
        <w:t>33.47</w:t>
      </w:r>
      <w:r>
        <w:rPr>
          <w:rFonts w:hint="eastAsia" w:eastAsia="仿宋_GB2312" w:cs="仿宋_GB2312"/>
          <w:sz w:val="32"/>
          <w:szCs w:val="32"/>
        </w:rPr>
        <w:t>万元，完成预算100</w:t>
      </w:r>
      <w:r>
        <w:rPr>
          <w:rFonts w:eastAsia="仿宋_GB2312" w:cs="仿宋_GB2312"/>
          <w:sz w:val="32"/>
          <w:szCs w:val="32"/>
        </w:rPr>
        <w:t>%</w:t>
      </w:r>
      <w:r>
        <w:rPr>
          <w:rFonts w:hint="eastAsia" w:eastAsia="仿宋_GB2312" w:cs="仿宋_GB2312"/>
          <w:sz w:val="32"/>
          <w:szCs w:val="32"/>
        </w:rPr>
        <w:t>.</w:t>
      </w:r>
    </w:p>
    <w:p w14:paraId="61B12D84">
      <w:pPr>
        <w:ind w:firstLine="640" w:firstLineChars="200"/>
        <w:rPr>
          <w:rFonts w:ascii="宋体" w:hAnsi="宋体" w:cs="宋体"/>
          <w:b/>
          <w:bCs/>
          <w:color w:val="000000"/>
          <w:sz w:val="18"/>
          <w:szCs w:val="18"/>
        </w:rPr>
      </w:pPr>
      <w:r>
        <w:rPr>
          <w:rFonts w:hint="eastAsia" w:eastAsia="仿宋_GB2312" w:cs="仿宋_GB2312"/>
          <w:sz w:val="32"/>
          <w:szCs w:val="32"/>
        </w:rPr>
        <w:t>4</w:t>
      </w:r>
      <w:r>
        <w:rPr>
          <w:rFonts w:eastAsia="仿宋_GB2312" w:cs="仿宋_GB2312"/>
          <w:sz w:val="32"/>
          <w:szCs w:val="32"/>
        </w:rPr>
        <w:t>.</w:t>
      </w:r>
      <w:r>
        <w:rPr>
          <w:rFonts w:hint="eastAsia"/>
          <w:b/>
          <w:bCs/>
          <w:color w:val="000000"/>
          <w:sz w:val="18"/>
          <w:szCs w:val="18"/>
        </w:rPr>
        <w:t xml:space="preserve"> </w:t>
      </w:r>
      <w:r>
        <w:rPr>
          <w:rFonts w:hint="eastAsia" w:eastAsia="仿宋_GB2312" w:cs="仿宋_GB2312"/>
          <w:sz w:val="32"/>
          <w:szCs w:val="32"/>
        </w:rPr>
        <w:t>住房保障（类）21（款）02（项）：支出决算为</w:t>
      </w:r>
      <w:r>
        <w:rPr>
          <w:rFonts w:hint="eastAsia" w:eastAsia="仿宋_GB2312" w:cs="仿宋_GB2312"/>
          <w:sz w:val="32"/>
          <w:szCs w:val="32"/>
          <w:lang w:val="en-US" w:eastAsia="zh-CN"/>
        </w:rPr>
        <w:t>55.66</w:t>
      </w:r>
      <w:r>
        <w:rPr>
          <w:rFonts w:hint="eastAsia" w:eastAsia="仿宋_GB2312" w:cs="仿宋_GB2312"/>
          <w:sz w:val="32"/>
          <w:szCs w:val="32"/>
        </w:rPr>
        <w:t>万元，完成预算100</w:t>
      </w:r>
      <w:r>
        <w:rPr>
          <w:rFonts w:eastAsia="仿宋_GB2312" w:cs="仿宋_GB2312"/>
          <w:sz w:val="32"/>
          <w:szCs w:val="32"/>
        </w:rPr>
        <w:t>%</w:t>
      </w:r>
      <w:r>
        <w:rPr>
          <w:rFonts w:hint="eastAsia" w:eastAsia="仿宋_GB2312" w:cs="仿宋_GB2312"/>
          <w:sz w:val="32"/>
          <w:szCs w:val="32"/>
        </w:rPr>
        <w:t>。</w:t>
      </w:r>
    </w:p>
    <w:p w14:paraId="5DF9FCB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72DA43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5EF764D">
      <w:pPr>
        <w:tabs>
          <w:tab w:val="right" w:pos="8306"/>
        </w:tabs>
        <w:spacing w:line="600" w:lineRule="exact"/>
        <w:ind w:firstLine="640"/>
        <w:outlineLvl w:val="1"/>
        <w:rPr>
          <w:rStyle w:val="29"/>
          <w:rFonts w:ascii="Times New Roman" w:hAnsi="Times New Roman"/>
          <w:color w:val="auto"/>
          <w:highlight w:val="none"/>
        </w:rPr>
      </w:pPr>
      <w:bookmarkStart w:id="34" w:name="_Toc15377214"/>
      <w:bookmarkStart w:id="3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4"/>
      <w:bookmarkEnd w:id="35"/>
      <w:r>
        <w:rPr>
          <w:rStyle w:val="29"/>
          <w:rFonts w:ascii="Times New Roman" w:hAnsi="Times New Roman" w:eastAsia="黑体"/>
          <w:b w:val="0"/>
          <w:color w:val="auto"/>
          <w:highlight w:val="none"/>
        </w:rPr>
        <w:tab/>
      </w:r>
    </w:p>
    <w:p w14:paraId="4FCFA2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669.59</w:t>
      </w:r>
      <w:r>
        <w:rPr>
          <w:rFonts w:hint="eastAsia" w:ascii="Times New Roman" w:hAnsi="Times New Roman" w:eastAsia="仿宋_GB2312" w:cs="仿宋_GB2312"/>
          <w:color w:val="auto"/>
          <w:kern w:val="2"/>
          <w:sz w:val="32"/>
          <w:szCs w:val="32"/>
          <w:highlight w:val="none"/>
          <w:lang w:val="en-US" w:eastAsia="zh-CN" w:bidi="ar-SA"/>
        </w:rPr>
        <w:t>万元，其中：</w:t>
      </w:r>
    </w:p>
    <w:p w14:paraId="178DA07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552.76</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109.54</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B6C21F3">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2C26BF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5A1DDF0">
      <w:pPr>
        <w:spacing w:line="600" w:lineRule="exact"/>
        <w:ind w:firstLine="640"/>
        <w:outlineLvl w:val="1"/>
        <w:rPr>
          <w:rStyle w:val="29"/>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6"/>
      <w:bookmarkEnd w:id="37"/>
    </w:p>
    <w:p w14:paraId="6062CDC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698CC4F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18.8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98.17</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0.29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%。决算数小于预算数（或与预算数持平）的主要原因是</w:t>
      </w:r>
      <w:r>
        <w:rPr>
          <w:rFonts w:hint="eastAsia" w:eastAsia="仿宋_GB2312" w:cs="仿宋_GB2312"/>
          <w:color w:val="auto"/>
          <w:kern w:val="2"/>
          <w:sz w:val="32"/>
          <w:szCs w:val="32"/>
          <w:highlight w:val="none"/>
          <w:lang w:val="en-US" w:eastAsia="zh-CN" w:bidi="ar-SA"/>
        </w:rPr>
        <w:t>收紧资金。</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7EFC015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14D1BA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95</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%。具体情况如下：</w:t>
      </w:r>
    </w:p>
    <w:p w14:paraId="42E8B9F8">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66055" cy="2252345"/>
            <wp:effectExtent l="0" t="0" r="0" b="0"/>
            <wp:docPr id="8" name="图片 8" descr="图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7"/>
                    <pic:cNvPicPr>
                      <a:picLocks noChangeAspect="1"/>
                    </pic:cNvPicPr>
                  </pic:nvPicPr>
                  <pic:blipFill>
                    <a:blip r:embed="rId16"/>
                    <a:stretch>
                      <a:fillRect/>
                    </a:stretch>
                  </pic:blipFill>
                  <pic:spPr>
                    <a:xfrm>
                      <a:off x="0" y="0"/>
                      <a:ext cx="5266055" cy="2252345"/>
                    </a:xfrm>
                    <a:prstGeom prst="rect">
                      <a:avLst/>
                    </a:prstGeom>
                  </pic:spPr>
                </pic:pic>
              </a:graphicData>
            </a:graphic>
          </wp:inline>
        </w:drawing>
      </w:r>
    </w:p>
    <w:p w14:paraId="76D5CF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p>
    <w:p w14:paraId="159AB6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18</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146640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p>
    <w:p w14:paraId="1DEB9AF1">
      <w:pPr>
        <w:spacing w:line="600" w:lineRule="exact"/>
        <w:ind w:firstLine="640"/>
        <w:rPr>
          <w:rFonts w:eastAsia="仿宋_GB2312" w:cs="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万元。主要</w:t>
      </w:r>
      <w:r>
        <w:rPr>
          <w:rFonts w:hint="eastAsia" w:eastAsia="仿宋_GB2312" w:cs="仿宋_GB2312"/>
          <w:sz w:val="32"/>
          <w:szCs w:val="32"/>
        </w:rPr>
        <w:t>办案、双联双进，法制宣传所需的公务用车燃料费、维修费、过路过桥费、保险费等支出。</w:t>
      </w:r>
    </w:p>
    <w:p w14:paraId="2DC2D5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0.8</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53</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0.29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26.6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压缩开支</w:t>
      </w:r>
      <w:r>
        <w:rPr>
          <w:rFonts w:hint="eastAsia" w:ascii="Times New Roman" w:hAnsi="Times New Roman" w:eastAsia="仿宋_GB2312" w:cs="仿宋_GB2312"/>
          <w:color w:val="auto"/>
          <w:kern w:val="2"/>
          <w:sz w:val="32"/>
          <w:szCs w:val="32"/>
          <w:highlight w:val="none"/>
          <w:lang w:val="en-US" w:eastAsia="zh-CN" w:bidi="ar-SA"/>
        </w:rPr>
        <w:t>。其中：</w:t>
      </w:r>
    </w:p>
    <w:p w14:paraId="44C503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0.8</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sz w:val="32"/>
          <w:szCs w:val="32"/>
        </w:rPr>
        <w:t>执行公务、开展业务活动开支的用餐费</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36</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0.8</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sz w:val="32"/>
          <w:szCs w:val="32"/>
        </w:rPr>
        <w:t>执行公务、开展业务活动开支的用餐费</w:t>
      </w:r>
      <w:r>
        <w:rPr>
          <w:rFonts w:hint="eastAsia" w:ascii="Times New Roman" w:hAnsi="Times New Roman" w:eastAsia="仿宋_GB2312" w:cs="仿宋_GB2312"/>
          <w:color w:val="auto"/>
          <w:kern w:val="2"/>
          <w:sz w:val="32"/>
          <w:szCs w:val="32"/>
          <w:highlight w:val="none"/>
          <w:lang w:val="en-US" w:eastAsia="zh-CN" w:bidi="ar-SA"/>
        </w:rPr>
        <w:t>。</w:t>
      </w:r>
    </w:p>
    <w:p w14:paraId="6A6631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34CEB0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0" w:name="_Toc15396610"/>
      <w:bookmarkStart w:id="41" w:name="_Toc15377218"/>
    </w:p>
    <w:p w14:paraId="75DA8B58">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0"/>
      <w:bookmarkEnd w:id="41"/>
    </w:p>
    <w:p w14:paraId="0F8D8FA4">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bookmarkStart w:id="51" w:name="_GoBack"/>
      <w:bookmarkEnd w:id="51"/>
    </w:p>
    <w:p w14:paraId="53148A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EDF50E5">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2" w:name="_Toc15396611"/>
      <w:bookmarkStart w:id="43"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2"/>
      <w:bookmarkEnd w:id="43"/>
    </w:p>
    <w:p w14:paraId="09193D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603ABEE">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4" w:name="_Toc15377221"/>
      <w:bookmarkStart w:id="45"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4"/>
      <w:bookmarkEnd w:id="45"/>
    </w:p>
    <w:p w14:paraId="49EB38D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1F4924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松潘县人民检察院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109.53</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46.4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73.71</w:t>
      </w:r>
      <w:r>
        <w:rPr>
          <w:rFonts w:hint="eastAsia" w:ascii="Times New Roman" w:hAnsi="Times New Roman" w:eastAsia="仿宋_GB2312" w:cs="仿宋_GB2312"/>
          <w:color w:val="auto"/>
          <w:kern w:val="2"/>
          <w:sz w:val="32"/>
          <w:szCs w:val="32"/>
          <w:highlight w:val="none"/>
          <w:lang w:val="en-US" w:eastAsia="zh-CN" w:bidi="ar-SA"/>
        </w:rPr>
        <w:t>%</w:t>
      </w:r>
    </w:p>
    <w:p w14:paraId="7F66184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74EF22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阿坝州松潘县人民检察院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79.21</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64.17</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15.04</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ascii="仿宋_GB2312" w:hAnsi="仿宋_GB2312" w:eastAsia="仿宋_GB2312" w:cs="仿宋_GB2312"/>
          <w:sz w:val="32"/>
          <w:szCs w:val="32"/>
        </w:rPr>
        <w:t>办案办公设备采购</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办公楼维修</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D17ED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925F3B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1197829B">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截至</w:t>
      </w:r>
      <w:r>
        <w:rPr>
          <w:rFonts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12</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31</w:t>
      </w:r>
      <w:r>
        <w:rPr>
          <w:rFonts w:hint="eastAsia" w:ascii="仿宋_GB2312" w:hAnsi="仿宋_GB2312" w:eastAsia="仿宋_GB2312" w:cs="仿宋_GB2312"/>
          <w:sz w:val="32"/>
          <w:szCs w:val="32"/>
        </w:rPr>
        <w:t>日，阿坝州松潘县人民检察院共有车辆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辆，其中：</w:t>
      </w:r>
      <w:r>
        <w:rPr>
          <w:rFonts w:hint="eastAsia" w:ascii="仿宋_GB2312" w:hAnsi="仿宋_GB2312" w:eastAsia="仿宋_GB2312" w:cs="仿宋_GB2312"/>
          <w:sz w:val="32"/>
          <w:szCs w:val="32"/>
          <w:lang w:val="en-US" w:eastAsia="zh-CN"/>
        </w:rPr>
        <w:t>执法执勤用车4辆，特种专业技术用车1辆，</w:t>
      </w:r>
      <w:r>
        <w:rPr>
          <w:rFonts w:hint="eastAsia" w:ascii="仿宋_GB2312" w:hAnsi="仿宋_GB2312" w:eastAsia="仿宋_GB2312" w:cs="仿宋_GB2312"/>
          <w:sz w:val="32"/>
          <w:szCs w:val="32"/>
        </w:rPr>
        <w:t>主要负责人用车</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辆、机要通信用车</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辆、应急保障用车</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辆、其他用车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辆，其他用车主要是用于公务。单价</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万元（含）以上设备（不含车辆）</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台（套）</w:t>
      </w:r>
      <w:r>
        <w:rPr>
          <w:rFonts w:hint="eastAsia" w:eastAsia="仿宋_GB2312" w:cs="仿宋_GB2312"/>
          <w:sz w:val="32"/>
          <w:szCs w:val="32"/>
        </w:rPr>
        <w:t>。</w:t>
      </w:r>
    </w:p>
    <w:p w14:paraId="3910E5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2F749E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4136E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hAnsi="仿宋_GB2312" w:eastAsia="仿宋_GB2312" w:cs="仿宋_GB2312"/>
          <w:sz w:val="32"/>
          <w:szCs w:val="32"/>
        </w:rPr>
        <w:t>阿坝州松潘县人民检察院</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2025年食堂改造项目</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305.6</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7D672F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部门预算（含部门预算项目）绩效自评报告（此项单位不涉及）、</w:t>
      </w:r>
      <w:r>
        <w:rPr>
          <w:rFonts w:hint="eastAsia" w:eastAsia="仿宋_GB2312" w:cs="仿宋_GB2312"/>
          <w:color w:val="auto"/>
          <w:kern w:val="2"/>
          <w:sz w:val="32"/>
          <w:szCs w:val="32"/>
          <w:highlight w:val="none"/>
          <w:lang w:val="en-US" w:eastAsia="zh-CN" w:bidi="ar-SA"/>
        </w:rPr>
        <w:t>2025年食堂改造项目</w:t>
      </w:r>
      <w:r>
        <w:rPr>
          <w:rFonts w:hint="eastAsia" w:ascii="Times New Roman" w:hAnsi="Times New Roman" w:eastAsia="仿宋_GB2312" w:cs="仿宋_GB2312"/>
          <w:color w:val="auto"/>
          <w:kern w:val="2"/>
          <w:sz w:val="32"/>
          <w:szCs w:val="32"/>
          <w:highlight w:val="none"/>
          <w:lang w:val="en-US" w:eastAsia="zh-CN" w:bidi="ar-SA"/>
        </w:rPr>
        <w:t>等专项预算项目绩效自评报告，其中，</w:t>
      </w:r>
      <w:r>
        <w:rPr>
          <w:rFonts w:hint="eastAsia" w:eastAsia="仿宋_GB2312" w:cs="仿宋_GB2312"/>
          <w:color w:val="auto"/>
          <w:kern w:val="2"/>
          <w:sz w:val="32"/>
          <w:szCs w:val="32"/>
          <w:highlight w:val="none"/>
          <w:lang w:val="en-US" w:eastAsia="zh-CN" w:bidi="ar-SA"/>
        </w:rPr>
        <w:t>松潘县人民检察院</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优秀</w:t>
      </w:r>
      <w:r>
        <w:rPr>
          <w:rFonts w:hint="eastAsia" w:ascii="Times New Roman" w:hAnsi="Times New Roman" w:eastAsia="仿宋_GB2312" w:cs="仿宋_GB2312"/>
          <w:color w:val="auto"/>
          <w:kern w:val="2"/>
          <w:sz w:val="32"/>
          <w:szCs w:val="32"/>
          <w:highlight w:val="none"/>
          <w:lang w:val="en-US" w:eastAsia="zh-CN" w:bidi="ar-SA"/>
        </w:rPr>
        <w:t>；专项预算项目绩效自评得分为</w:t>
      </w:r>
      <w:r>
        <w:rPr>
          <w:rFonts w:hint="eastAsia" w:eastAsia="仿宋_GB2312" w:cs="仿宋_GB2312"/>
          <w:color w:val="auto"/>
          <w:kern w:val="2"/>
          <w:sz w:val="32"/>
          <w:szCs w:val="32"/>
          <w:highlight w:val="none"/>
          <w:lang w:val="en-US" w:eastAsia="zh-CN" w:bidi="ar-SA"/>
        </w:rPr>
        <w:t>98</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优秀</w:t>
      </w:r>
      <w:r>
        <w:rPr>
          <w:rFonts w:hint="eastAsia" w:ascii="Times New Roman" w:hAnsi="Times New Roman" w:eastAsia="仿宋_GB2312" w:cs="仿宋_GB2312"/>
          <w:color w:val="auto"/>
          <w:kern w:val="2"/>
          <w:sz w:val="32"/>
          <w:szCs w:val="32"/>
          <w:highlight w:val="none"/>
          <w:lang w:val="en-US" w:eastAsia="zh-CN" w:bidi="ar-SA"/>
        </w:rPr>
        <w:t>。绩效自评报告详见附件。</w:t>
      </w:r>
    </w:p>
    <w:p w14:paraId="1DFDF9C6">
      <w:pPr>
        <w:pStyle w:val="2"/>
        <w:rPr>
          <w:rFonts w:hint="eastAsia"/>
          <w:lang w:val="en-US" w:eastAsia="zh-CN"/>
        </w:rPr>
      </w:pPr>
    </w:p>
    <w:p w14:paraId="0D07751C">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77225"/>
      <w:bookmarkStart w:id="50"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38C013ED">
      <w:pPr>
        <w:spacing w:line="600" w:lineRule="exact"/>
        <w:jc w:val="left"/>
        <w:rPr>
          <w:rFonts w:ascii="Times New Roman" w:hAnsi="Times New Roman"/>
          <w:b/>
          <w:color w:val="auto"/>
          <w:sz w:val="44"/>
          <w:szCs w:val="44"/>
          <w:highlight w:val="none"/>
        </w:rPr>
      </w:pPr>
    </w:p>
    <w:p w14:paraId="441C1BD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71BAAC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65CAB3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60AA1B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0CF8BD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1D0F7B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3712BA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69B9BF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660693A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14:paraId="46574F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0F1407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762EF33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5330E0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6B36A0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4044F0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05BAF2F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2E4295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541309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38BB26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169D7C4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07E340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38D156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207010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413FEDF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5F7A49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76D3D70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0F0A89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7BABB4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364591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144BC0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3969D9B">
      <w:pPr>
        <w:spacing w:line="600" w:lineRule="exact"/>
        <w:ind w:firstLine="640"/>
        <w:rPr>
          <w:rFonts w:hint="eastAsia" w:ascii="Times New Roman" w:hAnsi="Times New Roman"/>
          <w:lang w:eastAsia="zh-CN"/>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footerReference r:id="rId8" w:type="first"/>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汉仪中宋简">
    <w:panose1 w:val="02010600000101010101"/>
    <w:charset w:val="80"/>
    <w:family w:val="auto"/>
    <w:pitch w:val="default"/>
    <w:sig w:usb0="800002BF" w:usb1="184F6C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E4011">
    <w:pPr>
      <w:pStyle w:val="11"/>
      <w:jc w:val="center"/>
    </w:pPr>
  </w:p>
  <w:p w14:paraId="533140FE">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078CE">
    <w:pPr>
      <w:pStyle w:val="11"/>
      <w:jc w:val="center"/>
    </w:pPr>
  </w:p>
  <w:p w14:paraId="3B0C36E4">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AE091">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FEF3">
    <w:pPr>
      <w:pStyle w:val="11"/>
      <w:jc w:val="center"/>
    </w:pPr>
  </w:p>
  <w:p w14:paraId="66082FB3">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DAD39">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9391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D79391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E14E">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DDD6F2"/>
    <w:multiLevelType w:val="singleLevel"/>
    <w:tmpl w:val="38DDD6F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31713E0"/>
    <w:rsid w:val="05003317"/>
    <w:rsid w:val="061E35DE"/>
    <w:rsid w:val="066E0107"/>
    <w:rsid w:val="07996F6E"/>
    <w:rsid w:val="07DFD8BA"/>
    <w:rsid w:val="08050115"/>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A9D7FC6"/>
    <w:rsid w:val="1B7D550C"/>
    <w:rsid w:val="1BE8440E"/>
    <w:rsid w:val="1D155CEE"/>
    <w:rsid w:val="1E740ACF"/>
    <w:rsid w:val="1F62156A"/>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6F4C95"/>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EE242C4"/>
    <w:rsid w:val="3FF4CAE0"/>
    <w:rsid w:val="3FF7B227"/>
    <w:rsid w:val="40E54C45"/>
    <w:rsid w:val="43A407DF"/>
    <w:rsid w:val="44515BEA"/>
    <w:rsid w:val="44E268DA"/>
    <w:rsid w:val="453F7E5B"/>
    <w:rsid w:val="46FB7DC6"/>
    <w:rsid w:val="47B05D09"/>
    <w:rsid w:val="486A6C7A"/>
    <w:rsid w:val="49176D9B"/>
    <w:rsid w:val="4A627F82"/>
    <w:rsid w:val="4AF60EA8"/>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37349EC"/>
    <w:rsid w:val="647F5392"/>
    <w:rsid w:val="664B1D71"/>
    <w:rsid w:val="67AA3209"/>
    <w:rsid w:val="681C4F0D"/>
    <w:rsid w:val="69046D0F"/>
    <w:rsid w:val="698D0931"/>
    <w:rsid w:val="6A993CED"/>
    <w:rsid w:val="6B053271"/>
    <w:rsid w:val="6B0D0B90"/>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7DF03B7"/>
    <w:rsid w:val="79086DAD"/>
    <w:rsid w:val="79974F09"/>
    <w:rsid w:val="79D7FD79"/>
    <w:rsid w:val="79EE5BA4"/>
    <w:rsid w:val="7A894339"/>
    <w:rsid w:val="7AFF7572"/>
    <w:rsid w:val="7B6C7DFB"/>
    <w:rsid w:val="7BBFBED0"/>
    <w:rsid w:val="7BC3E394"/>
    <w:rsid w:val="7C1F3737"/>
    <w:rsid w:val="7C425489"/>
    <w:rsid w:val="7CBFC87B"/>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4837</Words>
  <Characters>5261</Characters>
  <Lines>61</Lines>
  <Paragraphs>17</Paragraphs>
  <TotalTime>102</TotalTime>
  <ScaleCrop>false</ScaleCrop>
  <LinksUpToDate>false</LinksUpToDate>
  <CharactersWithSpaces>5281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草莓味儿的</cp:lastModifiedBy>
  <cp:lastPrinted>2026-08-03T09:27:00Z</cp:lastPrinted>
  <dcterms:modified xsi:type="dcterms:W3CDTF">2026-09-18T07:20:18Z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AC777415FC4E4B2BB9C5CFA509FF4081_13</vt:lpwstr>
  </property>
  <property fmtid="{D5CDD505-2E9C-101B-9397-08002B2CF9AE}" pid="4" name="KSOTemplateDocerSaveRecord">
    <vt:lpwstr>eyJoZGlkIjoiZTJmNTBmODc1OTQxMjdhMjk3NDFjMzQ4OTgxMTQwYmQiLCJ1c2VySWQiOiIzNjMyNTc5NzkifQ==</vt:lpwstr>
  </property>
</Properties>
</file>