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CF6AD">
      <w:pPr>
        <w:pStyle w:val="4"/>
        <w:spacing w:before="93"/>
        <w:jc w:val="center"/>
        <w:rPr>
          <w:rFonts w:hint="eastAsia" w:ascii="Times New Roman" w:eastAsia="方正小标宋简体"/>
          <w:kern w:val="2"/>
          <w:sz w:val="72"/>
          <w:szCs w:val="72"/>
        </w:rPr>
      </w:pPr>
      <w:bookmarkStart w:id="0" w:name="_Toc15378442"/>
      <w:bookmarkStart w:id="1" w:name="_Toc15396598"/>
      <w:bookmarkStart w:id="2" w:name="_Toc15377194"/>
      <w:bookmarkStart w:id="3" w:name="_Toc15377426"/>
      <w:bookmarkStart w:id="4" w:name="_Toc15396476"/>
    </w:p>
    <w:p w14:paraId="6A9926FF">
      <w:pPr>
        <w:pStyle w:val="4"/>
        <w:spacing w:before="93"/>
        <w:jc w:val="center"/>
        <w:rPr>
          <w:rFonts w:hint="eastAsia" w:ascii="Times New Roman" w:eastAsia="方正小标宋简体"/>
          <w:kern w:val="2"/>
          <w:sz w:val="72"/>
          <w:szCs w:val="72"/>
        </w:rPr>
      </w:pPr>
    </w:p>
    <w:p w14:paraId="484B7261">
      <w:pPr>
        <w:pStyle w:val="4"/>
        <w:spacing w:before="93"/>
        <w:jc w:val="center"/>
        <w:rPr>
          <w:rFonts w:hint="eastAsia" w:ascii="Times New Roman" w:eastAsia="方正小标宋简体"/>
          <w:kern w:val="2"/>
          <w:sz w:val="72"/>
          <w:szCs w:val="72"/>
        </w:rPr>
      </w:pPr>
    </w:p>
    <w:p w14:paraId="3AD0807A">
      <w:pPr>
        <w:pStyle w:val="4"/>
        <w:spacing w:before="93"/>
        <w:jc w:val="center"/>
        <w:rPr>
          <w:rFonts w:hint="eastAsia" w:ascii="Times New Roman" w:eastAsia="方正小标宋简体"/>
          <w:kern w:val="2"/>
          <w:sz w:val="72"/>
          <w:szCs w:val="72"/>
        </w:rPr>
      </w:pPr>
    </w:p>
    <w:p w14:paraId="189C9628">
      <w:pPr>
        <w:pStyle w:val="4"/>
        <w:spacing w:before="93"/>
        <w:jc w:val="center"/>
        <w:rPr>
          <w:rFonts w:hint="eastAsia" w:ascii="Times New Roman" w:eastAsia="方正小标宋简体"/>
          <w:kern w:val="2"/>
          <w:sz w:val="72"/>
          <w:szCs w:val="72"/>
        </w:rPr>
      </w:pPr>
      <w:r>
        <w:rPr>
          <w:rFonts w:hint="eastAsia" w:ascii="Times New Roman" w:eastAsia="方正小标宋简体"/>
          <w:kern w:val="2"/>
          <w:sz w:val="72"/>
          <w:szCs w:val="72"/>
        </w:rPr>
        <w:t>2024年度四川省</w:t>
      </w:r>
      <w:bookmarkStart w:id="5" w:name="_Toc15306268"/>
      <w:r>
        <w:rPr>
          <w:rFonts w:hint="eastAsia" w:ascii="Times New Roman" w:eastAsia="方正小标宋简体"/>
          <w:kern w:val="2"/>
          <w:sz w:val="72"/>
          <w:szCs w:val="72"/>
        </w:rPr>
        <w:t>阿坝州</w:t>
      </w:r>
      <w:r>
        <w:rPr>
          <w:rFonts w:hint="eastAsia" w:ascii="Times New Roman" w:eastAsia="方正小标宋简体"/>
          <w:kern w:val="2"/>
          <w:sz w:val="72"/>
          <w:szCs w:val="72"/>
          <w:lang w:val="en-US" w:eastAsia="zh-CN"/>
        </w:rPr>
        <w:t xml:space="preserve"> </w:t>
      </w:r>
      <w:r>
        <w:rPr>
          <w:rFonts w:hint="eastAsia" w:ascii="Times New Roman" w:eastAsia="方正小标宋简体"/>
          <w:kern w:val="2"/>
          <w:sz w:val="72"/>
          <w:szCs w:val="72"/>
        </w:rPr>
        <w:t>松潘县人民法院</w:t>
      </w:r>
    </w:p>
    <w:p w14:paraId="3AE9A615">
      <w:pPr>
        <w:pStyle w:val="4"/>
        <w:spacing w:before="93"/>
        <w:jc w:val="center"/>
        <w:rPr>
          <w:rFonts w:ascii="Times New Roman" w:eastAsia="方正小标宋简体"/>
          <w:kern w:val="2"/>
          <w:sz w:val="72"/>
          <w:szCs w:val="72"/>
        </w:rPr>
      </w:pPr>
      <w:r>
        <w:rPr>
          <w:rFonts w:hint="eastAsia" w:ascii="Times New Roman" w:eastAsia="方正小标宋简体"/>
          <w:kern w:val="2"/>
          <w:sz w:val="72"/>
          <w:szCs w:val="72"/>
        </w:rPr>
        <w:t>部门决算</w:t>
      </w:r>
      <w:bookmarkEnd w:id="0"/>
      <w:bookmarkEnd w:id="1"/>
      <w:bookmarkEnd w:id="2"/>
      <w:bookmarkEnd w:id="3"/>
      <w:bookmarkEnd w:id="4"/>
      <w:bookmarkEnd w:id="5"/>
    </w:p>
    <w:p w14:paraId="6EDF9E5E">
      <w:pPr>
        <w:widowControl/>
        <w:jc w:val="center"/>
        <w:rPr>
          <w:rFonts w:hint="eastAsia" w:eastAsia="黑体"/>
          <w:sz w:val="48"/>
          <w:szCs w:val="48"/>
        </w:rPr>
      </w:pPr>
    </w:p>
    <w:p w14:paraId="18199CC7">
      <w:pPr>
        <w:widowControl/>
        <w:jc w:val="center"/>
        <w:rPr>
          <w:rFonts w:hint="eastAsia" w:eastAsia="黑体"/>
          <w:sz w:val="48"/>
          <w:szCs w:val="48"/>
        </w:rPr>
      </w:pPr>
    </w:p>
    <w:p w14:paraId="2A2E0509">
      <w:pPr>
        <w:widowControl/>
        <w:jc w:val="center"/>
        <w:rPr>
          <w:rFonts w:hint="eastAsia" w:eastAsia="黑体"/>
          <w:sz w:val="48"/>
          <w:szCs w:val="48"/>
        </w:rPr>
      </w:pPr>
    </w:p>
    <w:p w14:paraId="4401242C">
      <w:pPr>
        <w:widowControl/>
        <w:jc w:val="center"/>
        <w:rPr>
          <w:rFonts w:hint="eastAsia" w:eastAsia="黑体"/>
          <w:sz w:val="48"/>
          <w:szCs w:val="48"/>
        </w:rPr>
      </w:pPr>
    </w:p>
    <w:p w14:paraId="55019BE3">
      <w:pPr>
        <w:widowControl/>
        <w:jc w:val="center"/>
        <w:rPr>
          <w:rFonts w:hint="eastAsia" w:eastAsia="黑体"/>
          <w:sz w:val="48"/>
          <w:szCs w:val="48"/>
        </w:rPr>
      </w:pPr>
    </w:p>
    <w:p w14:paraId="1D541ACA">
      <w:pPr>
        <w:widowControl/>
        <w:jc w:val="both"/>
        <w:rPr>
          <w:rFonts w:hint="eastAsia" w:eastAsia="黑体"/>
          <w:sz w:val="48"/>
          <w:szCs w:val="48"/>
        </w:rPr>
      </w:pPr>
    </w:p>
    <w:p w14:paraId="552FFFEC">
      <w:pPr>
        <w:widowControl/>
        <w:jc w:val="both"/>
        <w:rPr>
          <w:rFonts w:hint="eastAsia" w:eastAsia="黑体"/>
          <w:sz w:val="48"/>
          <w:szCs w:val="48"/>
        </w:rPr>
      </w:pPr>
    </w:p>
    <w:p w14:paraId="563FB742">
      <w:pPr>
        <w:widowControl/>
        <w:jc w:val="center"/>
        <w:rPr>
          <w:rFonts w:hint="eastAsia" w:eastAsia="黑体"/>
          <w:sz w:val="48"/>
          <w:szCs w:val="48"/>
        </w:rPr>
      </w:pPr>
    </w:p>
    <w:p w14:paraId="69AF885C">
      <w:pPr>
        <w:widowControl/>
        <w:jc w:val="center"/>
        <w:rPr>
          <w:rFonts w:hint="eastAsia" w:eastAsia="黑体"/>
          <w:sz w:val="48"/>
          <w:szCs w:val="48"/>
        </w:rPr>
      </w:pPr>
    </w:p>
    <w:p w14:paraId="78D1BBF6">
      <w:pPr>
        <w:widowControl/>
        <w:jc w:val="center"/>
        <w:rPr>
          <w:rFonts w:eastAsia="黑体"/>
          <w:sz w:val="48"/>
          <w:szCs w:val="48"/>
        </w:rPr>
      </w:pPr>
      <w:r>
        <w:rPr>
          <w:rFonts w:hint="eastAsia" w:eastAsia="黑体"/>
          <w:sz w:val="48"/>
          <w:szCs w:val="48"/>
        </w:rPr>
        <w:t>目录</w:t>
      </w:r>
    </w:p>
    <w:p w14:paraId="7F0BE869">
      <w:pPr>
        <w:widowControl/>
        <w:jc w:val="center"/>
        <w:rPr>
          <w:rFonts w:eastAsia="黑体" w:cstheme="minorBidi"/>
          <w:sz w:val="28"/>
          <w:szCs w:val="28"/>
        </w:rPr>
      </w:pPr>
    </w:p>
    <w:p w14:paraId="5E5A77FE">
      <w:pPr>
        <w:pStyle w:val="9"/>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公开时间：2024年 9 月</w:t>
      </w:r>
      <w:r>
        <w:rPr>
          <w:rFonts w:hint="eastAsia" w:ascii="Times New Roman" w:hAnsi="Times New Roman" w:eastAsia="仿宋_GB2312" w:cs="仿宋_GB2312"/>
          <w:sz w:val="32"/>
          <w:szCs w:val="32"/>
          <w:lang w:val="en-US" w:eastAsia="zh-CN"/>
        </w:rPr>
        <w:t>15</w:t>
      </w:r>
      <w:r>
        <w:rPr>
          <w:rFonts w:hint="eastAsia" w:ascii="Times New Roman" w:hAnsi="Times New Roman" w:eastAsia="仿宋_GB2312" w:cs="仿宋_GB2312"/>
          <w:sz w:val="32"/>
          <w:szCs w:val="32"/>
        </w:rPr>
        <w:t xml:space="preserve"> 日</w:t>
      </w:r>
    </w:p>
    <w:p w14:paraId="0EAF952C"/>
    <w:p w14:paraId="4E612A75">
      <w:pPr>
        <w:pStyle w:val="9"/>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第一部分 部门概况</w:t>
      </w:r>
      <w:r>
        <w:rPr>
          <w:rFonts w:ascii="Times New Roman" w:hAnsi="Times New Roman" w:eastAsia="黑体" w:cs="黑体"/>
          <w:sz w:val="32"/>
          <w:szCs w:val="32"/>
        </w:rPr>
        <w:t>………………………………………</w:t>
      </w:r>
      <w:r>
        <w:rPr>
          <w:rFonts w:hint="eastAsia" w:ascii="Times New Roman" w:hAnsi="Times New Roman" w:eastAsia="黑体" w:cs="黑体"/>
          <w:sz w:val="32"/>
          <w:szCs w:val="32"/>
        </w:rPr>
        <w:t>.</w:t>
      </w:r>
      <w:r>
        <w:rPr>
          <w:rFonts w:hint="eastAsia" w:ascii="Times New Roman" w:hAnsi="Times New Roman" w:eastAsia="黑体" w:cs="黑体"/>
          <w:sz w:val="32"/>
          <w:szCs w:val="32"/>
          <w:lang w:val="en-US" w:eastAsia="zh-CN"/>
        </w:rPr>
        <w:t>.....1</w:t>
      </w:r>
    </w:p>
    <w:p w14:paraId="6F846320">
      <w:pPr>
        <w:pStyle w:val="11"/>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一、部门职责</w:t>
      </w:r>
      <w:r>
        <w:rPr>
          <w:rFonts w:eastAsia="仿宋_GB2312" w:cs="仿宋_GB2312"/>
          <w:sz w:val="32"/>
          <w:szCs w:val="32"/>
        </w:rPr>
        <w:t>…………………………………………</w:t>
      </w:r>
      <w:r>
        <w:rPr>
          <w:rFonts w:hint="eastAsia" w:eastAsia="仿宋_GB2312" w:cs="仿宋_GB2312"/>
          <w:sz w:val="32"/>
          <w:szCs w:val="32"/>
          <w:lang w:val="en-US" w:eastAsia="zh-CN"/>
        </w:rPr>
        <w:t>.......1</w:t>
      </w:r>
    </w:p>
    <w:p w14:paraId="4CA0FAA7">
      <w:pPr>
        <w:pStyle w:val="11"/>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二、机构设置</w:t>
      </w:r>
      <w:r>
        <w:rPr>
          <w:rFonts w:eastAsia="仿宋_GB2312" w:cs="仿宋_GB2312"/>
          <w:sz w:val="32"/>
          <w:szCs w:val="32"/>
        </w:rPr>
        <w:t>…………………………………………</w:t>
      </w:r>
      <w:r>
        <w:rPr>
          <w:rFonts w:hint="eastAsia" w:eastAsia="仿宋_GB2312" w:cs="仿宋_GB2312"/>
          <w:sz w:val="32"/>
          <w:szCs w:val="32"/>
          <w:lang w:val="en-US" w:eastAsia="zh-CN"/>
        </w:rPr>
        <w:t>......2</w:t>
      </w:r>
    </w:p>
    <w:p w14:paraId="1E4152FE">
      <w:pPr>
        <w:pStyle w:val="9"/>
        <w:adjustRightInd w:val="0"/>
        <w:snapToGrid w:val="0"/>
        <w:spacing w:before="0" w:line="560" w:lineRule="exact"/>
        <w:jc w:val="left"/>
        <w:rPr>
          <w:rFonts w:hint="default" w:eastAsia="黑体"/>
          <w:lang w:val="en-US" w:eastAsia="zh-CN"/>
        </w:rPr>
      </w:pPr>
      <w:r>
        <w:rPr>
          <w:rFonts w:hint="eastAsia" w:ascii="Times New Roman" w:hAnsi="Times New Roman" w:eastAsia="黑体" w:cs="黑体"/>
          <w:sz w:val="32"/>
          <w:szCs w:val="32"/>
        </w:rPr>
        <w:t>第二部分 2024年度部门决算情况说明</w:t>
      </w:r>
      <w:r>
        <w:rPr>
          <w:rFonts w:ascii="Times New Roman" w:hAnsi="Times New Roman" w:eastAsia="黑体" w:cs="黑体"/>
          <w:sz w:val="32"/>
          <w:szCs w:val="32"/>
        </w:rPr>
        <w:t>…………………</w:t>
      </w:r>
      <w:r>
        <w:rPr>
          <w:rFonts w:hint="eastAsia" w:ascii="Times New Roman" w:hAnsi="Times New Roman" w:eastAsia="黑体" w:cs="黑体"/>
          <w:sz w:val="32"/>
          <w:szCs w:val="32"/>
          <w:lang w:val="en-US" w:eastAsia="zh-CN"/>
        </w:rPr>
        <w:t>.....6</w:t>
      </w:r>
    </w:p>
    <w:p w14:paraId="64E1D4D1">
      <w:pPr>
        <w:pStyle w:val="11"/>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一、收入支出决算总体情况说明</w:t>
      </w:r>
      <w:r>
        <w:rPr>
          <w:rFonts w:eastAsia="仿宋_GB2312" w:cs="仿宋_GB2312"/>
          <w:sz w:val="32"/>
          <w:szCs w:val="32"/>
        </w:rPr>
        <w:t>……………………</w:t>
      </w:r>
      <w:r>
        <w:rPr>
          <w:rFonts w:hint="eastAsia" w:eastAsia="仿宋_GB2312" w:cs="仿宋_GB2312"/>
          <w:sz w:val="32"/>
          <w:szCs w:val="32"/>
          <w:lang w:val="en-US" w:eastAsia="zh-CN"/>
        </w:rPr>
        <w:t>......6</w:t>
      </w:r>
    </w:p>
    <w:p w14:paraId="0E867448">
      <w:pPr>
        <w:pStyle w:val="11"/>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二、收入决算情况说明</w:t>
      </w:r>
      <w:r>
        <w:rPr>
          <w:rFonts w:eastAsia="仿宋_GB2312" w:cs="仿宋_GB2312"/>
          <w:sz w:val="32"/>
          <w:szCs w:val="32"/>
        </w:rPr>
        <w:t>………………………………</w:t>
      </w:r>
      <w:r>
        <w:rPr>
          <w:rFonts w:hint="eastAsia" w:eastAsia="仿宋_GB2312" w:cs="仿宋_GB2312"/>
          <w:sz w:val="32"/>
          <w:szCs w:val="32"/>
          <w:lang w:val="en-US" w:eastAsia="zh-CN"/>
        </w:rPr>
        <w:t>......6</w:t>
      </w:r>
    </w:p>
    <w:p w14:paraId="067EF091">
      <w:pPr>
        <w:pStyle w:val="11"/>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三、支出决算情况说明</w:t>
      </w:r>
      <w:r>
        <w:rPr>
          <w:rFonts w:eastAsia="仿宋_GB2312" w:cs="仿宋_GB2312"/>
          <w:sz w:val="32"/>
          <w:szCs w:val="32"/>
        </w:rPr>
        <w:t>………………………………</w:t>
      </w:r>
      <w:r>
        <w:rPr>
          <w:rFonts w:hint="eastAsia" w:eastAsia="仿宋_GB2312" w:cs="仿宋_GB2312"/>
          <w:sz w:val="32"/>
          <w:szCs w:val="32"/>
          <w:lang w:val="en-US" w:eastAsia="zh-CN"/>
        </w:rPr>
        <w:t>......7</w:t>
      </w:r>
    </w:p>
    <w:p w14:paraId="25F28427">
      <w:pPr>
        <w:pStyle w:val="11"/>
        <w:adjustRightInd w:val="0"/>
        <w:snapToGrid w:val="0"/>
        <w:spacing w:line="560" w:lineRule="exact"/>
        <w:ind w:left="638" w:leftChars="304" w:firstLine="0" w:firstLineChars="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四、财政拨款收入支出决算总体情况说明</w:t>
      </w:r>
      <w:r>
        <w:rPr>
          <w:rFonts w:eastAsia="仿宋_GB2312" w:cs="仿宋_GB2312"/>
          <w:sz w:val="32"/>
          <w:szCs w:val="32"/>
        </w:rPr>
        <w:t>…………</w:t>
      </w:r>
      <w:r>
        <w:rPr>
          <w:rFonts w:hint="eastAsia" w:eastAsia="仿宋_GB2312" w:cs="仿宋_GB2312"/>
          <w:sz w:val="32"/>
          <w:szCs w:val="32"/>
          <w:lang w:val="en-US" w:eastAsia="zh-CN"/>
        </w:rPr>
        <w:t>......8</w:t>
      </w:r>
      <w:r>
        <w:rPr>
          <w:rFonts w:hint="eastAsia" w:eastAsia="仿宋_GB2312" w:cs="仿宋_GB2312"/>
          <w:sz w:val="32"/>
          <w:szCs w:val="32"/>
        </w:rPr>
        <w:t>五、一般公共预算财政拨款支出决算情况说明</w:t>
      </w:r>
      <w:r>
        <w:rPr>
          <w:rFonts w:eastAsia="仿宋_GB2312" w:cs="仿宋_GB2312"/>
          <w:sz w:val="32"/>
          <w:szCs w:val="32"/>
        </w:rPr>
        <w:t>……</w:t>
      </w:r>
      <w:r>
        <w:rPr>
          <w:rFonts w:hint="eastAsia" w:eastAsia="仿宋_GB2312" w:cs="仿宋_GB2312"/>
          <w:sz w:val="32"/>
          <w:szCs w:val="32"/>
          <w:lang w:val="en-US" w:eastAsia="zh-CN"/>
        </w:rPr>
        <w:t>......8</w:t>
      </w:r>
    </w:p>
    <w:p w14:paraId="26A027FA">
      <w:pPr>
        <w:pStyle w:val="11"/>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lang w:val="en-US" w:eastAsia="zh-CN"/>
        </w:rPr>
        <w:t>....10</w:t>
      </w:r>
    </w:p>
    <w:p w14:paraId="4D9F257A">
      <w:pPr>
        <w:pStyle w:val="11"/>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七、财政拨款“三公”经费支出决算情况说明</w:t>
      </w:r>
      <w:r>
        <w:rPr>
          <w:rFonts w:eastAsia="仿宋_GB2312" w:cs="仿宋_GB2312"/>
          <w:sz w:val="32"/>
          <w:szCs w:val="32"/>
        </w:rPr>
        <w:t>……</w:t>
      </w:r>
      <w:r>
        <w:rPr>
          <w:rFonts w:hint="eastAsia" w:eastAsia="仿宋_GB2312" w:cs="仿宋_GB2312"/>
          <w:sz w:val="32"/>
          <w:szCs w:val="32"/>
          <w:lang w:val="en-US" w:eastAsia="zh-CN"/>
        </w:rPr>
        <w:t>....11</w:t>
      </w:r>
    </w:p>
    <w:p w14:paraId="4339FDFE">
      <w:pPr>
        <w:pStyle w:val="11"/>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eastAsia="仿宋_GB2312" w:cs="仿宋_GB2312"/>
          <w:sz w:val="32"/>
          <w:szCs w:val="32"/>
        </w:rPr>
        <w:t>……………</w:t>
      </w:r>
      <w:r>
        <w:rPr>
          <w:rFonts w:hint="eastAsia" w:eastAsia="仿宋_GB2312" w:cs="仿宋_GB2312"/>
          <w:sz w:val="32"/>
          <w:szCs w:val="32"/>
          <w:lang w:val="en-US" w:eastAsia="zh-CN"/>
        </w:rPr>
        <w:t>.....13</w:t>
      </w:r>
    </w:p>
    <w:p w14:paraId="50144394">
      <w:pPr>
        <w:pStyle w:val="11"/>
        <w:adjustRightInd w:val="0"/>
        <w:snapToGrid w:val="0"/>
        <w:spacing w:line="560" w:lineRule="exact"/>
        <w:ind w:left="638" w:leftChars="304" w:firstLine="0" w:firstLineChars="0"/>
        <w:jc w:val="left"/>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eastAsia="仿宋_GB2312" w:cs="仿宋_GB2312"/>
          <w:sz w:val="32"/>
          <w:szCs w:val="32"/>
        </w:rPr>
        <w:t>…………</w:t>
      </w:r>
      <w:r>
        <w:rPr>
          <w:rFonts w:hint="eastAsia" w:eastAsia="仿宋_GB2312" w:cs="仿宋_GB2312"/>
          <w:sz w:val="32"/>
          <w:szCs w:val="32"/>
          <w:lang w:val="en-US" w:eastAsia="zh-CN"/>
        </w:rPr>
        <w:t>....13</w:t>
      </w:r>
      <w:r>
        <w:rPr>
          <w:rFonts w:hint="eastAsia" w:eastAsia="仿宋_GB2312" w:cs="仿宋_GB2312"/>
          <w:sz w:val="32"/>
          <w:szCs w:val="32"/>
        </w:rPr>
        <w:t>十、其他重要事项的情况说明</w:t>
      </w:r>
      <w:r>
        <w:rPr>
          <w:rFonts w:eastAsia="仿宋_GB2312" w:cs="仿宋_GB2312"/>
          <w:sz w:val="32"/>
          <w:szCs w:val="32"/>
        </w:rPr>
        <w:t>………………………</w:t>
      </w:r>
      <w:r>
        <w:rPr>
          <w:rFonts w:hint="eastAsia" w:eastAsia="仿宋_GB2312" w:cs="仿宋_GB2312"/>
          <w:sz w:val="32"/>
          <w:szCs w:val="32"/>
          <w:lang w:val="en-US" w:eastAsia="zh-CN"/>
        </w:rPr>
        <w:t>....13</w:t>
      </w:r>
    </w:p>
    <w:p w14:paraId="1AD0A168">
      <w:pPr>
        <w:pStyle w:val="9"/>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ascii="Times New Roman" w:hAnsi="Times New Roman" w:eastAsia="黑体" w:cs="黑体"/>
          <w:sz w:val="32"/>
          <w:szCs w:val="32"/>
        </w:rPr>
        <w:t>………………………………………</w:t>
      </w:r>
      <w:r>
        <w:rPr>
          <w:rFonts w:hint="eastAsia" w:ascii="Times New Roman" w:hAnsi="Times New Roman" w:eastAsia="黑体" w:cs="黑体"/>
          <w:sz w:val="32"/>
          <w:szCs w:val="32"/>
        </w:rPr>
        <w:t>.</w:t>
      </w:r>
      <w:r>
        <w:rPr>
          <w:rFonts w:hint="eastAsia" w:ascii="Times New Roman" w:hAnsi="Times New Roman" w:eastAsia="黑体" w:cs="黑体"/>
          <w:sz w:val="32"/>
          <w:szCs w:val="32"/>
          <w:lang w:val="en-US" w:eastAsia="zh-CN"/>
        </w:rPr>
        <w:t>...16</w:t>
      </w:r>
    </w:p>
    <w:p w14:paraId="2FD94CC3">
      <w:pPr>
        <w:pStyle w:val="9"/>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第四部分 附件</w:t>
      </w:r>
      <w:r>
        <w:rPr>
          <w:rFonts w:ascii="Times New Roman" w:hAnsi="Times New Roman" w:eastAsia="黑体" w:cs="黑体"/>
          <w:sz w:val="32"/>
          <w:szCs w:val="32"/>
        </w:rPr>
        <w:t>……………………………………………</w:t>
      </w:r>
      <w:r>
        <w:rPr>
          <w:rFonts w:hint="eastAsia" w:ascii="Times New Roman" w:hAnsi="Times New Roman" w:eastAsia="黑体" w:cs="黑体"/>
          <w:sz w:val="32"/>
          <w:szCs w:val="32"/>
        </w:rPr>
        <w:t>.</w:t>
      </w:r>
      <w:r>
        <w:rPr>
          <w:rFonts w:hint="eastAsia" w:ascii="Times New Roman" w:hAnsi="Times New Roman" w:eastAsia="黑体" w:cs="黑体"/>
          <w:sz w:val="32"/>
          <w:szCs w:val="32"/>
          <w:lang w:val="en-US" w:eastAsia="zh-CN"/>
        </w:rPr>
        <w:t>...18</w:t>
      </w:r>
    </w:p>
    <w:p w14:paraId="1BEA5485">
      <w:pPr>
        <w:pStyle w:val="9"/>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ascii="Times New Roman" w:hAnsi="Times New Roman" w:eastAsia="黑体" w:cs="黑体"/>
          <w:sz w:val="32"/>
          <w:szCs w:val="32"/>
        </w:rPr>
        <w:t>……………………………………………</w:t>
      </w:r>
      <w:r>
        <w:rPr>
          <w:rFonts w:hint="eastAsia" w:ascii="Times New Roman" w:hAnsi="Times New Roman" w:eastAsia="黑体" w:cs="黑体"/>
          <w:sz w:val="32"/>
          <w:szCs w:val="32"/>
        </w:rPr>
        <w:t>.</w:t>
      </w:r>
      <w:r>
        <w:rPr>
          <w:rFonts w:hint="eastAsia" w:ascii="Times New Roman" w:hAnsi="Times New Roman" w:eastAsia="黑体" w:cs="黑体"/>
          <w:sz w:val="32"/>
          <w:szCs w:val="32"/>
          <w:lang w:val="en-US" w:eastAsia="zh-CN"/>
        </w:rPr>
        <w:t>...31</w:t>
      </w:r>
    </w:p>
    <w:p w14:paraId="6B7F9005">
      <w:pPr>
        <w:pStyle w:val="11"/>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p>
    <w:p w14:paraId="5218F26B">
      <w:pPr>
        <w:pStyle w:val="11"/>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14:paraId="21E45D43">
      <w:pPr>
        <w:pStyle w:val="11"/>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14:paraId="203093E0">
      <w:pPr>
        <w:pStyle w:val="11"/>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14:paraId="75133A85">
      <w:pPr>
        <w:pStyle w:val="11"/>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14:paraId="20E0DCF6">
      <w:pPr>
        <w:pStyle w:val="11"/>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14:paraId="3C972485">
      <w:pPr>
        <w:pStyle w:val="11"/>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14:paraId="4B974D7D">
      <w:pPr>
        <w:pStyle w:val="11"/>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14:paraId="6FEC84BB">
      <w:pPr>
        <w:pStyle w:val="11"/>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14:paraId="261395D3">
      <w:pPr>
        <w:pStyle w:val="11"/>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14:paraId="7D17D21F">
      <w:pPr>
        <w:pStyle w:val="11"/>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14:paraId="7455BAA2">
      <w:pPr>
        <w:pStyle w:val="11"/>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14:paraId="13EE0B3A">
      <w:pPr>
        <w:pStyle w:val="11"/>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14:paraId="3C25CD2E">
      <w:pPr>
        <w:pStyle w:val="2"/>
        <w:jc w:val="center"/>
        <w:rPr>
          <w:rFonts w:hint="eastAsia" w:eastAsia="方正小标宋简体" w:cs="方正小标宋简体"/>
          <w:b w:val="0"/>
        </w:rPr>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pgNumType w:fmt="numberInDash" w:start="4"/>
          <w:cols w:space="425" w:num="1"/>
          <w:docGrid w:type="lines" w:linePitch="312" w:charSpace="0"/>
        </w:sectPr>
      </w:pPr>
      <w:bookmarkStart w:id="6" w:name="_Toc15377196"/>
      <w:bookmarkStart w:id="7" w:name="_Toc15396599"/>
    </w:p>
    <w:p w14:paraId="6F61A969">
      <w:pPr>
        <w:pStyle w:val="2"/>
        <w:jc w:val="center"/>
        <w:rPr>
          <w:rFonts w:eastAsia="方正小标宋简体" w:cs="方正小标宋简体"/>
          <w:bCs w:val="0"/>
        </w:rPr>
      </w:pPr>
      <w:r>
        <w:rPr>
          <w:rFonts w:hint="eastAsia" w:eastAsia="方正小标宋简体" w:cs="方正小标宋简体"/>
          <w:b w:val="0"/>
        </w:rPr>
        <w:t xml:space="preserve">第一部分  </w:t>
      </w:r>
      <w:r>
        <w:rPr>
          <w:rStyle w:val="14"/>
          <w:rFonts w:hint="eastAsia" w:eastAsia="方正小标宋简体" w:cs="方正小标宋简体"/>
          <w:b w:val="0"/>
          <w:bCs w:val="0"/>
        </w:rPr>
        <w:t>部门概况</w:t>
      </w:r>
      <w:bookmarkEnd w:id="6"/>
      <w:bookmarkEnd w:id="7"/>
    </w:p>
    <w:p w14:paraId="0E5D5FC3">
      <w:pPr>
        <w:pStyle w:val="3"/>
        <w:rPr>
          <w:rFonts w:hint="eastAsia" w:ascii="Times New Roman" w:hAnsi="Times New Roman" w:eastAsia="黑体"/>
          <w:b w:val="0"/>
        </w:rPr>
      </w:pPr>
      <w:r>
        <w:rPr>
          <w:rFonts w:hint="eastAsia" w:ascii="Times New Roman" w:hAnsi="Times New Roman" w:eastAsia="黑体"/>
          <w:b w:val="0"/>
        </w:rPr>
        <w:t>一、部门职责</w:t>
      </w:r>
    </w:p>
    <w:p w14:paraId="5D7CE8F2">
      <w:pPr>
        <w:ind w:firstLine="800" w:firstLineChars="250"/>
        <w:rPr>
          <w:rFonts w:hint="eastAsia" w:eastAsia="仿宋_GB2312" w:cs="仿宋_GB2312"/>
          <w:sz w:val="32"/>
          <w:szCs w:val="32"/>
        </w:rPr>
      </w:pPr>
      <w:r>
        <w:rPr>
          <w:rFonts w:hint="eastAsia" w:eastAsia="仿宋_GB2312" w:cs="仿宋_GB2312"/>
          <w:sz w:val="32"/>
          <w:szCs w:val="32"/>
        </w:rPr>
        <w:t>1.依法审理法律规定由基层人民法院管辖、中级人民法院指定管辖或者认为应当由本法院审理的刑事、民事、行政等一审案件。</w:t>
      </w:r>
    </w:p>
    <w:p w14:paraId="0746BE7D">
      <w:pPr>
        <w:ind w:firstLine="800" w:firstLineChars="250"/>
        <w:rPr>
          <w:rFonts w:hint="eastAsia" w:eastAsia="仿宋_GB2312" w:cs="仿宋_GB2312"/>
          <w:sz w:val="32"/>
          <w:szCs w:val="32"/>
        </w:rPr>
      </w:pPr>
      <w:r>
        <w:rPr>
          <w:rFonts w:hint="eastAsia" w:eastAsia="仿宋_GB2312" w:cs="仿宋_GB2312"/>
          <w:sz w:val="32"/>
          <w:szCs w:val="32"/>
        </w:rPr>
        <w:t>2.依法审理中级人民法院指定再审的案件和人民检察院按照审判监督程序提起的抗诉案件。受理当事人不服本院发生法律效力的判决、裁定并提起申诉的刑事、行政诉讼案件。</w:t>
      </w:r>
    </w:p>
    <w:p w14:paraId="5ABFCCBB">
      <w:pPr>
        <w:ind w:firstLine="800" w:firstLineChars="250"/>
        <w:rPr>
          <w:rFonts w:hint="eastAsia" w:eastAsia="仿宋_GB2312" w:cs="仿宋_GB2312"/>
          <w:sz w:val="32"/>
          <w:szCs w:val="32"/>
        </w:rPr>
      </w:pPr>
      <w:r>
        <w:rPr>
          <w:rFonts w:hint="eastAsia" w:eastAsia="仿宋_GB2312" w:cs="仿宋_GB2312"/>
          <w:sz w:val="32"/>
          <w:szCs w:val="32"/>
        </w:rPr>
        <w:t>3.依法行使执行权和司法决定权。</w:t>
      </w:r>
    </w:p>
    <w:p w14:paraId="6D0D00E9">
      <w:pPr>
        <w:ind w:firstLine="800" w:firstLineChars="250"/>
        <w:rPr>
          <w:rFonts w:hint="eastAsia" w:eastAsia="仿宋_GB2312" w:cs="仿宋_GB2312"/>
          <w:sz w:val="32"/>
          <w:szCs w:val="32"/>
        </w:rPr>
      </w:pPr>
      <w:r>
        <w:rPr>
          <w:rFonts w:hint="eastAsia" w:eastAsia="仿宋_GB2312" w:cs="仿宋_GB2312"/>
          <w:sz w:val="32"/>
          <w:szCs w:val="32"/>
        </w:rPr>
        <w:t>4.对法律规定、规章等草案提出意见，对案件审理中发现的问题提出司法建议。</w:t>
      </w:r>
    </w:p>
    <w:p w14:paraId="07091137">
      <w:pPr>
        <w:ind w:firstLine="800" w:firstLineChars="250"/>
        <w:rPr>
          <w:rFonts w:hint="eastAsia" w:eastAsia="仿宋_GB2312" w:cs="仿宋_GB2312"/>
          <w:sz w:val="32"/>
          <w:szCs w:val="32"/>
        </w:rPr>
      </w:pPr>
      <w:r>
        <w:rPr>
          <w:rFonts w:hint="eastAsia" w:eastAsia="仿宋_GB2312" w:cs="仿宋_GB2312"/>
          <w:sz w:val="32"/>
          <w:szCs w:val="32"/>
        </w:rPr>
        <w:t>5.指导基层法庭工作。</w:t>
      </w:r>
    </w:p>
    <w:p w14:paraId="7BCE7664">
      <w:pPr>
        <w:ind w:firstLine="800" w:firstLineChars="250"/>
        <w:rPr>
          <w:rFonts w:hint="eastAsia" w:eastAsia="仿宋_GB2312" w:cs="仿宋_GB2312"/>
          <w:sz w:val="32"/>
          <w:szCs w:val="32"/>
        </w:rPr>
      </w:pPr>
      <w:r>
        <w:rPr>
          <w:rFonts w:hint="eastAsia" w:eastAsia="仿宋_GB2312" w:cs="仿宋_GB2312"/>
          <w:sz w:val="32"/>
          <w:szCs w:val="32"/>
        </w:rPr>
        <w:t>6.负责全院的思想政治、教育培训工作和干部管理工作。</w:t>
      </w:r>
    </w:p>
    <w:p w14:paraId="688CA241">
      <w:pPr>
        <w:ind w:firstLine="800" w:firstLineChars="250"/>
        <w:rPr>
          <w:rFonts w:hint="eastAsia" w:eastAsia="仿宋_GB2312" w:cs="仿宋_GB2312"/>
          <w:sz w:val="32"/>
          <w:szCs w:val="32"/>
        </w:rPr>
      </w:pPr>
      <w:r>
        <w:rPr>
          <w:rFonts w:hint="eastAsia" w:eastAsia="仿宋_GB2312" w:cs="仿宋_GB2312"/>
          <w:sz w:val="32"/>
          <w:szCs w:val="32"/>
        </w:rPr>
        <w:t>7.负责全院财务、专项投资的计划管理及分配。</w:t>
      </w:r>
    </w:p>
    <w:p w14:paraId="085718E7">
      <w:pPr>
        <w:ind w:firstLine="800" w:firstLineChars="250"/>
        <w:rPr>
          <w:rFonts w:hint="eastAsia" w:eastAsia="仿宋_GB2312" w:cs="仿宋_GB2312"/>
          <w:sz w:val="32"/>
          <w:szCs w:val="32"/>
        </w:rPr>
      </w:pPr>
      <w:r>
        <w:rPr>
          <w:rFonts w:hint="eastAsia" w:eastAsia="仿宋_GB2312" w:cs="仿宋_GB2312"/>
          <w:sz w:val="32"/>
          <w:szCs w:val="32"/>
        </w:rPr>
        <w:t>8.负责全院的监察工作。</w:t>
      </w:r>
    </w:p>
    <w:p w14:paraId="45D3E770">
      <w:pPr>
        <w:ind w:firstLine="800" w:firstLineChars="250"/>
        <w:rPr>
          <w:rFonts w:hint="eastAsia" w:eastAsia="仿宋_GB2312" w:cs="仿宋_GB2312"/>
          <w:sz w:val="32"/>
          <w:szCs w:val="32"/>
        </w:rPr>
      </w:pPr>
      <w:r>
        <w:rPr>
          <w:rFonts w:hint="eastAsia" w:eastAsia="仿宋_GB2312" w:cs="仿宋_GB2312"/>
          <w:sz w:val="32"/>
          <w:szCs w:val="32"/>
        </w:rPr>
        <w:t>9.管理人民法院司法警察工作。</w:t>
      </w:r>
    </w:p>
    <w:p w14:paraId="3E9F140B">
      <w:pPr>
        <w:ind w:firstLine="800" w:firstLineChars="250"/>
        <w:rPr>
          <w:rFonts w:hint="eastAsia" w:eastAsia="仿宋_GB2312" w:cs="仿宋_GB2312"/>
          <w:sz w:val="32"/>
          <w:szCs w:val="32"/>
        </w:rPr>
      </w:pPr>
      <w:r>
        <w:rPr>
          <w:rFonts w:hint="eastAsia" w:eastAsia="仿宋_GB2312" w:cs="仿宋_GB2312"/>
          <w:sz w:val="32"/>
          <w:szCs w:val="32"/>
        </w:rPr>
        <w:t>10.做好本院行政、后勤事业管理和服务工作。</w:t>
      </w:r>
    </w:p>
    <w:p w14:paraId="7647FEF6">
      <w:pPr>
        <w:ind w:firstLine="800" w:firstLineChars="250"/>
        <w:rPr>
          <w:rFonts w:hint="eastAsia" w:eastAsia="仿宋_GB2312" w:cs="仿宋_GB2312"/>
          <w:sz w:val="32"/>
          <w:szCs w:val="32"/>
        </w:rPr>
      </w:pPr>
      <w:r>
        <w:rPr>
          <w:rFonts w:hint="eastAsia" w:eastAsia="仿宋_GB2312" w:cs="仿宋_GB2312"/>
          <w:sz w:val="32"/>
          <w:szCs w:val="32"/>
        </w:rPr>
        <w:t>11.宣传法制，教育公民忠于社会主义祖国，自觉遵守宪法、法律和社会公德。</w:t>
      </w:r>
    </w:p>
    <w:p w14:paraId="03953F48">
      <w:pPr>
        <w:ind w:firstLine="800" w:firstLineChars="250"/>
        <w:rPr>
          <w:rFonts w:hint="eastAsia" w:eastAsia="仿宋_GB2312" w:cs="仿宋_GB2312"/>
          <w:sz w:val="32"/>
          <w:szCs w:val="32"/>
        </w:rPr>
      </w:pPr>
      <w:r>
        <w:rPr>
          <w:rFonts w:hint="eastAsia" w:eastAsia="仿宋_GB2312" w:cs="仿宋_GB2312"/>
          <w:sz w:val="32"/>
          <w:szCs w:val="32"/>
        </w:rPr>
        <w:t>12.积极参与社会治安综合治理。</w:t>
      </w:r>
    </w:p>
    <w:p w14:paraId="02F7309E">
      <w:pPr>
        <w:ind w:firstLine="800" w:firstLineChars="250"/>
        <w:rPr>
          <w:rFonts w:hint="eastAsia" w:eastAsia="仿宋_GB2312" w:cs="仿宋_GB2312"/>
          <w:sz w:val="32"/>
          <w:szCs w:val="32"/>
        </w:rPr>
      </w:pPr>
      <w:r>
        <w:rPr>
          <w:rFonts w:hint="eastAsia" w:eastAsia="仿宋_GB2312" w:cs="仿宋_GB2312"/>
          <w:sz w:val="32"/>
          <w:szCs w:val="32"/>
        </w:rPr>
        <w:t>13.承办其它应由基层人民法院负责的工作。</w:t>
      </w:r>
    </w:p>
    <w:p w14:paraId="6C02B177"/>
    <w:p w14:paraId="618101F9">
      <w:pPr>
        <w:pStyle w:val="3"/>
        <w:rPr>
          <w:rStyle w:val="15"/>
          <w:rFonts w:ascii="Times New Roman" w:hAnsi="Times New Roman"/>
          <w:b w:val="0"/>
          <w:bCs w:val="0"/>
        </w:rPr>
      </w:pPr>
      <w:bookmarkStart w:id="8" w:name="_Toc15377200"/>
      <w:bookmarkStart w:id="9" w:name="_Toc15396601"/>
      <w:r>
        <w:rPr>
          <w:rFonts w:hint="eastAsia" w:ascii="Times New Roman" w:hAnsi="Times New Roman" w:eastAsia="黑体"/>
          <w:b w:val="0"/>
          <w:bCs w:val="0"/>
        </w:rPr>
        <w:t>二、</w:t>
      </w:r>
      <w:r>
        <w:rPr>
          <w:rFonts w:hint="eastAsia" w:ascii="Times New Roman" w:hAnsi="Times New Roman" w:eastAsia="黑体"/>
          <w:b w:val="0"/>
        </w:rPr>
        <w:t xml:space="preserve"> 机</w:t>
      </w:r>
      <w:r>
        <w:rPr>
          <w:rStyle w:val="15"/>
          <w:rFonts w:hint="eastAsia" w:ascii="Times New Roman" w:hAnsi="Times New Roman" w:eastAsia="黑体"/>
          <w:b w:val="0"/>
          <w:bCs w:val="0"/>
        </w:rPr>
        <w:t>构设置</w:t>
      </w:r>
      <w:bookmarkEnd w:id="8"/>
      <w:bookmarkEnd w:id="9"/>
    </w:p>
    <w:p w14:paraId="01013755">
      <w:pPr>
        <w:ind w:firstLine="800" w:firstLineChars="250"/>
        <w:rPr>
          <w:rFonts w:eastAsia="仿宋_GB2312" w:cs="仿宋_GB2312"/>
          <w:sz w:val="32"/>
          <w:szCs w:val="32"/>
        </w:rPr>
      </w:pPr>
      <w:r>
        <w:rPr>
          <w:rFonts w:hint="eastAsia" w:ascii="仿宋_GB2312" w:hAnsi="仿宋_GB2312" w:eastAsia="仿宋_GB2312" w:cs="仿宋_GB2312"/>
          <w:sz w:val="32"/>
          <w:szCs w:val="32"/>
        </w:rPr>
        <w:t>松潘县人民法院</w:t>
      </w:r>
      <w:r>
        <w:rPr>
          <w:rFonts w:hint="eastAsia" w:eastAsia="仿宋_GB2312" w:cs="仿宋_GB2312"/>
          <w:sz w:val="32"/>
          <w:szCs w:val="32"/>
        </w:rPr>
        <w:t>下属二级预算单位0个，其中行政单位0个，参照公务员法管理的事业单位</w:t>
      </w:r>
      <w:r>
        <w:rPr>
          <w:rFonts w:hint="eastAsia" w:eastAsia="仿宋_GB2312" w:cs="仿宋_GB2312"/>
          <w:bCs/>
          <w:sz w:val="32"/>
          <w:szCs w:val="32"/>
        </w:rPr>
        <w:t>0</w:t>
      </w:r>
      <w:r>
        <w:rPr>
          <w:rFonts w:hint="eastAsia" w:eastAsia="仿宋_GB2312" w:cs="仿宋_GB2312"/>
          <w:sz w:val="32"/>
          <w:szCs w:val="32"/>
        </w:rPr>
        <w:t>个，其他事业单位0个。</w:t>
      </w:r>
    </w:p>
    <w:p w14:paraId="69142A1A">
      <w:pPr>
        <w:ind w:firstLine="800" w:firstLineChars="250"/>
        <w:rPr>
          <w:rFonts w:hint="eastAsia" w:eastAsia="仿宋_GB2312" w:cs="仿宋_GB2312"/>
          <w:sz w:val="32"/>
          <w:szCs w:val="32"/>
        </w:rPr>
      </w:pPr>
      <w:r>
        <w:rPr>
          <w:rFonts w:hint="eastAsia" w:eastAsia="仿宋_GB2312" w:cs="仿宋_GB2312"/>
          <w:sz w:val="32"/>
          <w:szCs w:val="32"/>
        </w:rPr>
        <w:t>纳入</w:t>
      </w:r>
      <w:r>
        <w:rPr>
          <w:rFonts w:eastAsia="仿宋_GB2312" w:cs="仿宋_GB2312"/>
          <w:sz w:val="32"/>
          <w:szCs w:val="32"/>
        </w:rPr>
        <w:t>松潘县人民法院</w:t>
      </w:r>
      <w:r>
        <w:rPr>
          <w:rFonts w:hint="eastAsia" w:eastAsia="仿宋_GB2312" w:cs="仿宋_GB2312"/>
          <w:sz w:val="32"/>
          <w:szCs w:val="32"/>
        </w:rPr>
        <w:t>2024年度部门决算编制范围的二级预算单位为0个。</w:t>
      </w:r>
    </w:p>
    <w:p w14:paraId="6B0BF21D">
      <w:pPr>
        <w:ind w:firstLine="800" w:firstLineChars="250"/>
        <w:rPr>
          <w:rFonts w:hint="eastAsia" w:eastAsia="仿宋_GB2312" w:cs="仿宋_GB2312"/>
          <w:sz w:val="32"/>
          <w:szCs w:val="32"/>
        </w:rPr>
      </w:pPr>
      <w:r>
        <w:rPr>
          <w:rFonts w:hint="eastAsia" w:eastAsia="仿宋_GB2312" w:cs="仿宋_GB2312"/>
          <w:sz w:val="32"/>
          <w:szCs w:val="32"/>
        </w:rPr>
        <w:t>1.政治部（督察室）：负责本院干警的思想政治教育及培训、表彰、奖励和宣传工作；协助主管部门管理本院的机构编制、组织人事工作；办理《法官法》规定有关工作，承办法官考评委员会决定的有关事项；负责机关岗位目标管理；承办司法警察警衔呈报工作；负责院老干部管理服务工作及其人事管理。</w:t>
      </w:r>
    </w:p>
    <w:p w14:paraId="1F9F73A1">
      <w:pPr>
        <w:ind w:firstLine="800" w:firstLineChars="250"/>
        <w:rPr>
          <w:rFonts w:hint="eastAsia" w:eastAsia="仿宋_GB2312" w:cs="仿宋_GB2312"/>
          <w:sz w:val="32"/>
          <w:szCs w:val="32"/>
        </w:rPr>
      </w:pPr>
      <w:r>
        <w:rPr>
          <w:rFonts w:hint="eastAsia" w:eastAsia="仿宋_GB2312" w:cs="仿宋_GB2312"/>
          <w:sz w:val="32"/>
          <w:szCs w:val="32"/>
        </w:rPr>
        <w:t>2.综合办公室：法院新闻宣传、舆论引导工作的组织协调工作；信息简报编辑工作；法院工作总结、工作意见、工作报告、领导讲话及工作汇报材料等综合文稿的起草工作；法院网站、微博、微信等自媒体的管理运营工作；摄影摄像及信息资料的管理工作；司法技术工作（鉴定、评估、等相关工作）；依法治县工作（含普法工作）。</w:t>
      </w:r>
    </w:p>
    <w:p w14:paraId="429F2A00">
      <w:pPr>
        <w:ind w:firstLine="800" w:firstLineChars="250"/>
        <w:rPr>
          <w:rFonts w:hint="eastAsia" w:eastAsia="仿宋_GB2312" w:cs="仿宋_GB2312"/>
          <w:sz w:val="32"/>
          <w:szCs w:val="32"/>
        </w:rPr>
      </w:pPr>
      <w:r>
        <w:rPr>
          <w:rFonts w:hint="eastAsia" w:eastAsia="仿宋_GB2312" w:cs="仿宋_GB2312"/>
          <w:sz w:val="32"/>
          <w:szCs w:val="32"/>
        </w:rPr>
        <w:t>3.审判管理办公室（研究室）：上网裁判文书的审核工作；裁判文书的集中上网工作；裁判文书上网工作的管理、指导、监督。法院调研工作的组织协调工作；调研文章、典型案列的编辑工作；执行法律政策情况调查研究及适用法律政策的请示工作；学术论文征集工作；审判委员会日常事务工作。</w:t>
      </w:r>
    </w:p>
    <w:p w14:paraId="17A0D7EB">
      <w:pPr>
        <w:ind w:firstLine="800" w:firstLineChars="250"/>
        <w:rPr>
          <w:rFonts w:hint="eastAsia" w:eastAsia="仿宋_GB2312" w:cs="仿宋_GB2312"/>
          <w:sz w:val="32"/>
          <w:szCs w:val="32"/>
        </w:rPr>
      </w:pPr>
      <w:r>
        <w:rPr>
          <w:rFonts w:hint="eastAsia" w:eastAsia="仿宋_GB2312" w:cs="仿宋_GB2312"/>
          <w:sz w:val="32"/>
          <w:szCs w:val="32"/>
        </w:rPr>
        <w:t>4.刑事审判庭：审理第一审普通刑事案件和上级人民法院指定管辖的刑事案件；严格执行程序法和实体法，确保实体公正、程序公正、操作规范；推进刑事审判工作的规范化建设；做好诉讼指导工作，为当事人依法、充分、有效行使诉讼权利提供服务；加强对刑事法律、法规和司法解释的学习，坚持集体研讨案件和重大疑难案件请示汇报制度，不断提高刑事审判队伍的司法能力；加强新形势下刑事审判工作的调查研究，不断总结新经验，发现新情况，解决新问题，提出新举措，推动刑事审判工作的顺利开展；坚持以审判为中心，积极参与社会治安综合治理，扩大办案效果，力求实现办案法律效果和社会效果的有机统一；做好刑事案件统计和统计数据的报送、利用工作。</w:t>
      </w:r>
    </w:p>
    <w:p w14:paraId="16C9B73C">
      <w:pPr>
        <w:ind w:firstLine="800" w:firstLineChars="250"/>
        <w:rPr>
          <w:rFonts w:hint="eastAsia" w:eastAsia="仿宋_GB2312" w:cs="仿宋_GB2312"/>
          <w:sz w:val="32"/>
          <w:szCs w:val="32"/>
        </w:rPr>
      </w:pPr>
      <w:r>
        <w:rPr>
          <w:rFonts w:hint="eastAsia" w:eastAsia="仿宋_GB2312" w:cs="仿宋_GB2312"/>
          <w:sz w:val="32"/>
          <w:szCs w:val="32"/>
        </w:rPr>
        <w:t>5.民事审判庭：审理本院管辖的第一审民商事案件。包括婚姻、家庭、继承类纠纷，人身、财产损害赔偿纠纷，民间借贷纠纷，个人合伙纠纷，劳动、劳务争议纠纷，农村土地承包纠纷，矿产资源纠纷，不当得利、无因管理及埋藏物、遗失物、漂流物、拾得物权属纠纷，建设用地使用权、宅基使用权、地役权纠纷，相邻权纠纷，建筑物区分所有权及物业纠纷，土地、房屋买卖（转让）、租赁等房地产纠纷，建设工程合同纠纷，合同、借款、存单、证券、期货、保险、票据类纠纷，公司法以及其他企业法调整的民商事法律关系产生的纠纷及相应的侵权纠纷，企业皮产案件，知识产权案件，民商事仲裁的司法审查，涉三资企业的民商事纠纷案件、房地产及建设合同纠纷案件，其他应由民事审判庭审理的案件。</w:t>
      </w:r>
    </w:p>
    <w:p w14:paraId="0E6720B2">
      <w:pPr>
        <w:ind w:firstLine="800" w:firstLineChars="250"/>
        <w:rPr>
          <w:rFonts w:hint="eastAsia" w:eastAsia="仿宋_GB2312" w:cs="仿宋_GB2312"/>
          <w:sz w:val="32"/>
          <w:szCs w:val="32"/>
        </w:rPr>
      </w:pPr>
      <w:r>
        <w:rPr>
          <w:rFonts w:hint="eastAsia" w:eastAsia="仿宋_GB2312" w:cs="仿宋_GB2312"/>
          <w:sz w:val="32"/>
          <w:szCs w:val="32"/>
        </w:rPr>
        <w:t>6.行政审判庭：审理第一审行政案件、行政赔偿案件和上级法院指令管辖的行政案件；依法执行行政机关作出的申请人民法院强制执行的行政处罚决定、行政处理决定；对本院受理的行政案件进行审查；严格执行程序法、实体法及上级法院、本院的相关规定；加强对行政法律法规、司法解释及执行法律法规的学习，坚持集体研讨案件和重大疑难案件汇报制度，不断提高本部门民事审判队伍的司法能力；做好本庭所承办行政案件、非诉执行案件统计和统计数据的报送、利用工作；</w:t>
      </w:r>
    </w:p>
    <w:p w14:paraId="5881746C">
      <w:pPr>
        <w:ind w:firstLine="800" w:firstLineChars="250"/>
        <w:rPr>
          <w:rFonts w:hint="eastAsia" w:eastAsia="仿宋_GB2312" w:cs="仿宋_GB2312"/>
          <w:sz w:val="32"/>
          <w:szCs w:val="32"/>
        </w:rPr>
      </w:pPr>
      <w:r>
        <w:rPr>
          <w:rFonts w:hint="eastAsia" w:eastAsia="仿宋_GB2312" w:cs="仿宋_GB2312"/>
          <w:sz w:val="32"/>
          <w:szCs w:val="32"/>
        </w:rPr>
        <w:t>7.执行局：执行本院第一审发生法律效力的判决、裁定以及调解协议中有关财产的决定；执行法律规定的由本院执行的其他法律文书；办理委托移送执行和协助执行事宜。</w:t>
      </w:r>
    </w:p>
    <w:p w14:paraId="179E735D">
      <w:pPr>
        <w:ind w:firstLine="800" w:firstLineChars="250"/>
        <w:rPr>
          <w:rFonts w:hint="eastAsia" w:eastAsia="仿宋_GB2312" w:cs="仿宋_GB2312"/>
          <w:sz w:val="32"/>
          <w:szCs w:val="32"/>
        </w:rPr>
      </w:pPr>
      <w:r>
        <w:rPr>
          <w:rFonts w:hint="eastAsia" w:eastAsia="仿宋_GB2312" w:cs="仿宋_GB2312"/>
          <w:sz w:val="32"/>
          <w:szCs w:val="32"/>
        </w:rPr>
        <w:t>8.立案庭：依法做好本院刑事、民事、行政、国家赔偿、执行和申诉、申请再审等案件的审查、立案、登记、送达、网上公告送达、排期、移送工作；接待、处理各类来信、来访，做好申诉人、上访人的思想疏导和息诉、服判工作，参与社会治安综合治理，扩大办案的社会效果；监督、指导基层法院的立案和信访工作；按规定办理诉讼费、执行费用的收、交、减、缓、免等相关手续，并进行登记报批；充分发挥立案庭的窗口示范作用。</w:t>
      </w:r>
    </w:p>
    <w:p w14:paraId="158DD6CF">
      <w:pPr>
        <w:ind w:firstLine="800" w:firstLineChars="250"/>
        <w:rPr>
          <w:rFonts w:hint="eastAsia" w:eastAsia="仿宋_GB2312" w:cs="仿宋_GB2312"/>
          <w:sz w:val="32"/>
          <w:szCs w:val="32"/>
        </w:rPr>
      </w:pPr>
      <w:r>
        <w:rPr>
          <w:rFonts w:hint="eastAsia" w:eastAsia="仿宋_GB2312" w:cs="仿宋_GB2312"/>
          <w:sz w:val="32"/>
          <w:szCs w:val="32"/>
        </w:rPr>
        <w:t>9.司法警察大队：组织落实司法警察队伍建设的规划和措施；制定所辖院司法警察管理的规章制度并组织实施；检查、监督司法警察执行法律、法规的情况；组织司法警察的教育培训；管理或协同管理警司以下司法警察的警衔；管理司法警察的警用装备；协调跨区域的重大警务活动；组织司法警察完成检察长交办的其它任务。</w:t>
      </w:r>
    </w:p>
    <w:p w14:paraId="515830F0">
      <w:pPr>
        <w:ind w:firstLine="800" w:firstLineChars="250"/>
        <w:rPr>
          <w:rFonts w:hint="eastAsia" w:eastAsia="仿宋_GB2312" w:cs="仿宋_GB2312"/>
          <w:sz w:val="32"/>
          <w:szCs w:val="32"/>
        </w:rPr>
      </w:pPr>
      <w:r>
        <w:rPr>
          <w:rFonts w:hint="eastAsia" w:eastAsia="仿宋_GB2312" w:cs="仿宋_GB2312"/>
          <w:sz w:val="32"/>
          <w:szCs w:val="32"/>
        </w:rPr>
        <w:t>10.基层人民法庭：审理管辖内的各类一审民事案件及法治宣传工作。</w:t>
      </w:r>
    </w:p>
    <w:p w14:paraId="550D92F2">
      <w:pPr>
        <w:pStyle w:val="10"/>
      </w:pPr>
    </w:p>
    <w:p w14:paraId="7DB5E6B2">
      <w:pPr>
        <w:widowControl/>
        <w:jc w:val="left"/>
        <w:rPr>
          <w:rFonts w:eastAsia="仿宋"/>
          <w:kern w:val="0"/>
          <w:sz w:val="32"/>
          <w:szCs w:val="32"/>
        </w:rPr>
      </w:pPr>
      <w:r>
        <w:rPr>
          <w:rFonts w:eastAsia="仿宋"/>
          <w:sz w:val="32"/>
          <w:szCs w:val="32"/>
        </w:rPr>
        <w:br w:type="page"/>
      </w:r>
    </w:p>
    <w:p w14:paraId="1EBC2185">
      <w:pPr>
        <w:pStyle w:val="2"/>
        <w:jc w:val="center"/>
        <w:rPr>
          <w:rFonts w:eastAsia="方正小标宋简体" w:cs="方正小标宋简体"/>
          <w:b w:val="0"/>
        </w:rPr>
      </w:pPr>
      <w:bookmarkStart w:id="10" w:name="_Toc15377204"/>
      <w:bookmarkStart w:id="11" w:name="_Toc15396602"/>
      <w:r>
        <w:rPr>
          <w:rFonts w:hint="eastAsia" w:eastAsia="方正小标宋简体" w:cs="方正小标宋简体"/>
          <w:b w:val="0"/>
        </w:rPr>
        <w:t>第二部分  2024年度部门决算情况说明</w:t>
      </w:r>
      <w:bookmarkEnd w:id="10"/>
      <w:bookmarkEnd w:id="11"/>
    </w:p>
    <w:p w14:paraId="39306389">
      <w:pPr>
        <w:pStyle w:val="16"/>
        <w:spacing w:line="600" w:lineRule="exact"/>
        <w:ind w:firstLine="640"/>
        <w:outlineLvl w:val="1"/>
        <w:rPr>
          <w:rStyle w:val="15"/>
          <w:rFonts w:ascii="Times New Roman" w:hAnsi="Times New Roman" w:eastAsia="黑体"/>
          <w:b w:val="0"/>
        </w:rPr>
      </w:pPr>
      <w:bookmarkStart w:id="12" w:name="_Toc15377205"/>
      <w:bookmarkStart w:id="13" w:name="_Toc15396603"/>
      <w:r>
        <w:rPr>
          <w:rFonts w:hint="eastAsia" w:eastAsia="黑体"/>
          <w:sz w:val="32"/>
          <w:szCs w:val="32"/>
        </w:rPr>
        <w:t>一、收</w:t>
      </w:r>
      <w:r>
        <w:rPr>
          <w:rStyle w:val="15"/>
          <w:rFonts w:hint="eastAsia" w:ascii="Times New Roman" w:hAnsi="Times New Roman" w:eastAsia="黑体"/>
          <w:b w:val="0"/>
        </w:rPr>
        <w:t>入支出决算总体情况说明</w:t>
      </w:r>
      <w:bookmarkEnd w:id="12"/>
      <w:bookmarkEnd w:id="13"/>
    </w:p>
    <w:p w14:paraId="1641D57C">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2790.94</w:t>
      </w:r>
      <w:r>
        <w:rPr>
          <w:rFonts w:hint="eastAsia" w:eastAsia="仿宋_GB2312" w:cs="仿宋_GB2312"/>
          <w:sz w:val="32"/>
          <w:szCs w:val="32"/>
        </w:rPr>
        <w:t>万元。与2023年度相比，收入、支出总计各增加</w:t>
      </w:r>
      <w:r>
        <w:rPr>
          <w:rFonts w:hint="eastAsia" w:ascii="仿宋_GB2312" w:hAnsi="仿宋_GB2312" w:eastAsia="仿宋_GB2312" w:cs="仿宋_GB2312"/>
          <w:sz w:val="32"/>
          <w:szCs w:val="32"/>
        </w:rPr>
        <w:t>700.5</w:t>
      </w:r>
      <w:r>
        <w:rPr>
          <w:rFonts w:hint="eastAsia" w:eastAsia="仿宋_GB2312" w:cs="仿宋_GB2312"/>
          <w:sz w:val="32"/>
          <w:szCs w:val="32"/>
        </w:rPr>
        <w:t>万元，增长</w:t>
      </w:r>
      <w:r>
        <w:rPr>
          <w:rFonts w:hint="eastAsia" w:ascii="仿宋_GB2312" w:hAnsi="仿宋_GB2312" w:eastAsia="仿宋_GB2312" w:cs="仿宋_GB2312"/>
          <w:sz w:val="32"/>
          <w:szCs w:val="32"/>
        </w:rPr>
        <w:t>33.51%</w:t>
      </w:r>
      <w:r>
        <w:rPr>
          <w:rFonts w:hint="eastAsia" w:eastAsia="仿宋_GB2312" w:cs="仿宋_GB2312"/>
          <w:sz w:val="32"/>
          <w:szCs w:val="32"/>
        </w:rPr>
        <w:t>。主要变动原</w:t>
      </w:r>
      <w:r>
        <w:rPr>
          <w:rFonts w:hint="eastAsia" w:ascii="Times New Roman" w:hAnsi="Times New Roman" w:eastAsia="仿宋_GB2312" w:cs="仿宋_GB2312"/>
          <w:sz w:val="32"/>
          <w:szCs w:val="32"/>
        </w:rPr>
        <w:t>因是</w:t>
      </w:r>
      <w:r>
        <w:rPr>
          <w:rFonts w:hint="eastAsia" w:eastAsia="仿宋_GB2312" w:cs="仿宋_GB2312"/>
          <w:sz w:val="32"/>
          <w:szCs w:val="32"/>
          <w:lang w:val="en-US" w:eastAsia="zh-CN"/>
        </w:rPr>
        <w:t>2024年</w:t>
      </w:r>
      <w:r>
        <w:rPr>
          <w:rFonts w:hint="eastAsia" w:ascii="Times New Roman" w:hAnsi="Times New Roman" w:eastAsia="仿宋_GB2312" w:cs="仿宋_GB2312"/>
          <w:sz w:val="32"/>
          <w:szCs w:val="32"/>
          <w:lang w:val="en-US" w:eastAsia="zh-CN"/>
        </w:rPr>
        <w:t>新招录8名公务员，人员经费增加，新增采购项目，同时增加县级保障资金，</w:t>
      </w:r>
      <w:r>
        <w:rPr>
          <w:rFonts w:hint="eastAsia" w:ascii="Times New Roman" w:hAnsi="Times New Roman" w:eastAsia="仿宋_GB2312" w:cs="仿宋_GB2312"/>
          <w:sz w:val="32"/>
          <w:szCs w:val="32"/>
        </w:rPr>
        <w:t>故</w:t>
      </w:r>
      <w:r>
        <w:rPr>
          <w:rFonts w:hint="eastAsia" w:ascii="Times New Roman" w:hAnsi="Times New Roman" w:eastAsia="仿宋_GB2312" w:cs="仿宋_GB2312"/>
          <w:sz w:val="32"/>
          <w:szCs w:val="32"/>
          <w:lang w:val="en-US" w:eastAsia="zh-CN"/>
        </w:rPr>
        <w:t>本年收入、支出增加</w:t>
      </w:r>
      <w:r>
        <w:rPr>
          <w:rFonts w:hint="eastAsia" w:ascii="Times New Roman" w:hAnsi="Times New Roman" w:eastAsia="仿宋_GB2312" w:cs="仿宋_GB2312"/>
          <w:sz w:val="32"/>
          <w:szCs w:val="32"/>
        </w:rPr>
        <w:t>。</w:t>
      </w:r>
    </w:p>
    <w:p w14:paraId="16802299">
      <w:pPr>
        <w:pStyle w:val="6"/>
        <w:ind w:left="420"/>
        <w:rPr>
          <w:rFonts w:hint="eastAsia" w:eastAsia="宋体"/>
          <w:lang w:eastAsia="zh-CN"/>
        </w:rPr>
      </w:pPr>
      <w:r>
        <w:rPr>
          <w:rFonts w:hint="eastAsia" w:eastAsia="宋体"/>
          <w:lang w:eastAsia="zh-CN"/>
        </w:rPr>
        <w:drawing>
          <wp:inline distT="0" distB="0" distL="114300" distR="114300">
            <wp:extent cx="4650740" cy="2435860"/>
            <wp:effectExtent l="5080" t="5080" r="11430" b="1651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6A41D3">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14:paraId="0D691410">
      <w:pPr>
        <w:pStyle w:val="6"/>
        <w:ind w:left="420"/>
      </w:pPr>
    </w:p>
    <w:p w14:paraId="48314556">
      <w:pPr>
        <w:pStyle w:val="16"/>
        <w:spacing w:line="600" w:lineRule="exact"/>
        <w:ind w:firstLine="640"/>
        <w:outlineLvl w:val="1"/>
        <w:rPr>
          <w:rFonts w:eastAsia="黑体"/>
          <w:sz w:val="32"/>
          <w:szCs w:val="32"/>
        </w:rPr>
      </w:pPr>
      <w:bookmarkStart w:id="14" w:name="_Toc15396604"/>
      <w:bookmarkStart w:id="15" w:name="_Toc15377206"/>
      <w:r>
        <w:rPr>
          <w:rFonts w:hint="eastAsia" w:eastAsia="黑体"/>
          <w:sz w:val="32"/>
          <w:szCs w:val="32"/>
        </w:rPr>
        <w:t>二、收入决算情况说明</w:t>
      </w:r>
      <w:bookmarkEnd w:id="14"/>
      <w:bookmarkEnd w:id="15"/>
    </w:p>
    <w:p w14:paraId="74A7E133">
      <w:pPr>
        <w:pStyle w:val="16"/>
        <w:spacing w:line="600" w:lineRule="exact"/>
        <w:ind w:firstLine="640"/>
        <w:jc w:val="left"/>
        <w:outlineLvl w:val="1"/>
        <w:rPr>
          <w:rFonts w:hint="eastAsia" w:eastAsia="仿宋_GB2312" w:cs="仿宋_GB2312"/>
          <w:b/>
          <w:bCs/>
          <w:sz w:val="32"/>
          <w:szCs w:val="32"/>
        </w:rPr>
      </w:pPr>
      <w:r>
        <w:rPr>
          <w:rFonts w:hint="eastAsia" w:ascii="仿宋_GB2312" w:hAnsi="仿宋_GB2312" w:eastAsia="仿宋_GB2312" w:cs="仿宋_GB2312"/>
          <w:sz w:val="32"/>
          <w:szCs w:val="32"/>
        </w:rPr>
        <w:t>2024年度本年收入合计2790.94万元，其中：一般公共预算财政拨款收入2216.76万元，占79.4%；政府性基金预算财政拨款收入0万元，占0%；国有资本经营预算财政拨款收入0万元，占0%；上级补助收入0万元，占0%；事业收入0万元，占0%；经营收入0万元，占0%；附属单位上缴收入0万元，占0%；其他收入574.18万元，占20.</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14:paraId="3B78CAD4">
      <w:pPr>
        <w:pStyle w:val="16"/>
        <w:spacing w:line="600" w:lineRule="exact"/>
        <w:ind w:firstLine="640"/>
        <w:jc w:val="left"/>
        <w:outlineLvl w:val="1"/>
        <w:rPr>
          <w:rFonts w:hint="eastAsia" w:eastAsia="仿宋_GB2312" w:cs="仿宋_GB2312"/>
          <w:b/>
          <w:bCs/>
          <w:sz w:val="32"/>
          <w:szCs w:val="32"/>
        </w:rPr>
      </w:pPr>
      <w:r>
        <w:rPr>
          <w:rFonts w:hint="eastAsia" w:eastAsia="仿宋_GB2312" w:cs="仿宋_GB2312"/>
          <w:b/>
          <w:bCs/>
          <w:sz w:val="32"/>
          <w:szCs w:val="32"/>
          <w:lang w:eastAsia="zh-CN"/>
        </w:rPr>
        <w:drawing>
          <wp:anchor distT="0" distB="0" distL="114300" distR="114300" simplePos="0" relativeHeight="251659264" behindDoc="0" locked="0" layoutInCell="1" allowOverlap="1">
            <wp:simplePos x="0" y="0"/>
            <wp:positionH relativeFrom="column">
              <wp:posOffset>551815</wp:posOffset>
            </wp:positionH>
            <wp:positionV relativeFrom="paragraph">
              <wp:posOffset>105410</wp:posOffset>
            </wp:positionV>
            <wp:extent cx="4366895" cy="2278380"/>
            <wp:effectExtent l="4445" t="4445" r="10160" b="2222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25DD8DA">
      <w:pPr>
        <w:pStyle w:val="16"/>
        <w:spacing w:line="600" w:lineRule="exact"/>
        <w:ind w:firstLine="640"/>
        <w:jc w:val="left"/>
        <w:outlineLvl w:val="1"/>
        <w:rPr>
          <w:rFonts w:hint="eastAsia" w:eastAsia="仿宋_GB2312" w:cs="仿宋_GB2312"/>
          <w:b/>
          <w:bCs/>
          <w:sz w:val="32"/>
          <w:szCs w:val="32"/>
        </w:rPr>
      </w:pPr>
    </w:p>
    <w:p w14:paraId="2B13E127">
      <w:pPr>
        <w:pStyle w:val="16"/>
        <w:spacing w:line="600" w:lineRule="exact"/>
        <w:ind w:firstLine="640"/>
        <w:jc w:val="left"/>
        <w:outlineLvl w:val="1"/>
        <w:rPr>
          <w:rFonts w:hint="eastAsia" w:eastAsia="仿宋_GB2312" w:cs="仿宋_GB2312"/>
          <w:b/>
          <w:bCs/>
          <w:sz w:val="32"/>
          <w:szCs w:val="32"/>
        </w:rPr>
      </w:pPr>
    </w:p>
    <w:p w14:paraId="3D071BDD">
      <w:pPr>
        <w:pStyle w:val="16"/>
        <w:spacing w:line="600" w:lineRule="exact"/>
        <w:ind w:firstLine="640"/>
        <w:jc w:val="left"/>
        <w:outlineLvl w:val="1"/>
        <w:rPr>
          <w:rFonts w:hint="eastAsia" w:eastAsia="仿宋_GB2312" w:cs="仿宋_GB2312"/>
          <w:b/>
          <w:bCs/>
          <w:sz w:val="32"/>
          <w:szCs w:val="32"/>
        </w:rPr>
      </w:pPr>
    </w:p>
    <w:p w14:paraId="1A004170">
      <w:pPr>
        <w:pStyle w:val="16"/>
        <w:spacing w:line="600" w:lineRule="exact"/>
        <w:ind w:firstLine="640"/>
        <w:jc w:val="left"/>
        <w:outlineLvl w:val="1"/>
        <w:rPr>
          <w:rFonts w:hint="eastAsia" w:eastAsia="仿宋_GB2312" w:cs="仿宋_GB2312"/>
          <w:b/>
          <w:bCs/>
          <w:sz w:val="32"/>
          <w:szCs w:val="32"/>
        </w:rPr>
      </w:pPr>
    </w:p>
    <w:p w14:paraId="318CD44A">
      <w:pPr>
        <w:pStyle w:val="16"/>
        <w:spacing w:line="600" w:lineRule="exact"/>
        <w:ind w:firstLine="640"/>
        <w:jc w:val="left"/>
        <w:outlineLvl w:val="1"/>
        <w:rPr>
          <w:rFonts w:hint="eastAsia" w:eastAsia="仿宋_GB2312" w:cs="仿宋_GB2312"/>
          <w:b/>
          <w:bCs/>
          <w:sz w:val="32"/>
          <w:szCs w:val="32"/>
        </w:rPr>
      </w:pPr>
    </w:p>
    <w:p w14:paraId="107186D2">
      <w:pPr>
        <w:ind w:firstLine="800" w:firstLineChars="250"/>
        <w:rPr>
          <w:rFonts w:hint="eastAsia" w:eastAsia="仿宋_GB2312" w:cs="仿宋_GB2312"/>
          <w:sz w:val="32"/>
          <w:szCs w:val="32"/>
        </w:rPr>
      </w:pPr>
      <w:r>
        <w:rPr>
          <w:rFonts w:hint="eastAsia" w:eastAsia="仿宋_GB2312" w:cs="仿宋_GB2312"/>
          <w:sz w:val="32"/>
          <w:szCs w:val="32"/>
        </w:rPr>
        <w:t>（图2：收入决算结构图）（饼状图）</w:t>
      </w:r>
    </w:p>
    <w:p w14:paraId="2CD56BF0">
      <w:pPr>
        <w:ind w:firstLine="800" w:firstLineChars="250"/>
        <w:rPr>
          <w:rFonts w:hint="eastAsia" w:eastAsia="仿宋_GB2312" w:cs="仿宋_GB2312"/>
          <w:sz w:val="32"/>
          <w:szCs w:val="32"/>
        </w:rPr>
      </w:pPr>
    </w:p>
    <w:p w14:paraId="00FC66C2">
      <w:pPr>
        <w:pStyle w:val="16"/>
        <w:spacing w:line="600" w:lineRule="exact"/>
        <w:ind w:firstLine="640"/>
        <w:outlineLvl w:val="1"/>
        <w:rPr>
          <w:rStyle w:val="15"/>
          <w:rFonts w:ascii="Times New Roman" w:hAnsi="Times New Roman" w:eastAsia="黑体"/>
          <w:b w:val="0"/>
        </w:rPr>
      </w:pPr>
      <w:bookmarkStart w:id="16" w:name="_Toc15396605"/>
      <w:bookmarkStart w:id="17" w:name="_Toc15377207"/>
      <w:r>
        <w:rPr>
          <w:rFonts w:hint="eastAsia" w:eastAsia="黑体"/>
          <w:sz w:val="32"/>
          <w:szCs w:val="32"/>
        </w:rPr>
        <w:t>三、支</w:t>
      </w:r>
      <w:r>
        <w:rPr>
          <w:rStyle w:val="15"/>
          <w:rFonts w:hint="eastAsia" w:ascii="Times New Roman" w:hAnsi="Times New Roman" w:eastAsia="黑体"/>
          <w:b w:val="0"/>
        </w:rPr>
        <w:t>出决算情况说明</w:t>
      </w:r>
      <w:bookmarkEnd w:id="16"/>
      <w:bookmarkEnd w:id="17"/>
    </w:p>
    <w:p w14:paraId="317D7A97">
      <w:pPr>
        <w:pStyle w:val="16"/>
        <w:spacing w:line="600" w:lineRule="exact"/>
        <w:ind w:firstLine="640"/>
        <w:jc w:val="left"/>
        <w:outlineLvl w:val="1"/>
        <w:rPr>
          <w:rFonts w:hint="eastAsia" w:eastAsia="仿宋_GB2312" w:cs="仿宋_GB2312"/>
          <w:b/>
          <w:bCs/>
          <w:sz w:val="32"/>
          <w:szCs w:val="32"/>
        </w:rPr>
      </w:pPr>
      <w:r>
        <w:rPr>
          <w:rFonts w:hint="eastAsia" w:ascii="仿宋_GB2312" w:hAnsi="仿宋_GB2312" w:eastAsia="仿宋_GB2312" w:cs="仿宋_GB2312"/>
          <w:sz w:val="32"/>
          <w:szCs w:val="32"/>
        </w:rPr>
        <w:t>2024年度本年支出合计2751.14万元，其中：基本支出1652.54万元，占60.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%；项目支出1098.6万元，占39.9%；上缴上级支出0万元，占0%；经营支出0万元，占0%；对附属单位补助支出0万元，占0%。</w:t>
      </w:r>
    </w:p>
    <w:p w14:paraId="4BDD2EB2">
      <w:pPr>
        <w:pStyle w:val="16"/>
        <w:spacing w:line="600" w:lineRule="exact"/>
        <w:ind w:firstLine="640"/>
        <w:jc w:val="left"/>
        <w:outlineLvl w:val="1"/>
        <w:rPr>
          <w:rFonts w:hint="eastAsia" w:eastAsia="仿宋_GB2312" w:cs="仿宋_GB2312"/>
          <w:b/>
          <w:bCs/>
          <w:sz w:val="32"/>
          <w:szCs w:val="32"/>
        </w:rPr>
      </w:pPr>
      <w:r>
        <w:rPr>
          <w:rFonts w:hint="eastAsia" w:eastAsia="仿宋_GB2312" w:cs="仿宋_GB2312"/>
          <w:b/>
          <w:bCs/>
          <w:sz w:val="32"/>
          <w:szCs w:val="32"/>
          <w:lang w:eastAsia="zh-CN"/>
        </w:rPr>
        <w:drawing>
          <wp:anchor distT="0" distB="0" distL="114300" distR="114300" simplePos="0" relativeHeight="251660288" behindDoc="0" locked="0" layoutInCell="1" allowOverlap="1">
            <wp:simplePos x="0" y="0"/>
            <wp:positionH relativeFrom="column">
              <wp:posOffset>558800</wp:posOffset>
            </wp:positionH>
            <wp:positionV relativeFrom="paragraph">
              <wp:posOffset>215265</wp:posOffset>
            </wp:positionV>
            <wp:extent cx="4246245" cy="2237740"/>
            <wp:effectExtent l="4445" t="4445" r="16510" b="571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280948CF">
      <w:pPr>
        <w:pStyle w:val="16"/>
        <w:spacing w:line="600" w:lineRule="exact"/>
        <w:ind w:firstLine="640"/>
        <w:jc w:val="left"/>
        <w:outlineLvl w:val="1"/>
        <w:rPr>
          <w:rFonts w:hint="eastAsia" w:eastAsia="仿宋_GB2312" w:cs="仿宋_GB2312"/>
          <w:b/>
          <w:bCs/>
          <w:sz w:val="32"/>
          <w:szCs w:val="32"/>
        </w:rPr>
      </w:pPr>
    </w:p>
    <w:p w14:paraId="62CC4967">
      <w:pPr>
        <w:pStyle w:val="16"/>
        <w:spacing w:line="600" w:lineRule="exact"/>
        <w:ind w:firstLine="640"/>
        <w:jc w:val="left"/>
        <w:outlineLvl w:val="1"/>
        <w:rPr>
          <w:rFonts w:hint="eastAsia" w:eastAsia="仿宋_GB2312" w:cs="仿宋_GB2312"/>
          <w:b/>
          <w:bCs/>
          <w:sz w:val="32"/>
          <w:szCs w:val="32"/>
        </w:rPr>
      </w:pPr>
    </w:p>
    <w:p w14:paraId="450FB3AF">
      <w:pPr>
        <w:pStyle w:val="16"/>
        <w:spacing w:line="600" w:lineRule="exact"/>
        <w:ind w:firstLine="640"/>
        <w:jc w:val="left"/>
        <w:outlineLvl w:val="1"/>
        <w:rPr>
          <w:rFonts w:hint="eastAsia" w:eastAsia="仿宋_GB2312" w:cs="仿宋_GB2312"/>
          <w:b/>
          <w:bCs/>
          <w:sz w:val="32"/>
          <w:szCs w:val="32"/>
        </w:rPr>
      </w:pPr>
    </w:p>
    <w:p w14:paraId="1FBA4AC0">
      <w:pPr>
        <w:pStyle w:val="16"/>
        <w:spacing w:line="600" w:lineRule="exact"/>
        <w:ind w:firstLine="640"/>
        <w:jc w:val="left"/>
        <w:outlineLvl w:val="1"/>
        <w:rPr>
          <w:rFonts w:hint="eastAsia" w:eastAsia="仿宋_GB2312" w:cs="仿宋_GB2312"/>
          <w:b/>
          <w:bCs/>
          <w:sz w:val="32"/>
          <w:szCs w:val="32"/>
        </w:rPr>
      </w:pPr>
    </w:p>
    <w:p w14:paraId="7727BE88">
      <w:pPr>
        <w:pStyle w:val="16"/>
        <w:spacing w:line="600" w:lineRule="exact"/>
        <w:ind w:firstLine="640"/>
        <w:jc w:val="left"/>
        <w:outlineLvl w:val="1"/>
        <w:rPr>
          <w:rFonts w:hint="eastAsia" w:eastAsia="仿宋_GB2312" w:cs="仿宋_GB2312"/>
          <w:b/>
          <w:bCs/>
          <w:sz w:val="32"/>
          <w:szCs w:val="32"/>
          <w:lang w:eastAsia="zh-CN"/>
        </w:rPr>
      </w:pPr>
    </w:p>
    <w:p w14:paraId="7856600C">
      <w:pPr>
        <w:pStyle w:val="16"/>
        <w:spacing w:line="600" w:lineRule="exact"/>
        <w:ind w:firstLine="640"/>
        <w:jc w:val="left"/>
        <w:outlineLvl w:val="1"/>
        <w:rPr>
          <w:rFonts w:hint="eastAsia" w:eastAsia="仿宋_GB2312" w:cs="仿宋_GB2312"/>
          <w:b/>
          <w:bCs/>
          <w:sz w:val="32"/>
          <w:szCs w:val="32"/>
        </w:rPr>
      </w:pPr>
    </w:p>
    <w:p w14:paraId="5BE5DF01">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2E150D4C">
      <w:pPr>
        <w:ind w:firstLine="800" w:firstLineChars="250"/>
        <w:rPr>
          <w:rFonts w:eastAsia="仿宋_GB2312" w:cs="仿宋_GB2312"/>
          <w:sz w:val="32"/>
          <w:szCs w:val="32"/>
        </w:rPr>
      </w:pPr>
    </w:p>
    <w:p w14:paraId="70AC32C9">
      <w:pPr>
        <w:spacing w:line="600" w:lineRule="exact"/>
        <w:ind w:firstLine="640" w:firstLineChars="200"/>
        <w:outlineLvl w:val="1"/>
        <w:rPr>
          <w:rStyle w:val="15"/>
          <w:rFonts w:ascii="Times New Roman" w:hAnsi="Times New Roman" w:eastAsia="黑体"/>
          <w:b w:val="0"/>
        </w:rPr>
      </w:pPr>
      <w:bookmarkStart w:id="18" w:name="_Toc15377208"/>
      <w:bookmarkStart w:id="19" w:name="_Toc15396606"/>
      <w:r>
        <w:rPr>
          <w:rFonts w:hint="eastAsia" w:eastAsia="黑体"/>
          <w:sz w:val="32"/>
          <w:szCs w:val="32"/>
        </w:rPr>
        <w:t>四、财</w:t>
      </w:r>
      <w:r>
        <w:rPr>
          <w:rStyle w:val="15"/>
          <w:rFonts w:hint="eastAsia" w:ascii="Times New Roman" w:hAnsi="Times New Roman" w:eastAsia="黑体"/>
          <w:b w:val="0"/>
        </w:rPr>
        <w:t>政拨款收入支出决算总体情况说明</w:t>
      </w:r>
      <w:bookmarkEnd w:id="18"/>
      <w:bookmarkEnd w:id="19"/>
    </w:p>
    <w:p w14:paraId="76D8EDC1">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2216.76</w:t>
      </w:r>
      <w:r>
        <w:rPr>
          <w:rFonts w:hint="eastAsia" w:eastAsia="仿宋_GB2312" w:cs="仿宋_GB2312"/>
          <w:sz w:val="32"/>
          <w:szCs w:val="32"/>
        </w:rPr>
        <w:t>万元。与2023年度相比，财政拨款收入总计、支出总计各增加</w:t>
      </w:r>
      <w:r>
        <w:rPr>
          <w:rFonts w:hint="eastAsia" w:eastAsia="仿宋_GB2312" w:cs="仿宋_GB2312"/>
          <w:sz w:val="32"/>
          <w:szCs w:val="32"/>
          <w:lang w:val="en-US" w:eastAsia="zh-CN"/>
        </w:rPr>
        <w:t>525.13</w:t>
      </w:r>
      <w:r>
        <w:rPr>
          <w:rFonts w:hint="eastAsia" w:eastAsia="仿宋_GB2312" w:cs="仿宋_GB2312"/>
          <w:sz w:val="32"/>
          <w:szCs w:val="32"/>
        </w:rPr>
        <w:t>万元，增长</w:t>
      </w:r>
      <w:r>
        <w:rPr>
          <w:rFonts w:hint="eastAsia" w:eastAsia="仿宋_GB2312" w:cs="仿宋_GB2312"/>
          <w:sz w:val="32"/>
          <w:szCs w:val="32"/>
          <w:lang w:val="en-US" w:eastAsia="zh-CN"/>
        </w:rPr>
        <w:t>31</w:t>
      </w:r>
      <w:r>
        <w:rPr>
          <w:rFonts w:hint="eastAsia" w:eastAsia="仿宋_GB2312" w:cs="仿宋_GB2312"/>
          <w:sz w:val="32"/>
          <w:szCs w:val="32"/>
        </w:rPr>
        <w:t>%。主要变动原因是</w:t>
      </w:r>
      <w:r>
        <w:rPr>
          <w:rFonts w:hint="eastAsia" w:ascii="Times New Roman" w:hAnsi="Times New Roman" w:eastAsia="仿宋_GB2312" w:cs="仿宋_GB2312"/>
          <w:sz w:val="32"/>
          <w:szCs w:val="32"/>
          <w:lang w:val="en-US" w:eastAsia="zh-CN"/>
        </w:rPr>
        <w:t>新招录8名公务员，人员经费增加，新增采购项目，</w:t>
      </w:r>
      <w:r>
        <w:rPr>
          <w:rFonts w:hint="eastAsia" w:eastAsia="仿宋_GB2312" w:cs="仿宋_GB2312"/>
          <w:sz w:val="32"/>
          <w:szCs w:val="32"/>
          <w:lang w:val="en-US" w:eastAsia="zh-CN"/>
        </w:rPr>
        <w:t>项目经费增加，故</w:t>
      </w:r>
      <w:r>
        <w:rPr>
          <w:rFonts w:hint="eastAsia" w:eastAsia="仿宋_GB2312" w:cs="仿宋_GB2312"/>
          <w:sz w:val="32"/>
          <w:szCs w:val="32"/>
        </w:rPr>
        <w:t>财政拨款收入、支出总计</w:t>
      </w:r>
      <w:r>
        <w:rPr>
          <w:rFonts w:hint="eastAsia" w:eastAsia="仿宋_GB2312" w:cs="仿宋_GB2312"/>
          <w:sz w:val="32"/>
          <w:szCs w:val="32"/>
          <w:lang w:val="en-US" w:eastAsia="zh-CN"/>
        </w:rPr>
        <w:t>增加。</w:t>
      </w:r>
    </w:p>
    <w:p w14:paraId="1DD56E0D">
      <w:pPr>
        <w:spacing w:line="600" w:lineRule="exact"/>
        <w:ind w:firstLine="640"/>
        <w:rPr>
          <w:rFonts w:hint="eastAsia" w:eastAsia="仿宋_GB2312" w:cs="仿宋_GB2312"/>
          <w:sz w:val="32"/>
          <w:szCs w:val="32"/>
        </w:rPr>
      </w:pPr>
      <w:r>
        <w:rPr>
          <w:rFonts w:hint="eastAsia" w:eastAsia="仿宋_GB2312" w:cs="仿宋_GB2312"/>
          <w:sz w:val="32"/>
          <w:szCs w:val="32"/>
          <w:lang w:eastAsia="zh-CN"/>
        </w:rPr>
        <w:drawing>
          <wp:anchor distT="0" distB="0" distL="114300" distR="114300" simplePos="0" relativeHeight="251661312" behindDoc="0" locked="0" layoutInCell="1" allowOverlap="1">
            <wp:simplePos x="0" y="0"/>
            <wp:positionH relativeFrom="column">
              <wp:posOffset>389255</wp:posOffset>
            </wp:positionH>
            <wp:positionV relativeFrom="paragraph">
              <wp:posOffset>228600</wp:posOffset>
            </wp:positionV>
            <wp:extent cx="4711065" cy="2251075"/>
            <wp:effectExtent l="5080" t="4445" r="8255" b="1143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3F4277B6">
      <w:pPr>
        <w:spacing w:line="600" w:lineRule="exact"/>
        <w:ind w:firstLine="640"/>
        <w:rPr>
          <w:rFonts w:hint="eastAsia" w:eastAsia="仿宋_GB2312" w:cs="仿宋_GB2312"/>
          <w:sz w:val="32"/>
          <w:szCs w:val="32"/>
        </w:rPr>
      </w:pPr>
    </w:p>
    <w:p w14:paraId="21BE11A9">
      <w:pPr>
        <w:spacing w:line="600" w:lineRule="exact"/>
        <w:ind w:firstLine="640"/>
        <w:rPr>
          <w:rFonts w:hint="eastAsia" w:eastAsia="仿宋_GB2312" w:cs="仿宋_GB2312"/>
          <w:sz w:val="32"/>
          <w:szCs w:val="32"/>
        </w:rPr>
      </w:pPr>
    </w:p>
    <w:p w14:paraId="08FAA3CC">
      <w:pPr>
        <w:spacing w:line="600" w:lineRule="exact"/>
        <w:ind w:firstLine="640"/>
        <w:rPr>
          <w:rFonts w:hint="eastAsia" w:eastAsia="仿宋_GB2312" w:cs="仿宋_GB2312"/>
          <w:sz w:val="32"/>
          <w:szCs w:val="32"/>
        </w:rPr>
      </w:pPr>
    </w:p>
    <w:p w14:paraId="22E80BB6">
      <w:pPr>
        <w:spacing w:line="600" w:lineRule="exact"/>
        <w:ind w:firstLine="640"/>
        <w:rPr>
          <w:rFonts w:hint="eastAsia" w:eastAsia="仿宋_GB2312" w:cs="仿宋_GB2312"/>
          <w:sz w:val="32"/>
          <w:szCs w:val="32"/>
        </w:rPr>
      </w:pPr>
    </w:p>
    <w:p w14:paraId="24DA6E91">
      <w:pPr>
        <w:spacing w:line="600" w:lineRule="exact"/>
        <w:rPr>
          <w:rFonts w:hint="eastAsia" w:eastAsia="仿宋_GB2312" w:cs="仿宋_GB2312"/>
          <w:sz w:val="32"/>
          <w:szCs w:val="32"/>
        </w:rPr>
      </w:pPr>
    </w:p>
    <w:p w14:paraId="6E7F64DB">
      <w:pPr>
        <w:spacing w:line="600" w:lineRule="exact"/>
        <w:rPr>
          <w:rFonts w:hint="eastAsia" w:eastAsia="仿宋_GB2312" w:cs="仿宋_GB2312"/>
          <w:sz w:val="32"/>
          <w:szCs w:val="32"/>
        </w:rPr>
      </w:pPr>
    </w:p>
    <w:p w14:paraId="5D3A8651">
      <w:pPr>
        <w:spacing w:line="600" w:lineRule="exact"/>
        <w:ind w:firstLine="320" w:firstLineChars="100"/>
        <w:rPr>
          <w:rFonts w:eastAsia="仿宋_GB2312" w:cs="仿宋_GB2312"/>
          <w:sz w:val="32"/>
          <w:szCs w:val="32"/>
        </w:rPr>
      </w:pPr>
      <w:r>
        <w:rPr>
          <w:rFonts w:hint="eastAsia" w:eastAsia="仿宋_GB2312" w:cs="仿宋_GB2312"/>
          <w:sz w:val="32"/>
          <w:szCs w:val="32"/>
        </w:rPr>
        <w:t>（图4：财政拨款收、支决算总计变动情况）（柱状图）</w:t>
      </w:r>
    </w:p>
    <w:p w14:paraId="7CDC05D0">
      <w:pPr>
        <w:spacing w:line="600" w:lineRule="exact"/>
        <w:ind w:firstLine="640"/>
        <w:rPr>
          <w:rFonts w:eastAsia="仿宋_GB2312" w:cs="仿宋_GB2312"/>
          <w:sz w:val="32"/>
          <w:szCs w:val="32"/>
        </w:rPr>
      </w:pPr>
    </w:p>
    <w:p w14:paraId="1B639244">
      <w:pPr>
        <w:spacing w:line="600" w:lineRule="exact"/>
        <w:ind w:firstLine="640" w:firstLineChars="200"/>
        <w:outlineLvl w:val="1"/>
        <w:rPr>
          <w:rStyle w:val="15"/>
          <w:rFonts w:ascii="Times New Roman" w:hAnsi="Times New Roman" w:eastAsia="黑体"/>
          <w:b w:val="0"/>
        </w:rPr>
      </w:pPr>
      <w:bookmarkStart w:id="20" w:name="_Toc15377209"/>
      <w:bookmarkStart w:id="21" w:name="_Toc15396607"/>
      <w:r>
        <w:rPr>
          <w:rFonts w:hint="eastAsia" w:eastAsia="黑体"/>
          <w:sz w:val="32"/>
          <w:szCs w:val="32"/>
        </w:rPr>
        <w:t>五、</w:t>
      </w:r>
      <w:r>
        <w:rPr>
          <w:rFonts w:hint="eastAsia" w:eastAsia="黑体"/>
          <w:b/>
          <w:sz w:val="32"/>
          <w:szCs w:val="32"/>
        </w:rPr>
        <w:t>一</w:t>
      </w:r>
      <w:r>
        <w:rPr>
          <w:rStyle w:val="15"/>
          <w:rFonts w:hint="eastAsia" w:ascii="Times New Roman" w:hAnsi="Times New Roman" w:eastAsia="黑体"/>
          <w:b w:val="0"/>
        </w:rPr>
        <w:t>般公共预算财政拨款支出决算情况说明</w:t>
      </w:r>
      <w:bookmarkEnd w:id="20"/>
      <w:bookmarkEnd w:id="21"/>
    </w:p>
    <w:p w14:paraId="5B0A83AF">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14:paraId="6EE315FB">
      <w:pPr>
        <w:spacing w:line="600" w:lineRule="exact"/>
        <w:ind w:firstLine="640"/>
        <w:rPr>
          <w:rFonts w:hint="eastAsia" w:eastAsia="仿宋_GB2312" w:cs="仿宋_GB2312"/>
          <w:sz w:val="32"/>
          <w:szCs w:val="32"/>
          <w:lang w:val="en-US" w:eastAsia="zh-CN"/>
        </w:rPr>
      </w:pPr>
      <w:r>
        <w:rPr>
          <w:rFonts w:hint="eastAsia" w:ascii="仿宋_GB2312" w:hAnsi="仿宋_GB2312" w:eastAsia="仿宋_GB2312" w:cs="仿宋_GB2312"/>
          <w:sz w:val="32"/>
          <w:szCs w:val="32"/>
        </w:rPr>
        <w:t>2024年度一般公共预算财政拨款支出2216.76万元，占本年支出合计的80.</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%。与2023年度相比，一般公共预算财政拨款支出增加</w:t>
      </w:r>
      <w:r>
        <w:rPr>
          <w:rFonts w:hint="eastAsia" w:eastAsia="仿宋_GB2312" w:cs="仿宋_GB2312"/>
          <w:sz w:val="32"/>
          <w:szCs w:val="32"/>
          <w:lang w:val="en-US" w:eastAsia="zh-CN"/>
        </w:rPr>
        <w:t>525.13</w:t>
      </w:r>
      <w:r>
        <w:rPr>
          <w:rFonts w:hint="eastAsia" w:eastAsia="仿宋_GB2312" w:cs="仿宋_GB2312"/>
          <w:sz w:val="32"/>
          <w:szCs w:val="32"/>
        </w:rPr>
        <w:t>万元，增长</w:t>
      </w:r>
      <w:r>
        <w:rPr>
          <w:rFonts w:hint="eastAsia" w:eastAsia="仿宋_GB2312" w:cs="仿宋_GB2312"/>
          <w:sz w:val="32"/>
          <w:szCs w:val="32"/>
          <w:lang w:val="en-US" w:eastAsia="zh-CN"/>
        </w:rPr>
        <w:t>31</w:t>
      </w:r>
      <w:r>
        <w:rPr>
          <w:rFonts w:hint="eastAsia" w:eastAsia="仿宋_GB2312" w:cs="仿宋_GB2312"/>
          <w:sz w:val="32"/>
          <w:szCs w:val="32"/>
        </w:rPr>
        <w:t>%</w:t>
      </w:r>
      <w:r>
        <w:rPr>
          <w:rFonts w:hint="eastAsia" w:ascii="仿宋_GB2312" w:hAnsi="仿宋_GB2312" w:eastAsia="仿宋_GB2312" w:cs="仿宋_GB2312"/>
          <w:sz w:val="32"/>
          <w:szCs w:val="32"/>
        </w:rPr>
        <w:t>。主要变动原因是</w:t>
      </w:r>
      <w:r>
        <w:rPr>
          <w:rFonts w:hint="eastAsia" w:ascii="Times New Roman" w:hAnsi="Times New Roman" w:eastAsia="仿宋_GB2312" w:cs="仿宋_GB2312"/>
          <w:sz w:val="32"/>
          <w:szCs w:val="32"/>
          <w:lang w:val="en-US" w:eastAsia="zh-CN"/>
        </w:rPr>
        <w:t>新招录8名公务员，人员经费</w:t>
      </w:r>
      <w:r>
        <w:rPr>
          <w:rFonts w:hint="eastAsia" w:eastAsia="仿宋_GB2312" w:cs="仿宋_GB2312"/>
          <w:sz w:val="32"/>
          <w:szCs w:val="32"/>
          <w:lang w:val="en-US" w:eastAsia="zh-CN"/>
        </w:rPr>
        <w:t>支出</w:t>
      </w:r>
      <w:r>
        <w:rPr>
          <w:rFonts w:hint="eastAsia" w:ascii="Times New Roman" w:hAnsi="Times New Roman" w:eastAsia="仿宋_GB2312" w:cs="仿宋_GB2312"/>
          <w:sz w:val="32"/>
          <w:szCs w:val="32"/>
          <w:lang w:val="en-US" w:eastAsia="zh-CN"/>
        </w:rPr>
        <w:t>增加，新增采购项目，</w:t>
      </w:r>
      <w:r>
        <w:rPr>
          <w:rFonts w:hint="eastAsia" w:eastAsia="仿宋_GB2312" w:cs="仿宋_GB2312"/>
          <w:sz w:val="32"/>
          <w:szCs w:val="32"/>
          <w:lang w:val="en-US" w:eastAsia="zh-CN"/>
        </w:rPr>
        <w:t>项目经费支出增加，故</w:t>
      </w:r>
      <w:r>
        <w:rPr>
          <w:rFonts w:hint="eastAsia" w:ascii="仿宋_GB2312" w:hAnsi="仿宋_GB2312" w:eastAsia="仿宋_GB2312" w:cs="仿宋_GB2312"/>
          <w:sz w:val="32"/>
          <w:szCs w:val="32"/>
        </w:rPr>
        <w:t>一般公共预算财政拨款支出增加</w:t>
      </w:r>
      <w:r>
        <w:rPr>
          <w:rFonts w:hint="eastAsia" w:eastAsia="仿宋_GB2312" w:cs="仿宋_GB2312"/>
          <w:sz w:val="32"/>
          <w:szCs w:val="32"/>
          <w:lang w:val="en-US" w:eastAsia="zh-CN"/>
        </w:rPr>
        <w:t>。</w:t>
      </w:r>
    </w:p>
    <w:p w14:paraId="5609A943">
      <w:pPr>
        <w:spacing w:line="600" w:lineRule="exact"/>
        <w:ind w:firstLine="640"/>
        <w:rPr>
          <w:rFonts w:hint="eastAsia" w:ascii="仿宋_GB2312" w:hAnsi="仿宋_GB2312" w:eastAsia="仿宋_GB2312" w:cs="仿宋_GB2312"/>
          <w:sz w:val="32"/>
          <w:szCs w:val="32"/>
        </w:rPr>
      </w:pPr>
    </w:p>
    <w:p w14:paraId="2869A38B">
      <w:pPr>
        <w:spacing w:line="600" w:lineRule="exact"/>
        <w:ind w:firstLine="640"/>
        <w:rPr>
          <w:rFonts w:hint="eastAsia" w:ascii="仿宋_GB2312" w:hAnsi="仿宋_GB2312" w:eastAsia="仿宋_GB2312" w:cs="仿宋_GB2312"/>
          <w:sz w:val="32"/>
          <w:szCs w:val="32"/>
        </w:rPr>
      </w:pPr>
    </w:p>
    <w:p w14:paraId="719BCE2C">
      <w:pPr>
        <w:spacing w:line="600" w:lineRule="exact"/>
        <w:ind w:firstLine="640"/>
        <w:rPr>
          <w:rFonts w:hint="eastAsia" w:ascii="仿宋_GB2312" w:hAnsi="仿宋_GB2312" w:eastAsia="仿宋_GB2312" w:cs="仿宋_GB2312"/>
          <w:sz w:val="32"/>
          <w:szCs w:val="32"/>
        </w:rPr>
      </w:pPr>
    </w:p>
    <w:p w14:paraId="6532C3A9">
      <w:pPr>
        <w:spacing w:line="600" w:lineRule="exact"/>
        <w:ind w:firstLine="640"/>
        <w:rPr>
          <w:rFonts w:hint="eastAsia" w:ascii="仿宋_GB2312" w:hAnsi="仿宋_GB2312" w:eastAsia="仿宋_GB2312" w:cs="仿宋_GB2312"/>
          <w:sz w:val="32"/>
          <w:szCs w:val="32"/>
        </w:rPr>
      </w:pPr>
    </w:p>
    <w:p w14:paraId="565961F4">
      <w:pPr>
        <w:spacing w:line="600" w:lineRule="exact"/>
        <w:ind w:firstLine="640"/>
        <w:rPr>
          <w:rFonts w:hint="eastAsia" w:ascii="仿宋_GB2312" w:hAnsi="仿宋_GB2312" w:eastAsia="仿宋_GB2312" w:cs="仿宋_GB2312"/>
          <w:sz w:val="32"/>
          <w:szCs w:val="32"/>
        </w:rPr>
      </w:pPr>
    </w:p>
    <w:p w14:paraId="139E8E56">
      <w:pPr>
        <w:spacing w:line="600" w:lineRule="exact"/>
        <w:ind w:firstLine="640"/>
        <w:rPr>
          <w:rFonts w:hint="eastAsia" w:ascii="仿宋_GB2312" w:hAnsi="仿宋_GB2312" w:eastAsia="仿宋_GB2312" w:cs="仿宋_GB2312"/>
          <w:sz w:val="32"/>
          <w:szCs w:val="32"/>
        </w:rPr>
      </w:pPr>
    </w:p>
    <w:p w14:paraId="09CD0448">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4550410" cy="2182495"/>
            <wp:effectExtent l="4445" t="4445" r="17145" b="2286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0C860B">
      <w:pPr>
        <w:spacing w:line="600" w:lineRule="exact"/>
        <w:rPr>
          <w:rFonts w:hint="eastAsia" w:eastAsia="楷体_GB2312" w:cs="楷体_GB2312"/>
          <w:b/>
          <w:sz w:val="32"/>
          <w:szCs w:val="32"/>
        </w:rPr>
      </w:pPr>
      <w:r>
        <w:rPr>
          <w:rFonts w:hint="eastAsia" w:eastAsia="仿宋_GB2312" w:cs="仿宋_GB2312"/>
          <w:sz w:val="32"/>
          <w:szCs w:val="32"/>
        </w:rPr>
        <w:t>（图5：一般公共预算财政拨款支出决算变动情况）（柱状图）</w:t>
      </w:r>
      <w:bookmarkStart w:id="23" w:name="_Toc15377211"/>
    </w:p>
    <w:p w14:paraId="452D622C">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（二）一般公共预算财政拨款支出决算结构情况</w:t>
      </w:r>
      <w:bookmarkEnd w:id="23"/>
    </w:p>
    <w:p w14:paraId="7E659EF9">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2024年度一般公共预算财政拨款支出2216.76万元，主要用于以下方面：一般公共服务支出</w:t>
      </w:r>
      <w:r>
        <w:rPr>
          <w:rFonts w:hint="eastAsia" w:ascii="仿宋_GB2312" w:hAnsi="仿宋_GB2312" w:eastAsia="仿宋_GB2312" w:cs="仿宋_GB2312"/>
          <w:sz w:val="32"/>
          <w:szCs w:val="32"/>
          <w:lang w:val="en-US" w:eastAsia="zh-CN"/>
        </w:rPr>
        <w:t>1876.39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84.6</w:t>
      </w:r>
      <w:r>
        <w:rPr>
          <w:rFonts w:hint="eastAsia" w:ascii="仿宋_GB2312" w:hAnsi="仿宋_GB2312" w:eastAsia="仿宋_GB2312" w:cs="仿宋_GB2312"/>
          <w:sz w:val="32"/>
          <w:szCs w:val="32"/>
        </w:rPr>
        <w:t>%；教育支出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%；科学技术支出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%；文化旅游体育与传媒支出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162.94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7.4</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69.45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107.98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10ADC889">
      <w:pPr>
        <w:spacing w:line="600" w:lineRule="exact"/>
        <w:rPr>
          <w:rFonts w:eastAsia="仿宋_GB2312" w:cs="仿宋_GB2312"/>
          <w:sz w:val="32"/>
          <w:szCs w:val="32"/>
        </w:rPr>
      </w:pPr>
      <w:r>
        <w:rPr>
          <w:rFonts w:hint="eastAsia" w:ascii="仿宋_GB2312" w:hAnsi="仿宋_GB2312" w:eastAsia="仿宋_GB2312" w:cs="仿宋_GB2312"/>
          <w:sz w:val="32"/>
          <w:szCs w:val="32"/>
          <w:lang w:eastAsia="zh-CN"/>
        </w:rPr>
        <w:drawing>
          <wp:anchor distT="0" distB="0" distL="114300" distR="114300" simplePos="0" relativeHeight="251662336" behindDoc="0" locked="0" layoutInCell="1" allowOverlap="1">
            <wp:simplePos x="0" y="0"/>
            <wp:positionH relativeFrom="column">
              <wp:posOffset>311785</wp:posOffset>
            </wp:positionH>
            <wp:positionV relativeFrom="paragraph">
              <wp:posOffset>114300</wp:posOffset>
            </wp:positionV>
            <wp:extent cx="4794885" cy="2146935"/>
            <wp:effectExtent l="4445" t="4445" r="20320" b="2032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eastAsia="仿宋_GB2312" w:cs="仿宋_GB2312"/>
          <w:sz w:val="32"/>
          <w:szCs w:val="32"/>
        </w:rPr>
        <w:t>（图6：一般公共预算财政拨款支出决算结构）（饼状图）</w:t>
      </w:r>
    </w:p>
    <w:p w14:paraId="290D4895">
      <w:pPr>
        <w:spacing w:line="600" w:lineRule="exact"/>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14:paraId="295E0127">
      <w:pPr>
        <w:spacing w:line="600" w:lineRule="exact"/>
        <w:ind w:firstLine="640"/>
        <w:rPr>
          <w:rFonts w:eastAsia="仿宋_GB2312" w:cs="仿宋_GB2312"/>
          <w:sz w:val="32"/>
          <w:szCs w:val="32"/>
        </w:rPr>
      </w:pPr>
      <w:bookmarkStart w:id="25" w:name="_Toc15378460"/>
      <w:bookmarkStart w:id="26" w:name="_Toc15377444"/>
      <w:bookmarkStart w:id="27"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2216.76，</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5"/>
      <w:bookmarkEnd w:id="26"/>
      <w:bookmarkEnd w:id="27"/>
    </w:p>
    <w:p w14:paraId="7ABCCB34">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1.一般公共服务（类）</w:t>
      </w:r>
      <w:r>
        <w:rPr>
          <w:rFonts w:hint="eastAsia" w:eastAsia="仿宋_GB2312" w:cs="仿宋_GB2312"/>
          <w:sz w:val="32"/>
          <w:szCs w:val="32"/>
          <w:lang w:val="en-US" w:eastAsia="zh-CN"/>
        </w:rPr>
        <w:t>204</w:t>
      </w:r>
      <w:r>
        <w:rPr>
          <w:rFonts w:hint="eastAsia" w:eastAsia="仿宋_GB2312" w:cs="仿宋_GB2312"/>
          <w:sz w:val="32"/>
          <w:szCs w:val="32"/>
        </w:rPr>
        <w:t>（款）</w:t>
      </w:r>
      <w:r>
        <w:rPr>
          <w:rFonts w:hint="eastAsia" w:eastAsia="仿宋_GB2312" w:cs="仿宋_GB2312"/>
          <w:sz w:val="32"/>
          <w:szCs w:val="32"/>
          <w:lang w:val="en-US" w:eastAsia="zh-CN"/>
        </w:rPr>
        <w:t>05</w:t>
      </w:r>
      <w:r>
        <w:rPr>
          <w:rFonts w:hint="eastAsia" w:eastAsia="仿宋_GB2312" w:cs="仿宋_GB2312"/>
          <w:sz w:val="32"/>
          <w:szCs w:val="32"/>
        </w:rPr>
        <w:t>（项）：支出决算为</w:t>
      </w:r>
      <w:r>
        <w:rPr>
          <w:rFonts w:hint="eastAsia" w:eastAsia="仿宋_GB2312" w:cs="仿宋_GB2312"/>
          <w:sz w:val="32"/>
          <w:szCs w:val="32"/>
          <w:lang w:val="en-US" w:eastAsia="zh-CN"/>
        </w:rPr>
        <w:t>1876.39</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125F3A31">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2.社会保障和就业（类）</w:t>
      </w:r>
      <w:r>
        <w:rPr>
          <w:rFonts w:hint="eastAsia" w:eastAsia="仿宋_GB2312" w:cs="仿宋_GB2312"/>
          <w:sz w:val="32"/>
          <w:szCs w:val="32"/>
          <w:lang w:val="en-US" w:eastAsia="zh-CN"/>
        </w:rPr>
        <w:t>208</w:t>
      </w:r>
      <w:r>
        <w:rPr>
          <w:rFonts w:hint="eastAsia" w:eastAsia="仿宋_GB2312" w:cs="仿宋_GB2312"/>
          <w:sz w:val="32"/>
          <w:szCs w:val="32"/>
        </w:rPr>
        <w:t>（款）</w:t>
      </w:r>
      <w:r>
        <w:rPr>
          <w:rFonts w:hint="eastAsia" w:eastAsia="仿宋_GB2312" w:cs="仿宋_GB2312"/>
          <w:sz w:val="32"/>
          <w:szCs w:val="32"/>
          <w:lang w:val="en-US" w:eastAsia="zh-CN"/>
        </w:rPr>
        <w:t>05</w:t>
      </w:r>
      <w:r>
        <w:rPr>
          <w:rFonts w:hint="eastAsia" w:eastAsia="仿宋_GB2312" w:cs="仿宋_GB2312"/>
          <w:sz w:val="32"/>
          <w:szCs w:val="32"/>
        </w:rPr>
        <w:t>（项）：支出决算为</w:t>
      </w:r>
      <w:r>
        <w:rPr>
          <w:rFonts w:hint="eastAsia" w:eastAsia="仿宋_GB2312" w:cs="仿宋_GB2312"/>
          <w:sz w:val="32"/>
          <w:szCs w:val="32"/>
          <w:lang w:val="en-US" w:eastAsia="zh-CN"/>
        </w:rPr>
        <w:t>162.94</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6D485EED">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3</w:t>
      </w:r>
      <w:r>
        <w:rPr>
          <w:rFonts w:hint="eastAsia" w:eastAsia="仿宋_GB2312" w:cs="仿宋_GB2312"/>
          <w:sz w:val="32"/>
          <w:szCs w:val="32"/>
        </w:rPr>
        <w:t>.卫生健康（类）</w:t>
      </w:r>
      <w:r>
        <w:rPr>
          <w:rFonts w:hint="eastAsia" w:eastAsia="仿宋_GB2312" w:cs="仿宋_GB2312"/>
          <w:sz w:val="32"/>
          <w:szCs w:val="32"/>
          <w:lang w:val="en-US" w:eastAsia="zh-CN"/>
        </w:rPr>
        <w:t>210</w:t>
      </w:r>
      <w:r>
        <w:rPr>
          <w:rFonts w:hint="eastAsia" w:eastAsia="仿宋_GB2312" w:cs="仿宋_GB2312"/>
          <w:sz w:val="32"/>
          <w:szCs w:val="32"/>
        </w:rPr>
        <w:t>（款）</w:t>
      </w:r>
      <w:r>
        <w:rPr>
          <w:rFonts w:hint="eastAsia" w:eastAsia="仿宋_GB2312" w:cs="仿宋_GB2312"/>
          <w:sz w:val="32"/>
          <w:szCs w:val="32"/>
          <w:lang w:val="en-US" w:eastAsia="zh-CN"/>
        </w:rPr>
        <w:t>11</w:t>
      </w:r>
      <w:r>
        <w:rPr>
          <w:rFonts w:hint="eastAsia" w:eastAsia="仿宋_GB2312" w:cs="仿宋_GB2312"/>
          <w:sz w:val="32"/>
          <w:szCs w:val="32"/>
        </w:rPr>
        <w:t>（项）：支出决算为</w:t>
      </w:r>
      <w:r>
        <w:rPr>
          <w:rFonts w:hint="eastAsia" w:eastAsia="仿宋_GB2312" w:cs="仿宋_GB2312"/>
          <w:sz w:val="32"/>
          <w:szCs w:val="32"/>
          <w:lang w:val="en-US" w:eastAsia="zh-CN"/>
        </w:rPr>
        <w:t>69.45</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0D4E5E75">
      <w:pPr>
        <w:spacing w:line="600" w:lineRule="exact"/>
        <w:ind w:firstLine="640"/>
        <w:rPr>
          <w:rFonts w:hint="eastAsia" w:eastAsia="仿宋_GB2312" w:cs="仿宋_GB2312"/>
          <w:sz w:val="32"/>
          <w:szCs w:val="32"/>
        </w:rPr>
      </w:pPr>
      <w:r>
        <w:rPr>
          <w:rFonts w:hint="eastAsia" w:eastAsia="仿宋_GB2312" w:cs="仿宋_GB2312"/>
          <w:sz w:val="32"/>
          <w:szCs w:val="32"/>
        </w:rPr>
        <w:t>4.住房保障（类）221（款）02（项）:支出决算为1</w:t>
      </w:r>
      <w:r>
        <w:rPr>
          <w:rFonts w:hint="eastAsia" w:eastAsia="仿宋_GB2312" w:cs="仿宋_GB2312"/>
          <w:sz w:val="32"/>
          <w:szCs w:val="32"/>
          <w:lang w:val="en-US" w:eastAsia="zh-CN"/>
        </w:rPr>
        <w:t>07.98</w:t>
      </w:r>
      <w:r>
        <w:rPr>
          <w:rFonts w:hint="eastAsia" w:eastAsia="仿宋_GB2312" w:cs="仿宋_GB2312"/>
          <w:sz w:val="32"/>
          <w:szCs w:val="32"/>
        </w:rPr>
        <w:t>万元，完成预算100%，决算数等于预算数。</w:t>
      </w:r>
    </w:p>
    <w:p w14:paraId="7707DB38">
      <w:pPr>
        <w:spacing w:line="600" w:lineRule="exact"/>
        <w:ind w:firstLine="640"/>
        <w:rPr>
          <w:rFonts w:eastAsia="仿宋_GB2312" w:cs="仿宋_GB2312"/>
          <w:sz w:val="32"/>
          <w:szCs w:val="32"/>
        </w:rPr>
      </w:pPr>
    </w:p>
    <w:p w14:paraId="62284063">
      <w:pPr>
        <w:tabs>
          <w:tab w:val="right" w:pos="8306"/>
        </w:tabs>
        <w:spacing w:line="600" w:lineRule="exact"/>
        <w:ind w:firstLine="640"/>
        <w:outlineLvl w:val="1"/>
        <w:rPr>
          <w:rStyle w:val="15"/>
          <w:rFonts w:ascii="Times New Roman" w:hAnsi="Times New Roman"/>
        </w:rPr>
      </w:pPr>
      <w:bookmarkStart w:id="28" w:name="_Toc15396608"/>
      <w:bookmarkStart w:id="29" w:name="_Toc15377214"/>
      <w:r>
        <w:rPr>
          <w:rFonts w:hint="eastAsia" w:eastAsia="黑体"/>
          <w:sz w:val="32"/>
          <w:szCs w:val="32"/>
        </w:rPr>
        <w:t>六</w:t>
      </w:r>
      <w:r>
        <w:rPr>
          <w:rFonts w:hint="eastAsia" w:eastAsia="黑体"/>
          <w:b/>
          <w:sz w:val="32"/>
          <w:szCs w:val="32"/>
        </w:rPr>
        <w:t>、一</w:t>
      </w:r>
      <w:r>
        <w:rPr>
          <w:rStyle w:val="15"/>
          <w:rFonts w:hint="eastAsia" w:ascii="Times New Roman" w:hAnsi="Times New Roman" w:eastAsia="黑体"/>
          <w:b w:val="0"/>
        </w:rPr>
        <w:t>般公共预算财政拨款基本支出决算情况说明</w:t>
      </w:r>
      <w:bookmarkEnd w:id="28"/>
      <w:bookmarkEnd w:id="29"/>
      <w:r>
        <w:rPr>
          <w:rStyle w:val="15"/>
          <w:rFonts w:ascii="Times New Roman" w:hAnsi="Times New Roman" w:eastAsia="黑体"/>
          <w:b w:val="0"/>
        </w:rPr>
        <w:tab/>
      </w:r>
    </w:p>
    <w:p w14:paraId="6DFB2279">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1180.2万</w:t>
      </w:r>
      <w:r>
        <w:rPr>
          <w:rFonts w:hint="eastAsia" w:eastAsia="仿宋_GB2312" w:cs="仿宋_GB2312"/>
          <w:sz w:val="32"/>
          <w:szCs w:val="32"/>
        </w:rPr>
        <w:t>元，其中：</w:t>
      </w:r>
    </w:p>
    <w:p w14:paraId="388F9BC3">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1036.94万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143.2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印刷费、咨询费、手续费、水费、电费、邮电费、取暖费、物业管理费、差旅费、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65F3726">
      <w:pPr>
        <w:spacing w:line="600" w:lineRule="exact"/>
        <w:rPr>
          <w:rFonts w:eastAsia="仿宋_GB2312" w:cs="仿宋_GB2312"/>
          <w:sz w:val="32"/>
          <w:szCs w:val="32"/>
        </w:rPr>
      </w:pPr>
    </w:p>
    <w:p w14:paraId="5D728565">
      <w:pPr>
        <w:spacing w:line="600" w:lineRule="exact"/>
        <w:ind w:firstLine="640"/>
        <w:outlineLvl w:val="1"/>
        <w:rPr>
          <w:rStyle w:val="15"/>
          <w:rFonts w:ascii="Times New Roman" w:hAnsi="Times New Roman" w:eastAsia="黑体"/>
          <w:b w:val="0"/>
        </w:rPr>
      </w:pPr>
      <w:bookmarkStart w:id="30" w:name="_Toc15377215"/>
      <w:bookmarkStart w:id="31" w:name="_Toc15396609"/>
      <w:r>
        <w:rPr>
          <w:rFonts w:hint="eastAsia" w:eastAsia="黑体"/>
          <w:sz w:val="32"/>
          <w:szCs w:val="32"/>
        </w:rPr>
        <w:t>七、</w:t>
      </w:r>
      <w:r>
        <w:rPr>
          <w:rStyle w:val="15"/>
          <w:rFonts w:hint="eastAsia" w:ascii="Times New Roman" w:hAnsi="Times New Roman" w:eastAsia="黑体"/>
          <w:b w:val="0"/>
        </w:rPr>
        <w:t>财政拨款</w:t>
      </w:r>
      <w:r>
        <w:rPr>
          <w:rStyle w:val="15"/>
          <w:rFonts w:hint="eastAsia" w:ascii="Times New Roman" w:hAnsi="Times New Roman" w:eastAsia="黑体"/>
        </w:rPr>
        <w:t>“</w:t>
      </w:r>
      <w:r>
        <w:rPr>
          <w:rStyle w:val="15"/>
          <w:rFonts w:hint="eastAsia" w:ascii="Times New Roman" w:hAnsi="Times New Roman" w:eastAsia="黑体"/>
          <w:b w:val="0"/>
        </w:rPr>
        <w:t>三公”经费支出决算情况说明</w:t>
      </w:r>
      <w:bookmarkEnd w:id="30"/>
      <w:bookmarkEnd w:id="31"/>
    </w:p>
    <w:p w14:paraId="61B427A1">
      <w:pPr>
        <w:spacing w:line="600" w:lineRule="exact"/>
        <w:ind w:firstLine="643"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14:paraId="098D783A">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46.03万元，完成预算38%，</w:t>
      </w:r>
      <w:r>
        <w:rPr>
          <w:rFonts w:hint="eastAsia" w:eastAsia="仿宋_GB2312" w:cs="仿宋_GB2312"/>
          <w:sz w:val="32"/>
          <w:szCs w:val="32"/>
        </w:rPr>
        <w:t>较上年度增加</w:t>
      </w:r>
      <w:r>
        <w:rPr>
          <w:rFonts w:hint="eastAsia" w:eastAsia="仿宋_GB2312" w:cs="仿宋_GB2312"/>
          <w:sz w:val="32"/>
          <w:szCs w:val="32"/>
          <w:lang w:val="en-US" w:eastAsia="zh-CN"/>
        </w:rPr>
        <w:t>16.66</w:t>
      </w:r>
      <w:r>
        <w:rPr>
          <w:rFonts w:hint="eastAsia" w:eastAsia="仿宋_GB2312" w:cs="仿宋_GB2312"/>
          <w:sz w:val="32"/>
          <w:szCs w:val="32"/>
        </w:rPr>
        <w:t>万元，增长</w:t>
      </w:r>
      <w:r>
        <w:rPr>
          <w:rFonts w:hint="eastAsia" w:eastAsia="仿宋_GB2312" w:cs="仿宋_GB2312"/>
          <w:sz w:val="32"/>
          <w:szCs w:val="32"/>
          <w:lang w:val="en-US" w:eastAsia="zh-CN"/>
        </w:rPr>
        <w:t>56.7</w:t>
      </w:r>
      <w:r>
        <w:rPr>
          <w:rFonts w:hint="eastAsia" w:eastAsia="仿宋_GB2312" w:cs="仿宋_GB2312"/>
          <w:sz w:val="32"/>
          <w:szCs w:val="32"/>
        </w:rPr>
        <w:t>%。决算数小于预算数的主要原因是</w:t>
      </w:r>
      <w:r>
        <w:rPr>
          <w:rFonts w:hint="eastAsia" w:eastAsia="仿宋_GB2312" w:cs="仿宋_GB2312"/>
          <w:sz w:val="32"/>
          <w:szCs w:val="32"/>
          <w:lang w:val="en-US" w:eastAsia="zh-CN"/>
        </w:rPr>
        <w:t>2024年装备计划批复购置3辆执法执勤车，实际只购置了1辆，故决算数小于预算数。</w:t>
      </w:r>
    </w:p>
    <w:p w14:paraId="55D35029">
      <w:pPr>
        <w:spacing w:line="600" w:lineRule="exact"/>
        <w:ind w:firstLine="643"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14:paraId="6F0EA647">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%；公务用车购置及运行维护费支出决算43.96万元，占</w:t>
      </w:r>
      <w:r>
        <w:rPr>
          <w:rFonts w:hint="eastAsia" w:ascii="仿宋_GB2312" w:hAnsi="仿宋_GB2312" w:eastAsia="仿宋_GB2312" w:cs="仿宋_GB2312"/>
          <w:sz w:val="32"/>
          <w:szCs w:val="32"/>
          <w:lang w:val="en-US" w:eastAsia="zh-CN"/>
        </w:rPr>
        <w:t>95.5</w:t>
      </w:r>
      <w:r>
        <w:rPr>
          <w:rFonts w:hint="eastAsia" w:ascii="仿宋_GB2312" w:hAnsi="仿宋_GB2312" w:eastAsia="仿宋_GB2312" w:cs="仿宋_GB2312"/>
          <w:sz w:val="32"/>
          <w:szCs w:val="32"/>
        </w:rPr>
        <w:t>%；公务接待费支出决算2.07万元，占</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%。具体情况如下：</w:t>
      </w:r>
    </w:p>
    <w:p w14:paraId="3159DC83">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drawing>
          <wp:inline distT="0" distB="0" distL="114300" distR="114300">
            <wp:extent cx="4034790" cy="1840865"/>
            <wp:effectExtent l="4445" t="4445" r="18415" b="2159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26780DE">
      <w:pPr>
        <w:spacing w:line="600" w:lineRule="exact"/>
        <w:ind w:firstLine="320" w:firstLineChars="100"/>
        <w:rPr>
          <w:rFonts w:eastAsia="仿宋_GB2312" w:cs="仿宋_GB2312"/>
          <w:sz w:val="32"/>
          <w:szCs w:val="32"/>
        </w:rPr>
      </w:pPr>
      <w:r>
        <w:rPr>
          <w:rFonts w:hint="eastAsia" w:eastAsia="仿宋_GB2312" w:cs="仿宋_GB2312"/>
          <w:sz w:val="32"/>
          <w:szCs w:val="32"/>
        </w:rPr>
        <w:t>（图7：“三公”经费财政拨款支出结构）（饼状图）</w:t>
      </w:r>
    </w:p>
    <w:p w14:paraId="64FCC412">
      <w:pPr>
        <w:spacing w:line="600" w:lineRule="exact"/>
        <w:ind w:firstLine="640"/>
        <w:rPr>
          <w:rFonts w:ascii="仿宋_GB2312" w:eastAsia="仿宋_GB2312"/>
          <w:b/>
          <w:sz w:val="32"/>
          <w:szCs w:val="32"/>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w:t>
      </w:r>
      <w:r>
        <w:rPr>
          <w:rFonts w:hint="eastAsia" w:ascii="仿宋_GB2312" w:eastAsia="仿宋_GB2312"/>
          <w:sz w:val="32"/>
          <w:szCs w:val="32"/>
        </w:rPr>
        <w:t>因公出国（境）支出决算与202</w:t>
      </w:r>
      <w:r>
        <w:rPr>
          <w:rFonts w:hint="eastAsia" w:ascii="仿宋_GB2312" w:eastAsia="仿宋_GB2312"/>
          <w:sz w:val="32"/>
          <w:szCs w:val="32"/>
          <w:lang w:val="en-US" w:eastAsia="zh-CN"/>
        </w:rPr>
        <w:t>3</w:t>
      </w:r>
      <w:r>
        <w:rPr>
          <w:rFonts w:hint="eastAsia" w:ascii="仿宋_GB2312" w:eastAsia="仿宋_GB2312"/>
          <w:sz w:val="32"/>
          <w:szCs w:val="32"/>
        </w:rPr>
        <w:t>年度持平。</w:t>
      </w:r>
    </w:p>
    <w:p w14:paraId="147A26CB">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43.96万</w:t>
      </w:r>
      <w:r>
        <w:rPr>
          <w:rFonts w:hint="eastAsia" w:eastAsia="仿宋_GB2312" w:cs="仿宋_GB2312"/>
          <w:b/>
          <w:bCs/>
          <w:sz w:val="32"/>
          <w:szCs w:val="32"/>
        </w:rPr>
        <w:t>元，完成预算</w:t>
      </w:r>
      <w:r>
        <w:rPr>
          <w:rFonts w:hint="eastAsia" w:eastAsia="仿宋_GB2312" w:cs="仿宋_GB2312"/>
          <w:b/>
          <w:bCs/>
          <w:sz w:val="32"/>
          <w:szCs w:val="32"/>
          <w:lang w:val="en-US" w:eastAsia="zh-CN"/>
        </w:rPr>
        <w:t>38</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公务用车购置及运行维护费支出决算比2023年度增加</w:t>
      </w:r>
      <w:r>
        <w:rPr>
          <w:rFonts w:hint="eastAsia" w:eastAsia="仿宋_GB2312" w:cs="仿宋_GB2312"/>
          <w:sz w:val="32"/>
          <w:szCs w:val="32"/>
          <w:lang w:val="en-US" w:eastAsia="zh-CN"/>
        </w:rPr>
        <w:t>16.66</w:t>
      </w:r>
      <w:r>
        <w:rPr>
          <w:rFonts w:hint="eastAsia" w:eastAsia="仿宋_GB2312" w:cs="仿宋_GB2312"/>
          <w:sz w:val="32"/>
          <w:szCs w:val="32"/>
        </w:rPr>
        <w:t>万元，增长</w:t>
      </w:r>
      <w:r>
        <w:rPr>
          <w:rFonts w:hint="eastAsia" w:eastAsia="仿宋_GB2312" w:cs="仿宋_GB2312"/>
          <w:sz w:val="32"/>
          <w:szCs w:val="32"/>
          <w:lang w:val="en-US" w:eastAsia="zh-CN"/>
        </w:rPr>
        <w:t>56.7</w:t>
      </w:r>
      <w:r>
        <w:rPr>
          <w:rFonts w:hint="eastAsia" w:eastAsia="仿宋_GB2312" w:cs="仿宋_GB2312"/>
          <w:sz w:val="32"/>
          <w:szCs w:val="32"/>
        </w:rPr>
        <w:t>%。主要原因是</w:t>
      </w:r>
      <w:r>
        <w:rPr>
          <w:rFonts w:hint="eastAsia" w:eastAsia="仿宋_GB2312" w:cs="仿宋_GB2312"/>
          <w:sz w:val="32"/>
          <w:szCs w:val="32"/>
          <w:lang w:val="en-US" w:eastAsia="zh-CN"/>
        </w:rPr>
        <w:t>2024年购置了1辆执法执勤车，故2024年</w:t>
      </w:r>
      <w:r>
        <w:rPr>
          <w:rFonts w:hint="eastAsia" w:eastAsia="仿宋_GB2312" w:cs="仿宋_GB2312"/>
          <w:sz w:val="32"/>
          <w:szCs w:val="32"/>
        </w:rPr>
        <w:t>公务用车购置</w:t>
      </w:r>
      <w:r>
        <w:rPr>
          <w:rFonts w:hint="eastAsia" w:eastAsia="仿宋_GB2312" w:cs="仿宋_GB2312"/>
          <w:sz w:val="32"/>
          <w:szCs w:val="32"/>
          <w:lang w:val="en-US" w:eastAsia="zh-CN"/>
        </w:rPr>
        <w:t>费较2023年增加。</w:t>
      </w:r>
    </w:p>
    <w:p w14:paraId="173EA3B4">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出23.5</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3</w:t>
      </w:r>
      <w:r>
        <w:rPr>
          <w:rFonts w:hint="eastAsia" w:eastAsia="仿宋_GB2312" w:cs="仿宋_GB2312"/>
          <w:sz w:val="32"/>
          <w:szCs w:val="32"/>
        </w:rPr>
        <w:t>辆，其中：越野车</w:t>
      </w:r>
      <w:r>
        <w:rPr>
          <w:rFonts w:hint="eastAsia" w:eastAsia="仿宋_GB2312" w:cs="仿宋_GB2312"/>
          <w:sz w:val="32"/>
          <w:szCs w:val="32"/>
          <w:lang w:val="en-US" w:eastAsia="zh-CN"/>
        </w:rPr>
        <w:t>3</w:t>
      </w:r>
      <w:r>
        <w:rPr>
          <w:rFonts w:hint="eastAsia" w:eastAsia="仿宋_GB2312" w:cs="仿宋_GB2312"/>
          <w:sz w:val="32"/>
          <w:szCs w:val="32"/>
        </w:rPr>
        <w:t>辆、金额</w:t>
      </w:r>
      <w:r>
        <w:rPr>
          <w:rFonts w:hint="eastAsia" w:eastAsia="仿宋_GB2312" w:cs="仿宋_GB2312"/>
          <w:sz w:val="32"/>
          <w:szCs w:val="32"/>
          <w:lang w:val="en-US" w:eastAsia="zh-CN"/>
        </w:rPr>
        <w:t>75</w:t>
      </w:r>
      <w:r>
        <w:rPr>
          <w:rFonts w:hint="eastAsia" w:eastAsia="仿宋_GB2312" w:cs="仿宋_GB2312"/>
          <w:sz w:val="32"/>
          <w:szCs w:val="32"/>
        </w:rPr>
        <w:t>万元，主要用于</w:t>
      </w:r>
      <w:r>
        <w:rPr>
          <w:rFonts w:hint="eastAsia" w:eastAsia="仿宋_GB2312" w:cs="仿宋_GB2312"/>
          <w:sz w:val="32"/>
          <w:szCs w:val="32"/>
          <w:lang w:val="en-US" w:eastAsia="zh-CN"/>
        </w:rPr>
        <w:t>保障法院司法活动的顺利开展</w:t>
      </w:r>
      <w:r>
        <w:rPr>
          <w:rFonts w:hint="eastAsia" w:eastAsia="仿宋_GB2312" w:cs="仿宋_GB2312"/>
          <w:sz w:val="32"/>
          <w:szCs w:val="32"/>
        </w:rPr>
        <w:t>。截至2024年12月31日，单位共有公务用车</w:t>
      </w:r>
      <w:r>
        <w:rPr>
          <w:rFonts w:hint="eastAsia" w:eastAsia="仿宋_GB2312" w:cs="仿宋_GB2312"/>
          <w:sz w:val="32"/>
          <w:szCs w:val="32"/>
          <w:lang w:val="en-US" w:eastAsia="zh-CN"/>
        </w:rPr>
        <w:t>14</w:t>
      </w:r>
      <w:r>
        <w:rPr>
          <w:rFonts w:hint="eastAsia" w:eastAsia="仿宋_GB2312" w:cs="仿宋_GB2312"/>
          <w:sz w:val="32"/>
          <w:szCs w:val="32"/>
        </w:rPr>
        <w:t>辆，其中：轿车</w:t>
      </w:r>
      <w:r>
        <w:rPr>
          <w:rFonts w:hint="eastAsia" w:eastAsia="仿宋_GB2312" w:cs="仿宋_GB2312"/>
          <w:sz w:val="32"/>
          <w:szCs w:val="32"/>
          <w:lang w:val="en-US" w:eastAsia="zh-CN"/>
        </w:rPr>
        <w:t>2</w:t>
      </w:r>
      <w:r>
        <w:rPr>
          <w:rFonts w:hint="eastAsia" w:eastAsia="仿宋_GB2312" w:cs="仿宋_GB2312"/>
          <w:sz w:val="32"/>
          <w:szCs w:val="32"/>
        </w:rPr>
        <w:t>辆、越野车</w:t>
      </w:r>
      <w:r>
        <w:rPr>
          <w:rFonts w:hint="eastAsia" w:eastAsia="仿宋_GB2312" w:cs="仿宋_GB2312"/>
          <w:sz w:val="32"/>
          <w:szCs w:val="32"/>
          <w:lang w:val="en-US" w:eastAsia="zh-CN"/>
        </w:rPr>
        <w:t>10</w:t>
      </w:r>
      <w:r>
        <w:rPr>
          <w:rFonts w:hint="eastAsia" w:eastAsia="仿宋_GB2312" w:cs="仿宋_GB2312"/>
          <w:sz w:val="32"/>
          <w:szCs w:val="32"/>
        </w:rPr>
        <w:t>辆、载客汽车</w:t>
      </w:r>
      <w:r>
        <w:rPr>
          <w:rFonts w:hint="eastAsia" w:eastAsia="仿宋_GB2312" w:cs="仿宋_GB2312"/>
          <w:sz w:val="32"/>
          <w:szCs w:val="32"/>
          <w:lang w:val="en-US" w:eastAsia="zh-CN"/>
        </w:rPr>
        <w:t>2</w:t>
      </w:r>
      <w:r>
        <w:rPr>
          <w:rFonts w:hint="eastAsia" w:eastAsia="仿宋_GB2312" w:cs="仿宋_GB2312"/>
          <w:sz w:val="32"/>
          <w:szCs w:val="32"/>
        </w:rPr>
        <w:t>辆。</w:t>
      </w:r>
    </w:p>
    <w:p w14:paraId="6C64164B">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出20.46</w:t>
      </w:r>
      <w:r>
        <w:rPr>
          <w:rFonts w:hint="eastAsia" w:eastAsia="仿宋_GB2312" w:cs="仿宋_GB2312"/>
          <w:sz w:val="32"/>
          <w:szCs w:val="32"/>
        </w:rPr>
        <w:t>万元。主要用于</w:t>
      </w:r>
      <w:r>
        <w:rPr>
          <w:rFonts w:hint="eastAsia" w:eastAsia="仿宋_GB2312" w:cs="仿宋_GB2312"/>
          <w:sz w:val="32"/>
          <w:szCs w:val="32"/>
          <w:lang w:val="en-US" w:eastAsia="zh-CN"/>
        </w:rPr>
        <w:t>法院审判业务工作</w:t>
      </w:r>
      <w:r>
        <w:rPr>
          <w:rFonts w:hint="eastAsia" w:eastAsia="仿宋_GB2312" w:cs="仿宋_GB2312"/>
          <w:sz w:val="32"/>
          <w:szCs w:val="32"/>
        </w:rPr>
        <w:t>所需的公务用车燃料费、维修费、过路过桥费、保险费等支出。</w:t>
      </w:r>
    </w:p>
    <w:p w14:paraId="2FEF3C31">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2.07万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w:t>
      </w:r>
      <w:r>
        <w:rPr>
          <w:rFonts w:hint="eastAsia" w:eastAsia="仿宋_GB2312" w:cs="仿宋_GB2312"/>
          <w:sz w:val="32"/>
          <w:szCs w:val="32"/>
          <w:lang w:val="en-US" w:eastAsia="zh-CN"/>
        </w:rPr>
        <w:t>较</w:t>
      </w:r>
      <w:r>
        <w:rPr>
          <w:rFonts w:hint="eastAsia" w:eastAsia="仿宋_GB2312" w:cs="仿宋_GB2312"/>
          <w:sz w:val="32"/>
          <w:szCs w:val="32"/>
        </w:rPr>
        <w:t>2023年度</w:t>
      </w:r>
      <w:r>
        <w:rPr>
          <w:rFonts w:hint="eastAsia" w:ascii="仿宋_GB2312" w:eastAsia="仿宋_GB2312"/>
          <w:sz w:val="32"/>
          <w:szCs w:val="32"/>
        </w:rPr>
        <w:t>持平</w:t>
      </w:r>
      <w:r>
        <w:rPr>
          <w:rFonts w:hint="eastAsia" w:eastAsia="仿宋_GB2312" w:cs="仿宋_GB2312"/>
          <w:sz w:val="32"/>
          <w:szCs w:val="32"/>
        </w:rPr>
        <w:t>。其中：</w:t>
      </w:r>
    </w:p>
    <w:p w14:paraId="5665EF03">
      <w:pPr>
        <w:spacing w:line="600" w:lineRule="exact"/>
        <w:ind w:firstLine="640"/>
        <w:rPr>
          <w:rFonts w:hint="eastAsia" w:ascii="仿宋_GB2312" w:eastAsia="仿宋_GB2312"/>
          <w:sz w:val="32"/>
          <w:szCs w:val="32"/>
          <w:lang w:val="en-US" w:eastAsia="zh-CN"/>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出2.07万</w:t>
      </w:r>
      <w:r>
        <w:rPr>
          <w:rFonts w:hint="eastAsia" w:eastAsia="仿宋_GB2312" w:cs="仿宋_GB2312"/>
          <w:sz w:val="32"/>
          <w:szCs w:val="32"/>
        </w:rPr>
        <w:t>元，主要用于</w:t>
      </w:r>
      <w:r>
        <w:rPr>
          <w:rFonts w:hint="eastAsia" w:eastAsia="仿宋_GB2312" w:cs="仿宋_GB2312"/>
          <w:sz w:val="32"/>
          <w:szCs w:val="32"/>
          <w:lang w:val="en-US" w:eastAsia="zh-CN"/>
        </w:rPr>
        <w:t>法院</w:t>
      </w:r>
      <w:r>
        <w:rPr>
          <w:rFonts w:hint="eastAsia" w:eastAsia="仿宋_GB2312" w:cs="仿宋_GB2312"/>
          <w:sz w:val="32"/>
          <w:szCs w:val="32"/>
        </w:rPr>
        <w:t>执行公务、开展业务活动开支的用餐费。国内公务接</w:t>
      </w:r>
      <w:r>
        <w:rPr>
          <w:rFonts w:hint="eastAsia" w:ascii="仿宋_GB2312" w:hAnsi="仿宋_GB2312" w:eastAsia="仿宋_GB2312" w:cs="仿宋_GB2312"/>
          <w:sz w:val="32"/>
          <w:szCs w:val="32"/>
        </w:rPr>
        <w:t>待25批次，259</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2.07</w:t>
      </w:r>
      <w:r>
        <w:rPr>
          <w:rFonts w:hint="eastAsia" w:eastAsia="仿宋_GB2312" w:cs="仿宋_GB2312"/>
          <w:sz w:val="32"/>
          <w:szCs w:val="32"/>
        </w:rPr>
        <w:t>万元，具体内容包括：</w:t>
      </w:r>
      <w:r>
        <w:rPr>
          <w:rFonts w:hint="eastAsia" w:ascii="仿宋_GB2312" w:eastAsia="仿宋_GB2312"/>
          <w:sz w:val="32"/>
          <w:szCs w:val="32"/>
        </w:rPr>
        <w:t>对口业务工作交流，</w:t>
      </w:r>
      <w:r>
        <w:rPr>
          <w:rFonts w:hint="eastAsia" w:ascii="仿宋_GB2312" w:eastAsia="仿宋_GB2312"/>
          <w:sz w:val="32"/>
          <w:szCs w:val="32"/>
          <w:lang w:val="en-US" w:eastAsia="zh-CN"/>
        </w:rPr>
        <w:t>0.65</w:t>
      </w:r>
      <w:r>
        <w:rPr>
          <w:rFonts w:hint="eastAsia" w:ascii="仿宋_GB2312" w:eastAsia="仿宋_GB2312"/>
          <w:sz w:val="32"/>
          <w:szCs w:val="32"/>
        </w:rPr>
        <w:t>万元；上级法院指导开展审判工作</w:t>
      </w:r>
      <w:r>
        <w:rPr>
          <w:rFonts w:hint="eastAsia" w:ascii="仿宋_GB2312" w:eastAsia="仿宋_GB2312"/>
          <w:sz w:val="32"/>
          <w:szCs w:val="32"/>
          <w:lang w:val="en-US" w:eastAsia="zh-CN"/>
        </w:rPr>
        <w:t>0.52</w:t>
      </w:r>
      <w:r>
        <w:rPr>
          <w:rFonts w:hint="eastAsia" w:ascii="仿宋_GB2312" w:eastAsia="仿宋_GB2312"/>
          <w:sz w:val="32"/>
          <w:szCs w:val="32"/>
        </w:rPr>
        <w:t>万元；开展案件督查调研工作</w:t>
      </w:r>
      <w:r>
        <w:rPr>
          <w:rFonts w:hint="eastAsia" w:ascii="仿宋_GB2312" w:eastAsia="仿宋_GB2312"/>
          <w:sz w:val="32"/>
          <w:szCs w:val="32"/>
          <w:lang w:val="en-US" w:eastAsia="zh-CN"/>
        </w:rPr>
        <w:t>0.44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开展案件办理工作（主要为调警办案）0.46</w:t>
      </w:r>
      <w:r>
        <w:rPr>
          <w:rFonts w:hint="eastAsia" w:ascii="仿宋_GB2312" w:eastAsia="仿宋_GB2312"/>
          <w:sz w:val="32"/>
          <w:szCs w:val="32"/>
        </w:rPr>
        <w:t>万元</w:t>
      </w:r>
      <w:r>
        <w:rPr>
          <w:rFonts w:hint="eastAsia" w:ascii="仿宋_GB2312" w:eastAsia="仿宋_GB2312"/>
          <w:sz w:val="32"/>
          <w:szCs w:val="32"/>
          <w:lang w:eastAsia="zh-CN"/>
        </w:rPr>
        <w:t>。</w:t>
      </w:r>
    </w:p>
    <w:p w14:paraId="47370A6B">
      <w:pPr>
        <w:spacing w:line="600" w:lineRule="exact"/>
        <w:ind w:firstLine="640"/>
        <w:rPr>
          <w:rFonts w:hint="eastAsia" w:ascii="仿宋_GB2312" w:eastAsia="仿宋_GB2312"/>
          <w:sz w:val="32"/>
          <w:szCs w:val="32"/>
        </w:rPr>
      </w:pPr>
      <w:r>
        <w:rPr>
          <w:rFonts w:hint="eastAsia" w:ascii="仿宋_GB2312" w:eastAsia="仿宋_GB2312"/>
          <w:sz w:val="32"/>
          <w:szCs w:val="32"/>
        </w:rPr>
        <w:t>外事接待支出0万元，我院不存在外事接待。</w:t>
      </w:r>
    </w:p>
    <w:p w14:paraId="4D6CCABA">
      <w:pPr>
        <w:spacing w:line="600" w:lineRule="exact"/>
        <w:ind w:firstLine="640"/>
        <w:rPr>
          <w:rFonts w:eastAsia="仿宋_GB2312" w:cs="仿宋_GB2312"/>
          <w:sz w:val="32"/>
          <w:szCs w:val="32"/>
        </w:rPr>
      </w:pPr>
      <w:bookmarkStart w:id="34" w:name="_Toc15377218"/>
      <w:bookmarkStart w:id="35" w:name="_Toc15396610"/>
    </w:p>
    <w:p w14:paraId="3F96AE06">
      <w:pPr>
        <w:spacing w:line="600" w:lineRule="exact"/>
        <w:ind w:firstLine="640"/>
        <w:outlineLvl w:val="1"/>
        <w:rPr>
          <w:rStyle w:val="15"/>
          <w:rFonts w:ascii="Times New Roman" w:hAnsi="Times New Roman" w:eastAsia="黑体"/>
        </w:rPr>
      </w:pPr>
      <w:r>
        <w:rPr>
          <w:rFonts w:hint="eastAsia" w:eastAsia="黑体"/>
          <w:sz w:val="32"/>
          <w:szCs w:val="32"/>
        </w:rPr>
        <w:t>八、</w:t>
      </w:r>
      <w:r>
        <w:rPr>
          <w:rStyle w:val="15"/>
          <w:rFonts w:hint="eastAsia" w:ascii="Times New Roman" w:hAnsi="Times New Roman" w:eastAsia="黑体"/>
          <w:b w:val="0"/>
        </w:rPr>
        <w:t>政府性基金预算支出决算情况说明</w:t>
      </w:r>
      <w:bookmarkEnd w:id="34"/>
      <w:bookmarkEnd w:id="35"/>
    </w:p>
    <w:p w14:paraId="74ECCD2A">
      <w:pPr>
        <w:spacing w:line="600" w:lineRule="exact"/>
        <w:ind w:firstLine="640"/>
        <w:rPr>
          <w:rFonts w:hint="eastAsia" w:eastAsia="仿宋_GB2312" w:cs="仿宋_GB2312"/>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。与2023年度相比，政府性基金预算财政拨款支出</w:t>
      </w:r>
      <w:r>
        <w:rPr>
          <w:rFonts w:hint="eastAsia" w:eastAsia="仿宋_GB2312" w:cs="仿宋_GB2312"/>
          <w:sz w:val="32"/>
          <w:szCs w:val="32"/>
          <w:lang w:val="en-US" w:eastAsia="zh-CN"/>
        </w:rPr>
        <w:t>较</w:t>
      </w:r>
      <w:r>
        <w:rPr>
          <w:rFonts w:hint="eastAsia" w:eastAsia="仿宋_GB2312" w:cs="仿宋_GB2312"/>
          <w:sz w:val="32"/>
          <w:szCs w:val="32"/>
        </w:rPr>
        <w:t>2023年度</w:t>
      </w:r>
      <w:r>
        <w:rPr>
          <w:rFonts w:hint="eastAsia" w:ascii="仿宋_GB2312" w:eastAsia="仿宋_GB2312"/>
          <w:sz w:val="32"/>
          <w:szCs w:val="32"/>
        </w:rPr>
        <w:t>持平</w:t>
      </w:r>
      <w:r>
        <w:rPr>
          <w:rFonts w:hint="eastAsia" w:eastAsia="仿宋_GB2312" w:cs="仿宋_GB2312"/>
          <w:sz w:val="32"/>
          <w:szCs w:val="32"/>
        </w:rPr>
        <w:t>。</w:t>
      </w:r>
    </w:p>
    <w:p w14:paraId="5A28F66A">
      <w:pPr>
        <w:pStyle w:val="6"/>
      </w:pPr>
    </w:p>
    <w:p w14:paraId="62A97532">
      <w:pPr>
        <w:spacing w:line="600" w:lineRule="exact"/>
        <w:ind w:left="630"/>
        <w:outlineLvl w:val="1"/>
        <w:rPr>
          <w:rStyle w:val="15"/>
          <w:rFonts w:ascii="Times New Roman" w:hAnsi="Times New Roman" w:eastAsia="黑体"/>
          <w:b w:val="0"/>
        </w:rPr>
      </w:pPr>
      <w:bookmarkStart w:id="36" w:name="_Toc15377219"/>
      <w:bookmarkStart w:id="37" w:name="_Toc15396611"/>
      <w:r>
        <w:rPr>
          <w:rStyle w:val="15"/>
          <w:rFonts w:hint="eastAsia" w:ascii="Times New Roman" w:hAnsi="Times New Roman" w:eastAsia="黑体"/>
          <w:b w:val="0"/>
        </w:rPr>
        <w:t>九、国有资本经营预算支出决算情况说明</w:t>
      </w:r>
      <w:bookmarkEnd w:id="36"/>
      <w:bookmarkEnd w:id="37"/>
    </w:p>
    <w:p w14:paraId="68D2AD3C">
      <w:pPr>
        <w:spacing w:line="600" w:lineRule="exact"/>
        <w:ind w:firstLine="640"/>
        <w:rPr>
          <w:rFonts w:hint="eastAsia"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。与2023年度相比，国有资本经营预算财政拨款支出</w:t>
      </w:r>
      <w:bookmarkStart w:id="38" w:name="_Toc15377221"/>
      <w:bookmarkStart w:id="39" w:name="_Toc15396612"/>
      <w:r>
        <w:rPr>
          <w:rFonts w:hint="eastAsia" w:eastAsia="仿宋_GB2312" w:cs="仿宋_GB2312"/>
          <w:sz w:val="32"/>
          <w:szCs w:val="32"/>
          <w:lang w:val="en-US" w:eastAsia="zh-CN"/>
        </w:rPr>
        <w:t>较</w:t>
      </w:r>
      <w:r>
        <w:rPr>
          <w:rFonts w:hint="eastAsia" w:eastAsia="仿宋_GB2312" w:cs="仿宋_GB2312"/>
          <w:sz w:val="32"/>
          <w:szCs w:val="32"/>
        </w:rPr>
        <w:t>2023年度</w:t>
      </w:r>
      <w:r>
        <w:rPr>
          <w:rFonts w:hint="eastAsia" w:ascii="仿宋_GB2312" w:eastAsia="仿宋_GB2312"/>
          <w:sz w:val="32"/>
          <w:szCs w:val="32"/>
        </w:rPr>
        <w:t>持平</w:t>
      </w:r>
      <w:r>
        <w:rPr>
          <w:rFonts w:hint="eastAsia" w:eastAsia="仿宋_GB2312" w:cs="仿宋_GB2312"/>
          <w:sz w:val="32"/>
          <w:szCs w:val="32"/>
        </w:rPr>
        <w:t>。</w:t>
      </w:r>
    </w:p>
    <w:p w14:paraId="697431C1">
      <w:pPr>
        <w:spacing w:line="600" w:lineRule="exact"/>
        <w:ind w:left="630"/>
        <w:outlineLvl w:val="1"/>
        <w:rPr>
          <w:rStyle w:val="15"/>
          <w:rFonts w:hint="eastAsia" w:ascii="Times New Roman" w:hAnsi="Times New Roman" w:eastAsia="黑体"/>
          <w:b w:val="0"/>
        </w:rPr>
      </w:pPr>
    </w:p>
    <w:p w14:paraId="036E9361">
      <w:pPr>
        <w:spacing w:line="600" w:lineRule="exact"/>
        <w:ind w:left="630"/>
        <w:outlineLvl w:val="1"/>
        <w:rPr>
          <w:rStyle w:val="15"/>
          <w:rFonts w:ascii="Times New Roman" w:hAnsi="Times New Roman" w:eastAsia="黑体"/>
          <w:b w:val="0"/>
        </w:rPr>
      </w:pPr>
      <w:r>
        <w:rPr>
          <w:rStyle w:val="15"/>
          <w:rFonts w:hint="eastAsia" w:ascii="Times New Roman" w:hAnsi="Times New Roman" w:eastAsia="黑体"/>
          <w:b w:val="0"/>
        </w:rPr>
        <w:t>十、其他重要事项的情况说明</w:t>
      </w:r>
      <w:bookmarkEnd w:id="38"/>
      <w:bookmarkEnd w:id="39"/>
    </w:p>
    <w:p w14:paraId="0494D35B">
      <w:pPr>
        <w:spacing w:line="600" w:lineRule="exact"/>
        <w:ind w:firstLine="643"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14:paraId="18819394">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2024年度，松潘县人民法院机关运行经费支出143.27万元，比2023年度增加</w:t>
      </w:r>
      <w:r>
        <w:rPr>
          <w:rFonts w:hint="eastAsia" w:ascii="仿宋_GB2312" w:hAnsi="仿宋_GB2312" w:eastAsia="仿宋_GB2312" w:cs="仿宋_GB2312"/>
          <w:sz w:val="32"/>
          <w:szCs w:val="32"/>
          <w:lang w:val="en-US" w:eastAsia="zh-CN"/>
        </w:rPr>
        <w:t>11.11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rPr>
        <w:t>%。主要原因是202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年审判业务增加，运行成本增加。</w:t>
      </w:r>
    </w:p>
    <w:p w14:paraId="33FC1E20">
      <w:pPr>
        <w:spacing w:line="600" w:lineRule="exact"/>
        <w:ind w:firstLine="643"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14:paraId="706FC8AE">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2024年度，松潘县人民法院政府采购支出总额497.84万元，其中：政府采购货物支出497.84万元、政府采购工程支出0万元、政府采购服务支出0万元。主要用于</w:t>
      </w:r>
      <w:r>
        <w:rPr>
          <w:rFonts w:hint="eastAsia" w:ascii="仿宋_GB2312" w:hAnsi="仿宋_GB2312" w:eastAsia="仿宋_GB2312" w:cs="仿宋_GB2312"/>
          <w:sz w:val="32"/>
          <w:szCs w:val="32"/>
          <w:lang w:val="en-US" w:eastAsia="zh-CN"/>
        </w:rPr>
        <w:t>办公办案设备采购项目、消防设备采购项目、信息化升级设备采购项目、警用装备采购项目</w:t>
      </w:r>
      <w:r>
        <w:rPr>
          <w:rFonts w:hint="eastAsia" w:ascii="仿宋_GB2312" w:hAnsi="仿宋_GB2312" w:eastAsia="仿宋_GB2312" w:cs="仿宋_GB2312"/>
          <w:sz w:val="32"/>
          <w:szCs w:val="32"/>
        </w:rPr>
        <w:t>。授予中小企业合同金额497.84万元，占政府采购支出总额的100%，其中：授予小微企业合同金额497.84万元，占政府采购支出总额的100%。</w:t>
      </w:r>
    </w:p>
    <w:p w14:paraId="6CEC9E91">
      <w:pPr>
        <w:spacing w:line="600" w:lineRule="exact"/>
        <w:ind w:firstLine="643" w:firstLineChars="200"/>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14:paraId="240AC53E">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截至2024年12月31日，松潘县人民法院共有车辆14辆，其中：主要负责人用车0辆、机要通信用车0辆、应急保障用车0辆、</w:t>
      </w:r>
      <w:r>
        <w:rPr>
          <w:rFonts w:hint="eastAsia" w:ascii="仿宋_GB2312" w:eastAsia="仿宋_GB2312"/>
          <w:sz w:val="32"/>
          <w:szCs w:val="32"/>
        </w:rPr>
        <w:t>执法执勤用车1</w:t>
      </w:r>
      <w:r>
        <w:rPr>
          <w:rFonts w:hint="eastAsia" w:ascii="仿宋_GB2312" w:eastAsia="仿宋_GB2312"/>
          <w:sz w:val="32"/>
          <w:szCs w:val="32"/>
          <w:lang w:val="en-US" w:eastAsia="zh-CN"/>
        </w:rPr>
        <w:t>1</w:t>
      </w:r>
      <w:r>
        <w:rPr>
          <w:rFonts w:hint="eastAsia" w:ascii="仿宋_GB2312" w:eastAsia="仿宋_GB2312"/>
          <w:sz w:val="32"/>
          <w:szCs w:val="32"/>
        </w:rPr>
        <w:t>辆、特种专业技术用车3辆，</w:t>
      </w:r>
      <w:r>
        <w:rPr>
          <w:rFonts w:hint="eastAsia" w:ascii="仿宋_GB2312" w:eastAsia="仿宋_GB2312"/>
          <w:sz w:val="32"/>
          <w:szCs w:val="32"/>
          <w:lang w:val="en-US" w:eastAsia="zh-CN"/>
        </w:rPr>
        <w:t>不存在</w:t>
      </w:r>
      <w:r>
        <w:rPr>
          <w:rFonts w:hint="eastAsia" w:ascii="仿宋_GB2312" w:hAnsi="仿宋_GB2312" w:eastAsia="仿宋_GB2312" w:cs="仿宋_GB2312"/>
          <w:sz w:val="32"/>
          <w:szCs w:val="32"/>
        </w:rPr>
        <w:t>其他用车。单价100万元（含）以上设备（不含车辆）0台（套）</w:t>
      </w:r>
      <w:r>
        <w:rPr>
          <w:rFonts w:hint="eastAsia" w:eastAsia="仿宋_GB2312" w:cs="仿宋_GB2312"/>
          <w:sz w:val="32"/>
          <w:szCs w:val="32"/>
        </w:rPr>
        <w:t>。</w:t>
      </w:r>
    </w:p>
    <w:p w14:paraId="1734EED1">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1777F9E0">
      <w:pPr>
        <w:spacing w:line="600" w:lineRule="exact"/>
        <w:ind w:firstLine="640" w:firstLineChars="200"/>
        <w:rPr>
          <w:rFonts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val="en-US" w:eastAsia="zh-CN"/>
        </w:rPr>
        <w:t>本单位</w:t>
      </w:r>
      <w:r>
        <w:rPr>
          <w:rFonts w:hint="eastAsia" w:eastAsia="仿宋_GB2312" w:cs="仿宋_GB2312"/>
          <w:sz w:val="32"/>
          <w:szCs w:val="32"/>
        </w:rPr>
        <w:t>在2024年度预算编制阶段，</w:t>
      </w:r>
      <w:r>
        <w:rPr>
          <w:rFonts w:hint="eastAsia" w:ascii="仿宋_GB2312" w:hAnsi="Times New Roman" w:eastAsia="仿宋_GB2312"/>
          <w:sz w:val="32"/>
          <w:szCs w:val="32"/>
        </w:rPr>
        <w:t>组织对</w:t>
      </w:r>
      <w:r>
        <w:rPr>
          <w:rFonts w:hint="eastAsia" w:ascii="仿宋_GB2312" w:hAnsi="仿宋_GB2312" w:eastAsia="仿宋_GB2312" w:cs="仿宋_GB2312"/>
          <w:sz w:val="32"/>
          <w:szCs w:val="32"/>
        </w:rPr>
        <w:t>中央、省政法转移支付资金</w:t>
      </w:r>
      <w:r>
        <w:rPr>
          <w:rFonts w:hint="eastAsia" w:ascii="仿宋_GB2312" w:hAnsi="Times New Roman" w:eastAsia="仿宋_GB2312"/>
          <w:sz w:val="32"/>
          <w:szCs w:val="32"/>
        </w:rPr>
        <w:t>项目开展了预算事前绩效评估，对1个项目编制了绩效目标，预算执行过程中，选取1个项目开展绩效监控</w:t>
      </w:r>
      <w:r>
        <w:rPr>
          <w:rFonts w:hint="eastAsia" w:ascii="仿宋_GB2312" w:eastAsia="仿宋_GB2312"/>
          <w:sz w:val="32"/>
          <w:szCs w:val="32"/>
          <w:lang w:eastAsia="zh-CN"/>
        </w:rPr>
        <w:t>。</w:t>
      </w:r>
    </w:p>
    <w:p w14:paraId="235587EA">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0"/>
        <w:rPr>
          <w:rFonts w:hint="eastAsia" w:eastAsia="仿宋_GB2312" w:cs="仿宋_GB2312"/>
          <w:sz w:val="32"/>
          <w:szCs w:val="32"/>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w:t>
      </w:r>
      <w:r>
        <w:rPr>
          <w:rFonts w:hint="eastAsia" w:eastAsia="仿宋_GB2312" w:cs="仿宋_GB2312"/>
          <w:sz w:val="32"/>
          <w:szCs w:val="32"/>
          <w:lang w:val="en-US" w:eastAsia="zh-CN"/>
        </w:rPr>
        <w:t>松潘县人民法院</w:t>
      </w:r>
      <w:r>
        <w:rPr>
          <w:rFonts w:hint="eastAsia" w:eastAsia="仿宋_GB2312" w:cs="仿宋_GB2312"/>
          <w:sz w:val="32"/>
          <w:szCs w:val="32"/>
        </w:rPr>
        <w:t>部门整体（含部门预算项目）绩效自评报告、</w:t>
      </w:r>
      <w:r>
        <w:rPr>
          <w:rFonts w:hint="eastAsia" w:eastAsia="仿宋_GB2312" w:cs="仿宋_GB2312"/>
          <w:sz w:val="32"/>
          <w:szCs w:val="32"/>
          <w:lang w:val="en-US" w:eastAsia="zh-CN"/>
        </w:rPr>
        <w:t>转移支付</w:t>
      </w:r>
      <w:r>
        <w:rPr>
          <w:rFonts w:hint="eastAsia" w:eastAsia="仿宋_GB2312" w:cs="仿宋_GB2312"/>
          <w:sz w:val="32"/>
          <w:szCs w:val="32"/>
        </w:rPr>
        <w:t>专项预算项目绩效自评报告，其中，</w:t>
      </w:r>
      <w:r>
        <w:rPr>
          <w:rFonts w:hint="eastAsia" w:eastAsia="仿宋_GB2312" w:cs="仿宋_GB2312"/>
          <w:sz w:val="32"/>
          <w:szCs w:val="32"/>
          <w:lang w:val="en-US" w:eastAsia="zh-CN"/>
        </w:rPr>
        <w:t>松潘县人民法院</w:t>
      </w:r>
      <w:r>
        <w:rPr>
          <w:rFonts w:hint="eastAsia" w:eastAsia="仿宋_GB2312" w:cs="仿宋_GB2312"/>
          <w:sz w:val="32"/>
          <w:szCs w:val="32"/>
        </w:rPr>
        <w:t>部门整体（含部门预算项目）绩效自评得分</w:t>
      </w:r>
      <w:r>
        <w:rPr>
          <w:rFonts w:hint="eastAsia" w:eastAsia="仿宋_GB2312" w:cs="仿宋_GB2312"/>
          <w:sz w:val="32"/>
          <w:szCs w:val="32"/>
          <w:lang w:val="en-US" w:eastAsia="zh-CN"/>
        </w:rPr>
        <w:t>为92分，绩效自评综述2024年，我院在上级领导、县委、县政府的正确领导和各级有关部门的共同努力下，全院上下齐心，全面完成了年初绩效工作目标。一是依法履行审判职责，积极服务改革发展稳定大局；二是践行司法为民宗旨，更好满足人民群众多元司法需求；三是推进过硬队伍建设，全面提升公正司法能力；四是</w:t>
      </w:r>
      <w:r>
        <w:rPr>
          <w:rFonts w:hint="default" w:eastAsia="仿宋_GB2312" w:cs="仿宋_GB2312"/>
          <w:sz w:val="32"/>
          <w:szCs w:val="32"/>
          <w:lang w:val="en-US" w:eastAsia="zh-CN"/>
        </w:rPr>
        <w:t>夯实基层基础,司法保障有新成效</w:t>
      </w:r>
      <w:r>
        <w:rPr>
          <w:rFonts w:hint="eastAsia" w:eastAsia="仿宋_GB2312" w:cs="仿宋_GB2312"/>
          <w:sz w:val="32"/>
          <w:szCs w:val="32"/>
          <w:lang w:val="en-US" w:eastAsia="zh-CN"/>
        </w:rPr>
        <w:t>。转移支付</w:t>
      </w:r>
      <w:r>
        <w:rPr>
          <w:rFonts w:hint="eastAsia" w:eastAsia="仿宋_GB2312" w:cs="仿宋_GB2312"/>
          <w:sz w:val="32"/>
          <w:szCs w:val="32"/>
        </w:rPr>
        <w:t>专项预算项目绩效自评得分为</w:t>
      </w:r>
      <w:r>
        <w:rPr>
          <w:rFonts w:hint="eastAsia" w:eastAsia="仿宋_GB2312" w:cs="仿宋_GB2312"/>
          <w:sz w:val="32"/>
          <w:szCs w:val="32"/>
          <w:lang w:val="en-US" w:eastAsia="zh-CN"/>
        </w:rPr>
        <w:t>96</w:t>
      </w:r>
      <w:r>
        <w:rPr>
          <w:rFonts w:hint="eastAsia" w:eastAsia="仿宋_GB2312" w:cs="仿宋_GB2312"/>
          <w:sz w:val="32"/>
          <w:szCs w:val="32"/>
        </w:rPr>
        <w:t>分，绩效自评综述</w:t>
      </w:r>
      <w:r>
        <w:rPr>
          <w:rFonts w:hint="eastAsia" w:eastAsia="仿宋_GB2312" w:cs="仿宋_GB2312"/>
          <w:sz w:val="32"/>
          <w:szCs w:val="32"/>
          <w:lang w:eastAsia="zh-CN"/>
        </w:rPr>
        <w:t>：</w:t>
      </w:r>
      <w:r>
        <w:rPr>
          <w:rFonts w:hint="eastAsia" w:eastAsia="仿宋_GB2312" w:cs="仿宋_GB2312"/>
          <w:sz w:val="32"/>
          <w:szCs w:val="32"/>
          <w:lang w:val="zh-CN" w:eastAsia="zh-CN"/>
        </w:rPr>
        <w:t>抓好审判执行工作，坚持从严治党，从严治院，推动法院各项工作不断实现新发展，为全县社会发展大局和经济高质量发展提供有力的司法服务和保障。</w:t>
      </w:r>
      <w:r>
        <w:rPr>
          <w:rFonts w:hint="eastAsia" w:eastAsia="仿宋_GB2312" w:cs="仿宋_GB2312"/>
          <w:sz w:val="32"/>
          <w:szCs w:val="32"/>
        </w:rPr>
        <w:t>部门预算项目</w:t>
      </w:r>
      <w:r>
        <w:rPr>
          <w:rFonts w:hint="eastAsia" w:eastAsia="仿宋_GB2312" w:cs="仿宋_GB2312"/>
          <w:sz w:val="32"/>
          <w:szCs w:val="32"/>
          <w:lang w:val="en-US" w:eastAsia="zh-CN"/>
        </w:rPr>
        <w:t>绩效</w:t>
      </w:r>
      <w:r>
        <w:rPr>
          <w:rFonts w:hint="eastAsia" w:eastAsia="仿宋_GB2312" w:cs="仿宋_GB2312"/>
          <w:sz w:val="32"/>
          <w:szCs w:val="32"/>
        </w:rPr>
        <w:t>自评报告</w:t>
      </w:r>
      <w:r>
        <w:rPr>
          <w:rFonts w:hint="eastAsia" w:eastAsia="仿宋_GB2312" w:cs="仿宋_GB2312"/>
          <w:sz w:val="32"/>
          <w:szCs w:val="32"/>
          <w:lang w:val="en-US" w:eastAsia="zh-CN"/>
        </w:rPr>
        <w:t>及评价表</w:t>
      </w:r>
      <w:r>
        <w:rPr>
          <w:rFonts w:hint="eastAsia" w:eastAsia="仿宋_GB2312" w:cs="仿宋_GB2312"/>
          <w:sz w:val="32"/>
          <w:szCs w:val="32"/>
        </w:rPr>
        <w:t>详见附件</w:t>
      </w:r>
      <w:r>
        <w:rPr>
          <w:rFonts w:hint="eastAsia" w:eastAsia="仿宋_GB2312" w:cs="仿宋_GB2312"/>
          <w:sz w:val="32"/>
          <w:szCs w:val="32"/>
          <w:lang w:eastAsia="zh-CN"/>
        </w:rPr>
        <w:t>；</w:t>
      </w:r>
      <w:r>
        <w:rPr>
          <w:rFonts w:hint="eastAsia" w:eastAsia="仿宋_GB2312" w:cs="仿宋_GB2312"/>
          <w:sz w:val="32"/>
          <w:szCs w:val="32"/>
          <w:lang w:val="en-US" w:eastAsia="zh-CN"/>
        </w:rPr>
        <w:t>专项资金预算项目涉密，故不在</w:t>
      </w:r>
      <w:r>
        <w:rPr>
          <w:rFonts w:hint="eastAsia" w:eastAsia="仿宋_GB2312" w:cs="仿宋_GB2312"/>
          <w:sz w:val="32"/>
          <w:szCs w:val="32"/>
        </w:rPr>
        <w:t>第四部分附件</w:t>
      </w:r>
      <w:r>
        <w:rPr>
          <w:rFonts w:hint="eastAsia" w:eastAsia="仿宋_GB2312" w:cs="仿宋_GB2312"/>
          <w:sz w:val="32"/>
          <w:szCs w:val="32"/>
          <w:lang w:val="en-US" w:eastAsia="zh-CN"/>
        </w:rPr>
        <w:t>中列示</w:t>
      </w:r>
      <w:bookmarkStart w:id="59" w:name="_GoBack"/>
      <w:bookmarkEnd w:id="59"/>
      <w:r>
        <w:rPr>
          <w:rFonts w:hint="eastAsia" w:eastAsia="仿宋_GB2312" w:cs="仿宋_GB2312"/>
          <w:sz w:val="32"/>
          <w:szCs w:val="32"/>
        </w:rPr>
        <w:t>绩效自评报告</w:t>
      </w:r>
      <w:r>
        <w:rPr>
          <w:rFonts w:hint="eastAsia" w:eastAsia="仿宋_GB2312" w:cs="仿宋_GB2312"/>
          <w:sz w:val="32"/>
          <w:szCs w:val="32"/>
          <w:lang w:val="en-US" w:eastAsia="zh-CN"/>
        </w:rPr>
        <w:t>及自评表。</w:t>
      </w:r>
    </w:p>
    <w:p w14:paraId="6D81D2D4">
      <w:pPr>
        <w:spacing w:line="600" w:lineRule="exact"/>
        <w:ind w:firstLine="640"/>
        <w:rPr>
          <w:rFonts w:eastAsia="仿宋_GB2312" w:cs="仿宋_GB2312"/>
          <w:sz w:val="32"/>
          <w:szCs w:val="32"/>
        </w:rPr>
      </w:pPr>
    </w:p>
    <w:p w14:paraId="3E143D77">
      <w:pPr>
        <w:spacing w:line="600" w:lineRule="exact"/>
        <w:jc w:val="center"/>
        <w:outlineLvl w:val="0"/>
        <w:rPr>
          <w:rFonts w:hint="eastAsia" w:eastAsia="黑体"/>
          <w:sz w:val="44"/>
          <w:szCs w:val="44"/>
        </w:rPr>
      </w:pPr>
      <w:bookmarkStart w:id="43" w:name="_Toc15377225"/>
      <w:bookmarkStart w:id="44" w:name="_Toc15396613"/>
    </w:p>
    <w:p w14:paraId="1234B755">
      <w:pPr>
        <w:spacing w:line="600" w:lineRule="exact"/>
        <w:jc w:val="center"/>
        <w:outlineLvl w:val="0"/>
        <w:rPr>
          <w:rFonts w:hint="eastAsia" w:eastAsia="黑体"/>
          <w:sz w:val="44"/>
          <w:szCs w:val="44"/>
        </w:rPr>
      </w:pPr>
    </w:p>
    <w:p w14:paraId="2303F695">
      <w:pPr>
        <w:spacing w:line="600" w:lineRule="exact"/>
        <w:jc w:val="center"/>
        <w:outlineLvl w:val="0"/>
        <w:rPr>
          <w:rFonts w:hint="eastAsia" w:eastAsia="黑体"/>
          <w:sz w:val="44"/>
          <w:szCs w:val="44"/>
        </w:rPr>
      </w:pPr>
    </w:p>
    <w:p w14:paraId="33AC9928">
      <w:pPr>
        <w:spacing w:line="600" w:lineRule="exact"/>
        <w:jc w:val="center"/>
        <w:outlineLvl w:val="0"/>
        <w:rPr>
          <w:rFonts w:hint="eastAsia" w:eastAsia="黑体"/>
          <w:sz w:val="44"/>
          <w:szCs w:val="44"/>
        </w:rPr>
      </w:pPr>
    </w:p>
    <w:p w14:paraId="1020A981">
      <w:pPr>
        <w:spacing w:line="600" w:lineRule="exact"/>
        <w:jc w:val="center"/>
        <w:outlineLvl w:val="0"/>
        <w:rPr>
          <w:rFonts w:hint="eastAsia" w:eastAsia="黑体"/>
          <w:sz w:val="44"/>
          <w:szCs w:val="44"/>
        </w:rPr>
      </w:pPr>
    </w:p>
    <w:p w14:paraId="4AE0CCB1">
      <w:pPr>
        <w:spacing w:line="600" w:lineRule="exact"/>
        <w:jc w:val="center"/>
        <w:outlineLvl w:val="0"/>
        <w:rPr>
          <w:rFonts w:hint="eastAsia" w:eastAsia="黑体"/>
          <w:sz w:val="44"/>
          <w:szCs w:val="44"/>
        </w:rPr>
      </w:pPr>
    </w:p>
    <w:p w14:paraId="1F33A7A1">
      <w:pPr>
        <w:spacing w:line="600" w:lineRule="exact"/>
        <w:jc w:val="center"/>
        <w:outlineLvl w:val="0"/>
        <w:rPr>
          <w:rFonts w:hint="eastAsia" w:eastAsia="黑体"/>
          <w:sz w:val="44"/>
          <w:szCs w:val="44"/>
        </w:rPr>
      </w:pPr>
    </w:p>
    <w:p w14:paraId="115E76EA">
      <w:pPr>
        <w:spacing w:line="600" w:lineRule="exact"/>
        <w:jc w:val="center"/>
        <w:outlineLvl w:val="0"/>
        <w:rPr>
          <w:rFonts w:hint="eastAsia" w:eastAsia="黑体"/>
          <w:sz w:val="44"/>
          <w:szCs w:val="44"/>
        </w:rPr>
      </w:pPr>
    </w:p>
    <w:p w14:paraId="4FDC9896">
      <w:pPr>
        <w:spacing w:line="600" w:lineRule="exact"/>
        <w:jc w:val="center"/>
        <w:outlineLvl w:val="0"/>
        <w:rPr>
          <w:rFonts w:hint="eastAsia" w:eastAsia="黑体"/>
          <w:sz w:val="44"/>
          <w:szCs w:val="44"/>
        </w:rPr>
      </w:pPr>
    </w:p>
    <w:p w14:paraId="05C21EE6">
      <w:pPr>
        <w:spacing w:line="600" w:lineRule="exact"/>
        <w:jc w:val="center"/>
        <w:outlineLvl w:val="0"/>
        <w:rPr>
          <w:rFonts w:hint="eastAsia" w:eastAsia="黑体"/>
          <w:sz w:val="44"/>
          <w:szCs w:val="44"/>
        </w:rPr>
      </w:pPr>
    </w:p>
    <w:p w14:paraId="5751E287">
      <w:pPr>
        <w:spacing w:line="600" w:lineRule="exact"/>
        <w:jc w:val="center"/>
        <w:outlineLvl w:val="0"/>
        <w:rPr>
          <w:rFonts w:hint="eastAsia" w:eastAsia="黑体"/>
          <w:sz w:val="44"/>
          <w:szCs w:val="44"/>
        </w:rPr>
      </w:pPr>
    </w:p>
    <w:p w14:paraId="648C6128">
      <w:pPr>
        <w:spacing w:line="600" w:lineRule="exact"/>
        <w:jc w:val="center"/>
        <w:outlineLvl w:val="0"/>
        <w:rPr>
          <w:rFonts w:hint="eastAsia" w:eastAsia="黑体"/>
          <w:sz w:val="44"/>
          <w:szCs w:val="44"/>
        </w:rPr>
      </w:pPr>
    </w:p>
    <w:p w14:paraId="5CE34CEA">
      <w:pPr>
        <w:spacing w:line="600" w:lineRule="exact"/>
        <w:jc w:val="center"/>
        <w:outlineLvl w:val="0"/>
        <w:rPr>
          <w:rFonts w:hint="eastAsia" w:eastAsia="黑体"/>
          <w:sz w:val="44"/>
          <w:szCs w:val="44"/>
        </w:rPr>
      </w:pPr>
    </w:p>
    <w:p w14:paraId="3FE07217">
      <w:pPr>
        <w:spacing w:line="600" w:lineRule="exact"/>
        <w:jc w:val="center"/>
        <w:outlineLvl w:val="0"/>
        <w:rPr>
          <w:rFonts w:hint="eastAsia" w:eastAsia="黑体"/>
          <w:sz w:val="44"/>
          <w:szCs w:val="44"/>
        </w:rPr>
      </w:pPr>
    </w:p>
    <w:p w14:paraId="57F89141">
      <w:pPr>
        <w:spacing w:line="600" w:lineRule="exact"/>
        <w:jc w:val="center"/>
        <w:outlineLvl w:val="0"/>
        <w:rPr>
          <w:rFonts w:hint="eastAsia" w:eastAsia="黑体"/>
          <w:sz w:val="44"/>
          <w:szCs w:val="44"/>
        </w:rPr>
      </w:pPr>
    </w:p>
    <w:p w14:paraId="4C252920">
      <w:pPr>
        <w:spacing w:line="600" w:lineRule="exact"/>
        <w:jc w:val="center"/>
        <w:outlineLvl w:val="0"/>
        <w:rPr>
          <w:rFonts w:eastAsia="黑体"/>
          <w:sz w:val="44"/>
          <w:szCs w:val="44"/>
        </w:rPr>
      </w:pPr>
      <w:r>
        <w:rPr>
          <w:rFonts w:hint="eastAsia" w:eastAsia="黑体"/>
          <w:sz w:val="44"/>
          <w:szCs w:val="44"/>
        </w:rPr>
        <w:t>第三部分  名词解释</w:t>
      </w:r>
      <w:bookmarkEnd w:id="43"/>
      <w:bookmarkEnd w:id="44"/>
    </w:p>
    <w:p w14:paraId="684E45CE">
      <w:pPr>
        <w:spacing w:line="600" w:lineRule="exact"/>
        <w:jc w:val="left"/>
        <w:rPr>
          <w:b/>
          <w:sz w:val="44"/>
          <w:szCs w:val="44"/>
        </w:rPr>
      </w:pPr>
    </w:p>
    <w:p w14:paraId="2477DE45">
      <w:pPr>
        <w:pStyle w:val="1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2A8D96BC">
      <w:pPr>
        <w:pStyle w:val="1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其他收入：指单位取得的除上述收入以外的各项收入。主要是</w:t>
      </w:r>
      <w:r>
        <w:rPr>
          <w:rFonts w:hint="eastAsia" w:ascii="仿宋_GB2312" w:eastAsia="仿宋_GB2312"/>
          <w:color w:val="auto"/>
          <w:sz w:val="32"/>
          <w:szCs w:val="32"/>
          <w:lang w:val="en-US" w:eastAsia="zh-CN"/>
        </w:rPr>
        <w:t>县级财政保障资金</w:t>
      </w:r>
      <w:r>
        <w:rPr>
          <w:rFonts w:hint="eastAsia" w:ascii="仿宋_GB2312" w:eastAsia="仿宋_GB2312"/>
          <w:color w:val="auto"/>
          <w:sz w:val="32"/>
          <w:szCs w:val="32"/>
        </w:rPr>
        <w:t>。</w:t>
      </w:r>
      <w:r>
        <w:rPr>
          <w:rFonts w:ascii="仿宋_GB2312" w:eastAsia="仿宋_GB2312"/>
          <w:color w:val="auto"/>
          <w:sz w:val="32"/>
          <w:szCs w:val="32"/>
        </w:rPr>
        <w:t xml:space="preserve"> </w:t>
      </w:r>
    </w:p>
    <w:p w14:paraId="0635BEB7">
      <w:pPr>
        <w:pStyle w:val="1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2348A89F">
      <w:pPr>
        <w:pStyle w:val="1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4.年末结转和结余：指单位按有关规定结转到下年或以后年度继续使用的资金。</w:t>
      </w:r>
    </w:p>
    <w:p w14:paraId="07027A20">
      <w:pPr>
        <w:pStyle w:val="17"/>
        <w:spacing w:line="560" w:lineRule="exact"/>
        <w:ind w:firstLine="640" w:firstLineChars="200"/>
        <w:rPr>
          <w:rFonts w:hint="eastAsia" w:ascii="仿宋_GB2312" w:eastAsia="仿宋_GB2312"/>
          <w:sz w:val="32"/>
          <w:szCs w:val="32"/>
        </w:rPr>
      </w:pPr>
      <w:r>
        <w:rPr>
          <w:rFonts w:hint="eastAsia" w:ascii="仿宋_GB2312" w:eastAsia="仿宋_GB2312"/>
          <w:color w:val="auto"/>
          <w:sz w:val="32"/>
          <w:szCs w:val="32"/>
        </w:rPr>
        <w:t>5</w:t>
      </w:r>
      <w:r>
        <w:rPr>
          <w:rFonts w:ascii="仿宋_GB2312" w:eastAsia="仿宋_GB2312"/>
          <w:color w:val="auto"/>
          <w:sz w:val="32"/>
          <w:szCs w:val="32"/>
        </w:rPr>
        <w:t>.</w:t>
      </w:r>
      <w:r>
        <w:rPr>
          <w:rFonts w:hint="eastAsia" w:ascii="仿宋_GB2312" w:eastAsia="仿宋_GB2312"/>
          <w:color w:val="auto"/>
          <w:sz w:val="32"/>
          <w:szCs w:val="32"/>
        </w:rPr>
        <w:t>公共安全</w:t>
      </w:r>
      <w:r>
        <w:rPr>
          <w:rFonts w:hint="eastAsia" w:ascii="仿宋_GB2312" w:eastAsia="仿宋_GB2312"/>
          <w:sz w:val="32"/>
          <w:szCs w:val="32"/>
        </w:rPr>
        <w:t>（类）204（款）05（项）：指行政运行。</w:t>
      </w:r>
    </w:p>
    <w:p w14:paraId="3F19BB7A">
      <w:pPr>
        <w:pStyle w:val="1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6.社会保障和就业（类）208（款）05（项）：指机关事业单位基本养老保险、职业年金。</w:t>
      </w:r>
    </w:p>
    <w:p w14:paraId="48A19B50">
      <w:pPr>
        <w:pStyle w:val="1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7.医疗卫生与计划生育（类）210（款）11（项）：指行政单位医疗、公务员医疗补助。</w:t>
      </w:r>
    </w:p>
    <w:p w14:paraId="0FFEB942">
      <w:pPr>
        <w:pStyle w:val="1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8.住房保障（类）221（款）02（项）：指住房公积金。</w:t>
      </w:r>
    </w:p>
    <w:p w14:paraId="2DEB7477">
      <w:pPr>
        <w:ind w:firstLine="640" w:firstLineChars="200"/>
        <w:rPr>
          <w:rFonts w:hint="eastAsia" w:ascii="仿宋_GB2312" w:eastAsia="仿宋_GB2312"/>
          <w:sz w:val="32"/>
          <w:szCs w:val="32"/>
        </w:rPr>
      </w:pPr>
      <w:r>
        <w:rPr>
          <w:rFonts w:hint="eastAsia" w:ascii="仿宋_GB2312" w:eastAsia="仿宋_GB2312"/>
          <w:sz w:val="32"/>
          <w:szCs w:val="32"/>
        </w:rPr>
        <w:t>9.基本支出：指为保障机构正常运转、完成日常工作任务而发生的人员支出和公用支出。</w:t>
      </w:r>
    </w:p>
    <w:p w14:paraId="6858D268">
      <w:pPr>
        <w:pStyle w:val="1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10.项目支出：</w:t>
      </w:r>
      <w:r>
        <w:rPr>
          <w:rFonts w:hint="eastAsia" w:ascii="仿宋_GB2312" w:eastAsia="仿宋_GB2312"/>
          <w:color w:val="auto"/>
          <w:sz w:val="32"/>
          <w:szCs w:val="32"/>
        </w:rPr>
        <w:t>指在基本支出之外为完成特定行政任务和事业发展目标所发生的支出。</w:t>
      </w:r>
    </w:p>
    <w:p w14:paraId="187FE988">
      <w:pPr>
        <w:pStyle w:val="17"/>
        <w:spacing w:line="560" w:lineRule="exact"/>
        <w:ind w:firstLine="640" w:firstLineChars="200"/>
        <w:rPr>
          <w:rFonts w:ascii="仿宋_GB2312" w:eastAsia="仿宋_GB2312"/>
          <w:color w:val="auto"/>
          <w:sz w:val="32"/>
          <w:szCs w:val="32"/>
        </w:rPr>
      </w:pPr>
      <w:r>
        <w:rPr>
          <w:rFonts w:hint="eastAsia" w:ascii="仿宋_GB2312" w:eastAsia="仿宋_GB2312"/>
          <w:sz w:val="32"/>
          <w:szCs w:val="32"/>
        </w:rPr>
        <w:t>11.“三公”经费：</w:t>
      </w:r>
      <w:r>
        <w:rPr>
          <w:rFonts w:hint="eastAsia" w:ascii="仿宋_GB2312" w:eastAsia="仿宋_GB2312"/>
          <w:color w:val="auto"/>
          <w:sz w:val="32"/>
          <w:szCs w:val="32"/>
        </w:rPr>
        <w:t>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761369C">
      <w:pPr>
        <w:spacing w:line="600" w:lineRule="exact"/>
        <w:ind w:firstLine="640"/>
        <w:rPr>
          <w:rFonts w:eastAsia="仿宋_GB2312" w:cs="仿宋_GB2312"/>
          <w:sz w:val="32"/>
          <w:szCs w:val="32"/>
        </w:rPr>
      </w:pPr>
      <w:r>
        <w:rPr>
          <w:rFonts w:hint="eastAsia" w:eastAsia="仿宋_GB2312" w:cs="仿宋_GB2312"/>
          <w:sz w:val="32"/>
          <w:szCs w:val="32"/>
          <w:lang w:val="en-US" w:eastAsia="zh-CN"/>
        </w:rPr>
        <w:t>12</w:t>
      </w:r>
      <w:r>
        <w:rPr>
          <w:rFonts w:hint="eastAsia"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AE8D430">
      <w:pPr>
        <w:spacing w:line="600" w:lineRule="exact"/>
        <w:jc w:val="both"/>
        <w:rPr>
          <w:rFonts w:hint="eastAsia" w:eastAsia="黑体"/>
          <w:sz w:val="44"/>
          <w:szCs w:val="44"/>
        </w:rPr>
      </w:pPr>
      <w:bookmarkStart w:id="45" w:name="_Toc15396614"/>
    </w:p>
    <w:p w14:paraId="1ECDDB43">
      <w:pPr>
        <w:pStyle w:val="6"/>
        <w:rPr>
          <w:rFonts w:hint="eastAsia" w:eastAsia="黑体"/>
          <w:sz w:val="44"/>
          <w:szCs w:val="44"/>
        </w:rPr>
      </w:pPr>
    </w:p>
    <w:p w14:paraId="4CA15A66">
      <w:pPr>
        <w:pStyle w:val="6"/>
        <w:rPr>
          <w:rFonts w:hint="eastAsia" w:eastAsia="黑体"/>
          <w:sz w:val="44"/>
          <w:szCs w:val="44"/>
        </w:rPr>
      </w:pPr>
    </w:p>
    <w:p w14:paraId="7C6710C9">
      <w:pPr>
        <w:pStyle w:val="6"/>
        <w:rPr>
          <w:rFonts w:hint="eastAsia" w:eastAsia="黑体"/>
          <w:sz w:val="44"/>
          <w:szCs w:val="44"/>
        </w:rPr>
      </w:pPr>
    </w:p>
    <w:p w14:paraId="630AAF2F">
      <w:pPr>
        <w:pStyle w:val="6"/>
        <w:rPr>
          <w:rFonts w:hint="eastAsia" w:eastAsia="黑体"/>
          <w:sz w:val="44"/>
          <w:szCs w:val="44"/>
        </w:rPr>
      </w:pPr>
    </w:p>
    <w:p w14:paraId="40F303F1">
      <w:pPr>
        <w:pStyle w:val="6"/>
        <w:rPr>
          <w:rFonts w:hint="eastAsia" w:eastAsia="黑体"/>
          <w:sz w:val="44"/>
          <w:szCs w:val="44"/>
        </w:rPr>
      </w:pPr>
    </w:p>
    <w:p w14:paraId="27326F56">
      <w:pPr>
        <w:pStyle w:val="6"/>
        <w:rPr>
          <w:rFonts w:hint="eastAsia" w:eastAsia="黑体"/>
          <w:sz w:val="44"/>
          <w:szCs w:val="44"/>
        </w:rPr>
      </w:pPr>
    </w:p>
    <w:p w14:paraId="3AA53402">
      <w:pPr>
        <w:pStyle w:val="6"/>
        <w:rPr>
          <w:rFonts w:hint="eastAsia" w:eastAsia="黑体"/>
          <w:sz w:val="44"/>
          <w:szCs w:val="44"/>
        </w:rPr>
      </w:pPr>
    </w:p>
    <w:p w14:paraId="0EB591DB">
      <w:pPr>
        <w:pStyle w:val="6"/>
        <w:rPr>
          <w:rFonts w:hint="eastAsia" w:eastAsia="黑体"/>
          <w:sz w:val="44"/>
          <w:szCs w:val="44"/>
        </w:rPr>
      </w:pPr>
    </w:p>
    <w:p w14:paraId="2031B703">
      <w:pPr>
        <w:pStyle w:val="6"/>
        <w:rPr>
          <w:rFonts w:hint="eastAsia" w:eastAsia="黑体"/>
          <w:sz w:val="44"/>
          <w:szCs w:val="44"/>
        </w:rPr>
      </w:pPr>
    </w:p>
    <w:p w14:paraId="4DDF795F">
      <w:pPr>
        <w:pStyle w:val="6"/>
        <w:rPr>
          <w:rFonts w:hint="eastAsia" w:eastAsia="黑体"/>
          <w:sz w:val="44"/>
          <w:szCs w:val="44"/>
        </w:rPr>
      </w:pPr>
    </w:p>
    <w:p w14:paraId="7DF0CF3F">
      <w:pPr>
        <w:pStyle w:val="6"/>
        <w:rPr>
          <w:rFonts w:hint="eastAsia" w:eastAsia="黑体"/>
          <w:sz w:val="44"/>
          <w:szCs w:val="44"/>
        </w:rPr>
      </w:pPr>
    </w:p>
    <w:p w14:paraId="6588F9AC">
      <w:pPr>
        <w:spacing w:line="600" w:lineRule="exact"/>
        <w:jc w:val="center"/>
        <w:rPr>
          <w:rStyle w:val="14"/>
          <w:rFonts w:eastAsia="黑体"/>
          <w:b w:val="0"/>
        </w:rPr>
      </w:pPr>
      <w:r>
        <w:rPr>
          <w:rFonts w:hint="eastAsia" w:eastAsia="黑体"/>
          <w:sz w:val="44"/>
          <w:szCs w:val="44"/>
        </w:rPr>
        <w:t>第四部分  附件</w:t>
      </w:r>
      <w:bookmarkEnd w:id="45"/>
    </w:p>
    <w:p w14:paraId="33F60C32">
      <w:pPr>
        <w:spacing w:line="600" w:lineRule="exact"/>
        <w:jc w:val="left"/>
        <w:outlineLvl w:val="0"/>
        <w:rPr>
          <w:rFonts w:hint="eastAsia" w:eastAsia="黑体" w:cs="黑体"/>
          <w:sz w:val="32"/>
          <w:szCs w:val="32"/>
        </w:rPr>
      </w:pPr>
      <w:r>
        <w:rPr>
          <w:rFonts w:hint="eastAsia" w:eastAsia="黑体" w:cs="黑体"/>
          <w:sz w:val="32"/>
          <w:szCs w:val="32"/>
        </w:rPr>
        <w:t>附件1</w:t>
      </w:r>
    </w:p>
    <w:p w14:paraId="5D056053">
      <w:pPr>
        <w:pStyle w:val="10"/>
        <w:rPr>
          <w:rFonts w:hint="eastAsia"/>
        </w:rPr>
      </w:pPr>
    </w:p>
    <w:p w14:paraId="3C38FB37">
      <w:pPr>
        <w:widowControl/>
        <w:spacing w:line="578" w:lineRule="exact"/>
        <w:contextualSpacing/>
        <w:jc w:val="center"/>
        <w:rPr>
          <w:rFonts w:hint="eastAsia" w:eastAsia="方正小标宋简体" w:cs="Times New Roman"/>
          <w:b w:val="0"/>
          <w:bCs/>
          <w:sz w:val="44"/>
          <w:szCs w:val="44"/>
          <w:highlight w:val="none"/>
          <w:shd w:val="clear" w:color="auto" w:fill="FFFFFF"/>
          <w:lang w:val="en-US" w:eastAsia="zh-CN"/>
        </w:rPr>
      </w:pPr>
      <w:r>
        <w:rPr>
          <w:rFonts w:hint="eastAsia" w:eastAsia="方正小标宋简体" w:cs="Times New Roman"/>
          <w:b w:val="0"/>
          <w:bCs/>
          <w:sz w:val="44"/>
          <w:szCs w:val="44"/>
          <w:highlight w:val="none"/>
          <w:shd w:val="clear" w:color="auto" w:fill="FFFFFF"/>
          <w:lang w:val="en-US" w:eastAsia="zh-CN"/>
        </w:rPr>
        <w:t xml:space="preserve"> 松潘县人民法院</w:t>
      </w:r>
    </w:p>
    <w:p w14:paraId="04743198">
      <w:pPr>
        <w:widowControl/>
        <w:spacing w:line="578" w:lineRule="exact"/>
        <w:contextualSpacing/>
        <w:jc w:val="center"/>
        <w:rPr>
          <w:rFonts w:eastAsia="仿宋_GB2312"/>
          <w:sz w:val="32"/>
          <w:szCs w:val="32"/>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021C92DC">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47ECB17F">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14:paraId="4F906B12">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eastAsia="楷体_GB2312" w:cs="楷体_GB2312"/>
          <w:b/>
          <w:sz w:val="32"/>
          <w:szCs w:val="32"/>
          <w:lang w:val="zh-CN"/>
        </w:rPr>
      </w:pPr>
      <w:r>
        <w:rPr>
          <w:rFonts w:hint="eastAsia" w:eastAsia="楷体_GB2312" w:cs="楷体_GB2312"/>
          <w:b/>
          <w:sz w:val="32"/>
          <w:szCs w:val="32"/>
          <w:lang w:val="zh-CN"/>
        </w:rPr>
        <w:t>（一）</w:t>
      </w:r>
      <w:r>
        <w:rPr>
          <w:rFonts w:eastAsia="楷体_GB2312" w:cs="楷体_GB2312"/>
          <w:b/>
          <w:sz w:val="32"/>
          <w:szCs w:val="32"/>
          <w:lang w:val="zh-CN"/>
        </w:rPr>
        <w:t>机构组成。</w:t>
      </w:r>
    </w:p>
    <w:p w14:paraId="0C604031">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松潘县人民法院部门</w:t>
      </w:r>
      <w:r>
        <w:rPr>
          <w:rFonts w:hint="eastAsia" w:ascii="Times New Roman" w:hAnsi="Times New Roman" w:eastAsia="仿宋_GB2312" w:cs="Times New Roman"/>
          <w:sz w:val="32"/>
          <w:szCs w:val="32"/>
          <w:lang w:eastAsia="zh-CN"/>
        </w:rPr>
        <w:t>内设</w:t>
      </w:r>
      <w:r>
        <w:rPr>
          <w:rFonts w:hint="eastAsia" w:ascii="Times New Roman" w:hAnsi="Times New Roman" w:eastAsia="仿宋_GB2312" w:cs="Times New Roman"/>
          <w:sz w:val="32"/>
          <w:szCs w:val="32"/>
          <w:lang w:val="en-US" w:eastAsia="zh-CN"/>
        </w:rPr>
        <w:t>9个科</w:t>
      </w:r>
      <w:r>
        <w:rPr>
          <w:rFonts w:hint="default" w:ascii="Times New Roman" w:hAnsi="Times New Roman" w:eastAsia="仿宋_GB2312" w:cs="Times New Roman"/>
          <w:sz w:val="32"/>
          <w:szCs w:val="32"/>
        </w:rPr>
        <w:t>室</w:t>
      </w:r>
      <w:r>
        <w:rPr>
          <w:rFonts w:hint="eastAsia" w:ascii="Times New Roman" w:hAnsi="Times New Roman" w:eastAsia="仿宋_GB2312" w:cs="Times New Roman"/>
          <w:sz w:val="32"/>
          <w:szCs w:val="32"/>
          <w:lang w:eastAsia="zh-CN"/>
        </w:rPr>
        <w:t>及</w:t>
      </w:r>
      <w:r>
        <w:rPr>
          <w:rFonts w:hint="eastAsia" w:ascii="Times New Roman" w:hAnsi="Times New Roman" w:eastAsia="仿宋_GB2312" w:cs="Times New Roman"/>
          <w:sz w:val="32"/>
          <w:szCs w:val="32"/>
          <w:lang w:val="en-US" w:eastAsia="zh-CN"/>
        </w:rPr>
        <w:t>4个</w:t>
      </w:r>
      <w:r>
        <w:rPr>
          <w:rFonts w:hint="eastAsia" w:ascii="Times New Roman" w:hAnsi="Times New Roman" w:eastAsia="仿宋_GB2312" w:cs="Times New Roman"/>
          <w:sz w:val="32"/>
          <w:szCs w:val="32"/>
        </w:rPr>
        <w:t>基层人民法庭</w:t>
      </w:r>
      <w:r>
        <w:rPr>
          <w:rFonts w:hint="default" w:ascii="Times New Roman" w:hAnsi="Times New Roman" w:eastAsia="仿宋_GB2312" w:cs="Times New Roman"/>
          <w:sz w:val="32"/>
          <w:szCs w:val="32"/>
        </w:rPr>
        <w:t>。</w:t>
      </w:r>
    </w:p>
    <w:p w14:paraId="697DB3CC">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eastAsia"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shd w:val="clear" w:fill="FFFFFF"/>
          <w:lang w:val="zh-CN" w:eastAsia="zh-CN" w:bidi="ar-SA"/>
        </w:rPr>
        <w:t>（二）</w:t>
      </w:r>
      <w:r>
        <w:rPr>
          <w:rFonts w:hint="default" w:ascii="Times New Roman" w:hAnsi="Times New Roman" w:eastAsia="楷体_GB2312" w:cs="Times New Roman"/>
          <w:b/>
          <w:bCs/>
          <w:color w:val="000000"/>
          <w:kern w:val="0"/>
          <w:sz w:val="32"/>
          <w:szCs w:val="32"/>
          <w:highlight w:val="none"/>
          <w:shd w:val="clear" w:color="auto" w:fill="FFFFFF"/>
          <w:lang w:val="zh-CN"/>
        </w:rPr>
        <w:t>机构职能</w:t>
      </w:r>
      <w:r>
        <w:rPr>
          <w:rFonts w:hint="eastAsia" w:eastAsia="楷体_GB2312" w:cs="Times New Roman"/>
          <w:b/>
          <w:bCs/>
          <w:color w:val="000000"/>
          <w:kern w:val="0"/>
          <w:sz w:val="32"/>
          <w:szCs w:val="32"/>
          <w:highlight w:val="none"/>
          <w:shd w:val="clear" w:color="auto" w:fill="FFFFFF"/>
          <w:lang w:val="zh-CN"/>
        </w:rPr>
        <w:t>。</w:t>
      </w:r>
    </w:p>
    <w:p w14:paraId="27EC0866">
      <w:pPr>
        <w:widowControl/>
        <w:adjustRightInd w:val="0"/>
        <w:snapToGrid w:val="0"/>
        <w:spacing w:line="578" w:lineRule="exact"/>
        <w:ind w:firstLine="640" w:firstLineChars="200"/>
        <w:contextualSpacing/>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政治部（督察室）：负责本院干警的思想政治教育及培训、表彰、奖励和宣传工作；协助主管部门管理本院的机构编制、组织人事工作；办理《法官法》规定有关工作，承办法官考评委员会决定的有关事项；负责机关岗位目标管理；承办司法警察警衔呈报工作；负责院老干部管理服务工作及其人事管理。</w:t>
      </w:r>
    </w:p>
    <w:p w14:paraId="05A91BD5">
      <w:pPr>
        <w:widowControl/>
        <w:adjustRightInd w:val="0"/>
        <w:snapToGrid w:val="0"/>
        <w:spacing w:line="578" w:lineRule="exact"/>
        <w:ind w:firstLine="640" w:firstLineChars="200"/>
        <w:contextualSpacing/>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综合办公室：法院新闻宣传、舆论引导工作的组织协调工作；信息简报编辑工作；法院工作总结、工作意见、工作报告、领导讲话及工作汇报材料等综合文稿的起草工作；法院网站、微博、微信等自媒体的管理运营工作；摄影摄像及信息资料的管理工作；司法技术工作（鉴定、评估、等相关工作）；依法治县工作（含普法工作）。</w:t>
      </w:r>
    </w:p>
    <w:p w14:paraId="713C0458">
      <w:pPr>
        <w:widowControl/>
        <w:adjustRightInd w:val="0"/>
        <w:snapToGrid w:val="0"/>
        <w:spacing w:line="578" w:lineRule="exact"/>
        <w:ind w:firstLine="640" w:firstLineChars="200"/>
        <w:contextualSpacing/>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审判管理办公室（研究室）：上网裁判文书的审核工作；裁判文书的集中上网工作；裁判文书上网工作的管理、指导、监督。法院调研工作的组织协调工作；调研文章、典型案列的编辑工作；执行法律政策情况调查研究及适用法律政策的请示工作；学术论文征集工作；审判委员会日常事务工作。</w:t>
      </w:r>
    </w:p>
    <w:p w14:paraId="58F01370">
      <w:pPr>
        <w:widowControl/>
        <w:adjustRightInd w:val="0"/>
        <w:snapToGrid w:val="0"/>
        <w:spacing w:line="578" w:lineRule="exact"/>
        <w:ind w:firstLine="640" w:firstLineChars="200"/>
        <w:contextualSpacing/>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刑事审判庭：审理第一审普通刑事案件和上级人民法院指定管辖的刑事案件；严格执行程序法和实体法，确保实体公正、程序公正、操作规范；推进刑事审判工作的规范化建设；做好诉讼指导工作，为当事人依法、充分、有效行使诉讼权利提供服务；加强对刑事法律、法规和司法解释的学习，坚持集体研讨案件和重大疑难案件请示汇报制度，不断提高刑事审判队伍的司法能力；加强新形势下刑事审判工作的调查研究，不断总结新经验，发现新情况，解决新问题，提出新举措，推动刑事审判工作的顺利开展；坚持以审判为中心，积极参与社会治安综合治理，扩大办案效果，力求实现办案法律效果和社会效果的有机统一；做好刑事案件统计和统计数据的报送、利用工作。</w:t>
      </w:r>
    </w:p>
    <w:p w14:paraId="37FD559E">
      <w:pPr>
        <w:widowControl/>
        <w:adjustRightInd w:val="0"/>
        <w:snapToGrid w:val="0"/>
        <w:spacing w:line="578" w:lineRule="exact"/>
        <w:ind w:firstLine="640" w:firstLineChars="200"/>
        <w:contextualSpacing/>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民事审判庭：审理本院管辖的第一审民商事案件。包括婚姻、家庭、继承类纠纷，人身、财产损害赔偿纠纷，民间借贷纠纷，个人合伙纠纷，劳动、劳务争议纠纷，农村土地承包纠纷，矿产资源纠纷，不当得利、无因管理及埋藏物、遗失物、漂流物、拾得物权属纠纷，建设用地使用权、宅基使用权、地役权纠纷，相邻权纠纷，建筑物区分所有权及物业纠纷，土地、房屋买卖（转让）、租赁等房地产纠纷，建设工程合同纠纷，合同、借款、存单、证券、期货、保险、票据类纠纷，公司法以及其他企业法调整的民商事法律关系产生的纠纷及相应的侵权纠纷，企业皮产案件，知识产权案件，民商事仲裁的司法审查，涉三资企业的民商事纠纷案件、房地产及建设合同纠纷案件，其他应由民事审判庭审理的案件。</w:t>
      </w:r>
    </w:p>
    <w:p w14:paraId="0B14D106">
      <w:pPr>
        <w:widowControl/>
        <w:adjustRightInd w:val="0"/>
        <w:snapToGrid w:val="0"/>
        <w:spacing w:line="578" w:lineRule="exact"/>
        <w:ind w:firstLine="640" w:firstLineChars="200"/>
        <w:contextualSpacing/>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行政审判庭：审理第一审行政案件、行政赔偿案件和上级法院指令管辖的行政案件；依法执行行政机关作出的申请人民法院强制执行的行政处罚决定、行政处理决定；对本院受理的行政案件进行审查；严格执行程序法、实体法及上级法院、本院的相关规定；加强对行政法律法规、司法解释及执行法律法规的学习，坚持集体研讨案件和重大疑难案件汇报制度，不断提高本部门民事审判队伍的司法能力；做好本庭所承办行政案件、非诉执行案件统计和统计数据的报送、利用工作；</w:t>
      </w:r>
    </w:p>
    <w:p w14:paraId="624F6E64">
      <w:pPr>
        <w:widowControl/>
        <w:adjustRightInd w:val="0"/>
        <w:snapToGrid w:val="0"/>
        <w:spacing w:line="578" w:lineRule="exact"/>
        <w:ind w:firstLine="640" w:firstLineChars="200"/>
        <w:contextualSpacing/>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执行局：执行本院第一审发生法律效力的判决、裁定以及调解协议中有关财产的决定；执行法律规定的由本院执行的其他法律文书；办理委托移送执行和协助执行事宜。</w:t>
      </w:r>
    </w:p>
    <w:p w14:paraId="73F51185">
      <w:pPr>
        <w:widowControl/>
        <w:adjustRightInd w:val="0"/>
        <w:snapToGrid w:val="0"/>
        <w:spacing w:line="578" w:lineRule="exact"/>
        <w:ind w:firstLine="640" w:firstLineChars="200"/>
        <w:contextualSpacing/>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立案庭：依法做好本院刑事、民事、行政、国家赔偿、执行和申诉、申请再审等案件的审查、立案、登记、送达、网上公告送达、排期、移送工作；接待、处理各类来信、来访，做好申诉人、上访人的思想疏导和息诉、服判工作，参与社会治安综合治理，扩大办案的社会效果；监督、指导基层法院的立案和信访工作；按规定办理诉讼费、执行费用的收、交、减、缓、免等相关手续，并进行登记报批；充分发挥立案庭的窗口示范作用。</w:t>
      </w:r>
    </w:p>
    <w:p w14:paraId="222CFCAB">
      <w:pPr>
        <w:widowControl/>
        <w:adjustRightInd w:val="0"/>
        <w:snapToGrid w:val="0"/>
        <w:spacing w:line="578" w:lineRule="exact"/>
        <w:ind w:firstLine="640" w:firstLineChars="200"/>
        <w:contextualSpacing/>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司法警察大队：组织落实司法警察队伍建设的规划和措施；制定所辖院司法警察管理的规章制度并组织实施；检查、监督司法警察执行法律、法规的情况；组织司法警察的教育培训；管理或协同管理警司以下司法警察的警衔；管理司法警察的警用装备；协调跨区域的重大警务活动；组织司法警察完成检察长交办的其它任务。</w:t>
      </w:r>
    </w:p>
    <w:p w14:paraId="5478CB9C">
      <w:pPr>
        <w:widowControl/>
        <w:adjustRightInd w:val="0"/>
        <w:snapToGrid w:val="0"/>
        <w:spacing w:line="578" w:lineRule="exact"/>
        <w:ind w:firstLine="640" w:firstLineChars="200"/>
        <w:contextualSpacing/>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基层人民法庭：审理管辖内的各类一审民事案件及法治宣传工作。</w:t>
      </w:r>
    </w:p>
    <w:p w14:paraId="60BB218A">
      <w:pPr>
        <w:spacing w:line="600" w:lineRule="exact"/>
        <w:ind w:firstLine="643" w:firstLineChars="200"/>
        <w:rPr>
          <w:rFonts w:hint="eastAsia"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r>
        <w:rPr>
          <w:rFonts w:hint="eastAsia" w:eastAsia="楷体_GB2312"/>
          <w:b/>
          <w:bCs/>
          <w:color w:val="000000"/>
          <w:kern w:val="0"/>
          <w:sz w:val="32"/>
          <w:szCs w:val="32"/>
          <w:shd w:val="clear" w:color="auto" w:fill="FFFFFF"/>
          <w:lang w:val="zh-CN"/>
        </w:rPr>
        <w:t>。</w:t>
      </w:r>
    </w:p>
    <w:p w14:paraId="68887AB4">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截至2024年末，</w:t>
      </w:r>
      <w:r>
        <w:rPr>
          <w:rFonts w:hint="eastAsia" w:ascii="Times New Roman" w:hAnsi="Times New Roman" w:eastAsia="仿宋_GB2312" w:cs="Times New Roman"/>
          <w:sz w:val="32"/>
          <w:szCs w:val="32"/>
          <w:lang w:val="en-US" w:eastAsia="zh-CN"/>
        </w:rPr>
        <w:t>松潘县人民法院</w:t>
      </w:r>
      <w:r>
        <w:rPr>
          <w:rFonts w:hint="eastAsia" w:ascii="Times New Roman" w:hAnsi="Times New Roman" w:eastAsia="仿宋_GB2312" w:cs="Times New Roman"/>
          <w:sz w:val="32"/>
          <w:szCs w:val="32"/>
        </w:rPr>
        <w:t>属一级预算单位，独立编制机构数1个，独立核算机构数1个。松潘县人民法院机关行政编制55名,机关工勤人员编制7名。</w:t>
      </w:r>
      <w:r>
        <w:rPr>
          <w:rFonts w:hint="eastAsia" w:ascii="Times New Roman" w:hAnsi="Times New Roman" w:eastAsia="仿宋_GB2312" w:cs="Times New Roman"/>
          <w:sz w:val="32"/>
          <w:szCs w:val="32"/>
          <w:lang w:val="en-US" w:eastAsia="zh-CN"/>
        </w:rPr>
        <w:t>截止2024年末现有在职人员54名，其中：机关政法编制48名，机关工勤人员6名，退休人员31名。</w:t>
      </w:r>
    </w:p>
    <w:p w14:paraId="2CAC5DDD">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14:paraId="1C1AA71A">
      <w:pPr>
        <w:widowControl/>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p>
    <w:p w14:paraId="1CD4FE68">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松潘县人民法院2024年年初预算收入2216.76万元、决算报表收入2790.94万元（其中：财政拨款收入2216.76万元，其他收入574.18万元均为县级财政保障资金）。</w:t>
      </w:r>
    </w:p>
    <w:p w14:paraId="6A5574CC">
      <w:pPr>
        <w:widowControl/>
        <w:numPr>
          <w:ilvl w:val="0"/>
          <w:numId w:val="0"/>
        </w:numPr>
        <w:adjustRightInd w:val="0"/>
        <w:snapToGrid w:val="0"/>
        <w:spacing w:line="578" w:lineRule="exact"/>
        <w:ind w:left="0" w:leftChars="0" w:firstLine="643" w:firstLineChars="200"/>
        <w:contextualSpacing/>
        <w:jc w:val="left"/>
        <w:rPr>
          <w:rFonts w:eastAsia="楷体_GB2312"/>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fill="FFFFFF"/>
          <w:lang w:val="zh-CN" w:eastAsia="zh-CN" w:bidi="ar-SA"/>
        </w:rPr>
        <w:t>（三）</w:t>
      </w: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p>
    <w:p w14:paraId="6F341AF8">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eastAsia="zh-CN"/>
        </w:rPr>
      </w:pPr>
      <w:r>
        <w:rPr>
          <w:rFonts w:hint="eastAsia" w:ascii="Times New Roman" w:hAnsi="Times New Roman" w:eastAsia="仿宋_GB2312" w:cs="Times New Roman"/>
          <w:sz w:val="32"/>
          <w:szCs w:val="32"/>
          <w:lang w:val="en-US" w:eastAsia="zh-CN"/>
        </w:rPr>
        <w:t>松潘县人民法院2024年年初预算支出2216.76万元、决算报表支出2751.14万元。</w:t>
      </w:r>
    </w:p>
    <w:p w14:paraId="62B32A8C">
      <w:pPr>
        <w:widowControl/>
        <w:numPr>
          <w:ilvl w:val="0"/>
          <w:numId w:val="0"/>
        </w:numPr>
        <w:adjustRightInd w:val="0"/>
        <w:snapToGrid w:val="0"/>
        <w:spacing w:line="578" w:lineRule="exact"/>
        <w:ind w:firstLine="643" w:firstLineChars="200"/>
        <w:contextualSpacing/>
        <w:jc w:val="left"/>
        <w:rPr>
          <w:rFonts w:hint="eastAsia" w:eastAsia="楷体_GB2312"/>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fill="FFFFFF"/>
          <w:lang w:val="zh-CN" w:eastAsia="zh-CN" w:bidi="ar-SA"/>
        </w:rPr>
        <w:t>（三）</w:t>
      </w: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p>
    <w:p w14:paraId="6F501591">
      <w:pPr>
        <w:widowControl/>
        <w:numPr>
          <w:ilvl w:val="0"/>
          <w:numId w:val="0"/>
        </w:numPr>
        <w:adjustRightInd w:val="0"/>
        <w:snapToGrid w:val="0"/>
        <w:spacing w:line="578" w:lineRule="exact"/>
        <w:ind w:firstLine="640" w:firstLineChars="200"/>
        <w:contextualSpacing/>
        <w:jc w:val="left"/>
        <w:rPr>
          <w:rFonts w:eastAsia="仿宋_GB2312"/>
          <w:color w:val="000000"/>
          <w:kern w:val="0"/>
          <w:szCs w:val="32"/>
          <w:shd w:val="clear" w:color="auto" w:fill="FFFFFF"/>
          <w:lang w:val="zh-CN"/>
        </w:rPr>
      </w:pPr>
      <w:r>
        <w:rPr>
          <w:rFonts w:hint="eastAsia" w:ascii="Times New Roman" w:hAnsi="Times New Roman" w:eastAsia="仿宋_GB2312" w:cs="Times New Roman"/>
          <w:sz w:val="32"/>
          <w:szCs w:val="32"/>
          <w:lang w:val="en-US" w:eastAsia="zh-CN"/>
        </w:rPr>
        <w:t>松潘县人民法院</w:t>
      </w:r>
      <w:r>
        <w:rPr>
          <w:rFonts w:hint="eastAsia" w:eastAsia="仿宋_GB2312"/>
          <w:sz w:val="32"/>
          <w:szCs w:val="32"/>
        </w:rPr>
        <w:t>2024年决算报表</w:t>
      </w:r>
      <w:r>
        <w:rPr>
          <w:rFonts w:hint="eastAsia" w:eastAsia="仿宋_GB2312"/>
          <w:sz w:val="32"/>
          <w:szCs w:val="32"/>
          <w:lang w:val="en-US" w:eastAsia="zh-CN"/>
        </w:rPr>
        <w:t>非财政拨款结余39.8万元</w:t>
      </w:r>
      <w:r>
        <w:rPr>
          <w:rFonts w:eastAsia="仿宋_GB2312"/>
          <w:sz w:val="32"/>
          <w:szCs w:val="32"/>
        </w:rPr>
        <w:t>。</w:t>
      </w:r>
    </w:p>
    <w:p w14:paraId="33313935">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14:paraId="75B8797E">
      <w:pPr>
        <w:adjustRightInd w:val="0"/>
        <w:snapToGrid w:val="0"/>
        <w:spacing w:line="578" w:lineRule="exact"/>
        <w:ind w:firstLine="643" w:firstLineChars="200"/>
        <w:contextualSpacing/>
        <w:jc w:val="left"/>
        <w:rPr>
          <w:rFonts w:eastAsia="仿宋_GB2312" w:cs="仿宋_GB2312"/>
          <w:sz w:val="32"/>
          <w:szCs w:val="32"/>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14:paraId="2E7A2E00">
      <w:pPr>
        <w:adjustRightInd w:val="0"/>
        <w:snapToGrid w:val="0"/>
        <w:spacing w:line="578" w:lineRule="exact"/>
        <w:ind w:firstLine="640" w:firstLineChars="200"/>
        <w:contextualSpacing/>
        <w:jc w:val="left"/>
        <w:rPr>
          <w:rFonts w:hint="eastAsia" w:eastAsia="仿宋_GB2312" w:cs="仿宋_GB2312"/>
          <w:sz w:val="32"/>
          <w:szCs w:val="32"/>
          <w:lang w:val="zh-CN"/>
        </w:rPr>
      </w:pPr>
      <w:r>
        <w:rPr>
          <w:rFonts w:hint="eastAsia" w:eastAsia="仿宋_GB2312" w:cs="仿宋_GB2312"/>
          <w:sz w:val="32"/>
          <w:szCs w:val="32"/>
        </w:rPr>
        <w:t>1.</w:t>
      </w:r>
      <w:r>
        <w:rPr>
          <w:rFonts w:hint="eastAsia" w:eastAsia="仿宋_GB2312" w:cs="仿宋_GB2312"/>
          <w:sz w:val="32"/>
          <w:szCs w:val="32"/>
          <w:lang w:val="zh-CN"/>
        </w:rPr>
        <w:t>履职效能。</w:t>
      </w:r>
    </w:p>
    <w:p w14:paraId="3675EA96">
      <w:pPr>
        <w:adjustRightInd w:val="0"/>
        <w:snapToGrid w:val="0"/>
        <w:spacing w:line="578" w:lineRule="exact"/>
        <w:ind w:firstLine="640" w:firstLineChars="200"/>
        <w:contextualSpacing/>
        <w:jc w:val="left"/>
        <w:rPr>
          <w:rFonts w:hint="eastAsia" w:eastAsia="仿宋_GB2312" w:cs="仿宋_GB2312"/>
          <w:sz w:val="32"/>
          <w:szCs w:val="32"/>
          <w:lang w:val="zh-CN"/>
        </w:rPr>
      </w:pPr>
      <w:r>
        <w:rPr>
          <w:rFonts w:hint="eastAsia" w:eastAsia="仿宋_GB2312" w:cs="仿宋_GB2312"/>
          <w:sz w:val="32"/>
          <w:szCs w:val="32"/>
          <w:lang w:val="zh-CN"/>
        </w:rPr>
        <w:t>法院聚焦审判执行、司法为民、法治宣传等核心职能目标。审判执行工作中，依法公正审理各类案件，高效化解矛盾纠纷，全年结案率等关键指标良好，维护了社会公平正义；司法为民方面，推进诉讼服务中心建设，优化立案、信访等服务，让群众打官司更便捷；法治宣传上，开展多场进社区、进校园等普法活动，增强群众法治意识，核心职能目标完成效果较好。</w:t>
      </w:r>
    </w:p>
    <w:p w14:paraId="54BACB78">
      <w:pPr>
        <w:adjustRightInd w:val="0"/>
        <w:snapToGrid w:val="0"/>
        <w:spacing w:line="578" w:lineRule="exact"/>
        <w:ind w:firstLine="640" w:firstLineChars="200"/>
        <w:contextualSpacing/>
        <w:jc w:val="left"/>
        <w:rPr>
          <w:rFonts w:hint="eastAsia" w:eastAsia="仿宋_GB2312" w:cs="仿宋_GB2312"/>
          <w:sz w:val="32"/>
          <w:szCs w:val="32"/>
          <w:lang w:val="zh-CN"/>
        </w:rPr>
      </w:pPr>
      <w:r>
        <w:rPr>
          <w:rFonts w:hint="eastAsia" w:eastAsia="仿宋_GB2312" w:cs="仿宋_GB2312"/>
          <w:sz w:val="32"/>
          <w:szCs w:val="32"/>
          <w:lang w:val="zh-CN"/>
        </w:rPr>
        <w:t>全年共受理</w:t>
      </w:r>
      <w:r>
        <w:rPr>
          <w:rFonts w:hint="eastAsia" w:eastAsia="仿宋_GB2312" w:cs="仿宋_GB2312"/>
          <w:sz w:val="32"/>
          <w:szCs w:val="32"/>
          <w:lang w:val="en-US" w:eastAsia="zh-CN"/>
        </w:rPr>
        <w:t>各类</w:t>
      </w:r>
      <w:r>
        <w:rPr>
          <w:rFonts w:hint="eastAsia" w:eastAsia="仿宋_GB2312" w:cs="仿宋_GB2312"/>
          <w:sz w:val="32"/>
          <w:szCs w:val="32"/>
          <w:lang w:val="zh-CN"/>
        </w:rPr>
        <w:t>案件</w:t>
      </w:r>
      <w:r>
        <w:rPr>
          <w:rFonts w:hint="eastAsia" w:eastAsia="仿宋_GB2312" w:cs="仿宋_GB2312"/>
          <w:sz w:val="32"/>
          <w:szCs w:val="32"/>
          <w:lang w:val="en-US" w:eastAsia="zh-CN"/>
        </w:rPr>
        <w:t>955</w:t>
      </w:r>
      <w:r>
        <w:rPr>
          <w:rFonts w:hint="eastAsia" w:eastAsia="仿宋_GB2312" w:cs="仿宋_GB2312"/>
          <w:sz w:val="32"/>
          <w:szCs w:val="32"/>
          <w:lang w:val="zh-CN"/>
        </w:rPr>
        <w:t>件</w:t>
      </w:r>
      <w:r>
        <w:rPr>
          <w:rFonts w:hint="eastAsia" w:eastAsia="仿宋_GB2312" w:cs="仿宋_GB2312"/>
          <w:sz w:val="32"/>
          <w:szCs w:val="32"/>
          <w:lang w:val="zh-CN" w:eastAsia="zh-CN"/>
        </w:rPr>
        <w:t>（不含</w:t>
      </w:r>
      <w:r>
        <w:rPr>
          <w:rFonts w:hint="eastAsia" w:eastAsia="仿宋_GB2312" w:cs="仿宋_GB2312"/>
          <w:sz w:val="32"/>
          <w:szCs w:val="32"/>
          <w:lang w:val="en-US" w:eastAsia="zh-CN"/>
        </w:rPr>
        <w:t>执恢、执保</w:t>
      </w:r>
      <w:r>
        <w:rPr>
          <w:rFonts w:hint="eastAsia" w:eastAsia="仿宋_GB2312" w:cs="仿宋_GB2312"/>
          <w:sz w:val="32"/>
          <w:szCs w:val="32"/>
          <w:lang w:val="zh-CN" w:eastAsia="zh-CN"/>
        </w:rPr>
        <w:t>）</w:t>
      </w:r>
      <w:r>
        <w:rPr>
          <w:rFonts w:hint="eastAsia" w:eastAsia="仿宋_GB2312" w:cs="仿宋_GB2312"/>
          <w:sz w:val="32"/>
          <w:szCs w:val="32"/>
          <w:lang w:val="zh-CN"/>
        </w:rPr>
        <w:t>，审（执）结</w:t>
      </w:r>
      <w:r>
        <w:rPr>
          <w:rFonts w:hint="eastAsia" w:eastAsia="仿宋_GB2312" w:cs="仿宋_GB2312"/>
          <w:sz w:val="32"/>
          <w:szCs w:val="32"/>
          <w:lang w:val="en-US" w:eastAsia="zh-CN"/>
        </w:rPr>
        <w:t>908</w:t>
      </w:r>
      <w:r>
        <w:rPr>
          <w:rFonts w:hint="eastAsia" w:eastAsia="仿宋_GB2312" w:cs="仿宋_GB2312"/>
          <w:sz w:val="32"/>
          <w:szCs w:val="32"/>
          <w:lang w:val="zh-CN"/>
        </w:rPr>
        <w:t>件，法定审限内结案率</w:t>
      </w:r>
      <w:r>
        <w:rPr>
          <w:rFonts w:hint="eastAsia" w:eastAsia="仿宋_GB2312" w:cs="仿宋_GB2312"/>
          <w:sz w:val="32"/>
          <w:szCs w:val="32"/>
          <w:lang w:val="en-US" w:eastAsia="zh-CN"/>
        </w:rPr>
        <w:t>95.08</w:t>
      </w:r>
      <w:r>
        <w:rPr>
          <w:rFonts w:hint="eastAsia" w:eastAsia="仿宋_GB2312" w:cs="仿宋_GB2312"/>
          <w:sz w:val="32"/>
          <w:szCs w:val="32"/>
          <w:lang w:val="zh-CN"/>
        </w:rPr>
        <w:t>%</w:t>
      </w:r>
      <w:r>
        <w:rPr>
          <w:rFonts w:hint="eastAsia" w:eastAsia="仿宋_GB2312" w:cs="仿宋_GB2312"/>
          <w:sz w:val="32"/>
          <w:szCs w:val="32"/>
          <w:lang w:val="zh-CN" w:eastAsia="zh-CN"/>
        </w:rPr>
        <w:t>，</w:t>
      </w:r>
      <w:r>
        <w:rPr>
          <w:rFonts w:hint="eastAsia" w:eastAsia="仿宋_GB2312" w:cs="仿宋_GB2312"/>
          <w:sz w:val="32"/>
          <w:szCs w:val="32"/>
          <w:lang w:val="en-US" w:eastAsia="zh-CN"/>
        </w:rPr>
        <w:t>结收比97.32%</w:t>
      </w:r>
      <w:r>
        <w:rPr>
          <w:rFonts w:hint="eastAsia" w:eastAsia="仿宋_GB2312" w:cs="仿宋_GB2312"/>
          <w:sz w:val="32"/>
          <w:szCs w:val="32"/>
          <w:lang w:val="zh-CN"/>
        </w:rPr>
        <w:t>。受理各类刑事案件</w:t>
      </w:r>
      <w:r>
        <w:rPr>
          <w:rFonts w:hint="eastAsia" w:eastAsia="仿宋_GB2312" w:cs="仿宋_GB2312"/>
          <w:sz w:val="32"/>
          <w:szCs w:val="32"/>
          <w:lang w:val="en-US" w:eastAsia="zh-CN"/>
        </w:rPr>
        <w:t>35</w:t>
      </w:r>
      <w:r>
        <w:rPr>
          <w:rFonts w:hint="eastAsia" w:eastAsia="仿宋_GB2312" w:cs="仿宋_GB2312"/>
          <w:sz w:val="32"/>
          <w:szCs w:val="32"/>
          <w:lang w:val="zh-CN"/>
        </w:rPr>
        <w:t>件，审结</w:t>
      </w:r>
      <w:r>
        <w:rPr>
          <w:rFonts w:hint="eastAsia" w:eastAsia="仿宋_GB2312" w:cs="仿宋_GB2312"/>
          <w:sz w:val="32"/>
          <w:szCs w:val="32"/>
          <w:lang w:val="en-US" w:eastAsia="zh-CN"/>
        </w:rPr>
        <w:t>34</w:t>
      </w:r>
      <w:r>
        <w:rPr>
          <w:rFonts w:hint="eastAsia" w:eastAsia="仿宋_GB2312" w:cs="仿宋_GB2312"/>
          <w:sz w:val="32"/>
          <w:szCs w:val="32"/>
          <w:lang w:val="zh-CN"/>
        </w:rPr>
        <w:t>件，结案率为</w:t>
      </w:r>
      <w:r>
        <w:rPr>
          <w:rFonts w:hint="eastAsia" w:eastAsia="仿宋_GB2312" w:cs="仿宋_GB2312"/>
          <w:sz w:val="32"/>
          <w:szCs w:val="32"/>
          <w:lang w:val="en-US" w:eastAsia="zh-CN"/>
        </w:rPr>
        <w:t>97.14%；</w:t>
      </w:r>
      <w:r>
        <w:rPr>
          <w:rFonts w:hint="eastAsia" w:eastAsia="仿宋_GB2312" w:cs="仿宋_GB2312"/>
          <w:sz w:val="32"/>
          <w:szCs w:val="32"/>
          <w:lang w:val="zh-CN"/>
        </w:rPr>
        <w:t>受理民事案件</w:t>
      </w:r>
      <w:r>
        <w:rPr>
          <w:rFonts w:hint="eastAsia" w:eastAsia="仿宋_GB2312" w:cs="仿宋_GB2312"/>
          <w:sz w:val="32"/>
          <w:szCs w:val="32"/>
          <w:lang w:val="en-US" w:eastAsia="zh-CN"/>
        </w:rPr>
        <w:t>653</w:t>
      </w:r>
      <w:r>
        <w:rPr>
          <w:rFonts w:hint="eastAsia" w:eastAsia="仿宋_GB2312" w:cs="仿宋_GB2312"/>
          <w:sz w:val="32"/>
          <w:szCs w:val="32"/>
          <w:lang w:val="zh-CN"/>
        </w:rPr>
        <w:t>件，审结</w:t>
      </w:r>
      <w:r>
        <w:rPr>
          <w:rFonts w:hint="eastAsia" w:eastAsia="仿宋_GB2312" w:cs="仿宋_GB2312"/>
          <w:sz w:val="32"/>
          <w:szCs w:val="32"/>
          <w:lang w:val="en-US" w:eastAsia="zh-CN"/>
        </w:rPr>
        <w:t>639</w:t>
      </w:r>
      <w:r>
        <w:rPr>
          <w:rFonts w:hint="eastAsia" w:eastAsia="仿宋_GB2312" w:cs="仿宋_GB2312"/>
          <w:sz w:val="32"/>
          <w:szCs w:val="32"/>
          <w:lang w:val="zh-CN"/>
        </w:rPr>
        <w:t>件，结案率为9</w:t>
      </w:r>
      <w:r>
        <w:rPr>
          <w:rFonts w:hint="eastAsia" w:eastAsia="仿宋_GB2312" w:cs="仿宋_GB2312"/>
          <w:sz w:val="32"/>
          <w:szCs w:val="32"/>
          <w:lang w:val="en-US" w:eastAsia="zh-CN"/>
        </w:rPr>
        <w:t>7.86</w:t>
      </w:r>
      <w:r>
        <w:rPr>
          <w:rFonts w:hint="eastAsia" w:eastAsia="仿宋_GB2312" w:cs="仿宋_GB2312"/>
          <w:sz w:val="32"/>
          <w:szCs w:val="32"/>
          <w:lang w:val="zh-CN"/>
        </w:rPr>
        <w:t>%</w:t>
      </w:r>
      <w:r>
        <w:rPr>
          <w:rFonts w:hint="eastAsia" w:eastAsia="仿宋_GB2312" w:cs="仿宋_GB2312"/>
          <w:sz w:val="32"/>
          <w:szCs w:val="32"/>
          <w:lang w:val="zh-CN" w:eastAsia="zh-CN"/>
        </w:rPr>
        <w:t>；</w:t>
      </w:r>
      <w:r>
        <w:rPr>
          <w:rFonts w:hint="eastAsia" w:eastAsia="仿宋_GB2312" w:cs="仿宋_GB2312"/>
          <w:sz w:val="32"/>
          <w:szCs w:val="32"/>
          <w:lang w:val="zh-CN"/>
        </w:rPr>
        <w:t>受理</w:t>
      </w:r>
      <w:r>
        <w:rPr>
          <w:rFonts w:hint="eastAsia" w:eastAsia="仿宋_GB2312" w:cs="仿宋_GB2312"/>
          <w:sz w:val="32"/>
          <w:szCs w:val="32"/>
          <w:lang w:val="en-US" w:eastAsia="zh-CN"/>
        </w:rPr>
        <w:t>行政</w:t>
      </w:r>
      <w:r>
        <w:rPr>
          <w:rFonts w:hint="eastAsia" w:eastAsia="仿宋_GB2312" w:cs="仿宋_GB2312"/>
          <w:sz w:val="32"/>
          <w:szCs w:val="32"/>
          <w:lang w:val="zh-CN"/>
        </w:rPr>
        <w:t>案件</w:t>
      </w:r>
      <w:r>
        <w:rPr>
          <w:rFonts w:hint="eastAsia" w:eastAsia="仿宋_GB2312" w:cs="仿宋_GB2312"/>
          <w:sz w:val="32"/>
          <w:szCs w:val="32"/>
          <w:lang w:val="en-US" w:eastAsia="zh-CN"/>
        </w:rPr>
        <w:t>8</w:t>
      </w:r>
      <w:r>
        <w:rPr>
          <w:rFonts w:hint="eastAsia" w:eastAsia="仿宋_GB2312" w:cs="仿宋_GB2312"/>
          <w:sz w:val="32"/>
          <w:szCs w:val="32"/>
          <w:lang w:val="zh-CN"/>
        </w:rPr>
        <w:t>件，审结</w:t>
      </w:r>
      <w:r>
        <w:rPr>
          <w:rFonts w:hint="eastAsia" w:eastAsia="仿宋_GB2312" w:cs="仿宋_GB2312"/>
          <w:sz w:val="32"/>
          <w:szCs w:val="32"/>
          <w:lang w:val="en-US" w:eastAsia="zh-CN"/>
        </w:rPr>
        <w:t>7</w:t>
      </w:r>
      <w:r>
        <w:rPr>
          <w:rFonts w:hint="eastAsia" w:eastAsia="仿宋_GB2312" w:cs="仿宋_GB2312"/>
          <w:sz w:val="32"/>
          <w:szCs w:val="32"/>
          <w:lang w:val="zh-CN"/>
        </w:rPr>
        <w:t>件，结案率为</w:t>
      </w:r>
      <w:r>
        <w:rPr>
          <w:rFonts w:hint="eastAsia" w:eastAsia="仿宋_GB2312" w:cs="仿宋_GB2312"/>
          <w:sz w:val="32"/>
          <w:szCs w:val="32"/>
          <w:lang w:val="en-US" w:eastAsia="zh-CN"/>
        </w:rPr>
        <w:t>87.5</w:t>
      </w:r>
      <w:r>
        <w:rPr>
          <w:rFonts w:hint="eastAsia" w:eastAsia="仿宋_GB2312" w:cs="仿宋_GB2312"/>
          <w:sz w:val="32"/>
          <w:szCs w:val="32"/>
          <w:lang w:val="zh-CN"/>
        </w:rPr>
        <w:t>%</w:t>
      </w:r>
      <w:r>
        <w:rPr>
          <w:rFonts w:hint="eastAsia" w:eastAsia="仿宋_GB2312" w:cs="仿宋_GB2312"/>
          <w:sz w:val="32"/>
          <w:szCs w:val="32"/>
          <w:lang w:val="zh-CN" w:eastAsia="zh-CN"/>
        </w:rPr>
        <w:t>；</w:t>
      </w:r>
      <w:r>
        <w:rPr>
          <w:rFonts w:hint="eastAsia" w:eastAsia="仿宋_GB2312" w:cs="仿宋_GB2312"/>
          <w:sz w:val="32"/>
          <w:szCs w:val="32"/>
          <w:lang w:val="zh-CN"/>
        </w:rPr>
        <w:t>受理</w:t>
      </w:r>
      <w:r>
        <w:rPr>
          <w:rFonts w:hint="eastAsia" w:eastAsia="仿宋_GB2312" w:cs="仿宋_GB2312"/>
          <w:sz w:val="32"/>
          <w:szCs w:val="32"/>
          <w:lang w:val="en-US" w:eastAsia="zh-CN"/>
        </w:rPr>
        <w:t>司法救助</w:t>
      </w:r>
      <w:r>
        <w:rPr>
          <w:rFonts w:hint="eastAsia" w:eastAsia="仿宋_GB2312" w:cs="仿宋_GB2312"/>
          <w:sz w:val="32"/>
          <w:szCs w:val="32"/>
          <w:lang w:val="zh-CN"/>
        </w:rPr>
        <w:t>案件</w:t>
      </w:r>
      <w:r>
        <w:rPr>
          <w:rFonts w:hint="eastAsia" w:eastAsia="仿宋_GB2312" w:cs="仿宋_GB2312"/>
          <w:sz w:val="32"/>
          <w:szCs w:val="32"/>
          <w:lang w:val="en-US" w:eastAsia="zh-CN"/>
        </w:rPr>
        <w:t>37</w:t>
      </w:r>
      <w:r>
        <w:rPr>
          <w:rFonts w:hint="eastAsia" w:eastAsia="仿宋_GB2312" w:cs="仿宋_GB2312"/>
          <w:sz w:val="32"/>
          <w:szCs w:val="32"/>
          <w:lang w:val="zh-CN"/>
        </w:rPr>
        <w:t>件，审结</w:t>
      </w:r>
      <w:r>
        <w:rPr>
          <w:rFonts w:hint="eastAsia" w:eastAsia="仿宋_GB2312" w:cs="仿宋_GB2312"/>
          <w:sz w:val="32"/>
          <w:szCs w:val="32"/>
          <w:lang w:val="en-US" w:eastAsia="zh-CN"/>
        </w:rPr>
        <w:t>37</w:t>
      </w:r>
      <w:r>
        <w:rPr>
          <w:rFonts w:hint="eastAsia" w:eastAsia="仿宋_GB2312" w:cs="仿宋_GB2312"/>
          <w:sz w:val="32"/>
          <w:szCs w:val="32"/>
          <w:lang w:val="zh-CN"/>
        </w:rPr>
        <w:t>件，结案率为</w:t>
      </w:r>
      <w:r>
        <w:rPr>
          <w:rFonts w:hint="eastAsia" w:eastAsia="仿宋_GB2312" w:cs="仿宋_GB2312"/>
          <w:sz w:val="32"/>
          <w:szCs w:val="32"/>
          <w:lang w:val="en-US" w:eastAsia="zh-CN"/>
        </w:rPr>
        <w:t>100</w:t>
      </w:r>
      <w:r>
        <w:rPr>
          <w:rFonts w:hint="eastAsia" w:eastAsia="仿宋_GB2312" w:cs="仿宋_GB2312"/>
          <w:sz w:val="32"/>
          <w:szCs w:val="32"/>
          <w:lang w:val="zh-CN"/>
        </w:rPr>
        <w:t>%</w:t>
      </w:r>
      <w:r>
        <w:rPr>
          <w:rFonts w:hint="eastAsia" w:eastAsia="仿宋_GB2312" w:cs="仿宋_GB2312"/>
          <w:sz w:val="32"/>
          <w:szCs w:val="32"/>
          <w:lang w:val="zh-CN" w:eastAsia="zh-CN"/>
        </w:rPr>
        <w:t>；</w:t>
      </w:r>
      <w:r>
        <w:rPr>
          <w:rFonts w:hint="eastAsia" w:eastAsia="仿宋_GB2312" w:cs="仿宋_GB2312"/>
          <w:sz w:val="32"/>
          <w:szCs w:val="32"/>
          <w:lang w:val="zh-CN"/>
        </w:rPr>
        <w:t>受理执行案件</w:t>
      </w:r>
      <w:r>
        <w:rPr>
          <w:rFonts w:hint="eastAsia" w:eastAsia="仿宋_GB2312" w:cs="仿宋_GB2312"/>
          <w:sz w:val="32"/>
          <w:szCs w:val="32"/>
          <w:lang w:val="en-US" w:eastAsia="zh-CN"/>
        </w:rPr>
        <w:t>196件</w:t>
      </w:r>
      <w:r>
        <w:rPr>
          <w:rFonts w:hint="eastAsia" w:eastAsia="仿宋_GB2312" w:cs="仿宋_GB2312"/>
          <w:sz w:val="32"/>
          <w:szCs w:val="32"/>
          <w:lang w:val="zh-CN"/>
        </w:rPr>
        <w:t>，执结</w:t>
      </w:r>
      <w:r>
        <w:rPr>
          <w:rFonts w:hint="eastAsia" w:eastAsia="仿宋_GB2312" w:cs="仿宋_GB2312"/>
          <w:sz w:val="32"/>
          <w:szCs w:val="32"/>
          <w:lang w:val="en-US" w:eastAsia="zh-CN"/>
        </w:rPr>
        <w:t>165</w:t>
      </w:r>
      <w:r>
        <w:rPr>
          <w:rFonts w:hint="eastAsia" w:eastAsia="仿宋_GB2312" w:cs="仿宋_GB2312"/>
          <w:sz w:val="32"/>
          <w:szCs w:val="32"/>
          <w:lang w:val="zh-CN"/>
        </w:rPr>
        <w:t>件，结案率为</w:t>
      </w:r>
      <w:r>
        <w:rPr>
          <w:rFonts w:hint="eastAsia" w:eastAsia="仿宋_GB2312" w:cs="仿宋_GB2312"/>
          <w:sz w:val="32"/>
          <w:szCs w:val="32"/>
          <w:lang w:val="en-US" w:eastAsia="zh-CN"/>
        </w:rPr>
        <w:t>84.18</w:t>
      </w:r>
      <w:r>
        <w:rPr>
          <w:rFonts w:hint="eastAsia" w:eastAsia="仿宋_GB2312" w:cs="仿宋_GB2312"/>
          <w:sz w:val="32"/>
          <w:szCs w:val="32"/>
          <w:lang w:val="zh-CN"/>
        </w:rPr>
        <w:t>%</w:t>
      </w:r>
      <w:r>
        <w:rPr>
          <w:rFonts w:hint="eastAsia" w:eastAsia="仿宋_GB2312" w:cs="仿宋_GB2312"/>
          <w:sz w:val="32"/>
          <w:szCs w:val="32"/>
          <w:lang w:val="zh-CN" w:eastAsia="zh-CN"/>
        </w:rPr>
        <w:t>，</w:t>
      </w:r>
      <w:r>
        <w:rPr>
          <w:rFonts w:hint="eastAsia" w:eastAsia="仿宋_GB2312" w:cs="仿宋_GB2312"/>
          <w:sz w:val="32"/>
          <w:szCs w:val="32"/>
          <w:lang w:val="en-US" w:eastAsia="zh-CN"/>
        </w:rPr>
        <w:t>实际执行到位5678.68万元；</w:t>
      </w:r>
      <w:r>
        <w:rPr>
          <w:rFonts w:hint="eastAsia" w:eastAsia="仿宋_GB2312" w:cs="仿宋_GB2312"/>
          <w:sz w:val="32"/>
          <w:szCs w:val="32"/>
          <w:lang w:val="zh-CN"/>
        </w:rPr>
        <w:t>受理</w:t>
      </w:r>
      <w:r>
        <w:rPr>
          <w:rFonts w:hint="eastAsia" w:eastAsia="仿宋_GB2312" w:cs="仿宋_GB2312"/>
          <w:sz w:val="32"/>
          <w:szCs w:val="32"/>
          <w:lang w:val="en-US" w:eastAsia="zh-CN"/>
        </w:rPr>
        <w:t>强制清算与破产</w:t>
      </w:r>
      <w:r>
        <w:rPr>
          <w:rFonts w:hint="eastAsia" w:eastAsia="仿宋_GB2312" w:cs="仿宋_GB2312"/>
          <w:sz w:val="32"/>
          <w:szCs w:val="32"/>
          <w:lang w:val="zh-CN"/>
        </w:rPr>
        <w:t>案件</w:t>
      </w:r>
      <w:r>
        <w:rPr>
          <w:rFonts w:hint="eastAsia" w:eastAsia="仿宋_GB2312" w:cs="仿宋_GB2312"/>
          <w:sz w:val="32"/>
          <w:szCs w:val="32"/>
          <w:lang w:val="en-US" w:eastAsia="zh-CN"/>
        </w:rPr>
        <w:t>4</w:t>
      </w:r>
      <w:r>
        <w:rPr>
          <w:rFonts w:hint="eastAsia" w:eastAsia="仿宋_GB2312" w:cs="仿宋_GB2312"/>
          <w:sz w:val="32"/>
          <w:szCs w:val="32"/>
          <w:lang w:val="zh-CN"/>
        </w:rPr>
        <w:t>件，审结</w:t>
      </w:r>
      <w:r>
        <w:rPr>
          <w:rFonts w:hint="eastAsia" w:eastAsia="仿宋_GB2312" w:cs="仿宋_GB2312"/>
          <w:sz w:val="32"/>
          <w:szCs w:val="32"/>
          <w:lang w:val="en-US" w:eastAsia="zh-CN"/>
        </w:rPr>
        <w:t>4</w:t>
      </w:r>
      <w:r>
        <w:rPr>
          <w:rFonts w:hint="eastAsia" w:eastAsia="仿宋_GB2312" w:cs="仿宋_GB2312"/>
          <w:sz w:val="32"/>
          <w:szCs w:val="32"/>
          <w:lang w:val="zh-CN"/>
        </w:rPr>
        <w:t>件，结案率为</w:t>
      </w:r>
      <w:r>
        <w:rPr>
          <w:rFonts w:hint="eastAsia" w:eastAsia="仿宋_GB2312" w:cs="仿宋_GB2312"/>
          <w:sz w:val="32"/>
          <w:szCs w:val="32"/>
          <w:lang w:val="en-US" w:eastAsia="zh-CN"/>
        </w:rPr>
        <w:t>100</w:t>
      </w:r>
      <w:r>
        <w:rPr>
          <w:rFonts w:hint="eastAsia" w:eastAsia="仿宋_GB2312" w:cs="仿宋_GB2312"/>
          <w:sz w:val="32"/>
          <w:szCs w:val="32"/>
          <w:lang w:val="zh-CN"/>
        </w:rPr>
        <w:t>%</w:t>
      </w:r>
      <w:r>
        <w:rPr>
          <w:rFonts w:hint="eastAsia" w:eastAsia="仿宋_GB2312" w:cs="仿宋_GB2312"/>
          <w:sz w:val="32"/>
          <w:szCs w:val="32"/>
          <w:lang w:val="zh-CN" w:eastAsia="zh-CN"/>
        </w:rPr>
        <w:t>；</w:t>
      </w:r>
      <w:r>
        <w:rPr>
          <w:rFonts w:hint="eastAsia" w:eastAsia="仿宋_GB2312" w:cs="仿宋_GB2312"/>
          <w:sz w:val="32"/>
          <w:szCs w:val="32"/>
          <w:lang w:val="zh-CN"/>
        </w:rPr>
        <w:t>受理</w:t>
      </w:r>
      <w:r>
        <w:rPr>
          <w:rFonts w:hint="eastAsia" w:eastAsia="仿宋_GB2312" w:cs="仿宋_GB2312"/>
          <w:sz w:val="32"/>
          <w:szCs w:val="32"/>
          <w:lang w:val="en-US" w:eastAsia="zh-CN"/>
        </w:rPr>
        <w:t>其他</w:t>
      </w:r>
      <w:r>
        <w:rPr>
          <w:rFonts w:hint="eastAsia" w:eastAsia="仿宋_GB2312" w:cs="仿宋_GB2312"/>
          <w:sz w:val="32"/>
          <w:szCs w:val="32"/>
          <w:lang w:val="zh-CN"/>
        </w:rPr>
        <w:t>案件</w:t>
      </w:r>
      <w:r>
        <w:rPr>
          <w:rFonts w:hint="eastAsia" w:eastAsia="仿宋_GB2312" w:cs="仿宋_GB2312"/>
          <w:sz w:val="32"/>
          <w:szCs w:val="32"/>
          <w:lang w:val="en-US" w:eastAsia="zh-CN"/>
        </w:rPr>
        <w:t>22</w:t>
      </w:r>
      <w:r>
        <w:rPr>
          <w:rFonts w:hint="eastAsia" w:eastAsia="仿宋_GB2312" w:cs="仿宋_GB2312"/>
          <w:sz w:val="32"/>
          <w:szCs w:val="32"/>
          <w:lang w:val="zh-CN"/>
        </w:rPr>
        <w:t>件，审结</w:t>
      </w:r>
      <w:r>
        <w:rPr>
          <w:rFonts w:hint="eastAsia" w:eastAsia="仿宋_GB2312" w:cs="仿宋_GB2312"/>
          <w:sz w:val="32"/>
          <w:szCs w:val="32"/>
          <w:lang w:val="en-US" w:eastAsia="zh-CN"/>
        </w:rPr>
        <w:t>22</w:t>
      </w:r>
      <w:r>
        <w:rPr>
          <w:rFonts w:hint="eastAsia" w:eastAsia="仿宋_GB2312" w:cs="仿宋_GB2312"/>
          <w:sz w:val="32"/>
          <w:szCs w:val="32"/>
          <w:lang w:val="zh-CN"/>
        </w:rPr>
        <w:t>件，结案率为</w:t>
      </w:r>
      <w:r>
        <w:rPr>
          <w:rFonts w:hint="eastAsia" w:eastAsia="仿宋_GB2312" w:cs="仿宋_GB2312"/>
          <w:sz w:val="32"/>
          <w:szCs w:val="32"/>
          <w:lang w:val="en-US" w:eastAsia="zh-CN"/>
        </w:rPr>
        <w:t>100</w:t>
      </w:r>
      <w:r>
        <w:rPr>
          <w:rFonts w:hint="eastAsia" w:eastAsia="仿宋_GB2312" w:cs="仿宋_GB2312"/>
          <w:sz w:val="32"/>
          <w:szCs w:val="32"/>
          <w:lang w:val="zh-CN"/>
        </w:rPr>
        <w:t>%。</w:t>
      </w:r>
    </w:p>
    <w:p w14:paraId="5FDF9657">
      <w:pPr>
        <w:numPr>
          <w:ilvl w:val="0"/>
          <w:numId w:val="0"/>
        </w:numPr>
        <w:adjustRightInd w:val="0"/>
        <w:snapToGrid w:val="0"/>
        <w:spacing w:line="578" w:lineRule="exact"/>
        <w:ind w:firstLine="640" w:firstLineChars="200"/>
        <w:contextualSpacing/>
        <w:jc w:val="left"/>
        <w:rPr>
          <w:rFonts w:hint="eastAsia" w:eastAsia="仿宋_GB2312" w:cs="仿宋_GB2312"/>
          <w:sz w:val="32"/>
          <w:szCs w:val="32"/>
          <w:lang w:val="zh-CN"/>
        </w:rPr>
      </w:pPr>
      <w:r>
        <w:rPr>
          <w:rFonts w:hint="eastAsia" w:eastAsia="仿宋_GB2312" w:cs="仿宋_GB2312"/>
          <w:sz w:val="32"/>
          <w:szCs w:val="32"/>
          <w:lang w:val="en-US" w:eastAsia="zh-CN"/>
        </w:rPr>
        <w:t>2.</w:t>
      </w:r>
      <w:r>
        <w:rPr>
          <w:rFonts w:eastAsia="仿宋_GB2312" w:cs="仿宋_GB2312"/>
          <w:sz w:val="32"/>
          <w:szCs w:val="32"/>
          <w:lang w:val="zh-CN"/>
        </w:rPr>
        <w:t>预算管理</w:t>
      </w:r>
      <w:r>
        <w:rPr>
          <w:rFonts w:hint="eastAsia" w:eastAsia="仿宋_GB2312" w:cs="仿宋_GB2312"/>
          <w:sz w:val="32"/>
          <w:szCs w:val="32"/>
          <w:lang w:val="zh-CN"/>
        </w:rPr>
        <w:t>。</w:t>
      </w:r>
    </w:p>
    <w:p w14:paraId="761BC652">
      <w:pPr>
        <w:numPr>
          <w:ilvl w:val="0"/>
          <w:numId w:val="0"/>
        </w:numPr>
        <w:adjustRightInd w:val="0"/>
        <w:snapToGrid w:val="0"/>
        <w:spacing w:line="578" w:lineRule="exact"/>
        <w:contextualSpacing/>
        <w:jc w:val="left"/>
        <w:rPr>
          <w:rFonts w:hint="default" w:eastAsia="仿宋_GB2312" w:cs="仿宋_GB2312"/>
          <w:sz w:val="32"/>
          <w:szCs w:val="32"/>
          <w:lang w:val="en-US" w:eastAsia="zh-CN"/>
        </w:rPr>
      </w:pPr>
      <w:r>
        <w:rPr>
          <w:rFonts w:hint="eastAsia" w:eastAsia="仿宋_GB2312" w:cs="仿宋_GB2312"/>
          <w:sz w:val="32"/>
          <w:szCs w:val="32"/>
          <w:lang w:val="en-US" w:eastAsia="zh-CN"/>
        </w:rPr>
        <w:t xml:space="preserve">    预算编制质量较高，结合法院工作实际与政策要求，科学合理规划资金用途；单位收入统筹到位，各类财政资金及其他合法收入均按规定纳入预算管理；支出执行进度理想，工资性支出、单位缴费、聘用人员经费等项目预算执行率达100%，预算年终结余少；严格控制一般性支出，在办公经费等方面厉行节约，提升资金使用效益。</w:t>
      </w:r>
      <w:r>
        <w:rPr>
          <w:rFonts w:hint="eastAsia" w:eastAsia="仿宋_GB2312" w:cs="仿宋_GB2312"/>
          <w:sz w:val="32"/>
          <w:szCs w:val="32"/>
          <w:lang w:val="zh-CN" w:eastAsia="zh-CN"/>
        </w:rPr>
        <w:t>202</w:t>
      </w:r>
      <w:r>
        <w:rPr>
          <w:rFonts w:hint="eastAsia" w:eastAsia="仿宋_GB2312" w:cs="仿宋_GB2312"/>
          <w:sz w:val="32"/>
          <w:szCs w:val="32"/>
          <w:lang w:val="en-US" w:eastAsia="zh-CN"/>
        </w:rPr>
        <w:t>4</w:t>
      </w:r>
      <w:r>
        <w:rPr>
          <w:rFonts w:hint="eastAsia" w:eastAsia="仿宋_GB2312" w:cs="仿宋_GB2312"/>
          <w:sz w:val="32"/>
          <w:szCs w:val="32"/>
          <w:lang w:val="zh-CN" w:eastAsia="zh-CN"/>
        </w:rPr>
        <w:t>年松潘县人民法院年初预算安排</w:t>
      </w:r>
      <w:r>
        <w:rPr>
          <w:rFonts w:hint="eastAsia" w:eastAsia="仿宋_GB2312" w:cs="仿宋_GB2312"/>
          <w:sz w:val="32"/>
          <w:szCs w:val="32"/>
          <w:lang w:val="en-US" w:eastAsia="zh-CN"/>
        </w:rPr>
        <w:t>2216.76万元，其中</w:t>
      </w:r>
      <w:r>
        <w:rPr>
          <w:rFonts w:hint="eastAsia" w:eastAsia="仿宋_GB2312" w:cs="仿宋_GB2312"/>
          <w:sz w:val="32"/>
          <w:szCs w:val="32"/>
          <w:lang w:val="zh-CN" w:eastAsia="zh-CN"/>
        </w:rPr>
        <w:t>：一般公共预算财政拨款收入</w:t>
      </w:r>
      <w:r>
        <w:rPr>
          <w:rFonts w:hint="eastAsia" w:eastAsia="仿宋_GB2312" w:cs="仿宋_GB2312"/>
          <w:sz w:val="32"/>
          <w:szCs w:val="32"/>
          <w:lang w:val="en-US" w:eastAsia="zh-CN"/>
        </w:rPr>
        <w:t>2216.76</w:t>
      </w:r>
      <w:r>
        <w:rPr>
          <w:rFonts w:hint="eastAsia" w:eastAsia="仿宋_GB2312" w:cs="仿宋_GB2312"/>
          <w:sz w:val="32"/>
          <w:szCs w:val="32"/>
          <w:lang w:val="zh-CN" w:eastAsia="zh-CN"/>
        </w:rPr>
        <w:t>万元，占总收入</w:t>
      </w:r>
      <w:r>
        <w:rPr>
          <w:rFonts w:hint="eastAsia" w:eastAsia="仿宋_GB2312" w:cs="仿宋_GB2312"/>
          <w:sz w:val="32"/>
          <w:szCs w:val="32"/>
          <w:lang w:val="en-US" w:eastAsia="zh-CN"/>
        </w:rPr>
        <w:t>100</w:t>
      </w:r>
      <w:r>
        <w:rPr>
          <w:rFonts w:hint="eastAsia" w:eastAsia="仿宋_GB2312" w:cs="仿宋_GB2312"/>
          <w:sz w:val="32"/>
          <w:szCs w:val="32"/>
          <w:lang w:val="zh-CN" w:eastAsia="zh-CN"/>
        </w:rPr>
        <w:t>%；政府性基金预算财政拨款收入0万元,占总收入0%。</w:t>
      </w:r>
    </w:p>
    <w:p w14:paraId="54CE3499">
      <w:pPr>
        <w:numPr>
          <w:ilvl w:val="0"/>
          <w:numId w:val="0"/>
        </w:numPr>
        <w:adjustRightInd w:val="0"/>
        <w:snapToGrid w:val="0"/>
        <w:spacing w:line="578" w:lineRule="exact"/>
        <w:ind w:firstLine="640" w:firstLineChars="200"/>
        <w:contextualSpacing/>
        <w:jc w:val="left"/>
        <w:rPr>
          <w:rFonts w:hint="eastAsia" w:eastAsia="仿宋_GB2312" w:cs="仿宋_GB2312"/>
          <w:sz w:val="32"/>
          <w:szCs w:val="32"/>
          <w:lang w:val="zh-CN"/>
        </w:rPr>
      </w:pPr>
      <w:r>
        <w:rPr>
          <w:rFonts w:hint="eastAsia" w:eastAsia="仿宋_GB2312" w:cs="仿宋_GB2312"/>
          <w:sz w:val="32"/>
          <w:szCs w:val="32"/>
          <w:lang w:val="en-US" w:eastAsia="zh-CN"/>
        </w:rPr>
        <w:t>3.</w:t>
      </w:r>
      <w:r>
        <w:rPr>
          <w:rFonts w:eastAsia="仿宋_GB2312" w:cs="仿宋_GB2312"/>
          <w:sz w:val="32"/>
          <w:szCs w:val="32"/>
          <w:lang w:val="zh-CN"/>
        </w:rPr>
        <w:t>财务管理</w:t>
      </w:r>
      <w:r>
        <w:rPr>
          <w:rFonts w:hint="eastAsia" w:eastAsia="仿宋_GB2312" w:cs="仿宋_GB2312"/>
          <w:sz w:val="32"/>
          <w:szCs w:val="32"/>
          <w:lang w:val="zh-CN"/>
        </w:rPr>
        <w:t>。</w:t>
      </w:r>
    </w:p>
    <w:p w14:paraId="75172C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default" w:eastAsia="仿宋_GB2312" w:cs="仿宋_GB2312"/>
          <w:sz w:val="32"/>
          <w:szCs w:val="32"/>
          <w:lang w:val="en-US" w:eastAsia="zh-CN"/>
        </w:rPr>
      </w:pPr>
      <w:r>
        <w:rPr>
          <w:rFonts w:hint="eastAsia" w:eastAsia="仿宋_GB2312" w:cs="仿宋_GB2312"/>
          <w:sz w:val="32"/>
          <w:szCs w:val="32"/>
          <w:lang w:val="en-US" w:eastAsia="zh-CN"/>
        </w:rPr>
        <w:t>建立健全财务管理制度，对资金收支、报销等流程进行规范；合理设置财务岗位，明确岗位权责，确保财务工作有序开展；资金使用规范，各类项目资金均严格按照预算和相关规定使用，无违规挪用、浪费资金等情况，财务工作严谨规范。</w:t>
      </w:r>
      <w:r>
        <w:rPr>
          <w:rFonts w:hint="eastAsia" w:eastAsia="仿宋_GB2312" w:cs="仿宋_GB2312"/>
          <w:sz w:val="32"/>
          <w:szCs w:val="32"/>
          <w:lang w:val="zh-CN" w:eastAsia="zh-CN"/>
        </w:rPr>
        <w:t>财务岗位设置</w:t>
      </w:r>
      <w:r>
        <w:rPr>
          <w:rFonts w:hint="eastAsia" w:eastAsia="仿宋_GB2312" w:cs="仿宋_GB2312"/>
          <w:sz w:val="32"/>
          <w:szCs w:val="32"/>
          <w:lang w:val="en-US" w:eastAsia="zh-CN"/>
        </w:rPr>
        <w:t>会计、出纳各1名。</w:t>
      </w:r>
    </w:p>
    <w:p w14:paraId="27F21C6B">
      <w:pPr>
        <w:numPr>
          <w:ilvl w:val="0"/>
          <w:numId w:val="0"/>
        </w:numPr>
        <w:adjustRightInd w:val="0"/>
        <w:snapToGrid w:val="0"/>
        <w:spacing w:line="578" w:lineRule="exact"/>
        <w:ind w:firstLine="640" w:firstLineChars="200"/>
        <w:contextualSpacing/>
        <w:jc w:val="left"/>
        <w:rPr>
          <w:rFonts w:hint="eastAsia" w:eastAsia="仿宋_GB2312" w:cs="仿宋_GB2312"/>
          <w:sz w:val="32"/>
          <w:szCs w:val="32"/>
          <w:lang w:val="zh-CN"/>
        </w:rPr>
      </w:pPr>
      <w:r>
        <w:rPr>
          <w:rFonts w:hint="eastAsia" w:eastAsia="仿宋_GB2312" w:cs="仿宋_GB2312"/>
          <w:sz w:val="32"/>
          <w:szCs w:val="32"/>
          <w:lang w:val="en-US" w:eastAsia="zh-CN"/>
        </w:rPr>
        <w:t>4.</w:t>
      </w:r>
      <w:r>
        <w:rPr>
          <w:rFonts w:eastAsia="仿宋_GB2312" w:cs="仿宋_GB2312"/>
          <w:sz w:val="32"/>
          <w:szCs w:val="32"/>
          <w:lang w:val="zh-CN"/>
        </w:rPr>
        <w:t>资产管理</w:t>
      </w:r>
      <w:r>
        <w:rPr>
          <w:rFonts w:hint="eastAsia" w:eastAsia="仿宋_GB2312" w:cs="仿宋_GB2312"/>
          <w:sz w:val="32"/>
          <w:szCs w:val="32"/>
          <w:lang w:val="zh-CN"/>
        </w:rPr>
        <w:t>。围绕人均资产变化率、资产利用率、资产盘活率</w:t>
      </w:r>
      <w:r>
        <w:rPr>
          <w:rFonts w:eastAsia="仿宋_GB2312" w:cs="仿宋_GB2312"/>
          <w:sz w:val="32"/>
          <w:szCs w:val="32"/>
          <w:lang w:val="zh-CN"/>
        </w:rPr>
        <w:t>进行绩效分析</w:t>
      </w:r>
      <w:r>
        <w:rPr>
          <w:rFonts w:hint="eastAsia" w:eastAsia="仿宋_GB2312" w:cs="仿宋_GB2312"/>
          <w:sz w:val="32"/>
          <w:szCs w:val="32"/>
          <w:lang w:val="zh-CN"/>
        </w:rPr>
        <w:t>。</w:t>
      </w:r>
    </w:p>
    <w:p w14:paraId="33CE2E0F">
      <w:pPr>
        <w:numPr>
          <w:ilvl w:val="0"/>
          <w:numId w:val="0"/>
        </w:numPr>
        <w:adjustRightInd w:val="0"/>
        <w:snapToGrid w:val="0"/>
        <w:spacing w:line="578" w:lineRule="exact"/>
        <w:ind w:firstLine="640" w:firstLineChars="200"/>
        <w:contextualSpacing/>
        <w:jc w:val="left"/>
        <w:rPr>
          <w:rFonts w:hint="eastAsia" w:eastAsia="仿宋_GB2312" w:cs="仿宋_GB2312"/>
          <w:sz w:val="32"/>
          <w:szCs w:val="32"/>
          <w:lang w:val="zh-CN"/>
        </w:rPr>
      </w:pPr>
      <w:r>
        <w:rPr>
          <w:rFonts w:hint="eastAsia" w:eastAsia="仿宋_GB2312" w:cs="仿宋_GB2312"/>
          <w:sz w:val="32"/>
          <w:szCs w:val="32"/>
          <w:lang w:val="zh-CN"/>
        </w:rPr>
        <w:t>人均资产变化率保持在合理范围，资产配置与人员规模、工作需求相匹配；资产利用率较高，办公设备、审判设施等资产均得到有效使用，未出现长期闲置情况；通过定期资产盘点等工作，盘活存量资产，提高资产使用效率，资产管理规范且高效。</w:t>
      </w:r>
    </w:p>
    <w:p w14:paraId="03B634BA">
      <w:pPr>
        <w:numPr>
          <w:ilvl w:val="0"/>
          <w:numId w:val="0"/>
        </w:numPr>
        <w:adjustRightInd w:val="0"/>
        <w:snapToGrid w:val="0"/>
        <w:spacing w:line="578" w:lineRule="exact"/>
        <w:ind w:firstLine="640" w:firstLineChars="200"/>
        <w:contextualSpacing/>
        <w:jc w:val="left"/>
        <w:rPr>
          <w:rFonts w:hint="eastAsia" w:eastAsia="仿宋_GB2312" w:cs="仿宋_GB2312"/>
          <w:sz w:val="32"/>
          <w:szCs w:val="32"/>
          <w:lang w:val="zh-CN"/>
        </w:rPr>
      </w:pPr>
      <w:r>
        <w:rPr>
          <w:rFonts w:hint="eastAsia" w:eastAsia="仿宋_GB2312" w:cs="仿宋_GB2312"/>
          <w:sz w:val="32"/>
          <w:szCs w:val="32"/>
          <w:lang w:val="en-US" w:eastAsia="zh-CN"/>
        </w:rPr>
        <w:t>5.</w:t>
      </w:r>
      <w:r>
        <w:rPr>
          <w:rFonts w:eastAsia="仿宋_GB2312" w:cs="仿宋_GB2312"/>
          <w:sz w:val="32"/>
          <w:szCs w:val="32"/>
          <w:lang w:val="zh-CN"/>
        </w:rPr>
        <w:t>采购管理</w:t>
      </w:r>
      <w:r>
        <w:rPr>
          <w:rFonts w:hint="eastAsia" w:eastAsia="仿宋_GB2312" w:cs="仿宋_GB2312"/>
          <w:sz w:val="32"/>
          <w:szCs w:val="32"/>
          <w:lang w:val="zh-CN"/>
        </w:rPr>
        <w:t>。</w:t>
      </w:r>
    </w:p>
    <w:p w14:paraId="1C4818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仿宋_GB2312" w:cs="仿宋_GB2312"/>
          <w:sz w:val="32"/>
          <w:szCs w:val="32"/>
          <w:lang w:val="zh-CN"/>
        </w:rPr>
      </w:pPr>
      <w:r>
        <w:rPr>
          <w:rFonts w:hint="eastAsia" w:eastAsia="仿宋_GB2312" w:cs="仿宋_GB2312"/>
          <w:sz w:val="32"/>
          <w:szCs w:val="32"/>
          <w:lang w:val="zh-CN"/>
        </w:rPr>
        <w:t>在采购工作中，积极落实支持中小企业发展的政策，向中小企业倾斜的采购份额符合要求；采购执行率达100%，各类采购项目均按计划顺利完成，采购流程规范，保障了法院工作所需物资、服务的及时供应。</w:t>
      </w:r>
      <w:r>
        <w:rPr>
          <w:rFonts w:hint="eastAsia" w:ascii="Times New Roman" w:hAnsi="Times New Roman" w:eastAsia="仿宋_GB2312"/>
          <w:sz w:val="32"/>
          <w:szCs w:val="32"/>
          <w:lang w:val="en-US" w:eastAsia="zh-CN"/>
        </w:rPr>
        <w:t>根据决算报表，我院202</w:t>
      </w:r>
      <w:r>
        <w:rPr>
          <w:rFonts w:hint="eastAsia"/>
          <w:sz w:val="32"/>
          <w:szCs w:val="32"/>
          <w:lang w:val="en-US" w:eastAsia="zh-CN"/>
        </w:rPr>
        <w:t>4</w:t>
      </w:r>
      <w:r>
        <w:rPr>
          <w:rFonts w:hint="eastAsia" w:ascii="Times New Roman" w:hAnsi="Times New Roman" w:eastAsia="仿宋_GB2312"/>
          <w:sz w:val="32"/>
          <w:szCs w:val="32"/>
          <w:lang w:val="en-US" w:eastAsia="zh-CN"/>
        </w:rPr>
        <w:t>年涉及小微企业采购，政府采购授予小微企业合同金额为</w:t>
      </w:r>
      <w:r>
        <w:rPr>
          <w:rFonts w:hint="eastAsia"/>
          <w:sz w:val="32"/>
          <w:szCs w:val="32"/>
          <w:lang w:val="en-US" w:eastAsia="zh-CN"/>
        </w:rPr>
        <w:t>497.84</w:t>
      </w:r>
      <w:r>
        <w:rPr>
          <w:rFonts w:hint="eastAsia" w:ascii="Times New Roman" w:hAnsi="Times New Roman" w:eastAsia="仿宋_GB2312"/>
          <w:sz w:val="32"/>
          <w:szCs w:val="32"/>
          <w:lang w:val="en-US" w:eastAsia="zh-CN"/>
        </w:rPr>
        <w:t>万元。</w:t>
      </w:r>
    </w:p>
    <w:p w14:paraId="5A999B98">
      <w:pPr>
        <w:adjustRightInd w:val="0"/>
        <w:snapToGrid w:val="0"/>
        <w:spacing w:line="578" w:lineRule="exact"/>
        <w:ind w:firstLine="643" w:firstLineChars="200"/>
        <w:contextualSpacing/>
        <w:rPr>
          <w:rFonts w:eastAsia="仿宋_GB2312" w:cs="仿宋_GB2312"/>
          <w:sz w:val="32"/>
          <w:szCs w:val="32"/>
        </w:rPr>
      </w:pPr>
      <w:r>
        <w:rPr>
          <w:rFonts w:eastAsia="楷体_GB2312"/>
          <w:b/>
          <w:bCs/>
          <w:color w:val="000000"/>
          <w:kern w:val="0"/>
          <w:sz w:val="32"/>
          <w:szCs w:val="32"/>
          <w:shd w:val="clear" w:color="auto" w:fill="FFFFFF"/>
          <w:lang w:val="zh-CN"/>
        </w:rPr>
        <w:t>（二）部门预算项目绩效分析。</w:t>
      </w:r>
    </w:p>
    <w:p w14:paraId="68680C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sz w:val="32"/>
          <w:szCs w:val="32"/>
          <w:lang w:val="zh-CN" w:eastAsia="zh-CN"/>
        </w:rPr>
      </w:pPr>
      <w:r>
        <w:rPr>
          <w:rFonts w:hint="default" w:ascii="Times New Roman" w:hAnsi="Times New Roman" w:eastAsia="仿宋_GB2312"/>
          <w:sz w:val="32"/>
          <w:szCs w:val="32"/>
          <w:lang w:val="en-US" w:eastAsia="zh-CN"/>
        </w:rPr>
        <w:t>常年项目绩效分析。</w:t>
      </w:r>
      <w:r>
        <w:rPr>
          <w:rFonts w:hint="default" w:ascii="Times New Roman" w:hAnsi="Times New Roman" w:eastAsia="仿宋_GB2312"/>
          <w:sz w:val="32"/>
          <w:szCs w:val="32"/>
          <w:lang w:val="zh-CN" w:eastAsia="zh-CN"/>
        </w:rPr>
        <w:t>该类项目总数</w:t>
      </w:r>
      <w:r>
        <w:rPr>
          <w:rFonts w:hint="eastAsia" w:ascii="Times New Roman" w:hAnsi="Times New Roman" w:eastAsia="仿宋_GB2312"/>
          <w:sz w:val="32"/>
          <w:szCs w:val="32"/>
          <w:lang w:val="en-US" w:eastAsia="zh-CN"/>
        </w:rPr>
        <w:t>9</w:t>
      </w:r>
      <w:r>
        <w:rPr>
          <w:rFonts w:hint="default" w:ascii="Times New Roman" w:hAnsi="Times New Roman" w:eastAsia="仿宋_GB2312"/>
          <w:sz w:val="32"/>
          <w:szCs w:val="32"/>
          <w:lang w:val="zh-CN" w:eastAsia="zh-CN"/>
        </w:rPr>
        <w:t>个，涉及预算总金额</w:t>
      </w:r>
      <w:r>
        <w:rPr>
          <w:rFonts w:hint="eastAsia" w:ascii="Times New Roman" w:hAnsi="Times New Roman" w:eastAsia="仿宋_GB2312"/>
          <w:sz w:val="32"/>
          <w:szCs w:val="32"/>
          <w:lang w:val="en-US" w:eastAsia="zh-CN"/>
        </w:rPr>
        <w:t>2216.76</w:t>
      </w:r>
      <w:r>
        <w:rPr>
          <w:rFonts w:hint="default" w:ascii="Times New Roman" w:hAnsi="Times New Roman" w:eastAsia="仿宋_GB2312"/>
          <w:sz w:val="32"/>
          <w:szCs w:val="32"/>
          <w:lang w:val="zh-CN" w:eastAsia="zh-CN"/>
        </w:rPr>
        <w:t>万元，1</w:t>
      </w:r>
      <w:r>
        <w:rPr>
          <w:rFonts w:hint="eastAsia" w:ascii="Times New Roman" w:hAnsi="Times New Roman" w:eastAsia="仿宋_GB2312"/>
          <w:sz w:val="32"/>
          <w:szCs w:val="32"/>
          <w:lang w:val="zh-CN" w:eastAsia="zh-CN"/>
        </w:rPr>
        <w:t>—</w:t>
      </w:r>
      <w:r>
        <w:rPr>
          <w:rFonts w:hint="default" w:ascii="Times New Roman" w:hAnsi="Times New Roman" w:eastAsia="仿宋_GB2312"/>
          <w:sz w:val="32"/>
          <w:szCs w:val="32"/>
          <w:lang w:val="zh-CN" w:eastAsia="zh-CN"/>
        </w:rPr>
        <w:t>1</w:t>
      </w:r>
      <w:r>
        <w:rPr>
          <w:rFonts w:hint="default" w:ascii="Times New Roman" w:hAnsi="Times New Roman" w:eastAsia="仿宋_GB2312"/>
          <w:sz w:val="32"/>
          <w:szCs w:val="32"/>
          <w:lang w:val="en-US" w:eastAsia="zh-CN"/>
        </w:rPr>
        <w:t>2</w:t>
      </w:r>
      <w:r>
        <w:rPr>
          <w:rFonts w:hint="default" w:ascii="Times New Roman" w:hAnsi="Times New Roman" w:eastAsia="仿宋_GB2312"/>
          <w:sz w:val="32"/>
          <w:szCs w:val="32"/>
          <w:lang w:val="zh-CN" w:eastAsia="zh-CN"/>
        </w:rPr>
        <w:t>月预算执行总体进度为</w:t>
      </w:r>
      <w:r>
        <w:rPr>
          <w:rFonts w:hint="default"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val="en-US" w:eastAsia="zh-CN"/>
        </w:rPr>
        <w:t>100</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zh-CN" w:eastAsia="zh-CN"/>
        </w:rPr>
        <w:t>其中：预算结余率大于</w:t>
      </w:r>
      <w:r>
        <w:rPr>
          <w:rFonts w:hint="default" w:ascii="Times New Roman" w:hAnsi="Times New Roman" w:eastAsia="仿宋_GB2312"/>
          <w:sz w:val="32"/>
          <w:szCs w:val="32"/>
          <w:lang w:val="en-US" w:eastAsia="zh-CN"/>
        </w:rPr>
        <w:t>10%</w:t>
      </w:r>
      <w:r>
        <w:rPr>
          <w:rFonts w:hint="default" w:ascii="Times New Roman" w:hAnsi="Times New Roman" w:eastAsia="仿宋_GB2312"/>
          <w:sz w:val="32"/>
          <w:szCs w:val="32"/>
          <w:lang w:val="zh-CN" w:eastAsia="zh-CN"/>
        </w:rPr>
        <w:t>的项目共计</w:t>
      </w:r>
      <w:r>
        <w:rPr>
          <w:rFonts w:hint="eastAsia" w:ascii="Times New Roman" w:hAnsi="Times New Roman" w:eastAsia="仿宋_GB2312"/>
          <w:sz w:val="32"/>
          <w:szCs w:val="32"/>
          <w:lang w:val="en-US" w:eastAsia="zh-CN"/>
        </w:rPr>
        <w:t>0</w:t>
      </w:r>
      <w:r>
        <w:rPr>
          <w:rFonts w:hint="default" w:ascii="Times New Roman" w:hAnsi="Times New Roman" w:eastAsia="仿宋_GB2312"/>
          <w:sz w:val="32"/>
          <w:szCs w:val="32"/>
          <w:lang w:val="zh-CN" w:eastAsia="zh-CN"/>
        </w:rPr>
        <w:t>个。</w:t>
      </w:r>
    </w:p>
    <w:p w14:paraId="259B93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sz w:val="32"/>
          <w:szCs w:val="32"/>
          <w:lang w:val="zh-CN" w:eastAsia="zh-CN"/>
        </w:rPr>
      </w:pPr>
      <w:r>
        <w:rPr>
          <w:rFonts w:hint="default" w:ascii="Times New Roman" w:hAnsi="Times New Roman" w:eastAsia="仿宋_GB2312"/>
          <w:sz w:val="32"/>
          <w:szCs w:val="32"/>
          <w:lang w:val="en-US" w:eastAsia="zh-CN"/>
        </w:rPr>
        <w:t>阶段</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一次性</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项目绩效分析。</w:t>
      </w:r>
      <w:r>
        <w:rPr>
          <w:rFonts w:hint="default" w:ascii="Times New Roman" w:hAnsi="Times New Roman" w:eastAsia="仿宋_GB2312"/>
          <w:sz w:val="32"/>
          <w:szCs w:val="32"/>
          <w:lang w:val="zh-CN" w:eastAsia="zh-CN"/>
        </w:rPr>
        <w:t>该类项目总数</w:t>
      </w:r>
      <w:r>
        <w:rPr>
          <w:rFonts w:hint="eastAsia" w:ascii="Times New Roman" w:hAnsi="Times New Roman" w:eastAsia="仿宋_GB2312"/>
          <w:sz w:val="32"/>
          <w:szCs w:val="32"/>
          <w:lang w:val="en-US" w:eastAsia="zh-CN"/>
        </w:rPr>
        <w:t>0</w:t>
      </w:r>
      <w:r>
        <w:rPr>
          <w:rFonts w:hint="default" w:ascii="Times New Roman" w:hAnsi="Times New Roman" w:eastAsia="仿宋_GB2312"/>
          <w:sz w:val="32"/>
          <w:szCs w:val="32"/>
          <w:lang w:val="zh-CN" w:eastAsia="zh-CN"/>
        </w:rPr>
        <w:t>个，涉及预算总金额</w:t>
      </w:r>
      <w:r>
        <w:rPr>
          <w:rFonts w:hint="eastAsia" w:ascii="Times New Roman" w:hAnsi="Times New Roman" w:eastAsia="仿宋_GB2312"/>
          <w:sz w:val="32"/>
          <w:szCs w:val="32"/>
          <w:lang w:val="en-US" w:eastAsia="zh-CN"/>
        </w:rPr>
        <w:t>0</w:t>
      </w:r>
      <w:r>
        <w:rPr>
          <w:rFonts w:hint="default" w:ascii="Times New Roman" w:hAnsi="Times New Roman" w:eastAsia="仿宋_GB2312"/>
          <w:sz w:val="32"/>
          <w:szCs w:val="32"/>
          <w:lang w:val="zh-CN" w:eastAsia="zh-CN"/>
        </w:rPr>
        <w:t>万元，1</w:t>
      </w:r>
      <w:r>
        <w:rPr>
          <w:rFonts w:hint="eastAsia" w:ascii="Times New Roman" w:hAnsi="Times New Roman" w:eastAsia="仿宋_GB2312"/>
          <w:sz w:val="32"/>
          <w:szCs w:val="32"/>
          <w:lang w:val="zh-CN" w:eastAsia="zh-CN"/>
        </w:rPr>
        <w:t>—</w:t>
      </w:r>
      <w:r>
        <w:rPr>
          <w:rFonts w:hint="default" w:ascii="Times New Roman" w:hAnsi="Times New Roman" w:eastAsia="仿宋_GB2312"/>
          <w:sz w:val="32"/>
          <w:szCs w:val="32"/>
          <w:lang w:val="zh-CN" w:eastAsia="zh-CN"/>
        </w:rPr>
        <w:t>1</w:t>
      </w:r>
      <w:r>
        <w:rPr>
          <w:rFonts w:hint="default" w:ascii="Times New Roman" w:hAnsi="Times New Roman" w:eastAsia="仿宋_GB2312"/>
          <w:sz w:val="32"/>
          <w:szCs w:val="32"/>
          <w:lang w:val="en-US" w:eastAsia="zh-CN"/>
        </w:rPr>
        <w:t>2</w:t>
      </w:r>
      <w:r>
        <w:rPr>
          <w:rFonts w:hint="default" w:ascii="Times New Roman" w:hAnsi="Times New Roman" w:eastAsia="仿宋_GB2312"/>
          <w:sz w:val="32"/>
          <w:szCs w:val="32"/>
          <w:lang w:val="zh-CN" w:eastAsia="zh-CN"/>
        </w:rPr>
        <w:t>月预算执行总体进度为</w:t>
      </w:r>
      <w:r>
        <w:rPr>
          <w:rFonts w:hint="eastAsia" w:ascii="Times New Roman" w:hAnsi="Times New Roman" w:eastAsia="仿宋_GB2312"/>
          <w:sz w:val="32"/>
          <w:szCs w:val="32"/>
          <w:lang w:val="en-US" w:eastAsia="zh-CN"/>
        </w:rPr>
        <w:t>0</w:t>
      </w:r>
      <w:r>
        <w:rPr>
          <w:rFonts w:hint="default" w:ascii="Times New Roman" w:hAnsi="Times New Roman" w:eastAsia="仿宋_GB2312"/>
          <w:sz w:val="32"/>
          <w:szCs w:val="32"/>
          <w:lang w:val="en-US" w:eastAsia="zh-CN"/>
        </w:rPr>
        <w:t xml:space="preserve"> </w:t>
      </w:r>
      <w:r>
        <w:rPr>
          <w:rFonts w:hint="default" w:ascii="Times New Roman" w:hAnsi="Times New Roman" w:eastAsia="仿宋_GB2312"/>
          <w:sz w:val="32"/>
          <w:szCs w:val="32"/>
          <w:lang w:val="zh-CN" w:eastAsia="zh-CN"/>
        </w:rPr>
        <w:t>%，其中：预算结余率大于</w:t>
      </w:r>
      <w:r>
        <w:rPr>
          <w:rFonts w:hint="default" w:ascii="Times New Roman" w:hAnsi="Times New Roman" w:eastAsia="仿宋_GB2312"/>
          <w:sz w:val="32"/>
          <w:szCs w:val="32"/>
          <w:lang w:val="en-US" w:eastAsia="zh-CN"/>
        </w:rPr>
        <w:t>10%</w:t>
      </w:r>
      <w:r>
        <w:rPr>
          <w:rFonts w:hint="default" w:ascii="Times New Roman" w:hAnsi="Times New Roman" w:eastAsia="仿宋_GB2312"/>
          <w:sz w:val="32"/>
          <w:szCs w:val="32"/>
          <w:lang w:val="zh-CN" w:eastAsia="zh-CN"/>
        </w:rPr>
        <w:t>的项目共计</w:t>
      </w:r>
      <w:r>
        <w:rPr>
          <w:rFonts w:hint="eastAsia" w:ascii="Times New Roman" w:hAnsi="Times New Roman" w:eastAsia="仿宋_GB2312"/>
          <w:sz w:val="32"/>
          <w:szCs w:val="32"/>
          <w:lang w:val="en-US" w:eastAsia="zh-CN"/>
        </w:rPr>
        <w:t>0</w:t>
      </w:r>
      <w:r>
        <w:rPr>
          <w:rFonts w:hint="default" w:ascii="Times New Roman" w:hAnsi="Times New Roman" w:eastAsia="仿宋_GB2312"/>
          <w:sz w:val="32"/>
          <w:szCs w:val="32"/>
          <w:lang w:val="zh-CN" w:eastAsia="zh-CN"/>
        </w:rPr>
        <w:t>个。</w:t>
      </w:r>
    </w:p>
    <w:p w14:paraId="6B11EAB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eastAsia="仿宋_GB2312" w:cs="仿宋_GB2312"/>
          <w:sz w:val="32"/>
          <w:szCs w:val="32"/>
          <w:lang w:val="zh-CN"/>
        </w:rPr>
      </w:pPr>
      <w:r>
        <w:rPr>
          <w:rFonts w:hint="eastAsia" w:eastAsia="仿宋_GB2312" w:cs="仿宋_GB2312"/>
          <w:sz w:val="32"/>
          <w:szCs w:val="32"/>
          <w:lang w:val="en-US" w:eastAsia="zh-CN"/>
        </w:rPr>
        <w:t>1.</w:t>
      </w:r>
      <w:r>
        <w:rPr>
          <w:rFonts w:hint="eastAsia" w:eastAsia="仿宋_GB2312" w:cs="仿宋_GB2312"/>
          <w:sz w:val="32"/>
          <w:szCs w:val="32"/>
          <w:lang w:val="zh-CN"/>
        </w:rPr>
        <w:t>项目决策。</w:t>
      </w:r>
    </w:p>
    <w:p w14:paraId="4DC3C1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根据</w:t>
      </w:r>
      <w:r>
        <w:rPr>
          <w:rFonts w:hint="default" w:ascii="Times New Roman" w:hAnsi="Times New Roman" w:eastAsia="仿宋_GB2312"/>
          <w:sz w:val="32"/>
          <w:szCs w:val="32"/>
          <w:lang w:val="en-US" w:eastAsia="zh-CN"/>
        </w:rPr>
        <w:t>阿坝州事前绩效评估相关要求</w:t>
      </w:r>
      <w:r>
        <w:rPr>
          <w:rFonts w:hint="eastAsia" w:ascii="Times New Roman" w:hAnsi="Times New Roman" w:eastAsia="仿宋_GB2312"/>
          <w:sz w:val="32"/>
          <w:szCs w:val="32"/>
          <w:lang w:val="en-US" w:eastAsia="zh-CN"/>
        </w:rPr>
        <w:t>，我院对需履行事前评估程序的部门</w:t>
      </w:r>
      <w:r>
        <w:rPr>
          <w:rFonts w:hint="default" w:ascii="Times New Roman" w:hAnsi="Times New Roman" w:eastAsia="仿宋_GB2312"/>
          <w:sz w:val="32"/>
          <w:szCs w:val="32"/>
          <w:lang w:val="en-US" w:eastAsia="zh-CN"/>
        </w:rPr>
        <w:t>预算阶段项目</w:t>
      </w:r>
      <w:r>
        <w:rPr>
          <w:rFonts w:hint="eastAsia" w:ascii="Times New Roman" w:hAnsi="Times New Roman" w:eastAsia="仿宋_GB2312"/>
          <w:sz w:val="32"/>
          <w:szCs w:val="32"/>
          <w:lang w:val="en-US" w:eastAsia="zh-CN"/>
        </w:rPr>
        <w:t>设立均严格按规定履行评估论证、申报程序，开展项目事前绩效评估，项目立项依据充分，决策程序规范。</w:t>
      </w:r>
      <w:r>
        <w:rPr>
          <w:rFonts w:hint="default" w:ascii="Times New Roman" w:hAnsi="Times New Roman" w:eastAsia="仿宋_GB2312"/>
          <w:sz w:val="32"/>
          <w:szCs w:val="32"/>
          <w:lang w:val="zh-CN" w:eastAsia="zh-CN"/>
        </w:rPr>
        <w:t>项目通过内部审批流程并</w:t>
      </w:r>
      <w:r>
        <w:rPr>
          <w:rFonts w:hint="eastAsia" w:ascii="Times New Roman" w:hAnsi="Times New Roman" w:eastAsia="仿宋_GB2312"/>
          <w:sz w:val="32"/>
          <w:szCs w:val="32"/>
          <w:lang w:val="en-US" w:eastAsia="zh-CN"/>
        </w:rPr>
        <w:t>登记</w:t>
      </w:r>
      <w:r>
        <w:rPr>
          <w:rFonts w:hint="default" w:ascii="Times New Roman" w:hAnsi="Times New Roman" w:eastAsia="仿宋_GB2312"/>
          <w:sz w:val="32"/>
          <w:szCs w:val="32"/>
          <w:lang w:val="zh-CN" w:eastAsia="zh-CN"/>
        </w:rPr>
        <w:t>入库</w:t>
      </w:r>
      <w:r>
        <w:rPr>
          <w:rFonts w:hint="eastAsia" w:ascii="Times New Roman" w:hAnsi="Times New Roman" w:eastAsia="仿宋_GB2312"/>
          <w:sz w:val="32"/>
          <w:szCs w:val="32"/>
          <w:lang w:val="zh-CN" w:eastAsia="zh-CN"/>
        </w:rPr>
        <w:t>，</w:t>
      </w:r>
      <w:r>
        <w:rPr>
          <w:rFonts w:hint="default" w:ascii="Times New Roman" w:hAnsi="Times New Roman" w:eastAsia="仿宋_GB2312"/>
          <w:sz w:val="32"/>
          <w:szCs w:val="32"/>
          <w:lang w:val="zh-CN" w:eastAsia="zh-CN"/>
        </w:rPr>
        <w:t>‌对项目的绩效进行分析，‌包括项目的执行情况、‌资金使用效率、‌产出与预期目标的对比等。‌此外，‌还讨论</w:t>
      </w:r>
      <w:r>
        <w:rPr>
          <w:rFonts w:hint="eastAsia" w:ascii="Times New Roman" w:hAnsi="Times New Roman" w:eastAsia="仿宋_GB2312"/>
          <w:sz w:val="32"/>
          <w:szCs w:val="32"/>
          <w:lang w:val="en-US" w:eastAsia="zh-CN"/>
        </w:rPr>
        <w:t>了</w:t>
      </w:r>
      <w:r>
        <w:rPr>
          <w:rFonts w:hint="default" w:ascii="Times New Roman" w:hAnsi="Times New Roman" w:eastAsia="仿宋_GB2312"/>
          <w:sz w:val="32"/>
          <w:szCs w:val="32"/>
          <w:lang w:val="zh-CN" w:eastAsia="zh-CN"/>
        </w:rPr>
        <w:t>项目实施过程中遇到的问题和挑战，‌以及采取的应对措施。</w:t>
      </w:r>
    </w:p>
    <w:p w14:paraId="6153DF58">
      <w:pPr>
        <w:numPr>
          <w:ilvl w:val="0"/>
          <w:numId w:val="0"/>
        </w:numPr>
        <w:adjustRightInd w:val="0"/>
        <w:snapToGrid w:val="0"/>
        <w:spacing w:line="578" w:lineRule="exact"/>
        <w:ind w:firstLine="640" w:firstLineChars="200"/>
        <w:contextualSpacing/>
        <w:rPr>
          <w:rFonts w:hint="eastAsia" w:eastAsia="仿宋_GB2312" w:cs="仿宋_GB2312"/>
          <w:sz w:val="32"/>
          <w:szCs w:val="32"/>
          <w:lang w:val="zh-CN"/>
        </w:rPr>
      </w:pPr>
      <w:r>
        <w:rPr>
          <w:rFonts w:hint="eastAsia" w:eastAsia="仿宋_GB2312" w:cs="仿宋_GB2312"/>
          <w:sz w:val="32"/>
          <w:szCs w:val="32"/>
          <w:lang w:val="en-US" w:eastAsia="zh-CN"/>
        </w:rPr>
        <w:t>2.</w:t>
      </w:r>
      <w:r>
        <w:rPr>
          <w:rFonts w:hint="eastAsia" w:eastAsia="仿宋_GB2312" w:cs="仿宋_GB2312"/>
          <w:sz w:val="32"/>
          <w:szCs w:val="32"/>
        </w:rPr>
        <w:t>项目执行</w:t>
      </w:r>
      <w:r>
        <w:rPr>
          <w:rFonts w:hint="eastAsia" w:eastAsia="仿宋_GB2312" w:cs="仿宋_GB2312"/>
          <w:sz w:val="32"/>
          <w:szCs w:val="32"/>
          <w:lang w:val="zh-CN"/>
        </w:rPr>
        <w:t>。</w:t>
      </w:r>
    </w:p>
    <w:p w14:paraId="2D478E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Times New Roman"/>
          <w:kern w:val="0"/>
          <w:sz w:val="32"/>
          <w:szCs w:val="32"/>
          <w:lang w:val="zh-CN" w:eastAsia="zh-CN" w:bidi="ar-SA"/>
        </w:rPr>
      </w:pPr>
      <w:r>
        <w:rPr>
          <w:rFonts w:hint="eastAsia" w:ascii="仿宋_GB2312" w:hAnsi="仿宋_GB2312" w:eastAsia="仿宋_GB2312" w:cs="Times New Roman"/>
          <w:kern w:val="0"/>
          <w:sz w:val="32"/>
          <w:szCs w:val="32"/>
          <w:lang w:val="zh-CN" w:eastAsia="zh-CN" w:bidi="ar-SA"/>
        </w:rPr>
        <w:t>从整体情况来看，我</w:t>
      </w:r>
      <w:r>
        <w:rPr>
          <w:rFonts w:hint="eastAsia" w:ascii="仿宋_GB2312" w:hAnsi="仿宋_GB2312" w:eastAsia="仿宋_GB2312" w:cs="Times New Roman"/>
          <w:kern w:val="0"/>
          <w:sz w:val="32"/>
          <w:szCs w:val="32"/>
          <w:lang w:val="en-US" w:eastAsia="zh-CN" w:bidi="ar-SA"/>
        </w:rPr>
        <w:t>院</w:t>
      </w:r>
      <w:r>
        <w:rPr>
          <w:rFonts w:hint="eastAsia" w:ascii="仿宋_GB2312" w:hAnsi="仿宋_GB2312" w:eastAsia="仿宋_GB2312" w:cs="Times New Roman"/>
          <w:kern w:val="0"/>
          <w:sz w:val="32"/>
          <w:szCs w:val="32"/>
          <w:lang w:val="zh-CN" w:eastAsia="zh-CN" w:bidi="ar-SA"/>
        </w:rPr>
        <w:t>严格按照年初预算进行部门整体支出。在支出过程中，能严格遵守各项规章制度，“三公经费”明显下降。实行了先有预算、后有执行、“用钱必问效、无效必问责”的新常态。</w:t>
      </w:r>
    </w:p>
    <w:p w14:paraId="186EC4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Times New Roman"/>
          <w:kern w:val="0"/>
          <w:sz w:val="32"/>
          <w:szCs w:val="32"/>
          <w:lang w:val="en-US" w:eastAsia="zh-CN" w:bidi="ar-SA"/>
        </w:rPr>
      </w:pPr>
      <w:r>
        <w:rPr>
          <w:rFonts w:hint="default" w:ascii="仿宋_GB2312" w:hAnsi="仿宋_GB2312" w:eastAsia="仿宋_GB2312" w:cs="Times New Roman"/>
          <w:kern w:val="0"/>
          <w:sz w:val="32"/>
          <w:szCs w:val="32"/>
          <w:lang w:val="en-US" w:eastAsia="zh-CN" w:bidi="ar-SA"/>
        </w:rPr>
        <w:t>20</w:t>
      </w:r>
      <w:r>
        <w:rPr>
          <w:rFonts w:hint="eastAsia" w:ascii="仿宋_GB2312" w:hAnsi="仿宋_GB2312" w:eastAsia="仿宋_GB2312" w:cs="Times New Roman"/>
          <w:kern w:val="0"/>
          <w:sz w:val="32"/>
          <w:szCs w:val="32"/>
          <w:lang w:val="en-US" w:eastAsia="zh-CN" w:bidi="ar-SA"/>
        </w:rPr>
        <w:t>24</w:t>
      </w:r>
      <w:r>
        <w:rPr>
          <w:rFonts w:hint="default" w:ascii="仿宋_GB2312" w:hAnsi="仿宋_GB2312" w:eastAsia="仿宋_GB2312" w:cs="Times New Roman"/>
          <w:kern w:val="0"/>
          <w:sz w:val="32"/>
          <w:szCs w:val="32"/>
          <w:lang w:val="en-US" w:eastAsia="zh-CN" w:bidi="ar-SA"/>
        </w:rPr>
        <w:t>年部门基本支出数</w:t>
      </w:r>
      <w:r>
        <w:rPr>
          <w:rFonts w:hint="eastAsia" w:ascii="仿宋_GB2312" w:hAnsi="仿宋_GB2312" w:eastAsia="仿宋_GB2312" w:cs="Times New Roman"/>
          <w:kern w:val="0"/>
          <w:sz w:val="32"/>
          <w:szCs w:val="32"/>
          <w:lang w:val="en-US" w:eastAsia="zh-CN" w:bidi="ar-SA"/>
        </w:rPr>
        <w:t>1652.54</w:t>
      </w:r>
      <w:r>
        <w:rPr>
          <w:rFonts w:hint="default" w:ascii="仿宋_GB2312" w:hAnsi="仿宋_GB2312" w:eastAsia="仿宋_GB2312" w:cs="Times New Roman"/>
          <w:kern w:val="0"/>
          <w:sz w:val="32"/>
          <w:szCs w:val="32"/>
          <w:lang w:val="en-US" w:eastAsia="zh-CN" w:bidi="ar-SA"/>
        </w:rPr>
        <w:t>万元。其中，工资福利支出</w:t>
      </w:r>
      <w:r>
        <w:rPr>
          <w:rFonts w:hint="eastAsia" w:ascii="仿宋_GB2312" w:hAnsi="仿宋_GB2312" w:eastAsia="仿宋_GB2312" w:cs="Times New Roman"/>
          <w:kern w:val="0"/>
          <w:sz w:val="32"/>
          <w:szCs w:val="32"/>
          <w:lang w:val="en-US" w:eastAsia="zh-CN" w:bidi="ar-SA"/>
        </w:rPr>
        <w:t>1434.91</w:t>
      </w:r>
      <w:r>
        <w:rPr>
          <w:rFonts w:hint="default" w:ascii="仿宋_GB2312" w:hAnsi="仿宋_GB2312" w:eastAsia="仿宋_GB2312" w:cs="Times New Roman"/>
          <w:kern w:val="0"/>
          <w:sz w:val="32"/>
          <w:szCs w:val="32"/>
          <w:lang w:val="en-US" w:eastAsia="zh-CN" w:bidi="ar-SA"/>
        </w:rPr>
        <w:t>万元；商品和服务支出</w:t>
      </w:r>
      <w:r>
        <w:rPr>
          <w:rFonts w:hint="eastAsia" w:ascii="仿宋_GB2312" w:hAnsi="仿宋_GB2312" w:eastAsia="仿宋_GB2312" w:cs="Times New Roman"/>
          <w:kern w:val="0"/>
          <w:sz w:val="32"/>
          <w:szCs w:val="32"/>
          <w:lang w:val="en-US" w:eastAsia="zh-CN" w:bidi="ar-SA"/>
        </w:rPr>
        <w:t>143.27</w:t>
      </w:r>
      <w:r>
        <w:rPr>
          <w:rFonts w:hint="default" w:ascii="仿宋_GB2312" w:hAnsi="仿宋_GB2312" w:eastAsia="仿宋_GB2312" w:cs="Times New Roman"/>
          <w:kern w:val="0"/>
          <w:sz w:val="32"/>
          <w:szCs w:val="32"/>
          <w:lang w:val="en-US" w:eastAsia="zh-CN" w:bidi="ar-SA"/>
        </w:rPr>
        <w:t>万元；对个人和家庭的补助</w:t>
      </w:r>
      <w:r>
        <w:rPr>
          <w:rFonts w:hint="eastAsia" w:ascii="仿宋_GB2312" w:hAnsi="仿宋_GB2312" w:eastAsia="仿宋_GB2312" w:cs="Times New Roman"/>
          <w:kern w:val="0"/>
          <w:sz w:val="32"/>
          <w:szCs w:val="32"/>
          <w:lang w:val="en-US" w:eastAsia="zh-CN" w:bidi="ar-SA"/>
        </w:rPr>
        <w:t>74.36</w:t>
      </w:r>
      <w:r>
        <w:rPr>
          <w:rFonts w:hint="default" w:ascii="仿宋_GB2312" w:hAnsi="仿宋_GB2312" w:eastAsia="仿宋_GB2312" w:cs="Times New Roman"/>
          <w:kern w:val="0"/>
          <w:sz w:val="32"/>
          <w:szCs w:val="32"/>
          <w:lang w:val="en-US" w:eastAsia="zh-CN" w:bidi="ar-SA"/>
        </w:rPr>
        <w:t>万元。</w:t>
      </w:r>
    </w:p>
    <w:p w14:paraId="5F90D8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2024年</w:t>
      </w:r>
      <w:r>
        <w:rPr>
          <w:rFonts w:hint="default" w:ascii="仿宋_GB2312" w:hAnsi="仿宋_GB2312" w:eastAsia="仿宋_GB2312" w:cs="Times New Roman"/>
          <w:kern w:val="0"/>
          <w:sz w:val="32"/>
          <w:szCs w:val="32"/>
          <w:lang w:val="en-US" w:eastAsia="zh-CN" w:bidi="ar-SA"/>
        </w:rPr>
        <w:t>全年项目支出</w:t>
      </w:r>
      <w:r>
        <w:rPr>
          <w:rFonts w:hint="eastAsia" w:ascii="仿宋_GB2312" w:hAnsi="仿宋_GB2312" w:eastAsia="仿宋_GB2312" w:cs="Times New Roman"/>
          <w:kern w:val="0"/>
          <w:sz w:val="32"/>
          <w:szCs w:val="32"/>
          <w:lang w:val="en-US" w:eastAsia="zh-CN" w:bidi="ar-SA"/>
        </w:rPr>
        <w:t>1098.6</w:t>
      </w:r>
      <w:r>
        <w:rPr>
          <w:rFonts w:hint="default" w:ascii="仿宋_GB2312" w:hAnsi="仿宋_GB2312" w:eastAsia="仿宋_GB2312" w:cs="Times New Roman"/>
          <w:kern w:val="0"/>
          <w:sz w:val="32"/>
          <w:szCs w:val="32"/>
          <w:lang w:val="en-US" w:eastAsia="zh-CN" w:bidi="ar-SA"/>
        </w:rPr>
        <w:t>万元。</w:t>
      </w:r>
      <w:r>
        <w:rPr>
          <w:rFonts w:hint="eastAsia" w:ascii="仿宋_GB2312" w:hAnsi="仿宋_GB2312" w:eastAsia="仿宋_GB2312" w:cs="Times New Roman"/>
          <w:kern w:val="0"/>
          <w:sz w:val="32"/>
          <w:szCs w:val="32"/>
          <w:lang w:val="en-US" w:eastAsia="zh-CN" w:bidi="ar-SA"/>
        </w:rPr>
        <w:t>其中：办案业务经费支出506.41万元，业务装备经费支出592.19万元。</w:t>
      </w:r>
    </w:p>
    <w:p w14:paraId="55C29565">
      <w:pPr>
        <w:numPr>
          <w:ilvl w:val="0"/>
          <w:numId w:val="0"/>
        </w:num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rPr>
        <w:t>3.</w:t>
      </w:r>
      <w:r>
        <w:rPr>
          <w:rFonts w:hint="eastAsia" w:eastAsia="仿宋_GB2312" w:cs="仿宋_GB2312"/>
          <w:sz w:val="32"/>
          <w:szCs w:val="32"/>
          <w:lang w:val="zh-CN"/>
        </w:rPr>
        <w:t>目标实现。</w:t>
      </w:r>
    </w:p>
    <w:p w14:paraId="34E77377">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ascii="仿宋_GB2312" w:hAnsi="仿宋_GB2312" w:eastAsia="仿宋_GB2312" w:cs="Times New Roman"/>
          <w:kern w:val="0"/>
          <w:sz w:val="32"/>
          <w:szCs w:val="32"/>
          <w:lang w:val="en-US" w:eastAsia="zh-CN" w:bidi="ar-SA"/>
        </w:rPr>
        <w:t>202</w:t>
      </w:r>
      <w:r>
        <w:rPr>
          <w:rFonts w:hint="eastAsia" w:ascii="仿宋_GB2312" w:hAnsi="仿宋_GB2312" w:cs="Times New Roman"/>
          <w:kern w:val="0"/>
          <w:sz w:val="32"/>
          <w:szCs w:val="32"/>
          <w:lang w:val="en-US" w:eastAsia="zh-CN" w:bidi="ar-SA"/>
        </w:rPr>
        <w:t>4</w:t>
      </w:r>
      <w:r>
        <w:rPr>
          <w:rFonts w:hint="eastAsia" w:ascii="仿宋_GB2312" w:hAnsi="仿宋_GB2312" w:eastAsia="仿宋_GB2312" w:cs="Times New Roman"/>
          <w:kern w:val="0"/>
          <w:sz w:val="32"/>
          <w:szCs w:val="32"/>
          <w:lang w:val="en-US" w:eastAsia="zh-CN" w:bidi="ar-SA"/>
        </w:rPr>
        <w:t>年，我院在</w:t>
      </w:r>
      <w:r>
        <w:rPr>
          <w:rFonts w:hint="eastAsia" w:ascii="仿宋_GB2312" w:hAnsi="仿宋_GB2312" w:cs="Times New Roman"/>
          <w:kern w:val="0"/>
          <w:sz w:val="32"/>
          <w:szCs w:val="32"/>
          <w:lang w:val="en-US" w:eastAsia="zh-CN" w:bidi="ar-SA"/>
        </w:rPr>
        <w:t>上级领导、</w:t>
      </w:r>
      <w:r>
        <w:rPr>
          <w:rFonts w:hint="eastAsia" w:ascii="仿宋_GB2312" w:hAnsi="仿宋_GB2312" w:eastAsia="仿宋_GB2312" w:cs="Times New Roman"/>
          <w:kern w:val="0"/>
          <w:sz w:val="32"/>
          <w:szCs w:val="32"/>
          <w:lang w:val="en-US" w:eastAsia="zh-CN" w:bidi="ar-SA"/>
        </w:rPr>
        <w:t>县委、县政府的正确领导和各级有关部门的共同努力下，全院上下齐心，全面完成了年初绩效工作目标。一是依法履行审判职责，积极服务改革发展稳定大局；二是践行司法为民宗旨，更好满足人民群众多元司法需求；三是推进过硬队伍建设，全面提升公正司法能力；四是</w:t>
      </w:r>
      <w:r>
        <w:rPr>
          <w:rFonts w:hint="default" w:ascii="仿宋_GB2312" w:hAnsi="仿宋_GB2312" w:eastAsia="仿宋_GB2312" w:cs="Times New Roman"/>
          <w:kern w:val="0"/>
          <w:sz w:val="32"/>
          <w:szCs w:val="32"/>
          <w:lang w:val="en-US" w:eastAsia="zh-CN" w:bidi="ar-SA"/>
        </w:rPr>
        <w:t>夯实基层基础,司法保障有新成效</w:t>
      </w:r>
      <w:r>
        <w:rPr>
          <w:rFonts w:hint="eastAsia" w:ascii="仿宋_GB2312" w:hAnsi="仿宋_GB2312" w:eastAsia="仿宋_GB2312" w:cs="Times New Roman"/>
          <w:kern w:val="0"/>
          <w:sz w:val="32"/>
          <w:szCs w:val="32"/>
          <w:lang w:val="en-US" w:eastAsia="zh-CN" w:bidi="ar-SA"/>
        </w:rPr>
        <w:t>。</w:t>
      </w:r>
    </w:p>
    <w:p w14:paraId="2A945601">
      <w:pPr>
        <w:numPr>
          <w:ilvl w:val="0"/>
          <w:numId w:val="1"/>
        </w:numPr>
        <w:snapToGrid w:val="0"/>
        <w:spacing w:line="600" w:lineRule="exact"/>
        <w:ind w:firstLine="643" w:firstLineChars="200"/>
        <w:rPr>
          <w:rFonts w:hint="eastAsia" w:eastAsia="仿宋_GB2312"/>
          <w:sz w:val="32"/>
          <w:szCs w:val="32"/>
          <w:lang w:val="zh-CN" w:bidi="ar"/>
        </w:rPr>
      </w:pPr>
      <w:r>
        <w:rPr>
          <w:rFonts w:eastAsia="楷体_GB2312"/>
          <w:b/>
          <w:bCs/>
          <w:color w:val="000000"/>
          <w:kern w:val="0"/>
          <w:sz w:val="32"/>
          <w:szCs w:val="32"/>
          <w:shd w:val="clear" w:color="auto" w:fill="FFFFFF"/>
          <w:lang w:val="zh-CN"/>
        </w:rPr>
        <w:t>绩效结果应用情况</w:t>
      </w:r>
      <w:r>
        <w:rPr>
          <w:rFonts w:hint="eastAsia" w:eastAsia="楷体_GB2312"/>
          <w:b/>
          <w:bCs/>
          <w:color w:val="000000"/>
          <w:kern w:val="0"/>
          <w:sz w:val="32"/>
          <w:szCs w:val="32"/>
          <w:shd w:val="clear" w:color="auto" w:fill="FFFFFF"/>
          <w:lang w:val="zh-CN"/>
        </w:rPr>
        <w:t>。</w:t>
      </w:r>
    </w:p>
    <w:p w14:paraId="50A13822">
      <w:pPr>
        <w:snapToGrid w:val="0"/>
        <w:spacing w:line="600"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en-US" w:eastAsia="zh-CN"/>
        </w:rPr>
        <w:t>根据《中华人民共和国预算法》《中华人民共和国会计法》等有关规定，结合我院实际情况，制定了《松潘县人民法院预算绩效管理制度》，对预算编制原则、预算管理职权、预算编制依据等均有明确规定。</w:t>
      </w:r>
      <w:r>
        <w:rPr>
          <w:rFonts w:hint="eastAsia" w:ascii="Times New Roman" w:hAnsi="Times New Roman" w:eastAsia="仿宋_GB2312" w:cs="Times New Roman"/>
          <w:sz w:val="32"/>
          <w:szCs w:val="32"/>
          <w:lang w:val="zh-CN" w:eastAsia="zh-CN"/>
        </w:rPr>
        <w:t>预决算公开：20</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lang w:val="zh-CN" w:eastAsia="zh-CN"/>
        </w:rPr>
        <w:t>年，我</w:t>
      </w:r>
      <w:r>
        <w:rPr>
          <w:rFonts w:hint="eastAsia" w:ascii="Times New Roman" w:hAnsi="Times New Roman" w:eastAsia="仿宋_GB2312" w:cs="Times New Roman"/>
          <w:sz w:val="32"/>
          <w:szCs w:val="32"/>
          <w:lang w:val="en-US" w:eastAsia="zh-CN"/>
        </w:rPr>
        <w:t>院严格</w:t>
      </w:r>
      <w:r>
        <w:rPr>
          <w:rFonts w:hint="eastAsia" w:ascii="Times New Roman" w:hAnsi="Times New Roman" w:eastAsia="仿宋_GB2312" w:cs="Times New Roman"/>
          <w:sz w:val="32"/>
          <w:szCs w:val="32"/>
          <w:lang w:val="zh-CN" w:eastAsia="zh-CN"/>
        </w:rPr>
        <w:t>按照财政要求，在</w:t>
      </w:r>
      <w:r>
        <w:rPr>
          <w:rFonts w:hint="eastAsia" w:ascii="Times New Roman" w:hAnsi="Times New Roman" w:eastAsia="仿宋_GB2312" w:cs="Times New Roman"/>
          <w:sz w:val="32"/>
          <w:szCs w:val="32"/>
          <w:lang w:val="en-US" w:eastAsia="zh-CN"/>
        </w:rPr>
        <w:t>政府</w:t>
      </w:r>
      <w:r>
        <w:rPr>
          <w:rFonts w:hint="eastAsia" w:ascii="Times New Roman" w:hAnsi="Times New Roman" w:eastAsia="仿宋_GB2312" w:cs="Times New Roman"/>
          <w:sz w:val="32"/>
          <w:szCs w:val="32"/>
          <w:lang w:val="zh-CN" w:eastAsia="zh-CN"/>
        </w:rPr>
        <w:t>网站上进行了预决算公开，</w:t>
      </w:r>
      <w:r>
        <w:rPr>
          <w:rFonts w:hint="eastAsia" w:ascii="Times New Roman" w:hAnsi="Times New Roman" w:eastAsia="仿宋_GB2312" w:cs="Times New Roman"/>
          <w:sz w:val="32"/>
          <w:szCs w:val="32"/>
          <w:lang w:val="en-US" w:eastAsia="zh-CN"/>
        </w:rPr>
        <w:t>接受部门和社会的监督评价。</w:t>
      </w:r>
    </w:p>
    <w:p w14:paraId="217931CB">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14:paraId="362E808E">
      <w:pPr>
        <w:widowControl/>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（一）评价结论。</w:t>
      </w:r>
    </w:p>
    <w:p w14:paraId="7F06F9B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仿宋_GB2312" w:cs="Times New Roman"/>
          <w:b w:val="0"/>
          <w:bCs w:val="0"/>
          <w:sz w:val="32"/>
          <w:szCs w:val="32"/>
          <w:highlight w:val="none"/>
          <w:u w:val="none"/>
          <w:lang w:val="en-US" w:eastAsia="zh-CN"/>
        </w:rPr>
      </w:pPr>
      <w:r>
        <w:rPr>
          <w:rFonts w:hint="eastAsia" w:ascii="Times New Roman" w:hAnsi="Times New Roman" w:eastAsia="仿宋_GB2312" w:cs="楷体"/>
          <w:sz w:val="32"/>
          <w:szCs w:val="32"/>
          <w:lang w:val="en-US" w:eastAsia="zh-CN"/>
        </w:rPr>
        <w:t>按照《阿坝州财政局关于开展202</w:t>
      </w:r>
      <w:r>
        <w:rPr>
          <w:rFonts w:hint="eastAsia" w:cs="楷体"/>
          <w:sz w:val="32"/>
          <w:szCs w:val="32"/>
          <w:lang w:val="en-US" w:eastAsia="zh-CN"/>
        </w:rPr>
        <w:t>5</w:t>
      </w:r>
      <w:r>
        <w:rPr>
          <w:rFonts w:hint="eastAsia" w:ascii="Times New Roman" w:hAnsi="Times New Roman" w:eastAsia="仿宋_GB2312" w:cs="楷体"/>
          <w:sz w:val="32"/>
          <w:szCs w:val="32"/>
          <w:lang w:val="en-US" w:eastAsia="zh-CN"/>
        </w:rPr>
        <w:t>年州级部门</w:t>
      </w:r>
      <w:r>
        <w:rPr>
          <w:rFonts w:hint="eastAsia" w:cs="楷体"/>
          <w:sz w:val="32"/>
          <w:szCs w:val="32"/>
          <w:lang w:val="en-US" w:eastAsia="zh-CN"/>
        </w:rPr>
        <w:t>预算</w:t>
      </w:r>
      <w:r>
        <w:rPr>
          <w:rFonts w:hint="eastAsia" w:ascii="Times New Roman" w:hAnsi="Times New Roman" w:eastAsia="仿宋_GB2312" w:cs="楷体"/>
          <w:sz w:val="32"/>
          <w:szCs w:val="32"/>
          <w:lang w:val="en-US" w:eastAsia="zh-CN"/>
        </w:rPr>
        <w:t>绩效自评工作的通知》</w:t>
      </w:r>
      <w:r>
        <w:rPr>
          <w:rFonts w:hint="eastAsia" w:ascii="Times New Roman" w:hAnsi="Times New Roman" w:eastAsia="仿宋_GB2312" w:cs="仿宋_GB2312"/>
          <w:b w:val="0"/>
          <w:bCs w:val="0"/>
          <w:kern w:val="0"/>
          <w:sz w:val="32"/>
          <w:szCs w:val="32"/>
          <w:lang w:val="zh-CN" w:eastAsia="zh-CN"/>
        </w:rPr>
        <w:t>（阿州财监绩〔202</w:t>
      </w:r>
      <w:r>
        <w:rPr>
          <w:rFonts w:hint="eastAsia" w:cs="仿宋_GB2312"/>
          <w:b w:val="0"/>
          <w:bCs w:val="0"/>
          <w:kern w:val="0"/>
          <w:sz w:val="32"/>
          <w:szCs w:val="32"/>
          <w:lang w:val="en-US" w:eastAsia="zh-CN"/>
        </w:rPr>
        <w:t>5</w:t>
      </w:r>
      <w:r>
        <w:rPr>
          <w:rFonts w:hint="eastAsia" w:ascii="Times New Roman" w:hAnsi="Times New Roman" w:eastAsia="仿宋_GB2312" w:cs="仿宋_GB2312"/>
          <w:b w:val="0"/>
          <w:bCs w:val="0"/>
          <w:kern w:val="0"/>
          <w:sz w:val="32"/>
          <w:szCs w:val="32"/>
          <w:lang w:val="zh-CN" w:eastAsia="zh-CN"/>
        </w:rPr>
        <w:t>〕</w:t>
      </w:r>
      <w:r>
        <w:rPr>
          <w:rFonts w:hint="eastAsia" w:cs="仿宋_GB2312"/>
          <w:b w:val="0"/>
          <w:bCs w:val="0"/>
          <w:kern w:val="0"/>
          <w:sz w:val="32"/>
          <w:szCs w:val="32"/>
          <w:lang w:val="en-US" w:eastAsia="zh-CN"/>
        </w:rPr>
        <w:t>4</w:t>
      </w:r>
      <w:r>
        <w:rPr>
          <w:rFonts w:hint="eastAsia" w:ascii="Times New Roman" w:hAnsi="Times New Roman" w:eastAsia="仿宋_GB2312" w:cs="仿宋_GB2312"/>
          <w:b w:val="0"/>
          <w:bCs w:val="0"/>
          <w:kern w:val="0"/>
          <w:sz w:val="32"/>
          <w:szCs w:val="32"/>
          <w:lang w:val="zh-CN" w:eastAsia="zh-CN"/>
        </w:rPr>
        <w:t>号）</w:t>
      </w:r>
      <w:r>
        <w:rPr>
          <w:rFonts w:hint="eastAsia" w:ascii="Times New Roman" w:hAnsi="Times New Roman" w:eastAsia="仿宋_GB2312" w:cs="仿宋_GB2312"/>
          <w:b w:val="0"/>
          <w:bCs w:val="0"/>
          <w:kern w:val="0"/>
          <w:sz w:val="32"/>
          <w:szCs w:val="32"/>
          <w:lang w:val="en-US" w:eastAsia="zh-CN"/>
        </w:rPr>
        <w:t>要求，我院从部门预算管理与结果应用情况等方面，对部门整体支出绩效开展自评工作。</w:t>
      </w:r>
      <w:r>
        <w:rPr>
          <w:rFonts w:hint="eastAsia" w:ascii="Times New Roman" w:hAnsi="Times New Roman" w:eastAsia="仿宋_GB2312" w:cs="Times New Roman"/>
          <w:b w:val="0"/>
          <w:bCs w:val="0"/>
          <w:sz w:val="32"/>
          <w:szCs w:val="32"/>
          <w:highlight w:val="none"/>
          <w:u w:val="none"/>
          <w:lang w:val="en-US" w:eastAsia="zh-CN"/>
        </w:rPr>
        <w:t>我院自评得分</w:t>
      </w:r>
      <w:r>
        <w:rPr>
          <w:rFonts w:hint="eastAsia" w:cs="Times New Roman"/>
          <w:b w:val="0"/>
          <w:bCs w:val="0"/>
          <w:sz w:val="32"/>
          <w:szCs w:val="32"/>
          <w:highlight w:val="none"/>
          <w:u w:val="none"/>
          <w:lang w:val="en-US" w:eastAsia="zh-CN"/>
        </w:rPr>
        <w:t>92</w:t>
      </w:r>
      <w:r>
        <w:rPr>
          <w:rFonts w:hint="eastAsia" w:ascii="Times New Roman" w:hAnsi="Times New Roman" w:eastAsia="仿宋_GB2312" w:cs="Times New Roman"/>
          <w:b w:val="0"/>
          <w:bCs w:val="0"/>
          <w:sz w:val="32"/>
          <w:szCs w:val="32"/>
          <w:highlight w:val="none"/>
          <w:u w:val="none"/>
          <w:lang w:val="en-US" w:eastAsia="zh-CN"/>
        </w:rPr>
        <w:t>分，能够严格按照预算管理，执行预算，严格支出控制，科学编制预算，增强预算约束力，细化项目申报内容，严格精细化管理。整体绩效目标清晰、预算编制依据充分，预算细化程度高，项目管理措施齐全，长效管理措施规划完善。部门自评质量优秀。</w:t>
      </w:r>
    </w:p>
    <w:p w14:paraId="2E7D6377">
      <w:pPr>
        <w:widowControl/>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en-US" w:eastAsia="zh-CN"/>
        </w:rPr>
      </w:pPr>
      <w:r>
        <w:rPr>
          <w:rFonts w:hint="default" w:ascii="Times New Roman" w:hAnsi="Times New Roman" w:eastAsia="楷体_GB2312" w:cs="Times New Roman"/>
          <w:b/>
          <w:bCs/>
          <w:color w:val="000000"/>
          <w:kern w:val="0"/>
          <w:sz w:val="32"/>
          <w:szCs w:val="32"/>
          <w:shd w:val="clear" w:color="auto" w:fill="FFFFFF"/>
          <w:lang w:val="zh-CN"/>
        </w:rPr>
        <w:t>（二）存在问题。</w:t>
      </w:r>
    </w:p>
    <w:p w14:paraId="13F2F66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Times New Roman"/>
          <w:b w:val="0"/>
          <w:bCs w:val="0"/>
          <w:sz w:val="32"/>
          <w:szCs w:val="32"/>
          <w:highlight w:val="none"/>
          <w:u w:val="none"/>
          <w:lang w:val="en-US" w:eastAsia="zh-CN"/>
        </w:rPr>
      </w:pPr>
      <w:r>
        <w:rPr>
          <w:rFonts w:hint="eastAsia" w:ascii="Times New Roman" w:hAnsi="Times New Roman" w:eastAsia="仿宋_GB2312" w:cs="Times New Roman"/>
          <w:b w:val="0"/>
          <w:bCs w:val="0"/>
          <w:sz w:val="32"/>
          <w:szCs w:val="32"/>
          <w:highlight w:val="none"/>
          <w:u w:val="none"/>
          <w:lang w:val="en-US" w:eastAsia="zh-CN"/>
        </w:rPr>
        <w:t>1.预算绩效观念不强。对预算绩效管理工作重视程度还不足，工作缺乏主动性。由于预算管理工作开展时间短，涉及面广，专业性强，加上缺乏系统的培训，单位对预算管理理解不够充分，对预算管理业务不精通，在一定程度上影响了绩效评价工作质量。</w:t>
      </w:r>
    </w:p>
    <w:p w14:paraId="443D7D3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sz w:val="32"/>
          <w:szCs w:val="32"/>
          <w:lang w:val="en-US" w:eastAsia="zh-CN"/>
        </w:rPr>
      </w:pPr>
      <w:r>
        <w:rPr>
          <w:rFonts w:hint="eastAsia" w:ascii="Times New Roman" w:hAnsi="Times New Roman" w:eastAsia="仿宋_GB2312" w:cs="Times New Roman"/>
          <w:b w:val="0"/>
          <w:bCs w:val="0"/>
          <w:sz w:val="32"/>
          <w:szCs w:val="32"/>
          <w:highlight w:val="none"/>
          <w:u w:val="none"/>
          <w:lang w:val="en-US" w:eastAsia="zh-CN"/>
        </w:rPr>
        <w:t>2.项目支出预算完成率偏低。我院大部分项目是中央、省政法转移支付资金，因下达时间晚，存在上半年资金紧张，下半年集中支付现象，有时审判执行紧急需要又难以支付，资金保障时紧时松，不能及时支付，导致前期</w:t>
      </w:r>
      <w:r>
        <w:rPr>
          <w:rFonts w:hint="eastAsia" w:ascii="Times New Roman" w:hAnsi="Times New Roman" w:cs="Times New Roman"/>
          <w:b w:val="0"/>
          <w:bCs w:val="0"/>
          <w:sz w:val="32"/>
          <w:szCs w:val="32"/>
          <w:highlight w:val="none"/>
          <w:u w:val="none"/>
          <w:lang w:val="en-US" w:eastAsia="zh-CN"/>
        </w:rPr>
        <w:t>办案经费</w:t>
      </w:r>
      <w:r>
        <w:rPr>
          <w:rFonts w:hint="eastAsia" w:ascii="Times New Roman" w:hAnsi="Times New Roman" w:eastAsia="仿宋_GB2312" w:cs="Times New Roman"/>
          <w:b w:val="0"/>
          <w:bCs w:val="0"/>
          <w:sz w:val="32"/>
          <w:szCs w:val="32"/>
          <w:highlight w:val="none"/>
          <w:u w:val="none"/>
          <w:lang w:val="en-US" w:eastAsia="zh-CN"/>
        </w:rPr>
        <w:t>支出进度缓慢。</w:t>
      </w:r>
      <w:r>
        <w:rPr>
          <w:rFonts w:hint="eastAsia" w:ascii="Times New Roman" w:hAnsi="Times New Roman" w:cs="Times New Roman"/>
          <w:b w:val="0"/>
          <w:bCs w:val="0"/>
          <w:sz w:val="32"/>
          <w:szCs w:val="32"/>
          <w:highlight w:val="none"/>
          <w:u w:val="none"/>
          <w:lang w:val="en-US" w:eastAsia="zh-CN"/>
        </w:rPr>
        <w:t>同时</w:t>
      </w:r>
      <w:r>
        <w:rPr>
          <w:rFonts w:hint="eastAsia" w:ascii="仿宋_GB2312" w:hAnsi="仿宋_GB2312" w:eastAsia="仿宋_GB2312" w:cs="仿宋_GB2312"/>
          <w:b w:val="0"/>
          <w:bCs w:val="0"/>
          <w:sz w:val="32"/>
          <w:szCs w:val="32"/>
          <w:lang w:val="en-US" w:eastAsia="zh-CN"/>
        </w:rPr>
        <w:t>年初未提前计划当年采购项目，导致采购项目执行滞后，资金支出进度缓慢。</w:t>
      </w:r>
    </w:p>
    <w:p w14:paraId="08010F35">
      <w:pPr>
        <w:widowControl/>
        <w:adjustRightInd w:val="0"/>
        <w:snapToGrid w:val="0"/>
        <w:spacing w:line="578" w:lineRule="exact"/>
        <w:ind w:firstLine="643" w:firstLineChars="200"/>
        <w:contextualSpacing/>
        <w:jc w:val="left"/>
        <w:rPr>
          <w:rFonts w:hint="eastAsia" w:ascii="仿宋_GB2312" w:hAnsi="仿宋_GB2312" w:eastAsia="仿宋_GB2312" w:cs="仿宋_GB2312"/>
          <w:b w:val="0"/>
          <w:bCs w:val="0"/>
          <w:kern w:val="0"/>
          <w:position w:val="0"/>
          <w:sz w:val="32"/>
          <w:szCs w:val="32"/>
          <w:highlight w:val="none"/>
          <w:lang w:val="en-US" w:eastAsia="zh-CN" w:bidi="ar-SA"/>
        </w:rPr>
      </w:pPr>
      <w:r>
        <w:rPr>
          <w:rFonts w:hint="default" w:ascii="Times New Roman" w:hAnsi="Times New Roman" w:eastAsia="楷体_GB2312" w:cs="Times New Roman"/>
          <w:b/>
          <w:bCs/>
          <w:color w:val="000000"/>
          <w:kern w:val="0"/>
          <w:sz w:val="32"/>
          <w:szCs w:val="32"/>
          <w:shd w:val="clear" w:color="auto" w:fill="FFFFFF"/>
          <w:lang w:val="zh-CN"/>
        </w:rPr>
        <w:t>（</w:t>
      </w:r>
      <w:r>
        <w:rPr>
          <w:rFonts w:hint="eastAsia" w:ascii="Times New Roman" w:hAnsi="Times New Roman" w:eastAsia="楷体_GB2312" w:cs="Times New Roman"/>
          <w:b/>
          <w:bCs/>
          <w:color w:val="000000"/>
          <w:kern w:val="0"/>
          <w:sz w:val="32"/>
          <w:szCs w:val="32"/>
          <w:shd w:val="clear" w:color="auto" w:fill="FFFFFF"/>
          <w:lang w:val="en-US" w:eastAsia="zh-CN"/>
        </w:rPr>
        <w:t>三</w:t>
      </w:r>
      <w:r>
        <w:rPr>
          <w:rFonts w:hint="default" w:ascii="Times New Roman" w:hAnsi="Times New Roman" w:eastAsia="楷体_GB2312" w:cs="Times New Roman"/>
          <w:b/>
          <w:bCs/>
          <w:color w:val="000000"/>
          <w:kern w:val="0"/>
          <w:sz w:val="32"/>
          <w:szCs w:val="32"/>
          <w:shd w:val="clear" w:color="auto" w:fill="FFFFFF"/>
          <w:lang w:val="zh-CN"/>
        </w:rPr>
        <w:t>）</w:t>
      </w:r>
      <w:r>
        <w:rPr>
          <w:rFonts w:hint="default" w:ascii="Times New Roman" w:hAnsi="Times New Roman" w:eastAsia="楷体_GB2312" w:cs="Times New Roman"/>
          <w:b/>
          <w:bCs/>
          <w:color w:val="000000"/>
          <w:kern w:val="0"/>
          <w:sz w:val="32"/>
          <w:szCs w:val="32"/>
          <w:highlight w:val="none"/>
          <w:shd w:val="clear" w:color="auto" w:fill="FFFFFF"/>
          <w:lang w:val="zh-CN" w:eastAsia="zh-CN"/>
        </w:rPr>
        <w:t>改进建议。</w:t>
      </w:r>
    </w:p>
    <w:p w14:paraId="2CF3891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1.增加绩效培训课程。随着预算绩效工作的深入开展，对财务人员的素质要求越来越高，为了更好的履行职能工作，充分保障工作的顺利开展，希望在政策允许的情况下，适当增加绩效培训课程。</w:t>
      </w:r>
    </w:p>
    <w:p w14:paraId="2CB6AE5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建议绩效评价时考虑资金下达时间等因素。建议上级财政及时拨付中央、省转移支付资金，同时建立和完善内部控制建设，形成系统的内部财务管理制度。年初制定详细采购项目计划，并按照计划执行，优化资金使用节点，确保资金及时使用，保障资金支付进度。加强对专项资金的管理，按工作要求加快专项资金使用进度，切实发挥资金效益。</w:t>
      </w:r>
    </w:p>
    <w:p w14:paraId="5ADC3704">
      <w:pPr>
        <w:pStyle w:val="6"/>
        <w:spacing w:line="560" w:lineRule="exact"/>
        <w:ind w:left="0" w:leftChars="0" w:firstLine="640"/>
        <w:rPr>
          <w:rFonts w:hint="eastAsia" w:ascii="Times New Roman" w:eastAsia="仿宋_GB2312"/>
          <w:sz w:val="32"/>
          <w:lang w:val="zh-CN" w:bidi="ar"/>
        </w:rPr>
      </w:pPr>
    </w:p>
    <w:p w14:paraId="0510B336">
      <w:pPr>
        <w:pStyle w:val="6"/>
        <w:spacing w:line="560" w:lineRule="exact"/>
        <w:ind w:left="0" w:leftChars="0" w:firstLine="640"/>
        <w:rPr>
          <w:rFonts w:hint="eastAsia" w:ascii="Times New Roman" w:eastAsia="仿宋_GB2312"/>
          <w:sz w:val="32"/>
          <w:lang w:val="en-US" w:eastAsia="zh-CN" w:bidi="ar"/>
        </w:rPr>
        <w:sectPr>
          <w:footerReference r:id="rId8" w:type="default"/>
          <w:pgSz w:w="11906" w:h="16838"/>
          <w:pgMar w:top="1440" w:right="1800" w:bottom="1440" w:left="1800" w:header="851" w:footer="992" w:gutter="0"/>
          <w:pgNumType w:fmt="numberInDash" w:start="1"/>
          <w:cols w:space="425" w:num="1"/>
          <w:docGrid w:type="lines" w:linePitch="312" w:charSpace="0"/>
        </w:sectPr>
      </w:pPr>
      <w:r>
        <w:rPr>
          <w:rFonts w:hint="eastAsia" w:ascii="Times New Roman" w:eastAsia="仿宋_GB2312"/>
          <w:sz w:val="32"/>
          <w:lang w:val="zh-CN" w:bidi="ar"/>
        </w:rPr>
        <w:t>附表：</w:t>
      </w:r>
      <w:r>
        <w:rPr>
          <w:rFonts w:hint="eastAsia" w:ascii="Times New Roman" w:eastAsia="仿宋_GB2312"/>
          <w:sz w:val="32"/>
          <w:lang w:bidi="ar"/>
        </w:rPr>
        <w:t>部门预算项目支出绩效</w:t>
      </w:r>
      <w:r>
        <w:rPr>
          <w:rFonts w:hint="eastAsia" w:ascii="Times New Roman" w:eastAsia="仿宋_GB2312"/>
          <w:sz w:val="32"/>
          <w:lang w:val="en-US" w:eastAsia="zh-CN" w:bidi="ar"/>
        </w:rPr>
        <w:t>评价</w:t>
      </w:r>
      <w:r>
        <w:rPr>
          <w:rFonts w:hint="eastAsia" w:ascii="Times New Roman" w:eastAsia="仿宋_GB2312"/>
          <w:sz w:val="32"/>
          <w:lang w:bidi="ar"/>
        </w:rPr>
        <w:t>表（2024年度）</w:t>
      </w:r>
    </w:p>
    <w:tbl>
      <w:tblPr>
        <w:tblStyle w:val="12"/>
        <w:tblW w:w="500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1093"/>
        <w:gridCol w:w="842"/>
        <w:gridCol w:w="1206"/>
        <w:gridCol w:w="399"/>
        <w:gridCol w:w="490"/>
        <w:gridCol w:w="371"/>
        <w:gridCol w:w="981"/>
        <w:gridCol w:w="563"/>
        <w:gridCol w:w="6"/>
        <w:gridCol w:w="559"/>
        <w:gridCol w:w="1370"/>
        <w:gridCol w:w="6"/>
      </w:tblGrid>
      <w:tr w14:paraId="4E08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904" w:hRule="atLeast"/>
        </w:trPr>
        <w:tc>
          <w:tcPr>
            <w:tcW w:w="499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5D56C3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A67C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81" w:hRule="atLeast"/>
        </w:trPr>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786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E0A3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51320023R000009914893-工资性支出</w:t>
            </w:r>
          </w:p>
        </w:tc>
      </w:tr>
      <w:tr w14:paraId="4E5B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14" w:hRule="atLeast"/>
        </w:trPr>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EA3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605D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松潘县人民法院部门</w:t>
            </w:r>
          </w:p>
        </w:tc>
        <w:tc>
          <w:tcPr>
            <w:tcW w:w="575" w:type="pct"/>
            <w:tcBorders>
              <w:top w:val="nil"/>
              <w:left w:val="nil"/>
              <w:bottom w:val="nil"/>
              <w:right w:val="nil"/>
            </w:tcBorders>
            <w:shd w:val="clear" w:color="auto" w:fill="auto"/>
            <w:vAlign w:val="center"/>
          </w:tcPr>
          <w:p w14:paraId="372A2F9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49B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松潘县人民法院</w:t>
            </w:r>
          </w:p>
        </w:tc>
      </w:tr>
      <w:tr w14:paraId="32485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4" w:hRule="atLeast"/>
        </w:trPr>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DE7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F88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21A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0801D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1952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104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965A1">
            <w:pPr>
              <w:rPr>
                <w:rFonts w:hint="eastAsia" w:ascii="宋体" w:hAnsi="宋体" w:eastAsia="宋体" w:cs="宋体"/>
                <w:i w:val="0"/>
                <w:iCs w:val="0"/>
                <w:color w:val="000000"/>
                <w:sz w:val="18"/>
                <w:szCs w:val="18"/>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71384">
            <w:pPr>
              <w:rPr>
                <w:rFonts w:hint="eastAsia" w:ascii="宋体" w:hAnsi="宋体" w:eastAsia="宋体" w:cs="宋体"/>
                <w:i w:val="0"/>
                <w:iCs w:val="0"/>
                <w:color w:val="000000"/>
                <w:sz w:val="18"/>
                <w:szCs w:val="18"/>
                <w:u w:val="none"/>
              </w:rPr>
            </w:pPr>
          </w:p>
        </w:tc>
        <w:tc>
          <w:tcPr>
            <w:tcW w:w="19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1539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20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CB8BB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严格按政策，及时足额发放工资、缴纳社保，预算编制科学，无结余资金，目标完成。</w:t>
            </w:r>
          </w:p>
        </w:tc>
      </w:tr>
      <w:tr w14:paraId="1297E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96"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B232E">
            <w:pP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ADF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019C12">
            <w:pP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rPr>
              <w:t>依据相关政策规定，有序开展工资核算、发放工作，按时为职工缴纳社保，同时科学编制预算，对资金使用进行严格把控，确保项目规范实施</w:t>
            </w:r>
            <w:r>
              <w:rPr>
                <w:rFonts w:hint="eastAsia" w:ascii="宋体" w:hAnsi="宋体" w:eastAsia="宋体" w:cs="宋体"/>
                <w:i w:val="0"/>
                <w:iCs w:val="0"/>
                <w:color w:val="000000"/>
                <w:sz w:val="18"/>
                <w:szCs w:val="18"/>
                <w:u w:val="none"/>
                <w:lang w:eastAsia="zh-CN"/>
              </w:rPr>
              <w:t>。</w:t>
            </w:r>
          </w:p>
        </w:tc>
      </w:tr>
      <w:tr w14:paraId="6FC1D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702" w:hRule="atLeast"/>
        </w:trPr>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16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CB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92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6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5A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1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E2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BB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02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7CA7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415"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D7C93">
            <w:pPr>
              <w:jc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C2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E7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555.73</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99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560.35</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40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560.35</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0C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29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5E9AF">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27EBF">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60E6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9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767D5">
            <w:pPr>
              <w:jc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E3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2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555.73</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20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560.35</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05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560.35</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7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3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A6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9A0C8">
            <w:pPr>
              <w:rPr>
                <w:rFonts w:hint="eastAsia" w:ascii="黑体" w:hAnsi="黑体" w:eastAsia="黑体" w:cs="黑体"/>
                <w:i/>
                <w:iCs/>
                <w:color w:val="000000"/>
                <w:sz w:val="18"/>
                <w:szCs w:val="18"/>
                <w:u w:val="none"/>
              </w:rPr>
            </w:pPr>
          </w:p>
        </w:tc>
      </w:tr>
      <w:tr w14:paraId="168F7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409"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E698F">
            <w:pPr>
              <w:jc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2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D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4A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D5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3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DB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61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57ED8">
            <w:pPr>
              <w:rPr>
                <w:rFonts w:hint="eastAsia" w:ascii="黑体" w:hAnsi="黑体" w:eastAsia="黑体" w:cs="黑体"/>
                <w:i/>
                <w:iCs/>
                <w:color w:val="000000"/>
                <w:sz w:val="18"/>
                <w:szCs w:val="18"/>
                <w:u w:val="none"/>
              </w:rPr>
            </w:pPr>
          </w:p>
        </w:tc>
      </w:tr>
      <w:tr w14:paraId="0B0A1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447"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5959A">
            <w:pPr>
              <w:jc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F9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D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EC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42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2A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F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B0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B3740">
            <w:pPr>
              <w:rPr>
                <w:rFonts w:hint="eastAsia" w:ascii="黑体" w:hAnsi="黑体" w:eastAsia="黑体" w:cs="黑体"/>
                <w:i/>
                <w:iCs/>
                <w:color w:val="000000"/>
                <w:sz w:val="18"/>
                <w:szCs w:val="18"/>
                <w:u w:val="none"/>
              </w:rPr>
            </w:pPr>
          </w:p>
        </w:tc>
      </w:tr>
      <w:tr w14:paraId="73A44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38"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437BB">
            <w:pPr>
              <w:jc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9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8A27C">
            <w:pPr>
              <w:jc w:val="center"/>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BE06">
            <w:pPr>
              <w:jc w:val="center"/>
              <w:rPr>
                <w:rFonts w:hint="eastAsia" w:ascii="微软雅黑" w:hAnsi="微软雅黑" w:eastAsia="微软雅黑" w:cs="微软雅黑"/>
                <w:i/>
                <w:iCs/>
                <w:color w:val="000000"/>
                <w:sz w:val="16"/>
                <w:szCs w:val="16"/>
                <w:u w:val="none"/>
              </w:rPr>
            </w:pP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0490D">
            <w:pPr>
              <w:jc w:val="center"/>
              <w:rPr>
                <w:rFonts w:hint="eastAsia" w:ascii="微软雅黑" w:hAnsi="微软雅黑" w:eastAsia="微软雅黑" w:cs="微软雅黑"/>
                <w:i/>
                <w:iCs/>
                <w:color w:val="000000"/>
                <w:sz w:val="16"/>
                <w:szCs w:val="16"/>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A6B3">
            <w:pPr>
              <w:jc w:val="center"/>
              <w:rPr>
                <w:rFonts w:hint="eastAsia" w:ascii="微软雅黑" w:hAnsi="微软雅黑" w:eastAsia="微软雅黑" w:cs="微软雅黑"/>
                <w:i/>
                <w:iCs/>
                <w:color w:val="000000"/>
                <w:sz w:val="16"/>
                <w:szCs w:val="16"/>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F7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AB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97460">
            <w:pPr>
              <w:rPr>
                <w:rFonts w:hint="eastAsia" w:ascii="黑体" w:hAnsi="黑体" w:eastAsia="黑体" w:cs="黑体"/>
                <w:i/>
                <w:iCs/>
                <w:color w:val="000000"/>
                <w:sz w:val="18"/>
                <w:szCs w:val="18"/>
                <w:u w:val="none"/>
              </w:rPr>
            </w:pPr>
          </w:p>
        </w:tc>
      </w:tr>
      <w:tr w14:paraId="5CDB6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45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D7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C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6E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20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99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C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C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69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F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DA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CB48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4A9DD">
            <w:pPr>
              <w:jc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AC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B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3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F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CB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0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D513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13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5BCE">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ED04F">
            <w:pPr>
              <w:jc w:val="center"/>
              <w:rPr>
                <w:rFonts w:hint="eastAsia" w:ascii="微软雅黑" w:hAnsi="微软雅黑" w:eastAsia="微软雅黑" w:cs="微软雅黑"/>
                <w:i/>
                <w:iCs/>
                <w:color w:val="000000"/>
                <w:sz w:val="16"/>
                <w:szCs w:val="16"/>
                <w:u w:val="none"/>
              </w:rPr>
            </w:pPr>
          </w:p>
        </w:tc>
      </w:tr>
      <w:tr w14:paraId="5C7C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2792F">
            <w:pPr>
              <w:jc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C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2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0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BF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3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A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EDF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AA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C2706">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40D0E">
            <w:pPr>
              <w:jc w:val="center"/>
              <w:rPr>
                <w:rFonts w:hint="eastAsia" w:ascii="微软雅黑" w:hAnsi="微软雅黑" w:eastAsia="微软雅黑" w:cs="微软雅黑"/>
                <w:i/>
                <w:iCs/>
                <w:color w:val="000000"/>
                <w:sz w:val="16"/>
                <w:szCs w:val="16"/>
                <w:u w:val="none"/>
              </w:rPr>
            </w:pPr>
          </w:p>
        </w:tc>
      </w:tr>
      <w:tr w14:paraId="065BE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285" w:hRule="atLeast"/>
        </w:trPr>
        <w:tc>
          <w:tcPr>
            <w:tcW w:w="353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D2F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10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6C164">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E3FE4">
            <w:pPr>
              <w:rPr>
                <w:rFonts w:hint="eastAsia" w:ascii="宋体" w:hAnsi="宋体" w:eastAsia="宋体" w:cs="宋体"/>
                <w:i w:val="0"/>
                <w:iCs w:val="0"/>
                <w:color w:val="000000"/>
                <w:sz w:val="18"/>
                <w:szCs w:val="18"/>
                <w:u w:val="none"/>
              </w:rPr>
            </w:pPr>
          </w:p>
        </w:tc>
      </w:tr>
      <w:tr w14:paraId="0FE2F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843"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D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1C1E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项目自评总分100分。严格落实工资性支出相关工作，工资发放、社保缴纳等均实现全覆盖且足额保障，有效保障职工权益，项目实施成效显著。</w:t>
            </w:r>
          </w:p>
        </w:tc>
      </w:tr>
      <w:tr w14:paraId="71A07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667"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02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A2B2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暂未发现明显问题。</w:t>
            </w:r>
          </w:p>
        </w:tc>
      </w:tr>
      <w:tr w14:paraId="262B6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677" w:hRule="atLeast"/>
        </w:trPr>
        <w:tc>
          <w:tcPr>
            <w:tcW w:w="376" w:type="pct"/>
            <w:tcBorders>
              <w:top w:val="single" w:color="000000" w:sz="4" w:space="0"/>
              <w:left w:val="single" w:color="000000" w:sz="4" w:space="0"/>
              <w:bottom w:val="single" w:color="auto" w:sz="4" w:space="0"/>
              <w:right w:val="single" w:color="000000" w:sz="4" w:space="0"/>
            </w:tcBorders>
            <w:shd w:val="clear" w:color="auto" w:fill="auto"/>
            <w:vAlign w:val="center"/>
          </w:tcPr>
          <w:p w14:paraId="1AAA7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0" w:type="pct"/>
            <w:gridSpan w:val="11"/>
            <w:tcBorders>
              <w:top w:val="single" w:color="000000" w:sz="4" w:space="0"/>
              <w:left w:val="single" w:color="000000" w:sz="4" w:space="0"/>
              <w:bottom w:val="single" w:color="auto" w:sz="4" w:space="0"/>
              <w:right w:val="single" w:color="000000" w:sz="4" w:space="0"/>
            </w:tcBorders>
            <w:shd w:val="clear" w:color="auto" w:fill="auto"/>
            <w:vAlign w:val="center"/>
          </w:tcPr>
          <w:p w14:paraId="409894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持续保持现有工作规范与节奏，加强对政策的动态学习，确保工资性支出工作始终高效、合规开展。</w:t>
            </w:r>
          </w:p>
        </w:tc>
      </w:tr>
      <w:tr w14:paraId="14FB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847" w:hRule="atLeast"/>
        </w:trPr>
        <w:tc>
          <w:tcPr>
            <w:tcW w:w="245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28E848C">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p w14:paraId="0C90DDCC">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项目负责人：</w:t>
            </w:r>
          </w:p>
          <w:p w14:paraId="19AC9F20">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c>
          <w:tcPr>
            <w:tcW w:w="254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BB456E1">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财务负责人：</w:t>
            </w:r>
          </w:p>
        </w:tc>
      </w:tr>
      <w:tr w14:paraId="1759A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4" w:hRule="atLeast"/>
        </w:trPr>
        <w:tc>
          <w:tcPr>
            <w:tcW w:w="4996"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14:paraId="73225AE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0D3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487" w:hRule="atLeast"/>
        </w:trPr>
        <w:tc>
          <w:tcPr>
            <w:tcW w:w="1017"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93848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79" w:type="pct"/>
            <w:gridSpan w:val="10"/>
            <w:tcBorders>
              <w:top w:val="single" w:color="auto" w:sz="4" w:space="0"/>
              <w:left w:val="single" w:color="000000" w:sz="4" w:space="0"/>
              <w:bottom w:val="single" w:color="000000" w:sz="4" w:space="0"/>
              <w:right w:val="single" w:color="000000" w:sz="4" w:space="0"/>
            </w:tcBorders>
            <w:shd w:val="clear" w:color="auto" w:fill="auto"/>
            <w:vAlign w:val="center"/>
          </w:tcPr>
          <w:p w14:paraId="56C72C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51320023R000009915221-单位缴费</w:t>
            </w:r>
          </w:p>
        </w:tc>
      </w:tr>
      <w:tr w14:paraId="1E6FC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514" w:hRule="atLeast"/>
        </w:trPr>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A80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4C84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松潘县人民法院部门</w:t>
            </w:r>
          </w:p>
        </w:tc>
        <w:tc>
          <w:tcPr>
            <w:tcW w:w="575" w:type="pct"/>
            <w:tcBorders>
              <w:top w:val="nil"/>
              <w:left w:val="nil"/>
              <w:bottom w:val="nil"/>
              <w:right w:val="nil"/>
            </w:tcBorders>
            <w:shd w:val="clear" w:color="auto" w:fill="auto"/>
            <w:vAlign w:val="center"/>
          </w:tcPr>
          <w:p w14:paraId="646974B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E61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松潘县人民法院</w:t>
            </w:r>
          </w:p>
        </w:tc>
      </w:tr>
      <w:tr w14:paraId="35223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285" w:hRule="atLeast"/>
        </w:trPr>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B71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0D5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61C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86A2D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361F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1058"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ECDE0">
            <w:pPr>
              <w:rPr>
                <w:rFonts w:hint="eastAsia" w:ascii="宋体" w:hAnsi="宋体" w:eastAsia="宋体" w:cs="宋体"/>
                <w:i w:val="0"/>
                <w:iCs w:val="0"/>
                <w:color w:val="000000"/>
                <w:sz w:val="18"/>
                <w:szCs w:val="18"/>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40B5">
            <w:pPr>
              <w:rPr>
                <w:rFonts w:hint="eastAsia" w:ascii="宋体" w:hAnsi="宋体" w:eastAsia="宋体" w:cs="宋体"/>
                <w:i w:val="0"/>
                <w:iCs w:val="0"/>
                <w:color w:val="000000"/>
                <w:sz w:val="18"/>
                <w:szCs w:val="18"/>
                <w:u w:val="none"/>
              </w:rPr>
            </w:pPr>
          </w:p>
        </w:tc>
        <w:tc>
          <w:tcPr>
            <w:tcW w:w="19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9350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20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5F1D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严格执行政策，社保单位缴费及时、足额缴纳，预算编制科学，无结余资金，目标达成。</w:t>
            </w:r>
          </w:p>
        </w:tc>
      </w:tr>
      <w:tr w14:paraId="6B822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694"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CDF4D">
            <w:pP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BE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6A7E20">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依据社保政策，按时核算并缴纳单位社保费用，同时科学编制预算，规范资金使用流程，保障项目顺利实施。</w:t>
            </w:r>
          </w:p>
        </w:tc>
      </w:tr>
      <w:tr w14:paraId="5DFBB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60" w:hRule="atLeast"/>
        </w:trPr>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91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DB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BD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9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20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A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9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4A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E6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15E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45"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D8DB2">
            <w:pPr>
              <w:jc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99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3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344.23</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40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340.56</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A3E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340.56</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2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ED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05D97">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D3BB9">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0606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9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887E6">
            <w:pPr>
              <w:jc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2D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8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344.23</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7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340.56</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41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340.56</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A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29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D5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417D3">
            <w:pPr>
              <w:rPr>
                <w:rFonts w:hint="eastAsia" w:ascii="黑体" w:hAnsi="黑体" w:eastAsia="黑体" w:cs="黑体"/>
                <w:i/>
                <w:iCs/>
                <w:color w:val="000000"/>
                <w:sz w:val="18"/>
                <w:szCs w:val="18"/>
                <w:u w:val="none"/>
              </w:rPr>
            </w:pPr>
          </w:p>
        </w:tc>
      </w:tr>
      <w:tr w14:paraId="4B5B9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409"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87216">
            <w:pPr>
              <w:jc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99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2A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C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A1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F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E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15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6E6DF">
            <w:pPr>
              <w:rPr>
                <w:rFonts w:hint="eastAsia" w:ascii="黑体" w:hAnsi="黑体" w:eastAsia="黑体" w:cs="黑体"/>
                <w:i/>
                <w:iCs/>
                <w:color w:val="000000"/>
                <w:sz w:val="18"/>
                <w:szCs w:val="18"/>
                <w:u w:val="none"/>
              </w:rPr>
            </w:pPr>
          </w:p>
        </w:tc>
      </w:tr>
      <w:tr w14:paraId="70CE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E4755">
            <w:pPr>
              <w:jc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19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DC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BC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71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38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F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99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2C31D">
            <w:pPr>
              <w:rPr>
                <w:rFonts w:hint="eastAsia" w:ascii="黑体" w:hAnsi="黑体" w:eastAsia="黑体" w:cs="黑体"/>
                <w:i/>
                <w:iCs/>
                <w:color w:val="000000"/>
                <w:sz w:val="18"/>
                <w:szCs w:val="18"/>
                <w:u w:val="none"/>
              </w:rPr>
            </w:pPr>
          </w:p>
        </w:tc>
      </w:tr>
      <w:tr w14:paraId="0818C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38"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BE932">
            <w:pPr>
              <w:jc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8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9048">
            <w:pPr>
              <w:jc w:val="center"/>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B140">
            <w:pPr>
              <w:jc w:val="center"/>
              <w:rPr>
                <w:rFonts w:hint="eastAsia" w:ascii="微软雅黑" w:hAnsi="微软雅黑" w:eastAsia="微软雅黑" w:cs="微软雅黑"/>
                <w:i/>
                <w:iCs/>
                <w:color w:val="000000"/>
                <w:sz w:val="16"/>
                <w:szCs w:val="16"/>
                <w:u w:val="none"/>
              </w:rPr>
            </w:pP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39F9E">
            <w:pPr>
              <w:jc w:val="center"/>
              <w:rPr>
                <w:rFonts w:hint="eastAsia" w:ascii="微软雅黑" w:hAnsi="微软雅黑" w:eastAsia="微软雅黑" w:cs="微软雅黑"/>
                <w:i/>
                <w:iCs/>
                <w:color w:val="000000"/>
                <w:sz w:val="16"/>
                <w:szCs w:val="16"/>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D0FD5">
            <w:pPr>
              <w:jc w:val="center"/>
              <w:rPr>
                <w:rFonts w:hint="eastAsia" w:ascii="微软雅黑" w:hAnsi="微软雅黑" w:eastAsia="微软雅黑" w:cs="微软雅黑"/>
                <w:i/>
                <w:iCs/>
                <w:color w:val="000000"/>
                <w:sz w:val="16"/>
                <w:szCs w:val="16"/>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8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72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219B3">
            <w:pPr>
              <w:rPr>
                <w:rFonts w:hint="eastAsia" w:ascii="黑体" w:hAnsi="黑体" w:eastAsia="黑体" w:cs="黑体"/>
                <w:i/>
                <w:iCs/>
                <w:color w:val="000000"/>
                <w:sz w:val="18"/>
                <w:szCs w:val="18"/>
                <w:u w:val="none"/>
              </w:rPr>
            </w:pPr>
          </w:p>
        </w:tc>
      </w:tr>
      <w:tr w14:paraId="758F8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F5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9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5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2D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AD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7E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E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E7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8B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A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77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1D59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9FE07">
            <w:pPr>
              <w:jc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CF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CD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4A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5C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CB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E6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429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F4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1CB7">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DED14">
            <w:pPr>
              <w:jc w:val="center"/>
              <w:rPr>
                <w:rFonts w:hint="eastAsia" w:ascii="微软雅黑" w:hAnsi="微软雅黑" w:eastAsia="微软雅黑" w:cs="微软雅黑"/>
                <w:i/>
                <w:iCs/>
                <w:color w:val="000000"/>
                <w:sz w:val="16"/>
                <w:szCs w:val="16"/>
                <w:u w:val="none"/>
              </w:rPr>
            </w:pPr>
          </w:p>
        </w:tc>
      </w:tr>
      <w:tr w14:paraId="50701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429A7">
            <w:pPr>
              <w:jc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69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E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E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FD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27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EF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D7D5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100%</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C9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6181">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79306">
            <w:pPr>
              <w:jc w:val="center"/>
              <w:rPr>
                <w:rFonts w:hint="eastAsia" w:ascii="微软雅黑" w:hAnsi="微软雅黑" w:eastAsia="微软雅黑" w:cs="微软雅黑"/>
                <w:i/>
                <w:iCs/>
                <w:color w:val="000000"/>
                <w:sz w:val="16"/>
                <w:szCs w:val="16"/>
                <w:u w:val="none"/>
              </w:rPr>
            </w:pPr>
          </w:p>
        </w:tc>
      </w:tr>
      <w:tr w14:paraId="46648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285" w:hRule="atLeast"/>
        </w:trPr>
        <w:tc>
          <w:tcPr>
            <w:tcW w:w="353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5B0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0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16A04">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8EE8">
            <w:pPr>
              <w:rPr>
                <w:rFonts w:hint="eastAsia" w:ascii="宋体" w:hAnsi="宋体" w:eastAsia="宋体" w:cs="宋体"/>
                <w:i w:val="0"/>
                <w:iCs w:val="0"/>
                <w:color w:val="000000"/>
                <w:sz w:val="18"/>
                <w:szCs w:val="18"/>
                <w:u w:val="none"/>
              </w:rPr>
            </w:pPr>
          </w:p>
        </w:tc>
      </w:tr>
      <w:tr w14:paraId="4CEA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604"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1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3343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项目自评总分100分。严格执行社保政策，单位缴费及时足额，发放（缴纳）覆盖率、足额保障率均达100%，预算执行高效，切实保障职工社保权益，成效显著。</w:t>
            </w:r>
          </w:p>
        </w:tc>
      </w:tr>
      <w:tr w14:paraId="11E5B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74"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27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4F68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暂未发现明显问题。</w:t>
            </w:r>
          </w:p>
        </w:tc>
      </w:tr>
      <w:tr w14:paraId="3DC7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634"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5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62BA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持续关注社保政策变化，优化预算编制与资金使用流程，加强部门协同，确保单位缴费工作始终规范、高效开展。</w:t>
            </w:r>
          </w:p>
        </w:tc>
      </w:tr>
      <w:tr w14:paraId="47E7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285" w:hRule="atLeast"/>
        </w:trPr>
        <w:tc>
          <w:tcPr>
            <w:tcW w:w="245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F1B79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54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BAFB05">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p w14:paraId="53074511">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财务负责人：</w:t>
            </w:r>
          </w:p>
          <w:p w14:paraId="3D319F14">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bl>
    <w:p w14:paraId="4B6387E1"/>
    <w:p w14:paraId="275DA99A"/>
    <w:tbl>
      <w:tblPr>
        <w:tblStyle w:val="12"/>
        <w:tblW w:w="500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1093"/>
        <w:gridCol w:w="842"/>
        <w:gridCol w:w="1206"/>
        <w:gridCol w:w="399"/>
        <w:gridCol w:w="490"/>
        <w:gridCol w:w="371"/>
        <w:gridCol w:w="981"/>
        <w:gridCol w:w="563"/>
        <w:gridCol w:w="6"/>
        <w:gridCol w:w="559"/>
        <w:gridCol w:w="1370"/>
        <w:gridCol w:w="6"/>
      </w:tblGrid>
      <w:tr w14:paraId="1BF80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4" w:hRule="atLeast"/>
        </w:trPr>
        <w:tc>
          <w:tcPr>
            <w:tcW w:w="499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DAFF38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DE1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409" w:hRule="atLeast"/>
        </w:trPr>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1A3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B56A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51320023R000009915925-聘用人员经费</w:t>
            </w:r>
          </w:p>
        </w:tc>
      </w:tr>
      <w:tr w14:paraId="0C03E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698" w:hRule="atLeast"/>
        </w:trPr>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E10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75D4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松潘县人民法院部门</w:t>
            </w:r>
          </w:p>
        </w:tc>
        <w:tc>
          <w:tcPr>
            <w:tcW w:w="575" w:type="pct"/>
            <w:tcBorders>
              <w:top w:val="nil"/>
              <w:left w:val="nil"/>
              <w:bottom w:val="nil"/>
              <w:right w:val="nil"/>
            </w:tcBorders>
            <w:shd w:val="clear" w:color="auto" w:fill="auto"/>
            <w:vAlign w:val="center"/>
          </w:tcPr>
          <w:p w14:paraId="41F5BB6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D5C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松潘县人民法院</w:t>
            </w:r>
          </w:p>
        </w:tc>
      </w:tr>
      <w:tr w14:paraId="255E3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6" w:hRule="atLeast"/>
        </w:trPr>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73E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E33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D13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56711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E66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1054"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2F07">
            <w:pPr>
              <w:rPr>
                <w:rFonts w:hint="eastAsia" w:ascii="宋体" w:hAnsi="宋体" w:eastAsia="宋体" w:cs="宋体"/>
                <w:i w:val="0"/>
                <w:iCs w:val="0"/>
                <w:color w:val="000000"/>
                <w:sz w:val="18"/>
                <w:szCs w:val="18"/>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F05FD">
            <w:pPr>
              <w:rPr>
                <w:rFonts w:hint="eastAsia" w:ascii="宋体" w:hAnsi="宋体" w:eastAsia="宋体" w:cs="宋体"/>
                <w:i w:val="0"/>
                <w:iCs w:val="0"/>
                <w:color w:val="000000"/>
                <w:sz w:val="18"/>
                <w:szCs w:val="18"/>
                <w:u w:val="none"/>
              </w:rPr>
            </w:pPr>
          </w:p>
        </w:tc>
        <w:tc>
          <w:tcPr>
            <w:tcW w:w="19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CD6A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20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2FBD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严格执行政策，聘用人员工资及时足额发放、社保及时足额缴纳，预算编制科学，无结余资金，目标完成。</w:t>
            </w:r>
          </w:p>
        </w:tc>
      </w:tr>
      <w:tr w14:paraId="6313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694"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B9AF4">
            <w:pP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39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432445">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依据相关政策，规范开展聘用人员经费核算与发放工作，按时缴纳社保，科学编制并严格执行预算，保障项目有序实施。</w:t>
            </w:r>
          </w:p>
        </w:tc>
      </w:tr>
      <w:tr w14:paraId="5908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678" w:hRule="atLeast"/>
        </w:trPr>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35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8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0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7C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ED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64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81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31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A5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6AB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45"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A2814">
            <w:pPr>
              <w:jc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62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FB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80.38</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7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80.38</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E7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80.38</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4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B4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ABFA9">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C0DDE">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2737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9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03259">
            <w:pPr>
              <w:jc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0E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75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80.38</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EB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80.38</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5C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80.38</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3C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E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22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4E17E">
            <w:pPr>
              <w:rPr>
                <w:rFonts w:hint="eastAsia" w:ascii="黑体" w:hAnsi="黑体" w:eastAsia="黑体" w:cs="黑体"/>
                <w:i/>
                <w:iCs/>
                <w:color w:val="000000"/>
                <w:sz w:val="18"/>
                <w:szCs w:val="18"/>
                <w:u w:val="none"/>
              </w:rPr>
            </w:pPr>
          </w:p>
        </w:tc>
      </w:tr>
      <w:tr w14:paraId="0B174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409"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9752B">
            <w:pPr>
              <w:jc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2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49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D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6F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E5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B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57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39C96">
            <w:pPr>
              <w:rPr>
                <w:rFonts w:hint="eastAsia" w:ascii="黑体" w:hAnsi="黑体" w:eastAsia="黑体" w:cs="黑体"/>
                <w:i/>
                <w:iCs/>
                <w:color w:val="000000"/>
                <w:sz w:val="18"/>
                <w:szCs w:val="18"/>
                <w:u w:val="none"/>
              </w:rPr>
            </w:pPr>
          </w:p>
        </w:tc>
      </w:tr>
      <w:tr w14:paraId="13C2B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6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FCB7B">
            <w:pPr>
              <w:jc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F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4D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6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6E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81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0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D1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4C404">
            <w:pPr>
              <w:rPr>
                <w:rFonts w:hint="eastAsia" w:ascii="黑体" w:hAnsi="黑体" w:eastAsia="黑体" w:cs="黑体"/>
                <w:i/>
                <w:iCs/>
                <w:color w:val="000000"/>
                <w:sz w:val="18"/>
                <w:szCs w:val="18"/>
                <w:u w:val="none"/>
              </w:rPr>
            </w:pPr>
          </w:p>
        </w:tc>
      </w:tr>
      <w:tr w14:paraId="45107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38"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D749C">
            <w:pPr>
              <w:jc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8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C8E4">
            <w:pPr>
              <w:jc w:val="center"/>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AA122">
            <w:pPr>
              <w:jc w:val="center"/>
              <w:rPr>
                <w:rFonts w:hint="eastAsia" w:ascii="微软雅黑" w:hAnsi="微软雅黑" w:eastAsia="微软雅黑" w:cs="微软雅黑"/>
                <w:i/>
                <w:iCs/>
                <w:color w:val="000000"/>
                <w:sz w:val="16"/>
                <w:szCs w:val="16"/>
                <w:u w:val="none"/>
              </w:rPr>
            </w:pP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33DF8">
            <w:pPr>
              <w:jc w:val="center"/>
              <w:rPr>
                <w:rFonts w:hint="eastAsia" w:ascii="微软雅黑" w:hAnsi="微软雅黑" w:eastAsia="微软雅黑" w:cs="微软雅黑"/>
                <w:i/>
                <w:iCs/>
                <w:color w:val="000000"/>
                <w:sz w:val="16"/>
                <w:szCs w:val="16"/>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58894">
            <w:pPr>
              <w:jc w:val="center"/>
              <w:rPr>
                <w:rFonts w:hint="eastAsia" w:ascii="微软雅黑" w:hAnsi="微软雅黑" w:eastAsia="微软雅黑" w:cs="微软雅黑"/>
                <w:i/>
                <w:iCs/>
                <w:color w:val="000000"/>
                <w:sz w:val="16"/>
                <w:szCs w:val="16"/>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9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56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2D11C">
            <w:pPr>
              <w:rPr>
                <w:rFonts w:hint="eastAsia" w:ascii="黑体" w:hAnsi="黑体" w:eastAsia="黑体" w:cs="黑体"/>
                <w:i/>
                <w:iCs/>
                <w:color w:val="000000"/>
                <w:sz w:val="18"/>
                <w:szCs w:val="18"/>
                <w:u w:val="none"/>
              </w:rPr>
            </w:pPr>
          </w:p>
        </w:tc>
      </w:tr>
      <w:tr w14:paraId="03E16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55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CD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7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E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9F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0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FF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2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01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D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CF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C7A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CF991">
            <w:pPr>
              <w:jc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7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78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2B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91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C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68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603B">
            <w:pPr>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68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835A">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94C66">
            <w:pPr>
              <w:jc w:val="center"/>
              <w:rPr>
                <w:rFonts w:hint="eastAsia" w:ascii="微软雅黑" w:hAnsi="微软雅黑" w:eastAsia="微软雅黑" w:cs="微软雅黑"/>
                <w:i/>
                <w:iCs/>
                <w:color w:val="000000"/>
                <w:sz w:val="16"/>
                <w:szCs w:val="16"/>
                <w:u w:val="none"/>
              </w:rPr>
            </w:pPr>
          </w:p>
        </w:tc>
      </w:tr>
      <w:tr w14:paraId="6656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00D0E">
            <w:pPr>
              <w:jc w:val="center"/>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3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D8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65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23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8F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B7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6A3C">
            <w:pPr>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56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B47A2">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95243">
            <w:pPr>
              <w:jc w:val="center"/>
              <w:rPr>
                <w:rFonts w:hint="eastAsia" w:ascii="微软雅黑" w:hAnsi="微软雅黑" w:eastAsia="微软雅黑" w:cs="微软雅黑"/>
                <w:i/>
                <w:iCs/>
                <w:color w:val="000000"/>
                <w:sz w:val="16"/>
                <w:szCs w:val="16"/>
                <w:u w:val="none"/>
              </w:rPr>
            </w:pPr>
          </w:p>
        </w:tc>
      </w:tr>
      <w:tr w14:paraId="2C7BF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77" w:hRule="atLeast"/>
        </w:trPr>
        <w:tc>
          <w:tcPr>
            <w:tcW w:w="353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FB8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4B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5D5F5">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E3DA">
            <w:pPr>
              <w:rPr>
                <w:rFonts w:hint="eastAsia" w:ascii="宋体" w:hAnsi="宋体" w:eastAsia="宋体" w:cs="宋体"/>
                <w:i w:val="0"/>
                <w:iCs w:val="0"/>
                <w:color w:val="000000"/>
                <w:sz w:val="18"/>
                <w:szCs w:val="18"/>
                <w:u w:val="none"/>
              </w:rPr>
            </w:pPr>
          </w:p>
        </w:tc>
      </w:tr>
      <w:tr w14:paraId="3C7C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679"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52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47126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项目自评总分100分。严格落实聘用人员经费相关工作，工资发放、社保缴纳等均实现全覆盖且足额保障，预算执行高效，有效保障聘用人员权益，项目实施成效显著。</w:t>
            </w:r>
          </w:p>
        </w:tc>
      </w:tr>
      <w:tr w14:paraId="61A2C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753"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0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0565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暂未发现明显问题。</w:t>
            </w:r>
          </w:p>
        </w:tc>
      </w:tr>
      <w:tr w14:paraId="5584A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656"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8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4E32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持续关注政策变化，优化聘用人员经费管理流程，加强预算与资金使用的动态监控，确保工作持续规范开展。</w:t>
            </w:r>
          </w:p>
        </w:tc>
      </w:tr>
      <w:tr w14:paraId="4487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8" w:hRule="atLeast"/>
        </w:trPr>
        <w:tc>
          <w:tcPr>
            <w:tcW w:w="245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DF6EF">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p w14:paraId="20C6F8FE">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项目负责人：</w:t>
            </w:r>
          </w:p>
          <w:p w14:paraId="2F983694">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c>
          <w:tcPr>
            <w:tcW w:w="254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768E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5D54A5B"/>
    <w:p w14:paraId="40E25E83">
      <w:pPr>
        <w:widowControl/>
        <w:jc w:val="center"/>
        <w:rPr>
          <w:rFonts w:eastAsia="仿宋"/>
        </w:rPr>
      </w:pPr>
      <w:r>
        <w:rPr>
          <w:rFonts w:hint="eastAsia" w:eastAsia="黑体"/>
          <w:sz w:val="44"/>
          <w:szCs w:val="44"/>
        </w:rPr>
        <w:t>第</w:t>
      </w:r>
      <w:r>
        <w:rPr>
          <w:rStyle w:val="14"/>
          <w:rFonts w:hint="eastAsia" w:eastAsia="黑体"/>
          <w:b w:val="0"/>
        </w:rPr>
        <w:t>五部分 附表</w:t>
      </w:r>
      <w:bookmarkStart w:id="46" w:name="_Toc15396619"/>
    </w:p>
    <w:p w14:paraId="56FAC455">
      <w:pPr>
        <w:pStyle w:val="11"/>
        <w:adjustRightInd w:val="0"/>
        <w:snapToGrid w:val="0"/>
        <w:spacing w:line="560" w:lineRule="exact"/>
        <w:jc w:val="left"/>
        <w:rPr>
          <w:rFonts w:eastAsia="仿宋_GB2312" w:cs="仿宋_GB2312"/>
          <w:sz w:val="32"/>
          <w:szCs w:val="32"/>
        </w:rPr>
      </w:pPr>
    </w:p>
    <w:p w14:paraId="223BD335">
      <w:pPr>
        <w:pStyle w:val="11"/>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6"/>
    </w:p>
    <w:p w14:paraId="39933284">
      <w:pPr>
        <w:pStyle w:val="11"/>
        <w:adjustRightInd w:val="0"/>
        <w:snapToGrid w:val="0"/>
        <w:spacing w:line="560" w:lineRule="exact"/>
        <w:jc w:val="left"/>
        <w:rPr>
          <w:rFonts w:eastAsia="仿宋_GB2312" w:cs="仿宋_GB2312"/>
          <w:sz w:val="32"/>
          <w:szCs w:val="32"/>
        </w:rPr>
      </w:pPr>
      <w:bookmarkStart w:id="47" w:name="_Toc15396620"/>
      <w:r>
        <w:rPr>
          <w:rFonts w:hint="eastAsia" w:eastAsia="仿宋_GB2312" w:cs="仿宋_GB2312"/>
          <w:sz w:val="32"/>
          <w:szCs w:val="32"/>
        </w:rPr>
        <w:t>二、收入决算表</w:t>
      </w:r>
      <w:bookmarkEnd w:id="47"/>
    </w:p>
    <w:p w14:paraId="15A2212A">
      <w:pPr>
        <w:pStyle w:val="11"/>
        <w:adjustRightInd w:val="0"/>
        <w:snapToGrid w:val="0"/>
        <w:spacing w:line="560" w:lineRule="exact"/>
        <w:jc w:val="left"/>
        <w:rPr>
          <w:rFonts w:eastAsia="仿宋_GB2312" w:cs="仿宋_GB2312"/>
          <w:sz w:val="32"/>
          <w:szCs w:val="32"/>
        </w:rPr>
      </w:pPr>
      <w:bookmarkStart w:id="48" w:name="_Toc15396621"/>
      <w:r>
        <w:rPr>
          <w:rFonts w:hint="eastAsia" w:eastAsia="仿宋_GB2312" w:cs="仿宋_GB2312"/>
          <w:sz w:val="32"/>
          <w:szCs w:val="32"/>
        </w:rPr>
        <w:t>三、支出决算表</w:t>
      </w:r>
      <w:bookmarkEnd w:id="48"/>
    </w:p>
    <w:p w14:paraId="154D82EB">
      <w:pPr>
        <w:pStyle w:val="11"/>
        <w:adjustRightInd w:val="0"/>
        <w:snapToGrid w:val="0"/>
        <w:spacing w:line="560" w:lineRule="exact"/>
        <w:jc w:val="left"/>
        <w:rPr>
          <w:rFonts w:eastAsia="仿宋_GB2312" w:cs="仿宋_GB2312"/>
          <w:sz w:val="32"/>
          <w:szCs w:val="32"/>
        </w:rPr>
      </w:pPr>
      <w:bookmarkStart w:id="49" w:name="_Toc15396622"/>
      <w:r>
        <w:rPr>
          <w:rFonts w:hint="eastAsia" w:eastAsia="仿宋_GB2312" w:cs="仿宋_GB2312"/>
          <w:sz w:val="32"/>
          <w:szCs w:val="32"/>
        </w:rPr>
        <w:t>四、财政拨款收入支出决算总表</w:t>
      </w:r>
      <w:bookmarkEnd w:id="49"/>
    </w:p>
    <w:p w14:paraId="2D80DD3A">
      <w:pPr>
        <w:pStyle w:val="11"/>
        <w:adjustRightInd w:val="0"/>
        <w:snapToGrid w:val="0"/>
        <w:spacing w:line="560" w:lineRule="exact"/>
        <w:jc w:val="left"/>
        <w:rPr>
          <w:rFonts w:eastAsia="仿宋_GB2312" w:cs="仿宋_GB2312"/>
          <w:sz w:val="32"/>
          <w:szCs w:val="32"/>
        </w:rPr>
      </w:pPr>
      <w:bookmarkStart w:id="50" w:name="_Toc15396623"/>
      <w:r>
        <w:rPr>
          <w:rFonts w:hint="eastAsia" w:eastAsia="仿宋_GB2312" w:cs="仿宋_GB2312"/>
          <w:sz w:val="32"/>
          <w:szCs w:val="32"/>
        </w:rPr>
        <w:t>五、财政拨款支出决算明细表</w:t>
      </w:r>
      <w:bookmarkEnd w:id="50"/>
      <w:bookmarkStart w:id="51" w:name="_Toc15396624"/>
    </w:p>
    <w:p w14:paraId="21BDA18A">
      <w:pPr>
        <w:pStyle w:val="11"/>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1"/>
    </w:p>
    <w:p w14:paraId="7F1AD71D">
      <w:pPr>
        <w:pStyle w:val="11"/>
        <w:adjustRightInd w:val="0"/>
        <w:snapToGrid w:val="0"/>
        <w:spacing w:line="560" w:lineRule="exact"/>
        <w:jc w:val="left"/>
        <w:rPr>
          <w:rFonts w:eastAsia="仿宋_GB2312" w:cs="仿宋_GB2312"/>
          <w:sz w:val="32"/>
          <w:szCs w:val="32"/>
        </w:rPr>
      </w:pPr>
      <w:bookmarkStart w:id="52" w:name="_Toc15396625"/>
      <w:r>
        <w:rPr>
          <w:rFonts w:hint="eastAsia" w:eastAsia="仿宋_GB2312" w:cs="仿宋_GB2312"/>
          <w:sz w:val="32"/>
          <w:szCs w:val="32"/>
        </w:rPr>
        <w:t>七、一般公共预算财政拨款支出决算明细表</w:t>
      </w:r>
      <w:bookmarkEnd w:id="52"/>
    </w:p>
    <w:p w14:paraId="5F63C33A">
      <w:pPr>
        <w:pStyle w:val="11"/>
        <w:adjustRightInd w:val="0"/>
        <w:snapToGrid w:val="0"/>
        <w:spacing w:line="560" w:lineRule="exact"/>
        <w:jc w:val="left"/>
        <w:rPr>
          <w:rFonts w:eastAsia="仿宋_GB2312" w:cs="仿宋_GB2312"/>
          <w:sz w:val="32"/>
          <w:szCs w:val="32"/>
        </w:rPr>
      </w:pPr>
      <w:bookmarkStart w:id="53" w:name="_Toc15396626"/>
      <w:r>
        <w:rPr>
          <w:rFonts w:hint="eastAsia" w:eastAsia="仿宋_GB2312" w:cs="仿宋_GB2312"/>
          <w:sz w:val="32"/>
          <w:szCs w:val="32"/>
        </w:rPr>
        <w:t>八、一般公共预算财政拨款基本支出决算表</w:t>
      </w:r>
      <w:bookmarkEnd w:id="53"/>
    </w:p>
    <w:p w14:paraId="3E716B74">
      <w:pPr>
        <w:pStyle w:val="11"/>
        <w:adjustRightInd w:val="0"/>
        <w:snapToGrid w:val="0"/>
        <w:spacing w:line="560" w:lineRule="exact"/>
        <w:jc w:val="left"/>
        <w:rPr>
          <w:rFonts w:eastAsia="仿宋_GB2312" w:cs="仿宋_GB2312"/>
          <w:sz w:val="32"/>
          <w:szCs w:val="32"/>
        </w:rPr>
      </w:pPr>
      <w:bookmarkStart w:id="54" w:name="_Toc15396627"/>
      <w:r>
        <w:rPr>
          <w:rFonts w:hint="eastAsia" w:eastAsia="仿宋_GB2312" w:cs="仿宋_GB2312"/>
          <w:sz w:val="32"/>
          <w:szCs w:val="32"/>
        </w:rPr>
        <w:t>九、一般公共预算财政拨款项目支出决算表</w:t>
      </w:r>
      <w:bookmarkEnd w:id="54"/>
    </w:p>
    <w:p w14:paraId="0B68A3B5">
      <w:pPr>
        <w:pStyle w:val="11"/>
        <w:adjustRightInd w:val="0"/>
        <w:snapToGrid w:val="0"/>
        <w:spacing w:line="560" w:lineRule="exact"/>
        <w:jc w:val="left"/>
        <w:rPr>
          <w:rFonts w:eastAsia="仿宋_GB2312" w:cs="仿宋_GB2312"/>
          <w:sz w:val="32"/>
          <w:szCs w:val="32"/>
        </w:rPr>
      </w:pPr>
      <w:bookmarkStart w:id="55" w:name="_Toc15396628"/>
      <w:r>
        <w:rPr>
          <w:rFonts w:hint="eastAsia" w:eastAsia="仿宋_GB2312" w:cs="仿宋_GB2312"/>
          <w:sz w:val="32"/>
          <w:szCs w:val="32"/>
        </w:rPr>
        <w:t>十、</w:t>
      </w:r>
      <w:bookmarkEnd w:id="55"/>
      <w:r>
        <w:rPr>
          <w:rFonts w:hint="eastAsia" w:eastAsia="仿宋_GB2312" w:cs="仿宋_GB2312"/>
          <w:sz w:val="32"/>
          <w:szCs w:val="32"/>
        </w:rPr>
        <w:t>政府性基金预算财政拨款收入支出决算表</w:t>
      </w:r>
    </w:p>
    <w:p w14:paraId="7BCF1990">
      <w:pPr>
        <w:pStyle w:val="11"/>
        <w:adjustRightInd w:val="0"/>
        <w:snapToGrid w:val="0"/>
        <w:spacing w:line="560" w:lineRule="exact"/>
        <w:jc w:val="left"/>
        <w:rPr>
          <w:rFonts w:eastAsia="仿宋_GB2312" w:cs="仿宋_GB2312"/>
          <w:sz w:val="32"/>
          <w:szCs w:val="32"/>
        </w:rPr>
      </w:pPr>
      <w:bookmarkStart w:id="56" w:name="_Toc15396629"/>
      <w:r>
        <w:rPr>
          <w:rFonts w:hint="eastAsia" w:eastAsia="仿宋_GB2312" w:cs="仿宋_GB2312"/>
          <w:sz w:val="32"/>
          <w:szCs w:val="32"/>
        </w:rPr>
        <w:t>十一、</w:t>
      </w:r>
      <w:bookmarkEnd w:id="56"/>
      <w:r>
        <w:rPr>
          <w:rFonts w:hint="eastAsia" w:eastAsia="仿宋_GB2312" w:cs="仿宋_GB2312"/>
          <w:sz w:val="32"/>
          <w:szCs w:val="32"/>
        </w:rPr>
        <w:t>国有资本经营预算财政拨款收入支出决算表</w:t>
      </w:r>
    </w:p>
    <w:p w14:paraId="1BFDBA1D">
      <w:pPr>
        <w:pStyle w:val="11"/>
        <w:adjustRightInd w:val="0"/>
        <w:snapToGrid w:val="0"/>
        <w:spacing w:line="560" w:lineRule="exact"/>
        <w:jc w:val="left"/>
        <w:rPr>
          <w:rFonts w:eastAsia="仿宋_GB2312" w:cs="仿宋_GB2312"/>
          <w:sz w:val="32"/>
          <w:szCs w:val="32"/>
        </w:rPr>
      </w:pPr>
      <w:bookmarkStart w:id="57" w:name="_Toc15396630"/>
      <w:r>
        <w:rPr>
          <w:rFonts w:hint="eastAsia" w:eastAsia="仿宋_GB2312" w:cs="仿宋_GB2312"/>
          <w:sz w:val="32"/>
          <w:szCs w:val="32"/>
        </w:rPr>
        <w:t>十二、</w:t>
      </w:r>
      <w:bookmarkEnd w:id="57"/>
      <w:r>
        <w:rPr>
          <w:rFonts w:hint="eastAsia" w:eastAsia="仿宋_GB2312" w:cs="仿宋_GB2312"/>
          <w:sz w:val="32"/>
          <w:szCs w:val="32"/>
        </w:rPr>
        <w:t>国有资本经营预算财政拨款支出决算表</w:t>
      </w:r>
    </w:p>
    <w:p w14:paraId="24148A99">
      <w:pPr>
        <w:pStyle w:val="11"/>
        <w:adjustRightInd w:val="0"/>
        <w:snapToGrid w:val="0"/>
        <w:spacing w:line="560" w:lineRule="exact"/>
        <w:jc w:val="left"/>
        <w:rPr>
          <w:rFonts w:eastAsia="仿宋_GB2312" w:cs="仿宋_GB2312"/>
          <w:sz w:val="32"/>
          <w:szCs w:val="32"/>
        </w:rPr>
      </w:pPr>
      <w:bookmarkStart w:id="58" w:name="_Toc15396631"/>
      <w:r>
        <w:rPr>
          <w:rFonts w:hint="eastAsia" w:eastAsia="仿宋_GB2312" w:cs="仿宋_GB2312"/>
          <w:sz w:val="32"/>
          <w:szCs w:val="32"/>
        </w:rPr>
        <w:t>十三、</w:t>
      </w:r>
      <w:bookmarkEnd w:id="58"/>
      <w:r>
        <w:rPr>
          <w:rFonts w:hint="eastAsia" w:eastAsia="仿宋_GB2312" w:cs="仿宋_GB2312"/>
          <w:sz w:val="32"/>
          <w:szCs w:val="32"/>
        </w:rPr>
        <w:t>财政拨款“三公”经费支出决算表</w:t>
      </w:r>
    </w:p>
    <w:p w14:paraId="69267A4B">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p>
    <w:p w14:paraId="4C401A3F"/>
    <w:p w14:paraId="2845CEEB"/>
    <w:sectPr>
      <w:footerReference r:id="rId9"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libri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F2D31">
    <w:pPr>
      <w:pStyle w:val="7"/>
      <w:jc w:val="center"/>
    </w:pPr>
  </w:p>
  <w:p w14:paraId="6B19331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BB0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84F84">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DB20B">
                          <w:pPr>
                            <w:pStyle w:val="7"/>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FBDB20B">
                    <w:pPr>
                      <w:pStyle w:val="7"/>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436D">
    <w:pPr>
      <w:pStyle w:val="7"/>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29BCD">
                          <w:pPr>
                            <w:pStyle w:val="7"/>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9829BCD">
                    <w:pPr>
                      <w:pStyle w:val="7"/>
                    </w:pPr>
                    <w:r>
                      <w:fldChar w:fldCharType="begin"/>
                    </w:r>
                    <w:r>
                      <w:instrText xml:space="preserve"> PAGE  \* MERGEFORMAT </w:instrText>
                    </w:r>
                    <w:r>
                      <w:fldChar w:fldCharType="separate"/>
                    </w:r>
                    <w:r>
                      <w:t>- 4 -</w:t>
                    </w:r>
                    <w:r>
                      <w:fldChar w:fldCharType="end"/>
                    </w:r>
                  </w:p>
                </w:txbxContent>
              </v:textbox>
            </v:shape>
          </w:pict>
        </mc:Fallback>
      </mc:AlternateContent>
    </w:r>
  </w:p>
  <w:p w14:paraId="6C51C8B8">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8AA44">
    <w:pPr>
      <w:pStyle w:val="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FB0C0">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3BFB0C0">
                    <w:pPr>
                      <w:pStyle w:val="7"/>
                    </w:pPr>
                    <w:r>
                      <w:fldChar w:fldCharType="begin"/>
                    </w:r>
                    <w:r>
                      <w:instrText xml:space="preserve"> PAGE  \* MERGEFORMAT </w:instrText>
                    </w:r>
                    <w:r>
                      <w:fldChar w:fldCharType="separate"/>
                    </w:r>
                    <w:r>
                      <w:t>2</w:t>
                    </w:r>
                    <w:r>
                      <w:fldChar w:fldCharType="end"/>
                    </w:r>
                  </w:p>
                </w:txbxContent>
              </v:textbox>
            </v:shape>
          </w:pict>
        </mc:Fallback>
      </mc:AlternateContent>
    </w:r>
  </w:p>
  <w:p w14:paraId="74D1C28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41D9D">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D808C">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F6127"/>
    <w:multiLevelType w:val="singleLevel"/>
    <w:tmpl w:val="4C2F612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546C5"/>
    <w:rsid w:val="052546C5"/>
    <w:rsid w:val="64BD0724"/>
    <w:rsid w:val="7271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99"/>
    <w:pPr>
      <w:spacing w:beforeLines="30"/>
    </w:pPr>
    <w:rPr>
      <w:rFonts w:ascii="仿宋_GB2312" w:eastAsia="仿宋_GB2312"/>
      <w:kern w:val="0"/>
      <w:sz w:val="30"/>
    </w:rPr>
  </w:style>
  <w:style w:type="paragraph" w:styleId="5">
    <w:name w:val="Body Text Indent"/>
    <w:basedOn w:val="1"/>
    <w:next w:val="6"/>
    <w:qFormat/>
    <w:uiPriority w:val="0"/>
    <w:pPr>
      <w:spacing w:after="120"/>
      <w:ind w:left="200" w:leftChars="200"/>
    </w:pPr>
    <w:rPr>
      <w:rFonts w:ascii="仿宋_GB2312"/>
      <w:szCs w:val="32"/>
    </w:rPr>
  </w:style>
  <w:style w:type="paragraph" w:styleId="6">
    <w:name w:val="Body Text First Indent 2"/>
    <w:basedOn w:val="5"/>
    <w:unhideWhenUsed/>
    <w:qFormat/>
    <w:uiPriority w:val="99"/>
    <w:pPr>
      <w:ind w:firstLine="420" w:firstLineChars="200"/>
    </w:pPr>
  </w:style>
  <w:style w:type="paragraph" w:styleId="7">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footnote text"/>
    <w:basedOn w:val="1"/>
    <w:next w:val="6"/>
    <w:semiHidden/>
    <w:qFormat/>
    <w:uiPriority w:val="0"/>
    <w:pPr>
      <w:snapToGrid w:val="0"/>
      <w:jc w:val="left"/>
    </w:pPr>
    <w:rPr>
      <w:sz w:val="18"/>
      <w:szCs w:val="18"/>
    </w:rPr>
  </w:style>
  <w:style w:type="paragraph" w:styleId="11">
    <w:name w:val="toc 2"/>
    <w:basedOn w:val="1"/>
    <w:next w:val="1"/>
    <w:unhideWhenUsed/>
    <w:qFormat/>
    <w:uiPriority w:val="39"/>
    <w:pPr>
      <w:tabs>
        <w:tab w:val="right" w:leader="dot" w:pos="8296"/>
      </w:tabs>
      <w:ind w:left="420" w:leftChars="200"/>
    </w:pPr>
  </w:style>
  <w:style w:type="character" w:customStyle="1" w:styleId="14">
    <w:name w:val="标题 1 Char"/>
    <w:basedOn w:val="13"/>
    <w:link w:val="2"/>
    <w:qFormat/>
    <w:uiPriority w:val="9"/>
    <w:rPr>
      <w:b/>
      <w:bCs/>
      <w:kern w:val="44"/>
      <w:sz w:val="44"/>
      <w:szCs w:val="44"/>
    </w:rPr>
  </w:style>
  <w:style w:type="character" w:customStyle="1" w:styleId="15">
    <w:name w:val="标题 2 Char"/>
    <w:basedOn w:val="13"/>
    <w:link w:val="3"/>
    <w:qFormat/>
    <w:uiPriority w:val="9"/>
    <w:rPr>
      <w:rFonts w:asciiTheme="majorHAnsi" w:hAnsiTheme="majorHAnsi" w:eastAsiaTheme="majorEastAsia" w:cstheme="majorBidi"/>
      <w:b/>
      <w:bCs/>
      <w:sz w:val="32"/>
      <w:szCs w:val="32"/>
    </w:rPr>
  </w:style>
  <w:style w:type="paragraph" w:styleId="16">
    <w:name w:val="List Paragraph"/>
    <w:basedOn w:val="1"/>
    <w:qFormat/>
    <w:uiPriority w:val="34"/>
    <w:pPr>
      <w:ind w:firstLine="420" w:firstLineChars="200"/>
    </w:p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收入、支出决算总计变动情况表</a:t>
            </a:r>
          </a:p>
        </c:rich>
      </c:tx>
      <c:layout/>
      <c:overlay val="0"/>
      <c:spPr>
        <a:noFill/>
        <a:ln>
          <a:noFill/>
        </a:ln>
        <a:effectLst/>
      </c:spPr>
    </c:title>
    <c:autoTitleDeleted val="0"/>
    <c:plotArea>
      <c:layout>
        <c:manualLayout>
          <c:layoutTarget val="inner"/>
          <c:xMode val="edge"/>
          <c:yMode val="edge"/>
          <c:x val="0.0862116777075951"/>
          <c:y val="0.157695542472666"/>
          <c:w val="0.909166538283777"/>
          <c:h val="0.665769554247267"/>
        </c:manualLayout>
      </c:layout>
      <c:barChart>
        <c:barDir val="col"/>
        <c:grouping val="clustered"/>
        <c:varyColors val="0"/>
        <c:ser>
          <c:idx val="0"/>
          <c:order val="0"/>
          <c:tx>
            <c:strRef>
              <c:f>Sheet1!$B$1</c:f>
              <c:strCache>
                <c:ptCount val="1"/>
                <c:pt idx="0">
                  <c:v>一般公共预算财政拨款收入</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2024年度</c:v>
                </c:pt>
                <c:pt idx="1">
                  <c:v>2023年度</c:v>
                </c:pt>
              </c:strCache>
            </c:strRef>
          </c:cat>
          <c:val>
            <c:numRef>
              <c:f>Sheet1!$B$2:$B$6</c:f>
              <c:numCache>
                <c:formatCode>General</c:formatCode>
                <c:ptCount val="5"/>
                <c:pt idx="0">
                  <c:v>2790.94</c:v>
                </c:pt>
                <c:pt idx="1">
                  <c:v>2090.44</c:v>
                </c:pt>
              </c:numCache>
            </c:numRef>
          </c:val>
        </c:ser>
        <c:ser>
          <c:idx val="1"/>
          <c:order val="1"/>
          <c:tx>
            <c:strRef>
              <c:f>Sheet1!$C$1</c:f>
              <c:strCache>
                <c:ptCount val="1"/>
                <c:pt idx="0">
                  <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2024年度</c:v>
                </c:pt>
                <c:pt idx="1">
                  <c:v>2023年度</c:v>
                </c:pt>
              </c:strCache>
            </c:strRef>
          </c:cat>
          <c:val>
            <c:numRef>
              <c:f>Sheet1!$C$2:$C$6</c:f>
              <c:numCache>
                <c:formatCode>General</c:formatCode>
                <c:ptCount val="5"/>
              </c:numCache>
            </c:numRef>
          </c:val>
        </c:ser>
        <c:ser>
          <c:idx val="2"/>
          <c:order val="2"/>
          <c:tx>
            <c:strRef>
              <c:f>Sheet1!$D$1</c:f>
              <c:strCache>
                <c:ptCount val="1"/>
                <c:pt idx="0">
                  <c:v/>
                </c:pt>
              </c:strCache>
            </c:strRef>
          </c:tx>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2024年度</c:v>
                </c:pt>
                <c:pt idx="1">
                  <c:v>2023年度</c:v>
                </c:pt>
              </c:strCache>
            </c:strRef>
          </c:cat>
          <c:val>
            <c:numRef>
              <c:f>Sheet1!$D$2:$D$6</c:f>
              <c:numCache>
                <c:formatCode>General</c:formatCode>
                <c:ptCount val="5"/>
              </c:numCache>
            </c:numRef>
          </c:val>
        </c:ser>
        <c:dLbls>
          <c:showLegendKey val="0"/>
          <c:showVal val="1"/>
          <c:showCatName val="0"/>
          <c:showSerName val="0"/>
          <c:showPercent val="0"/>
          <c:showBubbleSize val="0"/>
        </c:dLbls>
        <c:gapWidth val="246"/>
        <c:overlap val="-28"/>
        <c:axId val="481429165"/>
        <c:axId val="660932051"/>
      </c:barChart>
      <c:catAx>
        <c:axId val="4814291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32051"/>
        <c:crosses val="autoZero"/>
        <c:auto val="1"/>
        <c:lblAlgn val="ctr"/>
        <c:lblOffset val="100"/>
        <c:noMultiLvlLbl val="0"/>
      </c:catAx>
      <c:valAx>
        <c:axId val="66093205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1429165"/>
        <c:crosses val="autoZero"/>
        <c:crossBetween val="between"/>
      </c:valAx>
      <c:spPr>
        <a:noFill/>
        <a:ln>
          <a:noFill/>
        </a:ln>
        <a:effectLst/>
      </c:spPr>
    </c:plotArea>
    <c:legend>
      <c:legendPos val="b"/>
      <c:layout>
        <c:manualLayout>
          <c:xMode val="edge"/>
          <c:yMode val="edge"/>
          <c:x val="0.300382304751502"/>
          <c:y val="0.921272158498436"/>
          <c:w val="0.399235390496996"/>
          <c:h val="0.067257559958289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33c8aa6-1d8b-4eaa-97f7-d0800847892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其他收入</c:v>
                </c:pt>
              </c:strCache>
            </c:strRef>
          </c:cat>
          <c:val>
            <c:numRef>
              <c:f>Sheet1!$B$2:$B$5</c:f>
              <c:numCache>
                <c:formatCode>0.0%</c:formatCode>
                <c:ptCount val="4"/>
                <c:pt idx="0">
                  <c:v>0.794</c:v>
                </c:pt>
                <c:pt idx="1">
                  <c:v>0.206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0d83dc0-57ae-4bb7-a2e0-b576437b7e2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0.0%</c:formatCode>
                <c:ptCount val="4"/>
                <c:pt idx="0">
                  <c:v>0.6006</c:v>
                </c:pt>
                <c:pt idx="1">
                  <c:v>0.3993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0920810313075507"/>
          <c:y val="0.11893203883495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7242a5d-5955-49b7-8ff0-c68769299a2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2023年度</c:v>
                </c:pt>
                <c:pt idx="1">
                  <c:v>2024年度</c:v>
                </c:pt>
              </c:strCache>
            </c:strRef>
          </c:cat>
          <c:val>
            <c:numRef>
              <c:f>Sheet1!$B$2:$B$5</c:f>
              <c:numCache>
                <c:formatCode>General</c:formatCode>
                <c:ptCount val="4"/>
                <c:pt idx="0">
                  <c:v>1691.63</c:v>
                </c:pt>
                <c:pt idx="1">
                  <c:v>2216.76</c:v>
                </c:pt>
              </c:numCache>
            </c:numRef>
          </c:val>
        </c:ser>
        <c:ser>
          <c:idx val="1"/>
          <c:order val="1"/>
          <c:tx>
            <c:strRef>
              <c:f>Sheet1!$C$1</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2023年度</c:v>
                </c:pt>
                <c:pt idx="1">
                  <c:v>2024年度</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2023年度</c:v>
                </c:pt>
                <c:pt idx="1">
                  <c:v>2024年度</c:v>
                </c:pt>
              </c:strCache>
            </c:strRef>
          </c:cat>
          <c:val>
            <c:numRef>
              <c:f>Sheet1!$D$2:$D$5</c:f>
              <c:numCache>
                <c:formatCode>General</c:formatCode>
                <c:ptCount val="4"/>
              </c:numCache>
            </c:numRef>
          </c:val>
        </c:ser>
        <c:dLbls>
          <c:showLegendKey val="0"/>
          <c:showVal val="1"/>
          <c:showCatName val="0"/>
          <c:showSerName val="0"/>
          <c:showPercent val="0"/>
          <c:showBubbleSize val="0"/>
        </c:dLbls>
        <c:gapWidth val="246"/>
        <c:overlap val="-28"/>
        <c:axId val="847118858"/>
        <c:axId val="905764777"/>
      </c:barChart>
      <c:catAx>
        <c:axId val="84711885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5764777"/>
        <c:crosses val="autoZero"/>
        <c:auto val="1"/>
        <c:lblAlgn val="ctr"/>
        <c:lblOffset val="100"/>
        <c:noMultiLvlLbl val="0"/>
      </c:catAx>
      <c:valAx>
        <c:axId val="90576477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711885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a1b5a38-1c8e-4129-8129-3fe058f9825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manualLayout>
          <c:layoutTarget val="inner"/>
          <c:xMode val="edge"/>
          <c:yMode val="edge"/>
          <c:x val="0.0680435389338543"/>
          <c:y val="0.231015420424789"/>
          <c:w val="0.899720904270165"/>
          <c:h val="0.531684608670352"/>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2023年度</c:v>
                </c:pt>
                <c:pt idx="1">
                  <c:v>2024年度</c:v>
                </c:pt>
              </c:strCache>
            </c:strRef>
          </c:cat>
          <c:val>
            <c:numRef>
              <c:f>Sheet1!$B$2:$B$5</c:f>
              <c:numCache>
                <c:formatCode>General</c:formatCode>
                <c:ptCount val="4"/>
                <c:pt idx="0">
                  <c:v>1691.63</c:v>
                </c:pt>
                <c:pt idx="1">
                  <c:v>2216.76</c:v>
                </c:pt>
              </c:numCache>
            </c:numRef>
          </c:val>
        </c:ser>
        <c:ser>
          <c:idx val="1"/>
          <c:order val="1"/>
          <c:tx>
            <c:strRef>
              <c:f>Sheet1!$C$1</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2023年度</c:v>
                </c:pt>
                <c:pt idx="1">
                  <c:v>2024年度</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2023年度</c:v>
                </c:pt>
                <c:pt idx="1">
                  <c:v>2024年度</c:v>
                </c:pt>
              </c:strCache>
            </c:strRef>
          </c:cat>
          <c:val>
            <c:numRef>
              <c:f>Sheet1!$D$2:$D$5</c:f>
              <c:numCache>
                <c:formatCode>General</c:formatCode>
                <c:ptCount val="4"/>
              </c:numCache>
            </c:numRef>
          </c:val>
        </c:ser>
        <c:dLbls>
          <c:showLegendKey val="0"/>
          <c:showVal val="1"/>
          <c:showCatName val="0"/>
          <c:showSerName val="0"/>
          <c:showPercent val="0"/>
          <c:showBubbleSize val="0"/>
        </c:dLbls>
        <c:gapWidth val="246"/>
        <c:overlap val="-28"/>
        <c:axId val="229296186"/>
        <c:axId val="642107903"/>
      </c:barChart>
      <c:catAx>
        <c:axId val="22929618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2107903"/>
        <c:crosses val="autoZero"/>
        <c:auto val="1"/>
        <c:lblAlgn val="ctr"/>
        <c:lblOffset val="100"/>
        <c:noMultiLvlLbl val="0"/>
      </c:catAx>
      <c:valAx>
        <c:axId val="64210790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929618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6d35335-132f-4414-8c73-4cd1d465662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98452585636821"/>
          <c:y val="0.00836820083682008"/>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3"/>
              <c:layout>
                <c:manualLayout>
                  <c:x val="0.0301072347563525"/>
                  <c:y val="-0.00225491246724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0.0%</c:formatCode>
                <c:ptCount val="4"/>
                <c:pt idx="0">
                  <c:v>0.846</c:v>
                </c:pt>
                <c:pt idx="1">
                  <c:v>0.074</c:v>
                </c:pt>
                <c:pt idx="2">
                  <c:v>0.031</c:v>
                </c:pt>
                <c:pt idx="3">
                  <c:v>0.049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cd727a6-b507-4ad1-bfed-abd70034276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公务用车购置及运行维护费</c:v>
                </c:pt>
                <c:pt idx="1">
                  <c:v>公务接待费</c:v>
                </c:pt>
              </c:strCache>
            </c:strRef>
          </c:cat>
          <c:val>
            <c:numRef>
              <c:f>Sheet1!$B$2:$B$5</c:f>
              <c:numCache>
                <c:formatCode>0.0%</c:formatCode>
                <c:ptCount val="4"/>
                <c:pt idx="0">
                  <c:v>0.955</c:v>
                </c:pt>
                <c:pt idx="1">
                  <c:v>0.045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c07cf00-4c52-4503-bf58-bcffa514de5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10928</Words>
  <Characters>11960</Characters>
  <Lines>0</Lines>
  <Paragraphs>0</Paragraphs>
  <TotalTime>6</TotalTime>
  <ScaleCrop>false</ScaleCrop>
  <LinksUpToDate>false</LinksUpToDate>
  <CharactersWithSpaces>11990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2025-09-15T10:48:00Z</dcterms:created>
  <dc:creator>紫藤雪柳</dc:creator>
  <cp:lastModifiedBy>紫藤雪柳</cp:lastModifiedBy>
  <dcterms:modified xsi:type="dcterms:W3CDTF">2025-09-15T11:11:46Z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A323B1F721C34955B71D98BA966A6DEC_11</vt:lpwstr>
  </property>
  <property fmtid="{D5CDD505-2E9C-101B-9397-08002B2CF9AE}" pid="4" name="KSOTemplateDocerSaveRecord">
    <vt:lpwstr>eyJoZGlkIjoiZjMzZmJiNjM0ZDFjMTc3MzJhNjQxY2M1ODg1OTExOTciLCJ1c2VySWQiOiI5MjY1MDgwMDEifQ==</vt:lpwstr>
  </property>
</Properties>
</file>