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DD6EE6">
      <w:pPr>
        <w:spacing w:line="600" w:lineRule="exact"/>
        <w:jc w:val="center"/>
        <w:outlineLvl w:val="0"/>
        <w:rPr>
          <w:rFonts w:hint="eastAsia" w:ascii="微软雅黑" w:hAnsi="宋体" w:eastAsia="微软雅黑"/>
          <w:color w:val="000000"/>
          <w:sz w:val="72"/>
          <w:szCs w:val="72"/>
          <w:lang w:val="en-US" w:eastAsia="zh-CN"/>
        </w:rPr>
      </w:pPr>
      <w:bookmarkStart w:id="0" w:name="_Toc15306267"/>
      <w:bookmarkStart w:id="150" w:name="_GoBack"/>
      <w:bookmarkEnd w:id="150"/>
      <w:r>
        <w:rPr>
          <w:rFonts w:hint="eastAsia" w:ascii="微软雅黑" w:hAnsi="宋体" w:eastAsia="微软雅黑"/>
          <w:color w:val="000000"/>
          <w:sz w:val="72"/>
          <w:szCs w:val="72"/>
          <w:lang w:val="en-US" w:eastAsia="zh-CN"/>
        </w:rPr>
        <w:t xml:space="preserve"> </w:t>
      </w:r>
    </w:p>
    <w:p w14:paraId="238B3F4D">
      <w:pPr>
        <w:spacing w:line="600" w:lineRule="exact"/>
        <w:jc w:val="center"/>
        <w:outlineLvl w:val="0"/>
        <w:rPr>
          <w:rFonts w:ascii="微软雅黑" w:hAnsi="宋体" w:eastAsia="微软雅黑"/>
          <w:color w:val="000000"/>
          <w:sz w:val="72"/>
          <w:szCs w:val="72"/>
        </w:rPr>
      </w:pPr>
    </w:p>
    <w:p w14:paraId="0B93FC22">
      <w:pPr>
        <w:spacing w:line="600" w:lineRule="exact"/>
        <w:jc w:val="center"/>
        <w:outlineLvl w:val="0"/>
        <w:rPr>
          <w:rFonts w:ascii="微软雅黑" w:hAnsi="宋体" w:eastAsia="微软雅黑"/>
          <w:color w:val="000000"/>
          <w:sz w:val="72"/>
          <w:szCs w:val="72"/>
        </w:rPr>
      </w:pPr>
    </w:p>
    <w:p w14:paraId="724A549F">
      <w:pPr>
        <w:jc w:val="center"/>
        <w:rPr>
          <w:rFonts w:hint="eastAsia" w:ascii="微软雅黑" w:eastAsia="微软雅黑"/>
          <w:sz w:val="72"/>
          <w:szCs w:val="72"/>
        </w:rPr>
      </w:pPr>
      <w:bookmarkStart w:id="1" w:name="_Toc15396597"/>
      <w:bookmarkStart w:id="2" w:name="_Toc15377425"/>
      <w:bookmarkStart w:id="3" w:name="_Toc15377193"/>
      <w:bookmarkStart w:id="4" w:name="_Toc15396475"/>
      <w:bookmarkStart w:id="5" w:name="_Toc15378441"/>
      <w:r>
        <w:rPr>
          <w:rFonts w:hint="eastAsia" w:ascii="微软雅黑" w:eastAsia="微软雅黑"/>
          <w:sz w:val="72"/>
          <w:szCs w:val="72"/>
          <w:lang w:eastAsia="zh-CN"/>
        </w:rPr>
        <w:t>202</w:t>
      </w:r>
      <w:r>
        <w:rPr>
          <w:rFonts w:hint="eastAsia" w:ascii="微软雅黑" w:eastAsia="微软雅黑"/>
          <w:sz w:val="72"/>
          <w:szCs w:val="72"/>
          <w:lang w:val="en-US" w:eastAsia="zh-CN"/>
        </w:rPr>
        <w:t>5</w:t>
      </w:r>
      <w:r>
        <w:rPr>
          <w:rFonts w:hint="eastAsia" w:ascii="微软雅黑" w:eastAsia="微软雅黑"/>
          <w:sz w:val="72"/>
          <w:szCs w:val="72"/>
        </w:rPr>
        <w:t>年度</w:t>
      </w:r>
      <w:bookmarkEnd w:id="1"/>
      <w:bookmarkEnd w:id="2"/>
      <w:bookmarkEnd w:id="3"/>
      <w:bookmarkEnd w:id="4"/>
      <w:bookmarkEnd w:id="5"/>
    </w:p>
    <w:p w14:paraId="6FA8351D">
      <w:pPr>
        <w:jc w:val="center"/>
        <w:rPr>
          <w:rFonts w:ascii="微软雅黑" w:eastAsia="微软雅黑"/>
          <w:sz w:val="72"/>
          <w:szCs w:val="72"/>
        </w:rPr>
      </w:pPr>
      <w:bookmarkStart w:id="6" w:name="_Toc15377194"/>
      <w:bookmarkStart w:id="7" w:name="_Toc15396476"/>
      <w:bookmarkStart w:id="8" w:name="_Toc15396598"/>
      <w:bookmarkStart w:id="9" w:name="_Toc15378442"/>
      <w:bookmarkStart w:id="10" w:name="_Toc15377426"/>
      <w:r>
        <w:rPr>
          <w:rFonts w:hint="eastAsia" w:ascii="微软雅黑" w:eastAsia="微软雅黑"/>
          <w:sz w:val="72"/>
          <w:szCs w:val="72"/>
        </w:rPr>
        <w:t>四川省阿坝州</w:t>
      </w:r>
      <w:bookmarkEnd w:id="0"/>
      <w:bookmarkStart w:id="11" w:name="_Toc15306268"/>
      <w:r>
        <w:rPr>
          <w:rFonts w:hint="eastAsia" w:ascii="微软雅黑" w:eastAsia="微软雅黑"/>
          <w:sz w:val="72"/>
          <w:szCs w:val="72"/>
          <w:lang w:val="en-US" w:eastAsia="zh-CN"/>
        </w:rPr>
        <w:t>九寨沟县人民法院</w:t>
      </w:r>
      <w:r>
        <w:rPr>
          <w:rFonts w:hint="eastAsia" w:ascii="微软雅黑" w:eastAsia="微软雅黑"/>
          <w:sz w:val="72"/>
          <w:szCs w:val="72"/>
        </w:rPr>
        <w:t>部门决算</w:t>
      </w:r>
      <w:bookmarkEnd w:id="6"/>
      <w:bookmarkEnd w:id="7"/>
      <w:bookmarkEnd w:id="8"/>
      <w:bookmarkEnd w:id="9"/>
      <w:bookmarkEnd w:id="10"/>
      <w:bookmarkEnd w:id="11"/>
    </w:p>
    <w:p w14:paraId="0DC69B98">
      <w:pPr>
        <w:autoSpaceDE w:val="0"/>
        <w:autoSpaceDN w:val="0"/>
        <w:adjustRightInd w:val="0"/>
        <w:jc w:val="center"/>
        <w:rPr>
          <w:rFonts w:ascii="微软雅黑" w:hAnsi="宋体" w:eastAsia="微软雅黑"/>
          <w:sz w:val="36"/>
          <w:szCs w:val="36"/>
        </w:rPr>
      </w:pPr>
    </w:p>
    <w:p w14:paraId="230153BA">
      <w:pPr>
        <w:autoSpaceDE w:val="0"/>
        <w:autoSpaceDN w:val="0"/>
        <w:adjustRightInd w:val="0"/>
        <w:jc w:val="center"/>
        <w:rPr>
          <w:rFonts w:ascii="微软雅黑" w:hAnsi="宋体" w:eastAsia="微软雅黑"/>
          <w:sz w:val="36"/>
          <w:szCs w:val="36"/>
        </w:rPr>
      </w:pPr>
    </w:p>
    <w:p w14:paraId="40EBC93E">
      <w:pPr>
        <w:autoSpaceDE w:val="0"/>
        <w:autoSpaceDN w:val="0"/>
        <w:adjustRightInd w:val="0"/>
        <w:jc w:val="center"/>
        <w:rPr>
          <w:rFonts w:ascii="微软雅黑" w:hAnsi="宋体" w:eastAsia="微软雅黑"/>
          <w:sz w:val="36"/>
          <w:szCs w:val="36"/>
        </w:rPr>
      </w:pPr>
    </w:p>
    <w:p w14:paraId="7CC58ECF">
      <w:pPr>
        <w:autoSpaceDE w:val="0"/>
        <w:autoSpaceDN w:val="0"/>
        <w:adjustRightInd w:val="0"/>
        <w:jc w:val="center"/>
        <w:rPr>
          <w:rFonts w:ascii="微软雅黑" w:hAnsi="宋体" w:eastAsia="微软雅黑"/>
          <w:sz w:val="36"/>
          <w:szCs w:val="36"/>
        </w:rPr>
      </w:pPr>
    </w:p>
    <w:p w14:paraId="7D399248">
      <w:pPr>
        <w:autoSpaceDE w:val="0"/>
        <w:autoSpaceDN w:val="0"/>
        <w:adjustRightInd w:val="0"/>
        <w:jc w:val="center"/>
        <w:rPr>
          <w:rFonts w:ascii="微软雅黑" w:hAnsi="宋体" w:eastAsia="微软雅黑"/>
          <w:sz w:val="36"/>
          <w:szCs w:val="36"/>
        </w:rPr>
      </w:pPr>
    </w:p>
    <w:p w14:paraId="3654F039">
      <w:pPr>
        <w:autoSpaceDE w:val="0"/>
        <w:autoSpaceDN w:val="0"/>
        <w:adjustRightInd w:val="0"/>
        <w:jc w:val="center"/>
        <w:rPr>
          <w:rFonts w:ascii="微软雅黑" w:hAnsi="宋体" w:eastAsia="微软雅黑"/>
          <w:sz w:val="36"/>
          <w:szCs w:val="36"/>
        </w:rPr>
      </w:pPr>
    </w:p>
    <w:p w14:paraId="1AADCF7A">
      <w:pPr>
        <w:autoSpaceDE w:val="0"/>
        <w:autoSpaceDN w:val="0"/>
        <w:adjustRightInd w:val="0"/>
        <w:jc w:val="center"/>
        <w:rPr>
          <w:rFonts w:ascii="微软雅黑" w:hAnsi="宋体" w:eastAsia="微软雅黑"/>
          <w:sz w:val="36"/>
          <w:szCs w:val="36"/>
        </w:rPr>
      </w:pPr>
    </w:p>
    <w:p w14:paraId="66BA3411">
      <w:pPr>
        <w:autoSpaceDE w:val="0"/>
        <w:autoSpaceDN w:val="0"/>
        <w:adjustRightInd w:val="0"/>
        <w:jc w:val="center"/>
        <w:rPr>
          <w:rFonts w:ascii="微软雅黑" w:hAnsi="宋体" w:eastAsia="微软雅黑"/>
          <w:sz w:val="36"/>
          <w:szCs w:val="36"/>
        </w:rPr>
      </w:pPr>
    </w:p>
    <w:p w14:paraId="7005EEA1">
      <w:pPr>
        <w:autoSpaceDE w:val="0"/>
        <w:autoSpaceDN w:val="0"/>
        <w:adjustRightInd w:val="0"/>
        <w:jc w:val="left"/>
        <w:rPr>
          <w:rFonts w:ascii="宋体" w:hAnsi="宋体"/>
          <w:sz w:val="32"/>
          <w:szCs w:val="32"/>
        </w:rPr>
      </w:pPr>
    </w:p>
    <w:p w14:paraId="06620D2D">
      <w:pPr>
        <w:autoSpaceDE w:val="0"/>
        <w:autoSpaceDN w:val="0"/>
        <w:adjustRightInd w:val="0"/>
        <w:jc w:val="center"/>
        <w:rPr>
          <w:rFonts w:ascii="黑体" w:hAnsi="黑体" w:eastAsia="黑体"/>
          <w:color w:val="000000"/>
          <w:sz w:val="48"/>
          <w:szCs w:val="48"/>
        </w:rPr>
      </w:pPr>
      <w:r>
        <w:rPr>
          <w:rFonts w:ascii="微软雅黑" w:hAnsi="宋体" w:eastAsia="微软雅黑"/>
          <w:sz w:val="36"/>
          <w:szCs w:val="36"/>
        </w:rPr>
        <w:br w:type="page"/>
      </w:r>
      <w:r>
        <w:rPr>
          <w:rFonts w:hint="eastAsia" w:ascii="黑体" w:hAnsi="黑体" w:eastAsia="黑体"/>
          <w:color w:val="000000"/>
          <w:sz w:val="48"/>
          <w:szCs w:val="48"/>
        </w:rPr>
        <w:t>目录</w:t>
      </w:r>
    </w:p>
    <w:p w14:paraId="2566320A">
      <w:pPr>
        <w:pStyle w:val="15"/>
        <w:jc w:val="center"/>
        <w:rPr>
          <w:rFonts w:hint="eastAsia" w:ascii="仿宋" w:hAnsi="仿宋" w:eastAsia="仿宋" w:cs="仿宋"/>
          <w:b w:val="0"/>
          <w:bCs w:val="0"/>
          <w:sz w:val="32"/>
          <w:szCs w:val="32"/>
        </w:rPr>
      </w:pPr>
      <w:r>
        <w:rPr>
          <w:rFonts w:hint="eastAsia" w:ascii="仿宋" w:hAnsi="仿宋" w:eastAsia="仿宋" w:cs="仿宋"/>
          <w:b w:val="0"/>
          <w:bCs w:val="0"/>
          <w:sz w:val="32"/>
          <w:szCs w:val="32"/>
        </w:rPr>
        <w:t>公开时间：202</w:t>
      </w:r>
      <w:r>
        <w:rPr>
          <w:rFonts w:hint="eastAsia" w:ascii="仿宋" w:hAnsi="仿宋" w:eastAsia="仿宋" w:cs="仿宋"/>
          <w:b w:val="0"/>
          <w:bCs w:val="0"/>
          <w:sz w:val="32"/>
          <w:szCs w:val="32"/>
          <w:lang w:val="en-US" w:eastAsia="zh-CN"/>
        </w:rPr>
        <w:t>6</w:t>
      </w:r>
      <w:r>
        <w:rPr>
          <w:rFonts w:hint="eastAsia" w:ascii="仿宋" w:hAnsi="仿宋" w:eastAsia="仿宋" w:cs="仿宋"/>
          <w:b w:val="0"/>
          <w:bCs w:val="0"/>
          <w:sz w:val="32"/>
          <w:szCs w:val="32"/>
        </w:rPr>
        <w:t>年 9月</w:t>
      </w: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 xml:space="preserve"> 日</w:t>
      </w:r>
    </w:p>
    <w:p w14:paraId="77DE1A05">
      <w:pPr>
        <w:pStyle w:val="15"/>
        <w:tabs>
          <w:tab w:val="right" w:leader="dot" w:pos="8296"/>
        </w:tabs>
        <w:rPr>
          <w:rFonts w:hint="eastAsia" w:ascii="仿宋" w:hAnsi="仿宋" w:eastAsia="仿宋" w:cs="仿宋"/>
          <w:b w:val="0"/>
          <w:bCs w:val="0"/>
          <w:caps w:val="0"/>
          <w:sz w:val="32"/>
          <w:szCs w:val="32"/>
          <w:lang w:eastAsia="zh-CN"/>
        </w:rPr>
      </w:pPr>
      <w:r>
        <w:rPr>
          <w:rFonts w:hint="eastAsia" w:ascii="仿宋" w:hAnsi="仿宋" w:eastAsia="仿宋" w:cs="仿宋"/>
          <w:b w:val="0"/>
          <w:bCs w:val="0"/>
          <w:caps w:val="0"/>
          <w:sz w:val="32"/>
          <w:szCs w:val="32"/>
        </w:rPr>
        <w:fldChar w:fldCharType="begin"/>
      </w:r>
      <w:r>
        <w:rPr>
          <w:rFonts w:hint="eastAsia" w:ascii="仿宋" w:hAnsi="仿宋" w:eastAsia="仿宋" w:cs="仿宋"/>
          <w:b w:val="0"/>
          <w:bCs w:val="0"/>
          <w:caps w:val="0"/>
          <w:sz w:val="32"/>
          <w:szCs w:val="32"/>
        </w:rPr>
        <w:instrText xml:space="preserve"> TOC \o \u </w:instrText>
      </w:r>
      <w:r>
        <w:rPr>
          <w:rFonts w:hint="eastAsia" w:ascii="仿宋" w:hAnsi="仿宋" w:eastAsia="仿宋" w:cs="仿宋"/>
          <w:b w:val="0"/>
          <w:bCs w:val="0"/>
          <w:caps w:val="0"/>
          <w:sz w:val="32"/>
          <w:szCs w:val="32"/>
        </w:rPr>
        <w:fldChar w:fldCharType="separate"/>
      </w:r>
      <w:r>
        <w:rPr>
          <w:rFonts w:hint="eastAsia" w:ascii="黑体" w:hAnsi="黑体" w:eastAsia="黑体" w:cs="黑体"/>
          <w:b w:val="0"/>
          <w:sz w:val="32"/>
          <w:szCs w:val="32"/>
        </w:rPr>
        <w:t xml:space="preserve">第一部分 </w:t>
      </w:r>
      <w:r>
        <w:rPr>
          <w:rFonts w:hint="eastAsia" w:ascii="黑体" w:hAnsi="黑体" w:eastAsia="黑体" w:cs="黑体"/>
          <w:b w:val="0"/>
          <w:bCs w:val="0"/>
          <w:sz w:val="32"/>
          <w:szCs w:val="32"/>
        </w:rPr>
        <w:t>部门概况</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5</w:t>
      </w:r>
    </w:p>
    <w:p w14:paraId="722A5A63">
      <w:pPr>
        <w:pStyle w:val="18"/>
        <w:tabs>
          <w:tab w:val="right" w:leader="dot" w:pos="8296"/>
        </w:tabs>
        <w:rPr>
          <w:rFonts w:hint="eastAsia" w:ascii="仿宋" w:hAnsi="仿宋" w:eastAsia="仿宋" w:cs="仿宋"/>
          <w:smallCaps w:val="0"/>
          <w:sz w:val="32"/>
          <w:szCs w:val="32"/>
          <w:lang w:eastAsia="zh-CN"/>
        </w:rPr>
      </w:pPr>
      <w:r>
        <w:rPr>
          <w:rFonts w:hint="eastAsia" w:ascii="仿宋" w:hAnsi="仿宋" w:eastAsia="仿宋" w:cs="仿宋"/>
          <w:color w:val="000000"/>
          <w:sz w:val="32"/>
          <w:szCs w:val="32"/>
        </w:rPr>
        <w:t>一、</w:t>
      </w:r>
      <w:r>
        <w:rPr>
          <w:rFonts w:hint="eastAsia" w:ascii="仿宋" w:hAnsi="仿宋" w:eastAsia="仿宋" w:cs="仿宋"/>
          <w:color w:val="000000"/>
          <w:sz w:val="32"/>
          <w:szCs w:val="32"/>
          <w:lang w:val="en-US" w:eastAsia="zh-CN"/>
        </w:rPr>
        <w:t>部门职责</w:t>
      </w:r>
      <w:r>
        <w:rPr>
          <w:rFonts w:hint="eastAsia" w:ascii="仿宋" w:hAnsi="仿宋" w:eastAsia="仿宋" w:cs="仿宋"/>
          <w:sz w:val="32"/>
          <w:szCs w:val="32"/>
        </w:rPr>
        <w:tab/>
      </w:r>
      <w:r>
        <w:rPr>
          <w:rFonts w:hint="eastAsia" w:ascii="仿宋" w:hAnsi="仿宋" w:eastAsia="仿宋" w:cs="仿宋"/>
          <w:sz w:val="32"/>
          <w:szCs w:val="32"/>
          <w:lang w:val="en-US" w:eastAsia="zh-CN"/>
        </w:rPr>
        <w:t>5</w:t>
      </w:r>
    </w:p>
    <w:p w14:paraId="3BFEA4C7">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二、机</w:t>
      </w:r>
      <w:r>
        <w:rPr>
          <w:rFonts w:hint="eastAsia" w:ascii="仿宋" w:hAnsi="仿宋" w:eastAsia="仿宋" w:cs="仿宋"/>
          <w:sz w:val="32"/>
          <w:szCs w:val="32"/>
        </w:rPr>
        <w:t>构设置</w:t>
      </w:r>
      <w:r>
        <w:rPr>
          <w:rFonts w:hint="eastAsia" w:ascii="仿宋" w:hAnsi="仿宋" w:eastAsia="仿宋" w:cs="仿宋"/>
          <w:sz w:val="32"/>
          <w:szCs w:val="32"/>
        </w:rPr>
        <w:tab/>
      </w:r>
      <w:r>
        <w:rPr>
          <w:rFonts w:hint="eastAsia" w:ascii="仿宋" w:hAnsi="仿宋" w:eastAsia="仿宋" w:cs="仿宋"/>
          <w:sz w:val="32"/>
          <w:szCs w:val="32"/>
          <w:lang w:val="en-US" w:eastAsia="zh-CN"/>
        </w:rPr>
        <w:t>6</w:t>
      </w:r>
    </w:p>
    <w:p w14:paraId="6B39B7A7">
      <w:pPr>
        <w:pStyle w:val="15"/>
        <w:tabs>
          <w:tab w:val="right" w:leader="dot" w:pos="8296"/>
        </w:tabs>
        <w:rPr>
          <w:rFonts w:hint="eastAsia" w:ascii="仿宋" w:hAnsi="仿宋" w:eastAsia="仿宋" w:cs="仿宋"/>
          <w:b w:val="0"/>
          <w:bCs w:val="0"/>
          <w:caps w:val="0"/>
          <w:sz w:val="32"/>
          <w:szCs w:val="32"/>
          <w:lang w:val="en-US" w:eastAsia="zh-CN"/>
        </w:rPr>
      </w:pPr>
      <w:r>
        <w:rPr>
          <w:rFonts w:hint="eastAsia" w:ascii="黑体" w:hAnsi="黑体" w:eastAsia="黑体" w:cs="黑体"/>
          <w:b w:val="0"/>
          <w:color w:val="000000"/>
          <w:sz w:val="32"/>
          <w:szCs w:val="32"/>
        </w:rPr>
        <w:t>第二部分</w:t>
      </w:r>
      <w:r>
        <w:rPr>
          <w:rFonts w:hint="eastAsia" w:ascii="黑体" w:hAnsi="黑体" w:eastAsia="黑体" w:cs="黑体"/>
          <w:color w:val="000000"/>
          <w:sz w:val="32"/>
          <w:szCs w:val="32"/>
        </w:rPr>
        <w:t xml:space="preserve"> </w:t>
      </w:r>
      <w:r>
        <w:rPr>
          <w:rFonts w:hint="eastAsia" w:ascii="黑体" w:hAnsi="黑体" w:eastAsia="黑体" w:cs="黑体"/>
          <w:b w:val="0"/>
          <w:bCs w:val="0"/>
          <w:sz w:val="32"/>
          <w:szCs w:val="32"/>
          <w:lang w:eastAsia="zh-CN"/>
        </w:rPr>
        <w:t>202</w:t>
      </w:r>
      <w:r>
        <w:rPr>
          <w:rFonts w:hint="eastAsia" w:ascii="黑体" w:hAnsi="黑体" w:eastAsia="黑体" w:cs="黑体"/>
          <w:b w:val="0"/>
          <w:bCs w:val="0"/>
          <w:sz w:val="32"/>
          <w:szCs w:val="32"/>
          <w:lang w:val="en-US" w:eastAsia="zh-CN"/>
        </w:rPr>
        <w:t>5</w:t>
      </w:r>
      <w:r>
        <w:rPr>
          <w:rFonts w:hint="eastAsia" w:ascii="黑体" w:hAnsi="黑体" w:eastAsia="黑体" w:cs="黑体"/>
          <w:b w:val="0"/>
          <w:bCs w:val="0"/>
          <w:sz w:val="32"/>
          <w:szCs w:val="32"/>
        </w:rPr>
        <w:t>年度部门决算情况说明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1183F2BC">
      <w:pPr>
        <w:pStyle w:val="18"/>
        <w:tabs>
          <w:tab w:val="left" w:pos="840"/>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bCs/>
          <w:sz w:val="32"/>
          <w:szCs w:val="32"/>
        </w:rPr>
        <w:t>一、</w:t>
      </w:r>
      <w:r>
        <w:rPr>
          <w:rFonts w:hint="eastAsia" w:ascii="仿宋" w:hAnsi="仿宋" w:eastAsia="仿宋" w:cs="仿宋"/>
          <w:color w:val="000000"/>
          <w:sz w:val="32"/>
          <w:szCs w:val="32"/>
        </w:rPr>
        <w:t>收</w:t>
      </w:r>
      <w:r>
        <w:rPr>
          <w:rFonts w:hint="eastAsia" w:ascii="仿宋" w:hAnsi="仿宋" w:eastAsia="仿宋" w:cs="仿宋"/>
          <w:bCs/>
          <w:sz w:val="32"/>
          <w:szCs w:val="32"/>
        </w:rPr>
        <w:t>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4C644980">
      <w:pPr>
        <w:pStyle w:val="18"/>
        <w:tabs>
          <w:tab w:val="left" w:pos="840"/>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bCs/>
          <w:sz w:val="32"/>
          <w:szCs w:val="32"/>
        </w:rPr>
        <w:t>二、</w:t>
      </w:r>
      <w:r>
        <w:rPr>
          <w:rFonts w:hint="eastAsia" w:ascii="仿宋" w:hAnsi="仿宋" w:eastAsia="仿宋" w:cs="仿宋"/>
          <w:color w:val="000000"/>
          <w:sz w:val="32"/>
          <w:szCs w:val="32"/>
        </w:rPr>
        <w:t>收</w:t>
      </w:r>
      <w:r>
        <w:rPr>
          <w:rFonts w:hint="eastAsia" w:ascii="仿宋" w:hAnsi="仿宋" w:eastAsia="仿宋" w:cs="仿宋"/>
          <w:bCs/>
          <w:sz w:val="32"/>
          <w:szCs w:val="32"/>
        </w:rPr>
        <w:t>入决算情况说明</w:t>
      </w:r>
      <w:r>
        <w:rPr>
          <w:rFonts w:hint="eastAsia" w:ascii="仿宋" w:hAnsi="仿宋" w:eastAsia="仿宋" w:cs="仿宋"/>
          <w:smallCaps w:val="0"/>
          <w:sz w:val="32"/>
          <w:szCs w:val="32"/>
        </w:rPr>
        <w:tab/>
      </w:r>
      <w:r>
        <w:rPr>
          <w:rFonts w:hint="eastAsia" w:ascii="仿宋" w:hAnsi="仿宋" w:eastAsia="仿宋" w:cs="仿宋"/>
          <w:smallCaps w:val="0"/>
          <w:sz w:val="32"/>
          <w:szCs w:val="32"/>
          <w:lang w:val="en-US" w:eastAsia="zh-CN"/>
        </w:rPr>
        <w:t>7</w:t>
      </w:r>
    </w:p>
    <w:p w14:paraId="5D1BD3A7">
      <w:pPr>
        <w:pStyle w:val="18"/>
        <w:tabs>
          <w:tab w:val="left" w:pos="840"/>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bCs/>
          <w:sz w:val="32"/>
          <w:szCs w:val="32"/>
        </w:rPr>
        <w:t>三、</w:t>
      </w:r>
      <w:r>
        <w:rPr>
          <w:rFonts w:hint="eastAsia" w:ascii="仿宋" w:hAnsi="仿宋" w:eastAsia="仿宋" w:cs="仿宋"/>
          <w:color w:val="000000"/>
          <w:sz w:val="32"/>
          <w:szCs w:val="32"/>
        </w:rPr>
        <w:t>支</w:t>
      </w:r>
      <w:r>
        <w:rPr>
          <w:rFonts w:hint="eastAsia" w:ascii="仿宋" w:hAnsi="仿宋" w:eastAsia="仿宋" w:cs="仿宋"/>
          <w:bCs/>
          <w:sz w:val="32"/>
          <w:szCs w:val="32"/>
        </w:rPr>
        <w:t>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3DED9EBC">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四、财</w:t>
      </w:r>
      <w:r>
        <w:rPr>
          <w:rFonts w:hint="eastAsia" w:ascii="仿宋" w:hAnsi="仿宋" w:eastAsia="仿宋" w:cs="仿宋"/>
          <w:bCs/>
          <w:sz w:val="32"/>
          <w:szCs w:val="32"/>
        </w:rPr>
        <w:t>政拨款收入支出决算总体情况说明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p>
    <w:p w14:paraId="4C962915">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五、</w:t>
      </w:r>
      <w:r>
        <w:rPr>
          <w:rFonts w:hint="eastAsia" w:ascii="仿宋" w:hAnsi="仿宋" w:eastAsia="仿宋" w:cs="仿宋"/>
          <w:b/>
          <w:color w:val="000000"/>
          <w:sz w:val="32"/>
          <w:szCs w:val="32"/>
        </w:rPr>
        <w:t>一</w:t>
      </w:r>
      <w:r>
        <w:rPr>
          <w:rFonts w:hint="eastAsia" w:ascii="仿宋" w:hAnsi="仿宋" w:eastAsia="仿宋" w:cs="仿宋"/>
          <w:bCs/>
          <w:sz w:val="32"/>
          <w:szCs w:val="32"/>
        </w:rPr>
        <w:t>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8</w:t>
      </w:r>
    </w:p>
    <w:p w14:paraId="30F179B7">
      <w:pPr>
        <w:pStyle w:val="18"/>
        <w:tabs>
          <w:tab w:val="right" w:leader="dot" w:pos="8296"/>
        </w:tabs>
        <w:rPr>
          <w:rFonts w:hint="eastAsia" w:ascii="仿宋" w:hAnsi="仿宋" w:eastAsia="仿宋" w:cs="仿宋"/>
          <w:smallCaps w:val="0"/>
          <w:sz w:val="32"/>
          <w:szCs w:val="32"/>
          <w:lang w:val="en-US" w:eastAsia="zh-CN"/>
        </w:rPr>
      </w:pPr>
      <w:r>
        <w:rPr>
          <w:rFonts w:hint="eastAsia" w:ascii="仿宋" w:hAnsi="仿宋" w:eastAsia="仿宋" w:cs="仿宋"/>
          <w:color w:val="000000"/>
          <w:sz w:val="32"/>
          <w:szCs w:val="32"/>
        </w:rPr>
        <w:t>六</w:t>
      </w:r>
      <w:r>
        <w:rPr>
          <w:rFonts w:hint="eastAsia" w:ascii="仿宋" w:hAnsi="仿宋" w:eastAsia="仿宋" w:cs="仿宋"/>
          <w:b/>
          <w:color w:val="000000"/>
          <w:sz w:val="32"/>
          <w:szCs w:val="32"/>
        </w:rPr>
        <w:t>、一</w:t>
      </w:r>
      <w:r>
        <w:rPr>
          <w:rFonts w:hint="eastAsia" w:ascii="仿宋" w:hAnsi="仿宋" w:eastAsia="仿宋" w:cs="仿宋"/>
          <w:bCs/>
          <w:sz w:val="32"/>
          <w:szCs w:val="32"/>
        </w:rPr>
        <w:t>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p>
    <w:p w14:paraId="0269DE80">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七、</w:t>
      </w:r>
      <w:r>
        <w:rPr>
          <w:rFonts w:hint="eastAsia" w:ascii="仿宋" w:hAnsi="仿宋" w:eastAsia="仿宋" w:cs="仿宋"/>
          <w:bCs/>
          <w:sz w:val="32"/>
          <w:szCs w:val="32"/>
        </w:rPr>
        <w:t>“三公”经费财政拨款支出决算情况说明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10</w:t>
      </w:r>
    </w:p>
    <w:p w14:paraId="43E44214">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八、</w:t>
      </w:r>
      <w:r>
        <w:rPr>
          <w:rFonts w:hint="eastAsia" w:ascii="仿宋" w:hAnsi="仿宋" w:eastAsia="仿宋" w:cs="仿宋"/>
          <w:bCs/>
          <w:sz w:val="32"/>
          <w:szCs w:val="32"/>
        </w:rPr>
        <w:t>政府性基金预算支出决算情况说明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14:paraId="01A6432F">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bCs/>
          <w:sz w:val="32"/>
          <w:szCs w:val="32"/>
        </w:rPr>
        <w:t>九、 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14:paraId="5CBAB7BC">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十</w:t>
      </w:r>
      <w:r>
        <w:rPr>
          <w:rFonts w:hint="eastAsia" w:ascii="仿宋" w:hAnsi="仿宋" w:eastAsia="仿宋" w:cs="仿宋"/>
          <w:b/>
          <w:bCs/>
          <w:sz w:val="32"/>
          <w:szCs w:val="32"/>
        </w:rPr>
        <w:t>、</w:t>
      </w:r>
      <w:r>
        <w:rPr>
          <w:rFonts w:hint="eastAsia" w:ascii="仿宋" w:hAnsi="仿宋" w:eastAsia="仿宋" w:cs="仿宋"/>
          <w:bCs/>
          <w:sz w:val="32"/>
          <w:szCs w:val="32"/>
        </w:rPr>
        <w:t>其他重要事项的情况说明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11</w:t>
      </w:r>
    </w:p>
    <w:p w14:paraId="1EBC1626">
      <w:pPr>
        <w:pStyle w:val="15"/>
        <w:tabs>
          <w:tab w:val="right" w:leader="dot" w:pos="8296"/>
        </w:tabs>
        <w:rPr>
          <w:rFonts w:hint="default" w:ascii="仿宋" w:hAnsi="仿宋" w:eastAsia="仿宋" w:cs="仿宋"/>
          <w:b w:val="0"/>
          <w:bCs w:val="0"/>
          <w:caps w:val="0"/>
          <w:sz w:val="32"/>
          <w:szCs w:val="32"/>
          <w:lang w:val="en-US" w:eastAsia="zh-CN"/>
        </w:rPr>
      </w:pPr>
      <w:r>
        <w:rPr>
          <w:rFonts w:hint="eastAsia" w:ascii="黑体" w:hAnsi="黑体" w:eastAsia="黑体" w:cs="黑体"/>
          <w:b w:val="0"/>
          <w:bCs w:val="0"/>
          <w:kern w:val="44"/>
          <w:sz w:val="32"/>
          <w:szCs w:val="32"/>
        </w:rPr>
        <w:t>第三部分</w:t>
      </w:r>
      <w:r>
        <w:rPr>
          <w:rFonts w:hint="eastAsia" w:ascii="黑体" w:hAnsi="黑体" w:eastAsia="黑体" w:cs="黑体"/>
          <w:b w:val="0"/>
          <w:bCs w:val="0"/>
          <w:color w:val="000000"/>
          <w:sz w:val="32"/>
          <w:szCs w:val="32"/>
        </w:rPr>
        <w:t xml:space="preserve"> 名</w:t>
      </w:r>
      <w:r>
        <w:rPr>
          <w:rFonts w:hint="eastAsia" w:ascii="黑体" w:hAnsi="黑体" w:eastAsia="黑体" w:cs="黑体"/>
          <w:b w:val="0"/>
          <w:bCs w:val="0"/>
          <w:kern w:val="44"/>
          <w:sz w:val="32"/>
          <w:szCs w:val="32"/>
        </w:rPr>
        <w:t>词解释</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13</w:t>
      </w:r>
    </w:p>
    <w:p w14:paraId="2336F35B">
      <w:pPr>
        <w:pStyle w:val="15"/>
        <w:tabs>
          <w:tab w:val="right" w:leader="dot" w:pos="8296"/>
        </w:tabs>
        <w:rPr>
          <w:rFonts w:hint="default" w:ascii="仿宋" w:hAnsi="仿宋" w:eastAsia="仿宋" w:cs="仿宋"/>
          <w:b w:val="0"/>
          <w:bCs w:val="0"/>
          <w:caps w:val="0"/>
          <w:sz w:val="32"/>
          <w:szCs w:val="32"/>
          <w:lang w:val="en-US" w:eastAsia="zh-CN"/>
        </w:rPr>
      </w:pPr>
      <w:r>
        <w:rPr>
          <w:rFonts w:hint="eastAsia" w:ascii="黑体" w:hAnsi="黑体" w:eastAsia="黑体" w:cs="黑体"/>
          <w:b w:val="0"/>
          <w:bCs w:val="0"/>
          <w:color w:val="000000"/>
          <w:sz w:val="32"/>
          <w:szCs w:val="32"/>
        </w:rPr>
        <w:t>第</w:t>
      </w:r>
      <w:r>
        <w:rPr>
          <w:rFonts w:hint="eastAsia" w:ascii="黑体" w:hAnsi="黑体" w:eastAsia="黑体" w:cs="黑体"/>
          <w:b w:val="0"/>
          <w:bCs w:val="0"/>
          <w:kern w:val="44"/>
          <w:sz w:val="32"/>
          <w:szCs w:val="32"/>
        </w:rPr>
        <w:t>四部分 附件</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16</w:t>
      </w:r>
    </w:p>
    <w:p w14:paraId="691DFADD">
      <w:pPr>
        <w:pStyle w:val="15"/>
        <w:tabs>
          <w:tab w:val="right" w:leader="dot" w:pos="8296"/>
        </w:tabs>
        <w:rPr>
          <w:rFonts w:hint="default" w:ascii="仿宋" w:hAnsi="仿宋" w:eastAsia="仿宋" w:cs="仿宋"/>
          <w:b w:val="0"/>
          <w:bCs w:val="0"/>
          <w:caps w:val="0"/>
          <w:sz w:val="32"/>
          <w:szCs w:val="32"/>
          <w:lang w:val="en-US" w:eastAsia="zh-CN"/>
        </w:rPr>
      </w:pPr>
      <w:r>
        <w:rPr>
          <w:rFonts w:hint="eastAsia" w:ascii="黑体" w:hAnsi="黑体" w:eastAsia="黑体" w:cs="黑体"/>
          <w:b w:val="0"/>
          <w:bCs w:val="0"/>
          <w:kern w:val="44"/>
          <w:sz w:val="32"/>
          <w:szCs w:val="32"/>
        </w:rPr>
        <w:t>第五部分 附表</w:t>
      </w:r>
      <w:r>
        <w:rPr>
          <w:rFonts w:hint="eastAsia" w:ascii="仿宋" w:hAnsi="仿宋" w:eastAsia="仿宋" w:cs="仿宋"/>
          <w:sz w:val="32"/>
          <w:szCs w:val="32"/>
        </w:rPr>
        <w:tab/>
      </w:r>
      <w:r>
        <w:rPr>
          <w:rFonts w:hint="eastAsia" w:ascii="仿宋" w:hAnsi="仿宋" w:eastAsia="仿宋" w:cs="仿宋"/>
          <w:b w:val="0"/>
          <w:bCs w:val="0"/>
          <w:sz w:val="32"/>
          <w:szCs w:val="32"/>
          <w:lang w:val="en-US" w:eastAsia="zh-CN"/>
        </w:rPr>
        <w:t>52</w:t>
      </w:r>
    </w:p>
    <w:p w14:paraId="4904D7A8">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一、收</w:t>
      </w:r>
      <w:r>
        <w:rPr>
          <w:rFonts w:hint="eastAsia" w:ascii="仿宋" w:hAnsi="仿宋" w:eastAsia="仿宋" w:cs="仿宋"/>
          <w:sz w:val="32"/>
          <w:szCs w:val="32"/>
        </w:rPr>
        <w:t>入支出决算总表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3CA40C0E">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color w:val="000000"/>
          <w:sz w:val="32"/>
          <w:szCs w:val="32"/>
        </w:rPr>
        <w:t>二、收</w:t>
      </w:r>
      <w:r>
        <w:rPr>
          <w:rFonts w:hint="eastAsia" w:ascii="仿宋" w:hAnsi="仿宋" w:eastAsia="仿宋" w:cs="仿宋"/>
          <w:sz w:val="32"/>
          <w:szCs w:val="32"/>
        </w:rPr>
        <w:t>入决算表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48A4AEF6">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三、</w:t>
      </w:r>
      <w:r>
        <w:rPr>
          <w:rFonts w:hint="eastAsia" w:ascii="仿宋" w:hAnsi="仿宋" w:eastAsia="仿宋" w:cs="仿宋"/>
          <w:color w:val="000000"/>
          <w:sz w:val="32"/>
          <w:szCs w:val="32"/>
        </w:rPr>
        <w:t>支</w:t>
      </w:r>
      <w:r>
        <w:rPr>
          <w:rFonts w:hint="eastAsia" w:ascii="仿宋" w:hAnsi="仿宋" w:eastAsia="仿宋" w:cs="仿宋"/>
          <w:sz w:val="32"/>
          <w:szCs w:val="32"/>
        </w:rPr>
        <w:t>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76ED6A66">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四、</w:t>
      </w:r>
      <w:r>
        <w:rPr>
          <w:rFonts w:hint="eastAsia" w:ascii="仿宋" w:hAnsi="仿宋" w:eastAsia="仿宋" w:cs="仿宋"/>
          <w:color w:val="000000"/>
          <w:sz w:val="32"/>
          <w:szCs w:val="32"/>
        </w:rPr>
        <w:t>财</w:t>
      </w:r>
      <w:r>
        <w:rPr>
          <w:rFonts w:hint="eastAsia" w:ascii="仿宋" w:hAnsi="仿宋" w:eastAsia="仿宋" w:cs="仿宋"/>
          <w:sz w:val="32"/>
          <w:szCs w:val="32"/>
        </w:rPr>
        <w:t>政拨款收入支出决算总表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18FCCDD8">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五、</w:t>
      </w:r>
      <w:r>
        <w:rPr>
          <w:rFonts w:hint="eastAsia" w:ascii="仿宋" w:hAnsi="仿宋" w:eastAsia="仿宋" w:cs="仿宋"/>
          <w:color w:val="000000"/>
          <w:sz w:val="32"/>
          <w:szCs w:val="32"/>
        </w:rPr>
        <w:t>财</w:t>
      </w:r>
      <w:r>
        <w:rPr>
          <w:rFonts w:hint="eastAsia" w:ascii="仿宋" w:hAnsi="仿宋" w:eastAsia="仿宋" w:cs="仿宋"/>
          <w:sz w:val="32"/>
          <w:szCs w:val="32"/>
        </w:rPr>
        <w:t>政拨款支出决算明细表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61DA4468">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六、</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0A5765A0">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七、</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般公共预算财政拨款支出决算明细表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3425A809">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八、</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般公共预算财政拨款基本支出决算表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41380D4F">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九、</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般公共预算财政拨款项目支出决算表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4A4DC584">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w:t>
      </w:r>
      <w:r>
        <w:rPr>
          <w:rFonts w:hint="eastAsia" w:ascii="仿宋" w:hAnsi="仿宋" w:eastAsia="仿宋" w:cs="仿宋"/>
          <w:color w:val="000000"/>
          <w:sz w:val="32"/>
          <w:szCs w:val="32"/>
        </w:rPr>
        <w:t>一</w:t>
      </w:r>
      <w:r>
        <w:rPr>
          <w:rFonts w:hint="eastAsia" w:ascii="仿宋" w:hAnsi="仿宋" w:eastAsia="仿宋" w:cs="仿宋"/>
          <w:sz w:val="32"/>
          <w:szCs w:val="32"/>
        </w:rPr>
        <w:t>般公共预算财政拨款“三公”经费支出决算表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6F9C103E">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十一、</w:t>
      </w:r>
      <w:r>
        <w:rPr>
          <w:rFonts w:hint="eastAsia" w:ascii="仿宋" w:hAnsi="仿宋" w:eastAsia="仿宋" w:cs="仿宋"/>
          <w:color w:val="000000"/>
          <w:sz w:val="32"/>
          <w:szCs w:val="32"/>
        </w:rPr>
        <w:t>政</w:t>
      </w:r>
      <w:r>
        <w:rPr>
          <w:rFonts w:hint="eastAsia" w:ascii="仿宋" w:hAnsi="仿宋" w:eastAsia="仿宋" w:cs="仿宋"/>
          <w:sz w:val="32"/>
          <w:szCs w:val="32"/>
        </w:rPr>
        <w:t>府性基金预算财政拨款收入支出决算表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04CEE9EE">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十二、</w:t>
      </w:r>
      <w:r>
        <w:rPr>
          <w:rFonts w:hint="eastAsia" w:ascii="仿宋" w:hAnsi="仿宋" w:eastAsia="仿宋" w:cs="仿宋"/>
          <w:color w:val="000000"/>
          <w:sz w:val="32"/>
          <w:szCs w:val="32"/>
        </w:rPr>
        <w:t>政</w:t>
      </w:r>
      <w:r>
        <w:rPr>
          <w:rFonts w:hint="eastAsia" w:ascii="仿宋" w:hAnsi="仿宋" w:eastAsia="仿宋" w:cs="仿宋"/>
          <w:sz w:val="32"/>
          <w:szCs w:val="32"/>
        </w:rPr>
        <w:t>府性基金预算财政拨款“三公”经费支出决算表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2B446D62">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十三、</w:t>
      </w:r>
      <w:r>
        <w:rPr>
          <w:rFonts w:hint="eastAsia" w:ascii="仿宋" w:hAnsi="仿宋" w:eastAsia="仿宋" w:cs="仿宋"/>
          <w:color w:val="000000"/>
          <w:sz w:val="32"/>
          <w:szCs w:val="32"/>
        </w:rPr>
        <w:t>国</w:t>
      </w:r>
      <w:r>
        <w:rPr>
          <w:rFonts w:hint="eastAsia" w:ascii="仿宋" w:hAnsi="仿宋" w:eastAsia="仿宋" w:cs="仿宋"/>
          <w:sz w:val="32"/>
          <w:szCs w:val="32"/>
        </w:rPr>
        <w:t>有资本经营预算财政拨款支出决算表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18D6FFD2">
      <w:pPr>
        <w:pStyle w:val="18"/>
        <w:tabs>
          <w:tab w:val="right" w:leader="dot" w:pos="8296"/>
        </w:tabs>
        <w:rPr>
          <w:rFonts w:hint="default" w:ascii="仿宋" w:hAnsi="仿宋" w:eastAsia="仿宋" w:cs="仿宋"/>
          <w:smallCaps w:val="0"/>
          <w:sz w:val="32"/>
          <w:szCs w:val="32"/>
          <w:lang w:val="en-US" w:eastAsia="zh-CN"/>
        </w:rPr>
      </w:pPr>
      <w:r>
        <w:rPr>
          <w:rFonts w:hint="eastAsia" w:ascii="仿宋" w:hAnsi="仿宋" w:eastAsia="仿宋" w:cs="仿宋"/>
          <w:sz w:val="32"/>
          <w:szCs w:val="32"/>
        </w:rPr>
        <w:t>十四、国有资本经营预算财政拨款支出决算表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52</w:t>
      </w:r>
    </w:p>
    <w:p w14:paraId="04B9863E">
      <w:r>
        <w:rPr>
          <w:rFonts w:hint="eastAsia" w:ascii="仿宋" w:hAnsi="仿宋" w:eastAsia="仿宋" w:cs="仿宋"/>
          <w:b/>
          <w:bCs/>
          <w:caps/>
          <w:sz w:val="32"/>
          <w:szCs w:val="32"/>
        </w:rPr>
        <w:fldChar w:fldCharType="end"/>
      </w:r>
    </w:p>
    <w:p w14:paraId="783F319A">
      <w:pPr>
        <w:widowControl/>
        <w:spacing w:line="440" w:lineRule="exact"/>
        <w:jc w:val="left"/>
        <w:rPr>
          <w:rFonts w:ascii="仿宋" w:hAnsi="仿宋" w:eastAsia="仿宋"/>
          <w:bCs/>
          <w:kern w:val="44"/>
          <w:sz w:val="24"/>
        </w:rPr>
      </w:pPr>
      <w:bookmarkStart w:id="12" w:name="_Toc15396599"/>
      <w:bookmarkStart w:id="13" w:name="_Toc15377196"/>
      <w:r>
        <w:rPr>
          <w:rFonts w:ascii="仿宋" w:hAnsi="仿宋" w:eastAsia="仿宋"/>
          <w:b/>
          <w:sz w:val="24"/>
        </w:rPr>
        <w:br w:type="page"/>
      </w:r>
    </w:p>
    <w:p w14:paraId="0A838E1B">
      <w:pPr>
        <w:pStyle w:val="4"/>
        <w:jc w:val="center"/>
        <w:rPr>
          <w:rFonts w:ascii="黑体" w:eastAsia="黑体"/>
          <w:color w:val="000000"/>
          <w:sz w:val="32"/>
          <w:szCs w:val="32"/>
        </w:rPr>
      </w:pPr>
      <w:bookmarkStart w:id="14" w:name="_Toc79163851"/>
      <w:bookmarkStart w:id="15" w:name="_Toc79163601"/>
      <w:r>
        <w:rPr>
          <w:rFonts w:hint="eastAsia" w:ascii="黑体" w:hAnsi="黑体" w:eastAsia="黑体"/>
          <w:b w:val="0"/>
        </w:rPr>
        <w:t>第一部分</w:t>
      </w:r>
      <w:r>
        <w:rPr>
          <w:rFonts w:ascii="黑体" w:hAnsi="黑体" w:eastAsia="黑体"/>
          <w:b w:val="0"/>
        </w:rPr>
        <w:t xml:space="preserve"> </w:t>
      </w:r>
      <w:r>
        <w:rPr>
          <w:rStyle w:val="25"/>
          <w:rFonts w:hint="eastAsia" w:ascii="黑体" w:hAnsi="黑体" w:eastAsia="黑体"/>
          <w:b w:val="0"/>
          <w:bCs w:val="0"/>
        </w:rPr>
        <w:t>部门概况</w:t>
      </w:r>
      <w:bookmarkEnd w:id="12"/>
      <w:bookmarkEnd w:id="13"/>
      <w:bookmarkEnd w:id="14"/>
      <w:bookmarkEnd w:id="15"/>
    </w:p>
    <w:p w14:paraId="519A582D">
      <w:pPr>
        <w:pStyle w:val="5"/>
        <w:pageBreakBefore w:val="0"/>
        <w:widowControl w:val="0"/>
        <w:kinsoku/>
        <w:wordWrap/>
        <w:overflowPunct/>
        <w:topLinePunct w:val="0"/>
        <w:autoSpaceDE/>
        <w:autoSpaceDN/>
        <w:bidi w:val="0"/>
        <w:spacing w:line="576" w:lineRule="exact"/>
        <w:ind w:firstLine="640" w:firstLineChars="200"/>
        <w:textAlignment w:val="auto"/>
        <w:rPr>
          <w:rStyle w:val="26"/>
          <w:rFonts w:hint="eastAsia" w:ascii="黑体" w:hAnsi="黑体" w:eastAsia="黑体" w:cs="黑体"/>
          <w:b w:val="0"/>
          <w:bCs w:val="0"/>
          <w:lang w:val="en-US" w:eastAsia="zh-CN"/>
        </w:rPr>
      </w:pPr>
      <w:bookmarkStart w:id="16" w:name="_Toc79163852"/>
      <w:bookmarkStart w:id="17" w:name="_Toc79163602"/>
      <w:bookmarkStart w:id="18" w:name="_Toc15396600"/>
      <w:bookmarkStart w:id="19" w:name="_Toc15377197"/>
      <w:r>
        <w:rPr>
          <w:rFonts w:hint="eastAsia" w:ascii="黑体" w:hAnsi="黑体" w:eastAsia="黑体" w:cs="黑体"/>
          <w:b w:val="0"/>
          <w:color w:val="000000"/>
        </w:rPr>
        <w:t>一、</w:t>
      </w:r>
      <w:bookmarkEnd w:id="16"/>
      <w:bookmarkEnd w:id="17"/>
      <w:bookmarkEnd w:id="18"/>
      <w:bookmarkEnd w:id="19"/>
      <w:bookmarkStart w:id="20" w:name="_Toc79163603"/>
      <w:bookmarkStart w:id="21" w:name="_Toc15378445"/>
      <w:bookmarkStart w:id="22" w:name="_Toc79163853"/>
      <w:bookmarkStart w:id="23" w:name="_Toc15377198"/>
      <w:r>
        <w:rPr>
          <w:rFonts w:hint="eastAsia" w:ascii="黑体" w:hAnsi="黑体" w:eastAsia="黑体" w:cs="黑体"/>
          <w:b w:val="0"/>
          <w:color w:val="000000"/>
          <w:lang w:val="en-US" w:eastAsia="zh-CN"/>
        </w:rPr>
        <w:t>部门职责</w:t>
      </w:r>
    </w:p>
    <w:bookmarkEnd w:id="20"/>
    <w:bookmarkEnd w:id="21"/>
    <w:bookmarkEnd w:id="22"/>
    <w:bookmarkEnd w:id="23"/>
    <w:p w14:paraId="165087B1">
      <w:pPr>
        <w:pStyle w:val="8"/>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eastAsia" w:ascii="Times New Roman" w:eastAsia="方正仿宋_GBK" w:cs="Times New Roman"/>
          <w:bCs/>
          <w:color w:val="000000"/>
          <w:sz w:val="32"/>
          <w:szCs w:val="32"/>
          <w:lang w:eastAsia="zh-CN"/>
        </w:rPr>
      </w:pPr>
      <w:r>
        <w:rPr>
          <w:rFonts w:hint="default" w:ascii="Times New Roman" w:hAnsi="Times New Roman" w:eastAsia="方正仿宋_GBK" w:cs="Times New Roman"/>
          <w:bCs/>
          <w:color w:val="000000"/>
          <w:sz w:val="32"/>
          <w:szCs w:val="32"/>
        </w:rPr>
        <w:t>人民法院是国家的审判机关，依法独立行使审判权，对人民代表大会及其常务委员会负责并报告工作</w:t>
      </w:r>
      <w:r>
        <w:rPr>
          <w:rFonts w:hint="eastAsia" w:ascii="Times New Roman" w:eastAsia="方正仿宋_GBK" w:cs="Times New Roman"/>
          <w:bCs/>
          <w:color w:val="000000"/>
          <w:sz w:val="32"/>
          <w:szCs w:val="32"/>
          <w:lang w:eastAsia="zh-CN"/>
        </w:rPr>
        <w:t>，</w:t>
      </w:r>
      <w:r>
        <w:rPr>
          <w:rFonts w:hint="eastAsia" w:ascii="Times New Roman" w:eastAsia="方正仿宋_GBK" w:cs="Times New Roman"/>
          <w:bCs/>
          <w:color w:val="000000"/>
          <w:sz w:val="32"/>
          <w:szCs w:val="32"/>
          <w:lang w:val="en-US" w:eastAsia="zh-CN"/>
        </w:rPr>
        <w:t>通过审判刑事案件、民事案件、行政案件以及法律规定的其他案件，惩罚犯罪，保障无罪的人不受刑事追究，解决民事、行政纠纷，保护个人和组织的合法权益，监督行政机关依法行使职权，维护国家安全和社会秩序，维护社会公平正义，维护国家法制统一、尊严和权威，保障中国特色社会主义建设的顺利进行。</w:t>
      </w:r>
    </w:p>
    <w:p w14:paraId="505B64F8">
      <w:pPr>
        <w:pStyle w:val="8"/>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九寨沟</w:t>
      </w:r>
      <w:r>
        <w:rPr>
          <w:rFonts w:hint="default" w:ascii="Times New Roman" w:hAnsi="Times New Roman" w:eastAsia="方正仿宋_GBK" w:cs="Times New Roman"/>
          <w:bCs/>
          <w:color w:val="000000"/>
          <w:sz w:val="32"/>
          <w:szCs w:val="32"/>
        </w:rPr>
        <w:t>县人民法院是</w:t>
      </w:r>
      <w:r>
        <w:rPr>
          <w:rFonts w:hint="eastAsia" w:ascii="Times New Roman" w:hAnsi="Times New Roman" w:eastAsia="方正仿宋_GBK" w:cs="Times New Roman"/>
          <w:bCs/>
          <w:color w:val="000000"/>
          <w:sz w:val="32"/>
          <w:szCs w:val="32"/>
          <w:lang w:val="en-US" w:eastAsia="zh-CN"/>
        </w:rPr>
        <w:t>基层人民法院</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主要职责是:</w:t>
      </w:r>
    </w:p>
    <w:p w14:paraId="6F77481B">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40" w:firstLineChars="20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default" w:ascii="Times New Roman" w:hAnsi="Times New Roman" w:eastAsia="方正仿宋_GBK" w:cs="Times New Roman"/>
          <w:bCs/>
          <w:color w:val="000000"/>
          <w:sz w:val="32"/>
          <w:szCs w:val="32"/>
        </w:rPr>
        <w:t>依法审判法律规定由基层人民法院管辖和上级法院指定管辖的刑事、民事、行政等第一审案件。</w:t>
      </w:r>
    </w:p>
    <w:p w14:paraId="3C3ACC52">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2.</w:t>
      </w:r>
      <w:r>
        <w:rPr>
          <w:rFonts w:hint="default" w:ascii="Times New Roman" w:hAnsi="Times New Roman" w:eastAsia="方正仿宋_GBK" w:cs="Times New Roman"/>
          <w:bCs/>
          <w:color w:val="000000"/>
          <w:sz w:val="32"/>
          <w:szCs w:val="32"/>
        </w:rPr>
        <w:t>审查和受理各类申诉案件，审判各类再审案件，处理涉诉信访。</w:t>
      </w:r>
    </w:p>
    <w:p w14:paraId="791BCE8C">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3</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依法办理发生法律效力的民事、行政案件判决和裁定执行事项及刑事案件判决和裁定中关于财产部分的执行事项;办理法律规定由基层人民法院执行的其他法律文书的执行事项。</w:t>
      </w:r>
    </w:p>
    <w:p w14:paraId="19E2EC99">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4</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管理、使用本院的司法警察力量，保证机关和押解人犯的安全，维护正常的审判执行工作秩序。</w:t>
      </w:r>
    </w:p>
    <w:p w14:paraId="465182C7">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5</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负责本院审判工作的管理监督、调查研究，总结审判工作经验。</w:t>
      </w:r>
    </w:p>
    <w:p w14:paraId="4B0B3744">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6</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负责本院干警思想政治教育、法</w:t>
      </w:r>
      <w:r>
        <w:rPr>
          <w:rFonts w:hint="eastAsia" w:ascii="Times New Roman" w:eastAsia="方正仿宋_GBK" w:cs="Times New Roman"/>
          <w:bCs/>
          <w:color w:val="000000"/>
          <w:sz w:val="32"/>
          <w:szCs w:val="32"/>
          <w:lang w:val="en-US" w:eastAsia="zh-CN"/>
        </w:rPr>
        <w:t>治</w:t>
      </w:r>
      <w:r>
        <w:rPr>
          <w:rFonts w:hint="default" w:ascii="Times New Roman" w:hAnsi="Times New Roman" w:eastAsia="方正仿宋_GBK" w:cs="Times New Roman"/>
          <w:bCs/>
          <w:color w:val="000000"/>
          <w:sz w:val="32"/>
          <w:szCs w:val="32"/>
        </w:rPr>
        <w:t>宣传和业务培训工作</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按照权限管理法官和其他工作人员</w:t>
      </w:r>
      <w:r>
        <w:rPr>
          <w:rFonts w:hint="eastAsia" w:ascii="Times New Roman" w:hAnsi="Times New Roman" w:eastAsia="方正仿宋_GBK" w:cs="Times New Roman"/>
          <w:bCs/>
          <w:color w:val="000000"/>
          <w:sz w:val="32"/>
          <w:szCs w:val="32"/>
          <w:lang w:eastAsia="zh-CN"/>
        </w:rPr>
        <w:t>；</w:t>
      </w:r>
      <w:r>
        <w:rPr>
          <w:rFonts w:hint="default" w:ascii="Times New Roman" w:hAnsi="Times New Roman" w:eastAsia="方正仿宋_GBK" w:cs="Times New Roman"/>
          <w:bCs/>
          <w:color w:val="000000"/>
          <w:sz w:val="32"/>
          <w:szCs w:val="32"/>
        </w:rPr>
        <w:t>协同上级法院及县主管部门管理本院的机构设置、人员编制工作。</w:t>
      </w:r>
    </w:p>
    <w:p w14:paraId="2E1F3816">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7</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管理本院的有关经费及物资装备。</w:t>
      </w:r>
    </w:p>
    <w:p w14:paraId="0B58F0D1">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8</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负责本院司法技术鉴定、通讯、网络信息等技术管理工作。</w:t>
      </w:r>
    </w:p>
    <w:p w14:paraId="6C02E925">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eastAsia="方正仿宋_GBK" w:cs="Times New Roman"/>
          <w:bCs/>
          <w:color w:val="000000"/>
          <w:sz w:val="32"/>
          <w:szCs w:val="32"/>
          <w:lang w:val="en-US" w:eastAsia="zh-CN"/>
        </w:rPr>
        <w:t>9</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负责人民陪审员的选任、培训、使用、考核、奖惩等相关工作。</w:t>
      </w:r>
    </w:p>
    <w:p w14:paraId="6F0E4075">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eastAsia" w:ascii="Times New Roman" w:eastAsia="方正仿宋_GBK" w:cs="Times New Roman"/>
          <w:bCs/>
          <w:color w:val="000000"/>
          <w:sz w:val="32"/>
          <w:szCs w:val="32"/>
          <w:lang w:val="en-US" w:eastAsia="zh-CN"/>
        </w:rPr>
        <w:t>0</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自觉接受上级法院对审判工作的监督和指导。</w:t>
      </w:r>
    </w:p>
    <w:p w14:paraId="2F8229CA">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eastAsia" w:ascii="Times New Roman" w:eastAsia="方正仿宋_GBK" w:cs="Times New Roman"/>
          <w:bCs/>
          <w:color w:val="000000"/>
          <w:sz w:val="32"/>
          <w:szCs w:val="32"/>
          <w:lang w:val="en-US" w:eastAsia="zh-CN"/>
        </w:rPr>
        <w:t>1</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做好人大代表、政协委员联络工作。</w:t>
      </w:r>
    </w:p>
    <w:p w14:paraId="6FA7353E">
      <w:pPr>
        <w:pStyle w:val="8"/>
        <w:keepNext w:val="0"/>
        <w:keepLines w:val="0"/>
        <w:pageBreakBefore w:val="0"/>
        <w:widowControl w:val="0"/>
        <w:kinsoku/>
        <w:wordWrap/>
        <w:overflowPunct/>
        <w:topLinePunct w:val="0"/>
        <w:autoSpaceDE/>
        <w:autoSpaceDN/>
        <w:bidi w:val="0"/>
        <w:adjustRightInd w:val="0"/>
        <w:snapToGrid w:val="0"/>
        <w:spacing w:before="93" w:line="576" w:lineRule="exact"/>
        <w:ind w:firstLine="672" w:firstLineChars="210"/>
        <w:textAlignment w:val="auto"/>
        <w:outlineLvl w:val="2"/>
        <w:rPr>
          <w:rFonts w:hint="default" w:ascii="Times New Roman" w:hAnsi="Times New Roman" w:eastAsia="方正仿宋_GBK" w:cs="Times New Roman"/>
          <w:bCs/>
          <w:color w:val="000000"/>
          <w:sz w:val="32"/>
          <w:szCs w:val="32"/>
        </w:rPr>
      </w:pPr>
      <w:r>
        <w:rPr>
          <w:rFonts w:hint="eastAsia" w:ascii="Times New Roman" w:hAnsi="Times New Roman" w:eastAsia="方正仿宋_GBK" w:cs="Times New Roman"/>
          <w:bCs/>
          <w:color w:val="000000"/>
          <w:sz w:val="32"/>
          <w:szCs w:val="32"/>
          <w:lang w:val="en-US" w:eastAsia="zh-CN"/>
        </w:rPr>
        <w:t>1</w:t>
      </w:r>
      <w:r>
        <w:rPr>
          <w:rFonts w:hint="eastAsia" w:ascii="Times New Roman" w:eastAsia="方正仿宋_GBK" w:cs="Times New Roman"/>
          <w:bCs/>
          <w:color w:val="000000"/>
          <w:sz w:val="32"/>
          <w:szCs w:val="32"/>
          <w:lang w:val="en-US" w:eastAsia="zh-CN"/>
        </w:rPr>
        <w:t>2</w:t>
      </w:r>
      <w:r>
        <w:rPr>
          <w:rFonts w:hint="eastAsia" w:ascii="Times New Roman" w:hAnsi="Times New Roman" w:eastAsia="方正仿宋_GBK" w:cs="Times New Roman"/>
          <w:bCs/>
          <w:color w:val="000000"/>
          <w:sz w:val="32"/>
          <w:szCs w:val="32"/>
          <w:lang w:val="en-US" w:eastAsia="zh-CN"/>
        </w:rPr>
        <w:t>.</w:t>
      </w:r>
      <w:r>
        <w:rPr>
          <w:rFonts w:hint="default" w:ascii="Times New Roman" w:hAnsi="Times New Roman" w:eastAsia="方正仿宋_GBK" w:cs="Times New Roman"/>
          <w:bCs/>
          <w:color w:val="000000"/>
          <w:sz w:val="32"/>
          <w:szCs w:val="32"/>
        </w:rPr>
        <w:t>完成其他应由基层人民法院负责的工作。　</w:t>
      </w:r>
    </w:p>
    <w:p w14:paraId="6C465852">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40" w:firstLineChars="200"/>
        <w:jc w:val="both"/>
        <w:textAlignment w:val="auto"/>
        <w:outlineLvl w:val="9"/>
        <w:rPr>
          <w:rStyle w:val="26"/>
          <w:rFonts w:hint="eastAsia" w:ascii="方正黑体_GBK" w:hAnsi="方正黑体_GBK" w:eastAsia="方正黑体_GBK" w:cs="方正黑体_GBK"/>
          <w:b w:val="0"/>
          <w:bCs w:val="0"/>
          <w:sz w:val="32"/>
          <w:szCs w:val="32"/>
        </w:rPr>
      </w:pPr>
      <w:bookmarkStart w:id="24" w:name="_Toc79163855"/>
      <w:bookmarkStart w:id="25" w:name="_Toc15377200"/>
      <w:bookmarkStart w:id="26" w:name="_Toc79163605"/>
      <w:bookmarkStart w:id="27" w:name="_Toc15396601"/>
      <w:r>
        <w:rPr>
          <w:rFonts w:hint="eastAsia" w:ascii="方正黑体_GBK" w:hAnsi="方正黑体_GBK" w:eastAsia="方正黑体_GBK" w:cs="方正黑体_GBK"/>
          <w:b w:val="0"/>
          <w:color w:val="000000"/>
          <w:sz w:val="32"/>
          <w:szCs w:val="32"/>
        </w:rPr>
        <w:t>二、机</w:t>
      </w:r>
      <w:r>
        <w:rPr>
          <w:rStyle w:val="26"/>
          <w:rFonts w:hint="eastAsia" w:ascii="方正黑体_GBK" w:hAnsi="方正黑体_GBK" w:eastAsia="方正黑体_GBK" w:cs="方正黑体_GBK"/>
          <w:b w:val="0"/>
          <w:bCs w:val="0"/>
          <w:sz w:val="32"/>
          <w:szCs w:val="32"/>
        </w:rPr>
        <w:t>构设置</w:t>
      </w:r>
      <w:bookmarkEnd w:id="24"/>
      <w:bookmarkEnd w:id="25"/>
      <w:bookmarkEnd w:id="26"/>
      <w:bookmarkEnd w:id="27"/>
    </w:p>
    <w:p w14:paraId="35102676">
      <w:pPr>
        <w:keepNext w:val="0"/>
        <w:keepLines w:val="0"/>
        <w:pageBreakBefore w:val="0"/>
        <w:widowControl w:val="0"/>
        <w:numPr>
          <w:ilvl w:val="0"/>
          <w:numId w:val="0"/>
        </w:numPr>
        <w:kinsoku/>
        <w:wordWrap/>
        <w:overflowPunct w:val="0"/>
        <w:topLinePunct w:val="0"/>
        <w:autoSpaceDE/>
        <w:autoSpaceDN/>
        <w:bidi w:val="0"/>
        <w:adjustRightInd/>
        <w:snapToGrid/>
        <w:spacing w:line="576" w:lineRule="exact"/>
        <w:ind w:left="0" w:leftChars="0" w:right="0" w:rightChars="0" w:firstLine="664" w:firstLineChars="200"/>
        <w:jc w:val="both"/>
        <w:textAlignment w:val="auto"/>
        <w:outlineLvl w:val="9"/>
        <w:rPr>
          <w:rFonts w:hint="eastAsia" w:ascii="Times New Roman" w:hAnsi="Times New Roman" w:eastAsia="方正仿宋_GBK" w:cs="Times New Roman"/>
          <w:b w:val="0"/>
          <w:bCs w:val="0"/>
          <w:spacing w:val="6"/>
          <w:kern w:val="2"/>
          <w:sz w:val="32"/>
          <w:szCs w:val="32"/>
          <w:lang w:val="en-US" w:eastAsia="zh-CN" w:bidi="ar-SA"/>
        </w:rPr>
      </w:pPr>
      <w:r>
        <w:rPr>
          <w:rFonts w:hint="eastAsia" w:ascii="Times New Roman" w:hAnsi="Times New Roman" w:eastAsia="方正仿宋_GBK" w:cs="Times New Roman"/>
          <w:b w:val="0"/>
          <w:bCs w:val="0"/>
          <w:spacing w:val="6"/>
          <w:kern w:val="2"/>
          <w:sz w:val="32"/>
          <w:szCs w:val="32"/>
          <w:lang w:val="en-US" w:eastAsia="zh-CN" w:bidi="ar-SA"/>
        </w:rPr>
        <w:t>九寨沟县人民法院属一级决算单位，共设有</w:t>
      </w:r>
      <w:r>
        <w:rPr>
          <w:rFonts w:hint="eastAsia" w:eastAsia="方正仿宋_GBK" w:cs="Times New Roman"/>
          <w:b w:val="0"/>
          <w:bCs w:val="0"/>
          <w:spacing w:val="6"/>
          <w:kern w:val="2"/>
          <w:sz w:val="32"/>
          <w:szCs w:val="32"/>
          <w:lang w:val="en-US" w:eastAsia="zh-CN" w:bidi="ar-SA"/>
        </w:rPr>
        <w:t>9</w:t>
      </w:r>
      <w:r>
        <w:rPr>
          <w:rFonts w:hint="eastAsia" w:ascii="Times New Roman" w:hAnsi="Times New Roman" w:eastAsia="方正仿宋_GBK" w:cs="Times New Roman"/>
          <w:b w:val="0"/>
          <w:bCs w:val="0"/>
          <w:spacing w:val="6"/>
          <w:kern w:val="2"/>
          <w:sz w:val="32"/>
          <w:szCs w:val="32"/>
          <w:lang w:val="en-US" w:eastAsia="zh-CN" w:bidi="ar-SA"/>
        </w:rPr>
        <w:t>个内设</w:t>
      </w:r>
      <w:r>
        <w:rPr>
          <w:rFonts w:hint="eastAsia" w:eastAsia="方正仿宋_GBK" w:cs="Times New Roman"/>
          <w:b w:val="0"/>
          <w:bCs w:val="0"/>
          <w:spacing w:val="6"/>
          <w:kern w:val="2"/>
          <w:sz w:val="32"/>
          <w:szCs w:val="32"/>
          <w:lang w:val="en-US" w:eastAsia="zh-CN" w:bidi="ar-SA"/>
        </w:rPr>
        <w:t>庭室</w:t>
      </w:r>
      <w:r>
        <w:rPr>
          <w:rFonts w:hint="eastAsia" w:ascii="Times New Roman" w:hAnsi="Times New Roman" w:eastAsia="方正仿宋_GBK" w:cs="Times New Roman"/>
          <w:b w:val="0"/>
          <w:bCs w:val="0"/>
          <w:spacing w:val="6"/>
          <w:kern w:val="2"/>
          <w:sz w:val="32"/>
          <w:szCs w:val="32"/>
          <w:lang w:val="en-US" w:eastAsia="zh-CN" w:bidi="ar-SA"/>
        </w:rPr>
        <w:t>，3个派出机构。在职人员共</w:t>
      </w:r>
      <w:r>
        <w:rPr>
          <w:rFonts w:hint="eastAsia" w:eastAsia="方正仿宋_GBK" w:cs="Times New Roman"/>
          <w:b w:val="0"/>
          <w:bCs w:val="0"/>
          <w:spacing w:val="6"/>
          <w:kern w:val="2"/>
          <w:sz w:val="32"/>
          <w:szCs w:val="32"/>
          <w:lang w:val="en-US" w:eastAsia="zh-CN" w:bidi="ar-SA"/>
        </w:rPr>
        <w:t>52</w:t>
      </w:r>
      <w:r>
        <w:rPr>
          <w:rFonts w:hint="eastAsia" w:ascii="Times New Roman" w:hAnsi="Times New Roman" w:eastAsia="方正仿宋_GBK" w:cs="Times New Roman"/>
          <w:b w:val="0"/>
          <w:bCs w:val="0"/>
          <w:spacing w:val="6"/>
          <w:kern w:val="2"/>
          <w:sz w:val="32"/>
          <w:szCs w:val="32"/>
          <w:lang w:val="en-US" w:eastAsia="zh-CN" w:bidi="ar-SA"/>
        </w:rPr>
        <w:t>人，其中公务员4</w:t>
      </w:r>
      <w:r>
        <w:rPr>
          <w:rFonts w:hint="eastAsia" w:eastAsia="方正仿宋_GBK" w:cs="Times New Roman"/>
          <w:b w:val="0"/>
          <w:bCs w:val="0"/>
          <w:spacing w:val="6"/>
          <w:kern w:val="2"/>
          <w:sz w:val="32"/>
          <w:szCs w:val="32"/>
          <w:lang w:val="en-US" w:eastAsia="zh-CN" w:bidi="ar-SA"/>
        </w:rPr>
        <w:t>8</w:t>
      </w:r>
      <w:r>
        <w:rPr>
          <w:rFonts w:hint="eastAsia" w:ascii="Times New Roman" w:hAnsi="Times New Roman" w:eastAsia="方正仿宋_GBK" w:cs="Times New Roman"/>
          <w:b w:val="0"/>
          <w:bCs w:val="0"/>
          <w:spacing w:val="6"/>
          <w:kern w:val="2"/>
          <w:sz w:val="32"/>
          <w:szCs w:val="32"/>
          <w:lang w:val="en-US" w:eastAsia="zh-CN" w:bidi="ar-SA"/>
        </w:rPr>
        <w:t>人，工勤人员4人。</w:t>
      </w:r>
    </w:p>
    <w:p w14:paraId="1AB73D3C">
      <w:pPr>
        <w:widowControl/>
        <w:jc w:val="left"/>
        <w:rPr>
          <w:rFonts w:ascii="仿宋" w:hAnsi="仿宋" w:eastAsia="仿宋"/>
          <w:color w:val="000000"/>
          <w:kern w:val="0"/>
          <w:sz w:val="32"/>
          <w:szCs w:val="32"/>
        </w:rPr>
      </w:pPr>
      <w:r>
        <w:rPr>
          <w:rFonts w:ascii="仿宋" w:hAnsi="仿宋" w:eastAsia="仿宋"/>
          <w:color w:val="000000"/>
          <w:sz w:val="32"/>
          <w:szCs w:val="32"/>
        </w:rPr>
        <w:br w:type="page"/>
      </w:r>
    </w:p>
    <w:p w14:paraId="172748A2">
      <w:pPr>
        <w:pStyle w:val="4"/>
        <w:ind w:right="440"/>
        <w:jc w:val="center"/>
      </w:pPr>
      <w:bookmarkStart w:id="28" w:name="_Toc15377204"/>
      <w:bookmarkStart w:id="29" w:name="_Toc79163609"/>
      <w:bookmarkStart w:id="30" w:name="_Toc79163859"/>
      <w:bookmarkStart w:id="31" w:name="_Toc15396602"/>
      <w:r>
        <w:rPr>
          <w:rFonts w:hint="eastAsia" w:ascii="黑体" w:hAnsi="黑体" w:eastAsia="黑体"/>
          <w:b w:val="0"/>
          <w:color w:val="000000"/>
        </w:rPr>
        <w:t>第二部分</w:t>
      </w:r>
      <w:r>
        <w:rPr>
          <w:rFonts w:ascii="黑体" w:hAnsi="黑体" w:eastAsia="黑体"/>
          <w:color w:val="000000"/>
        </w:rPr>
        <w:t xml:space="preserve"> </w:t>
      </w:r>
      <w:r>
        <w:rPr>
          <w:rStyle w:val="25"/>
          <w:rFonts w:hint="eastAsia" w:ascii="黑体" w:hAnsi="黑体" w:eastAsia="黑体"/>
          <w:b w:val="0"/>
          <w:bCs w:val="0"/>
          <w:lang w:eastAsia="zh-CN"/>
        </w:rPr>
        <w:t>202</w:t>
      </w:r>
      <w:r>
        <w:rPr>
          <w:rStyle w:val="25"/>
          <w:rFonts w:hint="eastAsia" w:ascii="黑体" w:hAnsi="黑体" w:eastAsia="黑体"/>
          <w:b w:val="0"/>
          <w:bCs w:val="0"/>
          <w:lang w:val="en-US" w:eastAsia="zh-CN"/>
        </w:rPr>
        <w:t>5</w:t>
      </w:r>
      <w:r>
        <w:rPr>
          <w:rStyle w:val="25"/>
          <w:rFonts w:hint="eastAsia" w:ascii="黑体" w:hAnsi="黑体" w:eastAsia="黑体"/>
          <w:b w:val="0"/>
          <w:bCs w:val="0"/>
        </w:rPr>
        <w:t>年度部门决算情况说明</w:t>
      </w:r>
      <w:bookmarkEnd w:id="28"/>
      <w:bookmarkEnd w:id="29"/>
      <w:bookmarkEnd w:id="30"/>
      <w:bookmarkEnd w:id="31"/>
    </w:p>
    <w:p w14:paraId="2173687E">
      <w:pPr>
        <w:pStyle w:val="36"/>
        <w:numPr>
          <w:ilvl w:val="0"/>
          <w:numId w:val="1"/>
        </w:numPr>
        <w:spacing w:line="600" w:lineRule="exact"/>
        <w:ind w:firstLineChars="0"/>
        <w:outlineLvl w:val="1"/>
        <w:rPr>
          <w:rStyle w:val="26"/>
          <w:rFonts w:ascii="黑体" w:hAnsi="黑体" w:eastAsia="黑体"/>
          <w:b w:val="0"/>
        </w:rPr>
      </w:pPr>
      <w:bookmarkStart w:id="32" w:name="_Toc79163860"/>
      <w:bookmarkStart w:id="33" w:name="_Toc15396603"/>
      <w:bookmarkStart w:id="34" w:name="_Toc79163610"/>
      <w:bookmarkStart w:id="35" w:name="_Toc15377205"/>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2"/>
      <w:bookmarkEnd w:id="33"/>
      <w:bookmarkEnd w:id="34"/>
      <w:bookmarkEnd w:id="35"/>
    </w:p>
    <w:p w14:paraId="5A1A276A">
      <w:pPr>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年度收、支总计</w:t>
      </w:r>
      <w:r>
        <w:rPr>
          <w:rFonts w:hint="eastAsia" w:ascii="仿宋" w:hAnsi="仿宋" w:eastAsia="仿宋"/>
          <w:color w:val="000000"/>
          <w:sz w:val="32"/>
          <w:szCs w:val="32"/>
          <w:lang w:val="en-US" w:eastAsia="zh-CN"/>
        </w:rPr>
        <w:t>2441.27</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年相比，收、支总计各</w:t>
      </w:r>
      <w:r>
        <w:rPr>
          <w:rFonts w:hint="eastAsia" w:ascii="仿宋" w:hAnsi="仿宋" w:eastAsia="仿宋"/>
          <w:color w:val="000000"/>
          <w:sz w:val="32"/>
          <w:szCs w:val="32"/>
          <w:lang w:val="en-US" w:eastAsia="zh-CN"/>
        </w:rPr>
        <w:t>减少250.49</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下降9.31</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厉行节俭，日常公用经费支出减少、减少采购执勤执法用车、项目支出。</w:t>
      </w:r>
    </w:p>
    <w:p w14:paraId="43EB2455">
      <w:pPr>
        <w:pStyle w:val="2"/>
      </w:pPr>
    </w:p>
    <w:p w14:paraId="6CA3D6C7">
      <w:pPr>
        <w:pStyle w:val="36"/>
        <w:numPr>
          <w:ilvl w:val="0"/>
          <w:numId w:val="1"/>
        </w:numPr>
        <w:spacing w:line="600" w:lineRule="exact"/>
        <w:ind w:firstLineChars="0"/>
        <w:outlineLvl w:val="1"/>
        <w:rPr>
          <w:rStyle w:val="26"/>
          <w:rFonts w:ascii="黑体" w:hAnsi="黑体" w:eastAsia="黑体"/>
          <w:b w:val="0"/>
        </w:rPr>
      </w:pPr>
      <w:bookmarkStart w:id="36" w:name="_Toc15396604"/>
      <w:bookmarkStart w:id="37" w:name="_Toc79163611"/>
      <w:bookmarkStart w:id="38" w:name="_Toc15377206"/>
      <w:bookmarkStart w:id="39" w:name="_Toc79163861"/>
      <w:r>
        <w:rPr>
          <w:rFonts w:hint="eastAsia" w:ascii="黑体" w:hAnsi="黑体" w:eastAsia="黑体"/>
          <w:color w:val="000000"/>
          <w:sz w:val="32"/>
          <w:szCs w:val="32"/>
        </w:rPr>
        <w:t>收</w:t>
      </w:r>
      <w:r>
        <w:rPr>
          <w:rStyle w:val="26"/>
          <w:rFonts w:hint="eastAsia" w:ascii="黑体" w:hAnsi="黑体" w:eastAsia="黑体"/>
          <w:b w:val="0"/>
        </w:rPr>
        <w:t>入决算情况说明</w:t>
      </w:r>
      <w:bookmarkEnd w:id="36"/>
      <w:bookmarkEnd w:id="37"/>
      <w:bookmarkEnd w:id="38"/>
      <w:bookmarkEnd w:id="39"/>
    </w:p>
    <w:p w14:paraId="12A58D98">
      <w:pPr>
        <w:spacing w:line="600" w:lineRule="exact"/>
        <w:ind w:firstLine="640" w:firstLineChars="200"/>
        <w:rPr>
          <w:rFonts w:hint="eastAsia"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2404.79</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1965.07</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81.71</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其他收入439.72</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18.29</w:t>
      </w:r>
      <w:r>
        <w:rPr>
          <w:rFonts w:ascii="仿宋" w:hAnsi="仿宋" w:eastAsia="仿宋"/>
          <w:color w:val="000000"/>
          <w:sz w:val="32"/>
          <w:szCs w:val="32"/>
        </w:rPr>
        <w:t>%</w:t>
      </w:r>
      <w:r>
        <w:rPr>
          <w:rFonts w:hint="eastAsia" w:ascii="仿宋" w:hAnsi="仿宋" w:eastAsia="仿宋"/>
          <w:color w:val="000000"/>
          <w:sz w:val="32"/>
          <w:szCs w:val="32"/>
        </w:rPr>
        <w:t>。</w:t>
      </w:r>
    </w:p>
    <w:p w14:paraId="77861B0B">
      <w:pPr>
        <w:pStyle w:val="2"/>
      </w:pPr>
    </w:p>
    <w:p w14:paraId="00DEB386">
      <w:pPr>
        <w:pStyle w:val="36"/>
        <w:numPr>
          <w:ilvl w:val="0"/>
          <w:numId w:val="1"/>
        </w:numPr>
        <w:spacing w:line="600" w:lineRule="exact"/>
        <w:ind w:firstLineChars="0"/>
        <w:outlineLvl w:val="1"/>
        <w:rPr>
          <w:rStyle w:val="26"/>
          <w:rFonts w:ascii="黑体" w:hAnsi="黑体" w:eastAsia="黑体"/>
          <w:b w:val="0"/>
        </w:rPr>
      </w:pPr>
      <w:bookmarkStart w:id="40" w:name="_Toc79163612"/>
      <w:bookmarkStart w:id="41" w:name="_Toc79163862"/>
      <w:bookmarkStart w:id="42" w:name="_Toc15396605"/>
      <w:bookmarkStart w:id="43" w:name="_Toc15377207"/>
      <w:r>
        <w:rPr>
          <w:rFonts w:hint="eastAsia" w:ascii="黑体" w:hAnsi="黑体" w:eastAsia="黑体"/>
          <w:color w:val="000000"/>
          <w:sz w:val="32"/>
          <w:szCs w:val="32"/>
        </w:rPr>
        <w:t>支</w:t>
      </w:r>
      <w:r>
        <w:rPr>
          <w:rStyle w:val="26"/>
          <w:rFonts w:hint="eastAsia" w:ascii="黑体" w:hAnsi="黑体" w:eastAsia="黑体"/>
          <w:b w:val="0"/>
        </w:rPr>
        <w:t>出决算情况说明</w:t>
      </w:r>
      <w:bookmarkEnd w:id="40"/>
      <w:bookmarkEnd w:id="41"/>
      <w:bookmarkEnd w:id="42"/>
      <w:bookmarkEnd w:id="43"/>
    </w:p>
    <w:p w14:paraId="01119E8D">
      <w:pPr>
        <w:spacing w:line="60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年本年支出合计</w:t>
      </w:r>
      <w:r>
        <w:rPr>
          <w:rFonts w:hint="eastAsia" w:ascii="仿宋_GB2312" w:eastAsia="仿宋_GB2312"/>
          <w:sz w:val="32"/>
          <w:szCs w:val="32"/>
          <w:lang w:val="en-US" w:eastAsia="zh-CN"/>
        </w:rPr>
        <w:t>2407.72</w:t>
      </w:r>
      <w:r>
        <w:rPr>
          <w:rFonts w:hint="eastAsia" w:ascii="仿宋_GB2312" w:eastAsia="仿宋_GB2312"/>
          <w:sz w:val="32"/>
          <w:szCs w:val="32"/>
        </w:rPr>
        <w:t>万元，其中：基本支出</w:t>
      </w:r>
      <w:r>
        <w:rPr>
          <w:rFonts w:hint="eastAsia" w:ascii="仿宋_GB2312" w:eastAsia="仿宋_GB2312"/>
          <w:sz w:val="32"/>
          <w:szCs w:val="32"/>
          <w:lang w:val="en-US" w:eastAsia="zh-CN"/>
        </w:rPr>
        <w:t>1767.8</w:t>
      </w:r>
      <w:r>
        <w:rPr>
          <w:rFonts w:hint="eastAsia" w:ascii="仿宋_GB2312" w:eastAsia="仿宋_GB2312"/>
          <w:sz w:val="32"/>
          <w:szCs w:val="32"/>
        </w:rPr>
        <w:t>万元，占</w:t>
      </w:r>
      <w:r>
        <w:rPr>
          <w:rFonts w:hint="eastAsia" w:ascii="仿宋_GB2312" w:eastAsia="仿宋_GB2312"/>
          <w:sz w:val="32"/>
          <w:szCs w:val="32"/>
          <w:lang w:val="en-US" w:eastAsia="zh-CN"/>
        </w:rPr>
        <w:t>73.42</w:t>
      </w:r>
      <w:r>
        <w:rPr>
          <w:rFonts w:ascii="仿宋_GB2312" w:eastAsia="仿宋_GB2312"/>
          <w:sz w:val="32"/>
          <w:szCs w:val="32"/>
        </w:rPr>
        <w:t>%</w:t>
      </w:r>
      <w:r>
        <w:rPr>
          <w:rFonts w:hint="eastAsia" w:ascii="仿宋_GB2312" w:eastAsia="仿宋_GB2312"/>
          <w:sz w:val="32"/>
          <w:szCs w:val="32"/>
        </w:rPr>
        <w:t>；项目支出</w:t>
      </w:r>
      <w:r>
        <w:rPr>
          <w:rFonts w:hint="eastAsia" w:ascii="仿宋_GB2312" w:eastAsia="仿宋_GB2312"/>
          <w:sz w:val="32"/>
          <w:szCs w:val="32"/>
          <w:lang w:val="en-US" w:eastAsia="zh-CN"/>
        </w:rPr>
        <w:t>639.92</w:t>
      </w:r>
      <w:r>
        <w:rPr>
          <w:rFonts w:hint="eastAsia" w:ascii="仿宋_GB2312" w:eastAsia="仿宋_GB2312"/>
          <w:sz w:val="32"/>
          <w:szCs w:val="32"/>
        </w:rPr>
        <w:t>万元，占</w:t>
      </w:r>
      <w:r>
        <w:rPr>
          <w:rFonts w:hint="eastAsia" w:ascii="仿宋_GB2312" w:eastAsia="仿宋_GB2312"/>
          <w:sz w:val="32"/>
          <w:szCs w:val="32"/>
          <w:lang w:val="en-US" w:eastAsia="zh-CN"/>
        </w:rPr>
        <w:t>26.58</w:t>
      </w:r>
      <w:r>
        <w:rPr>
          <w:rFonts w:ascii="仿宋_GB2312" w:eastAsia="仿宋_GB2312"/>
          <w:sz w:val="32"/>
          <w:szCs w:val="32"/>
        </w:rPr>
        <w:t>%</w:t>
      </w:r>
      <w:r>
        <w:rPr>
          <w:rFonts w:hint="eastAsia" w:ascii="仿宋_GB2312" w:eastAsia="仿宋_GB2312"/>
          <w:sz w:val="32"/>
          <w:szCs w:val="32"/>
        </w:rPr>
        <w:t>。</w:t>
      </w:r>
    </w:p>
    <w:p w14:paraId="0E2E5F91">
      <w:pPr>
        <w:pStyle w:val="2"/>
      </w:pPr>
    </w:p>
    <w:p w14:paraId="46F82042">
      <w:pPr>
        <w:spacing w:line="600" w:lineRule="exact"/>
        <w:ind w:firstLine="640" w:firstLineChars="200"/>
        <w:outlineLvl w:val="1"/>
        <w:rPr>
          <w:rStyle w:val="26"/>
          <w:rFonts w:ascii="黑体" w:hAnsi="黑体" w:eastAsia="黑体"/>
          <w:b w:val="0"/>
        </w:rPr>
      </w:pPr>
      <w:bookmarkStart w:id="44" w:name="_Toc79163863"/>
      <w:bookmarkStart w:id="45" w:name="_Toc79163613"/>
      <w:bookmarkStart w:id="46" w:name="_Toc15377208"/>
      <w:bookmarkStart w:id="47" w:name="_Toc15396606"/>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44"/>
      <w:bookmarkEnd w:id="45"/>
      <w:bookmarkEnd w:id="46"/>
      <w:bookmarkEnd w:id="47"/>
    </w:p>
    <w:p w14:paraId="34B8B8B4">
      <w:pPr>
        <w:spacing w:line="600" w:lineRule="exact"/>
        <w:ind w:firstLine="640" w:firstLineChars="200"/>
        <w:rPr>
          <w:rFonts w:hint="eastAsia" w:ascii="仿宋" w:hAnsi="仿宋" w:eastAsia="仿宋"/>
          <w:color w:val="000000"/>
          <w:sz w:val="32"/>
          <w:szCs w:val="32"/>
          <w:lang w:val="en-US" w:eastAsia="zh-CN"/>
        </w:rPr>
      </w:pP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 w:hAnsi="仿宋" w:eastAsia="仿宋"/>
          <w:color w:val="000000"/>
          <w:sz w:val="32"/>
          <w:szCs w:val="32"/>
        </w:rPr>
        <w:t>年财政拨款收、支总计</w:t>
      </w:r>
      <w:r>
        <w:rPr>
          <w:rFonts w:hint="eastAsia" w:ascii="仿宋" w:hAnsi="仿宋" w:eastAsia="仿宋"/>
          <w:color w:val="000000"/>
          <w:sz w:val="32"/>
          <w:szCs w:val="32"/>
          <w:lang w:val="en-US" w:eastAsia="zh-CN"/>
        </w:rPr>
        <w:t>1965.07</w:t>
      </w:r>
      <w:r>
        <w:rPr>
          <w:rFonts w:hint="eastAsia" w:ascii="仿宋" w:hAnsi="仿宋" w:eastAsia="仿宋"/>
          <w:color w:val="000000"/>
          <w:sz w:val="32"/>
          <w:szCs w:val="32"/>
        </w:rPr>
        <w:t>万元。与</w:t>
      </w:r>
      <w:r>
        <w:rPr>
          <w:rFonts w:ascii="仿宋" w:hAnsi="仿宋" w:eastAsia="仿宋"/>
          <w:color w:val="000000"/>
          <w:sz w:val="32"/>
          <w:szCs w:val="32"/>
        </w:rPr>
        <w:t>20</w:t>
      </w:r>
      <w:r>
        <w:rPr>
          <w:rFonts w:hint="eastAsia" w:ascii="仿宋" w:hAnsi="仿宋" w:eastAsia="仿宋"/>
          <w:color w:val="000000"/>
          <w:sz w:val="32"/>
          <w:szCs w:val="32"/>
          <w:lang w:val="en-US" w:eastAsia="zh-CN"/>
        </w:rPr>
        <w:t>24</w:t>
      </w:r>
      <w:r>
        <w:rPr>
          <w:rFonts w:hint="eastAsia" w:ascii="仿宋" w:hAnsi="仿宋" w:eastAsia="仿宋"/>
          <w:color w:val="000000"/>
          <w:sz w:val="32"/>
          <w:szCs w:val="32"/>
        </w:rPr>
        <w:t>年相比，财政拨款收、支总计各</w:t>
      </w:r>
      <w:r>
        <w:rPr>
          <w:rFonts w:hint="eastAsia" w:ascii="仿宋" w:hAnsi="仿宋" w:eastAsia="仿宋"/>
          <w:color w:val="000000"/>
          <w:sz w:val="32"/>
          <w:szCs w:val="32"/>
          <w:lang w:val="en-US" w:eastAsia="zh-CN"/>
        </w:rPr>
        <w:t>减少91.36</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下降4.44</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厉行节俭，日常公用经费支出减少、采购执勤执法用车、项目支出减少。</w:t>
      </w:r>
    </w:p>
    <w:p w14:paraId="70747C92">
      <w:pPr>
        <w:pStyle w:val="2"/>
      </w:pPr>
    </w:p>
    <w:p w14:paraId="284015E2">
      <w:pPr>
        <w:spacing w:line="600" w:lineRule="exact"/>
        <w:ind w:firstLine="640" w:firstLineChars="200"/>
        <w:outlineLvl w:val="1"/>
        <w:rPr>
          <w:rStyle w:val="26"/>
          <w:rFonts w:ascii="黑体" w:hAnsi="黑体" w:eastAsia="黑体"/>
          <w:b w:val="0"/>
        </w:rPr>
      </w:pPr>
      <w:bookmarkStart w:id="48" w:name="_Toc79163614"/>
      <w:bookmarkStart w:id="49" w:name="_Toc15396607"/>
      <w:bookmarkStart w:id="50" w:name="_Toc79163864"/>
      <w:bookmarkStart w:id="51" w:name="_Toc15377209"/>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48"/>
      <w:bookmarkEnd w:id="49"/>
      <w:bookmarkEnd w:id="50"/>
      <w:bookmarkEnd w:id="51"/>
    </w:p>
    <w:p w14:paraId="59C67D19">
      <w:pPr>
        <w:spacing w:line="600" w:lineRule="exact"/>
        <w:ind w:firstLine="643" w:firstLineChars="200"/>
        <w:outlineLvl w:val="2"/>
        <w:rPr>
          <w:rFonts w:ascii="仿宋" w:hAnsi="仿宋" w:eastAsia="仿宋"/>
          <w:b/>
          <w:color w:val="000000"/>
          <w:sz w:val="32"/>
          <w:szCs w:val="32"/>
        </w:rPr>
      </w:pPr>
      <w:bookmarkStart w:id="52" w:name="_Toc79163615"/>
      <w:bookmarkStart w:id="53" w:name="_Toc79163865"/>
      <w:bookmarkStart w:id="54" w:name="_Toc15377210"/>
      <w:r>
        <w:rPr>
          <w:rFonts w:hint="eastAsia" w:ascii="仿宋" w:hAnsi="仿宋" w:eastAsia="仿宋"/>
          <w:b/>
          <w:color w:val="000000"/>
          <w:sz w:val="32"/>
          <w:szCs w:val="32"/>
        </w:rPr>
        <w:t>（一）一般公共预算财政拨款支出决算总体情况</w:t>
      </w:r>
      <w:bookmarkEnd w:id="52"/>
      <w:bookmarkEnd w:id="53"/>
      <w:bookmarkEnd w:id="54"/>
    </w:p>
    <w:p w14:paraId="0A3A0770">
      <w:pPr>
        <w:spacing w:line="600" w:lineRule="exact"/>
        <w:ind w:firstLine="640" w:firstLineChars="200"/>
        <w:rPr>
          <w:rFonts w:hint="eastAsia" w:ascii="仿宋" w:hAnsi="仿宋" w:eastAsia="仿宋"/>
          <w:color w:val="000000"/>
          <w:sz w:val="32"/>
          <w:szCs w:val="32"/>
          <w:lang w:val="en-US" w:eastAsia="zh-CN"/>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1965.07</w:t>
      </w:r>
      <w:r>
        <w:rPr>
          <w:rFonts w:hint="eastAsia" w:ascii="仿宋" w:hAnsi="仿宋" w:eastAsia="仿宋"/>
          <w:color w:val="000000"/>
          <w:sz w:val="32"/>
          <w:szCs w:val="32"/>
        </w:rPr>
        <w:t>万元，占本年支出合计的</w:t>
      </w:r>
      <w:r>
        <w:rPr>
          <w:rFonts w:hint="eastAsia" w:ascii="仿宋" w:hAnsi="仿宋" w:eastAsia="仿宋"/>
          <w:color w:val="000000"/>
          <w:sz w:val="32"/>
          <w:szCs w:val="32"/>
          <w:lang w:val="en-US" w:eastAsia="zh-CN"/>
        </w:rPr>
        <w:t>81.62</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年相比，一般公共预算财政拨款</w:t>
      </w:r>
      <w:r>
        <w:rPr>
          <w:rFonts w:hint="eastAsia" w:ascii="仿宋" w:hAnsi="仿宋" w:eastAsia="仿宋"/>
          <w:color w:val="000000"/>
          <w:sz w:val="32"/>
          <w:szCs w:val="32"/>
          <w:lang w:val="en-US" w:eastAsia="zh-CN"/>
        </w:rPr>
        <w:t>减少91.36</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下降4.44</w:t>
      </w:r>
      <w:r>
        <w:rPr>
          <w:rFonts w:ascii="仿宋" w:hAnsi="仿宋" w:eastAsia="仿宋"/>
          <w:color w:val="000000"/>
          <w:sz w:val="32"/>
          <w:szCs w:val="32"/>
        </w:rPr>
        <w:t>%</w:t>
      </w:r>
      <w:r>
        <w:rPr>
          <w:rFonts w:hint="eastAsia" w:ascii="仿宋" w:hAnsi="仿宋" w:eastAsia="仿宋"/>
          <w:color w:val="000000"/>
          <w:sz w:val="32"/>
          <w:szCs w:val="32"/>
        </w:rPr>
        <w:t>。主要变动原因是</w:t>
      </w:r>
      <w:r>
        <w:rPr>
          <w:rFonts w:hint="eastAsia" w:ascii="仿宋" w:hAnsi="仿宋" w:eastAsia="仿宋"/>
          <w:color w:val="000000"/>
          <w:sz w:val="32"/>
          <w:szCs w:val="32"/>
          <w:lang w:val="en-US" w:eastAsia="zh-CN"/>
        </w:rPr>
        <w:t>厉行节俭，日常公用经费支出减少、采购执勤执法用车、项目支出减少。</w:t>
      </w:r>
    </w:p>
    <w:p w14:paraId="6FC8FE04">
      <w:pPr>
        <w:spacing w:line="600" w:lineRule="exact"/>
        <w:ind w:firstLine="640" w:firstLineChars="200"/>
        <w:rPr>
          <w:rFonts w:ascii="仿宋" w:hAnsi="仿宋" w:eastAsia="仿宋"/>
          <w:color w:val="000000"/>
          <w:sz w:val="32"/>
          <w:szCs w:val="32"/>
        </w:rPr>
      </w:pPr>
    </w:p>
    <w:p w14:paraId="236BA2CF">
      <w:pPr>
        <w:spacing w:line="600" w:lineRule="exact"/>
        <w:ind w:firstLine="643" w:firstLineChars="200"/>
        <w:outlineLvl w:val="2"/>
        <w:rPr>
          <w:rFonts w:ascii="仿宋" w:hAnsi="仿宋" w:eastAsia="仿宋"/>
          <w:b/>
          <w:color w:val="000000"/>
          <w:sz w:val="32"/>
          <w:szCs w:val="32"/>
        </w:rPr>
      </w:pPr>
      <w:bookmarkStart w:id="55" w:name="_Toc79163866"/>
      <w:bookmarkStart w:id="56" w:name="_Toc15377211"/>
      <w:bookmarkStart w:id="57" w:name="_Toc79163616"/>
      <w:r>
        <w:rPr>
          <w:rFonts w:hint="eastAsia" w:ascii="仿宋" w:hAnsi="仿宋" w:eastAsia="仿宋"/>
          <w:b/>
          <w:color w:val="000000"/>
          <w:sz w:val="32"/>
          <w:szCs w:val="32"/>
        </w:rPr>
        <w:t>（二）一般公共预算财政拨款支出决算结构情况</w:t>
      </w:r>
      <w:bookmarkEnd w:id="55"/>
      <w:bookmarkEnd w:id="56"/>
      <w:bookmarkEnd w:id="57"/>
    </w:p>
    <w:p w14:paraId="13965AFA">
      <w:pPr>
        <w:spacing w:line="600" w:lineRule="exact"/>
        <w:ind w:firstLine="640"/>
        <w:rPr>
          <w:rFonts w:ascii="仿宋" w:hAnsi="仿宋" w:eastAsia="仿宋"/>
          <w:b/>
          <w:color w:val="000000"/>
          <w:sz w:val="32"/>
          <w:szCs w:val="32"/>
        </w:rPr>
      </w:pPr>
      <w:r>
        <w:rPr>
          <w:rFonts w:hint="eastAsia" w:ascii="仿宋" w:hAnsi="仿宋" w:eastAsia="仿宋"/>
          <w:color w:val="000000"/>
          <w:sz w:val="32"/>
          <w:szCs w:val="32"/>
          <w:lang w:val="en-US" w:eastAsia="zh-CN"/>
        </w:rPr>
        <w:t>2025年一般公共预算财政拨款支出1965.07万元，主要用于以下方面:公共安全支出1614.92万元，占82.17%；社会保障和就业（类）支出171.05万元，占8.7%；卫生健康支出73.04万元，占3.71%；住房保障支出106.65万元，占5.42%。</w:t>
      </w:r>
    </w:p>
    <w:p w14:paraId="55D0E25A">
      <w:pPr>
        <w:spacing w:line="600" w:lineRule="exact"/>
        <w:ind w:firstLine="643" w:firstLineChars="200"/>
        <w:outlineLvl w:val="2"/>
        <w:rPr>
          <w:rFonts w:ascii="仿宋" w:hAnsi="仿宋" w:eastAsia="仿宋"/>
          <w:b/>
          <w:color w:val="000000"/>
          <w:sz w:val="32"/>
          <w:szCs w:val="32"/>
        </w:rPr>
      </w:pPr>
      <w:bookmarkStart w:id="58" w:name="_Toc79163617"/>
      <w:bookmarkStart w:id="59" w:name="_Toc15377212"/>
      <w:bookmarkStart w:id="60" w:name="_Toc79163867"/>
      <w:r>
        <w:rPr>
          <w:rFonts w:hint="eastAsia" w:ascii="仿宋" w:hAnsi="仿宋" w:eastAsia="仿宋"/>
          <w:b/>
          <w:color w:val="000000"/>
          <w:sz w:val="32"/>
          <w:szCs w:val="32"/>
        </w:rPr>
        <w:t>（三）一般公共预算财政拨款支出决算具体情况</w:t>
      </w:r>
      <w:bookmarkEnd w:id="58"/>
      <w:bookmarkEnd w:id="59"/>
      <w:bookmarkEnd w:id="60"/>
    </w:p>
    <w:p w14:paraId="71508BA6">
      <w:pPr>
        <w:spacing w:line="600" w:lineRule="exact"/>
        <w:ind w:firstLine="640" w:firstLineChars="200"/>
        <w:rPr>
          <w:rFonts w:ascii="仿宋_GB2312" w:eastAsia="仿宋_GB2312"/>
          <w:b w:val="0"/>
          <w:bCs w:val="0"/>
          <w:sz w:val="32"/>
          <w:szCs w:val="32"/>
        </w:rPr>
      </w:pPr>
      <w:bookmarkStart w:id="61" w:name="_Toc15377213"/>
      <w:bookmarkStart w:id="62" w:name="_Toc15377444"/>
      <w:bookmarkStart w:id="63" w:name="_Toc15378460"/>
      <w:r>
        <w:rPr>
          <w:rFonts w:hint="eastAsia" w:ascii="仿宋_GB2312" w:eastAsia="仿宋_GB2312"/>
          <w:b w:val="0"/>
          <w:bCs w:val="0"/>
          <w:sz w:val="32"/>
          <w:szCs w:val="32"/>
          <w:lang w:eastAsia="zh-CN"/>
        </w:rPr>
        <w:t>202</w:t>
      </w:r>
      <w:r>
        <w:rPr>
          <w:rFonts w:hint="eastAsia" w:ascii="仿宋_GB2312" w:eastAsia="仿宋_GB2312"/>
          <w:b w:val="0"/>
          <w:bCs w:val="0"/>
          <w:sz w:val="32"/>
          <w:szCs w:val="32"/>
          <w:lang w:val="en-US" w:eastAsia="zh-CN"/>
        </w:rPr>
        <w:t>5</w:t>
      </w:r>
      <w:r>
        <w:rPr>
          <w:rFonts w:hint="eastAsia" w:ascii="仿宋_GB2312" w:eastAsia="仿宋_GB2312"/>
          <w:b w:val="0"/>
          <w:bCs w:val="0"/>
          <w:sz w:val="32"/>
          <w:szCs w:val="32"/>
        </w:rPr>
        <w:t>年一般公共预算支出决算数为</w:t>
      </w:r>
      <w:r>
        <w:rPr>
          <w:rFonts w:hint="eastAsia" w:ascii="仿宋_GB2312" w:eastAsia="仿宋_GB2312"/>
          <w:b w:val="0"/>
          <w:bCs w:val="0"/>
          <w:sz w:val="32"/>
          <w:szCs w:val="32"/>
          <w:lang w:val="en-US" w:eastAsia="zh-CN"/>
        </w:rPr>
        <w:t>1965.07</w:t>
      </w:r>
      <w:r>
        <w:rPr>
          <w:rFonts w:hint="eastAsia" w:ascii="仿宋_GB2312" w:eastAsia="仿宋_GB2312"/>
          <w:b w:val="0"/>
          <w:bCs w:val="0"/>
          <w:sz w:val="32"/>
          <w:szCs w:val="32"/>
        </w:rPr>
        <w:t>，完成预算</w:t>
      </w:r>
      <w:r>
        <w:rPr>
          <w:rFonts w:hint="eastAsia" w:ascii="仿宋_GB2312" w:eastAsia="仿宋_GB2312"/>
          <w:b w:val="0"/>
          <w:bCs w:val="0"/>
          <w:sz w:val="32"/>
          <w:szCs w:val="32"/>
          <w:lang w:val="en-US" w:eastAsia="zh-CN"/>
        </w:rPr>
        <w:t>100</w:t>
      </w:r>
      <w:r>
        <w:rPr>
          <w:rFonts w:ascii="仿宋_GB2312" w:eastAsia="仿宋_GB2312"/>
          <w:b w:val="0"/>
          <w:bCs w:val="0"/>
          <w:sz w:val="32"/>
          <w:szCs w:val="32"/>
        </w:rPr>
        <w:t>%</w:t>
      </w:r>
      <w:r>
        <w:rPr>
          <w:rFonts w:hint="eastAsia" w:ascii="仿宋_GB2312" w:eastAsia="仿宋_GB2312"/>
          <w:b w:val="0"/>
          <w:bCs w:val="0"/>
          <w:sz w:val="32"/>
          <w:szCs w:val="32"/>
        </w:rPr>
        <w:t>。其中：</w:t>
      </w:r>
      <w:bookmarkEnd w:id="61"/>
      <w:bookmarkEnd w:id="62"/>
      <w:bookmarkEnd w:id="63"/>
    </w:p>
    <w:p w14:paraId="45142178">
      <w:pPr>
        <w:numPr>
          <w:ilvl w:val="0"/>
          <w:numId w:val="0"/>
        </w:numPr>
        <w:spacing w:line="600" w:lineRule="exact"/>
        <w:ind w:firstLine="643" w:firstLineChars="200"/>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1.</w:t>
      </w:r>
      <w:r>
        <w:rPr>
          <w:rStyle w:val="23"/>
          <w:rFonts w:hint="eastAsia" w:ascii="仿宋" w:hAnsi="仿宋" w:eastAsia="仿宋"/>
          <w:bCs/>
          <w:color w:val="000000"/>
          <w:sz w:val="32"/>
          <w:szCs w:val="32"/>
        </w:rPr>
        <w:t>公共</w:t>
      </w:r>
      <w:r>
        <w:rPr>
          <w:rStyle w:val="23"/>
          <w:rFonts w:hint="eastAsia" w:ascii="仿宋" w:hAnsi="仿宋" w:eastAsia="仿宋"/>
          <w:bCs/>
          <w:color w:val="000000"/>
          <w:sz w:val="32"/>
          <w:szCs w:val="32"/>
          <w:lang w:val="en-US" w:eastAsia="zh-CN"/>
        </w:rPr>
        <w:t>安全</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204</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法院</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行政运行</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1009.6</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2F094F79">
      <w:pPr>
        <w:numPr>
          <w:ilvl w:val="0"/>
          <w:numId w:val="0"/>
        </w:numPr>
        <w:spacing w:line="600" w:lineRule="exact"/>
        <w:ind w:firstLine="643" w:firstLineChars="200"/>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2.</w:t>
      </w:r>
      <w:r>
        <w:rPr>
          <w:rStyle w:val="23"/>
          <w:rFonts w:hint="eastAsia" w:ascii="仿宋" w:hAnsi="仿宋" w:eastAsia="仿宋"/>
          <w:bCs/>
          <w:color w:val="000000"/>
          <w:sz w:val="32"/>
          <w:szCs w:val="32"/>
        </w:rPr>
        <w:t>公共</w:t>
      </w:r>
      <w:r>
        <w:rPr>
          <w:rStyle w:val="23"/>
          <w:rFonts w:hint="eastAsia" w:ascii="仿宋" w:hAnsi="仿宋" w:eastAsia="仿宋"/>
          <w:bCs/>
          <w:color w:val="000000"/>
          <w:sz w:val="32"/>
          <w:szCs w:val="32"/>
          <w:lang w:val="en-US" w:eastAsia="zh-CN"/>
        </w:rPr>
        <w:t>安全</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204</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法院</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一般行政管理事物</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02</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605.31</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789F8478">
      <w:pPr>
        <w:spacing w:line="600" w:lineRule="exact"/>
        <w:ind w:firstLine="643" w:firstLineChars="200"/>
      </w:pPr>
      <w:r>
        <w:rPr>
          <w:rStyle w:val="23"/>
          <w:rFonts w:hint="eastAsia" w:ascii="仿宋" w:hAnsi="仿宋" w:eastAsia="仿宋"/>
          <w:bCs/>
          <w:color w:val="000000"/>
          <w:sz w:val="32"/>
          <w:szCs w:val="32"/>
          <w:lang w:val="en-US" w:eastAsia="zh-CN"/>
        </w:rPr>
        <w:t>3.社会保障和就业</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208</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行政事业单位养老</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 xml:space="preserve"> 机关事业单位基本养老保险缴费支出</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109.97</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563E008C">
      <w:pPr>
        <w:spacing w:line="600" w:lineRule="exact"/>
        <w:ind w:firstLine="643" w:firstLineChars="200"/>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4</w:t>
      </w:r>
      <w:r>
        <w:rPr>
          <w:rStyle w:val="23"/>
          <w:rFonts w:ascii="仿宋" w:hAnsi="仿宋" w:eastAsia="仿宋"/>
          <w:bCs/>
          <w:color w:val="000000"/>
          <w:sz w:val="32"/>
          <w:szCs w:val="32"/>
        </w:rPr>
        <w:t>.</w:t>
      </w:r>
      <w:r>
        <w:rPr>
          <w:rStyle w:val="23"/>
          <w:rFonts w:hint="eastAsia" w:ascii="仿宋" w:hAnsi="仿宋" w:eastAsia="仿宋"/>
          <w:bCs/>
          <w:color w:val="000000"/>
          <w:sz w:val="32"/>
          <w:szCs w:val="32"/>
          <w:lang w:val="en-US" w:eastAsia="zh-CN"/>
        </w:rPr>
        <w:t>社会保障和就业</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208</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行政事业单位养老</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05</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机关事业单位职业年金缴费</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06</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61.08</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6D702A4C">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5</w:t>
      </w:r>
      <w:r>
        <w:rPr>
          <w:rStyle w:val="23"/>
          <w:rFonts w:ascii="仿宋" w:hAnsi="仿宋" w:eastAsia="仿宋"/>
          <w:bCs/>
          <w:color w:val="000000"/>
          <w:sz w:val="32"/>
          <w:szCs w:val="32"/>
        </w:rPr>
        <w:t>.</w:t>
      </w:r>
      <w:r>
        <w:rPr>
          <w:rStyle w:val="23"/>
          <w:rFonts w:hint="eastAsia" w:ascii="仿宋" w:hAnsi="仿宋" w:eastAsia="仿宋"/>
          <w:bCs/>
          <w:color w:val="000000"/>
          <w:sz w:val="32"/>
          <w:szCs w:val="32"/>
          <w:lang w:val="en-US" w:eastAsia="zh-CN"/>
        </w:rPr>
        <w:t>卫生健康</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11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61.4</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07FF42E4">
      <w:pPr>
        <w:spacing w:line="600" w:lineRule="exact"/>
        <w:ind w:firstLine="643" w:firstLineChars="200"/>
        <w:rPr>
          <w:rFonts w:ascii="仿宋" w:hAnsi="仿宋" w:eastAsia="仿宋"/>
          <w:b/>
          <w:color w:val="000000"/>
          <w:sz w:val="32"/>
          <w:szCs w:val="32"/>
        </w:rPr>
      </w:pPr>
      <w:r>
        <w:rPr>
          <w:rStyle w:val="23"/>
          <w:rFonts w:hint="eastAsia" w:ascii="仿宋" w:hAnsi="仿宋" w:eastAsia="仿宋"/>
          <w:bCs/>
          <w:color w:val="000000"/>
          <w:sz w:val="32"/>
          <w:szCs w:val="32"/>
          <w:lang w:val="en-US" w:eastAsia="zh-CN"/>
        </w:rPr>
        <w:t>6</w:t>
      </w:r>
      <w:r>
        <w:rPr>
          <w:rStyle w:val="23"/>
          <w:rFonts w:ascii="仿宋" w:hAnsi="仿宋" w:eastAsia="仿宋"/>
          <w:bCs/>
          <w:color w:val="000000"/>
          <w:sz w:val="32"/>
          <w:szCs w:val="32"/>
        </w:rPr>
        <w:t>.</w:t>
      </w:r>
      <w:r>
        <w:rPr>
          <w:rStyle w:val="23"/>
          <w:rFonts w:hint="eastAsia" w:ascii="仿宋" w:hAnsi="仿宋" w:eastAsia="仿宋"/>
          <w:bCs/>
          <w:color w:val="000000"/>
          <w:sz w:val="32"/>
          <w:szCs w:val="32"/>
          <w:lang w:val="en-US" w:eastAsia="zh-CN"/>
        </w:rPr>
        <w:t>卫生健康</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210</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行政事业单位医疗</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11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公务员医疗补助</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03</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ascii="仿宋" w:hAnsi="仿宋" w:eastAsia="仿宋"/>
          <w:b w:val="0"/>
          <w:bCs/>
          <w:color w:val="000000"/>
          <w:sz w:val="32"/>
          <w:szCs w:val="32"/>
        </w:rPr>
        <w:t xml:space="preserve"> </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11.64</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68070643">
      <w:pPr>
        <w:pStyle w:val="2"/>
        <w:rPr>
          <w:rStyle w:val="23"/>
          <w:rFonts w:hint="eastAsia" w:ascii="仿宋" w:hAnsi="仿宋" w:eastAsia="仿宋"/>
          <w:b w:val="0"/>
          <w:bCs/>
          <w:color w:val="000000"/>
          <w:sz w:val="32"/>
          <w:szCs w:val="32"/>
        </w:rPr>
      </w:pPr>
      <w:r>
        <w:rPr>
          <w:rStyle w:val="23"/>
          <w:rFonts w:hint="eastAsia" w:ascii="仿宋" w:hAnsi="仿宋" w:eastAsia="仿宋"/>
          <w:bCs/>
          <w:color w:val="000000"/>
          <w:sz w:val="32"/>
          <w:szCs w:val="32"/>
          <w:lang w:val="en-US" w:eastAsia="zh-CN"/>
        </w:rPr>
        <w:t>7</w:t>
      </w:r>
      <w:r>
        <w:rPr>
          <w:rStyle w:val="23"/>
          <w:rFonts w:ascii="仿宋" w:hAnsi="仿宋" w:eastAsia="仿宋"/>
          <w:bCs/>
          <w:color w:val="000000"/>
          <w:sz w:val="32"/>
          <w:szCs w:val="32"/>
        </w:rPr>
        <w:t>.</w:t>
      </w:r>
      <w:r>
        <w:rPr>
          <w:rFonts w:hint="eastAsia" w:ascii="仿宋" w:hAnsi="仿宋" w:eastAsia="仿宋"/>
          <w:b/>
          <w:bCs/>
          <w:color w:val="000000"/>
          <w:sz w:val="32"/>
          <w:szCs w:val="32"/>
          <w:lang w:val="en-US" w:eastAsia="zh-CN"/>
        </w:rPr>
        <w:t>住房保障</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221</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住房改革</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02</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住房公积金</w:t>
      </w:r>
      <w:r>
        <w:rPr>
          <w:rStyle w:val="23"/>
          <w:rFonts w:hint="eastAsia" w:ascii="仿宋" w:hAnsi="仿宋" w:eastAsia="仿宋"/>
          <w:bCs/>
          <w:color w:val="000000"/>
          <w:sz w:val="32"/>
          <w:szCs w:val="32"/>
        </w:rPr>
        <w:t>（</w:t>
      </w:r>
      <w:r>
        <w:rPr>
          <w:rStyle w:val="23"/>
          <w:rFonts w:hint="eastAsia" w:ascii="仿宋" w:hAnsi="仿宋" w:eastAsia="仿宋"/>
          <w:bCs/>
          <w:color w:val="000000"/>
          <w:sz w:val="32"/>
          <w:szCs w:val="32"/>
          <w:lang w:val="en-US" w:eastAsia="zh-CN"/>
        </w:rPr>
        <w:t>01</w:t>
      </w:r>
      <w:r>
        <w:rPr>
          <w:rStyle w:val="23"/>
          <w:rFonts w:hint="eastAsia" w:ascii="仿宋" w:hAnsi="仿宋" w:eastAsia="仿宋"/>
          <w:bCs/>
          <w:color w:val="000000"/>
          <w:sz w:val="32"/>
          <w:szCs w:val="32"/>
        </w:rPr>
        <w:t>）</w:t>
      </w:r>
      <w:r>
        <w:rPr>
          <w:rStyle w:val="23"/>
          <w:rFonts w:ascii="仿宋" w:hAnsi="仿宋" w:eastAsia="仿宋"/>
          <w:bCs/>
          <w:color w:val="000000"/>
          <w:sz w:val="32"/>
          <w:szCs w:val="32"/>
        </w:rPr>
        <w:t>:</w:t>
      </w:r>
      <w:r>
        <w:rPr>
          <w:rStyle w:val="23"/>
          <w:rFonts w:hint="eastAsia" w:ascii="仿宋" w:hAnsi="仿宋" w:eastAsia="仿宋"/>
          <w:b w:val="0"/>
          <w:bCs/>
          <w:color w:val="000000"/>
          <w:sz w:val="32"/>
          <w:szCs w:val="32"/>
        </w:rPr>
        <w:t>支出决算为</w:t>
      </w:r>
      <w:r>
        <w:rPr>
          <w:rStyle w:val="23"/>
          <w:rFonts w:hint="eastAsia" w:ascii="仿宋" w:hAnsi="仿宋" w:eastAsia="仿宋"/>
          <w:b w:val="0"/>
          <w:bCs/>
          <w:color w:val="000000"/>
          <w:sz w:val="32"/>
          <w:szCs w:val="32"/>
          <w:lang w:val="en-US" w:eastAsia="zh-CN"/>
        </w:rPr>
        <w:t>106.05</w:t>
      </w:r>
      <w:r>
        <w:rPr>
          <w:rStyle w:val="23"/>
          <w:rFonts w:hint="eastAsia" w:ascii="仿宋" w:hAnsi="仿宋" w:eastAsia="仿宋"/>
          <w:b w:val="0"/>
          <w:bCs/>
          <w:color w:val="000000"/>
          <w:sz w:val="32"/>
          <w:szCs w:val="32"/>
        </w:rPr>
        <w:t>万元，完成预算</w:t>
      </w:r>
      <w:r>
        <w:rPr>
          <w:rStyle w:val="23"/>
          <w:rFonts w:hint="eastAsia" w:ascii="仿宋" w:hAnsi="仿宋" w:eastAsia="仿宋"/>
          <w:b w:val="0"/>
          <w:bCs/>
          <w:color w:val="000000"/>
          <w:sz w:val="32"/>
          <w:szCs w:val="32"/>
          <w:lang w:val="en-US" w:eastAsia="zh-CN"/>
        </w:rPr>
        <w:t>100</w:t>
      </w:r>
      <w:r>
        <w:rPr>
          <w:rStyle w:val="23"/>
          <w:rFonts w:ascii="仿宋" w:hAnsi="仿宋" w:eastAsia="仿宋"/>
          <w:b w:val="0"/>
          <w:bCs/>
          <w:color w:val="000000"/>
          <w:sz w:val="32"/>
          <w:szCs w:val="32"/>
        </w:rPr>
        <w:t>%</w:t>
      </w:r>
      <w:r>
        <w:rPr>
          <w:rStyle w:val="23"/>
          <w:rFonts w:hint="eastAsia" w:ascii="仿宋" w:hAnsi="仿宋" w:eastAsia="仿宋"/>
          <w:b w:val="0"/>
          <w:bCs/>
          <w:color w:val="000000"/>
          <w:sz w:val="32"/>
          <w:szCs w:val="32"/>
        </w:rPr>
        <w:t>，决算数等于预算数。</w:t>
      </w:r>
    </w:p>
    <w:p w14:paraId="5C5CD977"/>
    <w:p w14:paraId="78935E7D">
      <w:pPr>
        <w:tabs>
          <w:tab w:val="right" w:pos="8306"/>
        </w:tabs>
        <w:spacing w:line="600" w:lineRule="exact"/>
        <w:ind w:firstLine="640"/>
        <w:outlineLvl w:val="1"/>
        <w:rPr>
          <w:rStyle w:val="26"/>
        </w:rPr>
      </w:pPr>
      <w:bookmarkStart w:id="64" w:name="_Toc79163618"/>
      <w:bookmarkStart w:id="65" w:name="_Toc15377214"/>
      <w:bookmarkStart w:id="66" w:name="_Toc79163868"/>
      <w:bookmarkStart w:id="67"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64"/>
      <w:bookmarkEnd w:id="65"/>
      <w:bookmarkEnd w:id="66"/>
      <w:bookmarkEnd w:id="67"/>
      <w:r>
        <w:rPr>
          <w:rStyle w:val="26"/>
          <w:rFonts w:ascii="黑体" w:hAnsi="黑体" w:eastAsia="黑体"/>
          <w:b w:val="0"/>
        </w:rPr>
        <w:tab/>
      </w:r>
    </w:p>
    <w:p w14:paraId="4140782A">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年一般公共预算财政拨款基本支出</w:t>
      </w:r>
      <w:r>
        <w:rPr>
          <w:rFonts w:hint="eastAsia" w:ascii="仿宋" w:hAnsi="仿宋" w:eastAsia="仿宋"/>
          <w:color w:val="000000"/>
          <w:sz w:val="32"/>
          <w:szCs w:val="32"/>
          <w:lang w:val="en-US" w:eastAsia="zh-CN"/>
        </w:rPr>
        <w:t>1359.75</w:t>
      </w:r>
      <w:r>
        <w:rPr>
          <w:rFonts w:hint="eastAsia" w:ascii="仿宋" w:hAnsi="仿宋" w:eastAsia="仿宋"/>
          <w:color w:val="000000"/>
          <w:sz w:val="32"/>
          <w:szCs w:val="32"/>
        </w:rPr>
        <w:t>万元，其中：</w:t>
      </w:r>
    </w:p>
    <w:p w14:paraId="4128C2ED">
      <w:pPr>
        <w:spacing w:line="600" w:lineRule="exact"/>
        <w:ind w:firstLine="645"/>
        <w:rPr>
          <w:rFonts w:hint="eastAsia" w:ascii="仿宋" w:hAnsi="仿宋" w:eastAsia="仿宋"/>
          <w:color w:val="000000"/>
          <w:sz w:val="32"/>
          <w:szCs w:val="32"/>
          <w:lang w:eastAsia="zh-CN"/>
        </w:rPr>
      </w:pPr>
      <w:r>
        <w:rPr>
          <w:rFonts w:hint="eastAsia" w:ascii="仿宋" w:hAnsi="仿宋" w:eastAsia="仿宋"/>
          <w:color w:val="000000"/>
          <w:sz w:val="32"/>
          <w:szCs w:val="32"/>
        </w:rPr>
        <w:t>人员经费</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1178.3万元，</w:t>
      </w:r>
      <w:r>
        <w:rPr>
          <w:rFonts w:hint="eastAsia" w:ascii="仿宋" w:hAnsi="仿宋" w:eastAsia="仿宋"/>
          <w:color w:val="000000"/>
          <w:sz w:val="32"/>
          <w:szCs w:val="32"/>
        </w:rPr>
        <w:t>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6B7A9E4F">
      <w:pPr>
        <w:spacing w:line="600" w:lineRule="exact"/>
        <w:ind w:firstLine="320" w:firstLineChars="100"/>
        <w:rPr>
          <w:rFonts w:hint="eastAsia" w:ascii="仿宋" w:hAnsi="仿宋" w:eastAsia="仿宋"/>
          <w:color w:val="000000"/>
          <w:sz w:val="32"/>
          <w:szCs w:val="32"/>
        </w:rPr>
      </w:pPr>
      <w:r>
        <w:rPr>
          <w:rFonts w:hint="eastAsia" w:ascii="仿宋" w:hAnsi="仿宋" w:eastAsia="仿宋"/>
          <w:color w:val="000000"/>
          <w:sz w:val="32"/>
          <w:szCs w:val="32"/>
        </w:rPr>
        <w:t>　日常公用经费</w:t>
      </w:r>
      <w:r>
        <w:rPr>
          <w:rFonts w:hint="eastAsia" w:ascii="仿宋" w:hAnsi="仿宋" w:eastAsia="仿宋"/>
          <w:color w:val="000000"/>
          <w:sz w:val="32"/>
          <w:szCs w:val="32"/>
          <w:lang w:val="en-US" w:eastAsia="zh-CN"/>
        </w:rPr>
        <w:t>181.45</w:t>
      </w:r>
      <w:r>
        <w:rPr>
          <w:rFonts w:hint="eastAsia" w:ascii="仿宋" w:hAnsi="仿宋" w:eastAsia="仿宋"/>
          <w:color w:val="000000"/>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43E57FD">
      <w:pPr>
        <w:pStyle w:val="2"/>
      </w:pPr>
    </w:p>
    <w:p w14:paraId="59B82DD0">
      <w:pPr>
        <w:spacing w:line="600" w:lineRule="exact"/>
        <w:ind w:firstLine="640"/>
        <w:outlineLvl w:val="1"/>
        <w:rPr>
          <w:rStyle w:val="26"/>
          <w:rFonts w:ascii="黑体" w:hAnsi="黑体" w:eastAsia="黑体"/>
          <w:b w:val="0"/>
        </w:rPr>
      </w:pPr>
      <w:bookmarkStart w:id="68" w:name="_Toc15377215"/>
      <w:bookmarkStart w:id="69" w:name="_Toc79163869"/>
      <w:bookmarkStart w:id="70" w:name="_Toc79163619"/>
      <w:bookmarkStart w:id="71" w:name="_Toc15396609"/>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68"/>
      <w:bookmarkEnd w:id="69"/>
      <w:bookmarkEnd w:id="70"/>
      <w:bookmarkEnd w:id="71"/>
    </w:p>
    <w:p w14:paraId="184906FF">
      <w:pPr>
        <w:spacing w:line="600" w:lineRule="exact"/>
        <w:ind w:firstLine="640"/>
        <w:outlineLvl w:val="2"/>
        <w:rPr>
          <w:rFonts w:ascii="仿宋" w:hAnsi="仿宋" w:eastAsia="仿宋"/>
          <w:b/>
          <w:color w:val="000000"/>
          <w:sz w:val="32"/>
          <w:szCs w:val="32"/>
        </w:rPr>
      </w:pPr>
      <w:bookmarkStart w:id="72" w:name="_Toc79163620"/>
      <w:bookmarkStart w:id="73" w:name="_Toc15377216"/>
      <w:bookmarkStart w:id="74" w:name="_Toc79163870"/>
      <w:r>
        <w:rPr>
          <w:rFonts w:hint="eastAsia" w:ascii="仿宋" w:hAnsi="仿宋" w:eastAsia="仿宋"/>
          <w:b/>
          <w:color w:val="000000"/>
          <w:sz w:val="32"/>
          <w:szCs w:val="32"/>
        </w:rPr>
        <w:t>（一）“三公”经费财政拨款支出决算总体情况说明</w:t>
      </w:r>
      <w:bookmarkEnd w:id="72"/>
      <w:bookmarkEnd w:id="73"/>
      <w:bookmarkEnd w:id="74"/>
    </w:p>
    <w:p w14:paraId="1CB3EAEA">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年“三公”经费财政拨款支出决算为</w:t>
      </w:r>
      <w:r>
        <w:rPr>
          <w:rFonts w:hint="eastAsia" w:ascii="仿宋" w:hAnsi="仿宋" w:eastAsia="仿宋"/>
          <w:color w:val="000000"/>
          <w:sz w:val="32"/>
          <w:szCs w:val="32"/>
          <w:highlight w:val="none"/>
          <w:lang w:val="en-US" w:eastAsia="zh-CN"/>
        </w:rPr>
        <w:t>5.21</w:t>
      </w:r>
      <w:r>
        <w:rPr>
          <w:rFonts w:hint="eastAsia" w:ascii="仿宋" w:hAnsi="仿宋" w:eastAsia="仿宋"/>
          <w:color w:val="000000"/>
          <w:sz w:val="32"/>
          <w:szCs w:val="32"/>
        </w:rPr>
        <w:t>万元，完成预算</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较上年度减少83.56万元，下降94.13%。</w:t>
      </w:r>
      <w:r>
        <w:rPr>
          <w:rFonts w:hint="eastAsia" w:ascii="仿宋" w:hAnsi="仿宋" w:eastAsia="仿宋"/>
          <w:color w:val="000000"/>
          <w:sz w:val="32"/>
          <w:szCs w:val="32"/>
        </w:rPr>
        <w:t>决算数与预算数</w:t>
      </w:r>
      <w:r>
        <w:rPr>
          <w:rFonts w:hint="eastAsia" w:ascii="仿宋" w:hAnsi="仿宋" w:eastAsia="仿宋"/>
          <w:color w:val="000000"/>
          <w:sz w:val="32"/>
          <w:szCs w:val="32"/>
          <w:lang w:val="en-US" w:eastAsia="zh-CN"/>
        </w:rPr>
        <w:t>基本</w:t>
      </w:r>
      <w:r>
        <w:rPr>
          <w:rFonts w:hint="eastAsia" w:ascii="仿宋" w:hAnsi="仿宋" w:eastAsia="仿宋"/>
          <w:color w:val="000000"/>
          <w:sz w:val="32"/>
          <w:szCs w:val="32"/>
        </w:rPr>
        <w:t>持平。</w:t>
      </w:r>
    </w:p>
    <w:p w14:paraId="54C39A02">
      <w:pPr>
        <w:spacing w:line="600" w:lineRule="exact"/>
        <w:ind w:firstLine="640"/>
        <w:outlineLvl w:val="2"/>
        <w:rPr>
          <w:rFonts w:ascii="仿宋" w:hAnsi="仿宋" w:eastAsia="仿宋"/>
          <w:b/>
          <w:color w:val="000000"/>
          <w:sz w:val="32"/>
          <w:szCs w:val="32"/>
        </w:rPr>
      </w:pPr>
      <w:bookmarkStart w:id="75" w:name="_Toc79163621"/>
      <w:bookmarkStart w:id="76" w:name="_Toc79163871"/>
      <w:bookmarkStart w:id="77" w:name="_Toc15377217"/>
      <w:r>
        <w:rPr>
          <w:rFonts w:hint="eastAsia" w:ascii="仿宋" w:hAnsi="仿宋" w:eastAsia="仿宋"/>
          <w:b/>
          <w:color w:val="000000"/>
          <w:sz w:val="32"/>
          <w:szCs w:val="32"/>
        </w:rPr>
        <w:t>（二）“三公”经费财政拨款支出决算具体情况说明</w:t>
      </w:r>
      <w:bookmarkEnd w:id="75"/>
      <w:bookmarkEnd w:id="76"/>
      <w:bookmarkEnd w:id="77"/>
    </w:p>
    <w:p w14:paraId="424E96A6">
      <w:pPr>
        <w:spacing w:line="600" w:lineRule="exact"/>
        <w:ind w:firstLine="640"/>
        <w:rPr>
          <w:rFonts w:hint="eastAsia" w:ascii="仿宋" w:hAnsi="仿宋" w:eastAsia="仿宋"/>
          <w:color w:val="000000"/>
          <w:sz w:val="32"/>
          <w:szCs w:val="32"/>
        </w:rPr>
      </w:pPr>
      <w:r>
        <w:rPr>
          <w:rFonts w:hint="eastAsia" w:ascii="仿宋" w:hAnsi="仿宋" w:eastAsia="仿宋"/>
          <w:color w:val="000000"/>
          <w:sz w:val="32"/>
          <w:szCs w:val="32"/>
          <w:lang w:eastAsia="zh-CN"/>
        </w:rPr>
        <w:t>202</w:t>
      </w: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年“三公”经费财政拨款支出决算中，因公出国（境）费支出决算</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w:t>
      </w:r>
      <w:r>
        <w:rPr>
          <w:rFonts w:hint="eastAsia" w:ascii="仿宋" w:hAnsi="仿宋" w:eastAsia="仿宋"/>
          <w:color w:val="000000"/>
          <w:sz w:val="32"/>
          <w:szCs w:val="32"/>
          <w:lang w:val="en-US" w:eastAsia="zh-CN"/>
        </w:rPr>
        <w:t>3.43</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65.83</w:t>
      </w:r>
      <w:r>
        <w:rPr>
          <w:rFonts w:ascii="仿宋" w:hAnsi="仿宋" w:eastAsia="仿宋"/>
          <w:color w:val="000000"/>
          <w:sz w:val="32"/>
          <w:szCs w:val="32"/>
        </w:rPr>
        <w:t>%</w:t>
      </w:r>
      <w:r>
        <w:rPr>
          <w:rFonts w:hint="eastAsia" w:ascii="仿宋" w:hAnsi="仿宋" w:eastAsia="仿宋"/>
          <w:color w:val="000000"/>
          <w:sz w:val="32"/>
          <w:szCs w:val="32"/>
        </w:rPr>
        <w:t>；公务接待费支出决算</w:t>
      </w:r>
      <w:r>
        <w:rPr>
          <w:rFonts w:hint="eastAsia" w:ascii="仿宋" w:hAnsi="仿宋" w:eastAsia="仿宋"/>
          <w:color w:val="000000"/>
          <w:sz w:val="32"/>
          <w:szCs w:val="32"/>
          <w:lang w:val="en-US" w:eastAsia="zh-CN"/>
        </w:rPr>
        <w:t>1.78</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34.17</w:t>
      </w:r>
      <w:r>
        <w:rPr>
          <w:rFonts w:ascii="仿宋" w:hAnsi="仿宋" w:eastAsia="仿宋"/>
          <w:color w:val="000000"/>
          <w:sz w:val="32"/>
          <w:szCs w:val="32"/>
        </w:rPr>
        <w:t>%</w:t>
      </w:r>
      <w:r>
        <w:rPr>
          <w:rFonts w:hint="eastAsia" w:ascii="仿宋" w:hAnsi="仿宋" w:eastAsia="仿宋"/>
          <w:color w:val="000000"/>
          <w:sz w:val="32"/>
          <w:szCs w:val="32"/>
        </w:rPr>
        <w:t>。具体情况如下：</w:t>
      </w:r>
    </w:p>
    <w:p w14:paraId="7E61B9CD">
      <w:pPr>
        <w:pStyle w:val="2"/>
        <w:rPr>
          <w:rFonts w:hint="default" w:eastAsia="仿宋_GB2312"/>
          <w:lang w:val="en-US" w:eastAsia="zh-CN"/>
        </w:rPr>
      </w:pPr>
      <w:r>
        <w:rPr>
          <w:rFonts w:hint="eastAsia" w:ascii="仿宋_GB2312" w:eastAsia="仿宋_GB2312"/>
          <w:b/>
          <w:color w:val="000000"/>
          <w:sz w:val="32"/>
          <w:szCs w:val="32"/>
          <w:lang w:val="en-US" w:eastAsia="zh-CN"/>
        </w:rPr>
        <w:t>1</w:t>
      </w:r>
      <w:r>
        <w:rPr>
          <w:rFonts w:ascii="仿宋_GB2312" w:eastAsia="仿宋_GB2312"/>
          <w:b/>
          <w:color w:val="000000"/>
          <w:sz w:val="32"/>
          <w:szCs w:val="32"/>
        </w:rPr>
        <w:t>.</w:t>
      </w:r>
      <w:r>
        <w:rPr>
          <w:rFonts w:hint="eastAsia" w:ascii="仿宋_GB2312" w:eastAsia="仿宋_GB2312"/>
          <w:b/>
          <w:color w:val="000000"/>
          <w:sz w:val="32"/>
          <w:szCs w:val="32"/>
          <w:lang w:val="en-US" w:eastAsia="zh-CN"/>
        </w:rPr>
        <w:t>因公出国（境）经费支出0万元，完成预算100%。</w:t>
      </w:r>
    </w:p>
    <w:p w14:paraId="39BF0EDB">
      <w:pPr>
        <w:spacing w:line="600" w:lineRule="exact"/>
        <w:ind w:firstLine="640"/>
        <w:rPr>
          <w:rFonts w:ascii="仿宋_GB2312" w:eastAsia="仿宋_GB2312"/>
          <w:b/>
          <w:color w:val="000000"/>
          <w:sz w:val="32"/>
          <w:szCs w:val="32"/>
        </w:rPr>
      </w:pPr>
      <w:r>
        <w:rPr>
          <w:rFonts w:hint="eastAsia" w:ascii="仿宋_GB2312" w:eastAsia="仿宋_GB2312"/>
          <w:b/>
          <w:color w:val="000000"/>
          <w:sz w:val="32"/>
          <w:szCs w:val="32"/>
          <w:lang w:val="en-US" w:eastAsia="zh-CN"/>
        </w:rPr>
        <w:t>2.</w:t>
      </w:r>
      <w:r>
        <w:rPr>
          <w:rFonts w:hint="eastAsia" w:ascii="仿宋_GB2312" w:eastAsia="仿宋_GB2312"/>
          <w:b/>
          <w:color w:val="000000"/>
          <w:sz w:val="32"/>
          <w:szCs w:val="32"/>
        </w:rPr>
        <w:t>公务用车购置及运行维护费支出</w:t>
      </w:r>
      <w:r>
        <w:rPr>
          <w:rFonts w:hint="eastAsia" w:ascii="仿宋_GB2312" w:eastAsia="仿宋_GB2312"/>
          <w:b/>
          <w:color w:val="000000"/>
          <w:sz w:val="32"/>
          <w:szCs w:val="32"/>
          <w:lang w:val="en-US" w:eastAsia="zh-CN"/>
        </w:rPr>
        <w:t>3.43</w:t>
      </w:r>
      <w:r>
        <w:rPr>
          <w:rFonts w:hint="eastAsia" w:ascii="仿宋_GB2312" w:eastAsia="仿宋_GB2312"/>
          <w:b/>
          <w:color w:val="000000"/>
          <w:sz w:val="32"/>
          <w:szCs w:val="32"/>
        </w:rPr>
        <w:t>万元,完成预算</w:t>
      </w:r>
      <w:r>
        <w:rPr>
          <w:rFonts w:hint="eastAsia" w:ascii="仿宋_GB2312" w:eastAsia="仿宋_GB2312"/>
          <w:b/>
          <w:color w:val="000000"/>
          <w:sz w:val="32"/>
          <w:szCs w:val="32"/>
          <w:lang w:val="en-US" w:eastAsia="zh-CN"/>
        </w:rPr>
        <w:t>100</w:t>
      </w:r>
      <w:r>
        <w:rPr>
          <w:rFonts w:hint="eastAsia" w:ascii="仿宋_GB2312" w:eastAsia="仿宋_GB2312"/>
          <w:b/>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lang w:val="en-US" w:eastAsia="zh-CN"/>
        </w:rPr>
        <w:t>24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减少83.56万元，下降96.06</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原因严格压减三公经费</w:t>
      </w:r>
      <w:r>
        <w:rPr>
          <w:rFonts w:hint="eastAsia" w:ascii="仿宋_GB2312" w:eastAsia="仿宋_GB2312"/>
          <w:color w:val="000000"/>
          <w:sz w:val="32"/>
          <w:szCs w:val="32"/>
        </w:rPr>
        <w:t>。</w:t>
      </w:r>
    </w:p>
    <w:p w14:paraId="3ADA49B2">
      <w:pPr>
        <w:spacing w:line="600" w:lineRule="exact"/>
        <w:ind w:firstLine="640"/>
        <w:rPr>
          <w:rFonts w:hint="eastAsia" w:ascii="仿宋_GB2312" w:eastAsia="仿宋_GB2312"/>
          <w:color w:val="000000"/>
          <w:sz w:val="32"/>
          <w:szCs w:val="32"/>
          <w:lang w:val="en-US" w:eastAsia="zh-CN"/>
        </w:rPr>
      </w:pPr>
      <w:r>
        <w:rPr>
          <w:rFonts w:hint="eastAsia" w:ascii="仿宋_GB2312" w:eastAsia="仿宋_GB2312"/>
          <w:color w:val="000000"/>
          <w:sz w:val="32"/>
          <w:szCs w:val="32"/>
          <w:lang w:val="en-US" w:eastAsia="zh-CN"/>
        </w:rPr>
        <w:t>其中：公务用车购置费减少82.8万元，公务用车运行维护费支出减少0.76万元。主要用于公务用车燃料费、维修费、过路过桥费、保险费等支出。</w:t>
      </w:r>
    </w:p>
    <w:p w14:paraId="04455DB8">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hAnsi="Times New Roman" w:eastAsia="仿宋_GB2312" w:cs="Times New Roman"/>
          <w:b/>
          <w:color w:val="000000"/>
          <w:sz w:val="32"/>
          <w:szCs w:val="32"/>
        </w:rPr>
        <w:t>公务接待费支出</w:t>
      </w:r>
      <w:r>
        <w:rPr>
          <w:rFonts w:hint="eastAsia" w:ascii="仿宋_GB2312" w:hAnsi="Times New Roman" w:eastAsia="仿宋_GB2312" w:cs="Times New Roman"/>
          <w:b/>
          <w:color w:val="000000"/>
          <w:sz w:val="32"/>
          <w:szCs w:val="32"/>
          <w:lang w:val="en-US" w:eastAsia="zh-CN"/>
        </w:rPr>
        <w:t>1.78</w:t>
      </w:r>
      <w:r>
        <w:rPr>
          <w:rFonts w:hint="eastAsia" w:ascii="仿宋_GB2312" w:hAnsi="Times New Roman" w:eastAsia="仿宋_GB2312" w:cs="Times New Roman"/>
          <w:b/>
          <w:color w:val="000000"/>
          <w:sz w:val="32"/>
          <w:szCs w:val="32"/>
        </w:rPr>
        <w:t>万元，完成预算</w:t>
      </w:r>
      <w:r>
        <w:rPr>
          <w:rFonts w:hint="eastAsia" w:ascii="仿宋_GB2312" w:eastAsia="仿宋_GB2312" w:cs="Times New Roman"/>
          <w:b/>
          <w:color w:val="000000"/>
          <w:sz w:val="32"/>
          <w:szCs w:val="32"/>
          <w:lang w:val="en-US" w:eastAsia="zh-CN"/>
        </w:rPr>
        <w:t>100</w:t>
      </w:r>
      <w:r>
        <w:rPr>
          <w:rFonts w:hint="eastAsia" w:ascii="仿宋_GB2312" w:hAnsi="Times New Roman" w:eastAsia="仿宋_GB2312" w:cs="Times New Roman"/>
          <w:b/>
          <w:color w:val="000000"/>
          <w:sz w:val="32"/>
          <w:szCs w:val="32"/>
        </w:rPr>
        <w:t>%。</w:t>
      </w:r>
      <w:r>
        <w:rPr>
          <w:rFonts w:hint="eastAsia" w:ascii="仿宋_GB2312" w:eastAsia="仿宋_GB2312"/>
          <w:color w:val="000000"/>
          <w:sz w:val="32"/>
          <w:szCs w:val="32"/>
        </w:rPr>
        <w:t>公务接待费支出决算</w:t>
      </w:r>
      <w:r>
        <w:rPr>
          <w:rFonts w:hint="eastAsia" w:ascii="仿宋_GB2312" w:eastAsia="仿宋_GB2312"/>
          <w:color w:val="000000"/>
          <w:sz w:val="32"/>
          <w:szCs w:val="32"/>
          <w:lang w:val="en-US" w:eastAsia="zh-CN"/>
        </w:rPr>
        <w:t>与</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3</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持平</w:t>
      </w:r>
      <w:r>
        <w:rPr>
          <w:rFonts w:hint="eastAsia" w:ascii="仿宋_GB2312" w:eastAsia="仿宋_GB2312"/>
          <w:color w:val="000000"/>
          <w:sz w:val="32"/>
          <w:szCs w:val="32"/>
        </w:rPr>
        <w:t>。</w:t>
      </w:r>
      <w:r>
        <w:rPr>
          <w:rFonts w:hint="eastAsia" w:ascii="仿宋_GB2312" w:eastAsia="仿宋_GB2312"/>
          <w:color w:val="000000"/>
          <w:sz w:val="32"/>
          <w:szCs w:val="32"/>
          <w:lang w:val="en-US" w:eastAsia="zh-CN"/>
        </w:rPr>
        <w:t>其中：国内公务接待支出1.78万元，主要用于执行公务、开展业务活动开支的交通费、住宿费、用餐费等</w:t>
      </w:r>
      <w:r>
        <w:rPr>
          <w:rFonts w:hint="eastAsia" w:ascii="仿宋_GB2312" w:eastAsia="仿宋_GB2312"/>
          <w:color w:val="000000"/>
          <w:sz w:val="32"/>
          <w:szCs w:val="32"/>
        </w:rPr>
        <w:t>。</w:t>
      </w:r>
    </w:p>
    <w:p w14:paraId="01213233">
      <w:pPr>
        <w:spacing w:line="600" w:lineRule="exact"/>
        <w:ind w:firstLine="640" w:firstLineChars="200"/>
        <w:rPr>
          <w:rFonts w:ascii="仿宋_GB2312" w:eastAsia="仿宋_GB2312"/>
          <w:color w:val="000000"/>
          <w:sz w:val="32"/>
          <w:szCs w:val="32"/>
        </w:rPr>
      </w:pPr>
    </w:p>
    <w:p w14:paraId="26B29EE5">
      <w:pPr>
        <w:spacing w:line="600" w:lineRule="exact"/>
        <w:ind w:firstLine="640"/>
        <w:outlineLvl w:val="1"/>
        <w:rPr>
          <w:rStyle w:val="26"/>
          <w:rFonts w:ascii="黑体" w:hAnsi="黑体" w:eastAsia="黑体"/>
        </w:rPr>
      </w:pPr>
      <w:bookmarkStart w:id="78" w:name="_Toc15396610"/>
      <w:bookmarkStart w:id="79" w:name="_Toc79163872"/>
      <w:bookmarkStart w:id="80" w:name="_Toc15377218"/>
      <w:bookmarkStart w:id="81" w:name="_Toc79163622"/>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78"/>
      <w:bookmarkEnd w:id="79"/>
      <w:bookmarkEnd w:id="80"/>
      <w:bookmarkEnd w:id="81"/>
    </w:p>
    <w:p w14:paraId="5519E84E">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年政府性基金预算拨款支出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702506B9">
      <w:pPr>
        <w:spacing w:line="600" w:lineRule="exact"/>
        <w:ind w:firstLine="640"/>
        <w:rPr>
          <w:rFonts w:ascii="仿宋_GB2312" w:eastAsia="仿宋_GB2312"/>
          <w:color w:val="000000"/>
          <w:sz w:val="32"/>
          <w:szCs w:val="32"/>
        </w:rPr>
      </w:pPr>
    </w:p>
    <w:p w14:paraId="7D9252BC">
      <w:pPr>
        <w:numPr>
          <w:ilvl w:val="0"/>
          <w:numId w:val="2"/>
        </w:numPr>
        <w:spacing w:line="600" w:lineRule="exact"/>
        <w:ind w:firstLine="640"/>
        <w:outlineLvl w:val="1"/>
        <w:rPr>
          <w:rStyle w:val="26"/>
          <w:rFonts w:ascii="黑体" w:hAnsi="黑体" w:eastAsia="黑体"/>
          <w:b w:val="0"/>
        </w:rPr>
      </w:pPr>
      <w:bookmarkStart w:id="82" w:name="_Toc79163873"/>
      <w:bookmarkStart w:id="83" w:name="_Toc15396611"/>
      <w:bookmarkStart w:id="84" w:name="_Toc79163623"/>
      <w:bookmarkStart w:id="85" w:name="_Toc15377219"/>
      <w:r>
        <w:rPr>
          <w:rStyle w:val="26"/>
          <w:rFonts w:hint="eastAsia" w:ascii="黑体" w:hAnsi="黑体" w:eastAsia="黑体"/>
          <w:b w:val="0"/>
        </w:rPr>
        <w:t>国有资本经营预算支出决算情况说明</w:t>
      </w:r>
      <w:bookmarkEnd w:id="82"/>
      <w:bookmarkEnd w:id="83"/>
      <w:bookmarkEnd w:id="84"/>
      <w:bookmarkEnd w:id="85"/>
    </w:p>
    <w:p w14:paraId="51552A01">
      <w:pPr>
        <w:spacing w:line="600" w:lineRule="exact"/>
        <w:ind w:firstLine="640"/>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年国有资本经营预算拨款支出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万元。</w:t>
      </w:r>
    </w:p>
    <w:p w14:paraId="627D8CCC">
      <w:pPr>
        <w:spacing w:line="580" w:lineRule="exact"/>
        <w:jc w:val="center"/>
        <w:rPr>
          <w:rFonts w:ascii="微软雅黑" w:hAnsi="微软雅黑" w:eastAsia="微软雅黑" w:cs="微软雅黑"/>
          <w:sz w:val="44"/>
          <w:szCs w:val="44"/>
        </w:rPr>
      </w:pPr>
    </w:p>
    <w:p w14:paraId="6D52C814">
      <w:pPr>
        <w:spacing w:line="600" w:lineRule="exact"/>
        <w:ind w:firstLine="800" w:firstLineChars="250"/>
        <w:outlineLvl w:val="1"/>
        <w:rPr>
          <w:rStyle w:val="26"/>
          <w:rFonts w:ascii="黑体" w:hAnsi="黑体" w:eastAsia="黑体"/>
          <w:highlight w:val="none"/>
        </w:rPr>
      </w:pPr>
      <w:bookmarkStart w:id="86" w:name="_Toc15396612"/>
      <w:bookmarkStart w:id="87" w:name="_Toc79163624"/>
      <w:bookmarkStart w:id="88" w:name="_Toc79163874"/>
      <w:bookmarkStart w:id="89" w:name="_Toc15377221"/>
      <w:r>
        <w:rPr>
          <w:rFonts w:hint="eastAsia" w:ascii="黑体" w:hAnsi="黑体" w:eastAsia="黑体"/>
          <w:color w:val="000000"/>
          <w:sz w:val="32"/>
          <w:szCs w:val="32"/>
          <w:highlight w:val="none"/>
        </w:rPr>
        <w:t>十</w:t>
      </w:r>
      <w:r>
        <w:rPr>
          <w:rStyle w:val="26"/>
          <w:rFonts w:hint="eastAsia" w:ascii="黑体" w:hAnsi="黑体" w:eastAsia="黑体"/>
          <w:highlight w:val="none"/>
        </w:rPr>
        <w:t>、</w:t>
      </w:r>
      <w:r>
        <w:rPr>
          <w:rStyle w:val="26"/>
          <w:rFonts w:hint="eastAsia" w:ascii="黑体" w:hAnsi="黑体" w:eastAsia="黑体"/>
          <w:b w:val="0"/>
          <w:highlight w:val="none"/>
        </w:rPr>
        <w:t>其他重要事项的情况说明</w:t>
      </w:r>
      <w:bookmarkEnd w:id="86"/>
      <w:bookmarkEnd w:id="87"/>
      <w:bookmarkEnd w:id="88"/>
      <w:bookmarkEnd w:id="89"/>
    </w:p>
    <w:p w14:paraId="0CCCEF70">
      <w:pPr>
        <w:spacing w:line="600" w:lineRule="exact"/>
        <w:ind w:firstLine="643" w:firstLineChars="200"/>
        <w:outlineLvl w:val="2"/>
        <w:rPr>
          <w:rFonts w:ascii="仿宋" w:hAnsi="仿宋" w:eastAsia="仿宋"/>
          <w:color w:val="000000"/>
          <w:sz w:val="32"/>
          <w:szCs w:val="32"/>
        </w:rPr>
      </w:pPr>
      <w:bookmarkStart w:id="90" w:name="_Toc79163625"/>
      <w:bookmarkStart w:id="91" w:name="_Toc79163875"/>
      <w:bookmarkStart w:id="92" w:name="_Toc15377222"/>
      <w:r>
        <w:rPr>
          <w:rFonts w:hint="eastAsia" w:ascii="仿宋" w:hAnsi="仿宋" w:eastAsia="仿宋"/>
          <w:b/>
          <w:color w:val="000000"/>
          <w:sz w:val="32"/>
          <w:szCs w:val="32"/>
        </w:rPr>
        <w:t>（一）机关运行经费支出情况</w:t>
      </w:r>
      <w:bookmarkEnd w:id="90"/>
      <w:bookmarkEnd w:id="91"/>
      <w:bookmarkEnd w:id="92"/>
    </w:p>
    <w:p w14:paraId="2B05C633">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5</w:t>
      </w:r>
      <w:r>
        <w:rPr>
          <w:rFonts w:hint="eastAsia" w:ascii="仿宋_GB2312" w:eastAsia="仿宋_GB2312"/>
          <w:color w:val="000000"/>
          <w:sz w:val="32"/>
          <w:szCs w:val="32"/>
        </w:rPr>
        <w:t>年，机关运行经费支出</w:t>
      </w:r>
      <w:r>
        <w:rPr>
          <w:rFonts w:hint="eastAsia" w:ascii="仿宋_GB2312" w:eastAsia="仿宋_GB2312"/>
          <w:color w:val="000000"/>
          <w:sz w:val="32"/>
          <w:szCs w:val="32"/>
          <w:lang w:val="en-US" w:eastAsia="zh-CN"/>
        </w:rPr>
        <w:t>181.45</w:t>
      </w:r>
      <w:r>
        <w:rPr>
          <w:rFonts w:hint="eastAsia" w:ascii="仿宋_GB2312" w:eastAsia="仿宋_GB2312"/>
          <w:color w:val="000000"/>
          <w:sz w:val="32"/>
          <w:szCs w:val="32"/>
        </w:rPr>
        <w:t>万元，比</w:t>
      </w:r>
      <w:r>
        <w:rPr>
          <w:rFonts w:hint="eastAsia" w:ascii="仿宋_GB2312" w:eastAsia="仿宋_GB2312"/>
          <w:color w:val="000000"/>
          <w:sz w:val="32"/>
          <w:szCs w:val="32"/>
          <w:lang w:eastAsia="zh-CN"/>
        </w:rPr>
        <w:t>202</w:t>
      </w:r>
      <w:r>
        <w:rPr>
          <w:rFonts w:hint="eastAsia" w:ascii="仿宋_GB2312" w:eastAsia="仿宋_GB2312"/>
          <w:color w:val="000000"/>
          <w:sz w:val="32"/>
          <w:szCs w:val="32"/>
          <w:lang w:val="en-US" w:eastAsia="zh-CN"/>
        </w:rPr>
        <w:t>4</w:t>
      </w:r>
      <w:r>
        <w:rPr>
          <w:rFonts w:hint="eastAsia" w:ascii="仿宋_GB2312" w:eastAsia="仿宋_GB2312"/>
          <w:color w:val="000000"/>
          <w:sz w:val="32"/>
          <w:szCs w:val="32"/>
        </w:rPr>
        <w:t>年</w:t>
      </w:r>
      <w:r>
        <w:rPr>
          <w:rFonts w:hint="eastAsia" w:ascii="仿宋_GB2312" w:eastAsia="仿宋_GB2312"/>
          <w:color w:val="000000"/>
          <w:sz w:val="32"/>
          <w:szCs w:val="32"/>
          <w:lang w:val="en-US" w:eastAsia="zh-CN"/>
        </w:rPr>
        <w:t>增加73.33</w:t>
      </w:r>
      <w:r>
        <w:rPr>
          <w:rFonts w:hint="eastAsia" w:ascii="仿宋_GB2312" w:eastAsia="仿宋_GB2312"/>
          <w:color w:val="000000"/>
          <w:sz w:val="32"/>
          <w:szCs w:val="32"/>
        </w:rPr>
        <w:t>万元，</w:t>
      </w:r>
      <w:r>
        <w:rPr>
          <w:rFonts w:hint="eastAsia" w:ascii="仿宋_GB2312" w:eastAsia="仿宋_GB2312"/>
          <w:color w:val="000000"/>
          <w:sz w:val="32"/>
          <w:szCs w:val="32"/>
          <w:lang w:val="en-US" w:eastAsia="zh-CN"/>
        </w:rPr>
        <w:t>增加67.82</w:t>
      </w:r>
      <w:r>
        <w:rPr>
          <w:rFonts w:ascii="仿宋_GB2312" w:eastAsia="仿宋_GB2312"/>
          <w:color w:val="000000"/>
          <w:sz w:val="32"/>
          <w:szCs w:val="32"/>
        </w:rPr>
        <w:t>%</w:t>
      </w:r>
      <w:r>
        <w:rPr>
          <w:rFonts w:hint="eastAsia" w:ascii="仿宋_GB2312" w:eastAsia="仿宋_GB2312"/>
          <w:color w:val="000000"/>
          <w:sz w:val="32"/>
          <w:szCs w:val="32"/>
        </w:rPr>
        <w:t>。主要</w:t>
      </w:r>
      <w:r>
        <w:rPr>
          <w:rFonts w:hint="eastAsia" w:ascii="仿宋_GB2312" w:eastAsia="仿宋_GB2312"/>
          <w:color w:val="000000"/>
          <w:sz w:val="32"/>
          <w:szCs w:val="32"/>
          <w:lang w:val="en-US" w:eastAsia="zh-CN"/>
        </w:rPr>
        <w:t>原因是增加物业管理项目经费及工会经费补助增加。</w:t>
      </w:r>
    </w:p>
    <w:p w14:paraId="02BEDEE9">
      <w:pPr>
        <w:numPr>
          <w:ilvl w:val="0"/>
          <w:numId w:val="3"/>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lang w:val="en-US" w:eastAsia="zh-CN"/>
        </w:rPr>
      </w:pPr>
      <w:r>
        <w:rPr>
          <w:rFonts w:hint="eastAsia" w:ascii="仿宋" w:hAnsi="仿宋" w:eastAsia="仿宋"/>
          <w:b/>
          <w:color w:val="000000"/>
          <w:sz w:val="32"/>
          <w:szCs w:val="32"/>
          <w:lang w:val="en-US" w:eastAsia="zh-CN"/>
        </w:rPr>
        <w:t>政府采购支出情况</w:t>
      </w:r>
    </w:p>
    <w:p w14:paraId="233934E7">
      <w:pPr>
        <w:pStyle w:val="2"/>
        <w:numPr>
          <w:ilvl w:val="0"/>
          <w:numId w:val="0"/>
        </w:numPr>
        <w:ind w:leftChars="200" w:firstLine="320" w:firstLineChars="100"/>
        <w:rPr>
          <w:rFonts w:hint="eastAsia" w:ascii="仿宋_GB2312" w:hAnsi="Times New Roman" w:eastAsia="仿宋_GB2312" w:cs="Times New Roman"/>
          <w:color w:val="000000"/>
          <w:kern w:val="2"/>
          <w:sz w:val="32"/>
          <w:szCs w:val="32"/>
          <w:lang w:val="en-US" w:eastAsia="zh-CN" w:bidi="ar-SA"/>
        </w:rPr>
      </w:pPr>
      <w:r>
        <w:rPr>
          <w:rFonts w:hint="eastAsia" w:ascii="仿宋_GB2312" w:hAnsi="Times New Roman" w:eastAsia="仿宋_GB2312" w:cs="Times New Roman"/>
          <w:color w:val="000000"/>
          <w:kern w:val="2"/>
          <w:sz w:val="32"/>
          <w:szCs w:val="32"/>
          <w:lang w:val="en-US" w:eastAsia="zh-CN" w:bidi="ar-SA"/>
        </w:rPr>
        <w:t>202</w:t>
      </w:r>
      <w:r>
        <w:rPr>
          <w:rFonts w:hint="eastAsia" w:ascii="仿宋_GB2312" w:eastAsia="仿宋_GB2312" w:cs="Times New Roman"/>
          <w:color w:val="000000"/>
          <w:kern w:val="2"/>
          <w:sz w:val="32"/>
          <w:szCs w:val="32"/>
          <w:lang w:val="en-US" w:eastAsia="zh-CN" w:bidi="ar-SA"/>
        </w:rPr>
        <w:t>5</w:t>
      </w:r>
      <w:r>
        <w:rPr>
          <w:rFonts w:hint="eastAsia" w:ascii="仿宋_GB2312" w:hAnsi="Times New Roman" w:eastAsia="仿宋_GB2312" w:cs="Times New Roman"/>
          <w:color w:val="000000"/>
          <w:kern w:val="2"/>
          <w:sz w:val="32"/>
          <w:szCs w:val="32"/>
          <w:lang w:val="en-US" w:eastAsia="zh-CN" w:bidi="ar-SA"/>
        </w:rPr>
        <w:t>年度，九寨沟县人民法院政府采购支出总额28</w:t>
      </w:r>
      <w:r>
        <w:rPr>
          <w:rFonts w:hint="eastAsia" w:ascii="仿宋_GB2312" w:eastAsia="仿宋_GB2312" w:cs="Times New Roman"/>
          <w:color w:val="000000"/>
          <w:kern w:val="2"/>
          <w:sz w:val="32"/>
          <w:szCs w:val="32"/>
          <w:lang w:val="en-US" w:eastAsia="zh-CN" w:bidi="ar-SA"/>
        </w:rPr>
        <w:t>5.87</w:t>
      </w:r>
      <w:r>
        <w:rPr>
          <w:rFonts w:hint="eastAsia" w:ascii="仿宋_GB2312" w:hAnsi="Times New Roman" w:eastAsia="仿宋_GB2312" w:cs="Times New Roman"/>
          <w:color w:val="000000"/>
          <w:kern w:val="2"/>
          <w:sz w:val="32"/>
          <w:szCs w:val="32"/>
          <w:lang w:val="en-US" w:eastAsia="zh-CN" w:bidi="ar-SA"/>
        </w:rPr>
        <w:t>万元，其中：政府采购货物支出2</w:t>
      </w:r>
      <w:r>
        <w:rPr>
          <w:rFonts w:hint="eastAsia" w:ascii="仿宋_GB2312" w:eastAsia="仿宋_GB2312" w:cs="Times New Roman"/>
          <w:color w:val="000000"/>
          <w:kern w:val="2"/>
          <w:sz w:val="32"/>
          <w:szCs w:val="32"/>
          <w:lang w:val="en-US" w:eastAsia="zh-CN" w:bidi="ar-SA"/>
        </w:rPr>
        <w:t>85.87</w:t>
      </w:r>
      <w:r>
        <w:rPr>
          <w:rFonts w:hint="eastAsia" w:ascii="仿宋_GB2312" w:hAnsi="Times New Roman" w:eastAsia="仿宋_GB2312" w:cs="Times New Roman"/>
          <w:color w:val="000000"/>
          <w:kern w:val="2"/>
          <w:sz w:val="32"/>
          <w:szCs w:val="32"/>
          <w:lang w:val="en-US" w:eastAsia="zh-CN" w:bidi="ar-SA"/>
        </w:rPr>
        <w:t>万元。</w:t>
      </w:r>
    </w:p>
    <w:p w14:paraId="2705F079">
      <w:pPr>
        <w:numPr>
          <w:ilvl w:val="0"/>
          <w:numId w:val="3"/>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lang w:val="en-US" w:eastAsia="zh-CN"/>
        </w:rPr>
      </w:pPr>
      <w:r>
        <w:rPr>
          <w:rFonts w:hint="eastAsia" w:ascii="仿宋" w:hAnsi="仿宋" w:eastAsia="仿宋"/>
          <w:b/>
          <w:color w:val="000000"/>
          <w:sz w:val="32"/>
          <w:szCs w:val="32"/>
          <w:lang w:val="en-US" w:eastAsia="zh-CN"/>
        </w:rPr>
        <w:t>国有资产占有使用情况</w:t>
      </w:r>
    </w:p>
    <w:p w14:paraId="001AE1E4">
      <w:pPr>
        <w:pStyle w:val="2"/>
        <w:numPr>
          <w:ilvl w:val="0"/>
          <w:numId w:val="0"/>
        </w:numPr>
        <w:ind w:leftChars="200" w:firstLine="320" w:firstLineChars="100"/>
        <w:rPr>
          <w:rFonts w:hint="default" w:ascii="仿宋_GB2312" w:hAnsi="Times New Roman" w:eastAsia="仿宋_GB2312" w:cs="Times New Roman"/>
          <w:color w:val="000000"/>
          <w:kern w:val="2"/>
          <w:sz w:val="32"/>
          <w:szCs w:val="32"/>
          <w:lang w:val="en-US" w:eastAsia="zh-CN" w:bidi="ar-SA"/>
        </w:rPr>
      </w:pPr>
      <w:r>
        <w:rPr>
          <w:rFonts w:hint="eastAsia" w:ascii="仿宋_GB2312" w:hAnsi="Times New Roman" w:eastAsia="仿宋_GB2312" w:cs="Times New Roman"/>
          <w:color w:val="000000"/>
          <w:kern w:val="2"/>
          <w:sz w:val="32"/>
          <w:szCs w:val="32"/>
          <w:lang w:val="en-US" w:eastAsia="zh-CN" w:bidi="ar-SA"/>
        </w:rPr>
        <w:t>截至202</w:t>
      </w:r>
      <w:r>
        <w:rPr>
          <w:rFonts w:hint="eastAsia" w:ascii="仿宋_GB2312" w:eastAsia="仿宋_GB2312" w:cs="Times New Roman"/>
          <w:color w:val="000000"/>
          <w:kern w:val="2"/>
          <w:sz w:val="32"/>
          <w:szCs w:val="32"/>
          <w:lang w:val="en-US" w:eastAsia="zh-CN" w:bidi="ar-SA"/>
        </w:rPr>
        <w:t>5</w:t>
      </w:r>
      <w:r>
        <w:rPr>
          <w:rFonts w:hint="eastAsia" w:ascii="仿宋_GB2312" w:hAnsi="Times New Roman" w:eastAsia="仿宋_GB2312" w:cs="Times New Roman"/>
          <w:color w:val="000000"/>
          <w:kern w:val="2"/>
          <w:sz w:val="32"/>
          <w:szCs w:val="32"/>
          <w:lang w:val="en-US" w:eastAsia="zh-CN" w:bidi="ar-SA"/>
        </w:rPr>
        <w:t>年12月31日，九寨沟县人民法院共有车辆12辆，其中：主要负责人1辆，巡回审判车1辆，执勤执法用车10辆。</w:t>
      </w:r>
    </w:p>
    <w:p w14:paraId="79DB0AF8">
      <w:pPr>
        <w:numPr>
          <w:ilvl w:val="0"/>
          <w:numId w:val="3"/>
        </w:numPr>
        <w:autoSpaceDE w:val="0"/>
        <w:autoSpaceDN w:val="0"/>
        <w:adjustRightInd w:val="0"/>
        <w:spacing w:line="600" w:lineRule="exact"/>
        <w:ind w:firstLine="643" w:firstLineChars="200"/>
        <w:jc w:val="left"/>
        <w:outlineLvl w:val="2"/>
        <w:rPr>
          <w:rFonts w:hint="eastAsia" w:ascii="仿宋" w:hAnsi="仿宋" w:eastAsia="仿宋"/>
          <w:b/>
          <w:color w:val="000000"/>
          <w:sz w:val="32"/>
          <w:szCs w:val="32"/>
          <w:lang w:val="en-US" w:eastAsia="zh-CN"/>
        </w:rPr>
      </w:pPr>
      <w:r>
        <w:rPr>
          <w:rFonts w:hint="eastAsia" w:ascii="仿宋" w:hAnsi="仿宋" w:eastAsia="仿宋"/>
          <w:b/>
          <w:color w:val="000000"/>
          <w:sz w:val="32"/>
          <w:szCs w:val="32"/>
          <w:lang w:val="en-US" w:eastAsia="zh-CN"/>
        </w:rPr>
        <w:t>预算绩效管理情况</w:t>
      </w:r>
    </w:p>
    <w:p w14:paraId="03FC206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w:t>
      </w:r>
      <w:r>
        <w:rPr>
          <w:rFonts w:hint="eastAsia" w:ascii="仿宋_GB2312" w:hAnsi="仿宋_GB2312" w:eastAsia="仿宋_GB2312" w:cs="仿宋_GB2312"/>
          <w:sz w:val="32"/>
          <w:szCs w:val="32"/>
          <w:lang w:val="en-US" w:eastAsia="zh-CN"/>
        </w:rPr>
        <w:t>我院</w:t>
      </w:r>
      <w:r>
        <w:rPr>
          <w:rFonts w:hint="eastAsia" w:ascii="仿宋_GB2312" w:hAnsi="仿宋_GB2312" w:eastAsia="仿宋_GB2312" w:cs="仿宋_GB2312"/>
          <w:sz w:val="32"/>
          <w:szCs w:val="32"/>
        </w:rPr>
        <w:t>在年初预算编制阶段，组织对</w:t>
      </w:r>
      <w:r>
        <w:rPr>
          <w:rFonts w:hint="eastAsia" w:ascii="仿宋_GB2312" w:hAnsi="仿宋_GB2312" w:eastAsia="仿宋_GB2312" w:cs="仿宋_GB2312"/>
          <w:sz w:val="32"/>
          <w:szCs w:val="32"/>
          <w:lang w:val="en-US" w:eastAsia="zh-CN"/>
        </w:rPr>
        <w:t>转移支付</w:t>
      </w:r>
      <w:r>
        <w:rPr>
          <w:rFonts w:hint="eastAsia" w:ascii="仿宋_GB2312" w:hAnsi="仿宋_GB2312" w:eastAsia="仿宋_GB2312" w:cs="仿宋_GB2312"/>
          <w:sz w:val="32"/>
          <w:szCs w:val="32"/>
        </w:rPr>
        <w:t>项目开展了预算事前绩效评估，对</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个项目编制了绩效目标，预算执行过程中，对</w:t>
      </w:r>
      <w:r>
        <w:rPr>
          <w:rFonts w:hint="eastAsia" w:ascii="仿宋_GB2312" w:hAnsi="仿宋_GB2312" w:eastAsia="仿宋_GB2312" w:cs="仿宋_GB2312"/>
          <w:sz w:val="32"/>
          <w:szCs w:val="32"/>
          <w:lang w:val="en-US" w:eastAsia="zh-CN"/>
        </w:rPr>
        <w:t>2025年转移支付</w:t>
      </w:r>
      <w:r>
        <w:rPr>
          <w:rFonts w:hint="eastAsia" w:ascii="仿宋_GB2312" w:hAnsi="仿宋_GB2312" w:eastAsia="仿宋_GB2312" w:cs="仿宋_GB2312"/>
          <w:sz w:val="32"/>
          <w:szCs w:val="32"/>
        </w:rPr>
        <w:t>项目开展了绩效目标完成情况自评。</w:t>
      </w:r>
    </w:p>
    <w:p w14:paraId="1EE232F8">
      <w:pPr>
        <w:spacing w:line="580" w:lineRule="exact"/>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年部门整体支出开展绩效自评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绩效自评报告详见附件。</w:t>
      </w:r>
    </w:p>
    <w:p w14:paraId="3C85447E">
      <w:pPr>
        <w:spacing w:line="580" w:lineRule="exact"/>
        <w:ind w:firstLine="640" w:firstLineChars="200"/>
        <w:rPr>
          <w:rFonts w:ascii="仿宋_GB2312" w:hAnsi="仿宋_GB2312" w:eastAsia="仿宋_GB2312" w:cs="仿宋_GB2312"/>
          <w:sz w:val="32"/>
          <w:szCs w:val="32"/>
        </w:rPr>
      </w:pPr>
    </w:p>
    <w:p w14:paraId="2753F6E1">
      <w:pPr>
        <w:spacing w:line="580" w:lineRule="exact"/>
        <w:ind w:firstLine="640" w:firstLineChars="200"/>
        <w:rPr>
          <w:rFonts w:ascii="仿宋_GB2312" w:hAnsi="仿宋_GB2312" w:eastAsia="仿宋_GB2312" w:cs="仿宋_GB2312"/>
          <w:sz w:val="32"/>
          <w:szCs w:val="32"/>
        </w:rPr>
      </w:pPr>
    </w:p>
    <w:p w14:paraId="01DF5547">
      <w:pPr>
        <w:widowControl/>
        <w:jc w:val="left"/>
        <w:rPr>
          <w:rFonts w:ascii="仿宋_GB2312" w:eastAsia="仿宋_GB2312"/>
          <w:b/>
          <w:color w:val="000000"/>
          <w:sz w:val="32"/>
          <w:szCs w:val="32"/>
        </w:rPr>
      </w:pPr>
      <w:r>
        <w:rPr>
          <w:rFonts w:ascii="仿宋_GB2312" w:eastAsia="仿宋_GB2312"/>
          <w:b/>
          <w:color w:val="000000"/>
          <w:sz w:val="32"/>
          <w:szCs w:val="32"/>
        </w:rPr>
        <w:br w:type="page"/>
      </w:r>
    </w:p>
    <w:p w14:paraId="052F08FC">
      <w:pPr>
        <w:numPr>
          <w:ilvl w:val="0"/>
          <w:numId w:val="4"/>
        </w:numPr>
        <w:spacing w:line="600" w:lineRule="exact"/>
        <w:ind w:firstLine="660" w:firstLineChars="150"/>
        <w:jc w:val="center"/>
        <w:outlineLvl w:val="0"/>
        <w:rPr>
          <w:rStyle w:val="25"/>
          <w:rFonts w:ascii="黑体" w:hAnsi="黑体" w:eastAsia="黑体"/>
          <w:b w:val="0"/>
        </w:rPr>
      </w:pPr>
      <w:bookmarkStart w:id="93" w:name="_Toc79163879"/>
      <w:bookmarkStart w:id="94" w:name="_Toc15396613"/>
      <w:bookmarkStart w:id="95" w:name="_Toc79163629"/>
      <w:bookmarkStart w:id="96" w:name="_Toc15377225"/>
      <w:r>
        <w:rPr>
          <w:rFonts w:hint="eastAsia" w:ascii="黑体" w:hAnsi="黑体" w:eastAsia="黑体"/>
          <w:color w:val="000000"/>
          <w:sz w:val="44"/>
          <w:szCs w:val="44"/>
        </w:rPr>
        <w:t>名</w:t>
      </w:r>
      <w:r>
        <w:rPr>
          <w:rStyle w:val="25"/>
          <w:rFonts w:hint="eastAsia" w:ascii="黑体" w:hAnsi="黑体" w:eastAsia="黑体"/>
          <w:b w:val="0"/>
        </w:rPr>
        <w:t>词解释</w:t>
      </w:r>
      <w:bookmarkEnd w:id="93"/>
      <w:bookmarkEnd w:id="94"/>
      <w:bookmarkEnd w:id="95"/>
      <w:bookmarkEnd w:id="96"/>
    </w:p>
    <w:p w14:paraId="55128B6A">
      <w:pPr>
        <w:spacing w:line="600" w:lineRule="exact"/>
        <w:jc w:val="left"/>
        <w:rPr>
          <w:rFonts w:ascii="宋体"/>
          <w:b/>
          <w:color w:val="000000"/>
          <w:sz w:val="44"/>
          <w:szCs w:val="44"/>
        </w:rPr>
      </w:pPr>
    </w:p>
    <w:p w14:paraId="7CC0B621">
      <w:pPr>
        <w:pStyle w:val="35"/>
        <w:spacing w:line="560" w:lineRule="exact"/>
        <w:ind w:firstLine="640" w:firstLineChars="200"/>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37C0DFA9">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2.</w:t>
      </w:r>
      <w:r>
        <w:rPr>
          <w:rFonts w:hint="eastAsia" w:ascii="仿宋_GB2312" w:eastAsia="仿宋_GB2312"/>
          <w:sz w:val="32"/>
          <w:szCs w:val="32"/>
        </w:rPr>
        <w:t>事业收入：指事业单位开展专业业务活动及辅助活动取得的收入。</w:t>
      </w:r>
    </w:p>
    <w:p w14:paraId="028883BB">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3.</w:t>
      </w:r>
      <w:r>
        <w:rPr>
          <w:rFonts w:hint="eastAsia" w:ascii="仿宋_GB2312" w:eastAsia="仿宋_GB2312"/>
          <w:sz w:val="32"/>
          <w:szCs w:val="32"/>
        </w:rPr>
        <w:t>经营收入：指事业单位在专业业务活动及其辅助活动之外开展非独立核算经营活动取得的收入。</w:t>
      </w:r>
    </w:p>
    <w:p w14:paraId="2C4A4F0E">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4.</w:t>
      </w:r>
      <w:r>
        <w:rPr>
          <w:rFonts w:hint="eastAsia" w:ascii="仿宋_GB2312" w:eastAsia="仿宋_GB2312"/>
          <w:sz w:val="32"/>
          <w:szCs w:val="32"/>
        </w:rPr>
        <w:t>其他收入：指单位取得的除上述收入以外的各项收入。</w:t>
      </w:r>
    </w:p>
    <w:p w14:paraId="0F50E831">
      <w:pPr>
        <w:pStyle w:val="35"/>
        <w:spacing w:line="560" w:lineRule="exact"/>
        <w:ind w:firstLine="640" w:firstLineChars="200"/>
        <w:rPr>
          <w:rFonts w:ascii="仿宋_GB2312" w:eastAsia="仿宋_GB2312"/>
          <w:sz w:val="32"/>
          <w:szCs w:val="32"/>
        </w:rPr>
      </w:pPr>
      <w:r>
        <w:rPr>
          <w:rFonts w:ascii="仿宋_GB2312" w:eastAsia="仿宋_GB2312"/>
          <w:sz w:val="32"/>
          <w:szCs w:val="32"/>
        </w:rPr>
        <w:t>5.</w:t>
      </w:r>
      <w:r>
        <w:rPr>
          <w:rFonts w:hint="eastAsia" w:ascii="仿宋_GB2312" w:eastAsia="仿宋_GB2312"/>
          <w:sz w:val="32"/>
          <w:szCs w:val="32"/>
        </w:rPr>
        <w:t>用事业基金弥补收支差额：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w:t>
      </w:r>
      <w:r>
        <w:rPr>
          <w:rFonts w:ascii="仿宋_GB2312" w:eastAsia="仿宋_GB2312"/>
          <w:sz w:val="32"/>
          <w:szCs w:val="32"/>
        </w:rPr>
        <w:t xml:space="preserve"> </w:t>
      </w:r>
    </w:p>
    <w:p w14:paraId="6DE5D4DE">
      <w:pPr>
        <w:pStyle w:val="35"/>
        <w:spacing w:line="560" w:lineRule="exact"/>
        <w:ind w:firstLine="640" w:firstLineChars="200"/>
        <w:rPr>
          <w:rFonts w:ascii="仿宋_GB2312" w:eastAsia="仿宋_GB2312"/>
          <w:sz w:val="32"/>
          <w:szCs w:val="32"/>
        </w:rPr>
      </w:pPr>
      <w:r>
        <w:rPr>
          <w:rFonts w:ascii="仿宋_GB2312" w:eastAsia="仿宋_GB2312"/>
          <w:sz w:val="32"/>
          <w:szCs w:val="32"/>
        </w:rPr>
        <w:t>6.</w:t>
      </w:r>
      <w:r>
        <w:rPr>
          <w:rFonts w:hint="eastAsia" w:ascii="仿宋_GB2312" w:eastAsia="仿宋_GB2312"/>
          <w:sz w:val="32"/>
          <w:szCs w:val="32"/>
        </w:rPr>
        <w:t>年初结转和结余：指以前年度尚未完成、结转到本年按有关规定继续使用的资金。</w:t>
      </w:r>
      <w:r>
        <w:rPr>
          <w:rFonts w:ascii="仿宋_GB2312" w:eastAsia="仿宋_GB2312"/>
          <w:sz w:val="32"/>
          <w:szCs w:val="32"/>
        </w:rPr>
        <w:t xml:space="preserve"> </w:t>
      </w:r>
    </w:p>
    <w:p w14:paraId="4CC7B8E6">
      <w:pPr>
        <w:pStyle w:val="35"/>
        <w:spacing w:line="560" w:lineRule="exact"/>
        <w:ind w:firstLine="640" w:firstLineChars="200"/>
        <w:rPr>
          <w:rFonts w:ascii="仿宋_GB2312" w:eastAsia="仿宋_GB2312"/>
          <w:sz w:val="32"/>
          <w:szCs w:val="32"/>
        </w:rPr>
      </w:pPr>
      <w:r>
        <w:rPr>
          <w:rFonts w:ascii="仿宋_GB2312" w:eastAsia="仿宋_GB2312"/>
          <w:sz w:val="32"/>
          <w:szCs w:val="32"/>
        </w:rPr>
        <w:t>7.</w:t>
      </w:r>
      <w:r>
        <w:rPr>
          <w:rFonts w:hint="eastAsia" w:ascii="仿宋_GB2312" w:eastAsia="仿宋_GB2312"/>
          <w:sz w:val="32"/>
          <w:szCs w:val="32"/>
        </w:rPr>
        <w:t>结余分配：指事业单位按照事业单位会计制度的规定从非财政补助结余中分配的事业基金和职工福利基金等。</w:t>
      </w:r>
    </w:p>
    <w:p w14:paraId="288B865C">
      <w:pPr>
        <w:pStyle w:val="35"/>
        <w:spacing w:line="560" w:lineRule="exact"/>
        <w:ind w:firstLine="640" w:firstLineChars="200"/>
        <w:rPr>
          <w:rFonts w:hint="eastAsia" w:ascii="仿宋_GB2312" w:eastAsia="仿宋_GB2312"/>
          <w:sz w:val="32"/>
          <w:szCs w:val="32"/>
        </w:rPr>
      </w:pPr>
      <w:r>
        <w:rPr>
          <w:rFonts w:ascii="仿宋_GB2312" w:eastAsia="仿宋_GB2312"/>
          <w:sz w:val="32"/>
          <w:szCs w:val="32"/>
        </w:rPr>
        <w:t>8</w:t>
      </w:r>
      <w:r>
        <w:rPr>
          <w:rFonts w:hint="eastAsia" w:ascii="仿宋_GB2312" w:eastAsia="仿宋_GB2312"/>
          <w:sz w:val="32"/>
          <w:szCs w:val="32"/>
          <w:lang w:val="en-US" w:eastAsia="zh-CN"/>
        </w:rPr>
        <w:t>.</w:t>
      </w:r>
      <w:r>
        <w:rPr>
          <w:rFonts w:hint="eastAsia" w:ascii="仿宋_GB2312" w:eastAsia="仿宋_GB2312"/>
          <w:sz w:val="32"/>
          <w:szCs w:val="32"/>
        </w:rPr>
        <w:t>年末结转和结余：指单位按有关规定结转到下年或以后年度继续使用的资金。</w:t>
      </w:r>
    </w:p>
    <w:p w14:paraId="384528F4">
      <w:pPr>
        <w:ind w:firstLine="640" w:firstLineChars="200"/>
        <w:rPr>
          <w:rFonts w:ascii="仿宋_GB2312" w:eastAsia="仿宋_GB2312"/>
          <w:color w:val="000000"/>
          <w:sz w:val="32"/>
          <w:szCs w:val="32"/>
        </w:rPr>
      </w:pPr>
      <w:r>
        <w:rPr>
          <w:rFonts w:ascii="仿宋_GB2312" w:eastAsia="仿宋_GB2312"/>
          <w:color w:val="000000"/>
          <w:sz w:val="32"/>
          <w:szCs w:val="32"/>
        </w:rPr>
        <w:t>9.</w:t>
      </w:r>
      <w:r>
        <w:rPr>
          <w:rFonts w:hint="eastAsia" w:ascii="仿宋_GB2312" w:eastAsia="仿宋_GB2312"/>
          <w:color w:val="000000"/>
          <w:sz w:val="32"/>
          <w:szCs w:val="32"/>
          <w:lang w:eastAsia="zh-CN"/>
        </w:rPr>
        <w:t>公共安全支出</w:t>
      </w:r>
      <w:r>
        <w:rPr>
          <w:rFonts w:hint="eastAsia" w:ascii="仿宋_GB2312" w:eastAsia="仿宋_GB2312"/>
          <w:color w:val="000000"/>
          <w:sz w:val="32"/>
          <w:szCs w:val="32"/>
          <w:lang w:val="en-US" w:eastAsia="zh-CN"/>
        </w:rPr>
        <w:t>(</w:t>
      </w:r>
      <w:r>
        <w:rPr>
          <w:rFonts w:hint="eastAsia" w:ascii="仿宋_GB2312" w:eastAsia="仿宋_GB2312"/>
          <w:color w:val="000000"/>
          <w:sz w:val="32"/>
          <w:szCs w:val="32"/>
        </w:rPr>
        <w:t>20</w:t>
      </w:r>
      <w:r>
        <w:rPr>
          <w:rFonts w:hint="eastAsia" w:ascii="仿宋_GB2312" w:eastAsia="仿宋_GB2312"/>
          <w:color w:val="000000"/>
          <w:sz w:val="32"/>
          <w:szCs w:val="32"/>
          <w:lang w:val="en-US" w:eastAsia="zh-CN"/>
        </w:rPr>
        <w:t>4)法院（</w:t>
      </w:r>
      <w:r>
        <w:rPr>
          <w:rFonts w:hint="eastAsia" w:ascii="仿宋_GB2312" w:eastAsia="仿宋_GB2312"/>
          <w:color w:val="000000"/>
          <w:sz w:val="32"/>
          <w:szCs w:val="32"/>
        </w:rPr>
        <w:t>0</w:t>
      </w:r>
      <w:r>
        <w:rPr>
          <w:rFonts w:hint="eastAsia" w:ascii="仿宋_GB2312" w:eastAsia="仿宋_GB2312"/>
          <w:color w:val="000000"/>
          <w:sz w:val="32"/>
          <w:szCs w:val="32"/>
          <w:lang w:val="en-US" w:eastAsia="zh-CN"/>
        </w:rPr>
        <w:t>5）行政运行（</w:t>
      </w:r>
      <w:r>
        <w:rPr>
          <w:rFonts w:hint="eastAsia" w:ascii="仿宋_GB2312" w:eastAsia="仿宋_GB2312"/>
          <w:color w:val="000000"/>
          <w:sz w:val="32"/>
          <w:szCs w:val="32"/>
        </w:rPr>
        <w:t>01</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保障</w:t>
      </w:r>
      <w:r>
        <w:rPr>
          <w:rStyle w:val="23"/>
          <w:rFonts w:hint="eastAsia" w:ascii="仿宋_GB2312" w:eastAsia="仿宋_GB2312"/>
          <w:b w:val="0"/>
          <w:color w:val="000000"/>
          <w:sz w:val="32"/>
          <w:szCs w:val="32"/>
        </w:rPr>
        <w:t>行政运行</w:t>
      </w:r>
      <w:r>
        <w:rPr>
          <w:rStyle w:val="23"/>
          <w:rFonts w:hint="eastAsia" w:ascii="仿宋_GB2312" w:eastAsia="仿宋_GB2312"/>
          <w:b w:val="0"/>
          <w:color w:val="000000"/>
          <w:sz w:val="32"/>
          <w:szCs w:val="32"/>
          <w:lang w:eastAsia="zh-CN"/>
        </w:rPr>
        <w:t>的经费</w:t>
      </w:r>
      <w:r>
        <w:rPr>
          <w:rFonts w:hint="eastAsia" w:ascii="仿宋_GB2312" w:eastAsia="仿宋_GB2312"/>
          <w:color w:val="000000"/>
          <w:sz w:val="32"/>
          <w:szCs w:val="32"/>
        </w:rPr>
        <w:t>。</w:t>
      </w:r>
    </w:p>
    <w:p w14:paraId="1745D400">
      <w:pPr>
        <w:ind w:firstLine="640" w:firstLineChars="200"/>
      </w:pPr>
      <w:r>
        <w:rPr>
          <w:rFonts w:ascii="仿宋_GB2312" w:eastAsia="仿宋_GB2312"/>
          <w:color w:val="000000"/>
          <w:sz w:val="32"/>
          <w:szCs w:val="32"/>
        </w:rPr>
        <w:t>1</w:t>
      </w:r>
      <w:r>
        <w:rPr>
          <w:rFonts w:hint="eastAsia" w:ascii="仿宋_GB2312" w:eastAsia="仿宋_GB2312"/>
          <w:color w:val="000000"/>
          <w:sz w:val="32"/>
          <w:szCs w:val="32"/>
          <w:lang w:val="en-US" w:eastAsia="zh-CN"/>
        </w:rPr>
        <w:t>0</w:t>
      </w:r>
      <w:r>
        <w:rPr>
          <w:rFonts w:ascii="仿宋_GB2312" w:eastAsia="仿宋_GB2312"/>
          <w:color w:val="000000"/>
          <w:sz w:val="32"/>
          <w:szCs w:val="32"/>
        </w:rPr>
        <w:t>.</w:t>
      </w:r>
      <w:r>
        <w:rPr>
          <w:rFonts w:hint="eastAsia" w:ascii="仿宋_GB2312" w:eastAsia="仿宋_GB2312"/>
          <w:sz w:val="32"/>
          <w:szCs w:val="32"/>
        </w:rPr>
        <w:t>社会保障和就业（208）行政事业单位离退休（05）机关事业单位基本养老保险缴费支出（05）：</w:t>
      </w:r>
      <w:r>
        <w:rPr>
          <w:rStyle w:val="23"/>
          <w:rFonts w:hint="eastAsia" w:ascii="仿宋_GB2312" w:eastAsia="仿宋_GB2312"/>
          <w:b w:val="0"/>
          <w:sz w:val="32"/>
          <w:szCs w:val="32"/>
        </w:rPr>
        <w:t>机关事业单位基本养老保险缴费支出</w:t>
      </w:r>
      <w:r>
        <w:rPr>
          <w:rFonts w:hint="eastAsia" w:ascii="仿宋_GB2312" w:eastAsia="仿宋_GB2312"/>
          <w:color w:val="000000"/>
          <w:sz w:val="32"/>
          <w:szCs w:val="32"/>
        </w:rPr>
        <w:t>。</w:t>
      </w:r>
    </w:p>
    <w:p w14:paraId="60F2C586">
      <w:pPr>
        <w:ind w:firstLine="640" w:firstLineChars="200"/>
        <w:rPr>
          <w:rFonts w:hint="eastAsia" w:ascii="仿宋_GB2312" w:eastAsia="仿宋_GB2312"/>
          <w:color w:val="000000"/>
          <w:sz w:val="32"/>
          <w:szCs w:val="32"/>
        </w:rPr>
      </w:pPr>
      <w:r>
        <w:rPr>
          <w:rFonts w:ascii="仿宋_GB2312" w:eastAsia="仿宋_GB2312"/>
          <w:color w:val="000000"/>
          <w:sz w:val="32"/>
          <w:szCs w:val="32"/>
        </w:rPr>
        <w:t>1</w:t>
      </w:r>
      <w:r>
        <w:rPr>
          <w:rFonts w:hint="eastAsia" w:ascii="仿宋_GB2312" w:eastAsia="仿宋_GB2312"/>
          <w:color w:val="000000"/>
          <w:sz w:val="32"/>
          <w:szCs w:val="32"/>
          <w:lang w:val="en-US" w:eastAsia="zh-CN"/>
        </w:rPr>
        <w:t>1</w:t>
      </w:r>
      <w:r>
        <w:rPr>
          <w:rFonts w:ascii="仿宋_GB2312" w:eastAsia="仿宋_GB2312"/>
          <w:color w:val="000000"/>
          <w:sz w:val="32"/>
          <w:szCs w:val="32"/>
        </w:rPr>
        <w:t>.</w:t>
      </w:r>
      <w:r>
        <w:rPr>
          <w:rFonts w:hint="eastAsia" w:ascii="仿宋_GB2312" w:eastAsia="仿宋_GB2312"/>
          <w:color w:val="000000"/>
          <w:sz w:val="32"/>
          <w:szCs w:val="32"/>
        </w:rPr>
        <w:t>医疗卫生与计划生育（210）行政事业单位医疗（11）行政单位医疗（01）</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行政单位医疗保险</w:t>
      </w:r>
      <w:r>
        <w:rPr>
          <w:rFonts w:hint="eastAsia" w:ascii="仿宋_GB2312" w:eastAsia="仿宋_GB2312"/>
          <w:color w:val="000000"/>
          <w:sz w:val="32"/>
          <w:szCs w:val="32"/>
        </w:rPr>
        <w:t>。</w:t>
      </w:r>
    </w:p>
    <w:p w14:paraId="781009EE">
      <w:pPr>
        <w:ind w:firstLine="640" w:firstLineChars="200"/>
        <w:rPr>
          <w:rFonts w:hint="eastAsia" w:ascii="仿宋_GB2312" w:eastAsia="仿宋_GB2312"/>
          <w:color w:val="000000"/>
          <w:sz w:val="32"/>
          <w:szCs w:val="32"/>
          <w:lang w:eastAsia="zh-CN"/>
        </w:rPr>
      </w:pPr>
      <w:r>
        <w:rPr>
          <w:rFonts w:ascii="仿宋_GB2312" w:eastAsia="仿宋_GB2312"/>
          <w:color w:val="000000"/>
          <w:sz w:val="32"/>
          <w:szCs w:val="32"/>
        </w:rPr>
        <w:t>1</w:t>
      </w:r>
      <w:r>
        <w:rPr>
          <w:rFonts w:hint="eastAsia" w:ascii="仿宋_GB2312" w:eastAsia="仿宋_GB2312"/>
          <w:color w:val="000000"/>
          <w:sz w:val="32"/>
          <w:szCs w:val="32"/>
          <w:lang w:val="en-US" w:eastAsia="zh-CN"/>
        </w:rPr>
        <w:t>2</w:t>
      </w:r>
      <w:r>
        <w:rPr>
          <w:rFonts w:ascii="仿宋_GB2312" w:eastAsia="仿宋_GB2312"/>
          <w:color w:val="000000"/>
          <w:sz w:val="32"/>
          <w:szCs w:val="32"/>
        </w:rPr>
        <w:t>.</w:t>
      </w:r>
      <w:r>
        <w:rPr>
          <w:rFonts w:hint="eastAsia" w:ascii="仿宋_GB2312" w:eastAsia="仿宋_GB2312"/>
          <w:color w:val="000000"/>
          <w:sz w:val="32"/>
          <w:szCs w:val="32"/>
        </w:rPr>
        <w:t>医疗卫生与计划生育（210）行政事业单位医疗（11）公务员医疗补助（03）</w:t>
      </w:r>
      <w:r>
        <w:rPr>
          <w:rFonts w:hint="eastAsia" w:ascii="仿宋_GB2312" w:eastAsia="仿宋_GB2312"/>
          <w:color w:val="000000"/>
          <w:sz w:val="32"/>
          <w:szCs w:val="32"/>
          <w:lang w:eastAsia="zh-CN"/>
        </w:rPr>
        <w:t>：</w:t>
      </w:r>
      <w:r>
        <w:rPr>
          <w:rFonts w:hint="eastAsia" w:ascii="仿宋_GB2312" w:eastAsia="仿宋_GB2312"/>
          <w:color w:val="000000"/>
          <w:sz w:val="32"/>
          <w:szCs w:val="32"/>
        </w:rPr>
        <w:t>指</w:t>
      </w:r>
      <w:r>
        <w:rPr>
          <w:rFonts w:hint="eastAsia" w:ascii="仿宋_GB2312" w:eastAsia="仿宋_GB2312"/>
          <w:color w:val="000000"/>
          <w:sz w:val="32"/>
          <w:szCs w:val="32"/>
          <w:lang w:eastAsia="zh-CN"/>
        </w:rPr>
        <w:t>公务员医疗补助。</w:t>
      </w:r>
    </w:p>
    <w:p w14:paraId="180EC9AF">
      <w:pPr>
        <w:pStyle w:val="35"/>
        <w:spacing w:line="560" w:lineRule="exact"/>
        <w:ind w:firstLine="640" w:firstLineChars="200"/>
        <w:rPr>
          <w:rFonts w:hint="eastAsia" w:ascii="仿宋_GB2312" w:eastAsia="仿宋_GB2312"/>
          <w:sz w:val="32"/>
          <w:szCs w:val="32"/>
        </w:rPr>
      </w:pPr>
      <w:r>
        <w:rPr>
          <w:rFonts w:hint="eastAsia" w:ascii="仿宋_GB2312" w:eastAsia="仿宋_GB2312"/>
          <w:color w:val="000000"/>
          <w:sz w:val="32"/>
          <w:szCs w:val="32"/>
          <w:lang w:val="en-US" w:eastAsia="zh-CN"/>
        </w:rPr>
        <w:t>13</w:t>
      </w:r>
      <w:r>
        <w:rPr>
          <w:rFonts w:ascii="仿宋_GB2312" w:eastAsia="仿宋_GB2312"/>
          <w:color w:val="000000"/>
          <w:sz w:val="32"/>
          <w:szCs w:val="32"/>
        </w:rPr>
        <w:t>.</w:t>
      </w:r>
      <w:r>
        <w:rPr>
          <w:rFonts w:hint="eastAsia" w:ascii="仿宋_GB2312" w:eastAsia="仿宋_GB2312"/>
          <w:color w:val="000000"/>
          <w:sz w:val="32"/>
          <w:szCs w:val="32"/>
        </w:rPr>
        <w:t>住房保障支出（221）住房改革支出（02）住房公积金（01）：指</w:t>
      </w:r>
      <w:r>
        <w:rPr>
          <w:rFonts w:hint="eastAsia" w:ascii="仿宋_GB2312" w:eastAsia="仿宋_GB2312"/>
          <w:color w:val="000000"/>
          <w:sz w:val="32"/>
          <w:szCs w:val="32"/>
          <w:lang w:eastAsia="zh-CN"/>
        </w:rPr>
        <w:t>住房公积金</w:t>
      </w:r>
      <w:r>
        <w:rPr>
          <w:rFonts w:hint="eastAsia" w:ascii="仿宋_GB2312" w:eastAsia="仿宋_GB2312"/>
          <w:color w:val="000000"/>
          <w:sz w:val="32"/>
          <w:szCs w:val="32"/>
        </w:rPr>
        <w:t>。</w:t>
      </w:r>
    </w:p>
    <w:p w14:paraId="4F21D4C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14.</w:t>
      </w:r>
      <w:r>
        <w:rPr>
          <w:rFonts w:hint="eastAsia" w:ascii="仿宋_GB2312" w:eastAsia="仿宋_GB2312"/>
          <w:color w:val="000000"/>
          <w:sz w:val="32"/>
          <w:szCs w:val="32"/>
        </w:rPr>
        <w:t>基本支出：指为保障机构正常运转、完成日常工作任务而发生的人员支出和公用支出。</w:t>
      </w:r>
    </w:p>
    <w:p w14:paraId="34937A7C">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15.</w:t>
      </w:r>
      <w:r>
        <w:rPr>
          <w:rFonts w:hint="eastAsia" w:ascii="仿宋_GB2312" w:eastAsia="仿宋_GB2312"/>
          <w:color w:val="000000"/>
          <w:sz w:val="32"/>
          <w:szCs w:val="32"/>
        </w:rPr>
        <w:t>项目支出：指在基本支出之外为完成特定行政任务和事业发展目标所发生的支出。</w:t>
      </w:r>
      <w:r>
        <w:rPr>
          <w:rFonts w:ascii="仿宋_GB2312" w:eastAsia="仿宋_GB2312"/>
          <w:color w:val="000000"/>
          <w:sz w:val="32"/>
          <w:szCs w:val="32"/>
        </w:rPr>
        <w:t xml:space="preserve"> </w:t>
      </w:r>
    </w:p>
    <w:p w14:paraId="7968A398">
      <w:pPr>
        <w:ind w:firstLine="640" w:firstLineChars="200"/>
        <w:rPr>
          <w:rFonts w:ascii="仿宋_GB2312" w:eastAsia="仿宋_GB2312"/>
          <w:color w:val="000000"/>
          <w:sz w:val="32"/>
          <w:szCs w:val="32"/>
        </w:rPr>
      </w:pPr>
      <w:r>
        <w:rPr>
          <w:rFonts w:hint="eastAsia" w:ascii="仿宋_GB2312" w:eastAsia="仿宋_GB2312"/>
          <w:color w:val="000000"/>
          <w:sz w:val="32"/>
          <w:szCs w:val="32"/>
          <w:lang w:val="en-US" w:eastAsia="zh-CN"/>
        </w:rPr>
        <w:t>16.</w:t>
      </w:r>
      <w:r>
        <w:rPr>
          <w:rFonts w:hint="eastAsia" w:ascii="仿宋_GB2312" w:eastAsia="仿宋_GB2312"/>
          <w:color w:val="000000"/>
          <w:sz w:val="32"/>
          <w:szCs w:val="32"/>
        </w:rPr>
        <w:t>经营支出：指事业单位在专业业务活动及其辅助活动之外开展非独立核算经营活动发生的支出。</w:t>
      </w:r>
    </w:p>
    <w:p w14:paraId="6D8DE2B5">
      <w:pPr>
        <w:pStyle w:val="35"/>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17.</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2797B2">
      <w:pPr>
        <w:pStyle w:val="35"/>
        <w:spacing w:line="560" w:lineRule="exact"/>
        <w:ind w:firstLine="640" w:firstLineChars="200"/>
        <w:rPr>
          <w:rFonts w:ascii="仿宋_GB2312" w:eastAsia="仿宋_GB2312"/>
          <w:sz w:val="32"/>
          <w:szCs w:val="32"/>
        </w:rPr>
      </w:pPr>
      <w:r>
        <w:rPr>
          <w:rFonts w:hint="eastAsia" w:ascii="仿宋_GB2312" w:eastAsia="仿宋_GB2312"/>
          <w:sz w:val="32"/>
          <w:szCs w:val="32"/>
          <w:lang w:val="en-US" w:eastAsia="zh-CN"/>
        </w:rPr>
        <w:t>18.</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7218BB7B">
      <w:pPr>
        <w:spacing w:line="600" w:lineRule="exact"/>
        <w:jc w:val="center"/>
        <w:outlineLvl w:val="0"/>
        <w:rPr>
          <w:rStyle w:val="25"/>
          <w:rFonts w:ascii="黑体" w:hAnsi="黑体" w:eastAsia="黑体"/>
          <w:b w:val="0"/>
        </w:rPr>
      </w:pPr>
      <w:bookmarkStart w:id="97" w:name="_Toc15377226"/>
      <w:r>
        <w:rPr>
          <w:rFonts w:ascii="宋体"/>
          <w:b/>
          <w:color w:val="000000"/>
          <w:sz w:val="44"/>
          <w:szCs w:val="44"/>
        </w:rPr>
        <w:br w:type="page"/>
      </w:r>
      <w:bookmarkStart w:id="98" w:name="_Toc15396614"/>
      <w:bookmarkStart w:id="99" w:name="_Toc79163630"/>
      <w:bookmarkStart w:id="100" w:name="_Toc79163880"/>
      <w:r>
        <w:rPr>
          <w:rFonts w:hint="eastAsia" w:ascii="黑体" w:hAnsi="黑体" w:eastAsia="黑体"/>
          <w:color w:val="000000"/>
          <w:sz w:val="44"/>
          <w:szCs w:val="44"/>
        </w:rPr>
        <w:t>第</w:t>
      </w:r>
      <w:r>
        <w:rPr>
          <w:rStyle w:val="25"/>
          <w:rFonts w:hint="eastAsia" w:ascii="黑体" w:hAnsi="黑体" w:eastAsia="黑体"/>
          <w:b w:val="0"/>
        </w:rPr>
        <w:t>四部分</w:t>
      </w:r>
      <w:r>
        <w:rPr>
          <w:rStyle w:val="25"/>
          <w:rFonts w:ascii="黑体" w:hAnsi="黑体" w:eastAsia="黑体"/>
          <w:b w:val="0"/>
        </w:rPr>
        <w:t xml:space="preserve"> </w:t>
      </w:r>
      <w:r>
        <w:rPr>
          <w:rStyle w:val="25"/>
          <w:rFonts w:hint="eastAsia" w:ascii="黑体" w:hAnsi="黑体" w:eastAsia="黑体"/>
          <w:b w:val="0"/>
        </w:rPr>
        <w:t>附件</w:t>
      </w:r>
      <w:bookmarkEnd w:id="98"/>
      <w:bookmarkEnd w:id="99"/>
      <w:bookmarkEnd w:id="100"/>
    </w:p>
    <w:p w14:paraId="5D6C6CA2">
      <w:pPr>
        <w:spacing w:line="600" w:lineRule="exact"/>
        <w:jc w:val="left"/>
        <w:outlineLvl w:val="0"/>
        <w:rPr>
          <w:rFonts w:ascii="黑体" w:hAnsi="黑体" w:eastAsia="黑体" w:cs="黑体"/>
          <w:sz w:val="32"/>
          <w:szCs w:val="32"/>
        </w:rPr>
      </w:pPr>
      <w:bookmarkStart w:id="101" w:name="_Toc79163881"/>
      <w:bookmarkStart w:id="102" w:name="_Toc79163631"/>
      <w:r>
        <w:rPr>
          <w:rFonts w:hint="eastAsia" w:ascii="黑体" w:hAnsi="黑体" w:eastAsia="黑体" w:cs="黑体"/>
          <w:sz w:val="32"/>
          <w:szCs w:val="32"/>
        </w:rPr>
        <w:t>附件</w:t>
      </w:r>
      <w:r>
        <w:rPr>
          <w:rFonts w:ascii="黑体" w:hAnsi="黑体" w:eastAsia="黑体" w:cs="黑体"/>
          <w:sz w:val="32"/>
          <w:szCs w:val="32"/>
        </w:rPr>
        <w:t>1</w:t>
      </w:r>
      <w:bookmarkEnd w:id="101"/>
      <w:bookmarkEnd w:id="102"/>
    </w:p>
    <w:p w14:paraId="19DB8E23">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eastAsia" w:ascii="Times New Roman" w:hAnsi="Times New Roman" w:eastAsia="方正小标宋简体" w:cs="Times New Roman"/>
          <w:b w:val="0"/>
          <w:bCs/>
          <w:sz w:val="44"/>
          <w:szCs w:val="44"/>
          <w:highlight w:val="none"/>
          <w:shd w:val="clear" w:color="auto" w:fill="FFFFFF"/>
          <w:lang w:val="en-US" w:eastAsia="zh-CN"/>
        </w:rPr>
      </w:pPr>
      <w:bookmarkStart w:id="103" w:name="_Toc79163633"/>
      <w:bookmarkStart w:id="104" w:name="_Toc79163883"/>
      <w:r>
        <w:rPr>
          <w:rFonts w:hint="default" w:ascii="Times New Roman" w:hAnsi="Times New Roman" w:eastAsia="方正小标宋简体" w:cs="Times New Roman"/>
          <w:b w:val="0"/>
          <w:bCs/>
          <w:sz w:val="44"/>
          <w:szCs w:val="44"/>
          <w:highlight w:val="none"/>
          <w:shd w:val="clear" w:color="auto" w:fill="FFFFFF"/>
          <w:lang w:val="en-US" w:eastAsia="zh-CN"/>
        </w:rPr>
        <w:t>九寨沟县人民法院</w:t>
      </w:r>
      <w:r>
        <w:rPr>
          <w:rFonts w:hint="eastAsia" w:ascii="Times New Roman" w:hAnsi="Times New Roman" w:eastAsia="方正小标宋简体" w:cs="Times New Roman"/>
          <w:b w:val="0"/>
          <w:bCs/>
          <w:sz w:val="44"/>
          <w:szCs w:val="44"/>
          <w:highlight w:val="none"/>
          <w:shd w:val="clear" w:color="auto" w:fill="FFFFFF"/>
          <w:lang w:val="en-US" w:eastAsia="zh-CN"/>
        </w:rPr>
        <w:t>2025年</w:t>
      </w:r>
    </w:p>
    <w:p w14:paraId="5F3D57BF">
      <w:pPr>
        <w:keepNext w:val="0"/>
        <w:keepLines w:val="0"/>
        <w:pageBreakBefore w:val="0"/>
        <w:widowControl/>
        <w:kinsoku/>
        <w:wordWrap/>
        <w:overflowPunct/>
        <w:topLinePunct w:val="0"/>
        <w:autoSpaceDE/>
        <w:autoSpaceDN/>
        <w:bidi w:val="0"/>
        <w:adjustRightInd/>
        <w:snapToGrid/>
        <w:spacing w:line="600" w:lineRule="exact"/>
        <w:ind w:firstLine="0" w:firstLineChars="0"/>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r>
        <w:rPr>
          <w:rFonts w:hint="default" w:ascii="Times New Roman" w:hAnsi="Times New Roman" w:eastAsia="方正小标宋简体" w:cs="Times New Roman"/>
          <w:b w:val="0"/>
          <w:bCs/>
          <w:sz w:val="44"/>
          <w:szCs w:val="44"/>
          <w:highlight w:val="none"/>
          <w:shd w:val="clear" w:color="auto" w:fill="FFFFFF"/>
          <w:lang w:eastAsia="zh-CN"/>
        </w:rPr>
        <w:t>部</w:t>
      </w:r>
      <w:r>
        <w:rPr>
          <w:rFonts w:hint="default" w:ascii="Times New Roman" w:hAnsi="Times New Roman" w:eastAsia="方正小标宋简体" w:cs="Times New Roman"/>
          <w:b w:val="0"/>
          <w:bCs/>
          <w:sz w:val="44"/>
          <w:szCs w:val="44"/>
          <w:highlight w:val="none"/>
          <w:shd w:val="clear" w:color="auto" w:fill="FFFFFF"/>
        </w:rPr>
        <w:t>门</w:t>
      </w:r>
      <w:r>
        <w:rPr>
          <w:rFonts w:hint="default" w:ascii="Times New Roman" w:hAnsi="Times New Roman" w:eastAsia="方正小标宋简体" w:cs="Times New Roman"/>
          <w:b w:val="0"/>
          <w:bCs/>
          <w:sz w:val="44"/>
          <w:szCs w:val="44"/>
          <w:highlight w:val="none"/>
          <w:shd w:val="clear" w:color="auto" w:fill="FFFFFF"/>
          <w:lang w:eastAsia="zh-CN"/>
        </w:rPr>
        <w:t>预算</w:t>
      </w:r>
      <w:r>
        <w:rPr>
          <w:rFonts w:hint="default"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hint="default" w:ascii="Times New Roman" w:hAnsi="Times New Roman" w:eastAsia="方正小标宋简体" w:cs="Times New Roman"/>
          <w:b w:val="0"/>
          <w:bCs/>
          <w:sz w:val="44"/>
          <w:szCs w:val="44"/>
          <w:highlight w:val="none"/>
          <w:shd w:val="clear" w:color="auto" w:fill="FFFFFF"/>
        </w:rPr>
        <w:t>报告</w:t>
      </w:r>
    </w:p>
    <w:p w14:paraId="7BE752FB">
      <w:pPr>
        <w:keepNext w:val="0"/>
        <w:keepLines w:val="0"/>
        <w:pageBreakBefore w:val="0"/>
        <w:widowControl/>
        <w:kinsoku/>
        <w:wordWrap/>
        <w:overflowPunct/>
        <w:topLinePunct w:val="0"/>
        <w:autoSpaceDE/>
        <w:autoSpaceDN/>
        <w:bidi w:val="0"/>
        <w:spacing w:line="600" w:lineRule="exact"/>
        <w:contextualSpacing/>
        <w:jc w:val="center"/>
        <w:textAlignment w:val="auto"/>
        <w:outlineLvl w:val="9"/>
        <w:rPr>
          <w:rFonts w:hint="default" w:ascii="Times New Roman" w:hAnsi="Times New Roman" w:cs="Times New Roman"/>
          <w:szCs w:val="32"/>
          <w:highlight w:val="none"/>
          <w:shd w:val="clear" w:color="auto" w:fill="FFFFFF"/>
        </w:rPr>
      </w:pPr>
    </w:p>
    <w:p w14:paraId="25ED173F">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hint="default" w:ascii="Times New Roman" w:hAnsi="Times New Roman" w:eastAsia="黑体" w:cs="Times New Roman"/>
          <w:color w:val="000000"/>
          <w:kern w:val="0"/>
          <w:sz w:val="32"/>
          <w:szCs w:val="32"/>
          <w:highlight w:val="none"/>
          <w:shd w:val="clear" w:color="auto" w:fill="FFFFFF"/>
          <w:lang w:val="zh-CN"/>
        </w:rPr>
        <w:t>部门（单位）基本情况</w:t>
      </w:r>
    </w:p>
    <w:p w14:paraId="55061361">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（一）</w:t>
      </w:r>
      <w:r>
        <w:rPr>
          <w:rFonts w:hint="default" w:ascii="Times New Roman" w:hAnsi="Times New Roman" w:eastAsia="楷体_GB2312" w:cs="Times New Roman"/>
          <w:b/>
          <w:bCs/>
          <w:color w:val="000000"/>
          <w:kern w:val="0"/>
          <w:sz w:val="32"/>
          <w:szCs w:val="32"/>
          <w:highlight w:val="none"/>
          <w:shd w:val="clear" w:color="auto" w:fill="FFFFFF"/>
          <w:lang w:val="zh-CN"/>
        </w:rPr>
        <w:t>机构组成</w:t>
      </w:r>
    </w:p>
    <w:p w14:paraId="00DF6385">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九寨沟县人民法院</w:t>
      </w:r>
      <w:r>
        <w:rPr>
          <w:rFonts w:hint="eastAsia" w:ascii="Times New Roman" w:hAnsi="Times New Roman" w:eastAsia="仿宋_GB2312" w:cs="Times New Roman"/>
          <w:color w:val="000000"/>
          <w:sz w:val="32"/>
          <w:szCs w:val="32"/>
          <w:highlight w:val="none"/>
          <w:lang w:val="en-US" w:eastAsia="zh-CN" w:bidi="ar-SA"/>
        </w:rPr>
        <w:t>（后文简称“我院”）</w:t>
      </w:r>
      <w:r>
        <w:rPr>
          <w:rFonts w:hint="default" w:ascii="Times New Roman" w:hAnsi="Times New Roman" w:eastAsia="仿宋_GB2312" w:cs="Times New Roman"/>
          <w:color w:val="000000"/>
          <w:sz w:val="32"/>
          <w:szCs w:val="32"/>
          <w:highlight w:val="none"/>
          <w:lang w:val="en-US" w:eastAsia="zh-CN" w:bidi="ar-SA"/>
        </w:rPr>
        <w:t>内设9个机构，分别为：政治处、办公室、立案庭（诉讼服务中心）、刑事审判庭、民事审判庭、行政审判庭（国家赔偿委员会办公室）、审判监督庭、执行局、司法警察大队，并下设3个人民法庭：漳扎人民法庭、玉瓦人民法庭、双河人民法庭。</w:t>
      </w:r>
    </w:p>
    <w:p w14:paraId="4704D8DD">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二）</w:t>
      </w:r>
      <w:r>
        <w:rPr>
          <w:rFonts w:hint="default" w:ascii="Times New Roman" w:hAnsi="Times New Roman" w:eastAsia="楷体_GB2312" w:cs="Times New Roman"/>
          <w:b/>
          <w:bCs/>
          <w:color w:val="000000"/>
          <w:kern w:val="0"/>
          <w:sz w:val="32"/>
          <w:szCs w:val="32"/>
          <w:highlight w:val="none"/>
          <w:shd w:val="clear" w:color="auto" w:fill="FFFFFF"/>
          <w:lang w:val="zh-CN"/>
        </w:rPr>
        <w:t>机构职能</w:t>
      </w:r>
    </w:p>
    <w:p w14:paraId="338B83DE">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color w:val="000000"/>
          <w:sz w:val="32"/>
          <w:szCs w:val="32"/>
          <w:highlight w:val="none"/>
          <w:lang w:val="en-US" w:eastAsia="zh-CN" w:bidi="ar-SA"/>
        </w:rPr>
      </w:pPr>
      <w:r>
        <w:rPr>
          <w:rFonts w:hint="eastAsia" w:ascii="Times New Roman" w:hAnsi="Times New Roman" w:eastAsia="仿宋_GB2312" w:cs="Times New Roman"/>
          <w:color w:val="000000"/>
          <w:sz w:val="32"/>
          <w:szCs w:val="32"/>
          <w:highlight w:val="none"/>
          <w:lang w:val="en-US" w:eastAsia="zh-CN" w:bidi="ar-SA"/>
        </w:rPr>
        <w:t>我院主要承担以下职责和功能：</w:t>
      </w:r>
    </w:p>
    <w:p w14:paraId="79F2CF2A">
      <w:pPr>
        <w:pageBreakBefore w:val="0"/>
        <w:numPr>
          <w:ilvl w:val="0"/>
          <w:numId w:val="5"/>
        </w:numPr>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做好立案工作。依法对本辖区的各类刑事、民事、行政、执行案件进行审查立案。</w:t>
      </w:r>
    </w:p>
    <w:p w14:paraId="10CDAC28">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2．做好审判工作。依法审理法律规定由基层人民法院管辖和上级法院指定管辖的刑事、民事、行政等第一审案件。</w:t>
      </w:r>
    </w:p>
    <w:p w14:paraId="4D00940A">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3．做好执行工作。依法办理发生法律效力的民事、行政案件判决和裁定执行事项及刑事案件判决和裁定中关于财产部分的执行事项；办理法律规定由基层人民法院执行的其他法律文书的执行事项。</w:t>
      </w:r>
    </w:p>
    <w:p w14:paraId="147CF7FF">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4.管理、使用本院的司法警察力量，保证机关和押解人犯的安全，维护正常的审判执行工作秩序。</w:t>
      </w:r>
    </w:p>
    <w:p w14:paraId="1E96FA97">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5.做好诉讼指导工作，为当事人依法、充分、有效行使诉讼权利提供服务。</w:t>
      </w:r>
    </w:p>
    <w:p w14:paraId="195AECCC">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6.做好日常接待和涉诉信访工作，耐心解答当事人和相关人员提出的法律问题，做好当事人的思想疏导和服判、息诉、罢访工作。</w:t>
      </w:r>
    </w:p>
    <w:p w14:paraId="265ED463">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7.做好人民法庭管理、建设和维修工作。</w:t>
      </w:r>
    </w:p>
    <w:p w14:paraId="73D2F0A1">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8.做好综治工作，积极开展法治宣传及巡回审判。</w:t>
      </w:r>
    </w:p>
    <w:p w14:paraId="32A2B553">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color w:val="000000"/>
          <w:sz w:val="32"/>
          <w:szCs w:val="32"/>
          <w:highlight w:val="none"/>
          <w:lang w:val="en-US" w:eastAsia="zh-CN" w:bidi="ar-SA"/>
        </w:rPr>
      </w:pPr>
      <w:r>
        <w:rPr>
          <w:rFonts w:hint="default" w:ascii="Times New Roman" w:hAnsi="Times New Roman" w:eastAsia="仿宋_GB2312" w:cs="Times New Roman"/>
          <w:color w:val="000000"/>
          <w:sz w:val="32"/>
          <w:szCs w:val="32"/>
          <w:highlight w:val="none"/>
          <w:lang w:val="en-US" w:eastAsia="zh-CN" w:bidi="ar-SA"/>
        </w:rPr>
        <w:t>9.按照县委安排部署做好全县中心工作。</w:t>
      </w:r>
    </w:p>
    <w:p w14:paraId="4A162F12">
      <w:pPr>
        <w:keepNext w:val="0"/>
        <w:keepLines w:val="0"/>
        <w:pageBreakBefore w:val="0"/>
        <w:widowControl/>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eastAsia"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）人员概况</w:t>
      </w:r>
    </w:p>
    <w:p w14:paraId="00847CE1">
      <w:pPr>
        <w:pStyle w:val="20"/>
        <w:keepNext w:val="0"/>
        <w:keepLines w:val="0"/>
        <w:widowControl/>
        <w:suppressLineNumbers w:val="0"/>
        <w:spacing w:before="60" w:beforeAutospacing="0" w:after="60" w:afterAutospacing="0"/>
        <w:ind w:left="0" w:right="0" w:firstLine="640" w:firstLineChars="20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截至</w:t>
      </w:r>
      <w:r>
        <w:rPr>
          <w:rFonts w:hint="eastAsia" w:ascii="Times New Roman" w:hAnsi="Times New Roman" w:eastAsia="仿宋_GB2312" w:cs="Times New Roman"/>
          <w:color w:val="000000"/>
          <w:kern w:val="2"/>
          <w:sz w:val="32"/>
          <w:szCs w:val="32"/>
          <w:highlight w:val="none"/>
          <w:lang w:val="en-US" w:eastAsia="zh-CN" w:bidi="ar-SA"/>
        </w:rPr>
        <w:t>2025年末</w:t>
      </w:r>
      <w:r>
        <w:rPr>
          <w:rFonts w:hint="default" w:ascii="Times New Roman" w:hAnsi="Times New Roman" w:eastAsia="仿宋_GB2312" w:cs="Times New Roman"/>
          <w:color w:val="000000"/>
          <w:kern w:val="2"/>
          <w:sz w:val="32"/>
          <w:szCs w:val="32"/>
          <w:highlight w:val="none"/>
          <w:lang w:val="en-US" w:eastAsia="zh-CN" w:bidi="ar-SA"/>
        </w:rPr>
        <w:t>，</w:t>
      </w:r>
      <w:r>
        <w:rPr>
          <w:rFonts w:hint="eastAsia" w:ascii="Times New Roman" w:hAnsi="Times New Roman" w:eastAsia="仿宋_GB2312" w:cs="Times New Roman"/>
          <w:color w:val="000000"/>
          <w:kern w:val="2"/>
          <w:sz w:val="32"/>
          <w:szCs w:val="32"/>
          <w:highlight w:val="none"/>
          <w:lang w:val="en-US" w:eastAsia="zh-CN" w:bidi="ar-SA"/>
        </w:rPr>
        <w:t>我院全部在职职工85人，其中：参公人员48人，机关和事业工人4人，其他人员33人。</w:t>
      </w:r>
    </w:p>
    <w:p w14:paraId="191907A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二、</w:t>
      </w:r>
      <w:r>
        <w:rPr>
          <w:rFonts w:hint="default" w:ascii="Times New Roman" w:hAnsi="Times New Roman" w:eastAsia="黑体" w:cs="Times New Roman"/>
          <w:color w:val="000000"/>
          <w:kern w:val="0"/>
          <w:sz w:val="32"/>
          <w:szCs w:val="32"/>
          <w:highlight w:val="none"/>
          <w:shd w:val="clear" w:color="auto" w:fill="FFFFFF"/>
          <w:lang w:eastAsia="zh-CN"/>
        </w:rPr>
        <w:t>部门</w:t>
      </w:r>
      <w:r>
        <w:rPr>
          <w:rFonts w:hint="default" w:ascii="Times New Roman" w:hAnsi="Times New Roman" w:eastAsia="黑体" w:cs="Times New Roman"/>
          <w:color w:val="000000"/>
          <w:kern w:val="0"/>
          <w:sz w:val="32"/>
          <w:szCs w:val="32"/>
          <w:highlight w:val="none"/>
          <w:shd w:val="clear" w:color="auto" w:fill="FFFFFF"/>
        </w:rPr>
        <w:t>资金收支情况</w:t>
      </w:r>
    </w:p>
    <w:p w14:paraId="00FCF4E3">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p>
    <w:p w14:paraId="5A333F87">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我院2025</w:t>
      </w:r>
      <w:r>
        <w:rPr>
          <w:rFonts w:hint="default" w:ascii="Times New Roman" w:hAnsi="Times New Roman" w:eastAsia="仿宋_GB2312" w:cs="Times New Roman"/>
          <w:sz w:val="32"/>
          <w:highlight w:val="none"/>
          <w:lang w:val="en-US"/>
        </w:rPr>
        <w:t>年年初收入预算数为</w:t>
      </w:r>
      <w:r>
        <w:rPr>
          <w:rFonts w:hint="eastAsia" w:ascii="Times New Roman" w:hAnsi="Times New Roman" w:eastAsia="仿宋_GB2312" w:cs="Times New Roman"/>
          <w:sz w:val="32"/>
          <w:highlight w:val="none"/>
          <w:lang w:val="en-US" w:eastAsia="zh-CN"/>
        </w:rPr>
        <w:t>1,339.25</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ascii="Times New Roman" w:hAnsi="Times New Roman" w:eastAsia="仿宋_GB2312" w:cs="Times New Roman"/>
          <w:sz w:val="32"/>
          <w:highlight w:val="none"/>
          <w:lang w:val="en-US" w:eastAsia="zh-CN"/>
        </w:rPr>
        <w:t>1,339.25</w:t>
      </w:r>
      <w:r>
        <w:rPr>
          <w:rFonts w:hint="eastAsia" w:ascii="Times New Roman" w:hAnsi="Times New Roman" w:eastAsia="仿宋_GB2312" w:cs="Times New Roman"/>
          <w:sz w:val="32"/>
          <w:highlight w:val="none"/>
          <w:lang w:val="en-US" w:eastAsia="zh-CN"/>
        </w:rPr>
        <w:t>万元，占总预算的100</w:t>
      </w:r>
      <w:r>
        <w:rPr>
          <w:rFonts w:hint="eastAsia" w:ascii="Times New Roman" w:hAnsi="Times New Roman" w:eastAsia="仿宋_GB2312" w:cs="Times New Roman"/>
          <w:sz w:val="32"/>
          <w:highlight w:val="none"/>
          <w:lang w:val="en-US" w:eastAsia="zh-CN"/>
        </w:rPr>
        <w:t>%；</w:t>
      </w:r>
    </w:p>
    <w:p w14:paraId="08DF0898">
      <w:pPr>
        <w:pageBreakBefore w:val="0"/>
        <w:kinsoku/>
        <w:wordWrap/>
        <w:overflowPunct/>
        <w:topLinePunct w:val="0"/>
        <w:autoSpaceDE/>
        <w:bidi w:val="0"/>
        <w:spacing w:line="600" w:lineRule="exact"/>
        <w:ind w:firstLine="640" w:firstLineChars="200"/>
        <w:rPr>
          <w:rFonts w:hint="default" w:ascii="Times New Roman" w:hAnsi="Times New Roman" w:eastAsia="仿宋_GB2312" w:cs="Times New Roman"/>
          <w:sz w:val="32"/>
          <w:highlight w:val="none"/>
          <w:lang w:val="en-US"/>
        </w:rPr>
      </w:pPr>
      <w:r>
        <w:rPr>
          <w:rFonts w:hint="eastAsia" w:ascii="Times New Roman" w:hAnsi="Times New Roman" w:eastAsia="仿宋_GB2312" w:cs="Times New Roman"/>
          <w:sz w:val="32"/>
          <w:highlight w:val="none"/>
          <w:lang w:val="en-US" w:eastAsia="zh-CN"/>
        </w:rPr>
        <w:t>我院2025</w:t>
      </w:r>
      <w:r>
        <w:rPr>
          <w:rFonts w:hint="default" w:ascii="Times New Roman" w:hAnsi="Times New Roman" w:eastAsia="仿宋_GB2312" w:cs="Times New Roman"/>
          <w:sz w:val="32"/>
          <w:highlight w:val="none"/>
          <w:lang w:val="en-US"/>
        </w:rPr>
        <w:t>年收入决算数为</w:t>
      </w:r>
      <w:r>
        <w:rPr>
          <w:rFonts w:hint="eastAsia" w:ascii="Times New Roman" w:hAnsi="Times New Roman" w:eastAsia="仿宋_GB2312" w:cs="Times New Roman"/>
          <w:sz w:val="32"/>
          <w:highlight w:val="none"/>
          <w:lang w:val="en-US" w:eastAsia="zh-CN"/>
        </w:rPr>
        <w:t>2,441.27</w:t>
      </w:r>
      <w:r>
        <w:rPr>
          <w:rFonts w:hint="default" w:ascii="Times New Roman" w:hAnsi="Times New Roman" w:eastAsia="仿宋_GB2312" w:cs="Times New Roman"/>
          <w:sz w:val="32"/>
          <w:highlight w:val="none"/>
          <w:lang w:val="en-US"/>
        </w:rPr>
        <w:t>万元，</w:t>
      </w:r>
      <w:r>
        <w:rPr>
          <w:rFonts w:hint="eastAsia" w:ascii="Times New Roman" w:hAnsi="Times New Roman" w:eastAsia="仿宋_GB2312" w:cs="Times New Roman"/>
          <w:sz w:val="32"/>
          <w:highlight w:val="none"/>
          <w:lang w:val="en-US" w:eastAsia="zh-CN"/>
        </w:rPr>
        <w:t>其中：</w:t>
      </w:r>
      <w:r>
        <w:rPr>
          <w:rFonts w:hint="default" w:ascii="Times New Roman" w:hAnsi="Times New Roman" w:eastAsia="仿宋_GB2312" w:cs="Times New Roman"/>
          <w:sz w:val="32"/>
          <w:highlight w:val="none"/>
          <w:lang w:val="en-US"/>
        </w:rPr>
        <w:t>一般公共预算财政拨款收入</w:t>
      </w:r>
      <w:r>
        <w:rPr>
          <w:rFonts w:hint="eastAsia" w:ascii="Times New Roman" w:hAnsi="Times New Roman" w:eastAsia="仿宋_GB2312" w:cs="Times New Roman"/>
          <w:sz w:val="32"/>
          <w:highlight w:val="none"/>
          <w:lang w:val="en-US" w:eastAsia="zh-CN"/>
        </w:rPr>
        <w:t>1,965.06</w:t>
      </w:r>
      <w:r>
        <w:rPr>
          <w:rFonts w:hint="eastAsia" w:ascii="Times New Roman" w:hAnsi="Times New Roman" w:eastAsia="仿宋_GB2312" w:cs="Times New Roman"/>
          <w:sz w:val="32"/>
          <w:highlight w:val="none"/>
          <w:lang w:val="en-US" w:eastAsia="zh-CN"/>
        </w:rPr>
        <w:t>万元，占总决算的80.49</w:t>
      </w:r>
      <w:r>
        <w:rPr>
          <w:rFonts w:hint="eastAsia" w:ascii="Times New Roman" w:hAnsi="Times New Roman" w:eastAsia="仿宋_GB2312" w:cs="Times New Roman"/>
          <w:sz w:val="32"/>
          <w:highlight w:val="none"/>
          <w:lang w:val="en-US" w:eastAsia="zh-CN"/>
        </w:rPr>
        <w:t>%；其他收入439.72万元，</w:t>
      </w:r>
      <w:r>
        <w:rPr>
          <w:rFonts w:hint="eastAsia" w:ascii="Times New Roman" w:hAnsi="Times New Roman" w:eastAsia="仿宋_GB2312" w:cs="Times New Roman"/>
          <w:sz w:val="32"/>
          <w:highlight w:val="none"/>
          <w:lang w:val="en-US" w:eastAsia="zh-CN"/>
        </w:rPr>
        <w:t>占总决算的18.01</w:t>
      </w:r>
      <w:r>
        <w:rPr>
          <w:rFonts w:hint="eastAsia" w:ascii="Times New Roman" w:hAnsi="Times New Roman" w:eastAsia="仿宋_GB2312" w:cs="Times New Roman"/>
          <w:sz w:val="32"/>
          <w:highlight w:val="none"/>
          <w:lang w:val="en-US" w:eastAsia="zh-CN"/>
        </w:rPr>
        <w:t>%。</w:t>
      </w:r>
    </w:p>
    <w:p w14:paraId="1AC09524">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p>
    <w:p w14:paraId="2AD899A1">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我院2025年年初支出预算数为1,339.25万元，其中：基本支出1,225.75万元，占支出总额的91.53%；项目支出113.50万元，占支出总额的8.47%。</w:t>
      </w:r>
    </w:p>
    <w:p w14:paraId="6054BE18">
      <w:pPr>
        <w:pageBreakBefore w:val="0"/>
        <w:kinsoku/>
        <w:wordWrap/>
        <w:overflowPunct/>
        <w:topLinePunct w:val="0"/>
        <w:autoSpaceDE/>
        <w:bidi w:val="0"/>
        <w:spacing w:line="600" w:lineRule="exact"/>
        <w:ind w:firstLine="640" w:firstLineChars="200"/>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我院2025年支出决算数为2,441.27万元，其中：基本支出1,767.79万元，占支出总额的72.41%；项目支出113.50万元，占支出总额的4.65%。</w:t>
      </w:r>
    </w:p>
    <w:p w14:paraId="210F7C0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both"/>
        <w:textAlignment w:val="auto"/>
        <w:outlineLvl w:val="1"/>
        <w:rPr>
          <w:rFonts w:hint="eastAsia" w:ascii="Times New Roman" w:hAnsi="Times New Roman" w:eastAsia="楷体_GB2312" w:cs="Times New Roman"/>
          <w:b/>
          <w:sz w:val="32"/>
          <w:szCs w:val="32"/>
          <w:highlight w:val="none"/>
          <w:lang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sz w:val="32"/>
          <w:szCs w:val="32"/>
          <w:highlight w:val="none"/>
        </w:rPr>
        <w:t>结余分配和结转结余情况</w:t>
      </w:r>
    </w:p>
    <w:p w14:paraId="2799FC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cs="Times New Roman"/>
          <w:kern w:val="2"/>
          <w:sz w:val="32"/>
          <w:szCs w:val="24"/>
          <w:highlight w:val="none"/>
          <w:lang w:val="zh-CN" w:eastAsia="zh-CN" w:bidi="ar-SA"/>
        </w:rPr>
      </w:pPr>
      <w:r>
        <w:rPr>
          <w:rFonts w:hint="eastAsia" w:cs="Times New Roman"/>
          <w:kern w:val="2"/>
          <w:sz w:val="32"/>
          <w:szCs w:val="24"/>
          <w:highlight w:val="none"/>
          <w:lang w:val="en-US" w:eastAsia="zh-CN" w:bidi="ar-SA"/>
        </w:rPr>
        <w:t>我院</w:t>
      </w:r>
      <w:r>
        <w:rPr>
          <w:rFonts w:hint="eastAsia" w:ascii="Times New Roman" w:hAnsi="Times New Roman" w:eastAsia="仿宋_GB2312" w:cs="Times New Roman"/>
          <w:kern w:val="2"/>
          <w:sz w:val="32"/>
          <w:szCs w:val="24"/>
          <w:highlight w:val="none"/>
          <w:lang w:val="en-US" w:eastAsia="zh-CN" w:bidi="ar-SA"/>
        </w:rPr>
        <w:t>2025年决算报表结余结转金额为</w:t>
      </w:r>
      <w:r>
        <w:rPr>
          <w:rFonts w:hint="eastAsia" w:cs="Times New Roman"/>
          <w:kern w:val="2"/>
          <w:sz w:val="32"/>
          <w:szCs w:val="24"/>
          <w:highlight w:val="none"/>
          <w:lang w:val="en-US" w:eastAsia="zh-CN" w:bidi="ar-SA"/>
        </w:rPr>
        <w:t>33.55</w:t>
      </w:r>
      <w:r>
        <w:rPr>
          <w:rFonts w:hint="eastAsia" w:ascii="Times New Roman" w:hAnsi="Times New Roman" w:eastAsia="仿宋_GB2312" w:cs="Times New Roman"/>
          <w:kern w:val="2"/>
          <w:sz w:val="32"/>
          <w:szCs w:val="24"/>
          <w:highlight w:val="none"/>
          <w:lang w:val="en-US" w:eastAsia="zh-CN" w:bidi="ar-SA"/>
        </w:rPr>
        <w:t>万元</w:t>
      </w:r>
      <w:r>
        <w:rPr>
          <w:rFonts w:hint="eastAsia" w:cs="Times New Roman"/>
          <w:kern w:val="2"/>
          <w:sz w:val="32"/>
          <w:szCs w:val="24"/>
          <w:highlight w:val="none"/>
          <w:lang w:val="en-US" w:eastAsia="zh-CN" w:bidi="ar-SA"/>
        </w:rPr>
        <w:t>。</w:t>
      </w:r>
    </w:p>
    <w:p w14:paraId="04FE1C0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rPr>
      </w:pPr>
      <w:r>
        <w:rPr>
          <w:rFonts w:hint="default" w:ascii="Times New Roman" w:hAnsi="Times New Roman" w:eastAsia="黑体" w:cs="Times New Roman"/>
          <w:color w:val="000000"/>
          <w:kern w:val="0"/>
          <w:sz w:val="32"/>
          <w:szCs w:val="32"/>
          <w:highlight w:val="none"/>
          <w:shd w:val="clear" w:color="auto" w:fill="FFFFFF"/>
        </w:rPr>
        <w:t>三、部门</w:t>
      </w:r>
      <w:r>
        <w:rPr>
          <w:rFonts w:hint="default" w:ascii="Times New Roman" w:hAnsi="Times New Roman" w:eastAsia="黑体" w:cs="Times New Roman"/>
          <w:color w:val="000000"/>
          <w:kern w:val="0"/>
          <w:sz w:val="32"/>
          <w:szCs w:val="32"/>
          <w:highlight w:val="none"/>
          <w:shd w:val="clear" w:color="auto" w:fill="FFFFFF"/>
          <w:lang w:eastAsia="zh-CN"/>
        </w:rPr>
        <w:t>预算</w:t>
      </w:r>
      <w:r>
        <w:rPr>
          <w:rFonts w:hint="default" w:ascii="Times New Roman" w:hAnsi="Times New Roman" w:eastAsia="黑体" w:cs="Times New Roman"/>
          <w:color w:val="000000"/>
          <w:kern w:val="0"/>
          <w:sz w:val="32"/>
          <w:szCs w:val="32"/>
          <w:highlight w:val="none"/>
          <w:shd w:val="clear" w:color="auto" w:fill="FFFFFF"/>
        </w:rPr>
        <w:t>绩效</w:t>
      </w:r>
      <w:r>
        <w:rPr>
          <w:rFonts w:hint="default" w:ascii="Times New Roman" w:hAnsi="Times New Roman" w:eastAsia="黑体" w:cs="Times New Roman"/>
          <w:color w:val="000000"/>
          <w:kern w:val="0"/>
          <w:sz w:val="32"/>
          <w:szCs w:val="32"/>
          <w:highlight w:val="none"/>
          <w:shd w:val="clear" w:color="auto" w:fill="FFFFFF"/>
          <w:lang w:eastAsia="zh-CN"/>
        </w:rPr>
        <w:t>分析</w:t>
      </w:r>
    </w:p>
    <w:p w14:paraId="44F9C29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hint="default" w:ascii="Times New Roman" w:hAnsi="Times New Roman" w:eastAsia="楷体_GB2312" w:cs="Times New Roman"/>
          <w:b/>
          <w:bCs/>
          <w:color w:val="000000"/>
          <w:kern w:val="0"/>
          <w:sz w:val="32"/>
          <w:szCs w:val="32"/>
          <w:highlight w:val="none"/>
          <w:shd w:val="clear" w:color="auto" w:fill="FFFFFF"/>
          <w:lang w:val="zh-CN"/>
        </w:rPr>
        <w:t>总体绩效分析</w:t>
      </w:r>
    </w:p>
    <w:p w14:paraId="6D3EF58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eastAsia" w:ascii="Times New Roman" w:hAnsi="Times New Roman" w:eastAsia="楷体_GB2312" w:cs="Times New Roman"/>
          <w:color w:val="000000"/>
          <w:kern w:val="0"/>
          <w:sz w:val="32"/>
          <w:szCs w:val="32"/>
          <w:highlight w:val="none"/>
          <w:shd w:val="clear" w:color="auto" w:fill="FFFFFF"/>
          <w:lang w:val="zh-CN" w:eastAsia="zh-CN"/>
        </w:rPr>
        <w:t>履职效能</w:t>
      </w:r>
    </w:p>
    <w:p w14:paraId="6CC1282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为充分反映我院2025年度部门职能履行成效，本次绩效自评根据《阿坝州财政局关于开展2026年州级部门预算绩效自评工作的通知》（阿州财监绩〔2026〕3号）要求，结合部门职能职责和2025年度重点工作任务，选取了“案件结案数、审限内结案率、首执案件执行到位率”3个绩效指标作为核心职能目标，各职能目标具体完成情况如下：</w:t>
      </w:r>
    </w:p>
    <w:p w14:paraId="27BA2E6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（1）案件结案数</w:t>
      </w:r>
    </w:p>
    <w:p w14:paraId="550E64C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2025年我院案件结案数为1029件，达到预期目标值，该项指标得满分。</w:t>
      </w:r>
    </w:p>
    <w:p w14:paraId="0A19AF4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根据评分标准，该项指标不扣分，得5分。</w:t>
      </w:r>
    </w:p>
    <w:p w14:paraId="5B961C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（2）审限内结案率</w:t>
      </w:r>
    </w:p>
    <w:p w14:paraId="3530255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2025年我院审限内结案率为90%，达到预期目标值，该项指标得满分。</w:t>
      </w:r>
    </w:p>
    <w:p w14:paraId="59B43B5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根据评分标准，该项指标不扣分，得5分。</w:t>
      </w:r>
    </w:p>
    <w:p w14:paraId="1504C0F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（3）首执案件执行到位率</w:t>
      </w:r>
    </w:p>
    <w:p w14:paraId="33B989E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2025年我院首执案件执行到位率达到40%，达到预期目标值，该项指标得满分。</w:t>
      </w:r>
    </w:p>
    <w:p w14:paraId="07BA00E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根据评分标准，该项指标不扣分，得5分。</w:t>
      </w:r>
    </w:p>
    <w:p w14:paraId="10CD4A3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综上，根据评分标准，我院履职效能指标不扣分，得15分。</w:t>
      </w:r>
    </w:p>
    <w:p w14:paraId="1B9A485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zh-CN"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zh-CN" w:eastAsia="zh-CN"/>
        </w:rPr>
        <w:t>预算管理</w:t>
      </w:r>
    </w:p>
    <w:p w14:paraId="27A8B24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zh-CN" w:eastAsia="zh-CN"/>
        </w:rPr>
      </w:pPr>
      <w:r>
        <w:rPr>
          <w:rFonts w:hint="eastAsia" w:ascii="Times New Roman" w:hAnsi="Times New Roman" w:eastAsia="楷体_GB2312" w:cs="Times New Roman"/>
          <w:color w:val="000000"/>
          <w:kern w:val="0"/>
          <w:sz w:val="32"/>
          <w:szCs w:val="32"/>
          <w:highlight w:val="none"/>
          <w:shd w:val="clear" w:color="auto" w:fill="FFFFFF"/>
          <w:lang w:val="zh-CN"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zh-CN" w:eastAsia="zh-CN"/>
        </w:rPr>
        <w:t>）预算编制质量</w:t>
      </w:r>
    </w:p>
    <w:p w14:paraId="1DFDD2B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2025年我院严格按照相关要求编制年初部门预算，根据2025年度预算执行情况，部门预算偏离程度如下：</w:t>
      </w:r>
    </w:p>
    <w:p w14:paraId="4104091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①</w:t>
      </w:r>
      <w:r>
        <w:rPr>
          <w:rFonts w:hint="eastAsia" w:ascii="Times New Roman" w:hAnsi="Times New Roman" w:eastAsia="楷体_GB2312" w:cs="Times New Roman"/>
          <w:color w:val="000000"/>
          <w:kern w:val="0"/>
          <w:sz w:val="32"/>
          <w:szCs w:val="32"/>
          <w:highlight w:val="none"/>
          <w:shd w:val="clear" w:color="auto" w:fill="FFFFFF"/>
          <w:lang w:val="en-US" w:eastAsia="zh-CN"/>
        </w:rPr>
        <w:t>财政拨款预算偏离度=|预算执行数-年初预算数|÷年初预算数=|2,441.27-1,339.25|÷1,339.25×100%=82.29%。</w:t>
      </w:r>
    </w:p>
    <w:p w14:paraId="65F83ADB">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②</w:t>
      </w:r>
      <w:r>
        <w:rPr>
          <w:rFonts w:hint="eastAsia" w:ascii="Times New Roman" w:hAnsi="Times New Roman" w:eastAsia="楷体_GB2312" w:cs="Times New Roman"/>
          <w:color w:val="000000"/>
          <w:kern w:val="0"/>
          <w:sz w:val="32"/>
          <w:szCs w:val="32"/>
          <w:highlight w:val="none"/>
          <w:shd w:val="clear" w:color="auto" w:fill="FFFFFF"/>
          <w:lang w:val="en-US" w:eastAsia="zh-CN"/>
        </w:rPr>
        <w:t>资产配置预算偏离度=|预算执行数-年初预算数|÷年初预算数=|225.69-0.00|÷0.00×100%=100%。</w:t>
      </w:r>
    </w:p>
    <w:p w14:paraId="0CBE40E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③</w:t>
      </w:r>
      <w:r>
        <w:rPr>
          <w:rFonts w:hint="eastAsia" w:ascii="Times New Roman" w:hAnsi="Times New Roman" w:eastAsia="楷体_GB2312" w:cs="Times New Roman"/>
          <w:color w:val="000000"/>
          <w:kern w:val="0"/>
          <w:sz w:val="32"/>
          <w:szCs w:val="32"/>
          <w:highlight w:val="none"/>
          <w:shd w:val="clear" w:color="auto" w:fill="FFFFFF"/>
          <w:lang w:val="en-US" w:eastAsia="zh-CN"/>
        </w:rPr>
        <w:t>政府采购预算偏离度=|预算执行数-年初预算数|÷年初预算数=|281.37-0.00|÷0.00×100%=100%。</w:t>
      </w:r>
    </w:p>
    <w:p w14:paraId="4DF0DBA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综上，该项指标得分=（1-财政拨款预算偏离度）×100%×4+（1-资产配置预算偏离度）×100%×2+（1-政府采购预算偏离度）×100%×2=0.71。</w:t>
      </w:r>
    </w:p>
    <w:p w14:paraId="62002850">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根据评分标准，该项指标扣7.29分，得0.71分。</w:t>
      </w:r>
    </w:p>
    <w:p w14:paraId="716EE25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2</w:t>
      </w:r>
      <w:r>
        <w:rPr>
          <w:rFonts w:hint="eastAsia" w:ascii="Times New Roman" w:hAnsi="Times New Roman" w:eastAsia="楷体_GB2312" w:cs="Times New Roman"/>
          <w:color w:val="000000"/>
          <w:kern w:val="0"/>
          <w:sz w:val="32"/>
          <w:szCs w:val="32"/>
          <w:highlight w:val="none"/>
          <w:shd w:val="clear" w:color="auto" w:fill="FFFFFF"/>
          <w:lang w:val="en-US" w:eastAsia="zh-CN"/>
        </w:rPr>
        <w:t>）单位收入统筹</w:t>
      </w:r>
    </w:p>
    <w:p w14:paraId="64E353E5">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我院属于财政全额拨款单位，无自有收入，故不涉及此项考核。</w:t>
      </w:r>
    </w:p>
    <w:p w14:paraId="6AF06724">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w:t>
      </w:r>
      <w:r>
        <w:rPr>
          <w:rFonts w:hint="eastAsia" w:ascii="Times New Roman" w:hAnsi="Times New Roman" w:eastAsia="楷体_GB2312" w:cs="Times New Roman"/>
          <w:color w:val="000000"/>
          <w:kern w:val="0"/>
          <w:sz w:val="32"/>
          <w:szCs w:val="32"/>
          <w:highlight w:val="none"/>
          <w:shd w:val="clear" w:color="auto" w:fill="FFFFFF"/>
          <w:lang w:val="en-US" w:eastAsia="zh-CN"/>
        </w:rPr>
        <w:t>不扣分，得4分。</w:t>
      </w:r>
    </w:p>
    <w:p w14:paraId="6F8F5B8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eastAsia" w:ascii="Times New Roman" w:hAnsi="Times New Roman" w:eastAsia="楷体_GB2312" w:cs="Times New Roman"/>
          <w:color w:val="000000"/>
          <w:kern w:val="0"/>
          <w:sz w:val="32"/>
          <w:szCs w:val="32"/>
          <w:highlight w:val="none"/>
          <w:shd w:val="clear" w:color="auto" w:fill="FFFFFF"/>
          <w:lang w:val="en-US" w:eastAsia="zh-CN"/>
        </w:rPr>
        <w:t>）支出执行进度</w:t>
      </w:r>
    </w:p>
    <w:p w14:paraId="67BAF0AA">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2025年我院全年预算数为2,441.27万元，</w:t>
      </w: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至</w:t>
      </w:r>
      <w:r>
        <w:rPr>
          <w:rFonts w:hint="default" w:ascii="Times New Roman" w:hAnsi="Times New Roman" w:eastAsia="楷体_GB2312" w:cs="Times New Roman"/>
          <w:color w:val="000000"/>
          <w:kern w:val="0"/>
          <w:sz w:val="32"/>
          <w:szCs w:val="32"/>
          <w:highlight w:val="none"/>
          <w:shd w:val="clear" w:color="auto" w:fill="FFFFFF"/>
          <w:lang w:val="en-US" w:eastAsia="zh-CN"/>
        </w:rPr>
        <w:t>6</w:t>
      </w:r>
      <w:r>
        <w:rPr>
          <w:rFonts w:hint="eastAsia" w:ascii="Times New Roman" w:hAnsi="Times New Roman" w:eastAsia="楷体_GB2312" w:cs="Times New Roman"/>
          <w:color w:val="000000"/>
          <w:kern w:val="0"/>
          <w:sz w:val="32"/>
          <w:szCs w:val="32"/>
          <w:highlight w:val="none"/>
          <w:shd w:val="clear" w:color="auto" w:fill="FFFFFF"/>
          <w:lang w:val="en-US" w:eastAsia="zh-CN"/>
        </w:rPr>
        <w:t>月预算执行数为2,961.96万元，支出预警金额为0万元，支出预警金额占比为0%，支出违规金额为0万元，支出违规金额占比为0%。</w:t>
      </w:r>
    </w:p>
    <w:p w14:paraId="32853957">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至</w:t>
      </w:r>
      <w:r>
        <w:rPr>
          <w:rFonts w:hint="default" w:ascii="Times New Roman" w:hAnsi="Times New Roman" w:eastAsia="楷体_GB2312" w:cs="Times New Roman"/>
          <w:color w:val="000000"/>
          <w:kern w:val="0"/>
          <w:sz w:val="32"/>
          <w:szCs w:val="32"/>
          <w:highlight w:val="none"/>
          <w:shd w:val="clear" w:color="auto" w:fill="FFFFFF"/>
          <w:lang w:val="en-US" w:eastAsia="zh-CN"/>
        </w:rPr>
        <w:t>10</w:t>
      </w:r>
      <w:r>
        <w:rPr>
          <w:rFonts w:hint="eastAsia" w:ascii="Times New Roman" w:hAnsi="Times New Roman" w:eastAsia="楷体_GB2312" w:cs="Times New Roman"/>
          <w:color w:val="000000"/>
          <w:kern w:val="0"/>
          <w:sz w:val="32"/>
          <w:szCs w:val="32"/>
          <w:highlight w:val="none"/>
          <w:shd w:val="clear" w:color="auto" w:fill="FFFFFF"/>
          <w:lang w:val="en-US" w:eastAsia="zh-CN"/>
        </w:rPr>
        <w:t>月预算执行数为1,741.34万元，支出预警金额为0万元，支出预警金额占比为0%，支出违规金额为0万元，支出违规金额占比为0%。</w:t>
      </w:r>
    </w:p>
    <w:p w14:paraId="6B0580CC">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该项得分为该项指标得分=（1至6月预算执行数÷（部门预算数×50%）×4）+（1-1至6月支出预警金额占比×0.8-1至6月支出违规金额占比×0.2）+（1至10月预算执行数÷（部门预算数×83.33%）×2）+（1-1至10月支出预警金额占比×0.8-1至10月支出违规金额占比×0.2）=(2,961.96÷2,441.27×50%×4)+(1-0×0.8-0×0.2)+(1,741.34÷2,441.27×83.33%×2)+(1-0×0.8-0×0.2)=6。</w:t>
      </w:r>
    </w:p>
    <w:p w14:paraId="053F98D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w:t>
      </w:r>
      <w:r>
        <w:rPr>
          <w:rFonts w:hint="eastAsia" w:ascii="Times New Roman" w:hAnsi="Times New Roman" w:eastAsia="楷体_GB2312" w:cs="Times New Roman"/>
          <w:color w:val="000000"/>
          <w:kern w:val="0"/>
          <w:sz w:val="32"/>
          <w:szCs w:val="32"/>
          <w:highlight w:val="none"/>
          <w:shd w:val="clear" w:color="auto" w:fill="FFFFFF"/>
          <w:lang w:val="en-US" w:eastAsia="zh-CN"/>
        </w:rPr>
        <w:t>不扣分，得6分。</w:t>
      </w:r>
    </w:p>
    <w:p w14:paraId="46830352">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4</w:t>
      </w:r>
      <w:r>
        <w:rPr>
          <w:rFonts w:hint="eastAsia" w:ascii="Times New Roman" w:hAnsi="Times New Roman" w:eastAsia="楷体_GB2312" w:cs="Times New Roman"/>
          <w:color w:val="000000"/>
          <w:kern w:val="0"/>
          <w:sz w:val="32"/>
          <w:szCs w:val="32"/>
          <w:highlight w:val="none"/>
          <w:shd w:val="clear" w:color="auto" w:fill="FFFFFF"/>
          <w:lang w:val="en-US" w:eastAsia="zh-CN"/>
        </w:rPr>
        <w:t>）预算年终结余</w:t>
      </w:r>
    </w:p>
    <w:p w14:paraId="093CE15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2025年我院全年预算数为2,441.27万元，预算执行数为2,441.27万元，注销金额为0万元。结转结余金额为33.55万元</w:t>
      </w:r>
    </w:p>
    <w:p w14:paraId="2DADEC49">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default"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该项指标得分=（1-部门整体预算结余率）×100%×2</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(1-0.01</w:t>
      </w:r>
      <w:r>
        <w:rPr>
          <w:rFonts w:hint="eastAsia" w:ascii="Times New Roman" w:hAnsi="Times New Roman" w:eastAsia="楷体_GB2312" w:cs="Times New Roman"/>
          <w:color w:val="000000"/>
          <w:kern w:val="0"/>
          <w:sz w:val="32"/>
          <w:szCs w:val="32"/>
          <w:highlight w:val="none"/>
          <w:shd w:val="clear" w:color="auto" w:fill="FFFFFF"/>
          <w:lang w:val="en-US" w:eastAsia="zh-CN"/>
        </w:rPr>
        <w:t>)*100%*2</w:t>
      </w:r>
      <w:r>
        <w:rPr>
          <w:rFonts w:hint="default" w:ascii="Times New Roman" w:hAnsi="Times New Roman" w:eastAsia="楷体_GB2312" w:cs="Times New Roman"/>
          <w:color w:val="000000"/>
          <w:kern w:val="0"/>
          <w:sz w:val="32"/>
          <w:szCs w:val="32"/>
          <w:highlight w:val="none"/>
          <w:shd w:val="clear" w:color="auto" w:fill="FFFFFF"/>
          <w:lang w:val="en-US" w:eastAsia="zh-CN"/>
        </w:rPr>
        <w:t>=</w:t>
      </w:r>
      <w:r>
        <w:rPr>
          <w:rFonts w:hint="eastAsia" w:ascii="Times New Roman" w:hAnsi="Times New Roman" w:eastAsia="楷体_GB2312" w:cs="Times New Roman"/>
          <w:color w:val="000000"/>
          <w:kern w:val="0"/>
          <w:sz w:val="32"/>
          <w:szCs w:val="32"/>
          <w:highlight w:val="none"/>
          <w:shd w:val="clear" w:color="auto" w:fill="FFFFFF"/>
          <w:lang w:val="en-US" w:eastAsia="zh-CN"/>
        </w:rPr>
        <w:t>1.97</w:t>
      </w:r>
    </w:p>
    <w:p w14:paraId="5769962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default" w:ascii="Times New Roman" w:hAnsi="Times New Roman" w:eastAsia="楷体_GB2312" w:cs="Times New Roman"/>
          <w:color w:val="000000"/>
          <w:kern w:val="0"/>
          <w:sz w:val="32"/>
          <w:szCs w:val="32"/>
          <w:highlight w:val="none"/>
          <w:shd w:val="clear" w:color="auto" w:fill="FFFFFF"/>
          <w:lang w:val="en-US" w:eastAsia="zh-CN"/>
        </w:rPr>
        <w:t>根据评分标准，该项指标</w:t>
      </w:r>
      <w:r>
        <w:rPr>
          <w:rFonts w:hint="eastAsia" w:ascii="Times New Roman" w:hAnsi="Times New Roman" w:eastAsia="楷体_GB2312" w:cs="Times New Roman"/>
          <w:color w:val="000000"/>
          <w:kern w:val="0"/>
          <w:sz w:val="32"/>
          <w:szCs w:val="32"/>
          <w:highlight w:val="none"/>
          <w:shd w:val="clear" w:color="auto" w:fill="FFFFFF"/>
          <w:lang w:val="en-US" w:eastAsia="zh-CN"/>
        </w:rPr>
        <w:t>扣0.03分，得1.97分。</w:t>
      </w:r>
    </w:p>
    <w:p w14:paraId="3637A9B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5</w:t>
      </w:r>
      <w:r>
        <w:rPr>
          <w:rFonts w:hint="eastAsia" w:ascii="Times New Roman" w:hAnsi="Times New Roman" w:eastAsia="楷体_GB2312" w:cs="Times New Roman"/>
          <w:color w:val="000000"/>
          <w:kern w:val="0"/>
          <w:sz w:val="32"/>
          <w:szCs w:val="32"/>
          <w:highlight w:val="none"/>
          <w:shd w:val="clear" w:color="auto" w:fill="FFFFFF"/>
          <w:lang w:val="en-US" w:eastAsia="zh-CN"/>
        </w:rPr>
        <w:t>）严控一般性支出</w:t>
      </w:r>
    </w:p>
    <w:p w14:paraId="11C613B1">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left"/>
        <w:textAlignment w:val="auto"/>
        <w:outlineLvl w:val="2"/>
        <w:rPr>
          <w:rFonts w:hint="eastAsia" w:ascii="Times New Roman" w:hAnsi="Times New Roman" w:eastAsia="楷体_GB2312" w:cs="Times New Roman"/>
          <w:color w:val="000000"/>
          <w:kern w:val="0"/>
          <w:sz w:val="32"/>
          <w:szCs w:val="32"/>
          <w:highlight w:val="none"/>
          <w:shd w:val="clear" w:color="auto" w:fill="FFFFFF"/>
          <w:lang w:val="en-US" w:eastAsia="zh-CN"/>
        </w:rPr>
      </w:pPr>
      <w:r>
        <w:rPr>
          <w:rFonts w:hint="eastAsia" w:ascii="Times New Roman" w:hAnsi="Times New Roman" w:eastAsia="楷体_GB2312" w:cs="Times New Roman"/>
          <w:color w:val="000000"/>
          <w:kern w:val="0"/>
          <w:sz w:val="32"/>
          <w:szCs w:val="32"/>
          <w:highlight w:val="none"/>
          <w:shd w:val="clear" w:color="auto" w:fill="FFFFFF"/>
          <w:lang w:val="en-US" w:eastAsia="zh-CN"/>
        </w:rPr>
        <w:t>我院2025年度“三公”经费、会议、培训、差旅、办节办展、办公设备购置、信息网络及软件购置更新、课题经费等</w:t>
      </w:r>
      <w:r>
        <w:rPr>
          <w:rFonts w:hint="default" w:ascii="Times New Roman" w:hAnsi="Times New Roman" w:eastAsia="楷体_GB2312" w:cs="Times New Roman"/>
          <w:color w:val="000000"/>
          <w:kern w:val="0"/>
          <w:sz w:val="32"/>
          <w:szCs w:val="32"/>
          <w:highlight w:val="none"/>
          <w:shd w:val="clear" w:color="auto" w:fill="FFFFFF"/>
          <w:lang w:val="en-US" w:eastAsia="zh-CN"/>
        </w:rPr>
        <w:t>8</w:t>
      </w:r>
      <w:r>
        <w:rPr>
          <w:rFonts w:hint="eastAsia" w:ascii="Times New Roman" w:hAnsi="Times New Roman" w:eastAsia="楷体_GB2312" w:cs="Times New Roman"/>
          <w:color w:val="000000"/>
          <w:kern w:val="0"/>
          <w:sz w:val="32"/>
          <w:szCs w:val="32"/>
          <w:highlight w:val="none"/>
          <w:shd w:val="clear" w:color="auto" w:fill="FFFFFF"/>
          <w:lang w:val="en-US" w:eastAsia="zh-CN"/>
        </w:rPr>
        <w:t>项一般性支出情况详见下表</w:t>
      </w:r>
      <w:r>
        <w:rPr>
          <w:rFonts w:hint="default" w:ascii="Times New Roman" w:hAnsi="Times New Roman" w:eastAsia="楷体_GB2312" w:cs="Times New Roman"/>
          <w:color w:val="000000"/>
          <w:kern w:val="0"/>
          <w:sz w:val="32"/>
          <w:szCs w:val="32"/>
          <w:highlight w:val="none"/>
          <w:shd w:val="clear" w:color="auto" w:fill="FFFFFF"/>
          <w:lang w:val="en-US" w:eastAsia="zh-CN"/>
        </w:rPr>
        <w:t>3</w:t>
      </w:r>
      <w:r>
        <w:rPr>
          <w:rFonts w:hint="eastAsia" w:ascii="Times New Roman" w:hAnsi="Times New Roman" w:eastAsia="楷体_GB2312" w:cs="Times New Roman"/>
          <w:color w:val="000000"/>
          <w:kern w:val="0"/>
          <w:sz w:val="32"/>
          <w:szCs w:val="32"/>
          <w:highlight w:val="none"/>
          <w:shd w:val="clear" w:color="auto" w:fill="FFFFFF"/>
          <w:lang w:val="en-US" w:eastAsia="zh-CN"/>
        </w:rPr>
        <w:t>-</w:t>
      </w:r>
      <w:r>
        <w:rPr>
          <w:rFonts w:hint="default" w:ascii="Times New Roman" w:hAnsi="Times New Roman" w:eastAsia="楷体_GB2312" w:cs="Times New Roman"/>
          <w:color w:val="000000"/>
          <w:kern w:val="0"/>
          <w:sz w:val="32"/>
          <w:szCs w:val="32"/>
          <w:highlight w:val="none"/>
          <w:shd w:val="clear" w:color="auto" w:fill="FFFFFF"/>
          <w:lang w:val="en-US" w:eastAsia="zh-CN"/>
        </w:rPr>
        <w:t>1</w:t>
      </w:r>
      <w:r>
        <w:rPr>
          <w:rFonts w:hint="eastAsia" w:ascii="Times New Roman" w:hAnsi="Times New Roman" w:eastAsia="楷体_GB2312" w:cs="Times New Roman"/>
          <w:color w:val="000000"/>
          <w:kern w:val="0"/>
          <w:sz w:val="32"/>
          <w:szCs w:val="32"/>
          <w:highlight w:val="none"/>
          <w:shd w:val="clear" w:color="auto" w:fill="FFFFFF"/>
          <w:lang w:val="en-US" w:eastAsia="zh-CN"/>
        </w:rPr>
        <w:t>。</w:t>
      </w:r>
    </w:p>
    <w:p w14:paraId="4306C08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eastAsia" w:ascii="Times New Roman" w:hAnsi="Times New Roman" w:eastAsia="仿宋_GB2312" w:cs="Times New Roman"/>
          <w:b/>
          <w:bCs/>
          <w:sz w:val="32"/>
          <w:highlight w:val="none"/>
          <w:lang w:val="en-US" w:eastAsia="zh-CN"/>
        </w:rPr>
      </w:pPr>
      <w:r>
        <w:rPr>
          <w:rFonts w:hint="eastAsia" w:ascii="Times New Roman" w:hAnsi="Times New Roman" w:eastAsia="仿宋_GB2312" w:cs="Times New Roman"/>
          <w:b/>
          <w:bCs/>
          <w:sz w:val="32"/>
          <w:highlight w:val="none"/>
          <w:lang w:val="en-US" w:eastAsia="zh-CN"/>
        </w:rPr>
        <w:t>表</w:t>
      </w:r>
      <w:r>
        <w:rPr>
          <w:rFonts w:hint="default" w:ascii="Times New Roman" w:hAnsi="Times New Roman" w:eastAsia="仿宋_GB2312" w:cs="Times New Roman"/>
          <w:b/>
          <w:bCs/>
          <w:sz w:val="32"/>
          <w:highlight w:val="none"/>
          <w:lang w:val="en-US" w:eastAsia="zh-CN"/>
        </w:rPr>
        <w:t>3</w:t>
      </w:r>
      <w:r>
        <w:rPr>
          <w:rFonts w:hint="eastAsia" w:ascii="Times New Roman" w:hAnsi="Times New Roman" w:eastAsia="仿宋_GB2312" w:cs="Times New Roman"/>
          <w:b/>
          <w:bCs/>
          <w:sz w:val="32"/>
          <w:highlight w:val="none"/>
          <w:lang w:val="en-US" w:eastAsia="zh-CN"/>
        </w:rPr>
        <w:t>-</w:t>
      </w:r>
      <w:r>
        <w:rPr>
          <w:rFonts w:hint="default" w:ascii="Times New Roman" w:hAnsi="Times New Roman" w:eastAsia="仿宋_GB2312" w:cs="Times New Roman"/>
          <w:b/>
          <w:bCs/>
          <w:sz w:val="32"/>
          <w:highlight w:val="none"/>
          <w:lang w:val="en-US" w:eastAsia="zh-CN"/>
        </w:rPr>
        <w:t>1</w:t>
      </w:r>
      <w:r>
        <w:rPr>
          <w:rFonts w:hint="eastAsia" w:ascii="Times New Roman" w:hAnsi="Times New Roman" w:eastAsia="仿宋_GB2312" w:cs="Times New Roman"/>
          <w:b/>
          <w:bCs/>
          <w:sz w:val="32"/>
          <w:highlight w:val="none"/>
          <w:lang w:val="en-US" w:eastAsia="zh-CN"/>
        </w:rPr>
        <w:t>2025年度一般性支出情况表</w:t>
      </w:r>
    </w:p>
    <w:p w14:paraId="68A4E482">
      <w:pPr>
        <w:pageBreakBefore w:val="0"/>
        <w:widowControl w:val="0"/>
        <w:kinsoku/>
        <w:wordWrap/>
        <w:overflowPunct/>
        <w:topLinePunct w:val="0"/>
        <w:autoSpaceDE/>
        <w:autoSpaceDN/>
        <w:bidi w:val="0"/>
        <w:adjustRightInd/>
        <w:snapToGrid/>
        <w:spacing w:line="600" w:lineRule="exact"/>
        <w:jc w:val="right"/>
        <w:textAlignment w:val="auto"/>
        <w:rPr>
          <w:rFonts w:hint="default"/>
          <w:highlight w:val="none"/>
          <w:lang w:val="en-US" w:eastAsia="zh-CN"/>
        </w:rPr>
      </w:pPr>
      <w:r>
        <w:rPr>
          <w:rFonts w:hint="eastAsia"/>
          <w:highlight w:val="none"/>
          <w:lang w:val="en-US" w:eastAsia="zh-CN"/>
        </w:rPr>
        <w:t>单位：万元</w:t>
      </w:r>
    </w:p>
    <w:tbl>
      <w:tblPr>
        <w:tblStyle w:val="21"/>
        <w:tblW w:w="490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500"/>
        <w:gridCol w:w="1811"/>
        <w:gridCol w:w="1703"/>
        <w:gridCol w:w="1497"/>
        <w:gridCol w:w="1510"/>
      </w:tblGrid>
      <w:tr w14:paraId="1B6D2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A548F1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序号</w:t>
            </w:r>
          </w:p>
        </w:tc>
        <w:tc>
          <w:tcPr>
            <w:tcW w:w="864"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127A3AF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项目名称</w:t>
            </w:r>
          </w:p>
        </w:tc>
        <w:tc>
          <w:tcPr>
            <w:tcW w:w="1043"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0FB8CCC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年年初预算数</w:t>
            </w:r>
          </w:p>
        </w:tc>
        <w:tc>
          <w:tcPr>
            <w:tcW w:w="981"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4DB3784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年初预算数</w:t>
            </w:r>
          </w:p>
        </w:tc>
        <w:tc>
          <w:tcPr>
            <w:tcW w:w="862"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521E54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2024</w:t>
            </w:r>
            <w:r>
              <w:rPr>
                <w:rFonts w:hint="default" w:ascii="Times New Roman" w:hAnsi="Times New Roman" w:eastAsia="仿宋_GB2312" w:cs="Times New Roman"/>
                <w:i w:val="0"/>
                <w:iCs w:val="0"/>
                <w:color w:val="000000"/>
                <w:kern w:val="0"/>
                <w:sz w:val="24"/>
                <w:szCs w:val="24"/>
                <w:highlight w:val="none"/>
                <w:u w:val="none"/>
                <w:lang w:val="en-US" w:eastAsia="zh-CN" w:bidi="ar"/>
              </w:rPr>
              <w:t>年预算执行数</w:t>
            </w:r>
          </w:p>
        </w:tc>
        <w:tc>
          <w:tcPr>
            <w:tcW w:w="869" w:type="pct"/>
            <w:tcBorders>
              <w:top w:val="single" w:color="000000" w:sz="4" w:space="0"/>
              <w:left w:val="single" w:color="000000" w:sz="4" w:space="0"/>
              <w:bottom w:val="single" w:color="000000" w:sz="4" w:space="0"/>
              <w:right w:val="single" w:color="000000" w:sz="4" w:space="0"/>
            </w:tcBorders>
            <w:shd w:val="clear" w:color="auto" w:fill="D7D7D7"/>
            <w:vAlign w:val="center"/>
          </w:tcPr>
          <w:p w14:paraId="656FA2A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2025年</w:t>
            </w:r>
            <w:r>
              <w:rPr>
                <w:rFonts w:hint="default" w:ascii="Times New Roman" w:hAnsi="Times New Roman" w:eastAsia="仿宋_GB2312" w:cs="Times New Roman"/>
                <w:i w:val="0"/>
                <w:iCs w:val="0"/>
                <w:color w:val="000000"/>
                <w:kern w:val="0"/>
                <w:sz w:val="24"/>
                <w:szCs w:val="24"/>
                <w:highlight w:val="none"/>
                <w:u w:val="none"/>
                <w:lang w:val="en-US" w:eastAsia="zh-CN" w:bidi="ar"/>
              </w:rPr>
              <w:t>预算执行数</w:t>
            </w:r>
          </w:p>
        </w:tc>
      </w:tr>
      <w:tr w14:paraId="6F42A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D0CFC">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1</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0738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eastAsia"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三公</w:t>
            </w:r>
            <w:r>
              <w:rPr>
                <w:rFonts w:hint="eastAsia" w:cs="Times New Roman"/>
                <w:i w:val="0"/>
                <w:iCs w:val="0"/>
                <w:color w:val="000000"/>
                <w:kern w:val="0"/>
                <w:sz w:val="24"/>
                <w:szCs w:val="24"/>
                <w:highlight w:val="none"/>
                <w:u w:val="none"/>
                <w:lang w:val="en-US" w:eastAsia="zh-CN" w:bidi="ar"/>
              </w:rPr>
              <w:t>”</w:t>
            </w:r>
            <w:r>
              <w:rPr>
                <w:rFonts w:hint="default" w:ascii="Times New Roman" w:hAnsi="Times New Roman" w:eastAsia="仿宋_GB2312" w:cs="Times New Roman"/>
                <w:i w:val="0"/>
                <w:iCs w:val="0"/>
                <w:color w:val="000000"/>
                <w:kern w:val="0"/>
                <w:sz w:val="24"/>
                <w:szCs w:val="24"/>
                <w:highlight w:val="none"/>
                <w:u w:val="none"/>
                <w:lang w:val="en-US" w:eastAsia="zh-CN" w:bidi="ar"/>
              </w:rPr>
              <w:t>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E9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22.50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A9A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22.50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64EF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88.77</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5688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5.20</w:t>
            </w:r>
          </w:p>
        </w:tc>
      </w:tr>
      <w:tr w14:paraId="30255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45B0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2</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77E04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会议费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BC8F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EE5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055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706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r>
      <w:tr w14:paraId="5ED83E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CE0E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3</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62C7E">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培训费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1A06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8.76</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123D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9.38</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1A69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0.88</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77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r>
      <w:tr w14:paraId="064D6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176D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4</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EB2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差旅费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FEF2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22.33</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0B6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24.24</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89717">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23.14</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B09B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20.35</w:t>
            </w:r>
          </w:p>
        </w:tc>
      </w:tr>
      <w:tr w14:paraId="46CBE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5171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5</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C5C2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办节办展</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3EDE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942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45E8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8E7F8">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ascii="Times New Roman" w:hAnsi="Times New Roman" w:eastAsia="仿宋_GB2312" w:cs="Times New Roman"/>
                <w:i w:val="0"/>
                <w:iCs w:val="0"/>
                <w:color w:val="000000"/>
                <w:sz w:val="24"/>
                <w:szCs w:val="24"/>
                <w:highlight w:val="none"/>
                <w:u w:val="none"/>
                <w:lang w:val="en-US" w:eastAsia="zh-CN"/>
              </w:rPr>
            </w:pPr>
            <w:r>
              <w:rPr>
                <w:rFonts w:hint="eastAsia" w:cs="Times New Roman"/>
                <w:i w:val="0"/>
                <w:iCs w:val="0"/>
                <w:color w:val="000000"/>
                <w:kern w:val="0"/>
                <w:sz w:val="24"/>
                <w:szCs w:val="24"/>
                <w:highlight w:val="none"/>
                <w:u w:val="none"/>
                <w:lang w:val="en-US" w:eastAsia="zh-CN" w:bidi="ar"/>
              </w:rPr>
              <w:t>0</w:t>
            </w:r>
          </w:p>
        </w:tc>
      </w:tr>
      <w:tr w14:paraId="062A3A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4282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6</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A521A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办公设备购置</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A930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80BC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6DC72">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14316">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r>
      <w:tr w14:paraId="7008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26B54">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7</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9788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sz w:val="24"/>
                <w:szCs w:val="24"/>
                <w:highlight w:val="none"/>
                <w:u w:val="none"/>
              </w:rPr>
            </w:pPr>
            <w:r>
              <w:rPr>
                <w:rFonts w:hint="default" w:ascii="Times New Roman" w:hAnsi="Times New Roman" w:eastAsia="仿宋_GB2312" w:cs="Times New Roman"/>
                <w:i w:val="0"/>
                <w:iCs w:val="0"/>
                <w:color w:val="000000"/>
                <w:kern w:val="0"/>
                <w:sz w:val="24"/>
                <w:szCs w:val="24"/>
                <w:highlight w:val="none"/>
                <w:u w:val="none"/>
                <w:lang w:val="en-US" w:eastAsia="zh-CN" w:bidi="ar"/>
              </w:rPr>
              <w:t>信息网络及软件购置更新经费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791CD">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D646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91E85">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CC13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000000"/>
                <w:kern w:val="0"/>
                <w:sz w:val="24"/>
                <w:szCs w:val="24"/>
                <w:highlight w:val="none"/>
                <w:u w:val="none"/>
                <w:lang w:val="en-US" w:eastAsia="zh-CN" w:bidi="ar"/>
              </w:rPr>
            </w:pPr>
            <w:r>
              <w:rPr>
                <w:rFonts w:hint="eastAsia" w:cs="Times New Roman"/>
                <w:i w:val="0"/>
                <w:iCs w:val="0"/>
                <w:color w:val="000000"/>
                <w:kern w:val="0"/>
                <w:sz w:val="24"/>
                <w:szCs w:val="24"/>
                <w:highlight w:val="none"/>
                <w:u w:val="none"/>
                <w:lang w:val="en-US" w:eastAsia="zh-CN" w:bidi="ar"/>
              </w:rPr>
              <w:t>0</w:t>
            </w:r>
          </w:p>
        </w:tc>
      </w:tr>
      <w:tr w14:paraId="1EE8F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 w:hRule="atLeast"/>
          <w:jc w:val="center"/>
        </w:trPr>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2F6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8</w:t>
            </w:r>
          </w:p>
        </w:tc>
        <w:tc>
          <w:tcPr>
            <w:tcW w:w="8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12168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sz w:val="24"/>
                <w:szCs w:val="24"/>
                <w:highlight w:val="none"/>
                <w:u w:val="none"/>
              </w:rPr>
            </w:pPr>
            <w:r>
              <w:rPr>
                <w:rFonts w:hint="default" w:ascii="Times New Roman" w:hAnsi="Times New Roman" w:eastAsia="仿宋_GB2312" w:cs="Times New Roman"/>
                <w:i w:val="0"/>
                <w:iCs w:val="0"/>
                <w:color w:val="auto"/>
                <w:kern w:val="0"/>
                <w:sz w:val="24"/>
                <w:szCs w:val="24"/>
                <w:highlight w:val="none"/>
                <w:u w:val="none"/>
                <w:lang w:val="en-US" w:eastAsia="zh-CN" w:bidi="ar"/>
              </w:rPr>
              <w:t>课题经费</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7358F">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B4790">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23AB9">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8506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0</w:t>
            </w:r>
          </w:p>
        </w:tc>
      </w:tr>
      <w:tr w14:paraId="519C3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0" w:hRule="atLeast"/>
          <w:jc w:val="center"/>
        </w:trPr>
        <w:tc>
          <w:tcPr>
            <w:tcW w:w="124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F3F2AB">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b/>
                <w:bCs/>
                <w:i w:val="0"/>
                <w:iCs w:val="0"/>
                <w:color w:val="auto"/>
                <w:sz w:val="24"/>
                <w:szCs w:val="24"/>
                <w:highlight w:val="none"/>
                <w:u w:val="none"/>
              </w:rPr>
            </w:pPr>
            <w:r>
              <w:rPr>
                <w:rFonts w:hint="default" w:ascii="Times New Roman" w:hAnsi="Times New Roman" w:eastAsia="仿宋_GB2312" w:cs="Times New Roman"/>
                <w:b/>
                <w:bCs/>
                <w:i w:val="0"/>
                <w:iCs w:val="0"/>
                <w:color w:val="auto"/>
                <w:kern w:val="0"/>
                <w:sz w:val="24"/>
                <w:szCs w:val="24"/>
                <w:highlight w:val="none"/>
                <w:u w:val="none"/>
                <w:lang w:val="en-US" w:eastAsia="zh-CN" w:bidi="ar"/>
              </w:rPr>
              <w:t>合计</w:t>
            </w:r>
          </w:p>
        </w:tc>
        <w:tc>
          <w:tcPr>
            <w:tcW w:w="104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958F1">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53.59</w:t>
            </w:r>
          </w:p>
        </w:tc>
        <w:tc>
          <w:tcPr>
            <w:tcW w:w="9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EC45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eastAsia"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56.12</w:t>
            </w:r>
          </w:p>
        </w:tc>
        <w:tc>
          <w:tcPr>
            <w:tcW w:w="8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0D3A">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112.79</w:t>
            </w:r>
          </w:p>
        </w:tc>
        <w:tc>
          <w:tcPr>
            <w:tcW w:w="8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2E3D3">
            <w:pPr>
              <w:keepNext w:val="0"/>
              <w:keepLines w:val="0"/>
              <w:pageBreakBefore w:val="0"/>
              <w:widowControl/>
              <w:suppressLineNumbers w:val="0"/>
              <w:kinsoku/>
              <w:wordWrap/>
              <w:overflowPunct/>
              <w:topLinePunct w:val="0"/>
              <w:autoSpaceDE/>
              <w:autoSpaceDN/>
              <w:bidi w:val="0"/>
              <w:adjustRightInd/>
              <w:snapToGrid w:val="0"/>
              <w:spacing w:line="240" w:lineRule="auto"/>
              <w:ind w:firstLine="0" w:firstLineChars="0"/>
              <w:jc w:val="center"/>
              <w:textAlignment w:val="center"/>
              <w:rPr>
                <w:rFonts w:hint="default" w:ascii="Times New Roman" w:hAnsi="Times New Roman" w:eastAsia="仿宋_GB2312" w:cs="Times New Roman"/>
                <w:i w:val="0"/>
                <w:iCs w:val="0"/>
                <w:color w:val="auto"/>
                <w:kern w:val="0"/>
                <w:sz w:val="24"/>
                <w:szCs w:val="24"/>
                <w:highlight w:val="none"/>
                <w:u w:val="none"/>
                <w:lang w:val="en-US" w:eastAsia="zh-CN" w:bidi="ar"/>
              </w:rPr>
            </w:pPr>
            <w:r>
              <w:rPr>
                <w:rFonts w:hint="eastAsia" w:cs="Times New Roman"/>
                <w:i w:val="0"/>
                <w:iCs w:val="0"/>
                <w:color w:val="auto"/>
                <w:kern w:val="0"/>
                <w:sz w:val="24"/>
                <w:szCs w:val="24"/>
                <w:highlight w:val="none"/>
                <w:u w:val="none"/>
                <w:lang w:val="en-US" w:eastAsia="zh-CN" w:bidi="ar"/>
              </w:rPr>
              <w:t>25.55</w:t>
            </w:r>
          </w:p>
        </w:tc>
      </w:tr>
    </w:tbl>
    <w:p w14:paraId="1C633088">
      <w:pPr>
        <w:rPr>
          <w:rFonts w:hint="eastAsia"/>
          <w:highlight w:val="none"/>
          <w:lang w:val="en-US" w:eastAsia="zh-CN"/>
        </w:rPr>
      </w:pPr>
      <w:r>
        <w:rPr>
          <w:rFonts w:hint="eastAsia"/>
          <w:highlight w:val="none"/>
          <w:lang w:val="en-US" w:eastAsia="zh-CN"/>
        </w:rPr>
        <w:t>一般性支出财政拨款年初预算较上年增加，一般性支出财政拨款预算执行数较上年减少。</w:t>
      </w:r>
    </w:p>
    <w:p w14:paraId="2D86C155">
      <w:pPr>
        <w:rPr>
          <w:rFonts w:hint="default"/>
          <w:highlight w:val="none"/>
          <w:lang w:val="en-US" w:eastAsia="zh-CN"/>
        </w:rPr>
      </w:pPr>
      <w:r>
        <w:rPr>
          <w:rFonts w:hint="default"/>
          <w:highlight w:val="none"/>
          <w:lang w:val="en-US" w:eastAsia="zh-CN"/>
        </w:rPr>
        <w:t>根据评分标准，该项指标扣2分，得3分。</w:t>
      </w:r>
    </w:p>
    <w:p w14:paraId="30AD08A3">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eastAsia" w:ascii="Times New Roman" w:hAnsi="Times New Roman" w:eastAsia="楷体_GB2312" w:cs="Times New Roman"/>
          <w:b w:val="0"/>
          <w:bCs w:val="0"/>
          <w:szCs w:val="24"/>
          <w:highlight w:val="none"/>
          <w:lang w:val="zh-CN" w:eastAsia="zh-CN"/>
        </w:rPr>
      </w:pPr>
      <w:r>
        <w:rPr>
          <w:rFonts w:hint="default" w:ascii="Times New Roman" w:hAnsi="Times New Roman" w:eastAsia="楷体_GB2312" w:cs="Times New Roman"/>
          <w:b w:val="0"/>
          <w:bCs w:val="0"/>
          <w:szCs w:val="24"/>
          <w:highlight w:val="none"/>
          <w:lang w:val="en-US" w:eastAsia="zh-CN"/>
        </w:rPr>
        <w:t>3</w:t>
      </w:r>
      <w:r>
        <w:rPr>
          <w:rFonts w:hint="eastAsia" w:ascii="Times New Roman" w:hAnsi="Times New Roman" w:eastAsia="楷体_GB2312" w:cs="Times New Roman"/>
          <w:b w:val="0"/>
          <w:bCs w:val="0"/>
          <w:szCs w:val="24"/>
          <w:highlight w:val="none"/>
          <w:lang w:val="en-US" w:eastAsia="zh-CN"/>
        </w:rPr>
        <w:t>.</w:t>
      </w:r>
      <w:r>
        <w:rPr>
          <w:rFonts w:hint="default" w:ascii="Times New Roman" w:hAnsi="Times New Roman" w:eastAsia="楷体_GB2312" w:cs="Times New Roman"/>
          <w:b w:val="0"/>
          <w:bCs w:val="0"/>
          <w:szCs w:val="24"/>
          <w:highlight w:val="none"/>
          <w:lang w:val="zh-CN" w:eastAsia="zh-CN"/>
        </w:rPr>
        <w:t>财务管理</w:t>
      </w:r>
    </w:p>
    <w:p w14:paraId="65A7C01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（1）财务管理制度</w:t>
      </w:r>
    </w:p>
    <w:p w14:paraId="281C669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为加强和规范我院内部控制管理水平和风险防范能力，健全规范内部控制机制，加强廉政风险防控机制建设，我院</w:t>
      </w:r>
      <w:r>
        <w:rPr>
          <w:rFonts w:hint="eastAsia" w:ascii="Times New Roman" w:hAnsi="Times New Roman" w:eastAsia="仿宋_GB2312" w:cs="Times New Roman"/>
          <w:sz w:val="32"/>
          <w:highlight w:val="none"/>
          <w:lang w:val="en-US" w:eastAsia="zh-CN"/>
        </w:rPr>
        <w:t>2025</w:t>
      </w:r>
      <w:r>
        <w:rPr>
          <w:rFonts w:hint="eastAsia" w:ascii="Times New Roman" w:hAnsi="Times New Roman" w:eastAsia="仿宋_GB2312" w:cs="Times New Roman"/>
          <w:sz w:val="32"/>
          <w:highlight w:val="none"/>
          <w:lang w:val="zh-CN" w:eastAsia="zh-CN"/>
        </w:rPr>
        <w:t>年在对预算、收支、政府采购、资产、建设项目、合同等各类经济业务活动流程梳理的基础上，依据《中华人民共和国会计法》《中华人民共和国预算法》《中华人民共和国政府采购法》《政府会计制度》《行政事业单位内部控制规范（试行）》《关于全面推进行政事业单位内部控制建设的指导意见》（财会〔2015〕24号）、《四川省财政厅关于印发〈四川省省级行政事业单位内部控制建设指引〉的通知》（川财会〔2019〕37号）等文件编制了《九寨沟县人民法院财务内部控制制度》，部门内部财务管理制度等制度机制建立健全，制度得到有效执行。</w:t>
      </w:r>
    </w:p>
    <w:p w14:paraId="015EB18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根据评分标准，该项指标不扣分，得4分。</w:t>
      </w:r>
    </w:p>
    <w:p w14:paraId="7D6C29F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（2）财务岗位设置</w:t>
      </w:r>
    </w:p>
    <w:p w14:paraId="69B3AED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我院按照《中华人民共和国会计法》《中华人民共和国预算法》等相关法律，合理设置了单位财务岗位，明确了各岗位职责权限确保工作有序进行，同时，我院制定的《九寨沟县人民法院财务内部控制制度》明确表示了财务收支统一核算管理，会计和出纳岗位分设，出纳人员不得兼管审核、会计档案保管，在财务实际设置过程中，做到了将会计与出纳、审核与执行等岗位分离，形成了相互制约、监督的机制，进而增强了财务数据的准确性，提升了内部控制效能，确保了财务工作的高效与透明。</w:t>
      </w:r>
    </w:p>
    <w:p w14:paraId="28D6E527">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根据评分标准，该项指标不扣分，得2分。</w:t>
      </w:r>
    </w:p>
    <w:p w14:paraId="5259CDD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（3）资金使用规范</w:t>
      </w:r>
    </w:p>
    <w:p w14:paraId="4B68D8DE">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u w:val="none"/>
          <w:lang w:val="zh-CN" w:eastAsia="zh-CN"/>
        </w:rPr>
      </w:pPr>
      <w:r>
        <w:rPr>
          <w:rFonts w:hint="eastAsia" w:ascii="Times New Roman" w:hAnsi="Times New Roman" w:eastAsia="仿宋_GB2312" w:cs="Times New Roman"/>
          <w:sz w:val="32"/>
          <w:szCs w:val="32"/>
          <w:highlight w:val="none"/>
          <w:u w:val="none"/>
          <w:lang w:val="zh-CN" w:eastAsia="zh-CN"/>
        </w:rPr>
        <w:t>我院严格按照已制定的内部控制制度文件和国家财经法规要求使用资金，资金使用符合相关财务管理制度规定，资金的拨付有完整的审批程序和手续，对项目的重大开支进行了评估论证，资金使用符合部门预算批复的用途，不存在截留、挤占、挪用、虚列支出等情况。</w:t>
      </w:r>
    </w:p>
    <w:p w14:paraId="2FEFA7C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zh-CN" w:eastAsia="zh-CN"/>
        </w:rPr>
        <w:t>根据评分标准，该项指标不扣分，得4分。</w:t>
      </w:r>
    </w:p>
    <w:p w14:paraId="1B50331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楷体_GB2312" w:hAnsi="楷体_GB2312" w:eastAsia="楷体_GB2312" w:cs="楷体_GB2312"/>
          <w:color w:val="auto"/>
          <w:sz w:val="32"/>
          <w:highlight w:val="none"/>
          <w:lang w:val="zh-CN" w:eastAsia="zh-CN"/>
        </w:rPr>
      </w:pPr>
      <w:r>
        <w:rPr>
          <w:rFonts w:hint="eastAsia" w:ascii="楷体_GB2312" w:hAnsi="楷体_GB2312" w:eastAsia="楷体_GB2312" w:cs="楷体_GB2312"/>
          <w:color w:val="auto"/>
          <w:sz w:val="32"/>
          <w:highlight w:val="none"/>
          <w:lang w:val="en-US" w:eastAsia="zh-CN"/>
        </w:rPr>
        <w:t>4.</w:t>
      </w:r>
      <w:r>
        <w:rPr>
          <w:rFonts w:hint="eastAsia" w:ascii="楷体_GB2312" w:hAnsi="楷体_GB2312" w:eastAsia="楷体_GB2312" w:cs="楷体_GB2312"/>
          <w:color w:val="auto"/>
          <w:sz w:val="32"/>
          <w:highlight w:val="none"/>
          <w:lang w:val="zh-CN" w:eastAsia="zh-CN"/>
        </w:rPr>
        <w:t>资产管理</w:t>
      </w:r>
    </w:p>
    <w:p w14:paraId="37DD3AB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zh-CN" w:eastAsia="zh-CN"/>
        </w:rPr>
        <w:t>（1）人均资产变化率</w:t>
      </w:r>
    </w:p>
    <w:p w14:paraId="403A36A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zh-CN" w:eastAsia="zh-CN"/>
        </w:rPr>
        <w:t>我院2024年末实有在编在职人数为79人，固定资产和无形资产期末账面值净值合计1,012.52万元；2025年末实有在职在编人数为85人，固定资产和无形资产净值合计1,368.33万元。人均占有资产及人均资产变化率计算公式分别为“（固定资产净值+无形资产净值)/在职人数、(当年人均资产-上年人均资产)/上年人均资产”。故我院2024、2025年人均占有资产分别为12.82万元/人、16.10万元/人。</w:t>
      </w:r>
    </w:p>
    <w:p w14:paraId="2536AF5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zh-CN" w:eastAsia="zh-CN"/>
        </w:rPr>
        <w:t>综上，2025年我院人均资产变化率为25.60%，大于0，大于1.4倍州直行政事业单位人均资产变化率-4.89% , ，大于2倍州级财政收入增长率34.20%。</w:t>
      </w:r>
    </w:p>
    <w:p w14:paraId="5126867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zh-CN" w:eastAsia="zh-CN"/>
        </w:rPr>
        <w:t>根据评分标准，该项指标扣2.70分，得0.30分。</w:t>
      </w:r>
    </w:p>
    <w:p w14:paraId="1D889624">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w:t>
      </w:r>
      <w:r>
        <w:rPr>
          <w:rFonts w:hint="default" w:ascii="Times New Roman" w:hAnsi="Times New Roman" w:eastAsia="仿宋_GB2312" w:cs="Times New Roman"/>
          <w:color w:val="auto"/>
          <w:sz w:val="32"/>
          <w:highlight w:val="none"/>
          <w:lang w:val="en-US" w:eastAsia="zh-CN"/>
        </w:rPr>
        <w:t>2</w:t>
      </w:r>
      <w:r>
        <w:rPr>
          <w:rFonts w:hint="eastAsia" w:ascii="Times New Roman" w:hAnsi="Times New Roman" w:eastAsia="仿宋_GB2312" w:cs="Times New Roman"/>
          <w:color w:val="auto"/>
          <w:sz w:val="32"/>
          <w:highlight w:val="none"/>
          <w:lang w:val="en-US" w:eastAsia="zh-CN"/>
        </w:rPr>
        <w:t>）资产利用率</w:t>
      </w:r>
    </w:p>
    <w:p w14:paraId="5C52FC9F">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2024年办公家具账面价值为173.06万元，超最低使用年限的办公家具账面价值为4.72万元，故办公家具超最低使用年限资产利用率=超最低使用年限的办公家具账面价值÷办公家具账面价值×100%=2.73%；2025年办公设备账面价值为1,937.97万元，超最低使用年限的办公设备账面价值为730.15万元，故办公设备超最低使用年限资产利用率=超最低使用年限的办公设备账面价值÷办公设备账面价值×100%=37.68%。</w:t>
      </w:r>
    </w:p>
    <w:p w14:paraId="4D7FE4C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综上，我院在资产利用率方面，办公家具和用具超最低使用年限资产利用率小于0.6倍州直行政事业单位平均值7.76%，办公设备超最低使用年限资产利用率大于0.6倍州直行政事业单位平均值31.88%小于0.8倍州直行政事业单位平均值42.51%。</w:t>
      </w:r>
    </w:p>
    <w:p w14:paraId="3DFF44D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根据评分标准，该项指标扣2.10分，得0.90分。</w:t>
      </w:r>
    </w:p>
    <w:p w14:paraId="4C2C61D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w:t>
      </w:r>
      <w:r>
        <w:rPr>
          <w:rFonts w:hint="default" w:ascii="Times New Roman" w:hAnsi="Times New Roman" w:eastAsia="仿宋_GB2312" w:cs="Times New Roman"/>
          <w:color w:val="auto"/>
          <w:sz w:val="32"/>
          <w:highlight w:val="none"/>
          <w:lang w:val="en-US" w:eastAsia="zh-CN"/>
        </w:rPr>
        <w:t>3</w:t>
      </w:r>
      <w:r>
        <w:rPr>
          <w:rFonts w:hint="eastAsia" w:ascii="Times New Roman" w:hAnsi="Times New Roman" w:eastAsia="仿宋_GB2312" w:cs="Times New Roman"/>
          <w:color w:val="auto"/>
          <w:sz w:val="32"/>
          <w:highlight w:val="none"/>
          <w:lang w:val="en-US" w:eastAsia="zh-CN"/>
        </w:rPr>
        <w:t>）资产盘活率</w:t>
      </w:r>
    </w:p>
    <w:p w14:paraId="463E4232">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我院2024</w:t>
      </w:r>
      <w:r>
        <w:rPr>
          <w:rFonts w:hint="default" w:ascii="Times New Roman" w:hAnsi="Times New Roman" w:eastAsia="仿宋_GB2312" w:cs="Times New Roman"/>
          <w:color w:val="auto"/>
          <w:sz w:val="32"/>
          <w:highlight w:val="none"/>
          <w:lang w:val="en-US" w:eastAsia="zh-CN"/>
        </w:rPr>
        <w:t>年、2025年均无闲置资产。自评年度</w:t>
      </w:r>
      <w:r>
        <w:rPr>
          <w:rFonts w:hint="eastAsia" w:ascii="Times New Roman" w:hAnsi="Times New Roman" w:eastAsia="仿宋_GB2312" w:cs="Times New Roman"/>
          <w:color w:val="auto"/>
          <w:sz w:val="32"/>
          <w:highlight w:val="none"/>
          <w:lang w:val="en-US" w:eastAsia="zh-CN"/>
        </w:rPr>
        <w:t>我院</w:t>
      </w:r>
      <w:r>
        <w:rPr>
          <w:rFonts w:hint="default" w:ascii="Times New Roman" w:hAnsi="Times New Roman" w:eastAsia="仿宋_GB2312" w:cs="Times New Roman"/>
          <w:color w:val="auto"/>
          <w:sz w:val="32"/>
          <w:highlight w:val="none"/>
          <w:lang w:val="en-US" w:eastAsia="zh-CN"/>
        </w:rPr>
        <w:t>部门闲置资产占比变化率</w:t>
      </w:r>
      <w:r>
        <w:rPr>
          <w:rFonts w:hint="eastAsia" w:ascii="Times New Roman" w:hAnsi="Times New Roman" w:eastAsia="仿宋_GB2312" w:cs="Times New Roman"/>
          <w:color w:val="auto"/>
          <w:sz w:val="32"/>
          <w:highlight w:val="none"/>
          <w:lang w:val="en-US" w:eastAsia="zh-CN"/>
        </w:rPr>
        <w:t>为</w:t>
      </w:r>
      <w:r>
        <w:rPr>
          <w:rFonts w:hint="default" w:ascii="Times New Roman" w:hAnsi="Times New Roman" w:eastAsia="仿宋_GB2312" w:cs="Times New Roman"/>
          <w:color w:val="auto"/>
          <w:sz w:val="32"/>
          <w:highlight w:val="none"/>
          <w:lang w:val="en-US" w:eastAsia="zh-CN"/>
        </w:rPr>
        <w:t>0%。</w:t>
      </w:r>
    </w:p>
    <w:p w14:paraId="455C2CC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根据评分标准，该项指标不扣分，得3分。</w:t>
      </w:r>
    </w:p>
    <w:p w14:paraId="1AABF7DB">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eastAsia" w:ascii="Times New Roman" w:hAnsi="Times New Roman" w:eastAsia="楷体_GB2312" w:cs="Times New Roman"/>
          <w:b w:val="0"/>
          <w:bCs w:val="0"/>
          <w:color w:val="auto"/>
          <w:szCs w:val="24"/>
          <w:highlight w:val="none"/>
          <w:lang w:val="zh-CN" w:eastAsia="zh-CN"/>
        </w:rPr>
      </w:pPr>
      <w:r>
        <w:rPr>
          <w:rFonts w:hint="default" w:ascii="Times New Roman" w:hAnsi="Times New Roman" w:eastAsia="楷体_GB2312" w:cs="Times New Roman"/>
          <w:b w:val="0"/>
          <w:bCs w:val="0"/>
          <w:color w:val="auto"/>
          <w:szCs w:val="24"/>
          <w:highlight w:val="none"/>
          <w:lang w:val="en-US" w:eastAsia="zh-CN"/>
        </w:rPr>
        <w:t>5</w:t>
      </w:r>
      <w:r>
        <w:rPr>
          <w:rFonts w:hint="eastAsia" w:ascii="Times New Roman" w:hAnsi="Times New Roman" w:eastAsia="楷体_GB2312" w:cs="Times New Roman"/>
          <w:b w:val="0"/>
          <w:bCs w:val="0"/>
          <w:color w:val="auto"/>
          <w:szCs w:val="24"/>
          <w:highlight w:val="none"/>
          <w:lang w:val="en-US" w:eastAsia="zh-CN"/>
        </w:rPr>
        <w:t>.</w:t>
      </w:r>
      <w:r>
        <w:rPr>
          <w:rFonts w:hint="default" w:ascii="Times New Roman" w:hAnsi="Times New Roman" w:eastAsia="楷体_GB2312" w:cs="Times New Roman"/>
          <w:b w:val="0"/>
          <w:bCs w:val="0"/>
          <w:color w:val="auto"/>
          <w:szCs w:val="24"/>
          <w:highlight w:val="none"/>
          <w:lang w:val="zh-CN" w:eastAsia="zh-CN"/>
        </w:rPr>
        <w:t>采购管理</w:t>
      </w:r>
    </w:p>
    <w:p w14:paraId="562B300D">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eastAsia" w:ascii="Times New Roman" w:hAnsi="Times New Roman" w:eastAsia="仿宋_GB2312" w:cs="Times New Roman"/>
          <w:color w:val="auto"/>
          <w:sz w:val="32"/>
          <w:highlight w:val="none"/>
          <w:lang w:val="zh-CN"/>
        </w:rPr>
      </w:pPr>
      <w:r>
        <w:rPr>
          <w:rFonts w:hint="eastAsia" w:ascii="Times New Roman" w:hAnsi="Times New Roman" w:eastAsia="仿宋_GB2312" w:cs="Times New Roman"/>
          <w:color w:val="auto"/>
          <w:sz w:val="32"/>
          <w:highlight w:val="none"/>
          <w:lang w:val="zh-CN"/>
        </w:rPr>
        <w:t>（</w:t>
      </w:r>
      <w:r>
        <w:rPr>
          <w:rFonts w:hint="default" w:ascii="Times New Roman" w:hAnsi="Times New Roman" w:eastAsia="仿宋_GB2312" w:cs="Times New Roman"/>
          <w:color w:val="auto"/>
          <w:sz w:val="32"/>
          <w:highlight w:val="none"/>
          <w:lang w:val="en-US" w:eastAsia="zh-CN"/>
        </w:rPr>
        <w:t>1</w:t>
      </w:r>
      <w:r>
        <w:rPr>
          <w:rFonts w:hint="eastAsia" w:ascii="Times New Roman" w:hAnsi="Times New Roman" w:eastAsia="仿宋_GB2312" w:cs="Times New Roman"/>
          <w:color w:val="auto"/>
          <w:sz w:val="32"/>
          <w:highlight w:val="none"/>
          <w:lang w:val="zh-CN"/>
        </w:rPr>
        <w:t>）支持中小企业发展</w:t>
      </w:r>
    </w:p>
    <w:p w14:paraId="481C1CAB">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严格执行政府采购促进中小企业发展相关管理办法，对适宜由中小企业提供的采购项目和采购包，预留了采购份额专门面向中小企业采购，并在采购预算中单独列示。2025年，我院采购预算为0.00万元，政府采购授予中小企业合同金额为0.00万元。</w:t>
      </w:r>
    </w:p>
    <w:p w14:paraId="2FA513B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根据评分标准，该项指标不扣分，得3分。</w:t>
      </w:r>
    </w:p>
    <w:p w14:paraId="64209123">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3"/>
        <w:rPr>
          <w:rFonts w:hint="default"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w:t>
      </w:r>
      <w:r>
        <w:rPr>
          <w:rFonts w:hint="default" w:ascii="Times New Roman" w:hAnsi="Times New Roman" w:eastAsia="仿宋_GB2312" w:cs="Times New Roman"/>
          <w:color w:val="auto"/>
          <w:sz w:val="32"/>
          <w:highlight w:val="none"/>
          <w:lang w:val="en-US" w:eastAsia="zh-CN"/>
        </w:rPr>
        <w:t>2</w:t>
      </w:r>
      <w:r>
        <w:rPr>
          <w:rFonts w:hint="eastAsia" w:ascii="Times New Roman" w:hAnsi="Times New Roman" w:eastAsia="仿宋_GB2312" w:cs="Times New Roman"/>
          <w:color w:val="auto"/>
          <w:sz w:val="32"/>
          <w:highlight w:val="none"/>
          <w:lang w:val="en-US" w:eastAsia="zh-CN"/>
        </w:rPr>
        <w:t>）采购执行率</w:t>
      </w:r>
    </w:p>
    <w:p w14:paraId="1D6FF82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en-US" w:eastAsia="zh-CN"/>
        </w:rPr>
      </w:pPr>
      <w:r>
        <w:rPr>
          <w:rFonts w:hint="eastAsia" w:ascii="Times New Roman" w:hAnsi="Times New Roman" w:eastAsia="仿宋_GB2312" w:cs="Times New Roman"/>
          <w:color w:val="auto"/>
          <w:sz w:val="32"/>
          <w:highlight w:val="none"/>
          <w:lang w:val="en-US" w:eastAsia="zh-CN"/>
        </w:rPr>
        <w:t>我院2025年度的政府采购总预算数为0万元，当年政府采购预算执行数为281.37万元，已完成采购项目节约金额为0万元，故我院采购执行方面采购执行率为100%。</w:t>
      </w:r>
    </w:p>
    <w:p w14:paraId="019833FD">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color w:val="auto"/>
          <w:sz w:val="32"/>
          <w:highlight w:val="none"/>
          <w:lang w:val="zh-CN" w:eastAsia="zh-CN"/>
        </w:rPr>
      </w:pPr>
      <w:r>
        <w:rPr>
          <w:rFonts w:hint="eastAsia" w:ascii="Times New Roman" w:hAnsi="Times New Roman" w:eastAsia="仿宋_GB2312" w:cs="Times New Roman"/>
          <w:color w:val="auto"/>
          <w:sz w:val="32"/>
          <w:highlight w:val="none"/>
          <w:lang w:val="en-US" w:eastAsia="zh-CN"/>
        </w:rPr>
        <w:t>根据评分标准，该项指标不扣分，得3分。</w:t>
      </w:r>
    </w:p>
    <w:p w14:paraId="2215A50D">
      <w:pPr>
        <w:keepNext w:val="0"/>
        <w:keepLines w:val="0"/>
        <w:pageBreakBefore w:val="0"/>
        <w:widowControl/>
        <w:shd w:val="clear"/>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16FE09EA">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常年项目绩效分析。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56.50</w:t>
      </w:r>
      <w:r>
        <w:rPr>
          <w:rFonts w:hint="default" w:ascii="Times New Roman" w:hAnsi="Times New Roman" w:eastAsia="仿宋_GB2312" w:cs="Times New Roman"/>
          <w:color w:val="000000"/>
          <w:kern w:val="0"/>
          <w:sz w:val="32"/>
          <w:szCs w:val="32"/>
          <w:highlight w:val="none"/>
          <w:shd w:val="clear" w:color="auto" w:fill="FFFFFF"/>
          <w:lang w:val="zh-CN" w:eastAsia="zh-CN"/>
        </w:rPr>
        <w:t>万元，1—1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月预算执行总体进度为</w:t>
      </w:r>
      <w:r>
        <w:rPr>
          <w:rFonts w:hint="eastAsia" w:ascii="Times New Roman" w:hAnsi="Times New Roman" w:eastAsia="仿宋_GB2312" w:cs="Times New Roman"/>
          <w:color w:val="000000"/>
          <w:kern w:val="0"/>
          <w:sz w:val="32"/>
          <w:szCs w:val="32"/>
          <w:highlight w:val="none"/>
          <w:shd w:val="clear" w:color="auto" w:fill="FFFFFF"/>
          <w:lang w:val="en-US" w:eastAsia="zh-CN"/>
        </w:rPr>
        <w:t>46.85%</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zh-CN" w:eastAsia="zh-CN"/>
        </w:rPr>
        <w:t>其中：预算结余率大于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1</w:t>
      </w:r>
      <w:r>
        <w:rPr>
          <w:rFonts w:hint="default" w:ascii="Times New Roman" w:hAnsi="Times New Roman" w:eastAsia="仿宋_GB2312" w:cs="Times New Roman"/>
          <w:color w:val="000000"/>
          <w:kern w:val="0"/>
          <w:sz w:val="32"/>
          <w:szCs w:val="32"/>
          <w:highlight w:val="none"/>
          <w:shd w:val="clear" w:color="auto" w:fill="FFFFFF"/>
          <w:lang w:val="zh-CN" w:eastAsia="zh-CN"/>
        </w:rPr>
        <w:t>个</w:t>
      </w:r>
      <w:r>
        <w:rPr>
          <w:rFonts w:hint="eastAsia" w:ascii="Times New Roman" w:hAnsi="Times New Roman" w:eastAsia="仿宋_GB2312" w:cs="Times New Roman"/>
          <w:color w:val="000000"/>
          <w:kern w:val="0"/>
          <w:sz w:val="32"/>
          <w:szCs w:val="32"/>
          <w:highlight w:val="none"/>
          <w:shd w:val="clear" w:color="auto" w:fill="FFFFFF"/>
          <w:lang w:val="zh-CN" w:eastAsia="zh-CN"/>
        </w:rPr>
        <w:t>。</w:t>
      </w:r>
    </w:p>
    <w:p w14:paraId="071B935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阶段</w:t>
      </w:r>
      <w:r>
        <w:rPr>
          <w:rFonts w:hint="eastAsia" w:ascii="Times New Roman" w:hAnsi="Times New Roman" w:eastAsia="仿宋_GB2312" w:cs="Times New Roman"/>
          <w:color w:val="000000"/>
          <w:kern w:val="0"/>
          <w:sz w:val="32"/>
          <w:szCs w:val="32"/>
          <w:highlight w:val="none"/>
          <w:shd w:val="clear" w:color="auto" w:fill="FFFFFF"/>
          <w:lang w:val="en-US" w:eastAsia="zh-CN"/>
        </w:rPr>
        <w:t>（含</w:t>
      </w:r>
      <w:r>
        <w:rPr>
          <w:rFonts w:hint="default" w:ascii="Times New Roman" w:hAnsi="Times New Roman" w:eastAsia="仿宋_GB2312" w:cs="Times New Roman"/>
          <w:color w:val="000000"/>
          <w:kern w:val="0"/>
          <w:sz w:val="32"/>
          <w:szCs w:val="32"/>
          <w:highlight w:val="none"/>
          <w:shd w:val="clear" w:color="auto" w:fill="FFFFFF"/>
          <w:lang w:val="en-US" w:eastAsia="zh-CN"/>
        </w:rPr>
        <w:t>一次性</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项目绩效分析。</w:t>
      </w:r>
      <w:r>
        <w:rPr>
          <w:rFonts w:hint="default" w:ascii="Times New Roman" w:hAnsi="Times New Roman" w:eastAsia="仿宋_GB2312" w:cs="Times New Roman"/>
          <w:color w:val="000000"/>
          <w:kern w:val="0"/>
          <w:sz w:val="32"/>
          <w:szCs w:val="32"/>
          <w:highlight w:val="none"/>
          <w:shd w:val="clear" w:color="auto" w:fill="FFFFFF"/>
          <w:lang w:val="zh-CN" w:eastAsia="zh-CN"/>
        </w:rPr>
        <w:t>该类项目总数</w:t>
      </w:r>
      <w:r>
        <w:rPr>
          <w:rFonts w:hint="eastAsia" w:ascii="Times New Roman" w:hAnsi="Times New Roman" w:eastAsia="仿宋_GB2312" w:cs="Times New Roman"/>
          <w:color w:val="000000"/>
          <w:kern w:val="0"/>
          <w:sz w:val="32"/>
          <w:szCs w:val="32"/>
          <w:highlight w:val="none"/>
          <w:shd w:val="clear" w:color="auto" w:fill="FFFFFF"/>
          <w:lang w:val="en-US" w:eastAsia="zh-CN"/>
        </w:rPr>
        <w:t>9</w:t>
      </w:r>
      <w:r>
        <w:rPr>
          <w:rFonts w:hint="default" w:ascii="Times New Roman" w:hAnsi="Times New Roman" w:eastAsia="仿宋_GB2312" w:cs="Times New Roman"/>
          <w:color w:val="000000"/>
          <w:kern w:val="0"/>
          <w:sz w:val="32"/>
          <w:szCs w:val="32"/>
          <w:highlight w:val="none"/>
          <w:shd w:val="clear" w:color="auto" w:fill="FFFFFF"/>
          <w:lang w:val="zh-CN" w:eastAsia="zh-CN"/>
        </w:rPr>
        <w:t>个，涉及预算总金额</w:t>
      </w:r>
      <w:r>
        <w:rPr>
          <w:rFonts w:hint="eastAsia" w:ascii="Times New Roman" w:hAnsi="Times New Roman" w:eastAsia="仿宋_GB2312" w:cs="Times New Roman"/>
          <w:color w:val="000000"/>
          <w:kern w:val="0"/>
          <w:sz w:val="32"/>
          <w:szCs w:val="32"/>
          <w:highlight w:val="none"/>
          <w:shd w:val="clear" w:color="auto" w:fill="FFFFFF"/>
          <w:lang w:val="en-US" w:eastAsia="zh-CN"/>
        </w:rPr>
        <w:t>946.40</w:t>
      </w:r>
      <w:r>
        <w:rPr>
          <w:rFonts w:hint="default" w:ascii="Times New Roman" w:hAnsi="Times New Roman" w:eastAsia="仿宋_GB2312" w:cs="Times New Roman"/>
          <w:color w:val="000000"/>
          <w:kern w:val="0"/>
          <w:sz w:val="32"/>
          <w:szCs w:val="32"/>
          <w:highlight w:val="none"/>
          <w:shd w:val="clear" w:color="auto" w:fill="FFFFFF"/>
          <w:lang w:val="zh-CN" w:eastAsia="zh-CN"/>
        </w:rPr>
        <w:t>万元，1—1</w:t>
      </w:r>
      <w:r>
        <w:rPr>
          <w:rFonts w:hint="default" w:ascii="Times New Roman" w:hAnsi="Times New Roman" w:eastAsia="仿宋_GB2312" w:cs="Times New Roman"/>
          <w:color w:val="000000"/>
          <w:kern w:val="0"/>
          <w:sz w:val="32"/>
          <w:szCs w:val="32"/>
          <w:highlight w:val="none"/>
          <w:shd w:val="clear" w:color="auto" w:fill="FFFFFF"/>
          <w:lang w:val="en-US" w:eastAsia="zh-CN"/>
        </w:rPr>
        <w:t>2</w:t>
      </w:r>
      <w:r>
        <w:rPr>
          <w:rFonts w:hint="default" w:ascii="Times New Roman" w:hAnsi="Times New Roman" w:eastAsia="仿宋_GB2312" w:cs="Times New Roman"/>
          <w:color w:val="000000"/>
          <w:kern w:val="0"/>
          <w:sz w:val="32"/>
          <w:szCs w:val="32"/>
          <w:highlight w:val="none"/>
          <w:shd w:val="clear" w:color="auto" w:fill="FFFFFF"/>
          <w:lang w:val="zh-CN" w:eastAsia="zh-CN"/>
        </w:rPr>
        <w:t>月预算执行总体进度</w:t>
      </w:r>
      <w:r>
        <w:rPr>
          <w:rFonts w:hint="eastAsia" w:ascii="Times New Roman" w:hAnsi="Times New Roman" w:eastAsia="仿宋_GB2312" w:cs="Times New Roman"/>
          <w:color w:val="000000"/>
          <w:kern w:val="0"/>
          <w:sz w:val="32"/>
          <w:szCs w:val="32"/>
          <w:highlight w:val="none"/>
          <w:shd w:val="clear" w:color="auto" w:fill="FFFFFF"/>
          <w:lang w:val="en-US" w:eastAsia="zh-CN"/>
        </w:rPr>
        <w:t>74.54</w:t>
      </w:r>
      <w:r>
        <w:rPr>
          <w:rFonts w:hint="default"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eastAsia" w:ascii="Times New Roman" w:hAnsi="Times New Roman" w:eastAsia="仿宋_GB2312" w:cs="Times New Roman"/>
          <w:color w:val="000000"/>
          <w:kern w:val="0"/>
          <w:sz w:val="32"/>
          <w:szCs w:val="32"/>
          <w:highlight w:val="none"/>
          <w:shd w:val="clear" w:color="auto" w:fill="FFFFFF"/>
          <w:lang w:val="en-US" w:eastAsia="zh-CN"/>
        </w:rPr>
        <w:t>其中；</w:t>
      </w:r>
      <w:r>
        <w:rPr>
          <w:rFonts w:hint="default" w:ascii="Times New Roman" w:hAnsi="Times New Roman" w:eastAsia="仿宋_GB2312" w:cs="Times New Roman"/>
          <w:color w:val="000000"/>
          <w:kern w:val="0"/>
          <w:sz w:val="32"/>
          <w:szCs w:val="32"/>
          <w:highlight w:val="none"/>
          <w:shd w:val="clear" w:color="auto" w:fill="FFFFFF"/>
          <w:lang w:val="zh-CN" w:eastAsia="zh-CN"/>
        </w:rPr>
        <w:t>预算结余率大于</w:t>
      </w:r>
      <w:r>
        <w:rPr>
          <w:rFonts w:hint="default" w:ascii="Times New Roman" w:hAnsi="Times New Roman" w:eastAsia="仿宋_GB2312" w:cs="Times New Roman"/>
          <w:color w:val="000000"/>
          <w:kern w:val="0"/>
          <w:sz w:val="32"/>
          <w:szCs w:val="32"/>
          <w:highlight w:val="none"/>
          <w:shd w:val="clear" w:color="auto" w:fill="FFFFFF"/>
          <w:lang w:val="en-US" w:eastAsia="zh-CN"/>
        </w:rPr>
        <w:t>10%</w:t>
      </w:r>
      <w:r>
        <w:rPr>
          <w:rFonts w:hint="default" w:ascii="Times New Roman" w:hAnsi="Times New Roman" w:eastAsia="仿宋_GB2312" w:cs="Times New Roman"/>
          <w:color w:val="000000"/>
          <w:kern w:val="0"/>
          <w:sz w:val="32"/>
          <w:szCs w:val="32"/>
          <w:highlight w:val="none"/>
          <w:shd w:val="clear" w:color="auto" w:fill="FFFFFF"/>
          <w:lang w:val="zh-CN" w:eastAsia="zh-CN"/>
        </w:rPr>
        <w:t>的项目共计</w:t>
      </w:r>
      <w:r>
        <w:rPr>
          <w:rFonts w:hint="eastAsia" w:ascii="Times New Roman" w:hAnsi="Times New Roman" w:eastAsia="仿宋_GB2312" w:cs="Times New Roman"/>
          <w:color w:val="000000"/>
          <w:kern w:val="0"/>
          <w:sz w:val="32"/>
          <w:szCs w:val="32"/>
          <w:highlight w:val="none"/>
          <w:shd w:val="clear" w:color="auto" w:fill="FFFFFF"/>
          <w:lang w:val="en-US" w:eastAsia="zh-CN"/>
        </w:rPr>
        <w:t>3</w:t>
      </w:r>
      <w:r>
        <w:rPr>
          <w:rFonts w:hint="default" w:ascii="Times New Roman" w:hAnsi="Times New Roman" w:eastAsia="仿宋_GB2312" w:cs="Times New Roman"/>
          <w:color w:val="000000"/>
          <w:kern w:val="0"/>
          <w:sz w:val="32"/>
          <w:szCs w:val="32"/>
          <w:highlight w:val="none"/>
          <w:shd w:val="clear" w:color="auto" w:fill="FFFFFF"/>
          <w:lang w:val="zh-CN" w:eastAsia="zh-CN"/>
        </w:rPr>
        <w:t>个</w:t>
      </w:r>
      <w:r>
        <w:rPr>
          <w:rFonts w:hint="eastAsia" w:ascii="Times New Roman" w:hAnsi="Times New Roman" w:eastAsia="仿宋_GB2312" w:cs="Times New Roman"/>
          <w:color w:val="000000"/>
          <w:kern w:val="0"/>
          <w:sz w:val="32"/>
          <w:szCs w:val="32"/>
          <w:highlight w:val="none"/>
          <w:shd w:val="clear" w:color="auto" w:fill="FFFFFF"/>
          <w:lang w:val="zh-CN" w:eastAsia="zh-CN"/>
        </w:rPr>
        <w:t>。</w:t>
      </w:r>
    </w:p>
    <w:p w14:paraId="2756FC29">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en-US" w:eastAsia="zh-CN"/>
        </w:rPr>
        <w:t>.</w:t>
      </w:r>
      <w:r>
        <w:rPr>
          <w:rFonts w:hint="eastAsia" w:ascii="Times New Roman" w:hAnsi="Times New Roman" w:eastAsia="仿宋_GB2312" w:cs="Times New Roman"/>
          <w:color w:val="000000"/>
          <w:kern w:val="0"/>
          <w:sz w:val="32"/>
          <w:szCs w:val="32"/>
          <w:highlight w:val="none"/>
          <w:shd w:val="clear" w:color="auto" w:fill="FFFFFF"/>
          <w:lang w:val="zh-CN" w:eastAsia="zh-CN"/>
        </w:rPr>
        <w:t>项目决策</w:t>
      </w:r>
    </w:p>
    <w:p w14:paraId="6B8CFE5C">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zh-CN" w:eastAsia="zh-CN"/>
        </w:rPr>
      </w:pPr>
      <w:r>
        <w:rPr>
          <w:rFonts w:hint="eastAsia" w:ascii="Times New Roman" w:hAnsi="Times New Roman" w:eastAsia="仿宋_GB2312" w:cs="Times New Roman"/>
          <w:color w:val="000000"/>
          <w:kern w:val="0"/>
          <w:sz w:val="32"/>
          <w:szCs w:val="32"/>
          <w:highlight w:val="none"/>
          <w:shd w:val="clear" w:color="auto" w:fill="FFFFFF"/>
          <w:lang w:val="zh-CN" w:eastAsia="zh-CN"/>
        </w:rPr>
        <w:t>（</w:t>
      </w:r>
      <w:r>
        <w:rPr>
          <w:rFonts w:hint="default" w:ascii="Times New Roman" w:hAnsi="Times New Roman" w:eastAsia="仿宋_GB2312" w:cs="Times New Roman"/>
          <w:color w:val="000000"/>
          <w:kern w:val="0"/>
          <w:sz w:val="32"/>
          <w:szCs w:val="32"/>
          <w:highlight w:val="none"/>
          <w:shd w:val="clear" w:color="auto" w:fill="FFFFFF"/>
          <w:lang w:val="en-US" w:eastAsia="zh-CN"/>
        </w:rPr>
        <w:t>1</w:t>
      </w:r>
      <w:r>
        <w:rPr>
          <w:rFonts w:hint="eastAsia" w:ascii="Times New Roman" w:hAnsi="Times New Roman" w:eastAsia="仿宋_GB2312" w:cs="Times New Roman"/>
          <w:color w:val="000000"/>
          <w:kern w:val="0"/>
          <w:sz w:val="32"/>
          <w:szCs w:val="32"/>
          <w:highlight w:val="none"/>
          <w:shd w:val="clear" w:color="auto" w:fill="FFFFFF"/>
          <w:lang w:val="zh-CN" w:eastAsia="zh-CN"/>
        </w:rPr>
        <w:t>）决策程序</w:t>
      </w:r>
    </w:p>
    <w:p w14:paraId="7A029ECB">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eastAsia" w:ascii="Times New Roman" w:hAnsi="Times New Roman" w:eastAsia="仿宋_GB2312" w:cs="Times New Roman"/>
          <w:color w:val="000000"/>
          <w:kern w:val="0"/>
          <w:sz w:val="32"/>
          <w:szCs w:val="32"/>
          <w:highlight w:val="none"/>
          <w:shd w:val="clear" w:color="auto" w:fill="FFFFFF"/>
          <w:lang w:val="en-US" w:eastAsia="zh-CN"/>
        </w:rPr>
        <w:t>根据事前绩效评估相关要求，2025年我院9个</w:t>
      </w:r>
      <w:r>
        <w:rPr>
          <w:rFonts w:hint="default" w:ascii="Times New Roman" w:hAnsi="Times New Roman" w:eastAsia="仿宋_GB2312" w:cs="Times New Roman"/>
          <w:color w:val="000000"/>
          <w:kern w:val="0"/>
          <w:sz w:val="32"/>
          <w:szCs w:val="32"/>
          <w:highlight w:val="none"/>
          <w:shd w:val="clear" w:color="auto" w:fill="FFFFFF"/>
          <w:lang w:val="en-US" w:eastAsia="zh-CN"/>
        </w:rPr>
        <w:t>预算阶段项目（含一次性项目）</w:t>
      </w:r>
      <w:r>
        <w:rPr>
          <w:rFonts w:hint="eastAsia" w:ascii="Times New Roman" w:hAnsi="Times New Roman" w:eastAsia="仿宋_GB2312" w:cs="Times New Roman"/>
          <w:color w:val="000000"/>
          <w:kern w:val="0"/>
          <w:sz w:val="32"/>
          <w:szCs w:val="32"/>
          <w:highlight w:val="none"/>
          <w:shd w:val="clear" w:color="auto" w:fill="FFFFFF"/>
          <w:lang w:val="en-US" w:eastAsia="zh-CN"/>
        </w:rPr>
        <w:t>均严格履行事前评估程序，项目立项依据充分，决策程序规范。</w:t>
      </w:r>
    </w:p>
    <w:p w14:paraId="27C75CAE">
      <w:pPr>
        <w:keepNext w:val="0"/>
        <w:keepLines w:val="0"/>
        <w:pageBreakBefore w:val="0"/>
        <w:widowControl w:val="0"/>
        <w:numPr>
          <w:ilvl w:val="0"/>
          <w:numId w:val="0"/>
        </w:numPr>
        <w:shd w:val="clear"/>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color w:val="000000"/>
          <w:kern w:val="0"/>
          <w:sz w:val="32"/>
          <w:szCs w:val="32"/>
          <w:highlight w:val="none"/>
          <w:shd w:val="clear" w:color="auto" w:fill="FFFFFF"/>
          <w:lang w:val="en-US" w:eastAsia="zh-CN"/>
        </w:rPr>
      </w:pPr>
      <w:r>
        <w:rPr>
          <w:rFonts w:hint="default" w:ascii="Times New Roman" w:hAnsi="Times New Roman" w:eastAsia="仿宋_GB2312" w:cs="Times New Roman"/>
          <w:color w:val="000000"/>
          <w:kern w:val="0"/>
          <w:sz w:val="32"/>
          <w:szCs w:val="32"/>
          <w:highlight w:val="none"/>
          <w:shd w:val="clear" w:color="auto" w:fill="FFFFFF"/>
          <w:lang w:val="en-US" w:eastAsia="zh-CN"/>
        </w:rPr>
        <w:t>根据评分标准，该项指标不扣分，得4分</w:t>
      </w:r>
      <w:r>
        <w:rPr>
          <w:rFonts w:hint="eastAsia" w:ascii="Times New Roman" w:hAnsi="Times New Roman" w:eastAsia="仿宋_GB2312" w:cs="Times New Roman"/>
          <w:color w:val="000000"/>
          <w:kern w:val="0"/>
          <w:sz w:val="32"/>
          <w:szCs w:val="32"/>
          <w:highlight w:val="none"/>
          <w:shd w:val="clear" w:color="auto" w:fill="FFFFFF"/>
          <w:lang w:val="en-US" w:eastAsia="zh-CN"/>
        </w:rPr>
        <w:t>。</w:t>
      </w:r>
    </w:p>
    <w:p w14:paraId="46D568C0">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2</w:t>
      </w:r>
      <w:r>
        <w:rPr>
          <w:rFonts w:hint="eastAsia" w:ascii="Times New Roman" w:hAnsi="Times New Roman" w:eastAsia="仿宋_GB2312" w:cs="Times New Roman"/>
          <w:sz w:val="32"/>
          <w:highlight w:val="none"/>
          <w:lang w:val="en-US" w:eastAsia="zh-CN"/>
        </w:rPr>
        <w:t>）目标设置</w:t>
      </w:r>
    </w:p>
    <w:p w14:paraId="26BEF681">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2025年我院</w:t>
      </w:r>
      <w:r>
        <w:rPr>
          <w:rFonts w:hint="default" w:ascii="Times New Roman" w:hAnsi="Times New Roman" w:eastAsia="仿宋_GB2312" w:cs="Times New Roman"/>
          <w:sz w:val="32"/>
          <w:highlight w:val="none"/>
          <w:lang w:val="zh-CN" w:eastAsia="zh-CN"/>
        </w:rPr>
        <w:t>开展绩效目标管理的</w:t>
      </w:r>
      <w:r>
        <w:rPr>
          <w:rFonts w:hint="eastAsia" w:ascii="Times New Roman" w:hAnsi="Times New Roman" w:eastAsia="仿宋_GB2312" w:cs="Times New Roman"/>
          <w:sz w:val="32"/>
          <w:highlight w:val="none"/>
          <w:lang w:val="en-US" w:eastAsia="zh-CN"/>
        </w:rPr>
        <w:t>部门预算阶段项目（含一次性项目）共有9个</w:t>
      </w:r>
      <w:r>
        <w:rPr>
          <w:rFonts w:hint="eastAsia" w:ascii="Times New Roman" w:hAnsi="Times New Roman" w:eastAsia="仿宋_GB2312" w:cs="Times New Roman"/>
          <w:sz w:val="32"/>
          <w:highlight w:val="none"/>
          <w:lang w:val="zh-CN" w:eastAsia="zh-CN"/>
        </w:rPr>
        <w:t>，</w:t>
      </w:r>
      <w:r>
        <w:rPr>
          <w:rFonts w:hint="eastAsia" w:ascii="Times New Roman" w:hAnsi="Times New Roman" w:eastAsia="仿宋_GB2312" w:cs="Times New Roman"/>
          <w:sz w:val="32"/>
          <w:highlight w:val="none"/>
          <w:lang w:val="en-US" w:eastAsia="zh-CN"/>
        </w:rPr>
        <w:t>为充分发挥绩效目标引领作用，</w:t>
      </w:r>
      <w:r>
        <w:rPr>
          <w:rFonts w:hint="eastAsia" w:ascii="Times New Roman" w:hAnsi="Times New Roman" w:eastAsia="仿宋_GB2312" w:cs="Times New Roman"/>
          <w:sz w:val="32"/>
          <w:highlight w:val="none"/>
          <w:lang w:val="zh-CN" w:eastAsia="zh-CN"/>
        </w:rPr>
        <w:t>我院</w:t>
      </w:r>
      <w:r>
        <w:rPr>
          <w:rFonts w:hint="eastAsia" w:ascii="Times New Roman" w:hAnsi="Times New Roman" w:eastAsia="仿宋_GB2312" w:cs="Times New Roman"/>
          <w:sz w:val="32"/>
          <w:highlight w:val="none"/>
          <w:lang w:val="en-US" w:eastAsia="zh-CN"/>
        </w:rPr>
        <w:t>贯彻落实《中共四川省委办公厅四川省人民政府办公厅关于深入实施预算绩效管理的通知》（川委厅〔</w:t>
      </w:r>
      <w:r>
        <w:rPr>
          <w:rFonts w:hint="default" w:ascii="Times New Roman" w:hAnsi="Times New Roman" w:eastAsia="仿宋_GB2312" w:cs="Times New Roman"/>
          <w:sz w:val="32"/>
          <w:highlight w:val="none"/>
          <w:lang w:val="en-US" w:eastAsia="zh-CN"/>
        </w:rPr>
        <w:t>2021</w:t>
      </w: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5</w:t>
      </w:r>
      <w:r>
        <w:rPr>
          <w:rFonts w:hint="eastAsia" w:ascii="Times New Roman" w:hAnsi="Times New Roman" w:eastAsia="仿宋_GB2312" w:cs="Times New Roman"/>
          <w:sz w:val="32"/>
          <w:highlight w:val="none"/>
          <w:lang w:val="en-US" w:eastAsia="zh-CN"/>
        </w:rPr>
        <w:t>号）文件精神，9个项目均设置了相应的绩效目标表。</w:t>
      </w:r>
    </w:p>
    <w:p w14:paraId="28CBBA1C">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25F0EB7F">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w:t>
      </w:r>
      <w:r>
        <w:rPr>
          <w:rFonts w:hint="default" w:ascii="Times New Roman" w:hAnsi="Times New Roman" w:eastAsia="仿宋_GB2312" w:cs="Times New Roman"/>
          <w:sz w:val="32"/>
          <w:highlight w:val="none"/>
          <w:lang w:val="en-US" w:eastAsia="zh-CN"/>
        </w:rPr>
        <w:t>3</w:t>
      </w:r>
      <w:r>
        <w:rPr>
          <w:rFonts w:hint="eastAsia" w:ascii="Times New Roman" w:hAnsi="Times New Roman" w:eastAsia="仿宋_GB2312" w:cs="Times New Roman"/>
          <w:sz w:val="32"/>
          <w:highlight w:val="none"/>
          <w:lang w:val="en-US" w:eastAsia="zh-CN"/>
        </w:rPr>
        <w:t>）项目入库</w:t>
      </w:r>
    </w:p>
    <w:p w14:paraId="7B4E56CA">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zh-CN" w:eastAsia="zh-CN"/>
        </w:rPr>
        <w:t>2025年我院需在</w:t>
      </w:r>
      <w:r>
        <w:rPr>
          <w:rFonts w:hint="eastAsia" w:ascii="Times New Roman" w:hAnsi="Times New Roman" w:eastAsia="仿宋_GB2312" w:cs="Times New Roman"/>
          <w:sz w:val="32"/>
          <w:highlight w:val="none"/>
          <w:lang w:val="en-US" w:eastAsia="zh-CN"/>
        </w:rPr>
        <w:t>规定时间内进行入库的</w:t>
      </w:r>
      <w:r>
        <w:rPr>
          <w:rFonts w:hint="eastAsia" w:ascii="Times New Roman" w:hAnsi="Times New Roman" w:eastAsia="仿宋_GB2312" w:cs="Times New Roman"/>
          <w:sz w:val="32"/>
          <w:highlight w:val="none"/>
          <w:lang w:val="zh-CN" w:eastAsia="zh-CN"/>
        </w:rPr>
        <w:t>项目共有</w:t>
      </w:r>
      <w:r>
        <w:rPr>
          <w:rFonts w:hint="eastAsia" w:ascii="Times New Roman" w:hAnsi="Times New Roman" w:eastAsia="仿宋_GB2312" w:cs="Times New Roman"/>
          <w:sz w:val="32"/>
          <w:highlight w:val="none"/>
          <w:lang w:val="en-US" w:eastAsia="zh-CN"/>
        </w:rPr>
        <w:t>9</w:t>
      </w:r>
      <w:r>
        <w:rPr>
          <w:rFonts w:hint="eastAsia" w:ascii="Times New Roman" w:hAnsi="Times New Roman" w:eastAsia="仿宋_GB2312" w:cs="Times New Roman"/>
          <w:sz w:val="32"/>
          <w:highlight w:val="none"/>
          <w:lang w:val="zh-CN" w:eastAsia="zh-CN"/>
        </w:rPr>
        <w:t>个，</w:t>
      </w:r>
      <w:r>
        <w:rPr>
          <w:rFonts w:hint="eastAsia" w:ascii="Times New Roman" w:hAnsi="Times New Roman" w:eastAsia="仿宋_GB2312" w:cs="Times New Roman"/>
          <w:sz w:val="32"/>
          <w:highlight w:val="none"/>
          <w:lang w:val="en-US" w:eastAsia="zh-CN"/>
        </w:rPr>
        <w:t>均在规定时间内完成了项目入库。</w:t>
      </w:r>
    </w:p>
    <w:p w14:paraId="13B773AA">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13534352">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eastAsia" w:ascii="Times New Roman" w:hAnsi="Times New Roman" w:eastAsia="楷体_GB2312" w:cs="Times New Roman"/>
          <w:b w:val="0"/>
          <w:bCs w:val="0"/>
          <w:szCs w:val="24"/>
          <w:highlight w:val="none"/>
          <w:lang w:val="zh-CN" w:eastAsia="zh-CN"/>
        </w:rPr>
      </w:pPr>
      <w:r>
        <w:rPr>
          <w:rFonts w:hint="default" w:ascii="Times New Roman" w:hAnsi="Times New Roman" w:eastAsia="楷体_GB2312" w:cs="Times New Roman"/>
          <w:b w:val="0"/>
          <w:bCs w:val="0"/>
          <w:szCs w:val="24"/>
          <w:highlight w:val="none"/>
          <w:lang w:val="en-US" w:eastAsia="zh-CN"/>
        </w:rPr>
        <w:t>2</w:t>
      </w:r>
      <w:r>
        <w:rPr>
          <w:rFonts w:hint="eastAsia" w:ascii="Times New Roman" w:hAnsi="Times New Roman" w:eastAsia="楷体_GB2312" w:cs="Times New Roman"/>
          <w:b w:val="0"/>
          <w:bCs w:val="0"/>
          <w:szCs w:val="24"/>
          <w:highlight w:val="none"/>
          <w:lang w:val="en-US" w:eastAsia="zh-CN"/>
        </w:rPr>
        <w:t>.项目执行</w:t>
      </w:r>
    </w:p>
    <w:p w14:paraId="4000648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w:t>
      </w:r>
      <w:r>
        <w:rPr>
          <w:rFonts w:hint="default" w:ascii="Times New Roman" w:hAnsi="Times New Roman" w:eastAsia="仿宋_GB2312" w:cs="Times New Roman"/>
          <w:sz w:val="32"/>
          <w:highlight w:val="none"/>
          <w:lang w:val="en-US" w:eastAsia="zh-CN"/>
        </w:rPr>
        <w:t>1</w:t>
      </w:r>
      <w:r>
        <w:rPr>
          <w:rFonts w:hint="eastAsia" w:ascii="Times New Roman" w:hAnsi="Times New Roman" w:eastAsia="仿宋_GB2312" w:cs="Times New Roman"/>
          <w:sz w:val="32"/>
          <w:highlight w:val="none"/>
          <w:lang w:val="zh-CN"/>
        </w:rPr>
        <w:t>）执行同向</w:t>
      </w:r>
    </w:p>
    <w:p w14:paraId="13B0E98C">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我院严格按照部门预算项目批复内容实施项目，项目资金使用符合预算批复用途，与项目总体绩效目标设置方向相符，没有相悖或不合理之处。</w:t>
      </w:r>
    </w:p>
    <w:p w14:paraId="761F85E1">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27B5CC2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w:t>
      </w:r>
      <w:r>
        <w:rPr>
          <w:rFonts w:hint="default" w:ascii="Times New Roman" w:hAnsi="Times New Roman" w:eastAsia="仿宋_GB2312" w:cs="Times New Roman"/>
          <w:sz w:val="32"/>
          <w:highlight w:val="none"/>
          <w:lang w:val="en-US" w:eastAsia="zh-CN"/>
        </w:rPr>
        <w:t>2</w:t>
      </w:r>
      <w:r>
        <w:rPr>
          <w:rFonts w:hint="eastAsia" w:ascii="Times New Roman" w:hAnsi="Times New Roman" w:eastAsia="仿宋_GB2312" w:cs="Times New Roman"/>
          <w:sz w:val="32"/>
          <w:highlight w:val="none"/>
          <w:lang w:val="zh-CN"/>
        </w:rPr>
        <w:t>）项目调整</w:t>
      </w:r>
    </w:p>
    <w:p w14:paraId="6707401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2025年我院年初设置的部门项目预算较为合理，项目总体绩效目标设置较为科学合理，预算调整及时，与实际情况基本相符，不存在应采取但未采取收回预算、调整目标等处置措施的部门预算阶段项目，故不涉及收回预算、调整目标等处置措施。</w:t>
      </w:r>
    </w:p>
    <w:p w14:paraId="5DC8CB55">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7DB078E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val="zh-CN"/>
        </w:rPr>
      </w:pPr>
      <w:r>
        <w:rPr>
          <w:rFonts w:hint="eastAsia" w:ascii="Times New Roman" w:hAnsi="Times New Roman" w:eastAsia="仿宋_GB2312" w:cs="Times New Roman"/>
          <w:sz w:val="32"/>
          <w:highlight w:val="none"/>
          <w:lang w:val="zh-CN"/>
        </w:rPr>
        <w:t>（</w:t>
      </w:r>
      <w:r>
        <w:rPr>
          <w:rFonts w:hint="default" w:ascii="Times New Roman" w:hAnsi="Times New Roman" w:eastAsia="仿宋_GB2312" w:cs="Times New Roman"/>
          <w:sz w:val="32"/>
          <w:highlight w:val="none"/>
          <w:lang w:val="en-US" w:eastAsia="zh-CN"/>
        </w:rPr>
        <w:t>3</w:t>
      </w:r>
      <w:r>
        <w:rPr>
          <w:rFonts w:hint="eastAsia" w:ascii="Times New Roman" w:hAnsi="Times New Roman" w:eastAsia="仿宋_GB2312" w:cs="Times New Roman"/>
          <w:sz w:val="32"/>
          <w:highlight w:val="none"/>
          <w:lang w:val="zh-CN"/>
        </w:rPr>
        <w:t>）执行结果</w:t>
      </w:r>
    </w:p>
    <w:p w14:paraId="1D4B05F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eastAsia" w:ascii="Times New Roman" w:hAnsi="Times New Roman" w:eastAsia="仿宋_GB2312" w:cs="Times New Roman"/>
          <w:sz w:val="32"/>
          <w:highlight w:val="none"/>
          <w:lang w:val="en-US" w:eastAsia="zh-CN"/>
        </w:rPr>
        <w:t>2025年我院</w:t>
      </w:r>
      <w:r>
        <w:rPr>
          <w:rFonts w:hint="eastAsia" w:ascii="Times New Roman" w:hAnsi="Times New Roman" w:eastAsia="仿宋_GB2312" w:cs="Times New Roman"/>
          <w:sz w:val="32"/>
          <w:highlight w:val="none"/>
          <w:lang w:val="zh-CN" w:eastAsia="zh-CN"/>
        </w:rPr>
        <w:t>常年项目</w:t>
      </w:r>
      <w:r>
        <w:rPr>
          <w:rFonts w:hint="eastAsia" w:ascii="Times New Roman" w:hAnsi="Times New Roman" w:eastAsia="仿宋_GB2312" w:cs="Times New Roman"/>
          <w:sz w:val="32"/>
          <w:highlight w:val="none"/>
          <w:lang w:val="en-US" w:eastAsia="zh-CN"/>
        </w:rPr>
        <w:t>共计2</w:t>
      </w:r>
      <w:r>
        <w:rPr>
          <w:rFonts w:hint="eastAsia" w:ascii="Times New Roman" w:hAnsi="Times New Roman" w:eastAsia="仿宋_GB2312" w:cs="Times New Roman"/>
          <w:sz w:val="32"/>
          <w:highlight w:val="none"/>
          <w:lang w:val="zh-CN" w:eastAsia="zh-CN"/>
        </w:rPr>
        <w:t>个，预算结余率</w:t>
      </w:r>
      <w:r>
        <w:rPr>
          <w:rFonts w:hint="eastAsia" w:ascii="Times New Roman" w:hAnsi="Times New Roman" w:eastAsia="仿宋_GB2312" w:cs="Times New Roman"/>
          <w:sz w:val="32"/>
          <w:highlight w:val="none"/>
          <w:lang w:val="en-US" w:eastAsia="zh-CN"/>
        </w:rPr>
        <w:t>小</w:t>
      </w:r>
      <w:r>
        <w:rPr>
          <w:rFonts w:hint="eastAsia" w:ascii="Times New Roman" w:hAnsi="Times New Roman" w:eastAsia="仿宋_GB2312" w:cs="Times New Roman"/>
          <w:sz w:val="32"/>
          <w:highlight w:val="none"/>
          <w:lang w:val="zh-CN" w:eastAsia="zh-CN"/>
        </w:rPr>
        <w:t>于</w:t>
      </w:r>
      <w:r>
        <w:rPr>
          <w:rFonts w:hint="default" w:ascii="Times New Roman" w:hAnsi="Times New Roman" w:eastAsia="仿宋_GB2312" w:cs="Times New Roman"/>
          <w:sz w:val="32"/>
          <w:highlight w:val="none"/>
          <w:lang w:val="zh-CN" w:eastAsia="zh-CN"/>
        </w:rPr>
        <w:t>10</w:t>
      </w:r>
      <w:r>
        <w:rPr>
          <w:rFonts w:hint="eastAsia" w:ascii="Times New Roman" w:hAnsi="Times New Roman" w:eastAsia="仿宋_GB2312" w:cs="Times New Roman"/>
          <w:sz w:val="32"/>
          <w:highlight w:val="none"/>
          <w:lang w:val="zh-CN" w:eastAsia="zh-CN"/>
        </w:rPr>
        <w:t>%</w:t>
      </w:r>
      <w:r>
        <w:rPr>
          <w:rFonts w:hint="eastAsia" w:ascii="Times New Roman" w:hAnsi="Times New Roman" w:eastAsia="仿宋_GB2312" w:cs="Times New Roman"/>
          <w:sz w:val="32"/>
          <w:highlight w:val="none"/>
          <w:lang w:val="en-US" w:eastAsia="zh-CN"/>
        </w:rPr>
        <w:t>的常年项目数量为1个</w:t>
      </w:r>
      <w:r>
        <w:rPr>
          <w:rFonts w:hint="eastAsia" w:ascii="Times New Roman" w:hAnsi="Times New Roman" w:eastAsia="仿宋_GB2312" w:cs="Times New Roman"/>
          <w:sz w:val="32"/>
          <w:highlight w:val="none"/>
          <w:lang w:val="zh-CN" w:eastAsia="zh-CN"/>
        </w:rPr>
        <w:t>；阶段（一次性）项目</w:t>
      </w:r>
      <w:r>
        <w:rPr>
          <w:rFonts w:hint="eastAsia" w:ascii="Times New Roman" w:hAnsi="Times New Roman" w:eastAsia="仿宋_GB2312" w:cs="Times New Roman"/>
          <w:sz w:val="32"/>
          <w:highlight w:val="none"/>
          <w:lang w:val="en-US" w:eastAsia="zh-CN"/>
        </w:rPr>
        <w:t>共计7</w:t>
      </w:r>
      <w:r>
        <w:rPr>
          <w:rFonts w:hint="eastAsia" w:ascii="Times New Roman" w:hAnsi="Times New Roman" w:eastAsia="仿宋_GB2312" w:cs="Times New Roman"/>
          <w:sz w:val="32"/>
          <w:highlight w:val="none"/>
          <w:lang w:val="zh-CN" w:eastAsia="zh-CN"/>
        </w:rPr>
        <w:t>个，</w:t>
      </w:r>
      <w:r>
        <w:rPr>
          <w:rFonts w:hint="eastAsia" w:ascii="Times New Roman" w:hAnsi="Times New Roman" w:eastAsia="仿宋_GB2312" w:cs="Times New Roman"/>
          <w:sz w:val="32"/>
          <w:highlight w:val="none"/>
          <w:lang w:val="en-US" w:eastAsia="zh-CN"/>
        </w:rPr>
        <w:t>预算结余率小于10%的一次性项目和阶段项目数量为6个。</w:t>
      </w:r>
    </w:p>
    <w:p w14:paraId="5321902E">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default" w:ascii="Times New Roman" w:hAnsi="Times New Roman" w:eastAsia="仿宋_GB2312" w:cs="Times New Roman"/>
          <w:sz w:val="32"/>
          <w:highlight w:val="none"/>
          <w:lang w:val="en-US" w:eastAsia="zh-CN"/>
        </w:rPr>
        <w:t>根据评分标准，该项指标扣1.</w:t>
      </w:r>
      <w:r>
        <w:rPr>
          <w:rFonts w:hint="eastAsia" w:ascii="Times New Roman" w:hAnsi="Times New Roman" w:eastAsia="仿宋_GB2312" w:cs="Times New Roman"/>
          <w:sz w:val="32"/>
          <w:highlight w:val="none"/>
          <w:lang w:val="en-US" w:eastAsia="zh-CN"/>
        </w:rPr>
        <w:t>29</w:t>
      </w:r>
      <w:r>
        <w:rPr>
          <w:rFonts w:hint="default" w:ascii="Times New Roman" w:hAnsi="Times New Roman" w:eastAsia="仿宋_GB2312" w:cs="Times New Roman"/>
          <w:sz w:val="32"/>
          <w:highlight w:val="none"/>
          <w:lang w:val="en-US" w:eastAsia="zh-CN"/>
        </w:rPr>
        <w:t>分，得</w:t>
      </w:r>
      <w:r>
        <w:rPr>
          <w:rFonts w:hint="eastAsia" w:ascii="Times New Roman" w:hAnsi="Times New Roman" w:eastAsia="仿宋_GB2312" w:cs="Times New Roman"/>
          <w:sz w:val="32"/>
          <w:highlight w:val="none"/>
          <w:lang w:val="en-US" w:eastAsia="zh-CN"/>
        </w:rPr>
        <w:t>2.71</w:t>
      </w:r>
      <w:r>
        <w:rPr>
          <w:rFonts w:hint="default" w:ascii="Times New Roman" w:hAnsi="Times New Roman" w:eastAsia="仿宋_GB2312" w:cs="Times New Roman"/>
          <w:sz w:val="32"/>
          <w:highlight w:val="none"/>
          <w:lang w:val="en-US" w:eastAsia="zh-CN"/>
        </w:rPr>
        <w:t>分</w:t>
      </w:r>
      <w:r>
        <w:rPr>
          <w:rFonts w:hint="eastAsia" w:ascii="Times New Roman" w:hAnsi="Times New Roman" w:eastAsia="仿宋_GB2312" w:cs="Times New Roman"/>
          <w:sz w:val="32"/>
          <w:highlight w:val="none"/>
          <w:lang w:val="en-US" w:eastAsia="zh-CN"/>
        </w:rPr>
        <w:t>。</w:t>
      </w:r>
    </w:p>
    <w:p w14:paraId="465FAF27">
      <w:pPr>
        <w:pStyle w:val="6"/>
        <w:pageBreakBefore w:val="0"/>
        <w:widowControl w:val="0"/>
        <w:kinsoku/>
        <w:wordWrap/>
        <w:overflowPunct/>
        <w:topLinePunct w:val="0"/>
        <w:autoSpaceDE/>
        <w:autoSpaceDN/>
        <w:bidi w:val="0"/>
        <w:adjustRightInd/>
        <w:snapToGrid/>
        <w:spacing w:before="0" w:beforeLines="0" w:beforeAutospacing="0" w:after="0" w:afterLines="0" w:afterAutospacing="0" w:line="600" w:lineRule="exact"/>
        <w:ind w:firstLine="640" w:firstLineChars="200"/>
        <w:textAlignment w:val="auto"/>
        <w:rPr>
          <w:rFonts w:hint="default" w:ascii="Times New Roman" w:hAnsi="Times New Roman" w:eastAsia="楷体_GB2312" w:cs="Times New Roman"/>
          <w:b w:val="0"/>
          <w:bCs w:val="0"/>
          <w:szCs w:val="24"/>
          <w:highlight w:val="none"/>
          <w:lang w:val="en-US" w:eastAsia="zh-CN"/>
        </w:rPr>
      </w:pPr>
      <w:r>
        <w:rPr>
          <w:rFonts w:hint="default" w:ascii="Times New Roman" w:hAnsi="Times New Roman" w:eastAsia="楷体_GB2312" w:cs="Times New Roman"/>
          <w:b w:val="0"/>
          <w:bCs w:val="0"/>
          <w:szCs w:val="24"/>
          <w:highlight w:val="none"/>
          <w:lang w:val="en-US" w:eastAsia="zh-CN"/>
        </w:rPr>
        <w:t>3</w:t>
      </w:r>
      <w:r>
        <w:rPr>
          <w:rFonts w:hint="eastAsia" w:ascii="Times New Roman" w:hAnsi="Times New Roman" w:eastAsia="楷体_GB2312" w:cs="Times New Roman"/>
          <w:b w:val="0"/>
          <w:bCs w:val="0"/>
          <w:szCs w:val="24"/>
          <w:highlight w:val="none"/>
          <w:lang w:val="en-US" w:eastAsia="zh-CN"/>
        </w:rPr>
        <w:t>.</w:t>
      </w:r>
      <w:r>
        <w:rPr>
          <w:rFonts w:hint="eastAsia" w:ascii="Times New Roman" w:hAnsi="Times New Roman" w:eastAsia="楷体_GB2312" w:cs="Times New Roman"/>
          <w:b w:val="0"/>
          <w:bCs w:val="0"/>
          <w:szCs w:val="24"/>
          <w:highlight w:val="none"/>
          <w:lang w:val="zh-CN" w:eastAsia="zh-CN"/>
        </w:rPr>
        <w:t>目标实现</w:t>
      </w:r>
    </w:p>
    <w:p w14:paraId="0D77087C">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eastAsia="zh-CN"/>
        </w:rPr>
      </w:pPr>
      <w:r>
        <w:rPr>
          <w:rFonts w:hint="eastAsia" w:ascii="Times New Roman" w:hAnsi="Times New Roman" w:eastAsia="仿宋_GB2312" w:cs="Times New Roman"/>
          <w:sz w:val="32"/>
          <w:highlight w:val="none"/>
          <w:lang w:eastAsia="zh-CN"/>
        </w:rPr>
        <w:t>（</w:t>
      </w:r>
      <w:r>
        <w:rPr>
          <w:rFonts w:hint="default" w:ascii="Times New Roman" w:hAnsi="Times New Roman" w:eastAsia="仿宋_GB2312" w:cs="Times New Roman"/>
          <w:sz w:val="32"/>
          <w:highlight w:val="none"/>
          <w:lang w:val="en-US" w:eastAsia="zh-CN"/>
        </w:rPr>
        <w:t>1</w:t>
      </w:r>
      <w:r>
        <w:rPr>
          <w:rFonts w:hint="eastAsia" w:ascii="Times New Roman" w:hAnsi="Times New Roman" w:eastAsia="仿宋_GB2312" w:cs="Times New Roman"/>
          <w:sz w:val="32"/>
          <w:highlight w:val="none"/>
          <w:lang w:eastAsia="zh-CN"/>
        </w:rPr>
        <w:t>）目标完成</w:t>
      </w:r>
    </w:p>
    <w:p w14:paraId="353BB00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eastAsia="zh-CN"/>
        </w:rPr>
        <w:t>2025年部门预算阶段项目（含一次性项目）共有</w:t>
      </w:r>
      <w:r>
        <w:rPr>
          <w:rFonts w:hint="eastAsia" w:ascii="Times New Roman" w:hAnsi="Times New Roman" w:eastAsia="仿宋_GB2312" w:cs="Times New Roman"/>
          <w:sz w:val="32"/>
          <w:highlight w:val="none"/>
          <w:lang w:val="en-US" w:eastAsia="zh-CN"/>
        </w:rPr>
        <w:t>9</w:t>
      </w:r>
      <w:r>
        <w:rPr>
          <w:rFonts w:hint="eastAsia" w:ascii="Times New Roman" w:hAnsi="Times New Roman" w:eastAsia="仿宋_GB2312" w:cs="Times New Roman"/>
          <w:sz w:val="32"/>
          <w:highlight w:val="none"/>
          <w:lang w:eastAsia="zh-CN"/>
        </w:rPr>
        <w:t>个，</w:t>
      </w:r>
      <w:r>
        <w:rPr>
          <w:rFonts w:hint="eastAsia" w:ascii="Times New Roman" w:hAnsi="Times New Roman" w:eastAsia="仿宋_GB2312" w:cs="Times New Roman"/>
          <w:sz w:val="32"/>
          <w:highlight w:val="none"/>
          <w:lang w:val="en-US" w:eastAsia="zh-CN"/>
        </w:rPr>
        <w:t>结合项目实施的实际情况，我院所涉及的</w:t>
      </w:r>
      <w:r>
        <w:rPr>
          <w:rFonts w:hint="eastAsia" w:ascii="Times New Roman" w:hAnsi="Times New Roman" w:eastAsia="仿宋_GB2312" w:cs="Times New Roman"/>
          <w:sz w:val="32"/>
          <w:highlight w:val="none"/>
          <w:lang w:eastAsia="zh-CN"/>
        </w:rPr>
        <w:t>部门预算阶段项目（含一次性项目）</w:t>
      </w:r>
      <w:r>
        <w:rPr>
          <w:rFonts w:hint="eastAsia" w:ascii="Times New Roman" w:hAnsi="Times New Roman" w:eastAsia="仿宋_GB2312" w:cs="Times New Roman"/>
          <w:sz w:val="32"/>
          <w:highlight w:val="none"/>
          <w:lang w:val="en-US" w:eastAsia="zh-CN"/>
        </w:rPr>
        <w:t>各数量指标全部完成的数量为9个。</w:t>
      </w:r>
    </w:p>
    <w:p w14:paraId="214E1580">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3338851D">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eastAsia="zh-CN"/>
        </w:rPr>
      </w:pPr>
      <w:r>
        <w:rPr>
          <w:rFonts w:hint="eastAsia" w:ascii="Times New Roman" w:hAnsi="Times New Roman" w:eastAsia="仿宋_GB2312" w:cs="Times New Roman"/>
          <w:sz w:val="32"/>
          <w:highlight w:val="none"/>
          <w:lang w:eastAsia="zh-CN"/>
        </w:rPr>
        <w:t>（</w:t>
      </w:r>
      <w:r>
        <w:rPr>
          <w:rFonts w:hint="default" w:ascii="Times New Roman" w:hAnsi="Times New Roman" w:eastAsia="仿宋_GB2312" w:cs="Times New Roman"/>
          <w:sz w:val="32"/>
          <w:highlight w:val="none"/>
          <w:lang w:val="en-US" w:eastAsia="zh-CN"/>
        </w:rPr>
        <w:t>2</w:t>
      </w:r>
      <w:r>
        <w:rPr>
          <w:rFonts w:hint="eastAsia" w:ascii="Times New Roman" w:hAnsi="Times New Roman" w:eastAsia="仿宋_GB2312" w:cs="Times New Roman"/>
          <w:sz w:val="32"/>
          <w:highlight w:val="none"/>
          <w:lang w:eastAsia="zh-CN"/>
        </w:rPr>
        <w:t>）目标偏离</w:t>
      </w:r>
    </w:p>
    <w:p w14:paraId="60027174">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val="en-US" w:eastAsia="zh-CN"/>
        </w:rPr>
        <w:t>2025年我院部门预算项目（含</w:t>
      </w:r>
      <w:r>
        <w:rPr>
          <w:rFonts w:hint="default" w:ascii="Times New Roman" w:hAnsi="Times New Roman" w:eastAsia="仿宋_GB2312" w:cs="Times New Roman"/>
          <w:sz w:val="32"/>
          <w:highlight w:val="none"/>
          <w:lang w:val="en-US" w:eastAsia="zh-CN"/>
        </w:rPr>
        <w:t>常年项目</w:t>
      </w:r>
      <w:r>
        <w:rPr>
          <w:rFonts w:hint="eastAsia" w:ascii="Times New Roman" w:hAnsi="Times New Roman" w:eastAsia="仿宋_GB2312" w:cs="Times New Roman"/>
          <w:sz w:val="32"/>
          <w:highlight w:val="none"/>
          <w:lang w:val="en-US" w:eastAsia="zh-CN"/>
        </w:rPr>
        <w:t>和阶段项目及一次性项目）共有9个，各项目数量指标的完成值与设定预期指标值的偏离度在</w:t>
      </w:r>
      <w:r>
        <w:rPr>
          <w:rFonts w:hint="default" w:ascii="Times New Roman" w:hAnsi="Times New Roman" w:eastAsia="仿宋_GB2312" w:cs="Times New Roman"/>
          <w:sz w:val="32"/>
          <w:highlight w:val="none"/>
          <w:lang w:val="en-US" w:eastAsia="zh-CN"/>
        </w:rPr>
        <w:t>30</w:t>
      </w:r>
      <w:r>
        <w:rPr>
          <w:rFonts w:hint="eastAsia" w:ascii="Times New Roman" w:hAnsi="Times New Roman" w:eastAsia="仿宋_GB2312" w:cs="Times New Roman"/>
          <w:sz w:val="32"/>
          <w:highlight w:val="none"/>
          <w:lang w:val="en-US" w:eastAsia="zh-CN"/>
        </w:rPr>
        <w:t>%以内的个数为9个。</w:t>
      </w:r>
    </w:p>
    <w:p w14:paraId="26DF1D26">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default" w:ascii="Times New Roman" w:hAnsi="Times New Roman" w:eastAsia="仿宋_GB2312" w:cs="Times New Roman"/>
          <w:sz w:val="32"/>
          <w:highlight w:val="none"/>
          <w:lang w:val="en-US" w:eastAsia="zh-CN"/>
        </w:rPr>
        <w:t>根据评分标准，该项指标不扣分，得4分</w:t>
      </w:r>
      <w:r>
        <w:rPr>
          <w:rFonts w:hint="eastAsia" w:ascii="Times New Roman" w:hAnsi="Times New Roman" w:eastAsia="仿宋_GB2312" w:cs="Times New Roman"/>
          <w:sz w:val="32"/>
          <w:highlight w:val="none"/>
          <w:lang w:val="en-US" w:eastAsia="zh-CN"/>
        </w:rPr>
        <w:t>。</w:t>
      </w:r>
    </w:p>
    <w:p w14:paraId="645582A8">
      <w:pPr>
        <w:pageBreakBefore w:val="0"/>
        <w:widowControl w:val="0"/>
        <w:kinsoku/>
        <w:wordWrap/>
        <w:overflowPunct/>
        <w:topLinePunct w:val="0"/>
        <w:autoSpaceDE/>
        <w:autoSpaceDN/>
        <w:bidi w:val="0"/>
        <w:adjustRightInd/>
        <w:snapToGrid/>
        <w:spacing w:line="600" w:lineRule="exact"/>
        <w:ind w:firstLine="640" w:firstLineChars="200"/>
        <w:textAlignment w:val="auto"/>
        <w:outlineLvl w:val="2"/>
        <w:rPr>
          <w:rFonts w:hint="eastAsia" w:ascii="Times New Roman" w:hAnsi="Times New Roman" w:eastAsia="仿宋_GB2312" w:cs="Times New Roman"/>
          <w:sz w:val="32"/>
          <w:highlight w:val="none"/>
          <w:lang w:eastAsia="zh-CN"/>
        </w:rPr>
      </w:pPr>
      <w:r>
        <w:rPr>
          <w:rFonts w:hint="eastAsia" w:ascii="Times New Roman" w:hAnsi="Times New Roman" w:eastAsia="仿宋_GB2312" w:cs="Times New Roman"/>
          <w:sz w:val="32"/>
          <w:highlight w:val="none"/>
          <w:lang w:eastAsia="zh-CN"/>
        </w:rPr>
        <w:t>（</w:t>
      </w:r>
      <w:r>
        <w:rPr>
          <w:rFonts w:hint="default" w:ascii="Times New Roman" w:hAnsi="Times New Roman" w:eastAsia="仿宋_GB2312" w:cs="Times New Roman"/>
          <w:sz w:val="32"/>
          <w:highlight w:val="none"/>
          <w:lang w:val="en-US" w:eastAsia="zh-CN"/>
        </w:rPr>
        <w:t>3</w:t>
      </w:r>
      <w:r>
        <w:rPr>
          <w:rFonts w:hint="eastAsia" w:ascii="Times New Roman" w:hAnsi="Times New Roman" w:eastAsia="仿宋_GB2312" w:cs="Times New Roman"/>
          <w:sz w:val="32"/>
          <w:highlight w:val="none"/>
          <w:lang w:eastAsia="zh-CN"/>
        </w:rPr>
        <w:t>）实现效果</w:t>
      </w:r>
    </w:p>
    <w:p w14:paraId="5F5CF76A">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highlight w:val="none"/>
          <w:lang w:val="en-US" w:eastAsia="zh-CN"/>
        </w:rPr>
      </w:pPr>
      <w:r>
        <w:rPr>
          <w:rFonts w:hint="eastAsia" w:ascii="Times New Roman" w:hAnsi="Times New Roman" w:eastAsia="仿宋_GB2312" w:cs="Times New Roman"/>
          <w:sz w:val="32"/>
          <w:highlight w:val="none"/>
          <w:lang w:eastAsia="zh-CN"/>
        </w:rPr>
        <w:t>2025年我院需进行绩效目标管理的部门预算阶段项目共有</w:t>
      </w:r>
      <w:r>
        <w:rPr>
          <w:rFonts w:hint="eastAsia" w:ascii="Times New Roman" w:hAnsi="Times New Roman" w:eastAsia="仿宋_GB2312" w:cs="Times New Roman"/>
          <w:sz w:val="32"/>
          <w:highlight w:val="none"/>
          <w:lang w:val="en-US" w:eastAsia="zh-CN"/>
        </w:rPr>
        <w:t>9</w:t>
      </w:r>
      <w:r>
        <w:rPr>
          <w:rFonts w:hint="eastAsia" w:ascii="Times New Roman" w:hAnsi="Times New Roman" w:eastAsia="仿宋_GB2312" w:cs="Times New Roman"/>
          <w:sz w:val="32"/>
          <w:highlight w:val="none"/>
          <w:lang w:eastAsia="zh-CN"/>
        </w:rPr>
        <w:t>个</w:t>
      </w:r>
      <w:r>
        <w:rPr>
          <w:rFonts w:hint="eastAsia" w:ascii="Times New Roman" w:hAnsi="Times New Roman" w:eastAsia="仿宋_GB2312" w:cs="Times New Roman"/>
          <w:sz w:val="32"/>
          <w:highlight w:val="none"/>
          <w:lang w:val="en-US" w:eastAsia="zh-CN"/>
        </w:rPr>
        <w:t>，预期效益指标均已完成的项目个数为9个。</w:t>
      </w:r>
    </w:p>
    <w:p w14:paraId="593805C9">
      <w:pPr>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cs="Times New Roman"/>
          <w:sz w:val="32"/>
          <w:highlight w:val="none"/>
          <w:lang w:val="zh-CN" w:eastAsia="zh-CN"/>
        </w:rPr>
      </w:pPr>
      <w:r>
        <w:rPr>
          <w:rFonts w:hint="default" w:ascii="Times New Roman" w:hAnsi="Times New Roman" w:eastAsia="仿宋_GB2312" w:cs="Times New Roman"/>
          <w:sz w:val="32"/>
          <w:highlight w:val="none"/>
          <w:lang w:val="en-US" w:eastAsia="zh-CN"/>
        </w:rPr>
        <w:t>根据评分标准，该项指标不扣分，得3分</w:t>
      </w:r>
      <w:r>
        <w:rPr>
          <w:rFonts w:hint="eastAsia" w:ascii="Times New Roman" w:hAnsi="Times New Roman" w:eastAsia="仿宋_GB2312" w:cs="Times New Roman"/>
          <w:sz w:val="32"/>
          <w:highlight w:val="none"/>
          <w:lang w:val="en-US" w:eastAsia="zh-CN"/>
        </w:rPr>
        <w:t>。</w:t>
      </w:r>
    </w:p>
    <w:p w14:paraId="546D4E55">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zh-CN"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hint="default" w:ascii="Times New Roman" w:hAnsi="Times New Roman" w:eastAsia="楷体_GB2312" w:cs="Times New Roman"/>
          <w:b/>
          <w:bCs/>
          <w:color w:val="000000"/>
          <w:kern w:val="0"/>
          <w:sz w:val="32"/>
          <w:szCs w:val="32"/>
          <w:highlight w:val="none"/>
          <w:shd w:val="clear" w:color="auto" w:fill="FFFFFF"/>
          <w:lang w:val="zh-CN"/>
        </w:rPr>
        <w:t>）</w:t>
      </w:r>
      <w:r>
        <w:rPr>
          <w:rFonts w:hint="default" w:ascii="Times New Roman" w:hAnsi="Times New Roman" w:eastAsia="楷体_GB2312" w:cs="Times New Roman"/>
          <w:b/>
          <w:bCs/>
          <w:color w:val="000000"/>
          <w:kern w:val="0"/>
          <w:sz w:val="32"/>
          <w:szCs w:val="32"/>
          <w:highlight w:val="none"/>
          <w:shd w:val="clear" w:color="auto" w:fill="FFFFFF"/>
          <w:lang w:val="zh-CN" w:eastAsia="zh-CN"/>
        </w:rPr>
        <w:t>重点领域</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default" w:ascii="Times New Roman" w:hAnsi="Times New Roman" w:eastAsia="楷体_GB2312" w:cs="Times New Roman"/>
          <w:b/>
          <w:bCs/>
          <w:color w:val="000000"/>
          <w:kern w:val="0"/>
          <w:sz w:val="32"/>
          <w:szCs w:val="32"/>
          <w:highlight w:val="none"/>
          <w:shd w:val="clear" w:color="auto" w:fill="FFFFFF"/>
          <w:lang w:val="zh-CN" w:eastAsia="zh-CN"/>
        </w:rPr>
        <w:t>。</w:t>
      </w:r>
    </w:p>
    <w:p w14:paraId="396DDC08">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3" w:firstLineChars="200"/>
        <w:contextualSpacing/>
        <w:jc w:val="both"/>
        <w:textAlignment w:val="auto"/>
        <w:outlineLvl w:val="9"/>
        <w:rPr>
          <w:rFonts w:hint="eastAsia" w:ascii="Times New Roman Regular" w:hAnsi="Times New Roman Regular" w:eastAsia="楷体_GB2312" w:cs="Times New Roman Regular"/>
          <w:b/>
          <w:bCs/>
          <w:color w:val="000000"/>
          <w:kern w:val="0"/>
          <w:sz w:val="32"/>
          <w:szCs w:val="32"/>
          <w:highlight w:val="none"/>
          <w:shd w:val="clear" w:color="auto" w:fill="FFFFFF"/>
          <w:lang w:val="en-US" w:eastAsia="zh-CN"/>
        </w:rPr>
      </w:pPr>
      <w:r>
        <w:rPr>
          <w:rFonts w:hint="default" w:ascii="Times New Roman Regular" w:hAnsi="Times New Roman Regular" w:eastAsia="楷体_GB2312" w:cs="Times New Roman Regular"/>
          <w:b/>
          <w:bCs/>
          <w:color w:val="000000"/>
          <w:kern w:val="0"/>
          <w:sz w:val="32"/>
          <w:szCs w:val="32"/>
          <w:highlight w:val="none"/>
          <w:shd w:val="clear" w:color="auto" w:fill="FFFFFF"/>
          <w:lang w:val="en-US" w:eastAsia="zh-CN"/>
        </w:rPr>
        <w:t>行政事业性国有资产绩效分析。</w:t>
      </w:r>
    </w:p>
    <w:p w14:paraId="6FE7B656">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default" w:ascii="Times New Roman Regular" w:hAnsi="Times New Roman Regular" w:eastAsia="楷体_GB2312" w:cs="Times New Roman Regular"/>
          <w:b/>
          <w:bCs/>
          <w:color w:val="000000"/>
          <w:kern w:val="0"/>
          <w:szCs w:val="32"/>
          <w:highlight w:val="none"/>
          <w:shd w:val="clear" w:color="auto" w:fill="FFFFFF"/>
          <w:lang w:val="en-US" w:eastAsia="zh-CN"/>
        </w:rPr>
      </w:pPr>
      <w:r>
        <w:rPr>
          <w:rFonts w:hint="eastAsia" w:ascii="Times New Roman" w:hAnsi="Times New Roman" w:eastAsia="仿宋_GB2312" w:cs="Times New Roman"/>
          <w:sz w:val="32"/>
          <w:szCs w:val="32"/>
          <w:highlight w:val="none"/>
          <w:u w:val="none"/>
          <w:lang w:eastAsia="zh-CN"/>
        </w:rPr>
        <w:t>2025年度，我院</w:t>
      </w:r>
      <w:r>
        <w:rPr>
          <w:rFonts w:hint="eastAsia" w:ascii="Times New Roman" w:hAnsi="Times New Roman" w:eastAsia="仿宋_GB2312" w:cs="Times New Roman"/>
          <w:sz w:val="32"/>
          <w:szCs w:val="32"/>
          <w:highlight w:val="none"/>
          <w:u w:val="none"/>
          <w:lang w:val="en-US" w:eastAsia="zh-CN"/>
        </w:rPr>
        <w:t>无资产配置预算，但</w:t>
      </w:r>
      <w:r>
        <w:rPr>
          <w:rFonts w:hint="eastAsia" w:ascii="Times New Roman" w:hAnsi="Times New Roman" w:eastAsia="仿宋_GB2312" w:cs="Times New Roman"/>
          <w:sz w:val="32"/>
          <w:szCs w:val="32"/>
          <w:highlight w:val="none"/>
          <w:u w:val="none"/>
          <w:lang w:eastAsia="zh-CN"/>
        </w:rPr>
        <w:t>严格按照</w:t>
      </w:r>
      <w:r>
        <w:rPr>
          <w:rFonts w:hint="eastAsia" w:ascii="Times New Roman" w:hAnsi="Times New Roman" w:eastAsia="仿宋_GB2312" w:cs="Times New Roman"/>
          <w:sz w:val="32"/>
          <w:szCs w:val="32"/>
          <w:highlight w:val="none"/>
          <w:u w:val="none"/>
          <w:lang w:val="en-US" w:eastAsia="zh-CN"/>
        </w:rPr>
        <w:t>相关文件</w:t>
      </w:r>
      <w:r>
        <w:rPr>
          <w:rFonts w:hint="eastAsia" w:ascii="Times New Roman" w:hAnsi="Times New Roman" w:eastAsia="仿宋_GB2312" w:cs="Times New Roman"/>
          <w:sz w:val="32"/>
          <w:szCs w:val="32"/>
          <w:highlight w:val="none"/>
          <w:u w:val="none"/>
          <w:lang w:eastAsia="zh-CN"/>
        </w:rPr>
        <w:t>要求，做好国有资产的清理盘点、统计报告及日常监督检查工作，2025年度国有资产基础管理、日常管理、效率管理等方面整体效益较好，有效保障了国有资产安全，提高了国有资产利用率</w:t>
      </w:r>
      <w:r>
        <w:rPr>
          <w:rFonts w:hint="default" w:ascii="Times New Roman" w:hAnsi="Times New Roman" w:eastAsia="仿宋_GB2312" w:cs="Times New Roman"/>
          <w:sz w:val="32"/>
          <w:szCs w:val="32"/>
          <w:highlight w:val="none"/>
          <w:u w:val="none"/>
          <w:lang w:val="en-US" w:eastAsia="zh-CN"/>
        </w:rPr>
        <w:t>。</w:t>
      </w:r>
    </w:p>
    <w:p w14:paraId="4073FBE8">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9"/>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rPr>
        <w:t>（四）绩效结果应用情况。</w:t>
      </w:r>
    </w:p>
    <w:p w14:paraId="090AC7D3">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contextualSpacing/>
        <w:jc w:val="both"/>
        <w:textAlignment w:val="auto"/>
        <w:outlineLvl w:val="9"/>
        <w:rPr>
          <w:rFonts w:hint="eastAsia" w:ascii="Times New Roman" w:hAnsi="Times New Roman" w:eastAsia="仿宋_GB2312" w:cs="Times New Roman"/>
          <w:sz w:val="32"/>
          <w:szCs w:val="32"/>
          <w:highlight w:val="none"/>
          <w:u w:val="none"/>
          <w:lang w:eastAsia="zh-CN"/>
        </w:rPr>
      </w:pPr>
      <w:r>
        <w:rPr>
          <w:rFonts w:hint="eastAsia" w:ascii="Times New Roman" w:hAnsi="Times New Roman" w:eastAsia="仿宋_GB2312" w:cs="Times New Roman"/>
          <w:sz w:val="32"/>
          <w:szCs w:val="32"/>
          <w:highlight w:val="none"/>
          <w:u w:val="none"/>
          <w:lang w:val="en-US" w:eastAsia="zh-CN"/>
        </w:rPr>
        <w:t>我院</w:t>
      </w:r>
      <w:r>
        <w:rPr>
          <w:rFonts w:hint="eastAsia" w:ascii="Times New Roman" w:hAnsi="Times New Roman" w:eastAsia="仿宋_GB2312" w:cs="Times New Roman"/>
          <w:sz w:val="32"/>
          <w:szCs w:val="32"/>
          <w:highlight w:val="none"/>
          <w:u w:val="none"/>
          <w:lang w:val="zh-CN" w:eastAsia="zh-CN"/>
        </w:rPr>
        <w:t>为进一步提高行政事业单位内部管理水平和风险防范能力，规范内部控制，加强廉政风险防控机制建设，我院在对预算、收支、政府采购、资产、建设项目、合同等各类经济业务活动流程梳理的基础上，明确业务环节，系统分析经济活动风险，确定风险点，选择应对策略，形成了内部控制制度</w:t>
      </w:r>
      <w:r>
        <w:rPr>
          <w:rFonts w:hint="eastAsia" w:ascii="Times New Roman" w:hAnsi="Times New Roman" w:eastAsia="仿宋_GB2312" w:cs="Times New Roman"/>
          <w:sz w:val="32"/>
          <w:szCs w:val="32"/>
          <w:highlight w:val="none"/>
          <w:u w:val="none"/>
          <w:lang w:val="en-US" w:eastAsia="zh-CN"/>
        </w:rPr>
        <w:t>手册</w:t>
      </w:r>
      <w:r>
        <w:rPr>
          <w:rFonts w:hint="eastAsia" w:ascii="Times New Roman" w:hAnsi="Times New Roman" w:eastAsia="仿宋_GB2312" w:cs="Times New Roman"/>
          <w:sz w:val="32"/>
          <w:szCs w:val="32"/>
          <w:highlight w:val="none"/>
          <w:u w:val="none"/>
          <w:lang w:val="zh-CN" w:eastAsia="zh-CN"/>
        </w:rPr>
        <w:t>，我院严格按照内控制度进行预算绩效管理，并按照相关要求将绩效信息随同</w:t>
      </w:r>
      <w:r>
        <w:rPr>
          <w:rFonts w:hint="eastAsia" w:ascii="Times New Roman" w:hAnsi="Times New Roman" w:eastAsia="仿宋_GB2312" w:cs="Times New Roman"/>
          <w:sz w:val="32"/>
          <w:szCs w:val="32"/>
          <w:highlight w:val="none"/>
          <w:u w:val="none"/>
          <w:lang w:val="en-US" w:eastAsia="zh-CN"/>
        </w:rPr>
        <w:t>预</w:t>
      </w:r>
      <w:r>
        <w:rPr>
          <w:rFonts w:hint="eastAsia" w:ascii="Times New Roman" w:hAnsi="Times New Roman" w:eastAsia="仿宋_GB2312" w:cs="Times New Roman"/>
          <w:sz w:val="32"/>
          <w:szCs w:val="32"/>
          <w:highlight w:val="none"/>
          <w:u w:val="none"/>
          <w:lang w:val="zh-CN" w:eastAsia="zh-CN"/>
        </w:rPr>
        <w:t>决算公开。</w:t>
      </w:r>
    </w:p>
    <w:p w14:paraId="271BDC1E">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0"/>
        <w:rPr>
          <w:rFonts w:hint="default" w:ascii="Times New Roman" w:hAnsi="Times New Roman" w:eastAsia="黑体" w:cs="Times New Roman"/>
          <w:color w:val="000000"/>
          <w:kern w:val="0"/>
          <w:sz w:val="32"/>
          <w:szCs w:val="32"/>
          <w:highlight w:val="none"/>
          <w:shd w:val="clear" w:color="auto" w:fill="FFFFFF"/>
          <w:lang w:eastAsia="zh-CN"/>
        </w:rPr>
      </w:pPr>
      <w:r>
        <w:rPr>
          <w:rFonts w:hint="default" w:ascii="Times New Roman" w:hAnsi="Times New Roman" w:eastAsia="黑体" w:cs="Times New Roman"/>
          <w:color w:val="000000"/>
          <w:kern w:val="0"/>
          <w:sz w:val="32"/>
          <w:szCs w:val="32"/>
          <w:highlight w:val="none"/>
          <w:shd w:val="clear" w:color="auto" w:fill="FFFFFF"/>
          <w:lang w:eastAsia="zh-CN"/>
        </w:rPr>
        <w:t>四、评价结论及建议</w:t>
      </w:r>
    </w:p>
    <w:p w14:paraId="60E1EEF1">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（一）评价结论。</w:t>
      </w:r>
    </w:p>
    <w:p w14:paraId="7D9DBB1A">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我院针对</w:t>
      </w:r>
      <w:r>
        <w:rPr>
          <w:rFonts w:hint="default" w:ascii="Times New Roman" w:hAnsi="Times New Roman" w:eastAsia="仿宋_GB2312" w:cs="Times New Roman"/>
          <w:b w:val="0"/>
          <w:bCs w:val="0"/>
          <w:kern w:val="0"/>
          <w:position w:val="0"/>
          <w:sz w:val="32"/>
          <w:szCs w:val="32"/>
          <w:highlight w:val="none"/>
          <w:lang w:val="en-US" w:eastAsia="zh-CN" w:bidi="ar-SA"/>
        </w:rPr>
        <w:t>本次财政预算绩效自评工作，严格按照《预算绩效评价共性指标体系框架》及相关财务管理规定，</w:t>
      </w:r>
      <w:r>
        <w:rPr>
          <w:rFonts w:hint="eastAsia" w:ascii="Times New Roman" w:hAnsi="Times New Roman" w:eastAsia="仿宋_GB2312" w:cs="Times New Roman"/>
          <w:b w:val="0"/>
          <w:bCs w:val="0"/>
          <w:kern w:val="0"/>
          <w:position w:val="0"/>
          <w:sz w:val="32"/>
          <w:szCs w:val="32"/>
          <w:highlight w:val="none"/>
          <w:lang w:val="en-US" w:eastAsia="zh-CN" w:bidi="ar-SA"/>
        </w:rPr>
        <w:t>结合我院2025年度工作开展情况及履职情况，</w:t>
      </w:r>
      <w:r>
        <w:rPr>
          <w:rFonts w:hint="default" w:ascii="Times New Roman" w:hAnsi="Times New Roman" w:eastAsia="仿宋_GB2312" w:cs="Times New Roman"/>
          <w:b w:val="0"/>
          <w:bCs w:val="0"/>
          <w:kern w:val="0"/>
          <w:position w:val="0"/>
          <w:sz w:val="32"/>
          <w:szCs w:val="32"/>
          <w:highlight w:val="none"/>
          <w:lang w:val="en-US" w:eastAsia="zh-CN" w:bidi="ar-SA"/>
        </w:rPr>
        <w:t>对</w:t>
      </w:r>
      <w:r>
        <w:rPr>
          <w:rFonts w:hint="eastAsia" w:ascii="Times New Roman" w:hAnsi="Times New Roman" w:eastAsia="仿宋_GB2312" w:cs="Times New Roman"/>
          <w:b w:val="0"/>
          <w:bCs w:val="0"/>
          <w:kern w:val="0"/>
          <w:position w:val="0"/>
          <w:sz w:val="32"/>
          <w:szCs w:val="32"/>
          <w:highlight w:val="none"/>
          <w:lang w:val="en-US" w:eastAsia="zh-CN" w:bidi="ar-SA"/>
        </w:rPr>
        <w:t>2025年度部门</w:t>
      </w:r>
      <w:r>
        <w:rPr>
          <w:rFonts w:hint="default" w:ascii="Times New Roman" w:hAnsi="Times New Roman" w:eastAsia="仿宋_GB2312" w:cs="Times New Roman"/>
          <w:b w:val="0"/>
          <w:bCs w:val="0"/>
          <w:kern w:val="0"/>
          <w:position w:val="0"/>
          <w:sz w:val="32"/>
          <w:szCs w:val="32"/>
          <w:highlight w:val="none"/>
          <w:lang w:val="en-US" w:eastAsia="zh-CN" w:bidi="ar-SA"/>
        </w:rPr>
        <w:t>预算资金的使用情况进行了全面、深入的分析和评价。经过自评，我们得出以下结论</w:t>
      </w:r>
      <w:r>
        <w:rPr>
          <w:rFonts w:hint="eastAsia" w:ascii="Times New Roman" w:hAnsi="Times New Roman" w:eastAsia="仿宋_GB2312" w:cs="Times New Roman"/>
          <w:b w:val="0"/>
          <w:bCs w:val="0"/>
          <w:kern w:val="0"/>
          <w:position w:val="0"/>
          <w:sz w:val="32"/>
          <w:szCs w:val="32"/>
          <w:highlight w:val="none"/>
          <w:lang w:val="en-US" w:eastAsia="zh-CN" w:bidi="ar-SA"/>
        </w:rPr>
        <w:t>：2025年度，我院切实履行了部门职责，部门预算管理、财务管理、资产管理和采购管理等规范有序，较好地完成了各项年度任务，部门预算支出使用效益达到预期，但我院在年度预算项目绩效指标编制方面，其个别指标设置质量相对不高，按照部门预算绩效评价指标体系中指标评分标准要求，2025年我院部门预算绩效评价综合得分84.59分。</w:t>
      </w:r>
    </w:p>
    <w:p w14:paraId="2AB1ECE2">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p>
    <w:p w14:paraId="6DE141E1">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1"/>
        <w:rPr>
          <w:rFonts w:hint="eastAsia" w:ascii="Times New Roman" w:hAnsi="Times New Roman" w:eastAsia="仿宋_GB2312" w:cs="Times New Roman"/>
          <w:b w:val="0"/>
          <w:bCs w:val="0"/>
          <w:kern w:val="0"/>
          <w:position w:val="0"/>
          <w:sz w:val="32"/>
          <w:szCs w:val="32"/>
          <w:highlight w:val="none"/>
          <w:lang w:val="en-US" w:eastAsia="zh-CN" w:bidi="ar-SA"/>
        </w:rPr>
      </w:pPr>
      <w:bookmarkStart w:id="105" w:name="_Hlk110546638"/>
      <w:r>
        <w:rPr>
          <w:rFonts w:hint="eastAsia" w:ascii="Times New Roman" w:hAnsi="Times New Roman" w:eastAsia="仿宋_GB2312" w:cs="Times New Roman"/>
          <w:b w:val="0"/>
          <w:bCs w:val="0"/>
          <w:kern w:val="0"/>
          <w:position w:val="0"/>
          <w:sz w:val="32"/>
          <w:szCs w:val="32"/>
          <w:highlight w:val="none"/>
          <w:lang w:val="en-US" w:eastAsia="zh-CN" w:bidi="ar-SA"/>
        </w:rPr>
        <w:t>资产管理不到位</w:t>
      </w:r>
    </w:p>
    <w:p w14:paraId="41092DC5">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1"/>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一是资产基础信息管理不够规范。在对照资产卡片及相关原始资料开展自查工作时发现，部分资产卡片中配置标准等关键信息存在填写不完整、内容不准确、要素不齐全等问题，未能全面、真实、准确反映资产实际配置情况，一定程度上影响了资产核算与管理的规范性。</w:t>
      </w:r>
    </w:p>
    <w:p w14:paraId="7998142C">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1"/>
        <w:rPr>
          <w:rFonts w:hint="eastAsia" w:ascii="Times New Roman" w:hAnsi="Times New Roman" w:eastAsia="仿宋_GB2312" w:cs="Times New Roman"/>
          <w:b w:val="0"/>
          <w:bCs w:val="0"/>
          <w:kern w:val="0"/>
          <w:position w:val="0"/>
          <w:sz w:val="32"/>
          <w:szCs w:val="32"/>
          <w:highlight w:val="none"/>
          <w:lang w:val="en-US" w:eastAsia="zh-CN" w:bidi="ar-SA"/>
        </w:rPr>
      </w:pPr>
      <w:r>
        <w:rPr>
          <w:rFonts w:hint="eastAsia" w:ascii="Times New Roman" w:hAnsi="Times New Roman" w:eastAsia="仿宋_GB2312" w:cs="Times New Roman"/>
          <w:b w:val="0"/>
          <w:bCs w:val="0"/>
          <w:kern w:val="0"/>
          <w:position w:val="0"/>
          <w:sz w:val="32"/>
          <w:szCs w:val="32"/>
          <w:highlight w:val="none"/>
          <w:lang w:val="en-US" w:eastAsia="zh-CN" w:bidi="ar-SA"/>
        </w:rPr>
        <w:t>二是资产管理信息化、智能化水平有待提升。目前资产管理仍以传统方式为主，尚未应用条形码、二维码、电子标签等信息化、智能化技术手段，未能实现对资产从购置、使用、处置到盘点的全生命周期动态管理，资产盘点效率、实时监管能力有待进一步提高。</w:t>
      </w:r>
    </w:p>
    <w:p w14:paraId="5459BE57">
      <w:pPr>
        <w:keepNext w:val="0"/>
        <w:keepLines w:val="0"/>
        <w:pageBreakBefore w:val="0"/>
        <w:widowControl/>
        <w:kinsoku/>
        <w:wordWrap/>
        <w:overflowPunct/>
        <w:topLinePunct w:val="0"/>
        <w:autoSpaceDE/>
        <w:autoSpaceDN/>
        <w:bidi w:val="0"/>
        <w:adjustRightInd w:val="0"/>
        <w:snapToGrid w:val="0"/>
        <w:spacing w:line="600" w:lineRule="exact"/>
        <w:ind w:firstLine="643" w:firstLineChars="200"/>
        <w:contextualSpacing/>
        <w:jc w:val="left"/>
        <w:textAlignment w:val="auto"/>
        <w:outlineLvl w:val="1"/>
        <w:rPr>
          <w:rFonts w:hint="default" w:ascii="Times New Roman" w:hAnsi="Times New Roman" w:eastAsia="楷体_GB2312" w:cs="Times New Roman"/>
          <w:b/>
          <w:bCs/>
          <w:color w:val="000000"/>
          <w:kern w:val="0"/>
          <w:sz w:val="32"/>
          <w:szCs w:val="32"/>
          <w:highlight w:val="none"/>
          <w:shd w:val="clear" w:color="auto" w:fill="FFFFFF"/>
          <w:lang w:val="en-US" w:eastAsia="zh-CN"/>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（三）改进建议。</w:t>
      </w:r>
    </w:p>
    <w:p w14:paraId="6E7C1CA6">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eastAsia" w:ascii="Times New Roman" w:hAnsi="Times New Roman" w:eastAsia="仿宋_GB2312" w:cs="Times New Roman"/>
          <w:sz w:val="32"/>
        </w:rPr>
      </w:pPr>
      <w:r>
        <w:rPr>
          <w:rFonts w:hint="eastAsia" w:ascii="Times New Roman" w:hAnsi="Times New Roman" w:eastAsia="仿宋_GB2312" w:cs="Times New Roman"/>
          <w:sz w:val="32"/>
        </w:rPr>
        <w:t>加强资产管理</w:t>
      </w:r>
    </w:p>
    <w:p w14:paraId="44E74544">
      <w:pPr>
        <w:keepNext w:val="0"/>
        <w:keepLines w:val="0"/>
        <w:pageBreakBefore w:val="0"/>
        <w:widowControl/>
        <w:kinsoku/>
        <w:wordWrap/>
        <w:overflowPunct/>
        <w:topLinePunct w:val="0"/>
        <w:autoSpaceDE/>
        <w:autoSpaceDN/>
        <w:bidi w:val="0"/>
        <w:adjustRightInd w:val="0"/>
        <w:snapToGrid w:val="0"/>
        <w:spacing w:line="600" w:lineRule="exact"/>
        <w:ind w:firstLine="640" w:firstLineChars="200"/>
        <w:contextualSpacing/>
        <w:jc w:val="left"/>
        <w:textAlignment w:val="auto"/>
        <w:outlineLvl w:val="9"/>
        <w:rPr>
          <w:rFonts w:hint="default" w:ascii="Times New Roman" w:hAnsi="Times New Roman" w:eastAsia="仿宋_GB2312" w:cs="Times New Roman"/>
          <w:sz w:val="32"/>
          <w:lang w:val="en-US" w:eastAsia="zh-CN"/>
        </w:rPr>
      </w:pPr>
      <w:r>
        <w:rPr>
          <w:rFonts w:hint="eastAsia" w:ascii="Times New Roman" w:hAnsi="Times New Roman" w:eastAsia="仿宋_GB2312" w:cs="Times New Roman"/>
          <w:sz w:val="32"/>
        </w:rPr>
        <w:t>后续将进一步规范资产卡片信息管理，严格按照资产配置标准及相关要求完善资产基础信息，确保信息完整准确、真实有效，同步健全资产信息审核机制；加快推进资产管理信息化建设，积极运用条形码、电子标签等现代化技术手段，实现资产全生命周期动态管理，提升资产管理规范化、精细化、智能化水平。</w:t>
      </w:r>
    </w:p>
    <w:bookmarkEnd w:id="105"/>
    <w:p w14:paraId="31D8F9EB">
      <w:pPr>
        <w:spacing w:line="578" w:lineRule="exact"/>
        <w:contextualSpacing/>
        <w:jc w:val="left"/>
        <w:rPr>
          <w:rFonts w:eastAsia="黑体"/>
          <w:szCs w:val="32"/>
        </w:rPr>
      </w:pPr>
    </w:p>
    <w:p w14:paraId="122E9750">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r>
        <w:rPr>
          <w:rFonts w:ascii="Times New Roman" w:hAnsi="Times New Roman" w:eastAsia="仿宋_GB2312" w:cs="Times New Roman"/>
          <w:color w:val="000000"/>
          <w:kern w:val="0"/>
          <w:sz w:val="32"/>
          <w:szCs w:val="32"/>
          <w:shd w:val="clear" w:color="auto" w:fill="FFFFFF"/>
        </w:rPr>
        <w:t>附表：</w:t>
      </w:r>
      <w:r>
        <w:rPr>
          <w:rFonts w:hint="eastAsia" w:ascii="Times New Roman" w:hAnsi="Times New Roman" w:eastAsia="仿宋_GB2312" w:cs="Times New Roman"/>
          <w:color w:val="000000"/>
          <w:kern w:val="0"/>
          <w:sz w:val="32"/>
          <w:szCs w:val="32"/>
          <w:shd w:val="clear" w:color="auto" w:fill="FFFFFF"/>
        </w:rPr>
        <w:t>1.部门预算绩效自评打分表</w:t>
      </w:r>
    </w:p>
    <w:p w14:paraId="20B5697D">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2.</w:t>
      </w:r>
      <w:r>
        <w:rPr>
          <w:rFonts w:ascii="Times New Roman" w:hAnsi="Times New Roman" w:eastAsia="仿宋_GB2312" w:cs="Times New Roman"/>
          <w:color w:val="000000"/>
          <w:kern w:val="0"/>
          <w:sz w:val="32"/>
          <w:szCs w:val="32"/>
          <w:shd w:val="clear" w:color="auto" w:fill="FFFFFF"/>
        </w:rPr>
        <w:t>部门整体</w:t>
      </w:r>
      <w:r>
        <w:rPr>
          <w:rFonts w:hint="eastAsia" w:ascii="Times New Roman" w:hAnsi="Times New Roman" w:eastAsia="仿宋_GB2312" w:cs="Times New Roman"/>
          <w:color w:val="000000"/>
          <w:kern w:val="0"/>
          <w:sz w:val="32"/>
          <w:szCs w:val="32"/>
          <w:shd w:val="clear" w:color="auto" w:fill="FFFFFF"/>
        </w:rPr>
        <w:t>支出</w:t>
      </w:r>
      <w:r>
        <w:rPr>
          <w:rFonts w:ascii="Times New Roman" w:hAnsi="Times New Roman" w:eastAsia="仿宋_GB2312" w:cs="Times New Roman"/>
          <w:color w:val="000000"/>
          <w:kern w:val="0"/>
          <w:sz w:val="32"/>
          <w:szCs w:val="32"/>
          <w:shd w:val="clear" w:color="auto" w:fill="FFFFFF"/>
        </w:rPr>
        <w:t>绩效目标完成情况自评表</w:t>
      </w:r>
    </w:p>
    <w:p w14:paraId="188D8545">
      <w:pPr>
        <w:spacing w:line="578" w:lineRule="exact"/>
        <w:ind w:firstLine="640" w:firstLineChars="200"/>
        <w:jc w:val="left"/>
        <w:rPr>
          <w:rFonts w:ascii="Times New Roman" w:hAnsi="Times New Roman" w:eastAsia="仿宋_GB2312" w:cs="Times New Roman"/>
          <w:color w:val="000000"/>
          <w:kern w:val="0"/>
          <w:sz w:val="32"/>
          <w:szCs w:val="32"/>
          <w:shd w:val="clear" w:color="auto" w:fill="FFFFFF"/>
        </w:rPr>
      </w:pPr>
      <w:r>
        <w:rPr>
          <w:rFonts w:hint="eastAsia" w:ascii="Times New Roman" w:hAnsi="Times New Roman" w:eastAsia="仿宋_GB2312" w:cs="Times New Roman"/>
          <w:color w:val="000000"/>
          <w:kern w:val="0"/>
          <w:sz w:val="32"/>
          <w:szCs w:val="32"/>
          <w:shd w:val="clear" w:color="auto" w:fill="FFFFFF"/>
        </w:rPr>
        <w:t>3.</w:t>
      </w:r>
      <w:r>
        <w:rPr>
          <w:rFonts w:ascii="Times New Roman" w:hAnsi="Times New Roman" w:eastAsia="仿宋_GB2312" w:cs="Times New Roman"/>
          <w:color w:val="000000"/>
          <w:kern w:val="0"/>
          <w:sz w:val="32"/>
          <w:szCs w:val="32"/>
          <w:shd w:val="clear" w:color="auto" w:fill="FFFFFF"/>
        </w:rPr>
        <w:t>部门预算项目支出绩效评价表（202</w:t>
      </w:r>
      <w:r>
        <w:rPr>
          <w:rFonts w:hint="eastAsia" w:ascii="Times New Roman" w:hAnsi="Times New Roman" w:eastAsia="仿宋_GB2312" w:cs="Times New Roman"/>
          <w:color w:val="000000"/>
          <w:kern w:val="0"/>
          <w:sz w:val="32"/>
          <w:szCs w:val="32"/>
          <w:shd w:val="clear" w:color="auto" w:fill="FFFFFF"/>
        </w:rPr>
        <w:t>5</w:t>
      </w:r>
      <w:r>
        <w:rPr>
          <w:rFonts w:ascii="Times New Roman" w:hAnsi="Times New Roman" w:eastAsia="仿宋_GB2312" w:cs="Times New Roman"/>
          <w:color w:val="000000"/>
          <w:kern w:val="0"/>
          <w:sz w:val="32"/>
          <w:szCs w:val="32"/>
          <w:shd w:val="clear" w:color="auto" w:fill="FFFFFF"/>
        </w:rPr>
        <w:t>年度）</w:t>
      </w:r>
    </w:p>
    <w:p w14:paraId="603A930E">
      <w:pPr>
        <w:spacing w:line="578" w:lineRule="exact"/>
        <w:jc w:val="left"/>
        <w:rPr>
          <w:rFonts w:eastAsia="黑体"/>
        </w:rPr>
      </w:pPr>
      <w:r>
        <w:rPr>
          <w:color w:val="000000"/>
          <w:kern w:val="0"/>
          <w:szCs w:val="32"/>
          <w:shd w:val="clear" w:color="auto" w:fill="FFFFFF"/>
        </w:rPr>
        <w:br w:type="page"/>
      </w:r>
      <w:r>
        <w:rPr>
          <w:rFonts w:eastAsia="黑体"/>
        </w:rPr>
        <w:t>附表</w:t>
      </w:r>
      <w:r>
        <w:rPr>
          <w:rFonts w:hint="eastAsia" w:eastAsia="黑体"/>
        </w:rPr>
        <w:t>1</w:t>
      </w:r>
    </w:p>
    <w:p w14:paraId="7CC92566">
      <w:pPr>
        <w:widowControl/>
        <w:spacing w:line="600" w:lineRule="exact"/>
        <w:jc w:val="center"/>
        <w:textAlignment w:val="center"/>
        <w:rPr>
          <w:rFonts w:eastAsia="方正小标宋简体"/>
          <w:color w:val="000000"/>
          <w:kern w:val="0"/>
          <w:sz w:val="44"/>
          <w:szCs w:val="44"/>
        </w:rPr>
      </w:pPr>
      <w:r>
        <w:rPr>
          <w:rFonts w:hint="eastAsia" w:eastAsia="方正小标宋简体"/>
          <w:color w:val="000000"/>
          <w:kern w:val="0"/>
          <w:sz w:val="44"/>
          <w:szCs w:val="44"/>
        </w:rPr>
        <w:t>部门预算绩效自评打分表</w:t>
      </w:r>
    </w:p>
    <w:tbl>
      <w:tblPr>
        <w:tblStyle w:val="21"/>
        <w:tblW w:w="10912" w:type="dxa"/>
        <w:jc w:val="center"/>
        <w:tblLayout w:type="fixed"/>
        <w:tblCellMar>
          <w:top w:w="0" w:type="dxa"/>
          <w:left w:w="108" w:type="dxa"/>
          <w:bottom w:w="0" w:type="dxa"/>
          <w:right w:w="108" w:type="dxa"/>
        </w:tblCellMar>
      </w:tblPr>
      <w:tblGrid>
        <w:gridCol w:w="1097"/>
        <w:gridCol w:w="1201"/>
        <w:gridCol w:w="1929"/>
        <w:gridCol w:w="717"/>
        <w:gridCol w:w="4760"/>
        <w:gridCol w:w="730"/>
        <w:gridCol w:w="478"/>
      </w:tblGrid>
      <w:tr w14:paraId="3139E7C7">
        <w:tblPrEx>
          <w:tblCellMar>
            <w:top w:w="0" w:type="dxa"/>
            <w:left w:w="108" w:type="dxa"/>
            <w:bottom w:w="0" w:type="dxa"/>
            <w:right w:w="108" w:type="dxa"/>
          </w:tblCellMar>
        </w:tblPrEx>
        <w:trPr>
          <w:trHeight w:val="23" w:hRule="atLeast"/>
          <w:jc w:val="center"/>
        </w:trPr>
        <w:tc>
          <w:tcPr>
            <w:tcW w:w="494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FDEB59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绩效评价指标指标分值</w:t>
            </w:r>
          </w:p>
        </w:tc>
        <w:tc>
          <w:tcPr>
            <w:tcW w:w="47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A6ED0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指标解释</w:t>
            </w:r>
          </w:p>
        </w:tc>
        <w:tc>
          <w:tcPr>
            <w:tcW w:w="730" w:type="dxa"/>
            <w:vMerge w:val="restart"/>
            <w:tcBorders>
              <w:top w:val="single" w:color="000000" w:sz="4" w:space="0"/>
              <w:left w:val="single" w:color="000000" w:sz="4" w:space="0"/>
              <w:right w:val="single" w:color="000000" w:sz="4" w:space="0"/>
            </w:tcBorders>
            <w:shd w:val="clear" w:color="auto" w:fill="auto"/>
            <w:vAlign w:val="center"/>
          </w:tcPr>
          <w:p w14:paraId="204ECD54">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自评得分</w:t>
            </w:r>
          </w:p>
        </w:tc>
        <w:tc>
          <w:tcPr>
            <w:tcW w:w="478" w:type="dxa"/>
            <w:vMerge w:val="restart"/>
            <w:tcBorders>
              <w:top w:val="single" w:color="000000" w:sz="4" w:space="0"/>
              <w:left w:val="single" w:color="000000" w:sz="4" w:space="0"/>
              <w:right w:val="single" w:color="000000" w:sz="4" w:space="0"/>
            </w:tcBorders>
            <w:shd w:val="clear" w:color="auto" w:fill="auto"/>
            <w:vAlign w:val="center"/>
          </w:tcPr>
          <w:p w14:paraId="69E20B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备注</w:t>
            </w:r>
          </w:p>
        </w:tc>
      </w:tr>
      <w:tr w14:paraId="4E3D01D3">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nil"/>
            </w:tcBorders>
            <w:shd w:val="clear" w:color="auto" w:fill="auto"/>
            <w:vAlign w:val="center"/>
          </w:tcPr>
          <w:p w14:paraId="6C3FD1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一级指标</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DB70A">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二级指标</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A0CE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三级指标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0F8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指标</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分值</w:t>
            </w:r>
          </w:p>
        </w:tc>
        <w:tc>
          <w:tcPr>
            <w:tcW w:w="47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94B2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730" w:type="dxa"/>
            <w:vMerge w:val="continue"/>
            <w:tcBorders>
              <w:left w:val="single" w:color="000000" w:sz="4" w:space="0"/>
              <w:bottom w:val="single" w:color="000000" w:sz="4" w:space="0"/>
              <w:right w:val="single" w:color="000000" w:sz="4" w:space="0"/>
            </w:tcBorders>
            <w:shd w:val="clear" w:color="auto" w:fill="auto"/>
            <w:vAlign w:val="center"/>
          </w:tcPr>
          <w:p w14:paraId="2EF230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478" w:type="dxa"/>
            <w:vMerge w:val="continue"/>
            <w:tcBorders>
              <w:left w:val="single" w:color="000000" w:sz="4" w:space="0"/>
              <w:bottom w:val="single" w:color="000000" w:sz="4" w:space="0"/>
              <w:right w:val="single" w:color="000000" w:sz="4" w:space="0"/>
            </w:tcBorders>
            <w:shd w:val="clear" w:color="auto" w:fill="auto"/>
            <w:vAlign w:val="center"/>
          </w:tcPr>
          <w:p w14:paraId="5C5B2BC7">
            <w:pPr>
              <w:widowControl/>
              <w:spacing w:line="240" w:lineRule="exact"/>
              <w:ind w:firstLine="0" w:firstLineChars="0"/>
              <w:jc w:val="center"/>
              <w:textAlignment w:val="center"/>
              <w:rPr>
                <w:rFonts w:hint="eastAsia" w:ascii="宋体" w:hAnsi="宋体" w:eastAsia="宋体" w:cs="宋体"/>
                <w:b/>
                <w:color w:val="000000"/>
                <w:kern w:val="0"/>
                <w:sz w:val="24"/>
              </w:rPr>
            </w:pPr>
          </w:p>
        </w:tc>
      </w:tr>
      <w:tr w14:paraId="7A53BD78">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right w:val="single" w:color="000000" w:sz="4" w:space="0"/>
            </w:tcBorders>
            <w:shd w:val="clear" w:color="auto" w:fill="auto"/>
            <w:vAlign w:val="center"/>
          </w:tcPr>
          <w:p w14:paraId="7AB1FBF0">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总体绩效（65分）</w:t>
            </w: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FBE8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履职效能</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930A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XX履职效果</w:t>
            </w:r>
          </w:p>
        </w:tc>
        <w:tc>
          <w:tcPr>
            <w:tcW w:w="717" w:type="dxa"/>
            <w:tcBorders>
              <w:top w:val="nil"/>
              <w:left w:val="single" w:color="000000" w:sz="4" w:space="0"/>
              <w:bottom w:val="single" w:color="000000" w:sz="4" w:space="0"/>
              <w:right w:val="single" w:color="000000" w:sz="4" w:space="0"/>
            </w:tcBorders>
            <w:shd w:val="clear" w:color="auto" w:fill="auto"/>
            <w:vAlign w:val="center"/>
          </w:tcPr>
          <w:p w14:paraId="756C1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15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C1AA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部门整体绩效目标中选定3-5个核心职能目标，反映该项职能目标完成效果情况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3547">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F30C4">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69CE4E">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3A294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right w:val="single" w:color="000000" w:sz="4" w:space="0"/>
            </w:tcBorders>
            <w:shd w:val="clear" w:color="auto" w:fill="auto"/>
            <w:vAlign w:val="center"/>
          </w:tcPr>
          <w:p w14:paraId="6DEC53EC">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预算管理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（25分）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49D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预算编制质量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384D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8</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BE8E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部门是否严格按要求编制年初部门预算，年初预算编制的科学性和准确性</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1D7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0.71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2B4D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26B0F7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FB6FE7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3DAB5E5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1985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49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7249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部门统筹自有收入努力程度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1AF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9DBC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31ED0C8">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62F260C1">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7035BCE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602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支出执行管理</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4A80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6</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5F9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部门1至6月、1至10月预算执行情况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BAB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6</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2DAB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BD0E943">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91A157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6C6528E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53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C8F6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144F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部门整体年终预算结余情况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A2F3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1.97</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8409B">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0A4F4CC">
        <w:tblPrEx>
          <w:tblCellMar>
            <w:top w:w="0" w:type="dxa"/>
            <w:left w:w="108" w:type="dxa"/>
            <w:bottom w:w="0" w:type="dxa"/>
            <w:right w:w="108" w:type="dxa"/>
          </w:tblCellMar>
        </w:tblPrEx>
        <w:trPr>
          <w:trHeight w:val="743" w:hRule="atLeast"/>
          <w:jc w:val="center"/>
        </w:trPr>
        <w:tc>
          <w:tcPr>
            <w:tcW w:w="1097" w:type="dxa"/>
            <w:vMerge w:val="continue"/>
            <w:tcBorders>
              <w:left w:val="single" w:color="000000" w:sz="4" w:space="0"/>
              <w:right w:val="single" w:color="000000" w:sz="4" w:space="0"/>
            </w:tcBorders>
            <w:shd w:val="clear" w:color="auto" w:fill="auto"/>
            <w:vAlign w:val="center"/>
          </w:tcPr>
          <w:p w14:paraId="47ABCFD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left w:val="single" w:color="000000" w:sz="4" w:space="0"/>
              <w:right w:val="single" w:color="000000" w:sz="4" w:space="0"/>
            </w:tcBorders>
            <w:shd w:val="clear" w:color="auto" w:fill="auto"/>
            <w:vAlign w:val="center"/>
          </w:tcPr>
          <w:p w14:paraId="44FD83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81A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严控一般性支出</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A008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5</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DF9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部门严控“三公”经费、会议、培训、差旅、办节办展、办公设备购置、信息化建设和运维、课题经费、竞赛活动、规划编制一般性支出情况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8ACE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FD80F">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242F46">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495B6E8">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52457">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财务管理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0E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财务管理制度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83DB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77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部门财务管理制度建立情况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980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433F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F994A15">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76685C5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8F4C7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508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财务岗位设置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40B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8AF7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部门财务岗位设置是否符合相关财务管理制度要求</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D7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1AF3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A56CAE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055A5B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8D3C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E9C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资金使用规范</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B8B2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62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部门资金使用是否符合相关财务管理制度规定</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9E6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CEAF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DD7846C">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5E7263D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E34411">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5C0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人均资产变化率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C8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9E6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部门人均资产变化情况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CCEB9">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13C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FB4C98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30F554B3">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D88D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FB0C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资产利用率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734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B7C9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部门资产超最低使用年限情况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7A90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0.9</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3BE1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811D3D">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1A2CF0A7">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18818">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资产管理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（9分）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792F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资产盘活率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7765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2E29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部门闲置一年以上的资产盘活情况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1237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154E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0C66CC7">
        <w:tblPrEx>
          <w:tblCellMar>
            <w:top w:w="0" w:type="dxa"/>
            <w:left w:w="108" w:type="dxa"/>
            <w:bottom w:w="0" w:type="dxa"/>
            <w:right w:w="108" w:type="dxa"/>
          </w:tblCellMar>
        </w:tblPrEx>
        <w:trPr>
          <w:trHeight w:val="23" w:hRule="atLeast"/>
          <w:jc w:val="center"/>
        </w:trPr>
        <w:tc>
          <w:tcPr>
            <w:tcW w:w="1097" w:type="dxa"/>
            <w:vMerge w:val="continue"/>
            <w:tcBorders>
              <w:left w:val="single" w:color="000000" w:sz="4" w:space="0"/>
              <w:right w:val="single" w:color="000000" w:sz="4" w:space="0"/>
            </w:tcBorders>
            <w:shd w:val="clear" w:color="auto" w:fill="auto"/>
            <w:vAlign w:val="center"/>
          </w:tcPr>
          <w:p w14:paraId="4FE800F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8745EB">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采购管理</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（6分）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F77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支持中小企业发展</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2B6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157E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部门是否严格执行政府采购促进中小企业发展相关管理办法</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AB2D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7272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3ABD807">
        <w:tblPrEx>
          <w:tblCellMar>
            <w:top w:w="0" w:type="dxa"/>
            <w:left w:w="108" w:type="dxa"/>
            <w:bottom w:w="0" w:type="dxa"/>
            <w:right w:w="108" w:type="dxa"/>
          </w:tblCellMar>
        </w:tblPrEx>
        <w:trPr>
          <w:trHeight w:val="176" w:hRule="atLeast"/>
          <w:jc w:val="center"/>
        </w:trPr>
        <w:tc>
          <w:tcPr>
            <w:tcW w:w="1097" w:type="dxa"/>
            <w:vMerge w:val="continue"/>
            <w:tcBorders>
              <w:left w:val="single" w:color="000000" w:sz="4" w:space="0"/>
              <w:bottom w:val="single" w:color="000000" w:sz="4" w:space="0"/>
              <w:right w:val="single" w:color="000000" w:sz="4" w:space="0"/>
            </w:tcBorders>
            <w:shd w:val="clear" w:color="auto" w:fill="auto"/>
            <w:vAlign w:val="center"/>
          </w:tcPr>
          <w:p w14:paraId="2E9B1E0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9BE9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8D6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5BF6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6B49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部门政府采购项目资金支付比例情况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16F8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74FCD">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C86ED9C">
        <w:tblPrEx>
          <w:tblCellMar>
            <w:top w:w="0" w:type="dxa"/>
            <w:left w:w="108" w:type="dxa"/>
            <w:bottom w:w="0" w:type="dxa"/>
            <w:right w:w="108" w:type="dxa"/>
          </w:tblCellMar>
        </w:tblPrEx>
        <w:trPr>
          <w:trHeight w:val="23" w:hRule="atLeast"/>
          <w:jc w:val="center"/>
        </w:trPr>
        <w:tc>
          <w:tcPr>
            <w:tcW w:w="1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E2F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项目绩效（35分）</w:t>
            </w: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0C567549">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项目决策</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2A1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决策程序</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BF35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A1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部门预算项目设立是否按规定履行评估论证、申报程序</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A8A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2C6E1">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9882D8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D3A7BB">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6AC076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7A47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目标设置</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3F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545B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部门预算项目绩效目标与计划期内的任务量、预算安排的资金量匹配情况，绩效目标设置是否科学合理、规范完整、量化细化、预算匹配</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BFC2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F39F3C">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412A98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84DAFE">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752F7B5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16A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项目入库</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79B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A91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部门预算项目是否在规定时间完成项目入库</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7C88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F654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FC11723">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A3BB6">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nil"/>
              <w:right w:val="single" w:color="000000" w:sz="4" w:space="0"/>
            </w:tcBorders>
            <w:shd w:val="clear" w:color="auto" w:fill="auto"/>
            <w:vAlign w:val="center"/>
          </w:tcPr>
          <w:p w14:paraId="692B5D15">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项目执行</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（12分）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6BF2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执行同向</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03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2CE3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部门预算项目实际列支内容是否与绩效目标设置方向相符</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79EE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9DA0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DFED515">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C3E469">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1956507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nil"/>
              <w:right w:val="single" w:color="000000" w:sz="4" w:space="0"/>
            </w:tcBorders>
            <w:shd w:val="clear" w:color="auto" w:fill="auto"/>
            <w:vAlign w:val="center"/>
          </w:tcPr>
          <w:p w14:paraId="2E554EB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项目调整</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09F0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DC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部门预算项目是否采取对应调整措施</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1964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8370E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0F143ED">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37A6DC">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nil"/>
              <w:right w:val="single" w:color="000000" w:sz="4" w:space="0"/>
            </w:tcBorders>
            <w:shd w:val="clear" w:color="auto" w:fill="auto"/>
            <w:vAlign w:val="center"/>
          </w:tcPr>
          <w:p w14:paraId="2E383B12">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70BA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执行结果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A264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92A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部门预算项目预算执行情况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DBD1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2.71</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22895">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3C3471F">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95744">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943D03">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目标实现</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（11分）</w:t>
            </w: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47A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目标完成</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64D8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059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部门预算项目绩效目标数量指标完成情况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7DF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A4D43">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05F0CD1C">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87960">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61AB19">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7663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目标偏离</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2AF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4</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33A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部门预算项目绩效目标数量指标实现程度与预期目标的偏离情况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2CE3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2779">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34FB3CFE">
        <w:tblPrEx>
          <w:tblCellMar>
            <w:top w:w="0" w:type="dxa"/>
            <w:left w:w="108" w:type="dxa"/>
            <w:bottom w:w="0" w:type="dxa"/>
            <w:right w:w="108" w:type="dxa"/>
          </w:tblCellMar>
        </w:tblPrEx>
        <w:trPr>
          <w:trHeight w:val="23" w:hRule="atLeast"/>
          <w:jc w:val="center"/>
        </w:trPr>
        <w:tc>
          <w:tcPr>
            <w:tcW w:w="1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2E7FD">
            <w:pPr>
              <w:widowControl/>
              <w:spacing w:line="240" w:lineRule="exact"/>
              <w:ind w:firstLine="0" w:firstLineChars="0"/>
              <w:jc w:val="center"/>
              <w:textAlignment w:val="center"/>
              <w:rPr>
                <w:rFonts w:hint="eastAsia" w:ascii="宋体" w:hAnsi="宋体" w:eastAsia="宋体" w:cs="宋体"/>
                <w:b/>
                <w:color w:val="000000"/>
                <w:kern w:val="0"/>
                <w:sz w:val="24"/>
              </w:rPr>
            </w:pPr>
          </w:p>
        </w:tc>
        <w:tc>
          <w:tcPr>
            <w:tcW w:w="120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45F955">
            <w:pPr>
              <w:widowControl/>
              <w:spacing w:line="240" w:lineRule="exact"/>
              <w:jc w:val="center"/>
              <w:rPr>
                <w:rFonts w:ascii="宋体" w:hAnsi="宋体" w:eastAsia="宋体" w:cs="宋体"/>
                <w:b/>
                <w:color w:val="000000"/>
                <w:sz w:val="24"/>
              </w:rPr>
            </w:pPr>
          </w:p>
        </w:tc>
        <w:tc>
          <w:tcPr>
            <w:tcW w:w="192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67E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实现效果</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93B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3</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D83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部门预算项目绩效目标效益指标实施效果</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95C7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3</w:t>
            </w: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81E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29708D0A">
        <w:tblPrEx>
          <w:tblCellMar>
            <w:top w:w="0" w:type="dxa"/>
            <w:left w:w="108" w:type="dxa"/>
            <w:bottom w:w="0" w:type="dxa"/>
            <w:right w:w="108" w:type="dxa"/>
          </w:tblCellMar>
        </w:tblPrEx>
        <w:trPr>
          <w:trHeight w:val="23" w:hRule="atLeast"/>
          <w:jc w:val="center"/>
        </w:trPr>
        <w:tc>
          <w:tcPr>
            <w:tcW w:w="1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31F4F">
            <w:pPr>
              <w:widowControl/>
              <w:spacing w:line="240" w:lineRule="exact"/>
              <w:ind w:firstLine="0" w:firstLineChars="0"/>
              <w:jc w:val="center"/>
              <w:textAlignment w:val="center"/>
              <w:rPr>
                <w:rFonts w:hint="eastAsia" w:ascii="宋体" w:hAnsi="宋体" w:eastAsia="宋体" w:cs="宋体"/>
                <w:b/>
                <w:color w:val="000000"/>
                <w:kern w:val="0"/>
                <w:sz w:val="24"/>
              </w:rPr>
            </w:pPr>
            <w:r>
              <w:rPr>
                <w:rFonts w:hint="eastAsia" w:ascii="宋体" w:hAnsi="宋体" w:eastAsia="宋体" w:cs="宋体"/>
                <w:b/>
                <w:color w:val="000000"/>
                <w:kern w:val="0"/>
                <w:sz w:val="24"/>
              </w:rPr>
              <w:t>扣分项</w:t>
            </w:r>
            <w:r>
              <w:rPr>
                <w:rFonts w:hint="eastAsia" w:ascii="宋体" w:hAnsi="宋体" w:eastAsia="宋体" w:cs="宋体"/>
                <w:b/>
                <w:color w:val="000000"/>
                <w:kern w:val="0"/>
                <w:sz w:val="24"/>
              </w:rPr>
              <w:br w:type="textWrapping"/>
            </w:r>
            <w:r>
              <w:rPr>
                <w:rFonts w:hint="eastAsia" w:ascii="宋体" w:hAnsi="宋体" w:eastAsia="宋体" w:cs="宋体"/>
                <w:b/>
                <w:color w:val="000000"/>
                <w:kern w:val="0"/>
                <w:sz w:val="24"/>
              </w:rPr>
              <w:t>（10分）</w:t>
            </w:r>
          </w:p>
        </w:tc>
        <w:tc>
          <w:tcPr>
            <w:tcW w:w="313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7288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被评价部门配合度</w:t>
            </w:r>
          </w:p>
        </w:tc>
        <w:tc>
          <w:tcPr>
            <w:tcW w:w="71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3B10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w:t>
            </w:r>
          </w:p>
        </w:tc>
        <w:tc>
          <w:tcPr>
            <w:tcW w:w="47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AF7B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被评价对象工作配合情况</w:t>
            </w:r>
          </w:p>
        </w:tc>
        <w:tc>
          <w:tcPr>
            <w:tcW w:w="7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737D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4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EA181">
            <w:pPr>
              <w:widowControl/>
              <w:spacing w:line="240" w:lineRule="exact"/>
              <w:ind w:firstLine="0" w:firstLineChars="0"/>
              <w:jc w:val="center"/>
              <w:textAlignment w:val="center"/>
              <w:rPr>
                <w:rFonts w:hint="eastAsia" w:ascii="宋体" w:hAnsi="宋体" w:eastAsia="宋体" w:cs="宋体"/>
                <w:color w:val="000000"/>
                <w:kern w:val="0"/>
                <w:sz w:val="24"/>
              </w:rPr>
            </w:pPr>
          </w:p>
        </w:tc>
      </w:tr>
    </w:tbl>
    <w:p w14:paraId="3580418C">
      <w:pPr>
        <w:pStyle w:val="42"/>
        <w:spacing w:line="20" w:lineRule="exact"/>
      </w:pPr>
    </w:p>
    <w:p w14:paraId="3742B34B">
      <w:pPr>
        <w:spacing w:line="578" w:lineRule="exact"/>
        <w:jc w:val="left"/>
        <w:rPr>
          <w:rFonts w:eastAsia="黑体"/>
        </w:rPr>
      </w:pPr>
      <w:r>
        <w:rPr>
          <w:rFonts w:eastAsia="黑体"/>
        </w:rPr>
        <w:t>附表</w:t>
      </w:r>
      <w:r>
        <w:rPr>
          <w:rFonts w:hint="eastAsia" w:eastAsia="黑体"/>
        </w:rPr>
        <w:t>2</w:t>
      </w:r>
    </w:p>
    <w:p w14:paraId="16F1A229">
      <w:pPr>
        <w:widowControl/>
        <w:spacing w:line="578" w:lineRule="exact"/>
        <w:jc w:val="center"/>
        <w:textAlignment w:val="center"/>
        <w:rPr>
          <w:rFonts w:eastAsia="方正小标宋简体"/>
          <w:color w:val="000000"/>
          <w:kern w:val="0"/>
          <w:sz w:val="44"/>
          <w:szCs w:val="44"/>
        </w:rPr>
      </w:pPr>
      <w:r>
        <w:rPr>
          <w:rFonts w:eastAsia="方正小标宋简体"/>
          <w:color w:val="000000"/>
          <w:kern w:val="0"/>
          <w:sz w:val="44"/>
          <w:szCs w:val="44"/>
        </w:rPr>
        <w:t>部门整体</w:t>
      </w:r>
      <w:r>
        <w:rPr>
          <w:rFonts w:hint="eastAsia" w:eastAsia="方正小标宋简体"/>
          <w:color w:val="000000"/>
          <w:kern w:val="0"/>
          <w:sz w:val="44"/>
          <w:szCs w:val="44"/>
        </w:rPr>
        <w:t>支出</w:t>
      </w:r>
      <w:r>
        <w:rPr>
          <w:rFonts w:eastAsia="方正小标宋简体"/>
          <w:color w:val="000000"/>
          <w:kern w:val="0"/>
          <w:sz w:val="44"/>
          <w:szCs w:val="44"/>
        </w:rPr>
        <w:t>绩效目标完成情况自评表</w:t>
      </w:r>
    </w:p>
    <w:tbl>
      <w:tblPr>
        <w:tblStyle w:val="21"/>
        <w:tblW w:w="9658" w:type="dxa"/>
        <w:jc w:val="center"/>
        <w:tblLayout w:type="fixed"/>
        <w:tblCellMar>
          <w:top w:w="0" w:type="dxa"/>
          <w:left w:w="108" w:type="dxa"/>
          <w:bottom w:w="0" w:type="dxa"/>
          <w:right w:w="108" w:type="dxa"/>
        </w:tblCellMar>
      </w:tblPr>
      <w:tblGrid>
        <w:gridCol w:w="331"/>
        <w:gridCol w:w="593"/>
        <w:gridCol w:w="803"/>
        <w:gridCol w:w="1246"/>
        <w:gridCol w:w="803"/>
        <w:gridCol w:w="777"/>
        <w:gridCol w:w="1018"/>
        <w:gridCol w:w="1045"/>
        <w:gridCol w:w="1111"/>
        <w:gridCol w:w="1931"/>
      </w:tblGrid>
      <w:tr w14:paraId="0F3DE85C">
        <w:tblPrEx>
          <w:tblCellMar>
            <w:top w:w="0" w:type="dxa"/>
            <w:left w:w="108" w:type="dxa"/>
            <w:bottom w:w="0" w:type="dxa"/>
            <w:right w:w="108" w:type="dxa"/>
          </w:tblCellMar>
        </w:tblPrEx>
        <w:trPr>
          <w:trHeight w:val="465" w:hRule="atLeast"/>
          <w:jc w:val="center"/>
        </w:trPr>
        <w:tc>
          <w:tcPr>
            <w:tcW w:w="1727" w:type="dxa"/>
            <w:gridSpan w:val="3"/>
            <w:tcBorders>
              <w:top w:val="single" w:color="000000" w:sz="4" w:space="0"/>
              <w:left w:val="single" w:color="000000" w:sz="4" w:space="0"/>
              <w:bottom w:val="single" w:color="auto" w:sz="4" w:space="0"/>
              <w:right w:val="single" w:color="000000" w:sz="4" w:space="0"/>
            </w:tcBorders>
            <w:noWrap/>
            <w:vAlign w:val="center"/>
          </w:tcPr>
          <w:p w14:paraId="4673CB5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br w:type="page"/>
            </w:r>
            <w:r>
              <w:rPr>
                <w:rFonts w:hint="eastAsia" w:ascii="宋体" w:hAnsi="宋体" w:eastAsia="宋体" w:cs="宋体"/>
                <w:color w:val="000000"/>
                <w:kern w:val="0"/>
                <w:sz w:val="24"/>
              </w:rPr>
              <w:t>部门名称</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0090E07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九寨沟县人民法院部门</w:t>
            </w:r>
          </w:p>
        </w:tc>
      </w:tr>
      <w:tr w14:paraId="68280013">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44B7194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年度部门整体预算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555AC07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资金总额</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6C53B0C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4D0FA45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其他资金</w:t>
            </w:r>
          </w:p>
        </w:tc>
      </w:tr>
      <w:tr w14:paraId="4A3B586B">
        <w:tblPrEx>
          <w:tblCellMar>
            <w:top w:w="0" w:type="dxa"/>
            <w:left w:w="108" w:type="dxa"/>
            <w:bottom w:w="0" w:type="dxa"/>
            <w:right w:w="108" w:type="dxa"/>
          </w:tblCellMar>
        </w:tblPrEx>
        <w:trPr>
          <w:trHeight w:val="239"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7EC30AA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收入预算</w:t>
            </w:r>
          </w:p>
        </w:tc>
        <w:tc>
          <w:tcPr>
            <w:tcW w:w="2049" w:type="dxa"/>
            <w:gridSpan w:val="2"/>
            <w:tcBorders>
              <w:top w:val="single" w:color="000000" w:sz="4" w:space="0"/>
              <w:left w:val="single" w:color="auto" w:sz="4" w:space="0"/>
              <w:bottom w:val="single" w:color="000000" w:sz="4" w:space="0"/>
              <w:right w:val="single" w:color="auto" w:sz="4" w:space="0"/>
            </w:tcBorders>
            <w:noWrap/>
            <w:vAlign w:val="center"/>
          </w:tcPr>
          <w:p w14:paraId="65C82FD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750,000</w:t>
            </w:r>
          </w:p>
        </w:tc>
        <w:tc>
          <w:tcPr>
            <w:tcW w:w="1795" w:type="dxa"/>
            <w:gridSpan w:val="2"/>
            <w:tcBorders>
              <w:top w:val="single" w:color="auto" w:sz="4" w:space="0"/>
              <w:left w:val="single" w:color="auto" w:sz="4" w:space="0"/>
              <w:bottom w:val="single" w:color="auto" w:sz="4" w:space="0"/>
              <w:right w:val="single" w:color="auto" w:sz="4" w:space="0"/>
            </w:tcBorders>
            <w:noWrap/>
            <w:vAlign w:val="center"/>
          </w:tcPr>
          <w:p w14:paraId="0800BFF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750,000</w:t>
            </w:r>
          </w:p>
        </w:tc>
        <w:tc>
          <w:tcPr>
            <w:tcW w:w="4087" w:type="dxa"/>
            <w:gridSpan w:val="3"/>
            <w:tcBorders>
              <w:top w:val="single" w:color="auto" w:sz="4" w:space="0"/>
              <w:left w:val="single" w:color="auto" w:sz="4" w:space="0"/>
              <w:bottom w:val="single" w:color="auto" w:sz="4" w:space="0"/>
              <w:right w:val="single" w:color="auto" w:sz="4" w:space="0"/>
            </w:tcBorders>
            <w:noWrap/>
            <w:vAlign w:val="center"/>
          </w:tcPr>
          <w:p w14:paraId="647237B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432A003F">
        <w:tblPrEx>
          <w:tblCellMar>
            <w:top w:w="0" w:type="dxa"/>
            <w:left w:w="108" w:type="dxa"/>
            <w:bottom w:w="0" w:type="dxa"/>
            <w:right w:w="108" w:type="dxa"/>
          </w:tblCellMar>
        </w:tblPrEx>
        <w:trPr>
          <w:trHeight w:val="331" w:hRule="atLeast"/>
          <w:jc w:val="center"/>
        </w:trPr>
        <w:tc>
          <w:tcPr>
            <w:tcW w:w="1727" w:type="dxa"/>
            <w:gridSpan w:val="3"/>
            <w:tcBorders>
              <w:top w:val="single" w:color="auto" w:sz="4" w:space="0"/>
              <w:left w:val="single" w:color="auto" w:sz="4" w:space="0"/>
              <w:bottom w:val="single" w:color="auto" w:sz="4" w:space="0"/>
              <w:right w:val="single" w:color="auto" w:sz="4" w:space="0"/>
            </w:tcBorders>
            <w:noWrap/>
            <w:vAlign w:val="center"/>
          </w:tcPr>
          <w:p w14:paraId="6E3E54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支出预算</w:t>
            </w:r>
          </w:p>
        </w:tc>
        <w:tc>
          <w:tcPr>
            <w:tcW w:w="2049" w:type="dxa"/>
            <w:gridSpan w:val="2"/>
            <w:tcBorders>
              <w:top w:val="single" w:color="000000" w:sz="4" w:space="0"/>
              <w:left w:val="single" w:color="auto" w:sz="4" w:space="0"/>
              <w:bottom w:val="single" w:color="000000" w:sz="4" w:space="0"/>
              <w:right w:val="single" w:color="000000" w:sz="4" w:space="0"/>
            </w:tcBorders>
            <w:noWrap/>
            <w:vAlign w:val="center"/>
          </w:tcPr>
          <w:p w14:paraId="1B2CE3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13,392,526.83</w:t>
            </w:r>
          </w:p>
        </w:tc>
        <w:tc>
          <w:tcPr>
            <w:tcW w:w="1795" w:type="dxa"/>
            <w:gridSpan w:val="2"/>
            <w:tcBorders>
              <w:top w:val="single" w:color="auto" w:sz="4" w:space="0"/>
              <w:left w:val="single" w:color="000000" w:sz="4" w:space="0"/>
              <w:bottom w:val="single" w:color="000000" w:sz="4" w:space="0"/>
              <w:right w:val="single" w:color="000000" w:sz="4" w:space="0"/>
            </w:tcBorders>
            <w:noWrap/>
            <w:vAlign w:val="center"/>
          </w:tcPr>
          <w:p w14:paraId="54C10D1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13,392,526.83</w:t>
            </w:r>
          </w:p>
        </w:tc>
        <w:tc>
          <w:tcPr>
            <w:tcW w:w="4087" w:type="dxa"/>
            <w:gridSpan w:val="3"/>
            <w:tcBorders>
              <w:top w:val="single" w:color="auto" w:sz="4" w:space="0"/>
              <w:left w:val="single" w:color="000000" w:sz="4" w:space="0"/>
              <w:bottom w:val="single" w:color="000000" w:sz="4" w:space="0"/>
              <w:right w:val="single" w:color="000000" w:sz="4" w:space="0"/>
            </w:tcBorders>
            <w:noWrap/>
            <w:vAlign w:val="center"/>
          </w:tcPr>
          <w:p w14:paraId="0FB2FA8D">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r>
      <w:tr w14:paraId="04B409AF">
        <w:tblPrEx>
          <w:tblCellMar>
            <w:top w:w="0" w:type="dxa"/>
            <w:left w:w="108" w:type="dxa"/>
            <w:bottom w:w="0" w:type="dxa"/>
            <w:right w:w="108" w:type="dxa"/>
          </w:tblCellMar>
        </w:tblPrEx>
        <w:trPr>
          <w:trHeight w:val="296" w:hRule="atLeast"/>
          <w:jc w:val="center"/>
        </w:trPr>
        <w:tc>
          <w:tcPr>
            <w:tcW w:w="1727" w:type="dxa"/>
            <w:gridSpan w:val="3"/>
            <w:tcBorders>
              <w:top w:val="single" w:color="auto" w:sz="4" w:space="0"/>
              <w:left w:val="single" w:color="000000" w:sz="4" w:space="0"/>
              <w:bottom w:val="single" w:color="000000" w:sz="4" w:space="0"/>
              <w:right w:val="single" w:color="000000" w:sz="4" w:space="0"/>
            </w:tcBorders>
            <w:noWrap/>
            <w:vAlign w:val="center"/>
          </w:tcPr>
          <w:p w14:paraId="342A29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年度总体目标</w:t>
            </w:r>
          </w:p>
        </w:tc>
        <w:tc>
          <w:tcPr>
            <w:tcW w:w="7931" w:type="dxa"/>
            <w:gridSpan w:val="7"/>
            <w:tcBorders>
              <w:top w:val="single" w:color="000000" w:sz="4" w:space="0"/>
              <w:left w:val="single" w:color="000000" w:sz="4" w:space="0"/>
              <w:bottom w:val="single" w:color="000000" w:sz="4" w:space="0"/>
              <w:right w:val="single" w:color="000000" w:sz="4" w:space="0"/>
            </w:tcBorders>
            <w:noWrap/>
            <w:vAlign w:val="center"/>
          </w:tcPr>
          <w:p w14:paraId="3649C130">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2025年，县人民法院工作总体思路是：坚持以习近平新时代中国特色社会主义思想为指导，深入学习贯彻习近平法治思想，全面贯彻落实党的二十大、二十届三中全会精神和省委、州委、县委全会精神，聚焦建设国际生态文化旅游目的地，聚力县委“135”发展目标，做深做实为大局服务、为人民司法，奋力推进审判工作现代化，为服务保障全县经济社会高质量发展贡献法院力量。为此，我们将重点做好以下五方面工作。</w:t>
            </w:r>
          </w:p>
          <w:p w14:paraId="272BCE6B">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筑牢政治忠诚，在加强政治建设中迈出新步伐。始终坚持党对法院工作的绝对领导，确保思想站位高、行动方向准。坚持抓党建带队建促审判，打造更加坚强有力的战斗堡垒。压实意识形态工作责任制，坚决守住司法领域意识形态安全底线。忠实践行全过程人民民主，拓宽畅通接受监督渠道，促进严格、公正、廉洁司法。</w:t>
            </w:r>
          </w:p>
          <w:p w14:paraId="259AA59B">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深耕主责主业，在服务发展大局中彰显新担当。坚定不移贯彻总体国家安全观，打好常态化扫黑除恶斗争持久战，全力维护国家安全、社会安定、人民安宁。践行新时代“枫桥经验”，助力县域社会治理现代化，维护全县社会大局稳定。坚持围绕中心服务大局，在推动法旅互动、文旅融合高质量发展中，持续优化法治化营商环境。</w:t>
            </w:r>
          </w:p>
          <w:p w14:paraId="44D673A4">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牢记初心使命，在践行司法为民中展现新作为。坚持以人民为中心的发展思想，依法维护人民群众合法权益，在服务发展中保障和改善民生。践行“如我在诉”，抓好执法办案，切实提升人民群众幸福感、安全感。聚焦群众急难愁盼，优化司法便民惠民举措，全面拓展司法公开广度深度，努力让人民群众感受到公平正义就在身边。</w:t>
            </w:r>
          </w:p>
          <w:p w14:paraId="65D021C8">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抓实公正效率，在狠抓审判质效中实现新提升。坚持整体推进与重点突破相统一，全面深化司法体制综合配套改革，不断释放发展内生动力。严格落实司法责任制，健全完善“四类案件”监管制度，加快构建与新型审判权力运行机制相适应的制约监督和责任体系。深化数字法院建设，切实以数字赋能推进审判工作现代化水平，回应互联网时代人民司法新需求。</w:t>
            </w:r>
          </w:p>
          <w:p w14:paraId="104C8198">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聚力强基固本，在提升队伍建设中展示新形象。坚持不懈推进全面从严管党治院，一体推进政治素质、业务素质、职业道德素质建设。把思想建设作为核心，以党的创新理论推动司法理念现代化。把能力建设作为重点，努力提升与社会治理能力现代化相适应的司法能力。把作风建设作为关键，持之以恒正风肃纪反腐，确保法院清正、法官清廉、司法清明。</w:t>
            </w:r>
          </w:p>
          <w:p w14:paraId="2F4C55E6">
            <w:pPr>
              <w:widowControl/>
              <w:spacing w:line="240" w:lineRule="exact"/>
              <w:ind w:firstLine="0" w:firstLineChars="0"/>
              <w:jc w:val="left"/>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各位代表，大道至简，实干为要。新的一年，县人民法院将在县委的坚强领导下，在县人大及其常委会有力监督下，全面落实党中央、省委、州委和县委决策部署，牢记嘱托、感恩奋进，认真贯彻落实本次大会决议，忠实履行宪法法律赋予的职责，为全面建设社会主义现代化九寨沟和国际生态文化旅游目的地作出新的更大贡献！</w:t>
            </w:r>
          </w:p>
        </w:tc>
      </w:tr>
      <w:tr w14:paraId="1D743171">
        <w:tblPrEx>
          <w:tblCellMar>
            <w:top w:w="0" w:type="dxa"/>
            <w:left w:w="108" w:type="dxa"/>
            <w:bottom w:w="0" w:type="dxa"/>
            <w:right w:w="108" w:type="dxa"/>
          </w:tblCellMar>
        </w:tblPrEx>
        <w:trPr>
          <w:trHeight w:val="296" w:hRule="atLeast"/>
          <w:jc w:val="center"/>
        </w:trPr>
        <w:tc>
          <w:tcPr>
            <w:tcW w:w="331" w:type="dxa"/>
            <w:vMerge w:val="restart"/>
            <w:tcBorders>
              <w:top w:val="single" w:color="000000" w:sz="4" w:space="0"/>
              <w:left w:val="single" w:color="000000" w:sz="4" w:space="0"/>
              <w:bottom w:val="single" w:color="000000" w:sz="4" w:space="0"/>
              <w:right w:val="single" w:color="000000" w:sz="4" w:space="0"/>
            </w:tcBorders>
            <w:noWrap/>
            <w:vAlign w:val="center"/>
          </w:tcPr>
          <w:p w14:paraId="2B78C4B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管理效率</w:t>
            </w: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4657B51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C267A6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vMerge w:val="restart"/>
            <w:tcBorders>
              <w:top w:val="single" w:color="000000" w:sz="4" w:space="0"/>
              <w:left w:val="single" w:color="000000" w:sz="4" w:space="0"/>
              <w:bottom w:val="single" w:color="000000" w:sz="4" w:space="0"/>
              <w:right w:val="single" w:color="000000" w:sz="4" w:space="0"/>
            </w:tcBorders>
            <w:noWrap/>
            <w:vAlign w:val="center"/>
          </w:tcPr>
          <w:p w14:paraId="2F8997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438CE41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w:t>
            </w:r>
          </w:p>
        </w:tc>
        <w:tc>
          <w:tcPr>
            <w:tcW w:w="3951" w:type="dxa"/>
            <w:gridSpan w:val="4"/>
            <w:tcBorders>
              <w:top w:val="single" w:color="000000" w:sz="4" w:space="0"/>
              <w:left w:val="single" w:color="000000" w:sz="4" w:space="0"/>
              <w:bottom w:val="single" w:color="000000" w:sz="4" w:space="0"/>
              <w:right w:val="single" w:color="000000" w:sz="4" w:space="0"/>
            </w:tcBorders>
            <w:noWrap/>
            <w:vAlign w:val="center"/>
          </w:tcPr>
          <w:p w14:paraId="5EB4791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指标设置参考值</w:t>
            </w:r>
          </w:p>
        </w:tc>
        <w:tc>
          <w:tcPr>
            <w:tcW w:w="1931" w:type="dxa"/>
            <w:vMerge w:val="restart"/>
            <w:tcBorders>
              <w:top w:val="single" w:color="000000" w:sz="4" w:space="0"/>
              <w:left w:val="single" w:color="000000" w:sz="4" w:space="0"/>
              <w:right w:val="single" w:color="000000" w:sz="4" w:space="0"/>
            </w:tcBorders>
            <w:noWrap/>
            <w:vAlign w:val="center"/>
          </w:tcPr>
          <w:p w14:paraId="24FDBA5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指标实际完成值</w:t>
            </w:r>
          </w:p>
        </w:tc>
      </w:tr>
      <w:tr w14:paraId="7044A651">
        <w:tblPrEx>
          <w:tblCellMar>
            <w:top w:w="0" w:type="dxa"/>
            <w:left w:w="108" w:type="dxa"/>
            <w:bottom w:w="0" w:type="dxa"/>
            <w:right w:w="108" w:type="dxa"/>
          </w:tblCellMar>
        </w:tblPrEx>
        <w:trPr>
          <w:trHeight w:val="296"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768653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D320CC">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378DB25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vMerge w:val="continue"/>
            <w:tcBorders>
              <w:top w:val="single" w:color="000000" w:sz="4" w:space="0"/>
              <w:left w:val="single" w:color="000000" w:sz="4" w:space="0"/>
              <w:bottom w:val="single" w:color="000000" w:sz="4" w:space="0"/>
              <w:right w:val="single" w:color="000000" w:sz="4" w:space="0"/>
            </w:tcBorders>
            <w:noWrap/>
            <w:vAlign w:val="center"/>
          </w:tcPr>
          <w:p w14:paraId="7044481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0BE394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777" w:type="dxa"/>
            <w:tcBorders>
              <w:top w:val="single" w:color="000000" w:sz="4" w:space="0"/>
              <w:left w:val="single" w:color="000000" w:sz="4" w:space="0"/>
              <w:right w:val="single" w:color="000000" w:sz="4" w:space="0"/>
            </w:tcBorders>
            <w:noWrap/>
            <w:vAlign w:val="center"/>
          </w:tcPr>
          <w:p w14:paraId="2013680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三年</w:t>
            </w:r>
          </w:p>
          <w:p w14:paraId="7ED02B0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均值</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05AA19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2</w:t>
            </w:r>
            <w:r>
              <w:rPr>
                <w:rFonts w:hint="eastAsia" w:ascii="宋体" w:hAnsi="宋体" w:eastAsia="宋体" w:cs="宋体"/>
                <w:color w:val="000000"/>
                <w:kern w:val="0"/>
                <w:sz w:val="24"/>
              </w:rPr>
              <w:t>年</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755A25C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3</w:t>
            </w:r>
            <w:r>
              <w:rPr>
                <w:rFonts w:hint="eastAsia" w:ascii="宋体" w:hAnsi="宋体" w:eastAsia="宋体" w:cs="宋体"/>
                <w:color w:val="000000"/>
                <w:kern w:val="0"/>
                <w:sz w:val="24"/>
              </w:rPr>
              <w:t>年</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1F16C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202</w:t>
            </w:r>
            <w:r>
              <w:rPr>
                <w:rFonts w:hint="eastAsia" w:ascii="宋体" w:hAnsi="宋体" w:eastAsia="宋体" w:cs="宋体"/>
                <w:color w:val="000000"/>
                <w:kern w:val="0"/>
                <w:sz w:val="24"/>
                <w:lang w:val="en-US" w:eastAsia="zh-CN"/>
              </w:rPr>
              <w:t>4</w:t>
            </w:r>
            <w:r>
              <w:rPr>
                <w:rFonts w:hint="eastAsia" w:ascii="宋体" w:hAnsi="宋体" w:eastAsia="宋体" w:cs="宋体"/>
                <w:color w:val="000000"/>
                <w:kern w:val="0"/>
                <w:sz w:val="24"/>
              </w:rPr>
              <w:t>年</w:t>
            </w:r>
          </w:p>
        </w:tc>
        <w:tc>
          <w:tcPr>
            <w:tcW w:w="1931" w:type="dxa"/>
            <w:vMerge w:val="continue"/>
            <w:tcBorders>
              <w:left w:val="single" w:color="000000" w:sz="4" w:space="0"/>
              <w:right w:val="single" w:color="000000" w:sz="4" w:space="0"/>
            </w:tcBorders>
            <w:noWrap/>
            <w:vAlign w:val="center"/>
          </w:tcPr>
          <w:p w14:paraId="16D8858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20BB46E">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41CFB0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restart"/>
            <w:tcBorders>
              <w:top w:val="single" w:color="000000" w:sz="4" w:space="0"/>
              <w:left w:val="single" w:color="000000" w:sz="4" w:space="0"/>
              <w:bottom w:val="single" w:color="000000" w:sz="4" w:space="0"/>
              <w:right w:val="single" w:color="000000" w:sz="4" w:space="0"/>
            </w:tcBorders>
            <w:noWrap/>
            <w:vAlign w:val="center"/>
          </w:tcPr>
          <w:p w14:paraId="2F93D29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成本指标</w:t>
            </w:r>
          </w:p>
        </w:tc>
        <w:tc>
          <w:tcPr>
            <w:tcW w:w="803" w:type="dxa"/>
            <w:vMerge w:val="restart"/>
            <w:tcBorders>
              <w:top w:val="single" w:color="000000" w:sz="4" w:space="0"/>
              <w:left w:val="single" w:color="000000" w:sz="4" w:space="0"/>
              <w:bottom w:val="single" w:color="000000" w:sz="4" w:space="0"/>
              <w:right w:val="single" w:color="000000" w:sz="4" w:space="0"/>
            </w:tcBorders>
            <w:noWrap/>
            <w:vAlign w:val="center"/>
          </w:tcPr>
          <w:p w14:paraId="75D74C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16EC4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财政拨款预算编制偏离度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77423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2A126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39D965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4E93E1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7AE3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B22DA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82.29%</w:t>
            </w:r>
          </w:p>
        </w:tc>
      </w:tr>
      <w:tr w14:paraId="40B9B774">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0EA0D8E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2C383C3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1AA6111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08E558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单位收入统筹度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F9AE8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68E93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A597A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01A0FF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4A37C9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85%</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2F4DBA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w:t>
            </w:r>
          </w:p>
        </w:tc>
      </w:tr>
      <w:tr w14:paraId="1688F2D1">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4C8A3D1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379C81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5C652B0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CA522C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预算年终结余率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6142D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6B514A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431F8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7DA1C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158802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B6954D3">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1.37%</w:t>
            </w:r>
          </w:p>
        </w:tc>
      </w:tr>
      <w:tr w14:paraId="511C1C83">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8B6C0F5">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6FBE51E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vMerge w:val="continue"/>
            <w:tcBorders>
              <w:top w:val="single" w:color="000000" w:sz="4" w:space="0"/>
              <w:left w:val="single" w:color="000000" w:sz="4" w:space="0"/>
              <w:bottom w:val="single" w:color="000000" w:sz="4" w:space="0"/>
              <w:right w:val="single" w:color="000000" w:sz="4" w:space="0"/>
            </w:tcBorders>
            <w:noWrap/>
            <w:vAlign w:val="center"/>
          </w:tcPr>
          <w:p w14:paraId="23A65B23">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760831B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一般性支出金额</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35D0A3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1,618.96元</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587AD9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1,618.96元</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760D44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67287D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02CD7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1,618.96元</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6C3C6FAE">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25.55万元</w:t>
            </w:r>
          </w:p>
        </w:tc>
      </w:tr>
      <w:tr w14:paraId="4761D1D7">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3ED8A69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3BEA85A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47A0DD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D58FFC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财务管理规范</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2AFDF0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465AD3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68E61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182906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61609C16">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7D29700B">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w:t>
            </w:r>
          </w:p>
        </w:tc>
      </w:tr>
      <w:tr w14:paraId="0EF759CB">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7FD7166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1008872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D5D040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F7B65C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资产配置预算偏离度</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7C3AC2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008DD1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61AEE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393B65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A5D28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801E075">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4E50BF09">
        <w:tblPrEx>
          <w:tblCellMar>
            <w:top w:w="0" w:type="dxa"/>
            <w:left w:w="108" w:type="dxa"/>
            <w:bottom w:w="0" w:type="dxa"/>
            <w:right w:w="108" w:type="dxa"/>
          </w:tblCellMar>
        </w:tblPrEx>
        <w:trPr>
          <w:trHeight w:val="90" w:hRule="atLeast"/>
          <w:jc w:val="center"/>
        </w:trPr>
        <w:tc>
          <w:tcPr>
            <w:tcW w:w="331" w:type="dxa"/>
            <w:vMerge w:val="continue"/>
            <w:tcBorders>
              <w:top w:val="single" w:color="000000" w:sz="4" w:space="0"/>
              <w:left w:val="single" w:color="000000" w:sz="4" w:space="0"/>
              <w:bottom w:val="single" w:color="000000" w:sz="4" w:space="0"/>
              <w:right w:val="single" w:color="000000" w:sz="4" w:space="0"/>
            </w:tcBorders>
            <w:noWrap/>
            <w:vAlign w:val="center"/>
          </w:tcPr>
          <w:p w14:paraId="6405CB1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vMerge w:val="continue"/>
            <w:tcBorders>
              <w:top w:val="single" w:color="000000" w:sz="4" w:space="0"/>
              <w:left w:val="single" w:color="000000" w:sz="4" w:space="0"/>
              <w:bottom w:val="single" w:color="000000" w:sz="4" w:space="0"/>
              <w:right w:val="single" w:color="000000" w:sz="4" w:space="0"/>
            </w:tcBorders>
            <w:noWrap/>
            <w:vAlign w:val="center"/>
          </w:tcPr>
          <w:p w14:paraId="44461F6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551923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采购管理</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1ED9DA0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采购执行率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DF75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777" w:type="dxa"/>
            <w:tcBorders>
              <w:top w:val="single" w:color="000000" w:sz="4" w:space="0"/>
              <w:left w:val="single" w:color="000000" w:sz="4" w:space="0"/>
              <w:bottom w:val="single" w:color="000000" w:sz="4" w:space="0"/>
              <w:right w:val="single" w:color="000000" w:sz="4" w:space="0"/>
            </w:tcBorders>
            <w:noWrap/>
            <w:vAlign w:val="center"/>
          </w:tcPr>
          <w:p w14:paraId="79D796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18" w:type="dxa"/>
            <w:tcBorders>
              <w:top w:val="single" w:color="000000" w:sz="4" w:space="0"/>
              <w:left w:val="single" w:color="000000" w:sz="4" w:space="0"/>
              <w:bottom w:val="single" w:color="000000" w:sz="4" w:space="0"/>
              <w:right w:val="single" w:color="000000" w:sz="4" w:space="0"/>
            </w:tcBorders>
            <w:noWrap/>
            <w:vAlign w:val="center"/>
          </w:tcPr>
          <w:p w14:paraId="2FBD0D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45" w:type="dxa"/>
            <w:tcBorders>
              <w:top w:val="single" w:color="000000" w:sz="4" w:space="0"/>
              <w:left w:val="single" w:color="000000" w:sz="4" w:space="0"/>
              <w:bottom w:val="single" w:color="000000" w:sz="4" w:space="0"/>
              <w:right w:val="single" w:color="000000" w:sz="4" w:space="0"/>
            </w:tcBorders>
            <w:noWrap/>
            <w:vAlign w:val="center"/>
          </w:tcPr>
          <w:p w14:paraId="5FBC01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3B0CF4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27F58D0">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r>
      <w:tr w14:paraId="20FF1DEE">
        <w:tblPrEx>
          <w:tblCellMar>
            <w:top w:w="0" w:type="dxa"/>
            <w:left w:w="108" w:type="dxa"/>
            <w:bottom w:w="0" w:type="dxa"/>
            <w:right w:w="108" w:type="dxa"/>
          </w:tblCellMar>
        </w:tblPrEx>
        <w:trPr>
          <w:trHeight w:val="468" w:hRule="atLeast"/>
          <w:jc w:val="center"/>
        </w:trPr>
        <w:tc>
          <w:tcPr>
            <w:tcW w:w="331" w:type="dxa"/>
            <w:vMerge w:val="restart"/>
            <w:tcBorders>
              <w:top w:val="single" w:color="000000" w:sz="4" w:space="0"/>
              <w:left w:val="single" w:color="000000" w:sz="4" w:space="0"/>
              <w:right w:val="single" w:color="000000" w:sz="4" w:space="0"/>
            </w:tcBorders>
            <w:noWrap/>
            <w:vAlign w:val="center"/>
          </w:tcPr>
          <w:p w14:paraId="75932177">
            <w:pPr>
              <w:widowControl/>
              <w:spacing w:line="240" w:lineRule="exact"/>
              <w:ind w:firstLine="0" w:firstLineChars="0"/>
              <w:jc w:val="both"/>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履职效能</w:t>
            </w: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60F23D5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一级指标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150484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二级指标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5BFF37B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三级指标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75E39E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rPr>
              <w:t>指标值（包含数字及文字描述）</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47EC693E">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E1B0F59">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A15252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134B83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8E766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362AE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审限内结案率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6876E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675348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r>
      <w:tr w14:paraId="1E3E2D25">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7555F42">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DB60A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349CE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6977E5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保障司法审判公平公正</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123078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C87B5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优</w:t>
            </w:r>
          </w:p>
        </w:tc>
      </w:tr>
      <w:tr w14:paraId="4A3606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6377C3B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588AD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63D1E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F1461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完成时限</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BB024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2025年12月31日</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3881A9E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2025年12月31日</w:t>
            </w:r>
          </w:p>
        </w:tc>
      </w:tr>
      <w:tr w14:paraId="5F5600F3">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3FAD3FC4">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FEFD1A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5728E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BC029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首执案件执行到位率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329B1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5FF1C33C">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r>
      <w:tr w14:paraId="3ED25317">
        <w:tblPrEx>
          <w:tblCellMar>
            <w:top w:w="0" w:type="dxa"/>
            <w:left w:w="108" w:type="dxa"/>
            <w:bottom w:w="0" w:type="dxa"/>
            <w:right w:w="108" w:type="dxa"/>
          </w:tblCellMar>
        </w:tblPrEx>
        <w:trPr>
          <w:trHeight w:val="296" w:hRule="atLeast"/>
          <w:jc w:val="center"/>
        </w:trPr>
        <w:tc>
          <w:tcPr>
            <w:tcW w:w="331" w:type="dxa"/>
            <w:vMerge w:val="continue"/>
            <w:tcBorders>
              <w:left w:val="single" w:color="000000" w:sz="4" w:space="0"/>
              <w:right w:val="single" w:color="000000" w:sz="4" w:space="0"/>
            </w:tcBorders>
            <w:noWrap/>
            <w:vAlign w:val="center"/>
          </w:tcPr>
          <w:p w14:paraId="7B6F8CF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49963E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0827FE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4ADB9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2025年诉讼案件结案数量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415D1A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≥820件</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916ABE1">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820件</w:t>
            </w:r>
          </w:p>
        </w:tc>
      </w:tr>
      <w:tr w14:paraId="0AE335B9">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right w:val="single" w:color="000000" w:sz="4" w:space="0"/>
            </w:tcBorders>
            <w:noWrap/>
            <w:vAlign w:val="center"/>
          </w:tcPr>
          <w:p w14:paraId="758FB04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01E07A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68F96A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063BD4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2025年受理诉讼案件数量</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73AFA8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≥900件</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03F7CF8F">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900件</w:t>
            </w:r>
          </w:p>
        </w:tc>
      </w:tr>
      <w:tr w14:paraId="272D0F80">
        <w:tblPrEx>
          <w:tblCellMar>
            <w:top w:w="0" w:type="dxa"/>
            <w:left w:w="108" w:type="dxa"/>
            <w:bottom w:w="0" w:type="dxa"/>
            <w:right w:w="108" w:type="dxa"/>
          </w:tblCellMar>
        </w:tblPrEx>
        <w:trPr>
          <w:trHeight w:val="306" w:hRule="atLeast"/>
          <w:jc w:val="center"/>
        </w:trPr>
        <w:tc>
          <w:tcPr>
            <w:tcW w:w="331" w:type="dxa"/>
            <w:vMerge w:val="continue"/>
            <w:tcBorders>
              <w:left w:val="single" w:color="000000" w:sz="4" w:space="0"/>
              <w:bottom w:val="single" w:color="000000" w:sz="4" w:space="0"/>
              <w:right w:val="single" w:color="000000" w:sz="4" w:space="0"/>
            </w:tcBorders>
            <w:noWrap/>
            <w:vAlign w:val="center"/>
          </w:tcPr>
          <w:p w14:paraId="238044D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3" w:type="dxa"/>
            <w:tcBorders>
              <w:top w:val="single" w:color="000000" w:sz="4" w:space="0"/>
              <w:left w:val="single" w:color="000000" w:sz="4" w:space="0"/>
              <w:bottom w:val="single" w:color="000000" w:sz="4" w:space="0"/>
              <w:right w:val="single" w:color="000000" w:sz="4" w:space="0"/>
            </w:tcBorders>
            <w:noWrap/>
            <w:vAlign w:val="center"/>
          </w:tcPr>
          <w:p w14:paraId="722121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803" w:type="dxa"/>
            <w:tcBorders>
              <w:top w:val="single" w:color="000000" w:sz="4" w:space="0"/>
              <w:left w:val="single" w:color="000000" w:sz="4" w:space="0"/>
              <w:bottom w:val="single" w:color="000000" w:sz="4" w:space="0"/>
              <w:right w:val="single" w:color="000000" w:sz="4" w:space="0"/>
            </w:tcBorders>
            <w:noWrap/>
            <w:vAlign w:val="center"/>
          </w:tcPr>
          <w:p w14:paraId="1C4EF1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246" w:type="dxa"/>
            <w:tcBorders>
              <w:top w:val="single" w:color="000000" w:sz="4" w:space="0"/>
              <w:left w:val="single" w:color="000000" w:sz="4" w:space="0"/>
              <w:bottom w:val="single" w:color="000000" w:sz="4" w:space="0"/>
              <w:right w:val="single" w:color="000000" w:sz="4" w:space="0"/>
            </w:tcBorders>
            <w:noWrap/>
            <w:vAlign w:val="center"/>
          </w:tcPr>
          <w:p w14:paraId="283908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生效案件改发率</w:t>
            </w:r>
          </w:p>
        </w:tc>
        <w:tc>
          <w:tcPr>
            <w:tcW w:w="4754" w:type="dxa"/>
            <w:gridSpan w:val="5"/>
            <w:tcBorders>
              <w:top w:val="single" w:color="000000" w:sz="4" w:space="0"/>
              <w:left w:val="single" w:color="000000" w:sz="4" w:space="0"/>
              <w:bottom w:val="single" w:color="000000" w:sz="4" w:space="0"/>
              <w:right w:val="single" w:color="000000" w:sz="4" w:space="0"/>
            </w:tcBorders>
            <w:noWrap/>
            <w:vAlign w:val="center"/>
          </w:tcPr>
          <w:p w14:paraId="58A8DC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c>
          <w:tcPr>
            <w:tcW w:w="1931" w:type="dxa"/>
            <w:tcBorders>
              <w:top w:val="single" w:color="000000" w:sz="4" w:space="0"/>
              <w:left w:val="single" w:color="000000" w:sz="4" w:space="0"/>
              <w:bottom w:val="single" w:color="000000" w:sz="4" w:space="0"/>
              <w:right w:val="single" w:color="000000" w:sz="4" w:space="0"/>
            </w:tcBorders>
            <w:noWrap/>
            <w:vAlign w:val="center"/>
          </w:tcPr>
          <w:p w14:paraId="1C41AEC4">
            <w:pPr>
              <w:widowControl/>
              <w:spacing w:line="240" w:lineRule="exact"/>
              <w:ind w:firstLine="0" w:firstLineChars="0"/>
              <w:jc w:val="center"/>
              <w:textAlignment w:val="center"/>
              <w:rPr>
                <w:rFonts w:hint="default"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w:t>
            </w:r>
          </w:p>
        </w:tc>
      </w:tr>
    </w:tbl>
    <w:p w14:paraId="2CEDA62C">
      <w:pPr>
        <w:widowControl/>
        <w:spacing w:line="240" w:lineRule="exact"/>
        <w:ind w:firstLine="0" w:firstLineChars="0"/>
        <w:jc w:val="center"/>
        <w:textAlignment w:val="center"/>
        <w:rPr>
          <w:rFonts w:hint="eastAsia" w:ascii="宋体" w:hAnsi="宋体" w:eastAsia="宋体" w:cs="宋体"/>
          <w:color w:val="000000"/>
          <w:kern w:val="0"/>
          <w:sz w:val="24"/>
        </w:rPr>
      </w:pPr>
    </w:p>
    <w:p w14:paraId="4B7D63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sectPr>
          <w:headerReference r:id="rId3" w:type="default"/>
          <w:footerReference r:id="rId4" w:type="default"/>
          <w:pgSz w:w="11906" w:h="16838"/>
          <w:pgMar w:top="2098" w:right="1474" w:bottom="1984" w:left="1587"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06883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304F186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300A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425F9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3D9BC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51320023T000008537348-2022年特定转移支付Z-装备费</w:t>
            </w:r>
          </w:p>
        </w:tc>
      </w:tr>
      <w:tr w14:paraId="0971F5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5DF49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880D35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6673DB3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3A32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九寨沟县人民法院</w:t>
            </w:r>
          </w:p>
        </w:tc>
      </w:tr>
      <w:tr w14:paraId="1E042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6B36E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46531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00CF4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058EA4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年度目标完成情况</w:t>
            </w:r>
          </w:p>
        </w:tc>
      </w:tr>
      <w:tr w14:paraId="4B8A3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88CF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E667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5808DA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法院日常办案业务费</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152EF6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已完成装备采购任务，保障了法院日常办案所需装备的配备与使用，提升了办案效率。</w:t>
            </w:r>
          </w:p>
        </w:tc>
      </w:tr>
      <w:tr w14:paraId="1AE2C3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3B18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725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4CA447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项目主要用于采购办案所需装备，严格按照政府采购程序执行，设备验收合格并投入使用，资金使用规范。</w:t>
            </w:r>
          </w:p>
        </w:tc>
      </w:tr>
      <w:tr w14:paraId="46C734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84823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16EE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F026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81F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3DB7F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F91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33D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BA4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9B7F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原因</w:t>
            </w:r>
          </w:p>
        </w:tc>
      </w:tr>
      <w:tr w14:paraId="7066A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EE90B8">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5C85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3885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9753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0897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4.49</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429E5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99.82%</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2BCA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5CE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9.98</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C875F8">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C5160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F2B65A">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7D07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180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AE71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A8DB0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4.49</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D002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99.82%</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689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392B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820339">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F37D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5212D">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9C16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CD33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32D7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0A1A94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91A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A60E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AAB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6D192">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1FE35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E6E37B">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FC08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65FB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386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5A4AC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8677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6CCD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7746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014A4">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F5A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9327F">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A380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41890">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131B7">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AC0E1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82C6">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1588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E5E8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81EF77">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7584F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B8FF8B">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1469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D6D4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DDC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954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9067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4F08">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437F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BC59E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5051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BB21E">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未完成原因分析</w:t>
            </w:r>
          </w:p>
        </w:tc>
      </w:tr>
      <w:tr w14:paraId="221FC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DF19E">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43A5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B545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EE86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案件受理率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CC390">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356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4099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25E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F805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7FF8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50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C7C86">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512C6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564C41">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21F7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6C16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BE15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保障司法审判公平公正</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98AE3">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定性</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F81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优</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192C9">
            <w:pPr>
              <w:widowControl/>
              <w:spacing w:line="240" w:lineRule="exact"/>
              <w:ind w:firstLine="0" w:firstLineChars="0"/>
              <w:jc w:val="center"/>
              <w:textAlignment w:val="center"/>
              <w:rPr>
                <w:rFonts w:hint="eastAsia" w:ascii="宋体" w:hAnsi="宋体" w:eastAsia="宋体" w:cs="宋体"/>
                <w:color w:val="000000"/>
                <w:kern w:val="0"/>
                <w:sz w:val="24"/>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9223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优</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DA6F6">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A5099">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A433A">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63B7D7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AE03ED1">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92EEC">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C8327">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99.98</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CD581">
            <w:pPr>
              <w:widowControl/>
              <w:spacing w:line="240" w:lineRule="exact"/>
              <w:ind w:firstLine="0" w:firstLineChars="0"/>
              <w:jc w:val="center"/>
              <w:textAlignment w:val="center"/>
              <w:rPr>
                <w:rFonts w:hint="eastAsia" w:ascii="宋体" w:hAnsi="宋体" w:eastAsia="宋体" w:cs="宋体"/>
                <w:color w:val="000000"/>
                <w:kern w:val="0"/>
                <w:sz w:val="24"/>
              </w:rPr>
            </w:pPr>
          </w:p>
        </w:tc>
      </w:tr>
      <w:tr w14:paraId="4D2E3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F31AA">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4AE6A02">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项目自评得分99.98分。</w:t>
            </w:r>
          </w:p>
        </w:tc>
      </w:tr>
      <w:tr w14:paraId="55E87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87B3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6B5015">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无</w:t>
            </w:r>
          </w:p>
        </w:tc>
      </w:tr>
      <w:tr w14:paraId="3142E5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34D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67C17F">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无</w:t>
            </w:r>
          </w:p>
        </w:tc>
      </w:tr>
      <w:tr w14:paraId="72777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EEE6E64">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CEEC5D">
            <w:pPr>
              <w:widowControl/>
              <w:spacing w:line="240" w:lineRule="exact"/>
              <w:ind w:firstLine="0" w:firstLineChars="0"/>
              <w:jc w:val="center"/>
              <w:textAlignment w:val="center"/>
              <w:rPr>
                <w:rFonts w:hint="eastAsia" w:ascii="宋体" w:hAnsi="宋体" w:eastAsia="宋体" w:cs="宋体"/>
                <w:color w:val="000000"/>
                <w:kern w:val="0"/>
                <w:sz w:val="24"/>
              </w:rPr>
            </w:pPr>
            <w:r>
              <w:rPr>
                <w:rFonts w:hint="eastAsia" w:ascii="宋体" w:hAnsi="宋体" w:eastAsia="宋体" w:cs="宋体"/>
                <w:color w:val="000000"/>
                <w:kern w:val="0"/>
                <w:sz w:val="24"/>
                <w:lang w:val="en-US" w:eastAsia="zh-CN"/>
              </w:rPr>
              <w:t>财务负责人：</w:t>
            </w:r>
          </w:p>
        </w:tc>
      </w:tr>
    </w:tbl>
    <w:p w14:paraId="68A4DC7A">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4E527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5CD4C34">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BA6F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1864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41F12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51320024T000010447112-九寨沟县人民法院后勤服务项目</w:t>
            </w:r>
          </w:p>
        </w:tc>
      </w:tr>
      <w:tr w14:paraId="08DB0B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EC28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DCDB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72A38B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E766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554D66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37C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EA23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BC2F7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2342C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ACAF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8476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AE4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0BEA9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保障九寨沟县人民法院后勤服务正常运行，提高干警工作效率和司法服务水平。</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3C1C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后勤服务保障有力，办公区域保洁、食堂、安保等运行正常，干警工作环境明显改善。</w:t>
            </w:r>
          </w:p>
        </w:tc>
      </w:tr>
      <w:tr w14:paraId="46BFCF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7106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BE9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A221CC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通过购买服务方式引入专业后勤团队，明确服务标准，定期考核服务质量，确保后勤工作高效有序。</w:t>
            </w:r>
          </w:p>
        </w:tc>
      </w:tr>
      <w:tr w14:paraId="45F80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3770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29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CC9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F7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8E7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8B38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A3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B96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195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317F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006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1F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000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F25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17F2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B72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98.97%</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6A1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0C7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9.98</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804E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B755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A496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566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4DB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58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48.50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F9D3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48.00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B33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98.97%</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761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96B0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2408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A6B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E740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EDB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094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6A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71292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533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CF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813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8045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1072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7CA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F24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65E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00E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B8F21D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96E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B9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92B0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372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3B91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E26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3C52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B23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2B2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C4C26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C82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65C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95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AA0B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596C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0D8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A1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D4D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F0E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520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5E7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95D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6C0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27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6BB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E0A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60E387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61E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0B43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ADC3B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A01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日常保洁面积</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EA8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226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18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平方米</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B0A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5800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B8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AF2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89E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7C699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84C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9C7A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5B8F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D50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后勤服务覆盖人数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E0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74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2F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人</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DA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70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A463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B0F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DF9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15D1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5C1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DCE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74C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EB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后勤服务质量考勤合格率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8C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FE9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23C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C1C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1E0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C6D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F44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983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4AE9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246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F52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E6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后勤服务响应时间</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41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567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F0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分钟</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C9B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B31F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64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853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C40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43D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CE8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3BC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2A7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干警工作效率提升率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E6F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030A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997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0C0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37C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F0C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FC8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9953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C517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35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7F9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55B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干警及群众满意度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FA8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0E5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C3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1DC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71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3E8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0F5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31A5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69F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329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E9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36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项目预算控制率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2F2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EE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09C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4EE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B7B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590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D6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BF7E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E9BEE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9F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330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99.98</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7AE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B1C33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83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AC6FA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项目自评得分99.98分。</w:t>
            </w:r>
          </w:p>
        </w:tc>
      </w:tr>
      <w:tr w14:paraId="56F45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9703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E581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2D133A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739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229E8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805A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7948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0FEF68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4084276">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5CABA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3EE89FD">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27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58B7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A7D5E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51320025T000012298822-法警训练室设备增加及搬迁</w:t>
            </w:r>
          </w:p>
        </w:tc>
      </w:tr>
      <w:tr w14:paraId="65E81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B6000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C121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3FAA91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FEA4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366A2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9FD9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1C9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1325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89DD2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20C0BA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BA3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709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739F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法警训练室设备增加及搬迁，提升队伍整体素质。</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16C8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完成法警训练室设备搬迁及新增配置，训练条件显著改善，队伍整体素质得到提升。</w:t>
            </w:r>
          </w:p>
        </w:tc>
      </w:tr>
      <w:tr w14:paraId="3AB8C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E72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0FF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93083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组织设备搬迁、安装调试及新增设备采购，确保训练室正常使用，满足日常训练需求。</w:t>
            </w:r>
          </w:p>
        </w:tc>
      </w:tr>
      <w:tr w14:paraId="6A00EB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1F7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C2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EA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CFA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9D2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A56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21D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C8D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900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377E7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D5F9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18B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5AE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2B0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08E28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EFF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AD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F192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D37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BEC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E52B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1D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DFB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5C1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6874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24FB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639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03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F4BD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5D06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1635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D33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27F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4E3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18396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23E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C42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0FA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FD646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5D7D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D0C0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90D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F8E3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5C7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46E5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33.08</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5F5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10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7693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F186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C90F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347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CA33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255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42B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C31E9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368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A50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226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6A89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C92BC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7D65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4FF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AE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EF0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B4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12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FA9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43E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AD9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063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67F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CAB84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5872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F07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744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88B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队伍整体质量</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EEC5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923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0F0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E9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52F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A5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A7C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01CF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981F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33C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BC3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84B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整体素质提升率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C5A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FA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1F9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BAA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651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C4C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64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06A58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3F73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FF2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9C8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720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群众满意度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55F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5CA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2FD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35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400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746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47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06C9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3FD3C0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69D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EBE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9A7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9C8D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A28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E168E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w:t>
            </w:r>
          </w:p>
        </w:tc>
      </w:tr>
      <w:tr w14:paraId="2DE1A8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D6F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A4C14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CE2F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C7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5DA0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63F0F7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D2B5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CA32B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51A907C1">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55A75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FCFE5F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17E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7B27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7437CD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51320025T000012445519-2024年下半年ZF转移支付资金</w:t>
            </w:r>
          </w:p>
        </w:tc>
      </w:tr>
      <w:tr w14:paraId="49672B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1332C6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57EDB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781724E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98A2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1BF08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F786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F085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5AEAF8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618E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383B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895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E3C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AB8F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保障2024年九寨沟县人民法院案件审判、案件执行工作正常运行。</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3E96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有效保障了2024年下半年案件审判与执行工作的正常开展，案件受理率、执行到位率均达到预期。</w:t>
            </w:r>
          </w:p>
        </w:tc>
      </w:tr>
      <w:tr w14:paraId="32598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F162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9920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8058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资金主要用于办案经费、执行经费等支出，严格按照预算执行，确保法院各项工作有序推进。</w:t>
            </w:r>
          </w:p>
        </w:tc>
      </w:tr>
      <w:tr w14:paraId="5288D0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ECCD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9F8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C9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3FB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E09A6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F86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C1A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C0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837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147FB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6C1C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4D0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FF1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0E2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3C89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028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F4C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E50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F099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1AFF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9FF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B9B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7203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017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1B4E9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6.32</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C31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981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FB95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478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B7AC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6268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834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D6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678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D295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458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24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4E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469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4EF5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A4D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887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E152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3D5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814D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57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421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B88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6F3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5647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217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06F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4EFC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30C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D08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F72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B34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35DA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F40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15311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43F6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46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564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A835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0C0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AD3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326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EEB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12D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1A7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F6E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5093F6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7030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F0A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67E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B05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案件受理率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32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03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F9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8E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8B87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3F3B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4D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6BF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081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864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1E4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2C8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发回重审案率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AEF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6E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16D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1A88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71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4D8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A5C9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CFBD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DF45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0A7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D21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9F4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执行标的额到位率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075C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CE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EFB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ACA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C6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325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78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7523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40AA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FAB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D47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D8E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2E1A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3D8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7E14A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项目自评得分100分</w:t>
            </w:r>
          </w:p>
        </w:tc>
      </w:tr>
      <w:tr w14:paraId="5C5C8D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65B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D36D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8BE8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6BA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0A2A4E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33C3C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49B6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0D74C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0C10A8B">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52B54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4F9F1A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7C142F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46BB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65B73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51320025T000012788547-九寨沟县人民法院水电维修改造项目</w:t>
            </w:r>
          </w:p>
        </w:tc>
      </w:tr>
      <w:tr w14:paraId="52EB5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51D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20FAA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4D06BF2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A261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18052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FB7E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924A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1229E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0FEB5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6546A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31E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0785F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CBF19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通过水电维修改造，解决线路外露问题，改造污水口，改造地下进水管道，消除安全隐患，改善办公环境。</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B4222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完成部分水电维修改造任务，线路隐患初步排除，办公环境有所改善。</w:t>
            </w:r>
          </w:p>
        </w:tc>
      </w:tr>
      <w:tr w14:paraId="2D7F4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8C0EB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127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6BF8E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项目按计划分阶段实施，完成部分管道改造和线路整治，剩余工程因施工安排暂缓，待后续推进。</w:t>
            </w:r>
          </w:p>
        </w:tc>
      </w:tr>
      <w:tr w14:paraId="252E1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21A4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232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49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ADA0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9535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2A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486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AF3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C98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723E8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EC3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7DC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4F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A3D0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505A8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19.07</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C2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29.34%</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6F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0BF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1231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4D1A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CF4C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08A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4D9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EF1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65.00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E761B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19.07</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27E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29.34%</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906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59D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BDA5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7EDD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3A98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2A7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02F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092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1E8E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5DC2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F9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AE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9D1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72BB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58C7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09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F6E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7F6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5DE0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5FC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7DE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332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7278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333D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C781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ED8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F1A8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7DA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0000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6E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DF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F44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278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01F7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FF9F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5879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2F3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E1A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BE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DCA9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377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1DB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FF7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26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BF1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436A7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9204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705F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F78F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73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下水管道改造长度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423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DB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03F3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米</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C99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D6B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DE46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1D7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A665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5E42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71E2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49E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E36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下水管道改造数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50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250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357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米</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6692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FC7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622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5F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2FDF6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9A1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18052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535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EFBB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线路改造验收合格率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E962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E53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32D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BD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124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031B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8C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66A8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C24D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9AFB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98B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时效指标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E2FD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项目竣工验收及时率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F05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5887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67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353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CAB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869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1639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AF02E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91A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655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3B70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CC1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办公环境改善率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8314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73C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D2A6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A50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7C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A612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43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E920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076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6703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B20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服务对象满意度指标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360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干警满意度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CF03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54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EE9D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145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ADA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937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200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65EAD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D15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CB8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成本指标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945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经济成本指标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0195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工程预算控制率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C8AA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D72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619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A38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15</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7411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F21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2BC1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F9D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3FE8E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DF51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E1D1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92.93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140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1FFE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38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59A83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项目自评得分92.93分</w:t>
            </w:r>
          </w:p>
        </w:tc>
      </w:tr>
      <w:tr w14:paraId="12A69E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643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BEB716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19319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BC7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BCD2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0CC905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9A69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C03E7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308DB570">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3FDD16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13016" w:type="dxa"/>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CE860B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343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1F25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70824F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51320025T000013673578-慰问金支出</w:t>
            </w:r>
          </w:p>
        </w:tc>
      </w:tr>
      <w:tr w14:paraId="3C002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4DF1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33EFAE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68302A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E4CC8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44123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37C3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2C7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620F0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6246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0BCF2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7CE1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D42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D846D7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严格完善慰问金及援助资金需求计划函及复函规范援助资金使用范围，合理使用援助资金。</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382DC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按政策规定使用慰问金，保障了干警慰问及困难援助工作的规范开展。</w:t>
            </w:r>
          </w:p>
        </w:tc>
      </w:tr>
      <w:tr w14:paraId="3C92BE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3AA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4507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853212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依据相关制度发放慰问金，资金使用合规，程序完备，体现了组织的关怀与支持。</w:t>
            </w:r>
          </w:p>
        </w:tc>
      </w:tr>
      <w:tr w14:paraId="10E94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464C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F4B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5A4F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FE7D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3D3B6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8DCB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69C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770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DBAC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r w14:paraId="6D87CA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6DB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CC1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FBD5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51E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35.03</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78B9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8D94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170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C1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1.43</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312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8C22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EE5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E63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29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1ED2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7765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67F7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D779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7F5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C91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6618E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984AE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E9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7FD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69B8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A0A1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E66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1CBE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4906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0B2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705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5CD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F84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DF5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B033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35.03</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F0DB64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D06F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14.28%</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40C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8C7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6E05A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500EF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0614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4F99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3AF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0D6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09BF7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B33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F9FA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C39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16A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72869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5007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0AA1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660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2DD3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E438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A796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385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D171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223F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3B6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2D46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2C351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0139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561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9F5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质量指标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BB9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后勤服务满意度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DE9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7776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E2B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E42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CA3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EF0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F870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DF64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3C0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1929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077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可持续发展指标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655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职工满意度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424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90C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2EF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F59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80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A964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D7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40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DB59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8807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1F63FD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955A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1F9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91.43</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392A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3F66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04E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FB6C5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项目自评得分91.43分</w:t>
            </w:r>
          </w:p>
        </w:tc>
      </w:tr>
      <w:tr w14:paraId="71417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B1A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AE85B3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43288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AC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1067A8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5DDE3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5E6C4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0F9C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6755CEE0">
      <w:pPr>
        <w:rPr>
          <w:rFonts w:hint="eastAsia" w:ascii="宋体" w:hAnsi="宋体" w:eastAsia="宋体" w:cs="宋体"/>
          <w:i w:val="0"/>
          <w:iCs w:val="0"/>
          <w:color w:val="000000"/>
          <w:sz w:val="18"/>
          <w:szCs w:val="18"/>
          <w:u w:val="none"/>
        </w:rPr>
        <w:sectPr>
          <w:pgSz w:w="16838" w:h="11906" w:orient="landscape"/>
          <w:pgMar w:top="1587" w:right="2098" w:bottom="1474" w:left="1984" w:header="851" w:footer="992" w:gutter="0"/>
          <w:pgNumType w:fmt="decimal"/>
          <w:cols w:space="425" w:num="1"/>
          <w:docGrid w:type="lines" w:linePitch="435" w:charSpace="0"/>
        </w:sectPr>
      </w:pPr>
    </w:p>
    <w:p w14:paraId="6FA4984A">
      <w:pPr>
        <w:rPr>
          <w:rFonts w:hint="eastAsia" w:ascii="宋体" w:hAnsi="宋体" w:eastAsia="宋体" w:cs="宋体"/>
          <w:i w:val="0"/>
          <w:iCs w:val="0"/>
          <w:color w:val="000000"/>
          <w:sz w:val="18"/>
          <w:szCs w:val="18"/>
          <w:u w:val="none"/>
        </w:rPr>
        <w:sectPr>
          <w:type w:val="continuous"/>
          <w:pgSz w:w="16838" w:h="11906" w:orient="landscape"/>
          <w:pgMar w:top="1587" w:right="2098" w:bottom="1474" w:left="1984" w:header="851" w:footer="992" w:gutter="0"/>
          <w:pgNumType w:fmt="decimal"/>
          <w:cols w:space="425" w:num="1"/>
          <w:docGrid w:type="lines" w:linePitch="435" w:charSpace="0"/>
        </w:sectPr>
      </w:pPr>
    </w:p>
    <w:p w14:paraId="7E92BCD0">
      <w:pPr>
        <w:rPr>
          <w:rFonts w:hint="eastAsia" w:ascii="宋体" w:hAnsi="宋体" w:eastAsia="宋体" w:cs="宋体"/>
          <w:i w:val="0"/>
          <w:iCs w:val="0"/>
          <w:color w:val="000000"/>
          <w:sz w:val="18"/>
          <w:szCs w:val="18"/>
          <w:u w:val="none"/>
        </w:rPr>
        <w:sectPr>
          <w:type w:val="continuous"/>
          <w:pgSz w:w="16838" w:h="11906" w:orient="landscape"/>
          <w:pgMar w:top="1587" w:right="2098" w:bottom="1474" w:left="1984" w:header="851" w:footer="992" w:gutter="0"/>
          <w:pgNumType w:fmt="decimal"/>
          <w:cols w:space="425" w:num="1"/>
          <w:docGrid w:type="lines" w:linePitch="435"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3288"/>
        <w:gridCol w:w="1486"/>
        <w:gridCol w:w="1126"/>
        <w:gridCol w:w="1306"/>
        <w:gridCol w:w="1036"/>
      </w:tblGrid>
      <w:tr w14:paraId="303A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13016" w:type="dxa"/>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F9523A2">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AAA8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DDBF2E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项目名称</w:t>
            </w:r>
          </w:p>
        </w:tc>
        <w:tc>
          <w:tcPr>
            <w:tcW w:w="1094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3C7E4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51320025T000013801704-2025年中央和省级ZFZY</w:t>
            </w:r>
          </w:p>
        </w:tc>
      </w:tr>
      <w:tr w14:paraId="2F4C1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2" w:hRule="atLeast"/>
        </w:trPr>
        <w:tc>
          <w:tcPr>
            <w:tcW w:w="207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E02B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主管部门</w:t>
            </w:r>
          </w:p>
        </w:tc>
        <w:tc>
          <w:tcPr>
            <w:tcW w:w="59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AB58CA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九寨沟县人民法院部门</w:t>
            </w:r>
          </w:p>
        </w:tc>
        <w:tc>
          <w:tcPr>
            <w:tcW w:w="1486" w:type="dxa"/>
            <w:tcBorders>
              <w:top w:val="nil"/>
              <w:left w:val="nil"/>
              <w:bottom w:val="nil"/>
              <w:right w:val="nil"/>
            </w:tcBorders>
            <w:shd w:val="clear" w:color="auto" w:fill="auto"/>
            <w:vAlign w:val="center"/>
          </w:tcPr>
          <w:p w14:paraId="43FD38D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实施单位 （盖章）</w:t>
            </w:r>
          </w:p>
        </w:tc>
        <w:tc>
          <w:tcPr>
            <w:tcW w:w="346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23D65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九寨沟县人民法院</w:t>
            </w:r>
          </w:p>
        </w:tc>
      </w:tr>
      <w:tr w14:paraId="38D459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6823A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项目基本情况</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2955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1.项目年度目标完成情况</w:t>
            </w:r>
          </w:p>
        </w:tc>
        <w:tc>
          <w:tcPr>
            <w:tcW w:w="59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C928F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项目年度目标</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DFFB3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年度目标完成情况</w:t>
            </w:r>
          </w:p>
        </w:tc>
      </w:tr>
      <w:tr w14:paraId="33562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2A5A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3104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59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F45E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保障九寨沟县人民法院案件审判、案件执行的正常运行。</w:t>
            </w:r>
          </w:p>
        </w:tc>
        <w:tc>
          <w:tcPr>
            <w:tcW w:w="4954"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A344F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保障了2025年度案件审理、执行等工作的正常开展，结案数量、群众满意度等指标完成良好。</w:t>
            </w:r>
          </w:p>
        </w:tc>
      </w:tr>
      <w:tr w14:paraId="2E8C3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46A8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3A3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2.项目实施内容及过程概述</w:t>
            </w:r>
          </w:p>
        </w:tc>
        <w:tc>
          <w:tcPr>
            <w:tcW w:w="10944" w:type="dxa"/>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CF8CB0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资金主要用于办案、执行、装备维护等方面，严格执行预算，确保法院工作高效运转。</w:t>
            </w:r>
          </w:p>
        </w:tc>
      </w:tr>
      <w:tr w14:paraId="2776E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9F3A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预算执行情况（10分）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E77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年度预算数（万元）</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F3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年初预算</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BF24F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调整后预算数</w:t>
            </w:r>
          </w:p>
        </w:tc>
        <w:tc>
          <w:tcPr>
            <w:tcW w:w="328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7511C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C75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预算执行率</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115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01EE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B41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原因</w:t>
            </w:r>
          </w:p>
        </w:tc>
      </w:tr>
    </w:tbl>
    <w:p w14:paraId="2BD920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sectPr>
          <w:headerReference r:id="rId5" w:type="default"/>
          <w:footerReference r:id="rId6" w:type="default"/>
          <w:type w:val="continuous"/>
          <w:pgSz w:w="16838" w:h="11906" w:orient="landscape"/>
          <w:pgMar w:top="1587" w:right="2098" w:bottom="1474" w:left="1984" w:header="851" w:footer="992" w:gutter="0"/>
          <w:pgNumType w:fmt="decimal"/>
          <w:cols w:space="425" w:num="1"/>
          <w:titlePg/>
          <w:docGrid w:type="lines" w:linePitch="312" w:charSpace="0"/>
        </w:sectPr>
      </w:pPr>
    </w:p>
    <w:tbl>
      <w:tblPr>
        <w:tblStyle w:val="21"/>
        <w:tblW w:w="13016"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6"/>
        <w:gridCol w:w="1036"/>
        <w:gridCol w:w="1306"/>
        <w:gridCol w:w="1396"/>
        <w:gridCol w:w="1036"/>
        <w:gridCol w:w="1216"/>
        <w:gridCol w:w="1036"/>
        <w:gridCol w:w="1486"/>
        <w:gridCol w:w="1126"/>
        <w:gridCol w:w="1306"/>
        <w:gridCol w:w="1036"/>
      </w:tblGrid>
      <w:tr w14:paraId="26DB1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 w:hRule="atLeast"/>
        </w:trPr>
        <w:tc>
          <w:tcPr>
            <w:tcW w:w="1036" w:type="dxa"/>
            <w:vMerge w:val="restart"/>
            <w:tcBorders>
              <w:top w:val="single" w:color="000000" w:sz="4" w:space="0"/>
              <w:left w:val="single" w:color="000000" w:sz="4" w:space="0"/>
              <w:right w:val="single" w:color="000000" w:sz="4" w:space="0"/>
            </w:tcBorders>
            <w:shd w:val="clear" w:color="auto" w:fill="auto"/>
            <w:vAlign w:val="center"/>
          </w:tcPr>
          <w:p w14:paraId="13E65A5F">
            <w:pPr>
              <w:pStyle w:val="2"/>
              <w:rPr>
                <w:rFonts w:hint="eastAsia"/>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3959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总额</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26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6AD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549.00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BA9E65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534.50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67A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97.36%</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FAC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4CF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9.74</w:t>
            </w: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595A8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CEF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8AE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ABB8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其中：财政资金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FD0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2911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549.00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A1A24C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534.50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E734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97.36%</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AA31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01B2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26AE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48ECF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F31B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E45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财政专户管理资金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2FE7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116E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3B3C2D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2FA3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CFF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185B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2CEF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114A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1"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32D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6391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单位资金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DE95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C64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41F27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3EFC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0.00%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F951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69C8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2C012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B4F3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5AE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4E6C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其他资金</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953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FA8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3288"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27E5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14AA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9859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F5F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E378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22F9F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DA72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绩效指标（90分）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F9E9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一级指标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0AE8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二级指标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83A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三级指标</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009F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指标性质</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C222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指标值</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FD5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度量单位</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94C71">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完成值</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4D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权重</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505B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得分</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99A8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未完成原因分析</w:t>
            </w:r>
          </w:p>
        </w:tc>
      </w:tr>
      <w:tr w14:paraId="0F787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7A16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B0A84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产出指标</w:t>
            </w:r>
          </w:p>
        </w:tc>
        <w:tc>
          <w:tcPr>
            <w:tcW w:w="130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0B3F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数量指标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C35E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结案数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51D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C51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0A47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F1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600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3B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EE2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4F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2428F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CEB3F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009FD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0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5998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D72C6">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案件数</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4BAC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9080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F0C5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案件数</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D9BD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6316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17F90">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0543">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3F86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9" w:hRule="atLeast"/>
        </w:trPr>
        <w:tc>
          <w:tcPr>
            <w:tcW w:w="103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4122A">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4B7D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效益指标</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34C4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社会效益指标</w:t>
            </w:r>
          </w:p>
        </w:tc>
        <w:tc>
          <w:tcPr>
            <w:tcW w:w="13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9FD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满意度</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59F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2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A074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AEF0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w:t>
            </w:r>
          </w:p>
        </w:tc>
        <w:tc>
          <w:tcPr>
            <w:tcW w:w="14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099F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90</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A1C3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1223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30</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8FE0E">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0C88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9548" w:type="dxa"/>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2817D9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合计</w:t>
            </w:r>
          </w:p>
        </w:tc>
        <w:tc>
          <w:tcPr>
            <w:tcW w:w="11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B48BB">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100</w:t>
            </w:r>
          </w:p>
        </w:tc>
        <w:tc>
          <w:tcPr>
            <w:tcW w:w="130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0AF94">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99.74</w:t>
            </w:r>
          </w:p>
        </w:tc>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D3475">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p>
        </w:tc>
      </w:tr>
      <w:tr w14:paraId="1F6730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7A57">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评价结论</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8CA268">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项目自评得分99.74分</w:t>
            </w:r>
          </w:p>
        </w:tc>
      </w:tr>
      <w:tr w14:paraId="057902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12F7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存在问题</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8271462">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3C6AFB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0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C059">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改进措施</w:t>
            </w:r>
          </w:p>
        </w:tc>
        <w:tc>
          <w:tcPr>
            <w:tcW w:w="11980"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5B1BFD">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无</w:t>
            </w:r>
          </w:p>
        </w:tc>
      </w:tr>
      <w:tr w14:paraId="18236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6" w:hRule="atLeast"/>
        </w:trPr>
        <w:tc>
          <w:tcPr>
            <w:tcW w:w="5810"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A76489F">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项目负责人：</w:t>
            </w:r>
          </w:p>
        </w:tc>
        <w:tc>
          <w:tcPr>
            <w:tcW w:w="72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259DCCC">
            <w:pPr>
              <w:widowControl/>
              <w:spacing w:line="240" w:lineRule="exact"/>
              <w:ind w:firstLine="0" w:firstLineChars="0"/>
              <w:jc w:val="center"/>
              <w:textAlignment w:val="center"/>
              <w:rPr>
                <w:rFonts w:hint="eastAsia" w:ascii="宋体" w:hAnsi="宋体" w:eastAsia="宋体" w:cs="宋体"/>
                <w:color w:val="000000"/>
                <w:kern w:val="0"/>
                <w:sz w:val="24"/>
                <w:lang w:val="en-US" w:eastAsia="zh-CN"/>
              </w:rPr>
            </w:pPr>
            <w:r>
              <w:rPr>
                <w:rFonts w:hint="eastAsia" w:ascii="宋体" w:hAnsi="宋体" w:eastAsia="宋体" w:cs="宋体"/>
                <w:color w:val="000000"/>
                <w:kern w:val="0"/>
                <w:sz w:val="24"/>
                <w:lang w:val="en-US" w:eastAsia="zh-CN"/>
              </w:rPr>
              <w:t>财务负责人：</w:t>
            </w:r>
          </w:p>
        </w:tc>
      </w:tr>
    </w:tbl>
    <w:p w14:paraId="0EDDAB1C">
      <w:pPr>
        <w:spacing w:line="600" w:lineRule="exact"/>
        <w:jc w:val="left"/>
        <w:outlineLvl w:val="0"/>
        <w:rPr>
          <w:rFonts w:hint="eastAsia" w:ascii="黑体" w:hAnsi="黑体" w:eastAsia="黑体" w:cs="黑体"/>
          <w:sz w:val="32"/>
          <w:szCs w:val="32"/>
        </w:rPr>
      </w:pPr>
    </w:p>
    <w:bookmarkEnd w:id="103"/>
    <w:bookmarkEnd w:id="104"/>
    <w:p w14:paraId="5FF49A72">
      <w:pPr>
        <w:spacing w:line="600" w:lineRule="exact"/>
        <w:jc w:val="left"/>
        <w:outlineLvl w:val="0"/>
        <w:rPr>
          <w:rFonts w:hint="eastAsia" w:ascii="黑体" w:hAnsi="黑体" w:eastAsia="黑体" w:cs="黑体"/>
          <w:sz w:val="32"/>
          <w:szCs w:val="32"/>
          <w:lang w:val="en-US" w:eastAsia="zh-CN"/>
        </w:rPr>
        <w:sectPr>
          <w:footerReference r:id="rId8" w:type="first"/>
          <w:footerReference r:id="rId7" w:type="default"/>
          <w:pgSz w:w="16838" w:h="11906" w:orient="landscape"/>
          <w:pgMar w:top="1587" w:right="2098" w:bottom="1474" w:left="1984" w:header="851" w:footer="992" w:gutter="0"/>
          <w:pgNumType w:fmt="decimal"/>
          <w:cols w:space="425" w:num="1"/>
          <w:titlePg/>
          <w:docGrid w:type="lines" w:linePitch="312" w:charSpace="0"/>
        </w:sectPr>
      </w:pPr>
    </w:p>
    <w:p w14:paraId="7FE6E700">
      <w:pPr>
        <w:spacing w:line="600" w:lineRule="exact"/>
        <w:jc w:val="left"/>
        <w:outlineLvl w:val="0"/>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 xml:space="preserve">附件2 </w:t>
      </w:r>
    </w:p>
    <w:p w14:paraId="41C90742">
      <w:pPr>
        <w:pStyle w:val="4"/>
        <w:keepNext/>
        <w:keepLines/>
        <w:pageBreakBefore w:val="0"/>
        <w:widowControl w:val="0"/>
        <w:kinsoku/>
        <w:wordWrap/>
        <w:overflowPunct/>
        <w:topLinePunct w:val="0"/>
        <w:autoSpaceDE/>
        <w:autoSpaceDN/>
        <w:bidi w:val="0"/>
        <w:adjustRightInd/>
        <w:snapToGrid/>
        <w:spacing w:line="560" w:lineRule="exact"/>
        <w:jc w:val="center"/>
        <w:textAlignment w:val="auto"/>
        <w:rPr>
          <w:rFonts w:hint="eastAsia"/>
        </w:rPr>
      </w:pPr>
      <w:r>
        <w:rPr>
          <w:rFonts w:hint="eastAsia"/>
          <w:lang w:val="en-US" w:eastAsia="zh-CN"/>
        </w:rPr>
        <w:t>九寨沟县人民法院</w:t>
      </w:r>
      <w:r>
        <w:rPr>
          <w:rFonts w:hint="eastAsia"/>
        </w:rPr>
        <w:t>转移支付</w:t>
      </w:r>
    </w:p>
    <w:p w14:paraId="70ED05DC">
      <w:pPr>
        <w:pStyle w:val="4"/>
        <w:keepNext/>
        <w:keepLines/>
        <w:pageBreakBefore w:val="0"/>
        <w:widowControl w:val="0"/>
        <w:kinsoku/>
        <w:wordWrap/>
        <w:overflowPunct/>
        <w:topLinePunct w:val="0"/>
        <w:autoSpaceDE/>
        <w:autoSpaceDN/>
        <w:bidi w:val="0"/>
        <w:adjustRightInd/>
        <w:snapToGrid/>
        <w:spacing w:line="560" w:lineRule="exact"/>
        <w:jc w:val="center"/>
        <w:textAlignment w:val="auto"/>
      </w:pPr>
      <w:r>
        <w:rPr>
          <w:rFonts w:hint="eastAsia"/>
        </w:rPr>
        <w:t>20</w:t>
      </w:r>
      <w:r>
        <w:rPr>
          <w:rFonts w:hint="eastAsia"/>
          <w:lang w:val="en-US" w:eastAsia="zh-CN"/>
        </w:rPr>
        <w:t>25</w:t>
      </w:r>
      <w:r>
        <w:rPr>
          <w:rFonts w:hint="eastAsia"/>
        </w:rPr>
        <w:t>年度绩效自评报告</w:t>
      </w:r>
    </w:p>
    <w:p w14:paraId="65B8D5B0">
      <w:pPr>
        <w:keepNext w:val="0"/>
        <w:keepLines w:val="0"/>
        <w:pageBreakBefore w:val="0"/>
        <w:widowControl w:val="0"/>
        <w:kinsoku/>
        <w:wordWrap/>
        <w:overflowPunct/>
        <w:topLinePunct w:val="0"/>
        <w:autoSpaceDE/>
        <w:autoSpaceDN/>
        <w:bidi w:val="0"/>
        <w:adjustRightInd/>
        <w:snapToGrid w:val="0"/>
        <w:spacing w:line="580" w:lineRule="exact"/>
        <w:ind w:firstLine="420" w:firstLineChars="200"/>
        <w:textAlignment w:val="auto"/>
        <w:rPr>
          <w:rFonts w:hint="eastAsia" w:ascii="黑体" w:hAnsi="黑体" w:eastAsia="黑体" w:cs="黑体"/>
          <w:bCs/>
          <w:szCs w:val="32"/>
        </w:rPr>
      </w:pPr>
    </w:p>
    <w:p w14:paraId="740EF370">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一、绩效目标分解下达情况</w:t>
      </w:r>
    </w:p>
    <w:p w14:paraId="0BA1EE9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 w:hAnsi="楷体" w:eastAsia="楷体" w:cs="楷体"/>
          <w:b/>
          <w:sz w:val="32"/>
          <w:szCs w:val="32"/>
          <w:lang w:val="zh-CN"/>
        </w:rPr>
      </w:pPr>
      <w:r>
        <w:rPr>
          <w:rFonts w:hint="eastAsia" w:ascii="楷体" w:hAnsi="楷体" w:eastAsia="楷体" w:cs="楷体"/>
          <w:b/>
          <w:sz w:val="32"/>
          <w:szCs w:val="32"/>
          <w:lang w:val="zh-CN"/>
        </w:rPr>
        <w:t>（一）项目基本情况</w:t>
      </w:r>
    </w:p>
    <w:p w14:paraId="13DDDFB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1．说明项目主管部门（单位）在该项目管理中的职能。</w:t>
      </w:r>
    </w:p>
    <w:p w14:paraId="7738B4AC">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负责辖区内各类民事、刑事、行政案件的立案、调解、审判、执行等相关工作；做好辖区内普法宣传工作，并进行相关的司法咨询、司法援助工作；加强</w:t>
      </w:r>
      <w:r>
        <w:rPr>
          <w:rFonts w:hint="eastAsia" w:ascii="仿宋" w:hAnsi="仿宋" w:eastAsia="仿宋" w:cs="仿宋"/>
          <w:sz w:val="32"/>
          <w:szCs w:val="32"/>
        </w:rPr>
        <w:t>队伍建设，提高司法服务水平；加快信息化建设和科技法庭建设，提高办案效率。</w:t>
      </w:r>
    </w:p>
    <w:p w14:paraId="75E3AA6B">
      <w:pPr>
        <w:keepNext w:val="0"/>
        <w:keepLines w:val="0"/>
        <w:pageBreakBefore w:val="0"/>
        <w:numPr>
          <w:ilvl w:val="0"/>
          <w:numId w:val="6"/>
        </w:numPr>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项目立项、资金申报的依据。</w:t>
      </w:r>
    </w:p>
    <w:p w14:paraId="7F391C0A">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阿州财行</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2025</w:t>
      </w:r>
      <w:r>
        <w:rPr>
          <w:rFonts w:hint="eastAsia" w:ascii="仿宋" w:hAnsi="仿宋" w:eastAsia="仿宋" w:cs="仿宋"/>
          <w:sz w:val="32"/>
          <w:szCs w:val="32"/>
          <w:lang w:val="zh-CN" w:eastAsia="zh-CN"/>
        </w:rPr>
        <w:t>﹞</w:t>
      </w:r>
      <w:r>
        <w:rPr>
          <w:rFonts w:hint="eastAsia" w:ascii="仿宋" w:hAnsi="仿宋" w:eastAsia="仿宋" w:cs="仿宋"/>
          <w:sz w:val="32"/>
          <w:szCs w:val="32"/>
          <w:lang w:val="en-US" w:eastAsia="zh-CN"/>
        </w:rPr>
        <w:t>20、21、66、70号文件，</w:t>
      </w:r>
      <w:r>
        <w:rPr>
          <w:rFonts w:hint="eastAsia" w:ascii="仿宋" w:hAnsi="仿宋" w:eastAsia="仿宋" w:cs="仿宋"/>
          <w:sz w:val="32"/>
          <w:szCs w:val="32"/>
          <w:lang w:val="zh-CN" w:eastAsia="zh-CN"/>
        </w:rPr>
        <w:t>项目申报内容与具体实施内容相符、申报目标合理可行。</w:t>
      </w:r>
    </w:p>
    <w:p w14:paraId="32832E87">
      <w:pPr>
        <w:keepNext w:val="0"/>
        <w:keepLines w:val="0"/>
        <w:pageBreakBefore w:val="0"/>
        <w:numPr>
          <w:ilvl w:val="0"/>
          <w:numId w:val="6"/>
        </w:numPr>
        <w:kinsoku/>
        <w:wordWrap/>
        <w:overflowPunct/>
        <w:topLinePunct w:val="0"/>
        <w:autoSpaceDE/>
        <w:autoSpaceDN/>
        <w:bidi w:val="0"/>
        <w:adjustRightInd w:val="0"/>
        <w:snapToGrid w:val="0"/>
        <w:spacing w:line="600" w:lineRule="exact"/>
        <w:ind w:left="0" w:leftChars="0" w:firstLine="720" w:firstLineChars="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资金管理办法制定情况，资金支持具体项目的条件、范围与支持方式概况。</w:t>
      </w:r>
    </w:p>
    <w:p w14:paraId="55379FB1">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我院制定了《九寨沟县人民法院内控制度》，包括财务制度、专项资金管理办法、收支管理等相关制度，均适用该项目，支持该项目实施。</w:t>
      </w:r>
    </w:p>
    <w:p w14:paraId="545748AB">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4．资金分配的原则及考虑因素。</w:t>
      </w:r>
    </w:p>
    <w:p w14:paraId="7DFCE00E">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根据工作实际情况及工作需要分配资金，该专项资金主要涉及办案业务经费、业务装备经费及司法救助金。</w:t>
      </w:r>
    </w:p>
    <w:p w14:paraId="1E2159BA">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楷体" w:hAnsi="楷体" w:eastAsia="楷体" w:cs="楷体"/>
          <w:b/>
          <w:sz w:val="32"/>
          <w:szCs w:val="32"/>
          <w:lang w:val="zh-CN"/>
        </w:rPr>
      </w:pPr>
      <w:r>
        <w:rPr>
          <w:rFonts w:hint="eastAsia" w:ascii="楷体" w:hAnsi="楷体" w:eastAsia="楷体" w:cs="楷体"/>
          <w:b/>
          <w:sz w:val="32"/>
          <w:szCs w:val="32"/>
          <w:lang w:val="zh-CN"/>
        </w:rPr>
        <w:t>（二）项目绩效目标</w:t>
      </w:r>
    </w:p>
    <w:p w14:paraId="112C15A5">
      <w:pPr>
        <w:keepNext w:val="0"/>
        <w:keepLines w:val="0"/>
        <w:pageBreakBefore w:val="0"/>
        <w:kinsoku/>
        <w:wordWrap/>
        <w:overflowPunct/>
        <w:topLinePunct w:val="0"/>
        <w:autoSpaceDE/>
        <w:autoSpaceDN/>
        <w:bidi w:val="0"/>
        <w:adjustRightInd w:val="0"/>
        <w:snapToGrid w:val="0"/>
        <w:spacing w:line="600" w:lineRule="exact"/>
        <w:ind w:firstLine="720"/>
        <w:textAlignment w:val="auto"/>
        <w:rPr>
          <w:rFonts w:hint="eastAsia" w:ascii="仿宋" w:hAnsi="仿宋" w:eastAsia="仿宋" w:cs="仿宋"/>
          <w:sz w:val="32"/>
          <w:szCs w:val="32"/>
          <w:lang w:val="zh-CN"/>
        </w:rPr>
      </w:pPr>
      <w:r>
        <w:rPr>
          <w:rFonts w:hint="eastAsia" w:ascii="仿宋" w:hAnsi="仿宋" w:eastAsia="仿宋" w:cs="仿宋"/>
          <w:sz w:val="32"/>
          <w:szCs w:val="32"/>
          <w:lang w:val="zh-CN"/>
        </w:rPr>
        <w:t>1．项目主要内容</w:t>
      </w:r>
    </w:p>
    <w:p w14:paraId="7AD6F3B8">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2025年共下达转移资金789万元，其中：办案业务费567.8万元，业务装备费221.2万元；</w:t>
      </w:r>
      <w:r>
        <w:rPr>
          <w:rFonts w:hint="eastAsia" w:ascii="仿宋" w:hAnsi="仿宋" w:eastAsia="仿宋" w:cs="仿宋"/>
          <w:sz w:val="32"/>
          <w:szCs w:val="32"/>
        </w:rPr>
        <w:t>专项资金主要用于案件办理有关差旅费、公务用车运行费、案件执行、人民陪审员支出、司法救助、庭审网络直播等办案相关业务及物资装备建设、执行指挥系统建设等。</w:t>
      </w:r>
      <w:r>
        <w:rPr>
          <w:rFonts w:hint="eastAsia" w:ascii="仿宋" w:hAnsi="仿宋" w:eastAsia="仿宋" w:cs="仿宋"/>
          <w:sz w:val="32"/>
          <w:szCs w:val="32"/>
          <w:lang w:val="en-US" w:eastAsia="zh-CN"/>
        </w:rPr>
        <w:t>保障法院审判工作的顺利开展，保证当年案件审判优质高效完成;提高法官队伍素质，加强法制宣传，提高办案质量，提升群众满意度。</w:t>
      </w:r>
    </w:p>
    <w:p w14:paraId="3DE87905">
      <w:pPr>
        <w:adjustRightInd w:val="0"/>
        <w:snapToGrid w:val="0"/>
        <w:spacing w:line="560" w:lineRule="exact"/>
        <w:ind w:firstLine="720"/>
        <w:rPr>
          <w:rFonts w:hint="eastAsia" w:ascii="仿宋" w:hAnsi="仿宋" w:eastAsia="仿宋" w:cs="仿宋"/>
          <w:sz w:val="32"/>
          <w:szCs w:val="32"/>
          <w:lang w:val="zh-CN"/>
        </w:rPr>
      </w:pPr>
      <w:r>
        <w:rPr>
          <w:rFonts w:hint="eastAsia" w:ascii="仿宋" w:hAnsi="仿宋" w:eastAsia="仿宋" w:cs="仿宋"/>
          <w:sz w:val="32"/>
          <w:szCs w:val="32"/>
          <w:lang w:val="en-US" w:eastAsia="zh-CN"/>
        </w:rPr>
        <w:t>2.</w:t>
      </w:r>
      <w:r>
        <w:rPr>
          <w:rFonts w:hint="eastAsia" w:ascii="仿宋" w:hAnsi="仿宋" w:eastAsia="仿宋" w:cs="仿宋"/>
          <w:sz w:val="32"/>
          <w:szCs w:val="32"/>
          <w:lang w:val="zh-CN"/>
        </w:rPr>
        <w:t>项目应实现的具体绩效目标，包括目标的量化、细化情况以及项目实施进度计划等。</w:t>
      </w:r>
    </w:p>
    <w:p w14:paraId="2AA7133E">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rPr>
        <w:t>抓好三大审判、服务全县发展大局；坚定司法为民，努力保障合法权益；加强队伍建设，提高司法服务水平；加快信息化建设和科技法庭建设，提高办案效率。</w:t>
      </w:r>
    </w:p>
    <w:p w14:paraId="0D85C263">
      <w:pPr>
        <w:adjustRightInd w:val="0"/>
        <w:snapToGrid w:val="0"/>
        <w:spacing w:line="560" w:lineRule="exact"/>
        <w:ind w:firstLine="720"/>
        <w:rPr>
          <w:rFonts w:hint="eastAsia" w:ascii="仿宋" w:hAnsi="仿宋" w:eastAsia="仿宋" w:cs="仿宋"/>
          <w:sz w:val="32"/>
          <w:szCs w:val="32"/>
          <w:lang w:val="zh-CN"/>
        </w:rPr>
      </w:pPr>
      <w:r>
        <w:rPr>
          <w:rFonts w:hint="eastAsia" w:ascii="仿宋" w:hAnsi="仿宋" w:eastAsia="仿宋" w:cs="仿宋"/>
          <w:sz w:val="32"/>
          <w:szCs w:val="32"/>
          <w:lang w:val="zh-CN"/>
        </w:rPr>
        <w:t>3．分析评价申报内容是否与实际相符，申报目标是否合理可行。</w:t>
      </w:r>
    </w:p>
    <w:p w14:paraId="665BDF12">
      <w:pPr>
        <w:adjustRightInd w:val="0"/>
        <w:snapToGrid w:val="0"/>
        <w:spacing w:line="560" w:lineRule="exact"/>
        <w:ind w:firstLine="72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经认真核实，纳入本次评价的中央、省政法转移支付资金项目申报内容与实际相符，达到了预期效果，项目申报目标合理可行。</w:t>
      </w:r>
    </w:p>
    <w:p w14:paraId="4A47D167">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highlight w:val="none"/>
        </w:rPr>
      </w:pPr>
      <w:r>
        <w:rPr>
          <w:rFonts w:hint="eastAsia" w:ascii="黑体" w:hAnsi="黑体" w:eastAsia="黑体" w:cs="黑体"/>
          <w:bCs/>
          <w:sz w:val="32"/>
          <w:szCs w:val="32"/>
          <w:highlight w:val="none"/>
        </w:rPr>
        <w:t>二、</w:t>
      </w:r>
      <w:r>
        <w:rPr>
          <w:rFonts w:hint="eastAsia" w:ascii="黑体" w:hAnsi="黑体" w:eastAsia="黑体" w:cs="黑体"/>
          <w:bCs/>
          <w:sz w:val="32"/>
          <w:szCs w:val="32"/>
          <w:highlight w:val="none"/>
          <w:lang w:eastAsia="zh-CN"/>
        </w:rPr>
        <w:t>绩效</w:t>
      </w:r>
      <w:r>
        <w:rPr>
          <w:rFonts w:hint="eastAsia" w:ascii="黑体" w:hAnsi="黑体" w:eastAsia="黑体" w:cs="黑体"/>
          <w:bCs/>
          <w:sz w:val="32"/>
          <w:szCs w:val="32"/>
          <w:highlight w:val="none"/>
        </w:rPr>
        <w:t>情况分析</w:t>
      </w:r>
    </w:p>
    <w:p w14:paraId="73519FCB">
      <w:pPr>
        <w:keepNext w:val="0"/>
        <w:keepLines w:val="0"/>
        <w:pageBreakBefore w:val="0"/>
        <w:widowControl w:val="0"/>
        <w:kinsoku/>
        <w:wordWrap/>
        <w:overflowPunct/>
        <w:topLinePunct w:val="0"/>
        <w:autoSpaceDE/>
        <w:autoSpaceDN/>
        <w:bidi w:val="0"/>
        <w:adjustRightInd/>
        <w:snapToGrid w:val="0"/>
        <w:spacing w:line="580" w:lineRule="exact"/>
        <w:ind w:firstLine="643" w:firstLineChars="200"/>
        <w:textAlignment w:val="auto"/>
        <w:outlineLvl w:val="0"/>
        <w:rPr>
          <w:rFonts w:hint="eastAsia" w:ascii="楷体" w:hAnsi="楷体" w:eastAsia="楷体" w:cs="楷体"/>
          <w:b/>
          <w:bCs/>
          <w:sz w:val="32"/>
          <w:szCs w:val="32"/>
          <w:highlight w:val="none"/>
        </w:rPr>
      </w:pPr>
      <w:r>
        <w:rPr>
          <w:rFonts w:hint="eastAsia" w:ascii="楷体" w:hAnsi="楷体" w:eastAsia="楷体" w:cs="楷体"/>
          <w:b/>
          <w:bCs/>
          <w:sz w:val="32"/>
          <w:szCs w:val="32"/>
          <w:highlight w:val="none"/>
        </w:rPr>
        <w:t>（一）资金投入情况分析</w:t>
      </w:r>
    </w:p>
    <w:p w14:paraId="34BDE5EC">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1.项目资金到位情况分析</w:t>
      </w:r>
    </w:p>
    <w:p w14:paraId="2178F7BF">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本年度共下达政法转移资金789万元。分两批次下达，2025年5月下达2025年中央和省级ZFZY资金549万元，2025年12月下达2025年下半年中央和省级ZFZY支付资金240万元。支付594.5万元，支付率达到75.35%。</w:t>
      </w:r>
    </w:p>
    <w:p w14:paraId="0019F91C">
      <w:pPr>
        <w:numPr>
          <w:ilvl w:val="0"/>
          <w:numId w:val="0"/>
        </w:numPr>
        <w:ind w:firstLine="643" w:firstLineChars="200"/>
        <w:rPr>
          <w:rFonts w:hint="eastAsia" w:ascii="仿宋" w:hAnsi="仿宋" w:eastAsia="仿宋" w:cs="仿宋"/>
          <w:sz w:val="32"/>
          <w:szCs w:val="32"/>
          <w:lang w:val="en-US" w:eastAsia="zh-CN"/>
        </w:rPr>
      </w:pPr>
      <w:r>
        <w:rPr>
          <w:rFonts w:hint="eastAsia" w:ascii="仿宋" w:hAnsi="仿宋" w:eastAsia="仿宋" w:cs="仿宋"/>
          <w:b/>
          <w:bCs/>
          <w:sz w:val="32"/>
          <w:szCs w:val="32"/>
          <w:lang w:val="en-US" w:eastAsia="zh-CN"/>
        </w:rPr>
        <w:t>2.</w:t>
      </w:r>
      <w:r>
        <w:rPr>
          <w:rFonts w:hint="eastAsia" w:ascii="仿宋" w:hAnsi="仿宋" w:eastAsia="仿宋" w:cs="仿宋"/>
          <w:b/>
          <w:bCs/>
          <w:sz w:val="32"/>
          <w:szCs w:val="32"/>
        </w:rPr>
        <w:t>项目资金执行情况分析</w:t>
      </w:r>
      <w:r>
        <w:rPr>
          <w:rFonts w:hint="eastAsia" w:ascii="仿宋" w:hAnsi="仿宋" w:eastAsia="仿宋" w:cs="仿宋"/>
          <w:b/>
          <w:bCs/>
          <w:sz w:val="32"/>
          <w:szCs w:val="32"/>
          <w:lang w:val="en-US" w:eastAsia="zh-CN"/>
        </w:rPr>
        <w:t xml:space="preserve"> </w:t>
      </w:r>
      <w:r>
        <w:rPr>
          <w:rFonts w:hint="eastAsia" w:ascii="仿宋" w:hAnsi="仿宋" w:eastAsia="仿宋" w:cs="仿宋"/>
          <w:sz w:val="32"/>
          <w:szCs w:val="32"/>
          <w:lang w:val="en-US" w:eastAsia="zh-CN"/>
        </w:rPr>
        <w:t xml:space="preserve">                  </w:t>
      </w:r>
    </w:p>
    <w:p w14:paraId="09CF7C96">
      <w:pPr>
        <w:numPr>
          <w:ilvl w:val="0"/>
          <w:numId w:val="0"/>
        </w:numPr>
        <w:ind w:firstLine="640" w:firstLineChars="200"/>
        <w:rPr>
          <w:rFonts w:hint="eastAsia" w:ascii="仿宋" w:hAnsi="仿宋" w:eastAsia="仿宋" w:cs="仿宋"/>
          <w:b w:val="0"/>
          <w:bCs w:val="0"/>
          <w:sz w:val="32"/>
          <w:szCs w:val="32"/>
          <w:highlight w:val="none"/>
          <w:lang w:val="en-US" w:eastAsia="zh-CN"/>
        </w:rPr>
      </w:pPr>
      <w:r>
        <w:rPr>
          <w:rFonts w:hint="eastAsia" w:ascii="仿宋" w:hAnsi="仿宋" w:eastAsia="仿宋" w:cs="仿宋"/>
          <w:sz w:val="32"/>
          <w:szCs w:val="32"/>
          <w:lang w:val="en-US" w:eastAsia="zh-CN"/>
        </w:rPr>
        <w:t>2025年共下达我院中央和省级政法转移支付资金共789万，我院共使用中央和省级政法转移支付资金594.5万元，预算执行率达75.35%。</w:t>
      </w:r>
    </w:p>
    <w:p w14:paraId="23CC1F4D">
      <w:pPr>
        <w:keepNext w:val="0"/>
        <w:keepLines w:val="0"/>
        <w:pageBreakBefore w:val="0"/>
        <w:widowControl w:val="0"/>
        <w:numPr>
          <w:ilvl w:val="0"/>
          <w:numId w:val="7"/>
        </w:numPr>
        <w:kinsoku/>
        <w:wordWrap/>
        <w:overflowPunct/>
        <w:topLinePunct w:val="0"/>
        <w:autoSpaceDE/>
        <w:autoSpaceDN/>
        <w:bidi w:val="0"/>
        <w:adjustRightInd/>
        <w:snapToGrid w:val="0"/>
        <w:spacing w:line="580" w:lineRule="exact"/>
        <w:ind w:firstLine="643" w:firstLineChars="200"/>
        <w:textAlignment w:val="auto"/>
        <w:outlineLvl w:val="0"/>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lang w:eastAsia="zh-CN"/>
        </w:rPr>
        <w:t>资金管理情况分析</w:t>
      </w:r>
    </w:p>
    <w:p w14:paraId="4330ED8A">
      <w:pPr>
        <w:keepNext w:val="0"/>
        <w:keepLines w:val="0"/>
        <w:pageBreakBefore w:val="0"/>
        <w:widowControl w:val="0"/>
        <w:numPr>
          <w:ilvl w:val="0"/>
          <w:numId w:val="0"/>
        </w:numPr>
        <w:kinsoku/>
        <w:wordWrap/>
        <w:overflowPunct/>
        <w:topLinePunct w:val="0"/>
        <w:autoSpaceDE/>
        <w:autoSpaceDN/>
        <w:bidi w:val="0"/>
        <w:adjustRightInd/>
        <w:snapToGrid w:val="0"/>
        <w:spacing w:line="580" w:lineRule="exact"/>
        <w:ind w:firstLine="640" w:firstLineChars="200"/>
        <w:textAlignment w:val="auto"/>
        <w:outlineLvl w:val="0"/>
        <w:rPr>
          <w:rFonts w:hint="eastAsia" w:ascii="仿宋" w:hAnsi="仿宋" w:eastAsia="仿宋" w:cs="仿宋"/>
          <w:b w:val="0"/>
          <w:bCs w:val="0"/>
          <w:sz w:val="32"/>
          <w:szCs w:val="32"/>
          <w:highlight w:val="none"/>
          <w:lang w:eastAsia="zh-CN"/>
        </w:rPr>
      </w:pPr>
      <w:r>
        <w:rPr>
          <w:rFonts w:hint="eastAsia" w:ascii="仿宋" w:hAnsi="仿宋" w:eastAsia="仿宋" w:cs="仿宋"/>
          <w:sz w:val="32"/>
          <w:szCs w:val="32"/>
        </w:rPr>
        <w:t>按照综合预算的原则，我院收入和支出均纳入部门预算管理。按照预算确定的资金支出用途使用，做到专款专用。资金支付依据合规合法，资金支付与项目预算相符。</w:t>
      </w:r>
    </w:p>
    <w:p w14:paraId="74B60EEB">
      <w:pPr>
        <w:keepNext w:val="0"/>
        <w:keepLines w:val="0"/>
        <w:pageBreakBefore w:val="0"/>
        <w:widowControl w:val="0"/>
        <w:numPr>
          <w:ilvl w:val="0"/>
          <w:numId w:val="7"/>
        </w:numPr>
        <w:kinsoku/>
        <w:wordWrap/>
        <w:overflowPunct/>
        <w:topLinePunct w:val="0"/>
        <w:autoSpaceDE/>
        <w:autoSpaceDN/>
        <w:bidi w:val="0"/>
        <w:adjustRightInd/>
        <w:snapToGrid w:val="0"/>
        <w:spacing w:line="580" w:lineRule="exact"/>
        <w:ind w:firstLine="643" w:firstLineChars="200"/>
        <w:textAlignment w:val="auto"/>
        <w:outlineLvl w:val="0"/>
        <w:rPr>
          <w:rFonts w:hint="eastAsia" w:ascii="楷体" w:hAnsi="楷体" w:eastAsia="楷体" w:cs="楷体"/>
          <w:b/>
          <w:bCs/>
          <w:sz w:val="32"/>
          <w:szCs w:val="32"/>
          <w:highlight w:val="none"/>
          <w:lang w:eastAsia="zh-CN"/>
        </w:rPr>
      </w:pPr>
      <w:r>
        <w:rPr>
          <w:rFonts w:hint="eastAsia" w:ascii="楷体" w:hAnsi="楷体" w:eastAsia="楷体" w:cs="楷体"/>
          <w:b/>
          <w:bCs/>
          <w:sz w:val="32"/>
          <w:szCs w:val="32"/>
          <w:highlight w:val="none"/>
          <w:lang w:eastAsia="zh-CN"/>
        </w:rPr>
        <w:t>总体绩效目标完成情况分析</w:t>
      </w:r>
    </w:p>
    <w:p w14:paraId="17DCC69D">
      <w:pPr>
        <w:numPr>
          <w:ilvl w:val="0"/>
          <w:numId w:val="0"/>
        </w:numPr>
        <w:ind w:leftChars="200" w:firstLine="320" w:firstLineChars="1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1.努力推动高水平司法，提速助跑高效能治理。</w:t>
      </w:r>
    </w:p>
    <w:p w14:paraId="46FD4A2D">
      <w:pPr>
        <w:numPr>
          <w:ilvl w:val="0"/>
          <w:numId w:val="0"/>
        </w:numPr>
        <w:ind w:leftChars="200" w:firstLine="320" w:firstLineChars="1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2.牢记人民法院初心使命，践行司法为民宗旨。</w:t>
      </w:r>
    </w:p>
    <w:p w14:paraId="26F45FC8">
      <w:pPr>
        <w:numPr>
          <w:ilvl w:val="0"/>
          <w:numId w:val="0"/>
        </w:numPr>
        <w:ind w:leftChars="200" w:firstLine="320" w:firstLineChars="100"/>
        <w:outlineLvl w:val="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3.坚持政治引领党建先行，锤炼过硬法院队伍。</w:t>
      </w:r>
    </w:p>
    <w:p w14:paraId="55E54156">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w:t>
      </w:r>
      <w:r>
        <w:rPr>
          <w:rFonts w:hint="eastAsia" w:ascii="楷体" w:hAnsi="楷体" w:eastAsia="楷体" w:cs="楷体"/>
          <w:b/>
          <w:bCs/>
          <w:sz w:val="32"/>
          <w:szCs w:val="32"/>
          <w:highlight w:val="none"/>
          <w:lang w:eastAsia="zh-CN"/>
        </w:rPr>
        <w:t>四）绩效指标完成情况分析</w:t>
      </w:r>
    </w:p>
    <w:p w14:paraId="11577C8A">
      <w:pPr>
        <w:ind w:firstLine="643" w:firstLineChars="200"/>
        <w:rPr>
          <w:rFonts w:hint="eastAsia" w:ascii="仿宋" w:hAnsi="仿宋" w:eastAsia="仿宋" w:cs="仿宋"/>
          <w:b/>
          <w:bCs/>
          <w:sz w:val="32"/>
          <w:szCs w:val="32"/>
        </w:rPr>
      </w:pPr>
      <w:r>
        <w:rPr>
          <w:rFonts w:hint="eastAsia" w:ascii="仿宋" w:hAnsi="仿宋" w:eastAsia="仿宋" w:cs="仿宋"/>
          <w:b/>
          <w:bCs/>
          <w:sz w:val="32"/>
          <w:szCs w:val="32"/>
        </w:rPr>
        <w:t>1.产出指标完成情况分析</w:t>
      </w:r>
    </w:p>
    <w:p w14:paraId="384C1154">
      <w:pPr>
        <w:keepNext w:val="0"/>
        <w:keepLines w:val="0"/>
        <w:pageBreakBefore w:val="0"/>
        <w:widowControl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（1）数量指标。</w:t>
      </w:r>
      <w:r>
        <w:rPr>
          <w:rFonts w:hint="eastAsia" w:ascii="仿宋" w:hAnsi="仿宋" w:eastAsia="仿宋" w:cs="仿宋"/>
          <w:sz w:val="32"/>
          <w:szCs w:val="32"/>
          <w:lang w:val="en-US" w:eastAsia="zh-CN"/>
        </w:rPr>
        <w:t>2025年</w:t>
      </w:r>
      <w:r>
        <w:rPr>
          <w:rFonts w:hint="default" w:ascii="Times New Roman" w:hAnsi="Times New Roman" w:eastAsia="方正仿宋_GBK" w:cs="Times New Roman"/>
          <w:sz w:val="32"/>
          <w:szCs w:val="32"/>
        </w:rPr>
        <w:t>全年共受理各类案件1069件，审执结1029件，审执结率96.26%，审判执行质效持续走在全州法院前列。</w:t>
      </w:r>
    </w:p>
    <w:p w14:paraId="56F2E0AF">
      <w:pPr>
        <w:keepNext w:val="0"/>
        <w:keepLines w:val="0"/>
        <w:pageBreakBefore w:val="0"/>
        <w:widowControl/>
        <w:suppressLineNumbers w:val="0"/>
        <w:kinsoku/>
        <w:wordWrap/>
        <w:topLinePunct w:val="0"/>
        <w:autoSpaceDE/>
        <w:autoSpaceDN/>
        <w:bidi w:val="0"/>
        <w:adjustRightInd/>
        <w:snapToGrid/>
        <w:spacing w:line="576" w:lineRule="exact"/>
        <w:ind w:firstLine="640" w:firstLineChars="200"/>
        <w:jc w:val="both"/>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（2）社会效益指标。</w:t>
      </w:r>
      <w:r>
        <w:rPr>
          <w:rFonts w:hint="eastAsia" w:ascii="仿宋" w:hAnsi="仿宋" w:eastAsia="仿宋" w:cs="仿宋"/>
          <w:color w:val="auto"/>
          <w:kern w:val="2"/>
          <w:sz w:val="32"/>
          <w:szCs w:val="32"/>
          <w:lang w:val="en-US" w:eastAsia="zh-CN" w:bidi="ar-SA"/>
        </w:rPr>
        <w:t>坚持以高质量党建引领保障高质量发展，</w:t>
      </w:r>
      <w:r>
        <w:rPr>
          <w:rFonts w:hint="eastAsia" w:ascii="仿宋" w:hAnsi="仿宋" w:eastAsia="仿宋" w:cs="仿宋"/>
          <w:b w:val="0"/>
          <w:bCs w:val="0"/>
          <w:color w:val="auto"/>
          <w:sz w:val="32"/>
          <w:szCs w:val="32"/>
          <w:lang w:val="en-US" w:eastAsia="zh-CN"/>
        </w:rPr>
        <w:t>打造“公正之盾铸党魂”党建品牌，</w:t>
      </w:r>
      <w:r>
        <w:rPr>
          <w:rFonts w:hint="eastAsia" w:ascii="仿宋" w:hAnsi="仿宋" w:eastAsia="仿宋" w:cs="仿宋"/>
          <w:b w:val="0"/>
          <w:bCs w:val="0"/>
          <w:color w:val="auto"/>
          <w:kern w:val="2"/>
          <w:sz w:val="32"/>
          <w:szCs w:val="32"/>
          <w:lang w:val="en-US" w:eastAsia="zh-CN" w:bidi="ar-SA"/>
        </w:rPr>
        <w:t>严格党的组织生活，</w:t>
      </w:r>
      <w:r>
        <w:rPr>
          <w:rFonts w:hint="eastAsia" w:ascii="仿宋" w:hAnsi="仿宋" w:eastAsia="仿宋" w:cs="仿宋"/>
          <w:b w:val="0"/>
          <w:bCs/>
          <w:color w:val="auto"/>
          <w:kern w:val="0"/>
          <w:sz w:val="32"/>
          <w:szCs w:val="32"/>
          <w:lang w:val="en-US" w:eastAsia="zh-CN" w:bidi="ar"/>
        </w:rPr>
        <w:t>加强党支部建设，建强战斗堡垒，发挥党员干警先锋模范作用，在推动民族团结进步创建与全国文明城市创建交融共创中，让党旗高扬、法徽闪亮，保障司法公平公正达85%。</w:t>
      </w:r>
    </w:p>
    <w:p w14:paraId="451A5F4A">
      <w:pPr>
        <w:keepNext w:val="0"/>
        <w:keepLines w:val="0"/>
        <w:pageBreakBefore w:val="0"/>
        <w:kinsoku/>
        <w:wordWrap/>
        <w:overflowPunct/>
        <w:topLinePunct w:val="0"/>
        <w:autoSpaceDE/>
        <w:autoSpaceDN/>
        <w:bidi w:val="0"/>
        <w:adjustRightInd/>
        <w:snapToGrid/>
        <w:spacing w:line="576" w:lineRule="exact"/>
        <w:ind w:left="0" w:leftChars="0"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sz w:val="32"/>
          <w:szCs w:val="32"/>
          <w:lang w:val="en-US" w:eastAsia="zh-CN"/>
        </w:rPr>
        <w:t>服务对象满意度指标</w:t>
      </w:r>
      <w:r>
        <w:rPr>
          <w:rFonts w:hint="eastAsia" w:ascii="仿宋" w:hAnsi="仿宋" w:eastAsia="仿宋" w:cs="仿宋"/>
          <w:sz w:val="32"/>
          <w:szCs w:val="32"/>
        </w:rPr>
        <w:t>。</w:t>
      </w:r>
      <w:r>
        <w:rPr>
          <w:rFonts w:hint="default" w:ascii="Times New Roman" w:hAnsi="Times New Roman" w:eastAsia="方正仿宋_GBK" w:cs="Times New Roman"/>
          <w:sz w:val="32"/>
          <w:szCs w:val="32"/>
        </w:rPr>
        <w:t>坚持“以党建带队建促审判”工作思路，以党支部规范化、标准化建设为抓手，完成支部换届选举，为抓实机关党建工作奠定坚实组织基础。扎实开展“铸忠诚警魂·建高原铁军”教育活动，聚焦提升</w:t>
      </w:r>
      <w:r>
        <w:rPr>
          <w:rFonts w:hint="default" w:ascii="Times New Roman" w:hAnsi="Times New Roman" w:eastAsia="方正仿宋_GBK" w:cs="Times New Roman"/>
          <w:sz w:val="32"/>
          <w:szCs w:val="32"/>
          <w:lang w:val="en-US" w:eastAsia="zh-CN"/>
        </w:rPr>
        <w:t>干警履职</w:t>
      </w:r>
      <w:r>
        <w:rPr>
          <w:rFonts w:hint="default" w:ascii="Times New Roman" w:hAnsi="Times New Roman" w:eastAsia="方正仿宋_GBK" w:cs="Times New Roman"/>
          <w:sz w:val="32"/>
          <w:szCs w:val="32"/>
        </w:rPr>
        <w:t>能力，实质推动队伍技能比武、岗位练兵。积极发挥党员先锋模范和示范引领作用，设立“党员先锋岗”5个，党员干警</w:t>
      </w:r>
      <w:r>
        <w:rPr>
          <w:rFonts w:hint="eastAsia" w:ascii="Times New Roman" w:hAnsi="Times New Roman" w:eastAsia="方正仿宋_GBK" w:cs="Times New Roman"/>
          <w:sz w:val="32"/>
          <w:szCs w:val="32"/>
          <w:lang w:val="en-US" w:eastAsia="zh-CN"/>
        </w:rPr>
        <w:t>办理</w:t>
      </w:r>
      <w:r>
        <w:rPr>
          <w:rFonts w:hint="default" w:ascii="Times New Roman" w:hAnsi="Times New Roman" w:eastAsia="方正仿宋_GBK" w:cs="Times New Roman"/>
          <w:sz w:val="32"/>
          <w:szCs w:val="32"/>
        </w:rPr>
        <w:t>疑难复杂案件占比80%。</w:t>
      </w:r>
      <w:r>
        <w:rPr>
          <w:rFonts w:hint="default" w:ascii="Times New Roman" w:hAnsi="Times New Roman" w:eastAsia="方正仿宋_GBK" w:cs="Times New Roman"/>
          <w:sz w:val="32"/>
          <w:szCs w:val="40"/>
        </w:rPr>
        <w:t>与九寨</w:t>
      </w:r>
      <w:r>
        <w:rPr>
          <w:rFonts w:hint="eastAsia" w:ascii="Times New Roman" w:hAnsi="Times New Roman" w:eastAsia="方正仿宋_GBK" w:cs="Times New Roman"/>
          <w:sz w:val="32"/>
          <w:szCs w:val="40"/>
          <w:lang w:val="en-US" w:eastAsia="zh-CN"/>
        </w:rPr>
        <w:t>沟</w:t>
      </w:r>
      <w:r>
        <w:rPr>
          <w:rFonts w:hint="default" w:ascii="Times New Roman" w:hAnsi="Times New Roman" w:eastAsia="方正仿宋_GBK" w:cs="Times New Roman"/>
          <w:sz w:val="32"/>
          <w:szCs w:val="40"/>
        </w:rPr>
        <w:t>青苗党支部构建常态化联动机制，接收省级选调生到院实践锻炼，以“互帮共促+轮岗实训+一线攻坚”的模式，为推动审执工作提供新鲜血液和创新思维。</w:t>
      </w:r>
      <w:r>
        <w:rPr>
          <w:rFonts w:hint="eastAsia" w:ascii="仿宋" w:hAnsi="仿宋" w:eastAsia="仿宋" w:cs="仿宋"/>
          <w:sz w:val="32"/>
          <w:szCs w:val="32"/>
          <w:lang w:val="en-US" w:eastAsia="zh-CN"/>
        </w:rPr>
        <w:t>社会满意度测评-总体满意度达到90%。</w:t>
      </w:r>
    </w:p>
    <w:p w14:paraId="6CD8AA71">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sz w:val="32"/>
          <w:szCs w:val="32"/>
        </w:rPr>
      </w:pPr>
      <w:r>
        <w:rPr>
          <w:rFonts w:hint="eastAsia" w:ascii="黑体" w:hAnsi="黑体" w:eastAsia="黑体" w:cs="黑体"/>
          <w:bCs/>
          <w:sz w:val="32"/>
          <w:szCs w:val="32"/>
        </w:rPr>
        <w:t>三、偏离绩效目标的原因和下一步改进措施</w:t>
      </w:r>
    </w:p>
    <w:p w14:paraId="0A93B303">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2025年较好完成绩效目标任务。在今后的工作中进一步加强部门预算管理意识，加强预算的控制力，细化预算编制工作，严格遵守预算编制的相关制度和要求。根据单位的年度工作重点和项目专项工作规划，本着“厉行节约、保障运转”的原则进行单位预算编制。更加合理安排计划使用好资金。</w:t>
      </w:r>
    </w:p>
    <w:p w14:paraId="7BFD5BDD">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lang w:val="en-US" w:eastAsia="zh-CN"/>
        </w:rPr>
        <w:t>四、</w:t>
      </w:r>
      <w:r>
        <w:rPr>
          <w:rFonts w:hint="eastAsia" w:ascii="黑体" w:hAnsi="黑体" w:eastAsia="黑体" w:cs="黑体"/>
          <w:bCs/>
          <w:sz w:val="32"/>
          <w:szCs w:val="32"/>
        </w:rPr>
        <w:t>绩效自评结果拟应用和公开情况</w:t>
      </w:r>
    </w:p>
    <w:p w14:paraId="41E493C1">
      <w:pPr>
        <w:spacing w:line="560" w:lineRule="exact"/>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九寨沟县人民法院2025年中央和省政法转移支付资金项目总体实施情况良好，项目绩效目标申报依据充分、程序规范，绩效目标合理、明确，资金使用规范合理，制度执行有效；保质保量完成设备购置和维修维护任务，在提高办案质量和效率、保障业务技术装备等方面发挥效益良好。该项目绩效自评得分为：98分，等级“优”。</w:t>
      </w:r>
      <w:r>
        <w:rPr>
          <w:rFonts w:hint="eastAsia" w:ascii="仿宋" w:hAnsi="仿宋" w:eastAsia="仿宋" w:cs="仿宋"/>
          <w:i w:val="0"/>
          <w:caps w:val="0"/>
          <w:color w:val="000000"/>
          <w:spacing w:val="0"/>
          <w:kern w:val="0"/>
          <w:sz w:val="32"/>
          <w:szCs w:val="32"/>
          <w:shd w:val="clear" w:fill="FFFFFF"/>
          <w:lang w:val="en-US" w:eastAsia="zh-CN" w:bidi="ar"/>
        </w:rPr>
        <w:t>绩效评价结果按照相关规定和要求，及时在单位门户网站上公开。</w:t>
      </w:r>
    </w:p>
    <w:p w14:paraId="0B7C3B63">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黑体" w:hAnsi="黑体" w:eastAsia="黑体" w:cs="黑体"/>
          <w:bCs/>
          <w:sz w:val="32"/>
          <w:szCs w:val="32"/>
        </w:rPr>
      </w:pPr>
      <w:r>
        <w:rPr>
          <w:rFonts w:hint="eastAsia" w:ascii="黑体" w:hAnsi="黑体" w:eastAsia="黑体" w:cs="黑体"/>
          <w:bCs/>
          <w:sz w:val="32"/>
          <w:szCs w:val="32"/>
        </w:rPr>
        <w:t>五、其他需要说明的问题</w:t>
      </w:r>
    </w:p>
    <w:p w14:paraId="5DA9F5B8">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无</w:t>
      </w:r>
      <w:r>
        <w:rPr>
          <w:rFonts w:hint="eastAsia" w:ascii="仿宋" w:hAnsi="仿宋" w:eastAsia="仿宋" w:cs="仿宋"/>
          <w:sz w:val="32"/>
          <w:szCs w:val="32"/>
        </w:rPr>
        <w:t>。</w:t>
      </w:r>
    </w:p>
    <w:p w14:paraId="208C3758">
      <w:pPr>
        <w:spacing w:line="580" w:lineRule="exact"/>
        <w:ind w:firstLine="640" w:firstLineChars="200"/>
        <w:rPr>
          <w:rFonts w:ascii="仿宋_GB2312" w:hAnsi="仿宋_GB2312" w:eastAsia="仿宋_GB2312" w:cs="仿宋_GB2312"/>
          <w:sz w:val="32"/>
          <w:szCs w:val="32"/>
        </w:rPr>
      </w:pPr>
    </w:p>
    <w:p w14:paraId="3E80EEE7">
      <w:pPr>
        <w:ind w:firstLine="420" w:firstLineChars="200"/>
        <w:jc w:val="right"/>
        <w:rPr>
          <w:rFonts w:hint="eastAsia"/>
          <w:lang w:val="en-US" w:eastAsia="zh-CN"/>
        </w:rPr>
      </w:pPr>
    </w:p>
    <w:p w14:paraId="2629EE0C">
      <w:pPr>
        <w:pStyle w:val="2"/>
        <w:rPr>
          <w:rFonts w:hint="eastAsia"/>
          <w:lang w:val="en-US" w:eastAsia="zh-CN"/>
        </w:rPr>
      </w:pPr>
    </w:p>
    <w:p w14:paraId="07DEA58B">
      <w:pPr>
        <w:rPr>
          <w:rFonts w:hint="eastAsia"/>
          <w:lang w:val="en-US" w:eastAsia="zh-CN"/>
        </w:rPr>
      </w:pPr>
    </w:p>
    <w:p w14:paraId="49D1BA9E">
      <w:pPr>
        <w:pStyle w:val="2"/>
        <w:rPr>
          <w:rFonts w:hint="eastAsia"/>
          <w:lang w:val="en-US" w:eastAsia="zh-CN"/>
        </w:rPr>
      </w:pPr>
    </w:p>
    <w:p w14:paraId="798EAD1E">
      <w:pPr>
        <w:rPr>
          <w:rFonts w:hint="eastAsia"/>
          <w:lang w:val="en-US" w:eastAsia="zh-CN"/>
        </w:rPr>
      </w:pPr>
    </w:p>
    <w:p w14:paraId="024BB831">
      <w:pPr>
        <w:pStyle w:val="2"/>
        <w:rPr>
          <w:rFonts w:hint="eastAsia"/>
          <w:lang w:val="en-US" w:eastAsia="zh-CN"/>
        </w:rPr>
      </w:pPr>
    </w:p>
    <w:p w14:paraId="74139A59">
      <w:pPr>
        <w:rPr>
          <w:rFonts w:hint="eastAsia"/>
          <w:lang w:val="en-US" w:eastAsia="zh-CN"/>
        </w:rPr>
      </w:pPr>
    </w:p>
    <w:p w14:paraId="3F9939DD">
      <w:pPr>
        <w:pStyle w:val="2"/>
        <w:rPr>
          <w:rFonts w:hint="eastAsia"/>
          <w:lang w:val="en-US" w:eastAsia="zh-CN"/>
        </w:rPr>
      </w:pPr>
    </w:p>
    <w:p w14:paraId="6F223820">
      <w:pPr>
        <w:rPr>
          <w:rFonts w:hint="eastAsia"/>
          <w:lang w:val="en-US" w:eastAsia="zh-CN"/>
        </w:rPr>
      </w:pPr>
    </w:p>
    <w:p w14:paraId="7F86E1DD">
      <w:pPr>
        <w:pStyle w:val="2"/>
        <w:rPr>
          <w:rFonts w:hint="eastAsia"/>
          <w:lang w:val="en-US" w:eastAsia="zh-CN"/>
        </w:rPr>
      </w:pPr>
    </w:p>
    <w:p w14:paraId="1E770FBE">
      <w:pPr>
        <w:rPr>
          <w:rFonts w:hint="eastAsia"/>
          <w:lang w:val="en-US" w:eastAsia="zh-CN"/>
        </w:rPr>
      </w:pPr>
    </w:p>
    <w:p w14:paraId="09964C5B">
      <w:pPr>
        <w:pStyle w:val="2"/>
        <w:rPr>
          <w:rFonts w:hint="eastAsia"/>
          <w:lang w:val="en-US" w:eastAsia="zh-CN"/>
        </w:rPr>
      </w:pPr>
    </w:p>
    <w:p w14:paraId="5AB58519">
      <w:pPr>
        <w:ind w:firstLine="420" w:firstLineChars="200"/>
        <w:jc w:val="right"/>
        <w:rPr>
          <w:rFonts w:hint="eastAsia"/>
          <w:lang w:val="en-US" w:eastAsia="zh-CN"/>
        </w:rPr>
      </w:pPr>
    </w:p>
    <w:p w14:paraId="3E7D0267">
      <w:pPr>
        <w:spacing w:line="580" w:lineRule="exact"/>
        <w:rPr>
          <w:rFonts w:ascii="仿宋_GB2312" w:hAnsi="仿宋_GB2312" w:eastAsia="仿宋_GB2312" w:cs="仿宋_GB2312"/>
          <w:sz w:val="32"/>
          <w:szCs w:val="32"/>
        </w:rPr>
      </w:pPr>
    </w:p>
    <w:p w14:paraId="729A671A">
      <w:pPr>
        <w:widowControl/>
        <w:jc w:val="left"/>
        <w:rPr>
          <w:rStyle w:val="25"/>
          <w:rFonts w:ascii="黑体" w:hAnsi="黑体" w:eastAsia="黑体"/>
          <w:b w:val="0"/>
        </w:rPr>
      </w:pPr>
    </w:p>
    <w:p w14:paraId="3461DC56">
      <w:pPr>
        <w:spacing w:line="600" w:lineRule="exact"/>
        <w:jc w:val="center"/>
        <w:outlineLvl w:val="0"/>
        <w:rPr>
          <w:rStyle w:val="25"/>
          <w:rFonts w:ascii="黑体" w:hAnsi="黑体" w:eastAsia="黑体"/>
          <w:b w:val="0"/>
        </w:rPr>
      </w:pPr>
      <w:bookmarkStart w:id="106" w:name="_Toc79163885"/>
      <w:bookmarkStart w:id="107" w:name="_Toc79163635"/>
      <w:bookmarkStart w:id="108" w:name="_Toc15396618"/>
      <w:r>
        <w:rPr>
          <w:rFonts w:hint="eastAsia" w:ascii="黑体" w:hAnsi="黑体" w:eastAsia="黑体"/>
          <w:color w:val="000000"/>
          <w:sz w:val="44"/>
          <w:szCs w:val="44"/>
        </w:rPr>
        <w:t>第</w:t>
      </w:r>
      <w:r>
        <w:rPr>
          <w:rStyle w:val="25"/>
          <w:rFonts w:hint="eastAsia" w:ascii="黑体" w:hAnsi="黑体" w:eastAsia="黑体"/>
          <w:b w:val="0"/>
        </w:rPr>
        <w:t>五部分</w:t>
      </w:r>
      <w:r>
        <w:rPr>
          <w:rStyle w:val="25"/>
          <w:rFonts w:ascii="黑体" w:hAnsi="黑体" w:eastAsia="黑体"/>
          <w:b w:val="0"/>
        </w:rPr>
        <w:t xml:space="preserve"> </w:t>
      </w:r>
      <w:r>
        <w:rPr>
          <w:rStyle w:val="25"/>
          <w:rFonts w:hint="eastAsia" w:ascii="黑体" w:hAnsi="黑体" w:eastAsia="黑体"/>
          <w:b w:val="0"/>
        </w:rPr>
        <w:t>附表</w:t>
      </w:r>
      <w:bookmarkEnd w:id="97"/>
      <w:bookmarkEnd w:id="106"/>
      <w:bookmarkEnd w:id="107"/>
      <w:bookmarkEnd w:id="108"/>
    </w:p>
    <w:p w14:paraId="3B35E3A6">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09" w:name="_Toc79163636"/>
      <w:bookmarkStart w:id="110" w:name="_Toc79163886"/>
      <w:bookmarkStart w:id="111" w:name="_Toc15396619"/>
      <w:r>
        <w:rPr>
          <w:rFonts w:hint="eastAsia" w:ascii="仿宋" w:hAnsi="仿宋" w:eastAsia="仿宋"/>
          <w:b w:val="0"/>
          <w:color w:val="000000"/>
        </w:rPr>
        <w:t>一、收</w:t>
      </w:r>
      <w:r>
        <w:rPr>
          <w:rStyle w:val="26"/>
          <w:rFonts w:hint="eastAsia" w:ascii="仿宋" w:hAnsi="仿宋" w:eastAsia="仿宋"/>
          <w:b w:val="0"/>
          <w:bCs w:val="0"/>
        </w:rPr>
        <w:t>入支出决算总表</w:t>
      </w:r>
      <w:bookmarkEnd w:id="109"/>
      <w:bookmarkEnd w:id="110"/>
      <w:bookmarkEnd w:id="111"/>
    </w:p>
    <w:p w14:paraId="152C50A8">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12" w:name="_Toc15396620"/>
      <w:bookmarkStart w:id="113" w:name="_Toc79163887"/>
      <w:bookmarkStart w:id="114" w:name="_Toc79163637"/>
      <w:r>
        <w:rPr>
          <w:rFonts w:hint="eastAsia" w:ascii="仿宋" w:hAnsi="仿宋" w:eastAsia="仿宋"/>
          <w:b w:val="0"/>
          <w:color w:val="000000"/>
        </w:rPr>
        <w:t>二、收</w:t>
      </w:r>
      <w:r>
        <w:rPr>
          <w:rStyle w:val="26"/>
          <w:rFonts w:hint="eastAsia" w:ascii="仿宋" w:hAnsi="仿宋" w:eastAsia="仿宋"/>
          <w:b w:val="0"/>
          <w:bCs w:val="0"/>
        </w:rPr>
        <w:t>入决算表</w:t>
      </w:r>
      <w:bookmarkEnd w:id="112"/>
      <w:bookmarkEnd w:id="113"/>
      <w:bookmarkEnd w:id="114"/>
    </w:p>
    <w:p w14:paraId="1530A260">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15" w:name="_Toc79163638"/>
      <w:bookmarkStart w:id="116" w:name="_Toc15396621"/>
      <w:bookmarkStart w:id="117" w:name="_Toc79163888"/>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115"/>
      <w:bookmarkEnd w:id="116"/>
      <w:bookmarkEnd w:id="117"/>
    </w:p>
    <w:p w14:paraId="1CB59285">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b w:val="0"/>
          <w:color w:val="000000"/>
        </w:rPr>
      </w:pPr>
      <w:bookmarkStart w:id="118" w:name="_Toc79163639"/>
      <w:bookmarkStart w:id="119" w:name="_Toc79163889"/>
      <w:bookmarkStart w:id="120" w:name="_Toc15396622"/>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118"/>
      <w:bookmarkEnd w:id="119"/>
      <w:bookmarkEnd w:id="120"/>
    </w:p>
    <w:p w14:paraId="291ED140">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ascii="仿宋" w:hAnsi="仿宋" w:eastAsia="仿宋"/>
          <w:b w:val="0"/>
          <w:bCs w:val="0"/>
        </w:rPr>
      </w:pPr>
      <w:bookmarkStart w:id="121" w:name="_Toc79163640"/>
      <w:bookmarkStart w:id="122" w:name="_Toc79163890"/>
      <w:bookmarkStart w:id="123" w:name="_Toc15396623"/>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121"/>
      <w:bookmarkEnd w:id="122"/>
      <w:bookmarkEnd w:id="123"/>
      <w:bookmarkStart w:id="124" w:name="_Toc15396624"/>
    </w:p>
    <w:p w14:paraId="3E8B0962">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25" w:name="_Toc79163891"/>
      <w:bookmarkStart w:id="126" w:name="_Toc79163641"/>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24"/>
      <w:bookmarkEnd w:id="125"/>
      <w:bookmarkEnd w:id="126"/>
    </w:p>
    <w:p w14:paraId="35204BA6">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27" w:name="_Toc79163642"/>
      <w:bookmarkStart w:id="128" w:name="_Toc15396625"/>
      <w:bookmarkStart w:id="129" w:name="_Toc79163892"/>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27"/>
      <w:bookmarkEnd w:id="128"/>
      <w:bookmarkEnd w:id="129"/>
    </w:p>
    <w:p w14:paraId="6D465E50">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30" w:name="_Toc79163643"/>
      <w:bookmarkStart w:id="131" w:name="_Toc79163893"/>
      <w:bookmarkStart w:id="132" w:name="_Toc15396626"/>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30"/>
      <w:bookmarkEnd w:id="131"/>
      <w:bookmarkEnd w:id="132"/>
    </w:p>
    <w:p w14:paraId="7C748C10">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33" w:name="_Toc79163644"/>
      <w:bookmarkStart w:id="134" w:name="_Toc79163894"/>
      <w:bookmarkStart w:id="135" w:name="_Toc15396627"/>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33"/>
      <w:bookmarkEnd w:id="134"/>
      <w:bookmarkEnd w:id="135"/>
    </w:p>
    <w:p w14:paraId="1C975C48">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hint="eastAsia" w:ascii="仿宋" w:hAnsi="仿宋" w:eastAsia="仿宋"/>
          <w:b w:val="0"/>
          <w:bCs w:val="0"/>
          <w:lang w:val="en-US" w:eastAsia="zh-CN"/>
        </w:rPr>
      </w:pPr>
      <w:bookmarkStart w:id="136" w:name="_Toc79163645"/>
      <w:bookmarkStart w:id="137" w:name="_Toc15396628"/>
      <w:bookmarkStart w:id="138" w:name="_Toc79163895"/>
      <w:r>
        <w:rPr>
          <w:rStyle w:val="26"/>
          <w:rFonts w:hint="eastAsia" w:ascii="仿宋" w:hAnsi="仿宋" w:eastAsia="仿宋"/>
          <w:b w:val="0"/>
          <w:bCs w:val="0"/>
        </w:rPr>
        <w:t>十、</w:t>
      </w:r>
      <w:bookmarkEnd w:id="136"/>
      <w:bookmarkEnd w:id="137"/>
      <w:bookmarkEnd w:id="138"/>
      <w:bookmarkStart w:id="139" w:name="_Toc79163646"/>
      <w:bookmarkStart w:id="140" w:name="_Toc15396629"/>
      <w:bookmarkStart w:id="141" w:name="_Toc79163896"/>
      <w:r>
        <w:rPr>
          <w:rStyle w:val="26"/>
          <w:rFonts w:hint="eastAsia" w:ascii="仿宋" w:hAnsi="仿宋" w:eastAsia="仿宋"/>
          <w:b w:val="0"/>
          <w:bCs w:val="0"/>
          <w:lang w:val="en-US" w:eastAsia="zh-CN"/>
        </w:rPr>
        <w:t>政府性基金预算财政拨款收入支出决算表</w:t>
      </w:r>
    </w:p>
    <w:p w14:paraId="4C98DD63">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hint="eastAsia" w:ascii="仿宋" w:hAnsi="仿宋" w:eastAsia="仿宋"/>
          <w:b w:val="0"/>
          <w:bCs w:val="0"/>
        </w:rPr>
      </w:pPr>
      <w:r>
        <w:rPr>
          <w:rStyle w:val="26"/>
          <w:rFonts w:hint="eastAsia" w:ascii="仿宋" w:hAnsi="仿宋" w:eastAsia="仿宋"/>
          <w:b w:val="0"/>
          <w:bCs w:val="0"/>
        </w:rPr>
        <w:t>十一、</w:t>
      </w:r>
      <w:r>
        <w:rPr>
          <w:rFonts w:hint="eastAsia" w:ascii="仿宋" w:hAnsi="仿宋" w:eastAsia="仿宋"/>
          <w:b w:val="0"/>
          <w:color w:val="000000"/>
        </w:rPr>
        <w:t>国</w:t>
      </w:r>
      <w:r>
        <w:rPr>
          <w:rStyle w:val="26"/>
          <w:rFonts w:hint="eastAsia" w:ascii="仿宋" w:hAnsi="仿宋" w:eastAsia="仿宋"/>
          <w:b w:val="0"/>
          <w:bCs w:val="0"/>
        </w:rPr>
        <w:t>有资本经营预算财政拨款支出决算表</w:t>
      </w:r>
    </w:p>
    <w:bookmarkEnd w:id="139"/>
    <w:bookmarkEnd w:id="140"/>
    <w:bookmarkEnd w:id="141"/>
    <w:p w14:paraId="1920D8ED">
      <w:pPr>
        <w:pStyle w:val="5"/>
        <w:keepNext/>
        <w:keepLines/>
        <w:pageBreakBefore w:val="0"/>
        <w:widowControl w:val="0"/>
        <w:numPr>
          <w:ilvl w:val="0"/>
          <w:numId w:val="8"/>
        </w:numPr>
        <w:kinsoku/>
        <w:wordWrap/>
        <w:overflowPunct/>
        <w:topLinePunct w:val="0"/>
        <w:autoSpaceDE/>
        <w:autoSpaceDN/>
        <w:bidi w:val="0"/>
        <w:adjustRightInd/>
        <w:snapToGrid/>
        <w:spacing w:line="560" w:lineRule="exact"/>
        <w:textAlignment w:val="auto"/>
        <w:rPr>
          <w:rStyle w:val="26"/>
          <w:rFonts w:hint="eastAsia" w:ascii="仿宋" w:hAnsi="仿宋" w:eastAsia="仿宋"/>
          <w:b w:val="0"/>
          <w:bCs w:val="0"/>
        </w:rPr>
      </w:pPr>
      <w:bookmarkStart w:id="142" w:name="_Toc79163897"/>
      <w:bookmarkStart w:id="143" w:name="_Toc15396630"/>
      <w:bookmarkStart w:id="144" w:name="_Toc79163647"/>
      <w:r>
        <w:rPr>
          <w:rStyle w:val="26"/>
          <w:rFonts w:hint="eastAsia" w:ascii="仿宋" w:hAnsi="仿宋" w:eastAsia="仿宋"/>
          <w:b w:val="0"/>
          <w:bCs w:val="0"/>
        </w:rPr>
        <w:t>国有资本经营预算财政拨款支出决算表</w:t>
      </w:r>
      <w:bookmarkEnd w:id="142"/>
      <w:bookmarkEnd w:id="143"/>
      <w:bookmarkEnd w:id="144"/>
      <w:bookmarkStart w:id="145" w:name="_Toc79163648"/>
      <w:bookmarkStart w:id="146" w:name="_Toc79163898"/>
      <w:bookmarkStart w:id="147" w:name="_Toc15396631"/>
    </w:p>
    <w:bookmarkEnd w:id="145"/>
    <w:bookmarkEnd w:id="146"/>
    <w:bookmarkEnd w:id="147"/>
    <w:p w14:paraId="413FD313">
      <w:pPr>
        <w:pStyle w:val="5"/>
        <w:keepNext/>
        <w:keepLines/>
        <w:pageBreakBefore w:val="0"/>
        <w:widowControl w:val="0"/>
        <w:kinsoku/>
        <w:wordWrap/>
        <w:overflowPunct/>
        <w:topLinePunct w:val="0"/>
        <w:autoSpaceDE/>
        <w:autoSpaceDN/>
        <w:bidi w:val="0"/>
        <w:adjustRightInd/>
        <w:snapToGrid/>
        <w:spacing w:line="560" w:lineRule="exact"/>
        <w:textAlignment w:val="auto"/>
        <w:rPr>
          <w:rFonts w:ascii="仿宋" w:hAnsi="仿宋" w:eastAsia="仿宋"/>
          <w:color w:val="000000"/>
        </w:rPr>
      </w:pPr>
      <w:bookmarkStart w:id="148" w:name="_Toc79163649"/>
      <w:bookmarkStart w:id="149" w:name="_Toc79163899"/>
      <w:r>
        <w:rPr>
          <w:rFonts w:hint="eastAsia" w:ascii="仿宋" w:hAnsi="仿宋" w:eastAsia="仿宋"/>
          <w:b w:val="0"/>
          <w:color w:val="000000"/>
          <w:lang w:val="en-US" w:eastAsia="zh-CN"/>
        </w:rPr>
        <w:t>十三、</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p>
    <w:bookmarkEnd w:id="148"/>
    <w:bookmarkEnd w:id="149"/>
    <w:p w14:paraId="014B90ED">
      <w:pPr>
        <w:pStyle w:val="5"/>
        <w:keepNext/>
        <w:keepLines/>
        <w:pageBreakBefore w:val="0"/>
        <w:widowControl w:val="0"/>
        <w:kinsoku/>
        <w:wordWrap/>
        <w:overflowPunct/>
        <w:topLinePunct w:val="0"/>
        <w:autoSpaceDE/>
        <w:autoSpaceDN/>
        <w:bidi w:val="0"/>
        <w:adjustRightInd/>
        <w:snapToGrid/>
        <w:spacing w:line="560" w:lineRule="exact"/>
        <w:textAlignment w:val="auto"/>
        <w:rPr>
          <w:rStyle w:val="26"/>
          <w:rFonts w:ascii="仿宋" w:hAnsi="仿宋" w:eastAsia="仿宋"/>
          <w:b w:val="0"/>
          <w:bCs w:val="0"/>
        </w:rPr>
      </w:pPr>
    </w:p>
    <w:sectPr>
      <w:type w:val="continuous"/>
      <w:pgSz w:w="11906" w:h="16838"/>
      <w:pgMar w:top="2098" w:right="1474" w:bottom="1984" w:left="1587" w:header="851" w:footer="992" w:gutter="0"/>
      <w:pgNumType w:fmt="decimal"/>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25E1F758-5C66-405D-AC02-8A187A5D01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91E6ED47-8012-4586-8302-8AF8D152D3B2}"/>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embedRegular r:id="rId3" w:fontKey="{D2F2B069-C0B6-42D6-BA66-939D9C731A99}"/>
  </w:font>
  <w:font w:name="仿宋">
    <w:panose1 w:val="02010609060101010101"/>
    <w:charset w:val="86"/>
    <w:family w:val="auto"/>
    <w:pitch w:val="default"/>
    <w:sig w:usb0="800002BF" w:usb1="38CF7CFA" w:usb2="00000016" w:usb3="00000000" w:csb0="00040001" w:csb1="00000000"/>
    <w:embedRegular r:id="rId4" w:fontKey="{D7D00580-BB6F-4969-A39A-DB652FF7A917}"/>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embedRegular r:id="rId5" w:fontKey="{B8D1CF3D-F29B-44A4-86BE-7CE896664CF4}"/>
  </w:font>
  <w:font w:name="方正仿宋_GBK">
    <w:panose1 w:val="02000000000000000000"/>
    <w:charset w:val="86"/>
    <w:family w:val="script"/>
    <w:pitch w:val="default"/>
    <w:sig w:usb0="A00002BF" w:usb1="38CF7CFA" w:usb2="00082016" w:usb3="00000000" w:csb0="00040001" w:csb1="00000000"/>
    <w:embedRegular r:id="rId6" w:fontKey="{844F9420-D729-432E-9048-E5024F1AE6BF}"/>
  </w:font>
  <w:font w:name="方正黑体_GBK">
    <w:panose1 w:val="03000509000000000000"/>
    <w:charset w:val="86"/>
    <w:family w:val="auto"/>
    <w:pitch w:val="default"/>
    <w:sig w:usb0="00000001" w:usb1="080E0000" w:usb2="00000000" w:usb3="00000000" w:csb0="00040000" w:csb1="00000000"/>
    <w:embedRegular r:id="rId7" w:fontKey="{5BE3944C-B70D-48B8-A35E-6CB1F8EF0F75}"/>
  </w:font>
  <w:font w:name="楷体">
    <w:panose1 w:val="02010609060101010101"/>
    <w:charset w:val="86"/>
    <w:family w:val="auto"/>
    <w:pitch w:val="default"/>
    <w:sig w:usb0="800002BF" w:usb1="38CF7CFA" w:usb2="00000016" w:usb3="00000000" w:csb0="00040001" w:csb1="00000000"/>
    <w:embedRegular r:id="rId8" w:fontKey="{E459E05F-435A-4F5E-8FC2-382D15289E71}"/>
  </w:font>
  <w:font w:name="楷体_GB2312">
    <w:panose1 w:val="02010609030101010101"/>
    <w:charset w:val="86"/>
    <w:family w:val="modern"/>
    <w:pitch w:val="default"/>
    <w:sig w:usb0="00000001" w:usb1="080E0000" w:usb2="00000000" w:usb3="00000000" w:csb0="00040000" w:csb1="00000000"/>
    <w:embedRegular r:id="rId9" w:fontKey="{749D9B16-F46C-4EA4-B4DC-12865AA022ED}"/>
  </w:font>
  <w:font w:name="WPSEMBED5">
    <w:panose1 w:val="03000509000000000000"/>
    <w:charset w:val="86"/>
    <w:family w:val="auto"/>
    <w:pitch w:val="default"/>
    <w:sig w:usb0="00000001" w:usb1="080E0000" w:usb2="00000000" w:usb3="00000000" w:csb0="00040000" w:csb1="00000000"/>
  </w:font>
  <w:font w:name="WPSEMBED4">
    <w:panose1 w:val="02010609030101010101"/>
    <w:charset w:val="86"/>
    <w:family w:val="auto"/>
    <w:pitch w:val="default"/>
    <w:sig w:usb0="00000001" w:usb1="080E0000" w:usb2="00000000" w:usb3="00000000" w:csb0="00040000" w:csb1="00000000"/>
  </w:font>
  <w:font w:name="WPSEMBED6">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embedRegular r:id="rId10" w:fontKey="{2781DF74-9AA5-4E4B-A206-FAB0ED09F14C}"/>
  </w:font>
  <w:font w:name="Times New Roman Regular">
    <w:altName w:val="Times New Roman"/>
    <w:panose1 w:val="02020503050405090304"/>
    <w:charset w:val="00"/>
    <w:family w:val="auto"/>
    <w:pitch w:val="default"/>
    <w:sig w:usb0="00000000" w:usb1="00000000" w:usb2="00000001" w:usb3="00000000" w:csb0="400001BF" w:csb1="DFF70000"/>
    <w:embedRegular r:id="rId11" w:fontKey="{0D459307-7ADA-4DD9-9F02-ABAE1EAD335C}"/>
  </w:font>
  <w:font w:name="汉仪大宋简">
    <w:panose1 w:val="02010600000101010101"/>
    <w:charset w:val="86"/>
    <w:family w:val="auto"/>
    <w:pitch w:val="default"/>
    <w:sig w:usb0="00000001" w:usb1="080E0800" w:usb2="00000002" w:usb3="00000000" w:csb0="00040000" w:csb1="00000000"/>
  </w:font>
  <w:font w:name="汉仪字酷堂长林体W">
    <w:panose1 w:val="00020600040101010101"/>
    <w:charset w:val="86"/>
    <w:family w:val="auto"/>
    <w:pitch w:val="default"/>
    <w:sig w:usb0="8000003F" w:usb1="1AC104FA" w:usb2="00000016" w:usb3="00000000" w:csb0="0004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3309A">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389C97D">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389C97D">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F5A81">
    <w:pPr>
      <w:pStyle w:val="13"/>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2C81768">
                          <w:pPr>
                            <w:pStyle w:val="13"/>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72C81768">
                    <w:pPr>
                      <w:pStyle w:val="13"/>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5C122AEA">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99F189">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2F7F8C">
                          <w:pPr>
                            <w:pStyle w:val="13"/>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1F2F7F8C">
                    <w:pPr>
                      <w:pStyle w:val="13"/>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p w14:paraId="556ADD37">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1BDB2">
    <w:pPr>
      <w:pStyle w:val="13"/>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27A9739">
                          <w:pPr>
                            <w:pStyle w:val="13"/>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  \* MERGEFORMAT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127A9739">
                    <w:pPr>
                      <w:pStyle w:val="13"/>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 </w:t>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  \* MERGEFORMAT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AE3622">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916273">
    <w:pPr>
      <w:pStyle w:val="1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418B0C"/>
    <w:multiLevelType w:val="singleLevel"/>
    <w:tmpl w:val="CD418B0C"/>
    <w:lvl w:ilvl="0" w:tentative="0">
      <w:start w:val="1"/>
      <w:numFmt w:val="decimal"/>
      <w:suff w:val="space"/>
      <w:lvlText w:val="%1."/>
      <w:lvlJc w:val="left"/>
    </w:lvl>
  </w:abstractNum>
  <w:abstractNum w:abstractNumId="1">
    <w:nsid w:val="CF652CEC"/>
    <w:multiLevelType w:val="singleLevel"/>
    <w:tmpl w:val="CF652CEC"/>
    <w:lvl w:ilvl="0" w:tentative="0">
      <w:start w:val="9"/>
      <w:numFmt w:val="chineseCounting"/>
      <w:suff w:val="nothing"/>
      <w:lvlText w:val="%1、"/>
      <w:lvlJc w:val="left"/>
      <w:rPr>
        <w:rFonts w:hint="eastAsia" w:cs="Times New Roman"/>
      </w:rPr>
    </w:lvl>
  </w:abstractNum>
  <w:abstractNum w:abstractNumId="2">
    <w:nsid w:val="D2977437"/>
    <w:multiLevelType w:val="singleLevel"/>
    <w:tmpl w:val="D2977437"/>
    <w:lvl w:ilvl="0" w:tentative="0">
      <w:start w:val="2"/>
      <w:numFmt w:val="chineseCounting"/>
      <w:suff w:val="nothing"/>
      <w:lvlText w:val="（%1）"/>
      <w:lvlJc w:val="left"/>
      <w:rPr>
        <w:rFonts w:hint="eastAsia"/>
      </w:rPr>
    </w:lvl>
  </w:abstractNum>
  <w:abstractNum w:abstractNumId="3">
    <w:nsid w:val="E2FA047D"/>
    <w:multiLevelType w:val="singleLevel"/>
    <w:tmpl w:val="E2FA047D"/>
    <w:lvl w:ilvl="0" w:tentative="0">
      <w:start w:val="3"/>
      <w:numFmt w:val="chineseCounting"/>
      <w:suff w:val="space"/>
      <w:lvlText w:val="第%1部分"/>
      <w:lvlJc w:val="left"/>
      <w:rPr>
        <w:rFonts w:hint="eastAsia" w:cs="Times New Roman"/>
      </w:rPr>
    </w:lvl>
  </w:abstractNum>
  <w:abstractNum w:abstractNumId="4">
    <w:nsid w:val="0BAFF640"/>
    <w:multiLevelType w:val="singleLevel"/>
    <w:tmpl w:val="0BAFF640"/>
    <w:lvl w:ilvl="0" w:tentative="0">
      <w:start w:val="2"/>
      <w:numFmt w:val="decimal"/>
      <w:suff w:val="nothing"/>
      <w:lvlText w:val="%1．"/>
      <w:lvlJc w:val="left"/>
    </w:lvl>
  </w:abstractNum>
  <w:abstractNum w:abstractNumId="5">
    <w:nsid w:val="1272550B"/>
    <w:multiLevelType w:val="multilevel"/>
    <w:tmpl w:val="1272550B"/>
    <w:lvl w:ilvl="0" w:tentative="0">
      <w:start w:val="1"/>
      <w:numFmt w:val="japaneseCounting"/>
      <w:lvlText w:val="%1、"/>
      <w:lvlJc w:val="left"/>
      <w:pPr>
        <w:ind w:left="1360" w:hanging="720"/>
      </w:pPr>
      <w:rPr>
        <w:rFonts w:hint="default" w:cs="Times New Roman"/>
        <w:b w:val="0"/>
      </w:rPr>
    </w:lvl>
    <w:lvl w:ilvl="1" w:tentative="0">
      <w:start w:val="1"/>
      <w:numFmt w:val="lowerLetter"/>
      <w:lvlText w:val="%2)"/>
      <w:lvlJc w:val="left"/>
      <w:pPr>
        <w:ind w:left="1480" w:hanging="420"/>
      </w:pPr>
      <w:rPr>
        <w:rFonts w:cs="Times New Roman"/>
      </w:rPr>
    </w:lvl>
    <w:lvl w:ilvl="2" w:tentative="0">
      <w:start w:val="1"/>
      <w:numFmt w:val="lowerRoman"/>
      <w:lvlText w:val="%3."/>
      <w:lvlJc w:val="right"/>
      <w:pPr>
        <w:ind w:left="1900" w:hanging="420"/>
      </w:pPr>
      <w:rPr>
        <w:rFonts w:cs="Times New Roman"/>
      </w:rPr>
    </w:lvl>
    <w:lvl w:ilvl="3" w:tentative="0">
      <w:start w:val="1"/>
      <w:numFmt w:val="decimal"/>
      <w:lvlText w:val="%4."/>
      <w:lvlJc w:val="left"/>
      <w:pPr>
        <w:ind w:left="2320" w:hanging="420"/>
      </w:pPr>
      <w:rPr>
        <w:rFonts w:cs="Times New Roman"/>
      </w:rPr>
    </w:lvl>
    <w:lvl w:ilvl="4" w:tentative="0">
      <w:start w:val="1"/>
      <w:numFmt w:val="lowerLetter"/>
      <w:lvlText w:val="%5)"/>
      <w:lvlJc w:val="left"/>
      <w:pPr>
        <w:ind w:left="2740" w:hanging="420"/>
      </w:pPr>
      <w:rPr>
        <w:rFonts w:cs="Times New Roman"/>
      </w:rPr>
    </w:lvl>
    <w:lvl w:ilvl="5" w:tentative="0">
      <w:start w:val="1"/>
      <w:numFmt w:val="lowerRoman"/>
      <w:lvlText w:val="%6."/>
      <w:lvlJc w:val="right"/>
      <w:pPr>
        <w:ind w:left="3160" w:hanging="420"/>
      </w:pPr>
      <w:rPr>
        <w:rFonts w:cs="Times New Roman"/>
      </w:rPr>
    </w:lvl>
    <w:lvl w:ilvl="6" w:tentative="0">
      <w:start w:val="1"/>
      <w:numFmt w:val="decimal"/>
      <w:lvlText w:val="%7."/>
      <w:lvlJc w:val="left"/>
      <w:pPr>
        <w:ind w:left="3580" w:hanging="420"/>
      </w:pPr>
      <w:rPr>
        <w:rFonts w:cs="Times New Roman"/>
      </w:rPr>
    </w:lvl>
    <w:lvl w:ilvl="7" w:tentative="0">
      <w:start w:val="1"/>
      <w:numFmt w:val="lowerLetter"/>
      <w:lvlText w:val="%8)"/>
      <w:lvlJc w:val="left"/>
      <w:pPr>
        <w:ind w:left="4000" w:hanging="420"/>
      </w:pPr>
      <w:rPr>
        <w:rFonts w:cs="Times New Roman"/>
      </w:rPr>
    </w:lvl>
    <w:lvl w:ilvl="8" w:tentative="0">
      <w:start w:val="1"/>
      <w:numFmt w:val="lowerRoman"/>
      <w:lvlText w:val="%9."/>
      <w:lvlJc w:val="right"/>
      <w:pPr>
        <w:ind w:left="4420" w:hanging="420"/>
      </w:pPr>
      <w:rPr>
        <w:rFonts w:cs="Times New Roman"/>
      </w:rPr>
    </w:lvl>
  </w:abstractNum>
  <w:abstractNum w:abstractNumId="6">
    <w:nsid w:val="1AC5D280"/>
    <w:multiLevelType w:val="singleLevel"/>
    <w:tmpl w:val="1AC5D280"/>
    <w:lvl w:ilvl="0" w:tentative="0">
      <w:start w:val="12"/>
      <w:numFmt w:val="chineseCounting"/>
      <w:suff w:val="nothing"/>
      <w:lvlText w:val="%1、"/>
      <w:lvlJc w:val="left"/>
      <w:rPr>
        <w:rFonts w:hint="eastAsia"/>
      </w:rPr>
    </w:lvl>
  </w:abstractNum>
  <w:abstractNum w:abstractNumId="7">
    <w:nsid w:val="3DFE7533"/>
    <w:multiLevelType w:val="singleLevel"/>
    <w:tmpl w:val="3DFE7533"/>
    <w:lvl w:ilvl="0" w:tentative="0">
      <w:start w:val="2"/>
      <w:numFmt w:val="chineseCounting"/>
      <w:suff w:val="nothing"/>
      <w:lvlText w:val="（%1）"/>
      <w:lvlJc w:val="left"/>
      <w:rPr>
        <w:rFonts w:hint="eastAsia"/>
      </w:rPr>
    </w:lvl>
  </w:abstractNum>
  <w:num w:numId="1">
    <w:abstractNumId w:val="5"/>
  </w:num>
  <w:num w:numId="2">
    <w:abstractNumId w:val="1"/>
  </w:num>
  <w:num w:numId="3">
    <w:abstractNumId w:val="7"/>
  </w:num>
  <w:num w:numId="4">
    <w:abstractNumId w:val="3"/>
  </w:num>
  <w:num w:numId="5">
    <w:abstractNumId w:val="0"/>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JmODZiZGY3MWMxOTA0M2Y4YjNhYTQ2MjlmNDU1YWI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15301"/>
    <w:rsid w:val="001319E1"/>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56262"/>
    <w:rsid w:val="00260C38"/>
    <w:rsid w:val="002616C0"/>
    <w:rsid w:val="00265372"/>
    <w:rsid w:val="002662AA"/>
    <w:rsid w:val="0027224D"/>
    <w:rsid w:val="00280496"/>
    <w:rsid w:val="00294DC9"/>
    <w:rsid w:val="00295495"/>
    <w:rsid w:val="002A31DE"/>
    <w:rsid w:val="002B2613"/>
    <w:rsid w:val="002B2FF7"/>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E6FE4"/>
    <w:rsid w:val="00406254"/>
    <w:rsid w:val="004223DE"/>
    <w:rsid w:val="00434489"/>
    <w:rsid w:val="00437085"/>
    <w:rsid w:val="00443880"/>
    <w:rsid w:val="00445607"/>
    <w:rsid w:val="004464F4"/>
    <w:rsid w:val="00471401"/>
    <w:rsid w:val="00473F31"/>
    <w:rsid w:val="0048263A"/>
    <w:rsid w:val="00487E5D"/>
    <w:rsid w:val="004A711F"/>
    <w:rsid w:val="004B199D"/>
    <w:rsid w:val="004B4690"/>
    <w:rsid w:val="004D5479"/>
    <w:rsid w:val="004E0A2D"/>
    <w:rsid w:val="004E206B"/>
    <w:rsid w:val="004E6DF7"/>
    <w:rsid w:val="004F0FBD"/>
    <w:rsid w:val="00505A47"/>
    <w:rsid w:val="00512FDA"/>
    <w:rsid w:val="00520DA0"/>
    <w:rsid w:val="005269A7"/>
    <w:rsid w:val="005269D7"/>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45F81"/>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2977"/>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D8"/>
    <w:rsid w:val="00935C98"/>
    <w:rsid w:val="00946945"/>
    <w:rsid w:val="00951248"/>
    <w:rsid w:val="0095152F"/>
    <w:rsid w:val="00954C49"/>
    <w:rsid w:val="00955E37"/>
    <w:rsid w:val="00962656"/>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84824"/>
    <w:rsid w:val="00A91760"/>
    <w:rsid w:val="00A93B00"/>
    <w:rsid w:val="00A93C21"/>
    <w:rsid w:val="00AB64C9"/>
    <w:rsid w:val="00AC3C6A"/>
    <w:rsid w:val="00AD5620"/>
    <w:rsid w:val="00AD656B"/>
    <w:rsid w:val="00AD7C1B"/>
    <w:rsid w:val="00AE16BA"/>
    <w:rsid w:val="00AE1EBE"/>
    <w:rsid w:val="00B011E4"/>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0E4E"/>
    <w:rsid w:val="00B944D6"/>
    <w:rsid w:val="00B965DC"/>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4B0"/>
    <w:rsid w:val="00DC7CBA"/>
    <w:rsid w:val="00DD73B7"/>
    <w:rsid w:val="00DF28BC"/>
    <w:rsid w:val="00DF34B9"/>
    <w:rsid w:val="00E01053"/>
    <w:rsid w:val="00E07ACF"/>
    <w:rsid w:val="00E32CAD"/>
    <w:rsid w:val="00E331A1"/>
    <w:rsid w:val="00E33202"/>
    <w:rsid w:val="00E336A9"/>
    <w:rsid w:val="00E472B1"/>
    <w:rsid w:val="00E50624"/>
    <w:rsid w:val="00E568DF"/>
    <w:rsid w:val="00E64269"/>
    <w:rsid w:val="00E70975"/>
    <w:rsid w:val="00E82267"/>
    <w:rsid w:val="00E853CE"/>
    <w:rsid w:val="00E867B6"/>
    <w:rsid w:val="00EA010F"/>
    <w:rsid w:val="00ED1B63"/>
    <w:rsid w:val="00ED3C1F"/>
    <w:rsid w:val="00ED4085"/>
    <w:rsid w:val="00ED420E"/>
    <w:rsid w:val="00ED6FBE"/>
    <w:rsid w:val="00EE2F57"/>
    <w:rsid w:val="00EF4C34"/>
    <w:rsid w:val="00EF60EF"/>
    <w:rsid w:val="00EF77C6"/>
    <w:rsid w:val="00F05438"/>
    <w:rsid w:val="00F1361C"/>
    <w:rsid w:val="00F156F0"/>
    <w:rsid w:val="00F160C7"/>
    <w:rsid w:val="00F2408F"/>
    <w:rsid w:val="00F240E9"/>
    <w:rsid w:val="00F36D8F"/>
    <w:rsid w:val="00F417B1"/>
    <w:rsid w:val="00F45853"/>
    <w:rsid w:val="00F602DF"/>
    <w:rsid w:val="00F67211"/>
    <w:rsid w:val="00F754A1"/>
    <w:rsid w:val="00F81FD9"/>
    <w:rsid w:val="00F841AA"/>
    <w:rsid w:val="00F84A94"/>
    <w:rsid w:val="00F87E96"/>
    <w:rsid w:val="00FA23E8"/>
    <w:rsid w:val="00FD3CC1"/>
    <w:rsid w:val="00FF1E02"/>
    <w:rsid w:val="00FF30B4"/>
    <w:rsid w:val="043C3749"/>
    <w:rsid w:val="062A1B37"/>
    <w:rsid w:val="06A05249"/>
    <w:rsid w:val="07182832"/>
    <w:rsid w:val="07B25AB5"/>
    <w:rsid w:val="09E55D95"/>
    <w:rsid w:val="0A2032A3"/>
    <w:rsid w:val="0DCD1FF8"/>
    <w:rsid w:val="10C055FF"/>
    <w:rsid w:val="1165571B"/>
    <w:rsid w:val="118107EC"/>
    <w:rsid w:val="14790014"/>
    <w:rsid w:val="14D72009"/>
    <w:rsid w:val="153C0833"/>
    <w:rsid w:val="16BB723D"/>
    <w:rsid w:val="18562547"/>
    <w:rsid w:val="1AD03EF7"/>
    <w:rsid w:val="1B71205C"/>
    <w:rsid w:val="1D0F1446"/>
    <w:rsid w:val="1D155CEE"/>
    <w:rsid w:val="1D556936"/>
    <w:rsid w:val="1F5C21FD"/>
    <w:rsid w:val="227A7719"/>
    <w:rsid w:val="240371BF"/>
    <w:rsid w:val="2765577F"/>
    <w:rsid w:val="29FD04D3"/>
    <w:rsid w:val="2A2379E8"/>
    <w:rsid w:val="2FFD1E48"/>
    <w:rsid w:val="319F7F4E"/>
    <w:rsid w:val="33E416A1"/>
    <w:rsid w:val="3458654D"/>
    <w:rsid w:val="37EF7C5B"/>
    <w:rsid w:val="39615167"/>
    <w:rsid w:val="3AA15360"/>
    <w:rsid w:val="400E2C48"/>
    <w:rsid w:val="42750901"/>
    <w:rsid w:val="427A732C"/>
    <w:rsid w:val="429056FC"/>
    <w:rsid w:val="44581EC4"/>
    <w:rsid w:val="46144678"/>
    <w:rsid w:val="46292994"/>
    <w:rsid w:val="46BD080D"/>
    <w:rsid w:val="46EB46BB"/>
    <w:rsid w:val="46F02BC9"/>
    <w:rsid w:val="471005C8"/>
    <w:rsid w:val="4D6F10DE"/>
    <w:rsid w:val="4D785DD4"/>
    <w:rsid w:val="4ECE2238"/>
    <w:rsid w:val="4F5B2487"/>
    <w:rsid w:val="50047BC4"/>
    <w:rsid w:val="51BF1FF4"/>
    <w:rsid w:val="53227B62"/>
    <w:rsid w:val="53A54518"/>
    <w:rsid w:val="56C13AB2"/>
    <w:rsid w:val="5A492DA3"/>
    <w:rsid w:val="5A787A17"/>
    <w:rsid w:val="5D436582"/>
    <w:rsid w:val="5D7E2FBA"/>
    <w:rsid w:val="5F4333C8"/>
    <w:rsid w:val="61EA334F"/>
    <w:rsid w:val="621364C8"/>
    <w:rsid w:val="62194A73"/>
    <w:rsid w:val="64F54300"/>
    <w:rsid w:val="65CB0B10"/>
    <w:rsid w:val="674D5D7B"/>
    <w:rsid w:val="675C1C7E"/>
    <w:rsid w:val="67A23AF2"/>
    <w:rsid w:val="6C4A05C8"/>
    <w:rsid w:val="6DFE57FA"/>
    <w:rsid w:val="6EDF6BE8"/>
    <w:rsid w:val="721B6926"/>
    <w:rsid w:val="722120BB"/>
    <w:rsid w:val="72734D90"/>
    <w:rsid w:val="77A7572C"/>
    <w:rsid w:val="79E55631"/>
    <w:rsid w:val="7BB25888"/>
    <w:rsid w:val="7FE370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6"/>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7"/>
    <w:qFormat/>
    <w:uiPriority w:val="9"/>
    <w:pPr>
      <w:keepNext/>
      <w:keepLines/>
      <w:spacing w:before="260" w:after="260" w:line="416" w:lineRule="auto"/>
      <w:outlineLvl w:val="2"/>
    </w:pPr>
    <w:rPr>
      <w:b/>
      <w:bCs/>
      <w:sz w:val="32"/>
      <w:szCs w:val="32"/>
    </w:rPr>
  </w:style>
  <w:style w:type="character" w:default="1" w:styleId="22">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widowControl/>
      <w:spacing w:after="0"/>
      <w:ind w:left="0" w:leftChars="0" w:firstLine="420" w:firstLineChars="200"/>
    </w:pPr>
    <w:rPr>
      <w:kern w:val="0"/>
      <w:szCs w:val="22"/>
    </w:rPr>
  </w:style>
  <w:style w:type="paragraph" w:styleId="3">
    <w:name w:val="Body Text Indent"/>
    <w:basedOn w:val="1"/>
    <w:next w:val="2"/>
    <w:qFormat/>
    <w:uiPriority w:val="99"/>
    <w:pPr>
      <w:spacing w:after="120"/>
      <w:ind w:left="420" w:leftChars="200"/>
    </w:pPr>
  </w:style>
  <w:style w:type="paragraph" w:styleId="7">
    <w:name w:val="toc 7"/>
    <w:basedOn w:val="1"/>
    <w:next w:val="1"/>
    <w:unhideWhenUsed/>
    <w:qFormat/>
    <w:uiPriority w:val="39"/>
    <w:pPr>
      <w:ind w:left="1260"/>
      <w:jc w:val="left"/>
    </w:pPr>
    <w:rPr>
      <w:rFonts w:asciiTheme="minorHAnsi" w:eastAsiaTheme="minorHAnsi"/>
      <w:sz w:val="18"/>
      <w:szCs w:val="18"/>
    </w:rPr>
  </w:style>
  <w:style w:type="paragraph" w:styleId="8">
    <w:name w:val="Body Text"/>
    <w:basedOn w:val="1"/>
    <w:link w:val="34"/>
    <w:qFormat/>
    <w:uiPriority w:val="99"/>
    <w:pPr>
      <w:spacing w:beforeLines="30"/>
    </w:pPr>
    <w:rPr>
      <w:rFonts w:ascii="仿宋_GB2312" w:eastAsia="仿宋_GB2312"/>
      <w:kern w:val="0"/>
      <w:sz w:val="24"/>
      <w:szCs w:val="20"/>
      <w:lang w:val="zh-CN" w:eastAsia="zh-CN"/>
    </w:rPr>
  </w:style>
  <w:style w:type="paragraph" w:styleId="9">
    <w:name w:val="toc 5"/>
    <w:basedOn w:val="1"/>
    <w:next w:val="1"/>
    <w:unhideWhenUsed/>
    <w:qFormat/>
    <w:uiPriority w:val="39"/>
    <w:pPr>
      <w:ind w:left="840"/>
      <w:jc w:val="left"/>
    </w:pPr>
    <w:rPr>
      <w:rFonts w:asciiTheme="minorHAnsi" w:eastAsiaTheme="minorHAnsi"/>
      <w:sz w:val="18"/>
      <w:szCs w:val="18"/>
    </w:rPr>
  </w:style>
  <w:style w:type="paragraph" w:styleId="10">
    <w:name w:val="toc 3"/>
    <w:basedOn w:val="1"/>
    <w:next w:val="1"/>
    <w:unhideWhenUsed/>
    <w:qFormat/>
    <w:uiPriority w:val="39"/>
    <w:pPr>
      <w:ind w:left="420"/>
      <w:jc w:val="left"/>
    </w:pPr>
    <w:rPr>
      <w:rFonts w:asciiTheme="minorHAnsi" w:eastAsiaTheme="minorHAnsi"/>
      <w:i/>
      <w:iCs/>
      <w:sz w:val="20"/>
      <w:szCs w:val="20"/>
    </w:rPr>
  </w:style>
  <w:style w:type="paragraph" w:styleId="11">
    <w:name w:val="toc 8"/>
    <w:basedOn w:val="1"/>
    <w:next w:val="1"/>
    <w:unhideWhenUsed/>
    <w:qFormat/>
    <w:uiPriority w:val="39"/>
    <w:pPr>
      <w:ind w:left="1470"/>
      <w:jc w:val="left"/>
    </w:pPr>
    <w:rPr>
      <w:rFonts w:asciiTheme="minorHAnsi" w:eastAsiaTheme="minorHAnsi"/>
      <w:sz w:val="18"/>
      <w:szCs w:val="18"/>
    </w:rPr>
  </w:style>
  <w:style w:type="paragraph" w:styleId="12">
    <w:name w:val="Balloon Text"/>
    <w:basedOn w:val="1"/>
    <w:link w:val="29"/>
    <w:semiHidden/>
    <w:unhideWhenUsed/>
    <w:qFormat/>
    <w:uiPriority w:val="99"/>
    <w:rPr>
      <w:sz w:val="18"/>
      <w:szCs w:val="18"/>
    </w:rPr>
  </w:style>
  <w:style w:type="paragraph" w:styleId="13">
    <w:name w:val="footer"/>
    <w:basedOn w:val="1"/>
    <w:link w:val="33"/>
    <w:qFormat/>
    <w:uiPriority w:val="99"/>
    <w:pPr>
      <w:tabs>
        <w:tab w:val="center" w:pos="4153"/>
        <w:tab w:val="right" w:pos="8306"/>
      </w:tabs>
      <w:snapToGrid w:val="0"/>
      <w:jc w:val="left"/>
    </w:pPr>
    <w:rPr>
      <w:rFonts w:ascii="Calibri" w:hAnsi="Calibri"/>
      <w:kern w:val="0"/>
      <w:sz w:val="18"/>
      <w:szCs w:val="20"/>
      <w:lang w:val="zh-CN" w:eastAsia="zh-CN"/>
    </w:rPr>
  </w:style>
  <w:style w:type="paragraph" w:styleId="14">
    <w:name w:val="header"/>
    <w:basedOn w:val="1"/>
    <w:link w:val="32"/>
    <w:semiHidden/>
    <w:qFormat/>
    <w:uiPriority w:val="99"/>
    <w:pPr>
      <w:pBdr>
        <w:bottom w:val="single" w:color="auto" w:sz="6" w:space="1"/>
      </w:pBdr>
      <w:tabs>
        <w:tab w:val="center" w:pos="4153"/>
        <w:tab w:val="right" w:pos="8306"/>
      </w:tabs>
      <w:snapToGrid w:val="0"/>
      <w:jc w:val="center"/>
    </w:pPr>
    <w:rPr>
      <w:rFonts w:ascii="Calibri" w:hAnsi="Calibri"/>
      <w:kern w:val="0"/>
      <w:sz w:val="18"/>
      <w:szCs w:val="20"/>
      <w:lang w:val="zh-CN" w:eastAsia="zh-CN"/>
    </w:rPr>
  </w:style>
  <w:style w:type="paragraph" w:styleId="15">
    <w:name w:val="toc 1"/>
    <w:basedOn w:val="1"/>
    <w:next w:val="1"/>
    <w:unhideWhenUsed/>
    <w:qFormat/>
    <w:uiPriority w:val="39"/>
    <w:pPr>
      <w:spacing w:before="120" w:after="120"/>
      <w:jc w:val="left"/>
    </w:pPr>
    <w:rPr>
      <w:rFonts w:asciiTheme="minorHAnsi" w:eastAsiaTheme="minorHAnsi"/>
      <w:b/>
      <w:bCs/>
      <w:caps/>
      <w:sz w:val="20"/>
      <w:szCs w:val="20"/>
    </w:rPr>
  </w:style>
  <w:style w:type="paragraph" w:styleId="16">
    <w:name w:val="toc 4"/>
    <w:basedOn w:val="1"/>
    <w:next w:val="1"/>
    <w:unhideWhenUsed/>
    <w:qFormat/>
    <w:uiPriority w:val="39"/>
    <w:pPr>
      <w:ind w:left="630"/>
      <w:jc w:val="left"/>
    </w:pPr>
    <w:rPr>
      <w:rFonts w:asciiTheme="minorHAnsi" w:eastAsiaTheme="minorHAnsi"/>
      <w:sz w:val="18"/>
      <w:szCs w:val="18"/>
    </w:rPr>
  </w:style>
  <w:style w:type="paragraph" w:styleId="17">
    <w:name w:val="toc 6"/>
    <w:basedOn w:val="1"/>
    <w:next w:val="1"/>
    <w:unhideWhenUsed/>
    <w:qFormat/>
    <w:uiPriority w:val="39"/>
    <w:pPr>
      <w:ind w:left="1050"/>
      <w:jc w:val="left"/>
    </w:pPr>
    <w:rPr>
      <w:rFonts w:asciiTheme="minorHAnsi" w:eastAsiaTheme="minorHAnsi"/>
      <w:sz w:val="18"/>
      <w:szCs w:val="18"/>
    </w:rPr>
  </w:style>
  <w:style w:type="paragraph" w:styleId="18">
    <w:name w:val="toc 2"/>
    <w:basedOn w:val="1"/>
    <w:next w:val="1"/>
    <w:unhideWhenUsed/>
    <w:qFormat/>
    <w:uiPriority w:val="39"/>
    <w:pPr>
      <w:ind w:left="210"/>
      <w:jc w:val="left"/>
    </w:pPr>
    <w:rPr>
      <w:rFonts w:asciiTheme="minorHAnsi" w:eastAsiaTheme="minorHAnsi"/>
      <w:smallCaps/>
      <w:sz w:val="20"/>
      <w:szCs w:val="20"/>
    </w:rPr>
  </w:style>
  <w:style w:type="paragraph" w:styleId="19">
    <w:name w:val="toc 9"/>
    <w:basedOn w:val="1"/>
    <w:next w:val="1"/>
    <w:unhideWhenUsed/>
    <w:qFormat/>
    <w:uiPriority w:val="39"/>
    <w:pPr>
      <w:ind w:left="1680"/>
      <w:jc w:val="left"/>
    </w:pPr>
    <w:rPr>
      <w:rFonts w:asciiTheme="minorHAnsi" w:eastAsiaTheme="minorHAnsi"/>
      <w:sz w:val="18"/>
      <w:szCs w:val="18"/>
    </w:rPr>
  </w:style>
  <w:style w:type="paragraph" w:styleId="20">
    <w:name w:val="Normal (Web)"/>
    <w:basedOn w:val="1"/>
    <w:qFormat/>
    <w:uiPriority w:val="0"/>
    <w:pPr>
      <w:spacing w:before="0" w:beforeAutospacing="1" w:after="0" w:afterAutospacing="1"/>
      <w:ind w:left="0" w:right="0"/>
      <w:jc w:val="left"/>
    </w:pPr>
    <w:rPr>
      <w:kern w:val="0"/>
      <w:sz w:val="24"/>
      <w:lang w:val="en-US" w:eastAsia="zh-CN" w:bidi="ar"/>
    </w:rPr>
  </w:style>
  <w:style w:type="character" w:styleId="23">
    <w:name w:val="Strong"/>
    <w:basedOn w:val="22"/>
    <w:qFormat/>
    <w:uiPriority w:val="99"/>
    <w:rPr>
      <w:rFonts w:cs="Times New Roman"/>
      <w:b/>
    </w:rPr>
  </w:style>
  <w:style w:type="character" w:styleId="24">
    <w:name w:val="Hyperlink"/>
    <w:basedOn w:val="22"/>
    <w:unhideWhenUsed/>
    <w:qFormat/>
    <w:uiPriority w:val="99"/>
    <w:rPr>
      <w:rFonts w:cs="Times New Roman"/>
      <w:color w:val="0000FF"/>
      <w:u w:val="single"/>
    </w:rPr>
  </w:style>
  <w:style w:type="character" w:customStyle="1" w:styleId="25">
    <w:name w:val="标题 1 字符"/>
    <w:basedOn w:val="22"/>
    <w:link w:val="4"/>
    <w:qFormat/>
    <w:locked/>
    <w:uiPriority w:val="9"/>
    <w:rPr>
      <w:rFonts w:ascii="Times New Roman" w:hAnsi="Times New Roman" w:cs="Times New Roman"/>
      <w:b/>
      <w:bCs/>
      <w:kern w:val="44"/>
      <w:sz w:val="44"/>
      <w:szCs w:val="44"/>
    </w:rPr>
  </w:style>
  <w:style w:type="character" w:customStyle="1" w:styleId="26">
    <w:name w:val="标题 2 字符"/>
    <w:basedOn w:val="22"/>
    <w:link w:val="5"/>
    <w:qFormat/>
    <w:locked/>
    <w:uiPriority w:val="9"/>
    <w:rPr>
      <w:rFonts w:ascii="Cambria" w:hAnsi="Cambria" w:eastAsia="宋体" w:cs="Times New Roman"/>
      <w:b/>
      <w:bCs/>
      <w:kern w:val="2"/>
      <w:sz w:val="32"/>
      <w:szCs w:val="32"/>
    </w:rPr>
  </w:style>
  <w:style w:type="character" w:customStyle="1" w:styleId="27">
    <w:name w:val="标题 3 字符"/>
    <w:basedOn w:val="22"/>
    <w:link w:val="6"/>
    <w:qFormat/>
    <w:locked/>
    <w:uiPriority w:val="9"/>
    <w:rPr>
      <w:rFonts w:ascii="Times New Roman" w:hAnsi="Times New Roman" w:cs="Times New Roman"/>
      <w:b/>
      <w:bCs/>
      <w:kern w:val="2"/>
      <w:sz w:val="32"/>
      <w:szCs w:val="32"/>
    </w:rPr>
  </w:style>
  <w:style w:type="character" w:customStyle="1" w:styleId="28">
    <w:name w:val="Body Text Char"/>
    <w:basedOn w:val="22"/>
    <w:semiHidden/>
    <w:qFormat/>
    <w:uiPriority w:val="99"/>
    <w:rPr>
      <w:rFonts w:ascii="Times New Roman" w:hAnsi="Times New Roman" w:cs="Times New Roman"/>
      <w:sz w:val="24"/>
      <w:szCs w:val="24"/>
    </w:rPr>
  </w:style>
  <w:style w:type="character" w:customStyle="1" w:styleId="29">
    <w:name w:val="批注框文本 字符"/>
    <w:basedOn w:val="22"/>
    <w:link w:val="12"/>
    <w:semiHidden/>
    <w:qFormat/>
    <w:locked/>
    <w:uiPriority w:val="99"/>
    <w:rPr>
      <w:rFonts w:ascii="Times New Roman" w:hAnsi="Times New Roman" w:cs="Times New Roman"/>
      <w:kern w:val="2"/>
      <w:sz w:val="18"/>
      <w:szCs w:val="18"/>
    </w:rPr>
  </w:style>
  <w:style w:type="character" w:customStyle="1" w:styleId="30">
    <w:name w:val="Footer Char"/>
    <w:basedOn w:val="22"/>
    <w:semiHidden/>
    <w:qFormat/>
    <w:uiPriority w:val="99"/>
    <w:rPr>
      <w:rFonts w:ascii="Times New Roman" w:hAnsi="Times New Roman" w:cs="Times New Roman"/>
      <w:sz w:val="18"/>
      <w:szCs w:val="18"/>
    </w:rPr>
  </w:style>
  <w:style w:type="character" w:customStyle="1" w:styleId="31">
    <w:name w:val="Header Char"/>
    <w:basedOn w:val="22"/>
    <w:semiHidden/>
    <w:qFormat/>
    <w:uiPriority w:val="99"/>
    <w:rPr>
      <w:rFonts w:ascii="Times New Roman" w:hAnsi="Times New Roman" w:cs="Times New Roman"/>
      <w:sz w:val="18"/>
      <w:szCs w:val="18"/>
    </w:rPr>
  </w:style>
  <w:style w:type="character" w:customStyle="1" w:styleId="32">
    <w:name w:val="页眉 字符"/>
    <w:link w:val="14"/>
    <w:semiHidden/>
    <w:qFormat/>
    <w:locked/>
    <w:uiPriority w:val="99"/>
    <w:rPr>
      <w:sz w:val="18"/>
    </w:rPr>
  </w:style>
  <w:style w:type="character" w:customStyle="1" w:styleId="33">
    <w:name w:val="页脚 字符"/>
    <w:link w:val="13"/>
    <w:qFormat/>
    <w:locked/>
    <w:uiPriority w:val="99"/>
    <w:rPr>
      <w:sz w:val="18"/>
    </w:rPr>
  </w:style>
  <w:style w:type="character" w:customStyle="1" w:styleId="34">
    <w:name w:val="正文文本 字符"/>
    <w:link w:val="8"/>
    <w:qFormat/>
    <w:locked/>
    <w:uiPriority w:val="99"/>
    <w:rPr>
      <w:rFonts w:ascii="仿宋_GB2312" w:hAnsi="Times New Roman" w:eastAsia="仿宋_GB2312"/>
      <w:sz w:val="24"/>
    </w:rPr>
  </w:style>
  <w:style w:type="paragraph" w:customStyle="1" w:styleId="35">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36">
    <w:name w:val="列表段落1"/>
    <w:basedOn w:val="1"/>
    <w:qFormat/>
    <w:uiPriority w:val="34"/>
    <w:pPr>
      <w:ind w:firstLine="420" w:firstLineChars="200"/>
    </w:pPr>
  </w:style>
  <w:style w:type="paragraph" w:customStyle="1" w:styleId="37">
    <w:name w:val="TOC 标题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8">
    <w:name w:val="TOC Heading1"/>
    <w:basedOn w:val="4"/>
    <w:next w:val="1"/>
    <w:unhideWhenUsed/>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39">
    <w:name w:val="TOC Heading"/>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customStyle="1" w:styleId="40">
    <w:name w:val="0"/>
    <w:basedOn w:val="1"/>
    <w:qFormat/>
    <w:uiPriority w:val="0"/>
    <w:pPr>
      <w:widowControl/>
      <w:snapToGrid w:val="0"/>
    </w:pPr>
    <w:rPr>
      <w:kern w:val="0"/>
      <w:szCs w:val="20"/>
    </w:rPr>
  </w:style>
  <w:style w:type="paragraph" w:customStyle="1" w:styleId="41">
    <w:name w:val="NOTE_Normal"/>
    <w:basedOn w:val="1"/>
    <w:qFormat/>
    <w:uiPriority w:val="0"/>
  </w:style>
  <w:style w:type="paragraph" w:customStyle="1" w:styleId="4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E9CAE55-CD1B-4B4A-B759-66D9AAD6058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52</Pages>
  <Words>6203</Words>
  <Characters>7250</Characters>
  <Lines>74</Lines>
  <Paragraphs>21</Paragraphs>
  <TotalTime>19</TotalTime>
  <ScaleCrop>false</ScaleCrop>
  <LinksUpToDate>false</LinksUpToDate>
  <CharactersWithSpaces>7322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2021-08-06T09:38:00Z</dcterms:created>
  <dc:creator>曹颖</dc:creator>
  <cp:lastModifiedBy>成全</cp:lastModifiedBy>
  <cp:lastPrinted>2026-09-02T01:36:41Z</cp:lastPrinted>
  <dcterms:modified xsi:type="dcterms:W3CDTF">2026-09-02T01:40:41Z</dcterms:modified>
  <dc:title>阿坝州部门决算说明</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8AF9FD1F5A5A4EE5936D232D40C2E47C_13</vt:lpwstr>
  </property>
  <property fmtid="{D5CDD505-2E9C-101B-9397-08002B2CF9AE}" pid="4" name="KSOTemplateDocerSaveRecord">
    <vt:lpwstr>eyJoZGlkIjoiYWJmODZiZGY3MWMxOTA0M2Y4YjNhYTQ2MjlmNDU1YWIiLCJ1c2VySWQiOiIyMTU1MDQ1MDUifQ==</vt:lpwstr>
  </property>
</Properties>
</file>