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2AFB">
      <w:pPr>
        <w:rPr>
          <w:rFonts w:ascii="Times New Roman" w:hAnsi="Times New Roman"/>
        </w:rPr>
      </w:pPr>
      <w:bookmarkStart w:id="0" w:name="_Toc15396597"/>
      <w:bookmarkStart w:id="1" w:name="_Toc15377425"/>
      <w:bookmarkStart w:id="2" w:name="_Toc15396475"/>
      <w:bookmarkStart w:id="3" w:name="_Toc15378441"/>
      <w:bookmarkStart w:id="4" w:name="_Toc15377193"/>
      <w:bookmarkStart w:id="5" w:name="_Toc15306267"/>
    </w:p>
    <w:p w14:paraId="60FA8CF4">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53C8DC82">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4BDDC6CA">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6448F64E">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2AD5FE1">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6" w:name="_Toc15396476"/>
      <w:bookmarkStart w:id="7" w:name="_Toc15377194"/>
      <w:bookmarkStart w:id="8" w:name="_Toc15396598"/>
      <w:bookmarkStart w:id="9" w:name="_Toc15378442"/>
      <w:bookmarkStart w:id="10" w:name="_Toc15377426"/>
      <w:r>
        <w:rPr>
          <w:rFonts w:hint="eastAsia" w:ascii="方正小标宋简体" w:hAnsi="方正小标宋简体" w:eastAsia="方正小标宋简体" w:cs="方正小标宋简体"/>
          <w:sz w:val="72"/>
          <w:szCs w:val="72"/>
          <w:lang w:val="en-US" w:eastAsia="zh-CN"/>
        </w:rPr>
        <w:t>2025年度</w:t>
      </w:r>
    </w:p>
    <w:p w14:paraId="0444F6DA">
      <w:pPr>
        <w:adjustRightInd w:val="0"/>
        <w:snapToGrid w:val="0"/>
        <w:spacing w:line="360" w:lineRule="auto"/>
        <w:jc w:val="center"/>
        <w:outlineLvl w:val="0"/>
        <w:rPr>
          <w:rFonts w:hint="eastAsia" w:ascii="方正小标宋简体" w:hAnsi="方正小标宋简体" w:eastAsia="方正小标宋简体" w:cs="方正小标宋简体"/>
          <w:sz w:val="72"/>
          <w:szCs w:val="72"/>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方正小标宋简体" w:hAnsi="方正小标宋简体" w:eastAsia="方正小标宋简体" w:cs="方正小标宋简体"/>
          <w:sz w:val="72"/>
          <w:szCs w:val="72"/>
          <w:lang w:val="en-US" w:eastAsia="zh-CN"/>
        </w:rPr>
        <w:t>阿坝州</w:t>
      </w:r>
      <w:bookmarkEnd w:id="5"/>
      <w:bookmarkStart w:id="11" w:name="_Toc15306268"/>
      <w:r>
        <w:rPr>
          <w:rFonts w:hint="eastAsia" w:ascii="方正小标宋简体" w:hAnsi="方正小标宋简体" w:eastAsia="方正小标宋简体" w:cs="方正小标宋简体"/>
          <w:sz w:val="72"/>
          <w:szCs w:val="72"/>
          <w:lang w:val="en-US" w:eastAsia="zh-CN"/>
        </w:rPr>
        <w:t>黑水县人民检察院部门决算</w:t>
      </w:r>
      <w:bookmarkEnd w:id="6"/>
      <w:bookmarkEnd w:id="7"/>
      <w:bookmarkEnd w:id="8"/>
      <w:bookmarkEnd w:id="9"/>
      <w:bookmarkEnd w:id="10"/>
      <w:bookmarkEnd w:id="11"/>
      <w:r>
        <w:rPr>
          <w:rFonts w:hint="eastAsia" w:ascii="方正小标宋简体" w:hAnsi="方正小标宋简体" w:eastAsia="方正小标宋简体" w:cs="方正小标宋简体"/>
          <w:sz w:val="72"/>
          <w:szCs w:val="72"/>
          <w:lang w:val="en-US" w:eastAsia="zh-CN"/>
        </w:rPr>
        <w:t>公开</w:t>
      </w:r>
    </w:p>
    <w:p w14:paraId="72B89E4D">
      <w:pPr>
        <w:widowControl/>
        <w:jc w:val="center"/>
        <w:rPr>
          <w:rFonts w:ascii="Times New Roman" w:hAnsi="Times New Roman" w:eastAsia="黑体"/>
          <w:color w:val="auto"/>
          <w:sz w:val="48"/>
          <w:szCs w:val="48"/>
          <w:highlight w:val="none"/>
        </w:rPr>
      </w:pPr>
      <w:bookmarkStart w:id="68" w:name="_GoBack"/>
      <w:bookmarkEnd w:id="68"/>
      <w:r>
        <w:rPr>
          <w:rFonts w:hint="eastAsia" w:ascii="Times New Roman" w:hAnsi="Times New Roman" w:eastAsia="黑体"/>
          <w:color w:val="auto"/>
          <w:sz w:val="48"/>
          <w:szCs w:val="48"/>
          <w:highlight w:val="none"/>
        </w:rPr>
        <w:t>目录</w:t>
      </w:r>
    </w:p>
    <w:p w14:paraId="50F94C13">
      <w:pPr>
        <w:widowControl/>
        <w:jc w:val="center"/>
        <w:rPr>
          <w:rFonts w:ascii="Times New Roman" w:hAnsi="Times New Roman" w:eastAsia="黑体" w:cstheme="minorBidi"/>
          <w:color w:val="auto"/>
          <w:sz w:val="28"/>
          <w:szCs w:val="28"/>
          <w:highlight w:val="none"/>
        </w:rPr>
      </w:pPr>
    </w:p>
    <w:p w14:paraId="7EEA1B10">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26D0F943">
      <w:pPr>
        <w:rPr>
          <w:rFonts w:ascii="Times New Roman" w:hAnsi="Times New Roman"/>
          <w:color w:val="auto"/>
          <w:highlight w:val="none"/>
        </w:rPr>
      </w:pPr>
    </w:p>
    <w:p w14:paraId="42E987A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740053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50935E9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F9B4863">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D8BFCF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2DCB55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598D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AD88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86916F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388FD1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8A7BE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66BD3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F0365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9F7EAC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50CE2F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D986B9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1CF04F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6D46C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B0514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7D975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B0FCE3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2A53D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F718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94F21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A3B2AC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66C4B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36D1C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620024A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441A2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5BE4941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color w:val="auto"/>
          <w:sz w:val="32"/>
          <w:szCs w:val="32"/>
          <w:highlight w:val="none"/>
        </w:rPr>
        <w:t>十三、财政拨款“三公”经费支出决算表</w:t>
      </w:r>
    </w:p>
    <w:p w14:paraId="4C37DBA0">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5E7063D0">
      <w:pPr>
        <w:pStyle w:val="4"/>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00CBD749">
      <w:pPr>
        <w:widowControl/>
        <w:jc w:val="left"/>
        <w:rPr>
          <w:rFonts w:ascii="Times New Roman" w:hAnsi="Times New Roman" w:eastAsia="黑体"/>
          <w:color w:val="auto"/>
          <w:sz w:val="32"/>
          <w:szCs w:val="32"/>
          <w:highlight w:val="none"/>
        </w:rPr>
      </w:pPr>
    </w:p>
    <w:p w14:paraId="3E79FC6C">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1777E14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lang w:eastAsia="zh-CN"/>
        </w:rPr>
      </w:pPr>
      <w:r>
        <w:rPr>
          <w:rFonts w:hint="eastAsia" w:ascii="仿宋_GB2312" w:hAnsi="仿宋" w:eastAsia="仿宋_GB2312"/>
          <w:sz w:val="32"/>
          <w:szCs w:val="32"/>
          <w:highlight w:val="none"/>
        </w:rPr>
        <w:t>人民检察院是国家的法律监督机关，依法行使下列职权：1.对于叛国案、分裂国家案以及严重破坏国家的政策、法律、政令统—实施的重大犯罪案件，行使检察权。3.对于公安机关、国家安全机关等侦查机关侦查的案件进行审查，决定是否逮捕、起诉或者不起诉。并对侦查机关的侦查活动是否合法实行监督。4.对于刑事案件提起公诉，支持公诉；对于人民法院的刑事判决、裁定是否正确和审判活动是否合法实行监督。5.对于监狱、看守所等执行机关执行刑罚的活动是否合法实行监督。6.对于人民法院的民事审判活动实行法律监督，对人民法院已经发生效力的判决、裁定，发现违反法律、法规规定的，依法提出抗诉。7.对于行政诉讼实行法律监督。对人民法院已经发生效力的判决、裁定，发现违反法律、法规规定的，依法提出抗诉.</w:t>
      </w:r>
    </w:p>
    <w:p w14:paraId="74A5CECB">
      <w:pPr>
        <w:pStyle w:val="5"/>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3D8F1BBB">
      <w:pPr>
        <w:ind w:firstLine="800" w:firstLineChars="250"/>
        <w:rPr>
          <w:rFonts w:ascii="Times New Roman" w:hAnsi="Times New Roman" w:eastAsia="仿宋"/>
          <w:color w:val="auto"/>
          <w:kern w:val="0"/>
          <w:sz w:val="32"/>
          <w:szCs w:val="32"/>
          <w:highlight w:val="none"/>
        </w:rPr>
      </w:pPr>
      <w:r>
        <w:rPr>
          <w:rFonts w:hint="eastAsia" w:ascii="Times New Roman" w:hAnsi="Times New Roman" w:eastAsia="仿宋_GB2312" w:cs="Times New Roman"/>
          <w:kern w:val="2"/>
          <w:sz w:val="32"/>
          <w:szCs w:val="32"/>
          <w:lang w:val="en-US" w:eastAsia="zh-CN" w:bidi="ar-SA"/>
        </w:rPr>
        <w:t>我院独立核算机构1个，是独立编报预算的单位</w:t>
      </w:r>
      <w:r>
        <w:rPr>
          <w:rFonts w:hint="eastAsia" w:ascii="仿宋_GB2312" w:hAnsi="仿宋" w:eastAsia="仿宋_GB2312"/>
          <w:sz w:val="32"/>
          <w:szCs w:val="32"/>
          <w:highlight w:val="none"/>
        </w:rPr>
        <w:t>。</w:t>
      </w:r>
      <w:r>
        <w:rPr>
          <w:rFonts w:ascii="Times New Roman" w:hAnsi="Times New Roman" w:eastAsia="仿宋"/>
          <w:color w:val="auto"/>
          <w:sz w:val="32"/>
          <w:szCs w:val="32"/>
          <w:highlight w:val="none"/>
        </w:rPr>
        <w:br w:type="page"/>
      </w:r>
    </w:p>
    <w:p w14:paraId="2DDDF530">
      <w:pPr>
        <w:pStyle w:val="4"/>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0536CE4">
      <w:pPr>
        <w:rPr>
          <w:rFonts w:ascii="Times New Roman" w:hAnsi="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546D77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960.52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48.96</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4.9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本年度采购项目较少。</w:t>
      </w:r>
    </w:p>
    <w:p w14:paraId="6E38406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default" w:eastAsia="仿宋_GB2312" w:cs="仿宋_GB2312"/>
          <w:color w:val="auto"/>
          <w:sz w:val="32"/>
          <w:szCs w:val="32"/>
          <w:highlight w:val="none"/>
          <w:lang w:val="en-US" w:eastAsia="zh-CN"/>
        </w:rPr>
      </w:pPr>
      <w:r>
        <w:rPr>
          <w:rFonts w:hint="default" w:eastAsia="仿宋_GB2312" w:cs="仿宋_GB2312"/>
          <w:color w:val="auto"/>
          <w:sz w:val="32"/>
          <w:szCs w:val="32"/>
          <w:highlight w:val="none"/>
          <w:lang w:val="en-US" w:eastAsia="zh-CN"/>
        </w:rPr>
        <w:drawing>
          <wp:anchor distT="0" distB="0" distL="114300" distR="114300" simplePos="0" relativeHeight="251659264" behindDoc="1" locked="0" layoutInCell="1" allowOverlap="1">
            <wp:simplePos x="0" y="0"/>
            <wp:positionH relativeFrom="column">
              <wp:posOffset>421005</wp:posOffset>
            </wp:positionH>
            <wp:positionV relativeFrom="paragraph">
              <wp:posOffset>74295</wp:posOffset>
            </wp:positionV>
            <wp:extent cx="4579620" cy="2248535"/>
            <wp:effectExtent l="4445" t="4445" r="6985" b="13970"/>
            <wp:wrapTight wrapText="bothSides">
              <wp:wrapPolygon>
                <wp:start x="-21" y="-43"/>
                <wp:lineTo x="-21" y="21551"/>
                <wp:lineTo x="21543" y="21551"/>
                <wp:lineTo x="21543" y="-43"/>
                <wp:lineTo x="-21" y="-43"/>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F3E99D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44474CF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14:paraId="6775993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2E0B0E2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455472E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p>
    <w:p w14:paraId="45A75C1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0"/>
      <w:bookmarkEnd w:id="21"/>
    </w:p>
    <w:p w14:paraId="5CDF451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633730</wp:posOffset>
            </wp:positionH>
            <wp:positionV relativeFrom="paragraph">
              <wp:posOffset>1135380</wp:posOffset>
            </wp:positionV>
            <wp:extent cx="4177030" cy="2024380"/>
            <wp:effectExtent l="4445" t="4445" r="9525" b="9525"/>
            <wp:wrapTight wrapText="bothSides">
              <wp:wrapPolygon>
                <wp:start x="-23" y="-47"/>
                <wp:lineTo x="-23" y="21498"/>
                <wp:lineTo x="21551" y="21498"/>
                <wp:lineTo x="21551" y="-47"/>
                <wp:lineTo x="-23" y="-47"/>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960.52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694.48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72.30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255.77万元，占26.63%。年初结转结余10.27万元，占比1.07%。</w:t>
      </w:r>
    </w:p>
    <w:p w14:paraId="7E19C0D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1DA5537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507122A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47F0136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14:paraId="61FBB6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outlineLvl w:val="1"/>
        <w:rPr>
          <w:rFonts w:hint="eastAsia" w:ascii="Times New Roman" w:hAnsi="Times New Roman" w:eastAsia="仿宋_GB2312" w:cs="仿宋_GB2312"/>
          <w:color w:val="auto"/>
          <w:sz w:val="32"/>
          <w:szCs w:val="32"/>
          <w:highlight w:val="none"/>
          <w:lang w:eastAsia="zh-CN"/>
        </w:rPr>
      </w:pP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51002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960.52</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841.6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87.62</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118.89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12.38</w:t>
      </w:r>
      <w:r>
        <w:rPr>
          <w:rFonts w:hint="eastAsia" w:ascii="Times New Roman" w:hAnsi="Times New Roman" w:eastAsia="仿宋_GB2312" w:cs="仿宋_GB2312"/>
          <w:color w:val="auto"/>
          <w:sz w:val="32"/>
          <w:szCs w:val="32"/>
          <w:highlight w:val="none"/>
          <w:lang w:eastAsia="zh-CN"/>
        </w:rPr>
        <w:t>%。</w:t>
      </w:r>
    </w:p>
    <w:p w14:paraId="61946D6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DE75C0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57690F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0A3042D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31B845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1C369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410845</wp:posOffset>
            </wp:positionH>
            <wp:positionV relativeFrom="paragraph">
              <wp:posOffset>-1748155</wp:posOffset>
            </wp:positionV>
            <wp:extent cx="3954780" cy="2036445"/>
            <wp:effectExtent l="4445" t="4445" r="22225" b="16510"/>
            <wp:wrapTight wrapText="bothSides">
              <wp:wrapPolygon>
                <wp:start x="-24" y="-47"/>
                <wp:lineTo x="-24" y="21371"/>
                <wp:lineTo x="21513" y="21371"/>
                <wp:lineTo x="21513" y="-47"/>
                <wp:lineTo x="-24" y="-47"/>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CC5E58E">
      <w:pPr>
        <w:spacing w:line="600" w:lineRule="exact"/>
        <w:ind w:firstLine="640" w:firstLineChars="200"/>
        <w:outlineLvl w:val="1"/>
        <w:rPr>
          <w:rFonts w:hint="eastAsia" w:ascii="Times New Roman" w:hAnsi="Times New Roman" w:eastAsia="黑体"/>
          <w:color w:val="auto"/>
          <w:sz w:val="32"/>
          <w:szCs w:val="32"/>
          <w:highlight w:val="none"/>
        </w:rPr>
      </w:pPr>
      <w:bookmarkStart w:id="24" w:name="_Toc15377208"/>
      <w:bookmarkStart w:id="25" w:name="_Toc15396606"/>
    </w:p>
    <w:p w14:paraId="466ACD89">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7A85661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694.48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93.09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11.82</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是本年度采购项目较少。</w:t>
      </w:r>
    </w:p>
    <w:p w14:paraId="368B122C">
      <w:pPr>
        <w:pStyle w:val="13"/>
        <w:rPr>
          <w:rFonts w:hint="eastAsia"/>
          <w:lang w:val="en-US" w:eastAsia="zh-CN"/>
        </w:rPr>
      </w:pPr>
      <w:r>
        <w:rPr>
          <w:rFonts w:hint="eastAsia"/>
          <w:lang w:val="en-US" w:eastAsia="zh-CN"/>
        </w:rPr>
        <w:drawing>
          <wp:inline distT="0" distB="0" distL="114300" distR="114300">
            <wp:extent cx="4916805" cy="2712720"/>
            <wp:effectExtent l="4445" t="4445" r="12700" b="698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hint="eastAsia"/>
          <w:lang w:val="en-US" w:eastAsia="zh-CN"/>
        </w:rPr>
        <w:t xml:space="preserve">   </w:t>
      </w:r>
    </w:p>
    <w:p w14:paraId="636D229C">
      <w:pPr>
        <w:pStyle w:val="2"/>
        <w:rPr>
          <w:rFonts w:hint="eastAsia"/>
          <w:lang w:val="en-US" w:eastAsia="zh-CN"/>
        </w:rPr>
      </w:pPr>
    </w:p>
    <w:p w14:paraId="30C96D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83FCA9">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256148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2B079AB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694.48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72.30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93.09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本年度采购项目较少。</w:t>
      </w:r>
    </w:p>
    <w:p w14:paraId="72D68A5E">
      <w:pPr>
        <w:pStyle w:val="13"/>
        <w:rPr>
          <w:rFonts w:hint="eastAsia"/>
          <w:lang w:val="en-US" w:eastAsia="zh-CN"/>
        </w:rPr>
      </w:pPr>
      <w:r>
        <w:rPr>
          <w:rFonts w:hint="eastAsia"/>
          <w:lang w:val="en-US" w:eastAsia="zh-CN"/>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FECF8D">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5CAEAA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37C57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3D7F628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694.48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w:t>
      </w:r>
      <w:r>
        <w:rPr>
          <w:rFonts w:hint="eastAsia" w:eastAsia="仿宋_GB2312" w:cs="仿宋_GB2312"/>
          <w:color w:val="auto"/>
          <w:kern w:val="2"/>
          <w:sz w:val="32"/>
          <w:szCs w:val="32"/>
          <w:highlight w:val="none"/>
          <w:lang w:val="en-US" w:eastAsia="zh-CN" w:bidi="ar-SA"/>
        </w:rPr>
        <w:t>安全</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535.49</w:t>
      </w:r>
      <w:r>
        <w:rPr>
          <w:rFonts w:hint="eastAsia" w:ascii="Times New Roman" w:hAnsi="Times New Roman" w:eastAsia="仿宋_GB2312" w:cs="仿宋_GB2312"/>
          <w:color w:val="auto"/>
          <w:kern w:val="2"/>
          <w:sz w:val="32"/>
          <w:szCs w:val="32"/>
          <w:highlight w:val="none"/>
          <w:lang w:val="en-US" w:eastAsia="zh-CN" w:bidi="ar-SA"/>
        </w:rPr>
        <w:t>万元，</w:t>
      </w:r>
      <w:r>
        <w:rPr>
          <w:rStyle w:val="35"/>
          <w:rFonts w:hint="eastAsia" w:ascii="仿宋" w:hAnsi="仿宋" w:eastAsia="仿宋"/>
          <w:b w:val="0"/>
          <w:sz w:val="32"/>
          <w:szCs w:val="32"/>
          <w:shd w:val="clear" w:color="auto" w:fill="FFFFFF"/>
        </w:rPr>
        <w:t>占比</w:t>
      </w:r>
      <w:r>
        <w:rPr>
          <w:rFonts w:hint="eastAsia" w:ascii="Times New Roman" w:hAnsi="Times New Roman" w:eastAsia="仿宋_GB2312" w:cs="仿宋_GB2312"/>
          <w:color w:val="auto"/>
          <w:kern w:val="2"/>
          <w:sz w:val="32"/>
          <w:szCs w:val="32"/>
          <w:highlight w:val="none"/>
          <w:lang w:val="en-US" w:eastAsia="zh-CN" w:bidi="ar-SA"/>
        </w:rPr>
        <w:t>77.11</w:t>
      </w:r>
      <w:r>
        <w:rPr>
          <w:rFonts w:hint="eastAsia" w:eastAsia="仿宋_GB2312" w:cs="仿宋_GB2312"/>
          <w:color w:val="auto"/>
          <w:kern w:val="2"/>
          <w:sz w:val="32"/>
          <w:szCs w:val="32"/>
          <w:highlight w:val="none"/>
          <w:lang w:val="en-US" w:eastAsia="zh-CN" w:bidi="ar-SA"/>
        </w:rPr>
        <w:t>%；</w:t>
      </w:r>
      <w:r>
        <w:rPr>
          <w:rStyle w:val="35"/>
          <w:rFonts w:hint="eastAsia" w:ascii="仿宋" w:hAnsi="仿宋" w:eastAsia="仿宋"/>
          <w:b w:val="0"/>
          <w:sz w:val="32"/>
          <w:szCs w:val="32"/>
          <w:shd w:val="clear" w:color="auto" w:fill="FFFFFF"/>
        </w:rPr>
        <w:t>住房保障支出为</w:t>
      </w:r>
      <w:r>
        <w:rPr>
          <w:rFonts w:hint="eastAsia" w:eastAsia="仿宋_GB2312" w:cs="仿宋_GB2312"/>
          <w:color w:val="auto"/>
          <w:kern w:val="2"/>
          <w:sz w:val="32"/>
          <w:szCs w:val="32"/>
          <w:highlight w:val="none"/>
          <w:lang w:val="en-US" w:eastAsia="zh-CN" w:bidi="ar-SA"/>
        </w:rPr>
        <w:t>48.56</w:t>
      </w:r>
      <w:r>
        <w:rPr>
          <w:rStyle w:val="35"/>
          <w:rFonts w:hint="eastAsia" w:ascii="仿宋" w:hAnsi="仿宋" w:eastAsia="仿宋"/>
          <w:b w:val="0"/>
          <w:sz w:val="32"/>
          <w:szCs w:val="32"/>
          <w:shd w:val="clear" w:color="auto" w:fill="FFFFFF"/>
        </w:rPr>
        <w:t>万元，占比</w:t>
      </w:r>
      <w:r>
        <w:rPr>
          <w:rFonts w:hint="eastAsia" w:ascii="Times New Roman" w:hAnsi="Times New Roman" w:eastAsia="仿宋_GB2312" w:cs="仿宋_GB2312"/>
          <w:color w:val="auto"/>
          <w:kern w:val="2"/>
          <w:sz w:val="32"/>
          <w:szCs w:val="32"/>
          <w:highlight w:val="none"/>
          <w:lang w:val="en-US" w:eastAsia="zh-CN" w:bidi="ar-SA"/>
        </w:rPr>
        <w:t>6.99%</w:t>
      </w:r>
      <w:r>
        <w:rPr>
          <w:rStyle w:val="35"/>
          <w:rFonts w:hint="eastAsia" w:ascii="仿宋" w:hAnsi="仿宋" w:eastAsia="仿宋"/>
          <w:b w:val="0"/>
          <w:sz w:val="32"/>
          <w:szCs w:val="32"/>
          <w:shd w:val="clear" w:color="auto" w:fill="FFFFFF"/>
        </w:rPr>
        <w:t>；社会保障和就业支出</w:t>
      </w:r>
      <w:r>
        <w:rPr>
          <w:rFonts w:hint="eastAsia" w:eastAsia="仿宋_GB2312" w:cs="仿宋_GB2312"/>
          <w:color w:val="auto"/>
          <w:kern w:val="2"/>
          <w:sz w:val="32"/>
          <w:szCs w:val="32"/>
          <w:highlight w:val="none"/>
          <w:lang w:val="en-US" w:eastAsia="zh-CN" w:bidi="ar-SA"/>
        </w:rPr>
        <w:t>72.94</w:t>
      </w:r>
      <w:r>
        <w:rPr>
          <w:rStyle w:val="35"/>
          <w:rFonts w:hint="eastAsia" w:ascii="仿宋" w:hAnsi="仿宋" w:eastAsia="仿宋"/>
          <w:b w:val="0"/>
          <w:sz w:val="32"/>
          <w:szCs w:val="32"/>
          <w:shd w:val="clear" w:color="auto" w:fill="FFFFFF"/>
        </w:rPr>
        <w:t>万元，占比</w:t>
      </w:r>
      <w:r>
        <w:rPr>
          <w:rFonts w:hint="eastAsia" w:eastAsia="仿宋_GB2312" w:cs="仿宋_GB2312"/>
          <w:color w:val="auto"/>
          <w:kern w:val="2"/>
          <w:sz w:val="32"/>
          <w:szCs w:val="32"/>
          <w:highlight w:val="none"/>
          <w:lang w:val="en-US" w:eastAsia="zh-CN" w:bidi="ar-SA"/>
        </w:rPr>
        <w:t>10.50%</w:t>
      </w:r>
      <w:r>
        <w:rPr>
          <w:rStyle w:val="35"/>
          <w:rFonts w:hint="eastAsia" w:ascii="仿宋" w:hAnsi="仿宋" w:eastAsia="仿宋"/>
          <w:b w:val="0"/>
          <w:sz w:val="32"/>
          <w:szCs w:val="32"/>
          <w:shd w:val="clear" w:color="auto" w:fill="FFFFFF"/>
        </w:rPr>
        <w:t>；卫生健康支出为</w:t>
      </w:r>
      <w:r>
        <w:rPr>
          <w:rFonts w:hint="eastAsia" w:eastAsia="仿宋_GB2312" w:cs="仿宋_GB2312"/>
          <w:color w:val="auto"/>
          <w:kern w:val="2"/>
          <w:sz w:val="32"/>
          <w:szCs w:val="32"/>
          <w:highlight w:val="none"/>
          <w:lang w:val="en-US" w:eastAsia="zh-CN" w:bidi="ar-SA"/>
        </w:rPr>
        <w:t>37.49</w:t>
      </w:r>
      <w:r>
        <w:rPr>
          <w:rStyle w:val="35"/>
          <w:rFonts w:hint="eastAsia" w:ascii="仿宋" w:hAnsi="仿宋" w:eastAsia="仿宋"/>
          <w:b w:val="0"/>
          <w:sz w:val="32"/>
          <w:szCs w:val="32"/>
          <w:shd w:val="clear" w:color="auto" w:fill="FFFFFF"/>
        </w:rPr>
        <w:t>元，占比</w:t>
      </w:r>
      <w:r>
        <w:rPr>
          <w:rFonts w:hint="eastAsia" w:eastAsia="仿宋_GB2312" w:cs="仿宋_GB2312"/>
          <w:color w:val="auto"/>
          <w:kern w:val="2"/>
          <w:sz w:val="32"/>
          <w:szCs w:val="32"/>
          <w:highlight w:val="none"/>
          <w:lang w:val="en-US" w:eastAsia="zh-CN" w:bidi="ar-SA"/>
        </w:rPr>
        <w:t>5.40%。</w:t>
      </w:r>
    </w:p>
    <w:p w14:paraId="1111D80E">
      <w:pPr>
        <w:pStyle w:val="13"/>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inline distT="0" distB="0" distL="114300" distR="114300">
            <wp:extent cx="5256530" cy="2522855"/>
            <wp:effectExtent l="4445" t="4445" r="15875" b="635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F51E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EA1C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678EF2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694.48万元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22DBB6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eastAsia="仿宋_GB2312" w:cs="仿宋_GB2312"/>
          <w:sz w:val="32"/>
          <w:szCs w:val="32"/>
          <w:lang w:eastAsia="zh-CN"/>
        </w:rPr>
        <w:t>公共安全支出</w:t>
      </w:r>
      <w:r>
        <w:rPr>
          <w:rFonts w:hint="eastAsia" w:eastAsia="仿宋_GB2312" w:cs="仿宋_GB2312"/>
          <w:sz w:val="32"/>
          <w:szCs w:val="32"/>
        </w:rPr>
        <w:t>（类）</w:t>
      </w:r>
      <w:r>
        <w:rPr>
          <w:rFonts w:hint="eastAsia" w:eastAsia="仿宋_GB2312" w:cs="仿宋_GB2312"/>
          <w:sz w:val="32"/>
          <w:szCs w:val="32"/>
          <w:lang w:eastAsia="zh-CN"/>
        </w:rPr>
        <w:t>检察</w:t>
      </w:r>
      <w:r>
        <w:rPr>
          <w:rFonts w:hint="eastAsia" w:eastAsia="仿宋_GB2312" w:cs="仿宋_GB2312"/>
          <w:sz w:val="32"/>
          <w:szCs w:val="32"/>
        </w:rPr>
        <w:t>（款）</w:t>
      </w:r>
      <w:r>
        <w:rPr>
          <w:rFonts w:hint="eastAsia" w:eastAsia="仿宋_GB2312" w:cs="仿宋_GB2312"/>
          <w:sz w:val="32"/>
          <w:szCs w:val="32"/>
          <w:lang w:eastAsia="zh-CN"/>
        </w:rPr>
        <w:t>行政运行</w:t>
      </w:r>
      <w:r>
        <w:rPr>
          <w:rFonts w:hint="eastAsia" w:eastAsia="仿宋_GB2312" w:cs="仿宋_GB2312"/>
          <w:sz w:val="32"/>
          <w:szCs w:val="32"/>
        </w:rPr>
        <w:t>（项）：支出决算为</w:t>
      </w:r>
      <w:r>
        <w:rPr>
          <w:rFonts w:hint="eastAsia" w:eastAsia="仿宋_GB2312" w:cs="仿宋_GB2312"/>
          <w:sz w:val="32"/>
          <w:szCs w:val="32"/>
          <w:lang w:val="en-US" w:eastAsia="zh-CN"/>
        </w:rPr>
        <w:t>416.6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一般公共服务（类）</w:t>
      </w:r>
      <w:r>
        <w:rPr>
          <w:rFonts w:hint="eastAsia" w:eastAsia="仿宋_GB2312" w:cs="仿宋_GB2312"/>
          <w:sz w:val="32"/>
          <w:szCs w:val="32"/>
          <w:lang w:eastAsia="zh-CN"/>
        </w:rPr>
        <w:t>公共安全支出</w:t>
      </w:r>
      <w:r>
        <w:rPr>
          <w:rFonts w:hint="eastAsia" w:eastAsia="仿宋_GB2312" w:cs="仿宋_GB2312"/>
          <w:sz w:val="32"/>
          <w:szCs w:val="32"/>
        </w:rPr>
        <w:t>（款）</w:t>
      </w:r>
      <w:r>
        <w:rPr>
          <w:rFonts w:hint="eastAsia" w:eastAsia="仿宋_GB2312" w:cs="仿宋_GB2312"/>
          <w:sz w:val="32"/>
          <w:szCs w:val="32"/>
          <w:lang w:eastAsia="zh-CN"/>
        </w:rPr>
        <w:t>一般行政管理事务</w:t>
      </w:r>
      <w:r>
        <w:rPr>
          <w:rFonts w:hint="eastAsia" w:eastAsia="仿宋_GB2312" w:cs="仿宋_GB2312"/>
          <w:sz w:val="32"/>
          <w:szCs w:val="32"/>
        </w:rPr>
        <w:t>（项）：支出决算为</w:t>
      </w:r>
      <w:r>
        <w:rPr>
          <w:rFonts w:hint="eastAsia" w:eastAsia="仿宋_GB2312" w:cs="仿宋_GB2312"/>
          <w:sz w:val="32"/>
          <w:szCs w:val="32"/>
          <w:lang w:val="en-US" w:eastAsia="zh-CN"/>
        </w:rPr>
        <w:t>118.89</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0B47E9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sz w:val="32"/>
          <w:szCs w:val="32"/>
          <w:lang w:eastAsia="zh-CN"/>
        </w:rPr>
        <w:t>住房保障支出</w:t>
      </w:r>
      <w:r>
        <w:rPr>
          <w:rFonts w:hint="eastAsia" w:eastAsia="仿宋_GB2312" w:cs="仿宋_GB2312"/>
          <w:sz w:val="32"/>
          <w:szCs w:val="32"/>
        </w:rPr>
        <w:t>（类）住房改革支出（款）住房公积金（项）：支出决算为</w:t>
      </w:r>
      <w:r>
        <w:rPr>
          <w:rFonts w:hint="eastAsia" w:eastAsia="仿宋_GB2312" w:cs="仿宋_GB2312"/>
          <w:sz w:val="32"/>
          <w:szCs w:val="32"/>
          <w:lang w:val="en-US" w:eastAsia="zh-CN"/>
        </w:rPr>
        <w:t>48.56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0E7B1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sz w:val="32"/>
          <w:szCs w:val="32"/>
        </w:rPr>
        <w:t>社会保障和就业（类）行政事业单位养老支出（款）机关事业单位基本养老保险缴费支出（项）：支出决算为</w:t>
      </w:r>
      <w:r>
        <w:rPr>
          <w:rFonts w:hint="eastAsia" w:eastAsia="仿宋_GB2312" w:cs="仿宋_GB2312"/>
          <w:sz w:val="32"/>
          <w:szCs w:val="32"/>
          <w:lang w:val="en-US" w:eastAsia="zh-CN"/>
        </w:rPr>
        <w:t>46.92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%，社会保障和就业（类）行政事业单位养老支出（款）机关事业单位职业年金缴费支出（项）：支出决算为</w:t>
      </w:r>
      <w:r>
        <w:rPr>
          <w:rFonts w:hint="eastAsia" w:eastAsia="仿宋_GB2312" w:cs="仿宋_GB2312"/>
          <w:sz w:val="32"/>
          <w:szCs w:val="32"/>
          <w:lang w:val="en-US" w:eastAsia="zh-CN"/>
        </w:rPr>
        <w:t>26.02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AD5D3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C2068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sz w:val="32"/>
          <w:szCs w:val="32"/>
        </w:rPr>
        <w:t>卫生健康（类）行政事业单位医疗（款）行政单位医疗（项）：支出决算为</w:t>
      </w:r>
      <w:r>
        <w:rPr>
          <w:rFonts w:hint="eastAsia" w:eastAsia="仿宋_GB2312" w:cs="仿宋_GB2312"/>
          <w:sz w:val="32"/>
          <w:szCs w:val="32"/>
          <w:lang w:val="en-US" w:eastAsia="zh-CN"/>
        </w:rPr>
        <w:t>30.87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卫生健康（类）行政事业单位医疗（款）公务员医疗补助（项）：支出决算为</w:t>
      </w:r>
      <w:r>
        <w:rPr>
          <w:rFonts w:hint="eastAsia" w:eastAsia="仿宋_GB2312" w:cs="仿宋_GB2312"/>
          <w:sz w:val="32"/>
          <w:szCs w:val="32"/>
          <w:lang w:val="en-US" w:eastAsia="zh-CN"/>
        </w:rPr>
        <w:t>6.62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5EF764D">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4FCFA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575.59</w:t>
      </w:r>
      <w:r>
        <w:rPr>
          <w:rFonts w:hint="eastAsia" w:ascii="Times New Roman" w:hAnsi="Times New Roman" w:eastAsia="仿宋_GB2312" w:cs="仿宋_GB2312"/>
          <w:color w:val="auto"/>
          <w:kern w:val="2"/>
          <w:sz w:val="32"/>
          <w:szCs w:val="32"/>
          <w:highlight w:val="none"/>
          <w:lang w:val="en-US" w:eastAsia="zh-CN" w:bidi="ar-SA"/>
        </w:rPr>
        <w:t>万元，其中：</w:t>
      </w:r>
    </w:p>
    <w:p w14:paraId="178DA0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509.95</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157.23万元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122.12万元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0.45万元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46.92万元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26.02万元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职工基本医疗保险缴费30.87万元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公务员医疗补助缴费7.16万元、其他社会保障缴费5.09万元、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48.56万元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其他工资福利支出63.61万元、</w:t>
      </w:r>
      <w:r>
        <w:rPr>
          <w:rFonts w:hint="eastAsia" w:ascii="Times New Roman" w:hAnsi="Times New Roman" w:eastAsia="仿宋_GB2312" w:cs="仿宋_GB2312"/>
          <w:color w:val="auto"/>
          <w:kern w:val="2"/>
          <w:sz w:val="32"/>
          <w:szCs w:val="32"/>
          <w:highlight w:val="none"/>
          <w:lang w:val="en-US" w:eastAsia="zh-CN" w:bidi="ar-SA"/>
        </w:rPr>
        <w:t>其他对个人和家庭的补助支出</w:t>
      </w:r>
      <w:r>
        <w:rPr>
          <w:rFonts w:hint="eastAsia" w:eastAsia="仿宋_GB2312" w:cs="仿宋_GB2312"/>
          <w:color w:val="auto"/>
          <w:kern w:val="2"/>
          <w:sz w:val="32"/>
          <w:szCs w:val="32"/>
          <w:highlight w:val="none"/>
          <w:lang w:val="en-US" w:eastAsia="zh-CN" w:bidi="ar-SA"/>
        </w:rPr>
        <w:t>1.92万元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65.64</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14.64万元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1.09万元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6.18万元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4.09万元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7.54万元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14.44万元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0.13万元</w:t>
      </w:r>
      <w:r>
        <w:rPr>
          <w:rFonts w:hint="eastAsia" w:ascii="Times New Roman" w:hAnsi="Times New Roman" w:eastAsia="仿宋_GB2312" w:cs="仿宋_GB2312"/>
          <w:color w:val="auto"/>
          <w:kern w:val="2"/>
          <w:sz w:val="32"/>
          <w:szCs w:val="32"/>
          <w:highlight w:val="none"/>
          <w:lang w:val="en-US" w:eastAsia="zh-CN" w:bidi="ar-SA"/>
        </w:rPr>
        <w:t>、公务接待费</w:t>
      </w:r>
      <w:r>
        <w:rPr>
          <w:rFonts w:hint="eastAsia" w:eastAsia="仿宋_GB2312" w:cs="仿宋_GB2312"/>
          <w:color w:val="auto"/>
          <w:kern w:val="2"/>
          <w:sz w:val="32"/>
          <w:szCs w:val="32"/>
          <w:highlight w:val="none"/>
          <w:lang w:val="en-US" w:eastAsia="zh-CN" w:bidi="ar-SA"/>
        </w:rPr>
        <w:t>0.51万元</w:t>
      </w:r>
      <w:r>
        <w:rPr>
          <w:rFonts w:hint="eastAsia" w:ascii="Times New Roman" w:hAnsi="Times New Roman" w:eastAsia="仿宋_GB2312" w:cs="仿宋_GB2312"/>
          <w:color w:val="auto"/>
          <w:kern w:val="2"/>
          <w:sz w:val="32"/>
          <w:szCs w:val="32"/>
          <w:highlight w:val="none"/>
          <w:lang w:val="en-US" w:eastAsia="zh-CN" w:bidi="ar-SA"/>
        </w:rPr>
        <w:t>、劳务费</w:t>
      </w:r>
      <w:r>
        <w:rPr>
          <w:rFonts w:hint="eastAsia" w:eastAsia="仿宋_GB2312" w:cs="仿宋_GB2312"/>
          <w:color w:val="auto"/>
          <w:kern w:val="2"/>
          <w:sz w:val="32"/>
          <w:szCs w:val="32"/>
          <w:highlight w:val="none"/>
          <w:lang w:val="en-US" w:eastAsia="zh-CN" w:bidi="ar-SA"/>
        </w:rPr>
        <w:t>9.3万元</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3.64万元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3.38万元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0.7万元</w:t>
      </w:r>
      <w:r>
        <w:rPr>
          <w:rFonts w:hint="eastAsia" w:ascii="Times New Roman" w:hAnsi="Times New Roman" w:eastAsia="仿宋_GB2312" w:cs="仿宋_GB2312"/>
          <w:color w:val="auto"/>
          <w:kern w:val="2"/>
          <w:sz w:val="32"/>
          <w:szCs w:val="32"/>
          <w:highlight w:val="none"/>
          <w:lang w:val="en-US" w:eastAsia="zh-CN" w:bidi="ar-SA"/>
        </w:rPr>
        <w:t>。</w:t>
      </w:r>
    </w:p>
    <w:p w14:paraId="2C26B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A1DDF0">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062CDC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698CC4F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5.88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57.91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90.78</w:t>
      </w:r>
      <w:r>
        <w:rPr>
          <w:rFonts w:hint="eastAsia" w:ascii="Times New Roman" w:hAnsi="Times New Roman" w:eastAsia="仿宋_GB2312" w:cs="仿宋_GB2312"/>
          <w:color w:val="auto"/>
          <w:kern w:val="2"/>
          <w:sz w:val="32"/>
          <w:szCs w:val="32"/>
          <w:highlight w:val="none"/>
          <w:lang w:val="en-US" w:eastAsia="zh-CN" w:bidi="ar-SA"/>
        </w:rPr>
        <w:t>%。</w:t>
      </w:r>
    </w:p>
    <w:p w14:paraId="7EFC0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14D1BA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5.37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91.33</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8.67</w:t>
      </w:r>
      <w:r>
        <w:rPr>
          <w:rFonts w:hint="eastAsia" w:ascii="Times New Roman" w:hAnsi="Times New Roman" w:eastAsia="仿宋_GB2312" w:cs="仿宋_GB2312"/>
          <w:color w:val="auto"/>
          <w:kern w:val="2"/>
          <w:sz w:val="32"/>
          <w:szCs w:val="32"/>
          <w:highlight w:val="none"/>
          <w:lang w:val="en-US" w:eastAsia="zh-CN" w:bidi="ar-SA"/>
        </w:rPr>
        <w:t>%。具体情况如下：</w:t>
      </w:r>
    </w:p>
    <w:p w14:paraId="42E8B9F8">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inline distT="0" distB="0" distL="114300" distR="114300">
            <wp:extent cx="4166870" cy="2691765"/>
            <wp:effectExtent l="4445" t="4445" r="19685" b="889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D5CF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本单位无此项支出。</w:t>
      </w:r>
    </w:p>
    <w:p w14:paraId="14664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5.37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57.91</w:t>
      </w:r>
      <w:r>
        <w:rPr>
          <w:rFonts w:hint="eastAsia" w:ascii="Times New Roman" w:hAnsi="Times New Roman" w:eastAsia="仿宋_GB2312" w:cs="仿宋_GB2312"/>
          <w:color w:val="auto"/>
          <w:kern w:val="2"/>
          <w:sz w:val="32"/>
          <w:szCs w:val="32"/>
          <w:highlight w:val="none"/>
          <w:lang w:val="en-US" w:eastAsia="zh-CN" w:bidi="ar-SA"/>
        </w:rPr>
        <w:t>万元，下降**%。主要原因是</w:t>
      </w:r>
      <w:r>
        <w:rPr>
          <w:rFonts w:hint="eastAsia" w:eastAsia="仿宋_GB2312" w:cs="仿宋_GB2312"/>
          <w:color w:val="auto"/>
          <w:kern w:val="2"/>
          <w:sz w:val="32"/>
          <w:szCs w:val="32"/>
          <w:highlight w:val="none"/>
          <w:lang w:val="en-US" w:eastAsia="zh-CN" w:bidi="ar-SA"/>
        </w:rPr>
        <w:t>本年度无公务车辆购置。</w:t>
      </w:r>
    </w:p>
    <w:p w14:paraId="79BC25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5.37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各项检察业务工作和办案</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2DC2D5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0.51</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减少0.48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48.49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厉行节俭</w:t>
      </w:r>
      <w:r>
        <w:rPr>
          <w:rFonts w:hint="eastAsia" w:ascii="Times New Roman" w:hAnsi="Times New Roman" w:eastAsia="仿宋_GB2312" w:cs="仿宋_GB2312"/>
          <w:color w:val="auto"/>
          <w:kern w:val="2"/>
          <w:sz w:val="32"/>
          <w:szCs w:val="32"/>
          <w:highlight w:val="none"/>
          <w:lang w:val="en-US" w:eastAsia="zh-CN" w:bidi="ar-SA"/>
        </w:rPr>
        <w:t>。其中：</w:t>
      </w:r>
    </w:p>
    <w:p w14:paraId="44C503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0.51</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0.51</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内江市检察机关到我州开展对口援助工作支出1300元、州检察院“五强”基层院建设调研工作支出830元、茂县检察院到我院开展调研交流工作支出830元、松潘检察院到我院调研交流工作支出980元、州检察院调研工作支出672元、州检察院到我院开展全州检察机关宣传工作支出494元</w:t>
      </w:r>
      <w:r>
        <w:rPr>
          <w:rFonts w:hint="eastAsia" w:ascii="Times New Roman" w:hAnsi="Times New Roman" w:eastAsia="仿宋_GB2312" w:cs="仿宋_GB2312"/>
          <w:color w:val="auto"/>
          <w:kern w:val="2"/>
          <w:sz w:val="32"/>
          <w:szCs w:val="32"/>
          <w:highlight w:val="none"/>
          <w:lang w:val="en-US" w:eastAsia="zh-CN" w:bidi="ar-SA"/>
        </w:rPr>
        <w:t>。</w:t>
      </w:r>
    </w:p>
    <w:p w14:paraId="6A6631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我单位无此项支出。</w:t>
      </w:r>
    </w:p>
    <w:p w14:paraId="34CEB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96610"/>
      <w:bookmarkStart w:id="41" w:name="_Toc15377218"/>
    </w:p>
    <w:p w14:paraId="75DA8B5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0F8D8FA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3148A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DF50E5">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1CA41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09193D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603ABE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77221"/>
      <w:bookmarkStart w:id="4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49EB38D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2F5BE4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黑水县人民检察院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65.64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1.73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2.57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厉行节俭。</w:t>
      </w:r>
    </w:p>
    <w:p w14:paraId="1F4924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F66184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4EF22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2025年度，黑水县人民检察院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。本单位2025年度未发生采购项目</w:t>
      </w:r>
      <w:r>
        <w:rPr>
          <w:rFonts w:hint="eastAsia" w:ascii="Times New Roman" w:hAnsi="Times New Roman" w:eastAsia="仿宋_GB2312" w:cs="仿宋_GB2312"/>
          <w:color w:val="auto"/>
          <w:kern w:val="2"/>
          <w:sz w:val="32"/>
          <w:szCs w:val="32"/>
          <w:highlight w:val="none"/>
          <w:lang w:val="en-US" w:eastAsia="zh-CN" w:bidi="ar-SA"/>
        </w:rPr>
        <w:t>。</w:t>
      </w:r>
    </w:p>
    <w:p w14:paraId="4D17E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925F3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5114E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黑水县人民检察院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辆，其中：执法执勤用车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5941BDA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F749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4136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中央专项项目</w:t>
      </w:r>
      <w:r>
        <w:rPr>
          <w:rFonts w:hint="eastAsia" w:ascii="Times New Roman" w:hAnsi="Times New Roman" w:eastAsia="仿宋_GB2312" w:cs="仿宋_GB2312"/>
          <w:color w:val="auto"/>
          <w:kern w:val="2"/>
          <w:sz w:val="32"/>
          <w:szCs w:val="32"/>
          <w:highlight w:val="none"/>
          <w:lang w:val="en-US" w:eastAsia="zh-CN" w:bidi="ar-SA"/>
        </w:rPr>
        <w:t>开展了事前绩效评估，对</w:t>
      </w:r>
      <w:r>
        <w:rPr>
          <w:rFonts w:hint="eastAsia" w:eastAsia="仿宋_GB2312" w:cs="仿宋_GB2312"/>
          <w:color w:val="auto"/>
          <w:kern w:val="2"/>
          <w:sz w:val="32"/>
          <w:szCs w:val="32"/>
          <w:highlight w:val="none"/>
          <w:lang w:val="en-US" w:eastAsia="zh-CN" w:bidi="ar-SA"/>
        </w:rPr>
        <w:t>本</w:t>
      </w:r>
      <w:r>
        <w:rPr>
          <w:rFonts w:hint="eastAsia" w:ascii="Times New Roman" w:hAnsi="Times New Roman" w:eastAsia="仿宋_GB2312" w:cs="仿宋_GB2312"/>
          <w:color w:val="auto"/>
          <w:kern w:val="2"/>
          <w:sz w:val="32"/>
          <w:szCs w:val="32"/>
          <w:highlight w:val="none"/>
          <w:lang w:val="en-US" w:eastAsia="zh-CN" w:bidi="ar-SA"/>
        </w:rPr>
        <w:t>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1A7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黑水县人民检察院2025年度绩效自评报告</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7D672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D07751C">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8C013ED">
      <w:pPr>
        <w:spacing w:line="600" w:lineRule="exact"/>
        <w:jc w:val="left"/>
        <w:rPr>
          <w:rFonts w:ascii="Times New Roman" w:hAnsi="Times New Roman"/>
          <w:b/>
          <w:color w:val="auto"/>
          <w:sz w:val="44"/>
          <w:szCs w:val="44"/>
          <w:highlight w:val="none"/>
        </w:rPr>
      </w:pPr>
    </w:p>
    <w:p w14:paraId="4312CACD">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3993055">
      <w:pPr>
        <w:spacing w:line="600" w:lineRule="exact"/>
        <w:ind w:firstLine="640"/>
        <w:rPr>
          <w:rFonts w:hint="eastAsia" w:eastAsia="仿宋_GB2312" w:cs="仿宋_GB2312"/>
          <w:sz w:val="32"/>
          <w:szCs w:val="32"/>
        </w:rPr>
      </w:pPr>
      <w:r>
        <w:rPr>
          <w:rFonts w:hint="eastAsia" w:eastAsia="仿宋_GB2312" w:cs="仿宋_GB2312"/>
          <w:sz w:val="32"/>
          <w:szCs w:val="32"/>
        </w:rPr>
        <w:t>2.事业收入：指事业单位开展专业业务活动及辅助活动取得的收入。</w:t>
      </w:r>
    </w:p>
    <w:p w14:paraId="348A07D7">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0DD93EF0">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24570A03">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7F718846">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CEEFB11">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7A5C0223">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55A3C5FE">
      <w:pPr>
        <w:spacing w:line="600" w:lineRule="exact"/>
        <w:ind w:firstLine="640"/>
        <w:rPr>
          <w:rFonts w:hint="eastAsia" w:ascii="仿宋_GB2312" w:hAnsi="Times New Roman" w:eastAsia="仿宋_GB2312"/>
          <w:color w:val="C00000"/>
          <w:sz w:val="32"/>
          <w:szCs w:val="32"/>
          <w:lang w:eastAsia="zh-CN"/>
        </w:rPr>
      </w:pPr>
      <w:r>
        <w:rPr>
          <w:rFonts w:hint="eastAsia" w:eastAsia="仿宋_GB2312" w:cs="仿宋_GB2312"/>
          <w:color w:val="000000" w:themeColor="text1"/>
          <w:sz w:val="32"/>
          <w:szCs w:val="32"/>
          <w14:textFill>
            <w14:solidFill>
              <w14:schemeClr w14:val="tx1"/>
            </w14:solidFill>
          </w14:textFill>
        </w:rPr>
        <w:t>9.</w:t>
      </w:r>
      <w:r>
        <w:rPr>
          <w:rFonts w:hint="eastAsia" w:ascii="仿宋_GB2312" w:hAnsi="Times New Roman" w:eastAsia="仿宋_GB2312"/>
          <w:color w:val="auto"/>
          <w:sz w:val="32"/>
          <w:szCs w:val="32"/>
        </w:rPr>
        <w:t>一般公共服务（类）</w:t>
      </w:r>
      <w:r>
        <w:rPr>
          <w:rFonts w:hint="eastAsia" w:ascii="仿宋_GB2312" w:hAnsi="Times New Roman" w:eastAsia="仿宋_GB2312"/>
          <w:color w:val="auto"/>
          <w:sz w:val="32"/>
          <w:szCs w:val="32"/>
          <w:lang w:eastAsia="zh-CN"/>
        </w:rPr>
        <w:t>其他一般公共服务</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其他一般公共服务</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副县级领导干部绩效</w:t>
      </w:r>
      <w:r>
        <w:rPr>
          <w:rFonts w:hint="eastAsia" w:ascii="仿宋_GB2312" w:hAnsi="Times New Roman" w:eastAsia="仿宋_GB2312"/>
          <w:color w:val="auto"/>
          <w:sz w:val="32"/>
          <w:szCs w:val="32"/>
        </w:rPr>
        <w:t>。</w:t>
      </w:r>
    </w:p>
    <w:p w14:paraId="71C1CDCE">
      <w:pPr>
        <w:pStyle w:val="26"/>
        <w:spacing w:line="560" w:lineRule="exact"/>
        <w:ind w:firstLine="640" w:firstLineChars="200"/>
        <w:rPr>
          <w:rFonts w:hint="eastAsia" w:ascii="仿宋_GB2312" w:hAnsi="Times New Roman" w:eastAsia="仿宋_GB2312"/>
          <w:color w:val="auto"/>
          <w:sz w:val="32"/>
          <w:szCs w:val="32"/>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olor w:val="auto"/>
          <w:sz w:val="32"/>
          <w:szCs w:val="32"/>
        </w:rPr>
        <w:t>公共安全（类）</w:t>
      </w:r>
      <w:r>
        <w:rPr>
          <w:rFonts w:hint="eastAsia" w:ascii="仿宋_GB2312" w:hAnsi="Times New Roman" w:eastAsia="仿宋_GB2312"/>
          <w:color w:val="auto"/>
          <w:sz w:val="32"/>
          <w:szCs w:val="32"/>
          <w:lang w:eastAsia="zh-CN"/>
        </w:rPr>
        <w:t>检察</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行政运行</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公职人员基本工资、津贴补贴、公用经费等</w:t>
      </w:r>
      <w:r>
        <w:rPr>
          <w:rFonts w:hint="eastAsia" w:ascii="仿宋_GB2312" w:hAnsi="Times New Roman" w:eastAsia="仿宋_GB2312"/>
          <w:color w:val="auto"/>
          <w:sz w:val="32"/>
          <w:szCs w:val="32"/>
        </w:rPr>
        <w:t>。</w:t>
      </w:r>
    </w:p>
    <w:p w14:paraId="0783071E">
      <w:pPr>
        <w:pStyle w:val="26"/>
        <w:spacing w:line="560" w:lineRule="exact"/>
        <w:ind w:firstLine="640" w:firstLineChars="200"/>
        <w:rPr>
          <w:rFonts w:hint="eastAsia" w:ascii="仿宋_GB2312" w:hAnsi="Times New Roman" w:eastAsia="仿宋_GB2312"/>
          <w:color w:val="auto"/>
          <w:sz w:val="32"/>
          <w:szCs w:val="32"/>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w:t>
      </w:r>
      <w:r>
        <w:rPr>
          <w:rFonts w:hint="eastAsia" w:ascii="仿宋_GB2312" w:hAnsi="Times New Roman" w:eastAsia="仿宋_GB2312"/>
          <w:color w:val="auto"/>
          <w:sz w:val="32"/>
          <w:szCs w:val="32"/>
        </w:rPr>
        <w:t>公共安全（类）</w:t>
      </w:r>
      <w:r>
        <w:rPr>
          <w:rFonts w:hint="eastAsia" w:ascii="仿宋_GB2312" w:hAnsi="Times New Roman" w:eastAsia="仿宋_GB2312"/>
          <w:color w:val="auto"/>
          <w:sz w:val="32"/>
          <w:szCs w:val="32"/>
          <w:lang w:eastAsia="zh-CN"/>
        </w:rPr>
        <w:t>检察</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一般行政管理事务</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检察业务办案经费及设备经费</w:t>
      </w:r>
      <w:r>
        <w:rPr>
          <w:rFonts w:hint="eastAsia" w:ascii="仿宋_GB2312" w:hAnsi="Times New Roman" w:eastAsia="仿宋_GB2312"/>
          <w:color w:val="auto"/>
          <w:sz w:val="32"/>
          <w:szCs w:val="32"/>
        </w:rPr>
        <w:t>。</w:t>
      </w:r>
    </w:p>
    <w:p w14:paraId="5AE8653B">
      <w:pPr>
        <w:pStyle w:val="26"/>
        <w:spacing w:line="560" w:lineRule="exact"/>
        <w:ind w:firstLine="640" w:firstLineChars="200"/>
        <w:rPr>
          <w:rFonts w:hint="eastAsia" w:ascii="仿宋_GB2312" w:hAnsi="Times New Roman" w:eastAsia="仿宋_GB2312"/>
          <w:color w:val="auto"/>
          <w:sz w:val="32"/>
          <w:szCs w:val="32"/>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eastAsia" w:ascii="仿宋_GB2312" w:hAnsi="Times New Roman" w:eastAsia="仿宋_GB2312"/>
          <w:color w:val="auto"/>
          <w:sz w:val="32"/>
          <w:szCs w:val="32"/>
        </w:rPr>
        <w:t>社会保障和就业（类）</w:t>
      </w:r>
      <w:r>
        <w:rPr>
          <w:rFonts w:hint="eastAsia" w:ascii="仿宋_GB2312" w:hAnsi="Times New Roman" w:eastAsia="仿宋_GB2312"/>
          <w:color w:val="auto"/>
          <w:sz w:val="32"/>
          <w:szCs w:val="32"/>
          <w:lang w:eastAsia="zh-CN"/>
        </w:rPr>
        <w:t>行政事业单位离退休</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机关事业外单位基本养老保险缴费支出</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基本养老保险的支出</w:t>
      </w:r>
      <w:r>
        <w:rPr>
          <w:rFonts w:hint="eastAsia" w:ascii="仿宋_GB2312" w:hAnsi="Times New Roman" w:eastAsia="仿宋_GB2312"/>
          <w:color w:val="auto"/>
          <w:sz w:val="32"/>
          <w:szCs w:val="32"/>
        </w:rPr>
        <w:t>。</w:t>
      </w:r>
    </w:p>
    <w:p w14:paraId="7CB4F71B">
      <w:pPr>
        <w:pStyle w:val="26"/>
        <w:spacing w:line="560" w:lineRule="exact"/>
        <w:ind w:firstLine="640" w:firstLineChars="200"/>
        <w:rPr>
          <w:rFonts w:hint="eastAsia" w:ascii="仿宋_GB2312" w:hAnsi="Times New Roman" w:eastAsia="仿宋_GB2312"/>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w:t>
      </w:r>
      <w:r>
        <w:rPr>
          <w:rFonts w:hint="eastAsia" w:ascii="仿宋_GB2312" w:hAnsi="Times New Roman" w:eastAsia="仿宋_GB2312"/>
          <w:color w:val="auto"/>
          <w:sz w:val="32"/>
          <w:szCs w:val="32"/>
        </w:rPr>
        <w:t>社会保障和就业（类）</w:t>
      </w:r>
      <w:r>
        <w:rPr>
          <w:rFonts w:hint="eastAsia" w:ascii="仿宋_GB2312" w:hAnsi="Times New Roman" w:eastAsia="仿宋_GB2312"/>
          <w:color w:val="auto"/>
          <w:sz w:val="32"/>
          <w:szCs w:val="32"/>
          <w:lang w:eastAsia="zh-CN"/>
        </w:rPr>
        <w:t>行政事业单位离退休</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机关事业外单位职业年金缴费支出</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职业年金的缴费支出</w:t>
      </w:r>
      <w:r>
        <w:rPr>
          <w:rFonts w:hint="eastAsia" w:ascii="仿宋_GB2312" w:hAnsi="Times New Roman" w:eastAsia="仿宋_GB2312"/>
          <w:color w:val="auto"/>
          <w:sz w:val="32"/>
          <w:szCs w:val="32"/>
        </w:rPr>
        <w:t>。</w:t>
      </w:r>
    </w:p>
    <w:p w14:paraId="7F1CDBE5">
      <w:pPr>
        <w:pStyle w:val="26"/>
        <w:spacing w:line="560" w:lineRule="exact"/>
        <w:ind w:firstLine="640" w:firstLineChars="200"/>
        <w:rPr>
          <w:rFonts w:hint="eastAsia" w:ascii="仿宋_GB2312" w:hAnsi="Times New Roman" w:eastAsia="仿宋_GB2312"/>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w:t>
      </w:r>
      <w:r>
        <w:rPr>
          <w:rFonts w:hint="eastAsia" w:ascii="仿宋_GB2312" w:hAnsi="Times New Roman" w:eastAsia="仿宋_GB2312"/>
          <w:color w:val="auto"/>
          <w:sz w:val="32"/>
          <w:szCs w:val="32"/>
        </w:rPr>
        <w:t>医疗卫生与计划生育（类）</w:t>
      </w:r>
      <w:r>
        <w:rPr>
          <w:rFonts w:hint="eastAsia" w:ascii="仿宋_GB2312" w:hAnsi="Times New Roman" w:eastAsia="仿宋_GB2312"/>
          <w:color w:val="auto"/>
          <w:sz w:val="32"/>
          <w:szCs w:val="32"/>
          <w:lang w:eastAsia="zh-CN"/>
        </w:rPr>
        <w:t>行政事业单位医疗</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行政单位医疗</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单位缴费基本医疗保险支出</w:t>
      </w:r>
      <w:r>
        <w:rPr>
          <w:rFonts w:hint="eastAsia" w:ascii="仿宋_GB2312" w:hAnsi="Times New Roman" w:eastAsia="仿宋_GB2312"/>
          <w:color w:val="auto"/>
          <w:sz w:val="32"/>
          <w:szCs w:val="32"/>
        </w:rPr>
        <w:t>。</w:t>
      </w:r>
    </w:p>
    <w:p w14:paraId="2E5BAB87">
      <w:pPr>
        <w:pStyle w:val="26"/>
        <w:spacing w:line="560" w:lineRule="exact"/>
        <w:ind w:firstLine="640" w:firstLineChars="200"/>
        <w:rPr>
          <w:rFonts w:hint="eastAsia" w:ascii="仿宋_GB2312" w:hAnsi="Times New Roman" w:eastAsia="仿宋_GB2312"/>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w:t>
      </w:r>
      <w:r>
        <w:rPr>
          <w:rFonts w:hint="eastAsia" w:ascii="仿宋_GB2312" w:hAnsi="Times New Roman" w:eastAsia="仿宋_GB2312"/>
          <w:color w:val="auto"/>
          <w:sz w:val="32"/>
          <w:szCs w:val="32"/>
        </w:rPr>
        <w:t>医疗卫生与计划生育（类）</w:t>
      </w:r>
      <w:r>
        <w:rPr>
          <w:rFonts w:hint="eastAsia" w:ascii="仿宋_GB2312" w:hAnsi="Times New Roman" w:eastAsia="仿宋_GB2312"/>
          <w:color w:val="auto"/>
          <w:sz w:val="32"/>
          <w:szCs w:val="32"/>
          <w:lang w:eastAsia="zh-CN"/>
        </w:rPr>
        <w:t>行政事业单位医疗</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公务员医疗</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单位缴费公务员补充医疗保险支出</w:t>
      </w:r>
      <w:r>
        <w:rPr>
          <w:rFonts w:hint="eastAsia" w:ascii="仿宋_GB2312" w:hAnsi="Times New Roman" w:eastAsia="仿宋_GB2312"/>
          <w:color w:val="auto"/>
          <w:sz w:val="32"/>
          <w:szCs w:val="32"/>
        </w:rPr>
        <w:t>。</w:t>
      </w:r>
    </w:p>
    <w:p w14:paraId="7FA4C0A4">
      <w:pPr>
        <w:spacing w:line="600" w:lineRule="exact"/>
        <w:ind w:firstLine="640"/>
        <w:rPr>
          <w:rFonts w:hint="eastAsia" w:ascii="仿宋_GB2312" w:hAnsi="Times New Roman" w:eastAsia="仿宋_GB2312"/>
          <w:color w:val="auto"/>
          <w:sz w:val="32"/>
          <w:szCs w:val="32"/>
        </w:rPr>
      </w:pPr>
      <w:r>
        <w:rPr>
          <w:rFonts w:hint="eastAsia" w:eastAsia="仿宋_GB2312" w:cs="仿宋_GB2312"/>
          <w:color w:val="000000" w:themeColor="text1"/>
          <w:sz w:val="32"/>
          <w:szCs w:val="32"/>
          <w:lang w:val="en-US" w:eastAsia="zh-CN"/>
          <w14:textFill>
            <w14:solidFill>
              <w14:schemeClr w14:val="tx1"/>
            </w14:solidFill>
          </w14:textFill>
        </w:rPr>
        <w:t>16</w:t>
      </w:r>
      <w:r>
        <w:rPr>
          <w:rFonts w:hint="eastAsia" w:eastAsia="仿宋_GB2312" w:cs="仿宋_GB2312"/>
          <w:color w:val="000000" w:themeColor="text1"/>
          <w:sz w:val="32"/>
          <w:szCs w:val="32"/>
          <w14:textFill>
            <w14:solidFill>
              <w14:schemeClr w14:val="tx1"/>
            </w14:solidFill>
          </w14:textFill>
        </w:rPr>
        <w:t>.</w:t>
      </w:r>
      <w:r>
        <w:rPr>
          <w:rFonts w:hint="eastAsia" w:ascii="仿宋_GB2312" w:hAnsi="Times New Roman" w:eastAsia="仿宋_GB2312"/>
          <w:color w:val="auto"/>
          <w:sz w:val="32"/>
          <w:szCs w:val="32"/>
        </w:rPr>
        <w:t>住房保障（类）</w:t>
      </w:r>
      <w:r>
        <w:rPr>
          <w:rFonts w:hint="eastAsia" w:ascii="仿宋_GB2312" w:hAnsi="Times New Roman" w:eastAsia="仿宋_GB2312"/>
          <w:color w:val="auto"/>
          <w:sz w:val="32"/>
          <w:szCs w:val="32"/>
          <w:lang w:eastAsia="zh-CN"/>
        </w:rPr>
        <w:t>住房改革支出</w:t>
      </w:r>
      <w:r>
        <w:rPr>
          <w:rFonts w:hint="eastAsia" w:ascii="仿宋_GB2312" w:hAnsi="Times New Roman" w:eastAsia="仿宋_GB2312"/>
          <w:color w:val="auto"/>
          <w:sz w:val="32"/>
          <w:szCs w:val="32"/>
        </w:rPr>
        <w:t>（款）</w:t>
      </w:r>
      <w:r>
        <w:rPr>
          <w:rFonts w:hint="eastAsia" w:ascii="仿宋_GB2312" w:hAnsi="Times New Roman" w:eastAsia="仿宋_GB2312"/>
          <w:color w:val="auto"/>
          <w:sz w:val="32"/>
          <w:szCs w:val="32"/>
          <w:lang w:eastAsia="zh-CN"/>
        </w:rPr>
        <w:t>公积金</w:t>
      </w:r>
      <w:r>
        <w:rPr>
          <w:rFonts w:hint="eastAsia" w:ascii="仿宋_GB2312" w:hAnsi="Times New Roman" w:eastAsia="仿宋_GB2312"/>
          <w:color w:val="auto"/>
          <w:sz w:val="32"/>
          <w:szCs w:val="32"/>
        </w:rPr>
        <w:t>（项）：指</w:t>
      </w:r>
      <w:r>
        <w:rPr>
          <w:rFonts w:hint="eastAsia" w:ascii="仿宋_GB2312" w:hAnsi="Times New Roman" w:eastAsia="仿宋_GB2312"/>
          <w:color w:val="auto"/>
          <w:sz w:val="32"/>
          <w:szCs w:val="32"/>
          <w:lang w:eastAsia="zh-CN"/>
        </w:rPr>
        <w:t>单位缴纳公积金支出</w:t>
      </w:r>
      <w:r>
        <w:rPr>
          <w:rFonts w:hint="eastAsia" w:ascii="仿宋_GB2312" w:hAnsi="Times New Roman" w:eastAsia="仿宋_GB2312"/>
          <w:color w:val="auto"/>
          <w:sz w:val="32"/>
          <w:szCs w:val="32"/>
        </w:rPr>
        <w:t>。</w:t>
      </w:r>
    </w:p>
    <w:p w14:paraId="6A125824">
      <w:pPr>
        <w:spacing w:line="600" w:lineRule="exact"/>
        <w:ind w:firstLine="640"/>
        <w:rPr>
          <w:rFonts w:eastAsia="仿宋_GB2312" w:cs="仿宋_GB2312"/>
          <w:sz w:val="32"/>
          <w:szCs w:val="32"/>
        </w:rPr>
      </w:pPr>
      <w:r>
        <w:rPr>
          <w:rFonts w:hint="eastAsia" w:eastAsia="仿宋_GB2312" w:cs="仿宋_GB2312"/>
          <w:sz w:val="32"/>
          <w:szCs w:val="32"/>
          <w:lang w:val="en-US" w:eastAsia="zh-CN"/>
        </w:rPr>
        <w:t>1</w:t>
      </w:r>
      <w:r>
        <w:rPr>
          <w:rFonts w:hint="eastAsia" w:eastAsia="仿宋_GB2312" w:cs="仿宋_GB2312"/>
          <w:sz w:val="32"/>
          <w:szCs w:val="32"/>
        </w:rPr>
        <w:t>7.基本支出：指为保障机构正常运转、完成日常工作任务而发生的人员支出和公用支出。</w:t>
      </w:r>
    </w:p>
    <w:p w14:paraId="3B1017AC">
      <w:pPr>
        <w:spacing w:line="600" w:lineRule="exact"/>
        <w:ind w:firstLine="640"/>
        <w:rPr>
          <w:rFonts w:eastAsia="仿宋_GB2312" w:cs="仿宋_GB2312"/>
          <w:sz w:val="32"/>
          <w:szCs w:val="32"/>
        </w:rPr>
      </w:pPr>
      <w:r>
        <w:rPr>
          <w:rFonts w:hint="eastAsia" w:eastAsia="仿宋_GB2312" w:cs="仿宋_GB2312"/>
          <w:sz w:val="32"/>
          <w:szCs w:val="32"/>
          <w:lang w:val="en-US" w:eastAsia="zh-CN"/>
        </w:rPr>
        <w:t>1</w:t>
      </w:r>
      <w:r>
        <w:rPr>
          <w:rFonts w:hint="eastAsia" w:eastAsia="仿宋_GB2312" w:cs="仿宋_GB2312"/>
          <w:sz w:val="32"/>
          <w:szCs w:val="32"/>
        </w:rPr>
        <w:t xml:space="preserve">8.项目支出：指在基本支出之外为完成特定行政任务和事业发展目标所发生的支出。 </w:t>
      </w:r>
    </w:p>
    <w:p w14:paraId="7096F071">
      <w:pPr>
        <w:spacing w:line="600" w:lineRule="exact"/>
        <w:ind w:firstLine="640"/>
        <w:rPr>
          <w:rFonts w:eastAsia="仿宋_GB2312" w:cs="仿宋_GB2312"/>
          <w:sz w:val="32"/>
          <w:szCs w:val="32"/>
        </w:rPr>
      </w:pPr>
      <w:r>
        <w:rPr>
          <w:rFonts w:hint="eastAsia" w:eastAsia="仿宋_GB2312" w:cs="仿宋_GB2312"/>
          <w:sz w:val="32"/>
          <w:szCs w:val="32"/>
          <w:lang w:val="en-US" w:eastAsia="zh-CN"/>
        </w:rPr>
        <w:t>1</w:t>
      </w:r>
      <w:r>
        <w:rPr>
          <w:rFonts w:hint="eastAsia" w:eastAsia="仿宋_GB2312" w:cs="仿宋_GB2312"/>
          <w:sz w:val="32"/>
          <w:szCs w:val="32"/>
        </w:rPr>
        <w:t>9.经营支出：指事业单位在专业业务活动及其辅助活动之外开展非独立核算经营活动发生的支出。</w:t>
      </w:r>
    </w:p>
    <w:p w14:paraId="004A03BC">
      <w:pPr>
        <w:spacing w:line="600" w:lineRule="exact"/>
        <w:ind w:firstLine="640"/>
        <w:rPr>
          <w:rFonts w:eastAsia="仿宋_GB2312" w:cs="仿宋_GB2312"/>
          <w:sz w:val="32"/>
          <w:szCs w:val="32"/>
        </w:rPr>
      </w:pPr>
      <w:r>
        <w:rPr>
          <w:rFonts w:hint="eastAsia" w:eastAsia="仿宋_GB2312" w:cs="仿宋_GB2312"/>
          <w:sz w:val="32"/>
          <w:szCs w:val="32"/>
          <w:lang w:val="en-US" w:eastAsia="zh-CN"/>
        </w:rPr>
        <w:t>2</w:t>
      </w:r>
      <w:r>
        <w:rPr>
          <w:rFonts w:hint="eastAsia" w:eastAsia="仿宋_GB2312" w:cs="仿宋_GB2312"/>
          <w:sz w:val="32"/>
          <w:szCs w:val="32"/>
        </w:rPr>
        <w:t>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13413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sz w:val="32"/>
          <w:szCs w:val="32"/>
          <w:lang w:val="en-US" w:eastAsia="zh-CN"/>
        </w:rPr>
        <w:t>2</w:t>
      </w:r>
      <w:r>
        <w:rPr>
          <w:rFonts w:hint="eastAsia" w:eastAsia="仿宋_GB2312" w:cs="仿宋_GB2312"/>
          <w:sz w:val="32"/>
          <w:szCs w:val="32"/>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D07BE49">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10C4E6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71B8BE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59F6C16">
      <w:pPr>
        <w:spacing w:line="600" w:lineRule="exact"/>
        <w:jc w:val="center"/>
        <w:outlineLvl w:val="0"/>
        <w:rPr>
          <w:rFonts w:hint="eastAsia" w:ascii="黑体" w:hAnsi="黑体" w:eastAsia="黑体" w:cs="黑体"/>
          <w:b/>
          <w:sz w:val="44"/>
          <w:szCs w:val="44"/>
        </w:rPr>
      </w:pPr>
      <w:bookmarkStart w:id="53" w:name="_Hlk110546638"/>
      <w:r>
        <w:rPr>
          <w:rFonts w:hint="eastAsia" w:ascii="黑体" w:hAnsi="黑体" w:eastAsia="黑体" w:cs="黑体"/>
          <w:b/>
          <w:sz w:val="44"/>
          <w:szCs w:val="44"/>
        </w:rPr>
        <w:t>黑水县人民检察院</w:t>
      </w:r>
    </w:p>
    <w:p w14:paraId="257096AD">
      <w:pPr>
        <w:pStyle w:val="4"/>
        <w:jc w:val="center"/>
      </w:pPr>
      <w:r>
        <w:rPr>
          <w:rFonts w:hint="eastAsia" w:ascii="黑体" w:hAnsi="黑体" w:eastAsia="黑体" w:cs="黑体"/>
          <w:szCs w:val="44"/>
        </w:rPr>
        <w:t>2025年部门整体支出绩效评价报告</w:t>
      </w:r>
    </w:p>
    <w:p w14:paraId="4F23A4A0">
      <w:pPr>
        <w:spacing w:line="580" w:lineRule="exact"/>
        <w:ind w:firstLine="643" w:firstLineChars="200"/>
        <w:rPr>
          <w:rFonts w:ascii="仿宋_GB2312" w:eastAsia="仿宋_GB2312" w:cs="黑体"/>
          <w:b/>
          <w:sz w:val="32"/>
          <w:szCs w:val="32"/>
        </w:rPr>
      </w:pPr>
    </w:p>
    <w:p w14:paraId="46903760">
      <w:pPr>
        <w:spacing w:line="580" w:lineRule="exact"/>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一、部门（单位）概况</w:t>
      </w:r>
    </w:p>
    <w:p w14:paraId="3982F609">
      <w:pPr>
        <w:widowControl/>
        <w:adjustRightInd w:val="0"/>
        <w:snapToGrid w:val="0"/>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（一）机构组成。检察院为州本级一级预算单位，内设办公室、政治部、第一检察部、第二检察部、第三检察部。</w:t>
      </w:r>
    </w:p>
    <w:p w14:paraId="171D7CEA">
      <w:pPr>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构职能。人民检察院是国家的法律监督机关，依法行使下列职权：1.对于叛国案、分裂国家案以及严重破坏国家的政策、法律、政令统—实施的重大犯罪案件，行使检察权。2.对于直接受理的国家工作人员利用职权实施的犯罪案件，进行侦查。3.对于公安机关、国家安全机关等侦查机关侦查的案件进行审查，决定是否逮捕、起诉或者不起诉。并对侦查机关的侦查活动是否合法实行监督。4.对于刑事案件提起公诉，支持公诉；对于人民法院的刑事判决、裁定是否正确和审判活动是否合法实行监督。5.对于监狱、看守所等执行机关执行刑罚的活动是否合法实行监督。6.对于人民法院的民事审判活动实行法律监督，对人民法院已经发生效力的判决、裁定，发现违反法律、法规规定的，依法提出抗诉。7.对于行政诉讼实行法律监督。对人民法院已经发生效力的判决、裁定，发现违反法律、法规规定的，依法提出抗诉。</w:t>
      </w:r>
    </w:p>
    <w:p w14:paraId="749D713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（三）人员概况。</w:t>
      </w:r>
      <w:r>
        <w:rPr>
          <w:rFonts w:hint="eastAsia" w:ascii="仿宋_GB2312" w:hAnsi="仿宋_GB2312" w:eastAsia="仿宋_GB2312" w:cs="仿宋_GB2312"/>
          <w:color w:val="000000"/>
          <w:kern w:val="0"/>
          <w:sz w:val="32"/>
          <w:szCs w:val="32"/>
        </w:rPr>
        <w:t>总编制22名，其中：政法专项编制</w:t>
      </w:r>
      <w:r>
        <w:rPr>
          <w:rFonts w:hint="eastAsia" w:ascii="仿宋_GB2312" w:hAnsi="仿宋_GB2312" w:eastAsia="仿宋_GB2312" w:cs="仿宋_GB2312"/>
          <w:color w:val="000000"/>
          <w:kern w:val="0"/>
          <w:sz w:val="32"/>
          <w:szCs w:val="32"/>
          <w:u w:val="single"/>
        </w:rPr>
        <w:t>19</w:t>
      </w:r>
      <w:r>
        <w:rPr>
          <w:rFonts w:hint="eastAsia" w:ascii="仿宋_GB2312" w:hAnsi="仿宋_GB2312" w:eastAsia="仿宋_GB2312" w:cs="仿宋_GB2312"/>
          <w:color w:val="000000"/>
          <w:kern w:val="0"/>
          <w:sz w:val="32"/>
          <w:szCs w:val="32"/>
        </w:rPr>
        <w:t>名，行政工勤编制</w:t>
      </w:r>
      <w:r>
        <w:rPr>
          <w:rFonts w:hint="eastAsia" w:ascii="仿宋_GB2312" w:hAnsi="仿宋_GB2312" w:eastAsia="仿宋_GB2312" w:cs="仿宋_GB2312"/>
          <w:color w:val="000000"/>
          <w:kern w:val="0"/>
          <w:sz w:val="32"/>
          <w:szCs w:val="32"/>
          <w:u w:val="single"/>
        </w:rPr>
        <w:t>3</w:t>
      </w:r>
      <w:r>
        <w:rPr>
          <w:rFonts w:hint="eastAsia" w:ascii="仿宋_GB2312" w:hAnsi="仿宋_GB2312" w:eastAsia="仿宋_GB2312" w:cs="仿宋_GB2312"/>
          <w:color w:val="000000"/>
          <w:kern w:val="0"/>
          <w:sz w:val="32"/>
          <w:szCs w:val="32"/>
        </w:rPr>
        <w:t>名。在职人员总数</w:t>
      </w:r>
      <w:r>
        <w:rPr>
          <w:rFonts w:hint="eastAsia" w:ascii="仿宋_GB2312" w:hAnsi="仿宋_GB2312" w:eastAsia="仿宋_GB2312" w:cs="仿宋_GB2312"/>
          <w:color w:val="000000"/>
          <w:kern w:val="0"/>
          <w:sz w:val="32"/>
          <w:szCs w:val="32"/>
          <w:u w:val="single"/>
        </w:rPr>
        <w:t xml:space="preserve"> 22</w:t>
      </w:r>
      <w:r>
        <w:rPr>
          <w:rFonts w:hint="eastAsia" w:ascii="仿宋_GB2312" w:hAnsi="仿宋_GB2312" w:eastAsia="仿宋_GB2312" w:cs="仿宋_GB2312"/>
          <w:color w:val="000000"/>
          <w:kern w:val="0"/>
          <w:sz w:val="32"/>
          <w:szCs w:val="32"/>
        </w:rPr>
        <w:t>名，</w:t>
      </w:r>
      <w:r>
        <w:rPr>
          <w:rFonts w:hint="eastAsia" w:ascii="仿宋_GB2312" w:hAnsi="仿宋_GB2312" w:eastAsia="仿宋_GB2312" w:cs="仿宋_GB2312"/>
          <w:kern w:val="1"/>
          <w:sz w:val="32"/>
          <w:szCs w:val="32"/>
        </w:rPr>
        <w:t>2025年年末在职实有人数为22人：其中行政人员19人，工勤人员3人，</w:t>
      </w:r>
      <w:r>
        <w:rPr>
          <w:rFonts w:hint="eastAsia" w:ascii="仿宋_GB2312" w:hAnsi="仿宋_GB2312" w:eastAsia="仿宋_GB2312" w:cs="仿宋_GB2312"/>
          <w:color w:val="000000"/>
          <w:kern w:val="0"/>
          <w:sz w:val="32"/>
          <w:szCs w:val="32"/>
        </w:rPr>
        <w:t>其中：在职政法干警</w:t>
      </w:r>
      <w:r>
        <w:rPr>
          <w:rFonts w:hint="eastAsia" w:ascii="仿宋_GB2312" w:hAnsi="仿宋_GB2312" w:eastAsia="仿宋_GB2312" w:cs="仿宋_GB2312"/>
          <w:color w:val="000000"/>
          <w:kern w:val="0"/>
          <w:sz w:val="32"/>
          <w:szCs w:val="32"/>
          <w:u w:val="single"/>
        </w:rPr>
        <w:t>19</w:t>
      </w:r>
      <w:r>
        <w:rPr>
          <w:rFonts w:hint="eastAsia" w:ascii="仿宋_GB2312" w:hAnsi="仿宋_GB2312" w:eastAsia="仿宋_GB2312" w:cs="仿宋_GB2312"/>
          <w:color w:val="000000"/>
          <w:kern w:val="0"/>
          <w:sz w:val="32"/>
          <w:szCs w:val="32"/>
        </w:rPr>
        <w:t>名，行政工勤</w:t>
      </w:r>
      <w:r>
        <w:rPr>
          <w:rFonts w:hint="eastAsia" w:ascii="仿宋_GB2312" w:hAnsi="仿宋_GB2312" w:eastAsia="仿宋_GB2312" w:cs="仿宋_GB2312"/>
          <w:color w:val="000000"/>
          <w:kern w:val="0"/>
          <w:sz w:val="32"/>
          <w:szCs w:val="32"/>
          <w:u w:val="single"/>
        </w:rPr>
        <w:t>3</w:t>
      </w:r>
      <w:r>
        <w:rPr>
          <w:rFonts w:hint="eastAsia" w:ascii="仿宋_GB2312" w:hAnsi="仿宋_GB2312" w:eastAsia="仿宋_GB2312" w:cs="仿宋_GB2312"/>
          <w:color w:val="000000"/>
          <w:kern w:val="0"/>
          <w:sz w:val="32"/>
          <w:szCs w:val="32"/>
        </w:rPr>
        <w:t>名，</w:t>
      </w:r>
      <w:r>
        <w:rPr>
          <w:rFonts w:hint="eastAsia" w:ascii="仿宋_GB2312" w:hAnsi="仿宋_GB2312" w:eastAsia="仿宋_GB2312" w:cs="仿宋_GB2312"/>
          <w:kern w:val="1"/>
          <w:sz w:val="32"/>
          <w:szCs w:val="32"/>
        </w:rPr>
        <w:t>离休人员1人，退休人员18人，抚养人员2人。书记员9人，临聘3人。</w:t>
      </w:r>
    </w:p>
    <w:p w14:paraId="78278D47">
      <w:pPr>
        <w:spacing w:line="580" w:lineRule="exact"/>
        <w:ind w:firstLine="72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6"/>
          <w:szCs w:val="36"/>
        </w:rPr>
        <w:t>二、部门财政资金收支情况</w:t>
      </w:r>
    </w:p>
    <w:p w14:paraId="67DC3CF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（一）部门财政资金收入情况。</w:t>
      </w:r>
      <w:r>
        <w:rPr>
          <w:rFonts w:hint="eastAsia" w:ascii="仿宋_GB2312" w:hAnsi="仿宋_GB2312" w:eastAsia="仿宋_GB2312" w:cs="仿宋_GB2312"/>
          <w:kern w:val="1"/>
          <w:sz w:val="32"/>
          <w:szCs w:val="32"/>
        </w:rPr>
        <w:t>2025年部门财政资金总收入694.48万元。</w:t>
      </w:r>
      <w:r>
        <w:rPr>
          <w:rFonts w:hint="eastAsia" w:ascii="仿宋_GB2312" w:hAnsi="仿宋_GB2312" w:eastAsia="仿宋_GB2312" w:cs="仿宋_GB2312"/>
          <w:sz w:val="32"/>
          <w:szCs w:val="32"/>
        </w:rPr>
        <w:t>其中：行政经费416.60万元，一般行政管理事务118.89万元，机关事业单位基本养老保险缴费支出46.92万元，机关事业单位职业年金缴费支出26.02万元，行政单位医疗30.87万元，公务员医疗补助6.62万元，住房公积金48.56万元。</w:t>
      </w:r>
    </w:p>
    <w:p w14:paraId="201EF1B1">
      <w:pPr>
        <w:spacing w:line="580" w:lineRule="exact"/>
        <w:ind w:firstLine="640" w:firstLineChars="200"/>
        <w:rPr>
          <w:rFonts w:hint="eastAsia" w:ascii="仿宋_GB2312" w:hAnsi="仿宋_GB2312" w:eastAsia="仿宋_GB2312" w:cs="仿宋_GB2312"/>
          <w:kern w:val="1"/>
          <w:sz w:val="32"/>
          <w:szCs w:val="32"/>
        </w:rPr>
      </w:pPr>
      <w:r>
        <w:rPr>
          <w:rFonts w:hint="eastAsia" w:ascii="仿宋_GB2312" w:hAnsi="仿宋_GB2312" w:eastAsia="仿宋_GB2312" w:cs="仿宋_GB2312"/>
          <w:sz w:val="32"/>
          <w:szCs w:val="32"/>
        </w:rPr>
        <w:t>（二）部门财政资金支出情况。</w:t>
      </w:r>
      <w:r>
        <w:rPr>
          <w:rFonts w:hint="eastAsia" w:ascii="仿宋_GB2312" w:hAnsi="仿宋_GB2312" w:eastAsia="仿宋_GB2312" w:cs="仿宋_GB2312"/>
          <w:kern w:val="1"/>
          <w:sz w:val="32"/>
          <w:szCs w:val="32"/>
        </w:rPr>
        <w:t>2025年总支出694.48万元，其中基本支出为575.59万元，项目支出为118.89万元。</w:t>
      </w:r>
    </w:p>
    <w:p w14:paraId="1E58AFDE">
      <w:pPr>
        <w:spacing w:line="580" w:lineRule="exact"/>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rPr>
        <w:t>三、部门整体预算绩效管理情况</w:t>
      </w:r>
    </w:p>
    <w:p w14:paraId="53C1C385">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（一）部门预算管理。</w:t>
      </w:r>
    </w:p>
    <w:p w14:paraId="29C744D7">
      <w:pPr>
        <w:spacing w:line="360" w:lineRule="auto"/>
        <w:ind w:firstLine="645"/>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按支出功能分类主要用于以下方面:</w:t>
      </w:r>
    </w:p>
    <w:p w14:paraId="33D84D45">
      <w:pPr>
        <w:spacing w:line="360" w:lineRule="auto"/>
        <w:ind w:firstLine="645"/>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1.行政运行：主要是用于保障县检察机关正常运转的日常支出，包括基本工资、津贴补贴、检察院绩效考核等人员经费，以及办公费、印刷费、水电费、邮电费、办公设备购置、公务接待、公务用车购置和运行维护费等日常公用经费。</w:t>
      </w:r>
    </w:p>
    <w:p w14:paraId="04700661">
      <w:pPr>
        <w:spacing w:line="360" w:lineRule="auto"/>
        <w:ind w:firstLine="645"/>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2.一般行政管理事务：主要用于省、州、县办案人员的开支，及办案设备的购置更新。</w:t>
      </w:r>
    </w:p>
    <w:p w14:paraId="6DDE7E4A">
      <w:pPr>
        <w:spacing w:line="360" w:lineRule="auto"/>
        <w:ind w:firstLine="645"/>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3.医疗保障：主要用于按照规定标准为职工缴纳的基本医疗保险及公务员医疗补助等支出。</w:t>
      </w:r>
    </w:p>
    <w:p w14:paraId="1D422640">
      <w:pPr>
        <w:spacing w:line="360" w:lineRule="auto"/>
        <w:ind w:firstLine="645"/>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4.住房保障支出：用于机关单位按照规定标准为职工缴纳住房公积金等支出。</w:t>
      </w:r>
    </w:p>
    <w:p w14:paraId="3DC070AD">
      <w:pPr>
        <w:spacing w:line="360" w:lineRule="auto"/>
        <w:ind w:firstLine="645"/>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5.养老保险支出：用于机关单位按照规定为职工缴纳的机关养老保险缴费支出。</w:t>
      </w:r>
    </w:p>
    <w:p w14:paraId="6221BE03">
      <w:pPr>
        <w:spacing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6.职业年金支出：用于机关单位按照规定为职工缴纳的机关职业年金缴费支出。</w:t>
      </w:r>
    </w:p>
    <w:p w14:paraId="5DBF890F">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（二）专项预算管理。</w:t>
      </w:r>
    </w:p>
    <w:p w14:paraId="4283BA69">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中央政法纪检监察转移支付资金118.89万元。办案经费118.89万元，装备经费0万元。</w:t>
      </w:r>
    </w:p>
    <w:p w14:paraId="3A5976DD">
      <w:pPr>
        <w:spacing w:line="360" w:lineRule="auto"/>
        <w:ind w:firstLine="723" w:firstLineChars="200"/>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四</w:t>
      </w:r>
      <w:r>
        <w:rPr>
          <w:rFonts w:hint="eastAsia" w:ascii="仿宋_GB2312" w:hAnsi="仿宋_GB2312" w:eastAsia="仿宋_GB2312" w:cs="仿宋_GB2312"/>
          <w:b/>
          <w:bCs/>
          <w:sz w:val="36"/>
          <w:szCs w:val="36"/>
        </w:rPr>
        <w:t>、</w:t>
      </w:r>
      <w:r>
        <w:rPr>
          <w:rFonts w:hint="eastAsia" w:ascii="仿宋_GB2312" w:hAnsi="仿宋_GB2312" w:eastAsia="仿宋_GB2312" w:cs="仿宋_GB2312"/>
          <w:b/>
          <w:bCs/>
          <w:sz w:val="36"/>
          <w:szCs w:val="36"/>
          <w:lang w:eastAsia="zh-CN"/>
        </w:rPr>
        <w:t>预算</w:t>
      </w:r>
      <w:r>
        <w:rPr>
          <w:rFonts w:hint="eastAsia" w:ascii="仿宋_GB2312" w:hAnsi="仿宋_GB2312" w:eastAsia="仿宋_GB2312" w:cs="仿宋_GB2312"/>
          <w:b/>
          <w:bCs/>
          <w:sz w:val="36"/>
          <w:szCs w:val="36"/>
        </w:rPr>
        <w:t>绩效</w:t>
      </w:r>
      <w:r>
        <w:rPr>
          <w:rFonts w:hint="eastAsia" w:ascii="仿宋_GB2312" w:hAnsi="仿宋_GB2312" w:eastAsia="仿宋_GB2312" w:cs="仿宋_GB2312"/>
          <w:b/>
          <w:bCs/>
          <w:sz w:val="36"/>
          <w:szCs w:val="36"/>
          <w:lang w:eastAsia="zh-CN"/>
        </w:rPr>
        <w:t>分析</w:t>
      </w:r>
    </w:p>
    <w:p w14:paraId="231AAA75">
      <w:pPr>
        <w:spacing w:line="360"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（一）部门预算总体绩效分析。</w:t>
      </w:r>
    </w:p>
    <w:p w14:paraId="2C4330B7">
      <w:pPr>
        <w:spacing w:line="360" w:lineRule="auto"/>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履职效能。</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zh-CN" w:eastAsia="zh-CN"/>
        </w:rPr>
        <w:t>分，自评得分</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zh-CN" w:eastAsia="zh-CN"/>
        </w:rPr>
        <w:t>分。</w:t>
      </w:r>
    </w:p>
    <w:p w14:paraId="1B8FB4B8">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1.数量指标得5分，我院2025年案件办理数量及结案数量均达标。</w:t>
      </w:r>
    </w:p>
    <w:p w14:paraId="6484D89D">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2.满意度指标得5分，2025年我院满意度设定指标大于等于95%，通过年底问卷调查我院满意度为100%，该指标得分5分。</w:t>
      </w:r>
    </w:p>
    <w:p w14:paraId="74A723C9">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3.社会成本指标得5分，2025年我院财政资金均足额到位，资金到位率为100%，该指标得分5分。     </w:t>
      </w:r>
    </w:p>
    <w:p w14:paraId="7400A033">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（2）预算管理。</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自评得分17.81分。</w:t>
      </w:r>
    </w:p>
    <w:p w14:paraId="21027F64">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1.预算编制质量指标分值8分，自评得分8分。</w:t>
      </w:r>
    </w:p>
    <w:p w14:paraId="2060C7C0">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2.支出执行进度指标值6分，自评得分3.41分。</w:t>
      </w:r>
    </w:p>
    <w:p w14:paraId="080B67F4">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3.预算年终结余指标分值2分，自评得分1.9分。</w:t>
      </w:r>
    </w:p>
    <w:p w14:paraId="34DAF25E">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4.严控一般性支出指分值5分，自评得分4.5分。</w:t>
      </w:r>
    </w:p>
    <w:p w14:paraId="5CC0AF7E">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（3）财务管理。</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自评得分10分。</w:t>
      </w:r>
      <w:r>
        <w:rPr>
          <w:rFonts w:hint="eastAsia" w:ascii="仿宋_GB2312" w:hAnsi="仿宋_GB2312" w:eastAsia="仿宋_GB2312" w:cs="仿宋_GB2312"/>
          <w:sz w:val="32"/>
          <w:szCs w:val="32"/>
          <w:lang w:val="zh-CN" w:eastAsia="zh-CN"/>
        </w:rPr>
        <w:t>我院制定了经费管理办法指导日常经费规范支出，按照不相容岗位相分离的原则，设置财务负责人、资产管理人、会计、出纳等岗位，并规范相应工作职责。资金使用中按照预算进行安排，不存在虚列支出、超范围超标准使用经费等情况。</w:t>
      </w:r>
    </w:p>
    <w:p w14:paraId="5F12EA9B">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（4）资产管理。</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自评得分5.4分。部门人均资产增长率为-12.89%，同期省直行政事业单位人均资产变化率为-3.49%，-12.89%≤-3.49%，得0.9分；同期省级财政收入增长率为17.1%。-12.89%＜0，得0.9分。；本单位两年均无闲置资产得3分。</w:t>
      </w:r>
    </w:p>
    <w:p w14:paraId="6D7AC620">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（5）采购管理。</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自评得分6分。我院2025大力支持中小企业发展，在采购预算中单独列示，且支付金额于预算数相等，无扣分。</w:t>
      </w:r>
    </w:p>
    <w:p w14:paraId="105333DD">
      <w:pPr>
        <w:spacing w:line="360" w:lineRule="auto"/>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（二）部门预算项目绩效分析。</w:t>
      </w:r>
    </w:p>
    <w:p w14:paraId="31189366">
      <w:p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（1）项目决策。</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12分。2025年度我院转移支付资金等项目按照资金使用用途即预期实现目标，在财政资金安排前进行绩效目标设置并按期完成项目入库工作。转移支付资金项目是根据目标设定资金到位率、资金支付率、装备购置数量、装备购置验收合格率等三级指标，通过项目年度实施自评，项目达到预期效果。</w:t>
      </w:r>
    </w:p>
    <w:p w14:paraId="38162E4B">
      <w:pPr>
        <w:spacing w:line="360" w:lineRule="auto"/>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（2）项目执行。“</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自评得分12分。</w:t>
      </w:r>
      <w:r>
        <w:rPr>
          <w:rFonts w:hint="eastAsia" w:ascii="仿宋_GB2312" w:hAnsi="仿宋_GB2312" w:eastAsia="仿宋_GB2312" w:cs="仿宋_GB2312"/>
          <w:sz w:val="32"/>
          <w:szCs w:val="32"/>
          <w:lang w:val="zh-CN" w:eastAsia="zh-CN"/>
        </w:rPr>
        <w:t>各项目在实施过程中资金到位率和支付均均满足设定目标，在实施过程中经费不足，及时作出调整向财政申请资金追加，最终顺利完成全年预期目标。各项目实施后其设定的社会效益指标和满意度指标均达预期，项目执行达预期目标。</w:t>
      </w:r>
    </w:p>
    <w:p w14:paraId="4429877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目标实现。</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目标制定”自评质量标总分</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val="zh-CN" w:eastAsia="zh-CN"/>
        </w:rPr>
        <w:t>分，</w:t>
      </w:r>
      <w:r>
        <w:rPr>
          <w:rFonts w:hint="eastAsia" w:ascii="仿宋_GB2312" w:hAnsi="仿宋_GB2312" w:eastAsia="仿宋_GB2312" w:cs="仿宋_GB2312"/>
          <w:sz w:val="32"/>
          <w:szCs w:val="32"/>
          <w:lang w:val="en-US" w:eastAsia="zh-CN"/>
        </w:rPr>
        <w:t>自评得分11分。</w:t>
      </w:r>
      <w:r>
        <w:rPr>
          <w:rFonts w:hint="eastAsia" w:ascii="仿宋_GB2312" w:hAnsi="仿宋_GB2312" w:eastAsia="仿宋_GB2312" w:cs="仿宋_GB2312"/>
          <w:sz w:val="32"/>
          <w:szCs w:val="32"/>
          <w:lang w:val="zh-CN" w:eastAsia="zh-CN"/>
        </w:rPr>
        <w:t>所有项目均顺利完成年初设定目标，未出现目标偏离情况，项目实施有效缓解当事人困难、提升检察干警工作积极性、保障检察设施设备提到提升，维护了社会和谐稳定，提升了社会满意度</w:t>
      </w:r>
    </w:p>
    <w:p w14:paraId="02A04809">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（三）结果应用情况。</w:t>
      </w:r>
    </w:p>
    <w:p w14:paraId="0537289B">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我院决算执行情况合理，在预算范围内执行，将预算实际高效的运用于单位运行情况，不超支，不滞后，着力提升工作实效，圆满完成年度目标任务。</w:t>
      </w:r>
    </w:p>
    <w:p w14:paraId="1821AC45">
      <w:pPr>
        <w:spacing w:line="580" w:lineRule="exact"/>
        <w:ind w:firstLine="723" w:firstLineChars="200"/>
        <w:rPr>
          <w:rFonts w:hint="eastAsia" w:ascii="仿宋_GB2312" w:hAnsi="仿宋_GB2312" w:eastAsia="仿宋_GB2312" w:cs="仿宋_GB2312"/>
          <w:sz w:val="36"/>
          <w:szCs w:val="36"/>
        </w:rPr>
      </w:pPr>
      <w:r>
        <w:rPr>
          <w:rFonts w:hint="eastAsia" w:ascii="仿宋_GB2312" w:hAnsi="仿宋_GB2312" w:eastAsia="仿宋_GB2312" w:cs="仿宋_GB2312"/>
          <w:b/>
          <w:bCs/>
          <w:sz w:val="36"/>
          <w:szCs w:val="36"/>
          <w:lang w:eastAsia="zh-CN"/>
        </w:rPr>
        <w:t>五</w:t>
      </w:r>
      <w:r>
        <w:rPr>
          <w:rFonts w:hint="eastAsia" w:ascii="仿宋_GB2312" w:hAnsi="仿宋_GB2312" w:eastAsia="仿宋_GB2312" w:cs="仿宋_GB2312"/>
          <w:b/>
          <w:bCs/>
          <w:sz w:val="36"/>
          <w:szCs w:val="36"/>
        </w:rPr>
        <w:t>、评价结论及建议</w:t>
      </w:r>
    </w:p>
    <w:p w14:paraId="733169D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（一）评价结论。</w:t>
      </w:r>
      <w:r>
        <w:rPr>
          <w:rFonts w:hint="eastAsia" w:ascii="仿宋_GB2312" w:hAnsi="仿宋_GB2312" w:eastAsia="仿宋_GB2312" w:cs="仿宋_GB2312"/>
          <w:kern w:val="1"/>
          <w:sz w:val="32"/>
          <w:szCs w:val="32"/>
        </w:rPr>
        <w:t>在财政资金整体支出中，县检察院非常重视预算执行工作，能够按照国家的法律法规加强预算管理，不断完善内控制度，认真地完成了2025年的部门预算编制工作，取得了较好的预算执行效果。</w:t>
      </w:r>
      <w:r>
        <w:rPr>
          <w:rFonts w:hint="eastAsia" w:ascii="仿宋_GB2312" w:hAnsi="仿宋_GB2312" w:eastAsia="仿宋_GB2312" w:cs="仿宋_GB2312"/>
          <w:color w:val="000000"/>
          <w:kern w:val="0"/>
          <w:sz w:val="32"/>
          <w:szCs w:val="32"/>
          <w:highlight w:val="none"/>
          <w:shd w:val="clear" w:color="auto" w:fill="FFFFFF"/>
          <w:lang w:val="en-US" w:eastAsia="zh-CN" w:bidi="ar-SA"/>
        </w:rPr>
        <w:t>预算绩效自评得分89.21分</w:t>
      </w:r>
    </w:p>
    <w:p w14:paraId="0691357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（二）存在问题。</w:t>
      </w:r>
      <w:r>
        <w:rPr>
          <w:rFonts w:hint="eastAsia" w:ascii="仿宋_GB2312" w:hAnsi="仿宋_GB2312" w:eastAsia="仿宋_GB2312" w:cs="仿宋_GB2312"/>
          <w:kern w:val="1"/>
          <w:sz w:val="32"/>
          <w:szCs w:val="32"/>
        </w:rPr>
        <w:t>进一步规范会计行为。加强财务人员业务知识的提升，及时做好月度和年度会计处理</w:t>
      </w:r>
      <w:r>
        <w:rPr>
          <w:rFonts w:hint="eastAsia" w:ascii="仿宋_GB2312" w:hAnsi="仿宋_GB2312" w:eastAsia="仿宋_GB2312" w:cs="仿宋_GB2312"/>
          <w:kern w:val="1"/>
          <w:sz w:val="32"/>
          <w:szCs w:val="32"/>
          <w:lang w:eastAsia="zh-CN"/>
        </w:rPr>
        <w:t>，</w:t>
      </w:r>
      <w:r>
        <w:rPr>
          <w:rFonts w:hint="eastAsia" w:ascii="仿宋_GB2312" w:hAnsi="仿宋_GB2312" w:eastAsia="仿宋_GB2312" w:cs="仿宋_GB2312"/>
          <w:kern w:val="1"/>
          <w:sz w:val="32"/>
          <w:szCs w:val="32"/>
        </w:rPr>
        <w:t>严格预算资金管理和使用，规范和完善各项费用审签报销制度。</w:t>
      </w:r>
    </w:p>
    <w:p w14:paraId="288E0B75">
      <w:pPr>
        <w:spacing w:line="360" w:lineRule="auto"/>
        <w:ind w:firstLine="640"/>
        <w:rPr>
          <w:rFonts w:hint="eastAsia" w:ascii="仿宋_GB2312" w:hAnsi="仿宋_GB2312" w:eastAsia="仿宋_GB2312" w:cs="仿宋_GB2312"/>
          <w:kern w:val="1"/>
          <w:sz w:val="32"/>
          <w:szCs w:val="32"/>
        </w:rPr>
      </w:pPr>
      <w:r>
        <w:rPr>
          <w:rFonts w:hint="eastAsia" w:ascii="仿宋_GB2312" w:hAnsi="仿宋_GB2312" w:eastAsia="仿宋_GB2312" w:cs="仿宋_GB2312"/>
          <w:sz w:val="32"/>
          <w:szCs w:val="32"/>
        </w:rPr>
        <w:t>（三）改进建议。</w:t>
      </w:r>
      <w:r>
        <w:rPr>
          <w:rFonts w:hint="eastAsia" w:ascii="仿宋_GB2312" w:hAnsi="仿宋_GB2312" w:eastAsia="仿宋_GB2312" w:cs="仿宋_GB2312"/>
          <w:kern w:val="1"/>
          <w:sz w:val="32"/>
          <w:szCs w:val="32"/>
        </w:rPr>
        <w:t>加强财务人员的业务知识的培训力度，特别是新时期下的会计制度、业务知识的学习。</w:t>
      </w:r>
    </w:p>
    <w:p w14:paraId="62C9F7B1">
      <w:pPr>
        <w:spacing w:line="580" w:lineRule="exact"/>
        <w:rPr>
          <w:rFonts w:hint="eastAsia" w:ascii="仿宋_GB2312" w:hAnsi="仿宋_GB2312" w:eastAsia="仿宋_GB2312" w:cs="仿宋_GB2312"/>
          <w:sz w:val="32"/>
          <w:szCs w:val="32"/>
        </w:rPr>
      </w:pPr>
    </w:p>
    <w:p w14:paraId="7858BF15">
      <w:pPr>
        <w:widowControl/>
        <w:jc w:val="left"/>
        <w:rPr>
          <w:rFonts w:hint="eastAsia" w:ascii="仿宋_GB2312" w:hAnsi="仿宋_GB2312" w:eastAsia="仿宋_GB2312" w:cs="仿宋_GB2312"/>
          <w:sz w:val="32"/>
          <w:szCs w:val="32"/>
        </w:rPr>
      </w:pPr>
    </w:p>
    <w:p w14:paraId="69D80F83">
      <w:pPr>
        <w:widowControl/>
        <w:jc w:val="left"/>
        <w:rPr>
          <w:rFonts w:hint="eastAsia" w:ascii="仿宋_GB2312" w:hAnsi="仿宋_GB2312" w:eastAsia="仿宋_GB2312" w:cs="仿宋_GB2312"/>
          <w:sz w:val="32"/>
          <w:szCs w:val="32"/>
        </w:rPr>
      </w:pPr>
    </w:p>
    <w:p w14:paraId="05A4BA5F">
      <w:pPr>
        <w:widowControl/>
        <w:jc w:val="left"/>
        <w:rPr>
          <w:rFonts w:hint="eastAsia" w:ascii="仿宋_GB2312" w:hAnsi="仿宋_GB2312" w:eastAsia="仿宋_GB2312" w:cs="仿宋_GB2312"/>
          <w:sz w:val="32"/>
          <w:szCs w:val="32"/>
        </w:rPr>
      </w:pPr>
    </w:p>
    <w:p w14:paraId="4431C469">
      <w:pPr>
        <w:widowControl/>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黑水县人民检察院</w:t>
      </w:r>
    </w:p>
    <w:p w14:paraId="4E6BC331">
      <w:pPr>
        <w:pStyle w:val="36"/>
        <w:jc w:val="right"/>
        <w:rPr>
          <w:rFonts w:hint="eastAsia" w:ascii="Times New Roman" w:hAnsi="Times New Roman" w:eastAsia="仿宋_GB2312" w:cs="Times New Roman"/>
          <w:sz w:val="32"/>
          <w:szCs w:val="32"/>
          <w:u w:val="none"/>
          <w:lang w:val="en" w:eastAsia="zh-CN" w:bidi="ar"/>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val="0"/>
          <w:bCs w:val="0"/>
          <w:sz w:val="32"/>
          <w:szCs w:val="32"/>
        </w:rPr>
        <w:t xml:space="preserve"> 2026年3月2</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日</w:t>
      </w:r>
    </w:p>
    <w:bookmarkEnd w:id="53"/>
    <w:p w14:paraId="1ED98E4E">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09835892">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64D52EFD">
      <w:pPr>
        <w:widowControl/>
        <w:spacing w:line="560" w:lineRule="exact"/>
        <w:contextualSpacing/>
        <w:jc w:val="center"/>
        <w:rPr>
          <w:rFonts w:hint="eastAsia" w:ascii="方正小标宋_GBK" w:eastAsia="方正小标宋_GBK" w:cs="方正小标宋_GBK"/>
          <w:b w:val="0"/>
          <w:bCs/>
          <w:sz w:val="44"/>
          <w:szCs w:val="44"/>
          <w:shd w:val="clear" w:color="auto" w:fill="FFFFFF"/>
          <w:lang w:val="en-US" w:eastAsia="zh-CN"/>
        </w:rPr>
      </w:pPr>
      <w:r>
        <w:rPr>
          <w:rFonts w:hint="eastAsia" w:ascii="方正小标宋_GBK" w:eastAsia="方正小标宋_GBK" w:cs="方正小标宋_GBK"/>
          <w:b w:val="0"/>
          <w:bCs/>
          <w:sz w:val="44"/>
          <w:szCs w:val="44"/>
          <w:shd w:val="clear" w:color="auto" w:fill="FFFFFF"/>
          <w:lang w:eastAsia="zh-CN"/>
        </w:rPr>
        <w:t>黑水县</w:t>
      </w:r>
      <w:r>
        <w:rPr>
          <w:rFonts w:hint="eastAsia" w:ascii="方正小标宋_GBK" w:eastAsia="方正小标宋_GBK" w:cs="方正小标宋_GBK"/>
          <w:b w:val="0"/>
          <w:bCs/>
          <w:sz w:val="44"/>
          <w:szCs w:val="44"/>
          <w:shd w:val="clear" w:color="auto" w:fill="FFFFFF"/>
          <w:lang w:val="en-US" w:eastAsia="zh-CN"/>
        </w:rPr>
        <w:t>人民检察院</w:t>
      </w:r>
    </w:p>
    <w:p w14:paraId="5DAE7DE5">
      <w:pPr>
        <w:pStyle w:val="34"/>
        <w:spacing w:line="578" w:lineRule="exact"/>
        <w:jc w:val="center"/>
        <w:rPr>
          <w:rFonts w:hint="eastAsia" w:ascii="方正小标宋_GBK" w:eastAsia="方正小标宋_GBK" w:cs="方正小标宋_GBK"/>
          <w:b w:val="0"/>
          <w:bCs/>
          <w:sz w:val="44"/>
          <w:szCs w:val="44"/>
          <w:shd w:val="clear" w:color="auto" w:fill="FFFFFF"/>
          <w:lang w:eastAsia="zh-CN"/>
        </w:rPr>
      </w:pPr>
      <w:r>
        <w:rPr>
          <w:rFonts w:hint="eastAsia" w:ascii="方正小标宋_GBK" w:eastAsia="方正小标宋_GBK" w:cs="方正小标宋_GBK"/>
          <w:b w:val="0"/>
          <w:bCs/>
          <w:sz w:val="44"/>
          <w:szCs w:val="44"/>
          <w:shd w:val="clear" w:color="auto" w:fill="FFFFFF"/>
        </w:rPr>
        <w:t>2</w:t>
      </w:r>
      <w:r>
        <w:rPr>
          <w:rFonts w:hint="eastAsia" w:ascii="方正小标宋_GBK" w:eastAsia="方正小标宋_GBK" w:cs="方正小标宋_GBK"/>
          <w:b w:val="0"/>
          <w:bCs/>
          <w:sz w:val="44"/>
          <w:szCs w:val="44"/>
          <w:shd w:val="clear" w:color="auto" w:fill="FFFFFF"/>
          <w:lang w:val="en-US" w:eastAsia="zh-CN"/>
        </w:rPr>
        <w:t>025</w:t>
      </w:r>
      <w:r>
        <w:rPr>
          <w:rFonts w:hint="eastAsia" w:ascii="方正小标宋_GBK" w:eastAsia="方正小标宋_GBK" w:cs="方正小标宋_GBK"/>
          <w:b w:val="0"/>
          <w:bCs/>
          <w:sz w:val="44"/>
          <w:szCs w:val="44"/>
          <w:shd w:val="clear" w:color="auto" w:fill="FFFFFF"/>
        </w:rPr>
        <w:t>年</w:t>
      </w:r>
      <w:r>
        <w:rPr>
          <w:rFonts w:hint="eastAsia" w:ascii="方正小标宋_GBK" w:eastAsia="方正小标宋_GBK" w:cs="方正小标宋_GBK"/>
          <w:b w:val="0"/>
          <w:bCs/>
          <w:sz w:val="44"/>
          <w:szCs w:val="44"/>
          <w:shd w:val="clear" w:color="auto" w:fill="FFFFFF"/>
          <w:lang w:eastAsia="zh-CN"/>
        </w:rPr>
        <w:t>度</w:t>
      </w:r>
    </w:p>
    <w:p w14:paraId="1FCF8E9B">
      <w:pPr>
        <w:pStyle w:val="2"/>
        <w:rPr>
          <w:rFonts w:hint="eastAsia" w:ascii="方正小标宋_GBK" w:eastAsia="方正小标宋_GBK" w:cs="方正小标宋_GBK"/>
          <w:b w:val="0"/>
          <w:bCs/>
          <w:sz w:val="44"/>
          <w:szCs w:val="44"/>
          <w:shd w:val="clear" w:color="auto" w:fill="FFFFFF"/>
          <w:lang w:val="en-US" w:eastAsia="zh-CN"/>
        </w:rPr>
      </w:pPr>
      <w:r>
        <w:rPr>
          <w:rFonts w:hint="eastAsia" w:ascii="Times New Roman" w:eastAsia="方正小标宋简体" w:cs="方正小标宋简体"/>
          <w:color w:val="auto"/>
          <w:kern w:val="2"/>
          <w:sz w:val="44"/>
          <w:szCs w:val="44"/>
          <w:lang w:val="en-US" w:eastAsia="zh-CN"/>
        </w:rPr>
        <w:t>部门</w:t>
      </w:r>
      <w:r>
        <w:rPr>
          <w:rFonts w:hint="eastAsia" w:ascii="Times New Roman" w:hAnsi="Times New Roman" w:eastAsia="方正小标宋简体" w:cs="方正小标宋简体"/>
          <w:color w:val="auto"/>
          <w:kern w:val="2"/>
          <w:sz w:val="44"/>
          <w:szCs w:val="44"/>
          <w:lang w:val="en-US"/>
        </w:rPr>
        <w:t>预算项目</w:t>
      </w:r>
      <w:r>
        <w:rPr>
          <w:rFonts w:hint="eastAsia" w:ascii="Times New Roman" w:eastAsia="方正小标宋简体" w:cs="方正小标宋简体"/>
          <w:color w:val="auto"/>
          <w:kern w:val="2"/>
          <w:sz w:val="44"/>
          <w:szCs w:val="44"/>
          <w:lang w:val="en-US" w:eastAsia="zh-CN"/>
        </w:rPr>
        <w:t>支出</w:t>
      </w:r>
      <w:r>
        <w:rPr>
          <w:rFonts w:hint="eastAsia" w:ascii="Times New Roman" w:hAnsi="Times New Roman" w:eastAsia="方正小标宋简体" w:cs="方正小标宋简体"/>
          <w:color w:val="auto"/>
          <w:kern w:val="2"/>
          <w:sz w:val="44"/>
          <w:szCs w:val="44"/>
          <w:lang w:val="en-US"/>
        </w:rPr>
        <w:t>绩效</w:t>
      </w:r>
      <w:r>
        <w:rPr>
          <w:rFonts w:hint="eastAsia" w:ascii="Times New Roman" w:eastAsia="方正小标宋简体" w:cs="方正小标宋简体"/>
          <w:color w:val="auto"/>
          <w:kern w:val="2"/>
          <w:sz w:val="44"/>
          <w:szCs w:val="44"/>
          <w:lang w:val="en-US" w:eastAsia="zh-CN"/>
        </w:rPr>
        <w:t>自评表</w:t>
      </w:r>
    </w:p>
    <w:p w14:paraId="0CD38EAE">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DBD7DC5">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78D40AF">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22422312">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tbl>
      <w:tblPr>
        <w:tblStyle w:val="15"/>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5"/>
        <w:gridCol w:w="979"/>
        <w:gridCol w:w="870"/>
        <w:gridCol w:w="1135"/>
        <w:gridCol w:w="430"/>
        <w:gridCol w:w="909"/>
        <w:gridCol w:w="756"/>
        <w:gridCol w:w="858"/>
        <w:gridCol w:w="491"/>
        <w:gridCol w:w="412"/>
        <w:gridCol w:w="986"/>
      </w:tblGrid>
      <w:tr w14:paraId="04525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ACB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CC1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黑水县人民检察院部门</w:t>
            </w:r>
          </w:p>
        </w:tc>
        <w:tc>
          <w:tcPr>
            <w:tcW w:w="1091" w:type="dxa"/>
            <w:tcBorders>
              <w:top w:val="nil"/>
              <w:left w:val="nil"/>
              <w:bottom w:val="nil"/>
              <w:right w:val="nil"/>
            </w:tcBorders>
            <w:shd w:val="clear" w:color="auto" w:fill="auto"/>
            <w:vAlign w:val="center"/>
          </w:tcPr>
          <w:p w14:paraId="4540CE8C">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E0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黑水县人民检察院</w:t>
            </w:r>
          </w:p>
        </w:tc>
      </w:tr>
      <w:tr w14:paraId="554C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3E09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1E64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4A1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EF9CFA">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0F2C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DE14B">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B1D9C">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D0C1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项目实施保障了基层检察院办案经费和业务装备经费，提高了检察机关运行效率，为县域经济发展创造了良好的营商和乐居环境，检察公信力不断提升。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0FE31E">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项目已完成</w:t>
            </w:r>
          </w:p>
        </w:tc>
      </w:tr>
      <w:tr w14:paraId="24BB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D036E">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4E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121D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发挥检察监督职能，按照四大检察十大业务工作要求依法履职，全面提升监督职能；加强队伍建设，提升检察队伍整体职业素养，维护法律的公平正义；，保护未成年人合法权益，深度参与社会综合治理，广泛开展法律宣传等工作维护社会稳定和长治久安。根据检察工作开展需要，完善检察业务装备配置，逐步实现检察规范化、信息化、智能化发展要求。</w:t>
            </w:r>
          </w:p>
        </w:tc>
      </w:tr>
      <w:tr w14:paraId="6AC25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13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0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E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3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226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4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9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A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3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AAE5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9F11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4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31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1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121.00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4B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5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3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B0DE">
            <w:pPr>
              <w:jc w:val="center"/>
              <w:rPr>
                <w:rFonts w:hint="eastAsia" w:ascii="宋体" w:hAnsi="宋体" w:eastAsia="宋体" w:cs="宋体"/>
                <w:i w:val="0"/>
                <w:iCs w:val="0"/>
                <w:color w:val="000000"/>
                <w:sz w:val="18"/>
                <w:szCs w:val="18"/>
                <w:u w:val="none"/>
              </w:rPr>
            </w:pP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2073E">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厉行节俭</w:t>
            </w:r>
          </w:p>
        </w:tc>
      </w:tr>
      <w:tr w14:paraId="52617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36AC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9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3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6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121.00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8F7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D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4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2D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2B883">
            <w:pPr>
              <w:rPr>
                <w:rFonts w:hint="default" w:ascii="simhei" w:hAnsi="simhei" w:eastAsia="simhei" w:cs="simhei"/>
                <w:i/>
                <w:iCs/>
                <w:color w:val="000000"/>
                <w:sz w:val="18"/>
                <w:szCs w:val="18"/>
                <w:u w:val="none"/>
              </w:rPr>
            </w:pPr>
          </w:p>
        </w:tc>
      </w:tr>
      <w:tr w14:paraId="681E8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C006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D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C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F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87C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D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2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8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1309E">
            <w:pPr>
              <w:rPr>
                <w:rFonts w:hint="default" w:ascii="simhei" w:hAnsi="simhei" w:eastAsia="simhei" w:cs="simhei"/>
                <w:i/>
                <w:iCs/>
                <w:color w:val="000000"/>
                <w:sz w:val="18"/>
                <w:szCs w:val="18"/>
                <w:u w:val="none"/>
              </w:rPr>
            </w:pPr>
          </w:p>
        </w:tc>
      </w:tr>
      <w:tr w14:paraId="6F7BE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73C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2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4B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D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124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F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F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0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12AEE">
            <w:pPr>
              <w:rPr>
                <w:rFonts w:hint="default" w:ascii="simhei" w:hAnsi="simhei" w:eastAsia="simhei" w:cs="simhei"/>
                <w:i/>
                <w:iCs/>
                <w:color w:val="000000"/>
                <w:sz w:val="18"/>
                <w:szCs w:val="18"/>
                <w:u w:val="none"/>
              </w:rPr>
            </w:pPr>
          </w:p>
        </w:tc>
      </w:tr>
      <w:tr w14:paraId="5198C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E7A9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8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8B3A">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52A8">
            <w:pPr>
              <w:jc w:val="center"/>
              <w:rPr>
                <w:rFonts w:hint="default"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CAE691">
            <w:pPr>
              <w:jc w:val="center"/>
              <w:rPr>
                <w:rFonts w:hint="default"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4D47E">
            <w:pPr>
              <w:jc w:val="center"/>
              <w:rPr>
                <w:rFonts w:hint="default"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F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1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03932">
            <w:pPr>
              <w:rPr>
                <w:rFonts w:hint="default" w:ascii="simhei" w:hAnsi="simhei" w:eastAsia="simhei" w:cs="simhei"/>
                <w:i/>
                <w:iCs/>
                <w:color w:val="000000"/>
                <w:sz w:val="18"/>
                <w:szCs w:val="18"/>
                <w:u w:val="none"/>
              </w:rPr>
            </w:pPr>
          </w:p>
        </w:tc>
      </w:tr>
      <w:tr w14:paraId="07CB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D5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F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D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EE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C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BC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C3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3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3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1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1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1B0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EF430">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B3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8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1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案件办理数量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A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9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E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F29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54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8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A79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B96B">
            <w:pPr>
              <w:jc w:val="center"/>
              <w:rPr>
                <w:rFonts w:hint="default" w:ascii="微软雅黑" w:hAnsi="微软雅黑" w:eastAsia="微软雅黑" w:cs="微软雅黑"/>
                <w:i/>
                <w:iCs/>
                <w:color w:val="000000"/>
                <w:sz w:val="16"/>
                <w:szCs w:val="16"/>
                <w:u w:val="none"/>
              </w:rPr>
            </w:pPr>
          </w:p>
        </w:tc>
      </w:tr>
      <w:tr w14:paraId="7B9FF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7517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9B52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2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8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案件办结率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8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E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6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190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1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3436">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87B4">
            <w:pPr>
              <w:jc w:val="center"/>
              <w:rPr>
                <w:rFonts w:hint="default" w:ascii="微软雅黑" w:hAnsi="微软雅黑" w:eastAsia="微软雅黑" w:cs="微软雅黑"/>
                <w:i/>
                <w:iCs/>
                <w:color w:val="000000"/>
                <w:sz w:val="16"/>
                <w:szCs w:val="16"/>
                <w:u w:val="none"/>
              </w:rPr>
            </w:pPr>
          </w:p>
        </w:tc>
      </w:tr>
      <w:tr w14:paraId="1CD15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97F7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1B97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2E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D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案件超期案件数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D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5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7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46D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1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B56D">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700F">
            <w:pPr>
              <w:jc w:val="center"/>
              <w:rPr>
                <w:rFonts w:hint="default" w:ascii="微软雅黑" w:hAnsi="微软雅黑" w:eastAsia="微软雅黑" w:cs="微软雅黑"/>
                <w:i/>
                <w:iCs/>
                <w:color w:val="000000"/>
                <w:sz w:val="16"/>
                <w:szCs w:val="16"/>
                <w:u w:val="none"/>
              </w:rPr>
            </w:pPr>
          </w:p>
        </w:tc>
      </w:tr>
      <w:tr w14:paraId="0534F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42D01">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B1C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E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3F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改善办案条件和办案质量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D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D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显著改善</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827B">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6D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显著改善</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C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D485">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597B">
            <w:pPr>
              <w:jc w:val="center"/>
              <w:rPr>
                <w:rFonts w:hint="default" w:ascii="微软雅黑" w:hAnsi="微软雅黑" w:eastAsia="微软雅黑" w:cs="微软雅黑"/>
                <w:i/>
                <w:iCs/>
                <w:color w:val="000000"/>
                <w:sz w:val="16"/>
                <w:szCs w:val="16"/>
                <w:u w:val="none"/>
              </w:rPr>
            </w:pPr>
          </w:p>
        </w:tc>
      </w:tr>
      <w:tr w14:paraId="24D8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34FA7">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F99E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3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3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打击犯罪，维护社会稳定</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5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6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显著改善</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6D72">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A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显著改善</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2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D55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506A">
            <w:pPr>
              <w:jc w:val="center"/>
              <w:rPr>
                <w:rFonts w:hint="default" w:ascii="微软雅黑" w:hAnsi="微软雅黑" w:eastAsia="微软雅黑" w:cs="微软雅黑"/>
                <w:i/>
                <w:iCs/>
                <w:color w:val="000000"/>
                <w:sz w:val="16"/>
                <w:szCs w:val="16"/>
                <w:u w:val="none"/>
              </w:rPr>
            </w:pPr>
          </w:p>
        </w:tc>
      </w:tr>
      <w:tr w14:paraId="1F85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002E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2C46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D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2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加强公益诉讼对县内生态环境的监督</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B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A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显著加强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ABE6">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C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显著加强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D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E47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020A">
            <w:pPr>
              <w:jc w:val="center"/>
              <w:rPr>
                <w:rFonts w:hint="default" w:ascii="微软雅黑" w:hAnsi="微软雅黑" w:eastAsia="微软雅黑" w:cs="微软雅黑"/>
                <w:i/>
                <w:iCs/>
                <w:color w:val="000000"/>
                <w:sz w:val="16"/>
                <w:szCs w:val="16"/>
                <w:u w:val="none"/>
              </w:rPr>
            </w:pPr>
          </w:p>
        </w:tc>
      </w:tr>
      <w:tr w14:paraId="137A5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2EFC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B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C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7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5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F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4D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个（台、套、件、辆）</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DA1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37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F91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02FB">
            <w:pPr>
              <w:jc w:val="center"/>
              <w:rPr>
                <w:rFonts w:hint="default" w:ascii="微软雅黑" w:hAnsi="微软雅黑" w:eastAsia="微软雅黑" w:cs="微软雅黑"/>
                <w:i/>
                <w:iCs/>
                <w:color w:val="000000"/>
                <w:sz w:val="16"/>
                <w:szCs w:val="16"/>
                <w:u w:val="none"/>
              </w:rPr>
            </w:pPr>
          </w:p>
        </w:tc>
      </w:tr>
      <w:tr w14:paraId="06F7A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BB9F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5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E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4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22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D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99.16</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D90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81.95%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0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CF18">
            <w:pPr>
              <w:jc w:val="cente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25E3">
            <w:pPr>
              <w:jc w:val="center"/>
              <w:rPr>
                <w:rFonts w:hint="default" w:ascii="微软雅黑" w:hAnsi="微软雅黑" w:eastAsia="微软雅黑" w:cs="微软雅黑"/>
                <w:i/>
                <w:iCs/>
                <w:color w:val="000000"/>
                <w:sz w:val="16"/>
                <w:szCs w:val="16"/>
                <w:u w:val="none"/>
              </w:rPr>
            </w:pPr>
          </w:p>
        </w:tc>
      </w:tr>
      <w:tr w14:paraId="24207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88C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1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DD92">
            <w:pPr>
              <w:rPr>
                <w:rFonts w:hint="eastAsia" w:ascii="宋体" w:hAnsi="宋体" w:eastAsia="宋体" w:cs="宋体"/>
                <w:i w:val="0"/>
                <w:iCs w:val="0"/>
                <w:color w:val="000000"/>
                <w:sz w:val="18"/>
                <w:szCs w:val="18"/>
                <w:u w:val="none"/>
              </w:rPr>
            </w:pP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6766">
            <w:pPr>
              <w:rPr>
                <w:rFonts w:hint="eastAsia" w:ascii="宋体" w:hAnsi="宋体" w:eastAsia="宋体" w:cs="宋体"/>
                <w:i w:val="0"/>
                <w:iCs w:val="0"/>
                <w:color w:val="000000"/>
                <w:sz w:val="18"/>
                <w:szCs w:val="18"/>
                <w:u w:val="none"/>
              </w:rPr>
            </w:pPr>
          </w:p>
        </w:tc>
      </w:tr>
      <w:tr w14:paraId="28B55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0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1A326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刑事检察、民事检察、行政检察和公益诉讼检察工作开展所需经费得到充分保障，检察队伍建设及检察宣传等相关工作所需经费得到充分保障。</w:t>
            </w:r>
          </w:p>
        </w:tc>
      </w:tr>
      <w:tr w14:paraId="70329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4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A39B8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预算执行进度缓慢</w:t>
            </w:r>
          </w:p>
        </w:tc>
      </w:tr>
      <w:tr w14:paraId="249AA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0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E5D6D6">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结合上一年度预算安排情况，提前进行预估预判，做好预算安排，待资金下拨后及时进行调整预估数据并及时完成相关支付，提高资金支付率</w:t>
            </w:r>
          </w:p>
        </w:tc>
      </w:tr>
      <w:tr w14:paraId="6FA8E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281FF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BE7C57">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1603755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8FC8161">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46B8F8AE">
      <w:pPr>
        <w:pStyle w:val="2"/>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5"/>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0"/>
        <w:gridCol w:w="604"/>
        <w:gridCol w:w="604"/>
        <w:gridCol w:w="2104"/>
        <w:gridCol w:w="1180"/>
        <w:gridCol w:w="1589"/>
        <w:gridCol w:w="970"/>
        <w:gridCol w:w="830"/>
      </w:tblGrid>
      <w:tr w14:paraId="7E65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1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44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8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A16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黑水县人民检察院部门</w:t>
            </w:r>
          </w:p>
        </w:tc>
      </w:tr>
      <w:tr w14:paraId="76F05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F9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7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43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5E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3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25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14:paraId="3D761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D0B08">
            <w:pPr>
              <w:jc w:val="center"/>
              <w:rPr>
                <w:rFonts w:hint="eastAsia" w:ascii="宋体" w:hAnsi="宋体" w:eastAsia="宋体" w:cs="宋体"/>
                <w:i w:val="0"/>
                <w:iCs w:val="0"/>
                <w:color w:val="000000"/>
                <w:sz w:val="18"/>
                <w:szCs w:val="18"/>
                <w:u w:val="none"/>
              </w:rPr>
            </w:pP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64B24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694.48</w:t>
            </w:r>
          </w:p>
        </w:tc>
        <w:tc>
          <w:tcPr>
            <w:tcW w:w="430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5E02F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694.48</w:t>
            </w:r>
          </w:p>
        </w:tc>
        <w:tc>
          <w:tcPr>
            <w:tcW w:w="36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33BB8">
            <w:pPr>
              <w:jc w:val="right"/>
              <w:rPr>
                <w:rFonts w:hint="eastAsia" w:ascii="宋体" w:hAnsi="宋体" w:eastAsia="宋体" w:cs="宋体"/>
                <w:i w:val="0"/>
                <w:iCs w:val="0"/>
                <w:color w:val="000000"/>
                <w:sz w:val="18"/>
                <w:szCs w:val="18"/>
                <w:u w:val="none"/>
              </w:rPr>
            </w:pPr>
          </w:p>
        </w:tc>
      </w:tr>
      <w:tr w14:paraId="4AAB0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trPr>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6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1169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78F3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以习近平新时代中国特色社会主义思想为指导，全面贯彻党的二十届四中全会精神，坚持党对检察工作的绝对领导，深入领会“两个确立”的决定性意义，做到“两个维护”，紧扣县委争创“五个示范”、建成“五个家园”战略部署，依法能动履职，抓重点、求突破，补短板、强职能，推动“四大检察”全面协调充分发展，为建设社会主义现代化提供有力法治保障。提高对资金的审批使用率，保障全院干警切身利益，提高干警办案干事的积极性。</w:t>
            </w:r>
          </w:p>
        </w:tc>
      </w:tr>
      <w:tr w14:paraId="68324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6F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55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8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A60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14:paraId="0B5FA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2E849">
            <w:pPr>
              <w:jc w:val="center"/>
              <w:rPr>
                <w:rFonts w:hint="eastAsia" w:ascii="宋体" w:hAnsi="宋体" w:eastAsia="宋体" w:cs="宋体"/>
                <w:i w:val="0"/>
                <w:iCs w:val="0"/>
                <w:color w:val="000000"/>
                <w:sz w:val="18"/>
                <w:szCs w:val="18"/>
                <w:u w:val="none"/>
              </w:rPr>
            </w:pP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524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四、把法律监督贯穿始终，落实落细推动四大检察提质增效</w:t>
            </w:r>
          </w:p>
        </w:tc>
        <w:tc>
          <w:tcPr>
            <w:tcW w:w="8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7A90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认真贯彻《中共中央关于加强新时代检察机关法律监督工作的意见》和省委实施意见，优化法律监督体系，提高法律监督能力。坚持问题导向，补齐检察工作短板弱项，推动“四大检察［1］”“十大业务”全面协调充分发展。积极推进侦协办实质化运行、宽严相济刑事司法政策、认罪认罚从宽、民事行政检察精准监督等工作，维护司法公正公信。有序拓展公益诉讼保护范围，注重加强“益心为公”平台运用和跨区域检察协同履职，切实履行好“公共利益代表”的神圣职责。协同监委等部门持续推进，加大行贿、腐败犯罪惩治力度。持续深化法律监督模式系统性重塑变革，强化检察业务数据分析研判，选准载体、专项带动，推动监督效果由一案一事拓展到类案办理、同类问题处理，着力提升法律监督质效</w:t>
            </w:r>
          </w:p>
        </w:tc>
      </w:tr>
      <w:tr w14:paraId="51D45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6"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ED2C9">
            <w:pPr>
              <w:jc w:val="center"/>
              <w:rPr>
                <w:rFonts w:hint="eastAsia" w:ascii="宋体" w:hAnsi="宋体" w:eastAsia="宋体" w:cs="宋体"/>
                <w:i w:val="0"/>
                <w:iCs w:val="0"/>
                <w:color w:val="000000"/>
                <w:sz w:val="18"/>
                <w:szCs w:val="18"/>
                <w:u w:val="none"/>
              </w:rPr>
            </w:pP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203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一、把服务保障贯穿始终，全力助推发展高质量治理现代化</w:t>
            </w:r>
          </w:p>
        </w:tc>
        <w:tc>
          <w:tcPr>
            <w:tcW w:w="8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B9E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聚焦影响国家安全、社会安定、人民安宁的突出问题，常态化推进扫黑除恶斗争，依法打击各类违法犯罪，维护安全稳定的社会环境。深化检察环节诉源治理，全力排查、化解社会矛盾风险隐患，促进提升社会治理效能。严惩群众反映强烈的多发性侵财犯罪、电信网络犯罪、环境资源犯罪和食品药品安全犯罪，加大对妇女儿童、农民工等弱势群体的司法保护力度。充分发挥服务保障作用，助力巩固脱贫攻坚成果助推乡村振兴。</w:t>
            </w:r>
          </w:p>
        </w:tc>
      </w:tr>
      <w:tr w14:paraId="27BA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0"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13BC4">
            <w:pPr>
              <w:jc w:val="center"/>
              <w:rPr>
                <w:rFonts w:hint="eastAsia" w:ascii="宋体" w:hAnsi="宋体" w:eastAsia="宋体" w:cs="宋体"/>
                <w:i w:val="0"/>
                <w:iCs w:val="0"/>
                <w:color w:val="000000"/>
                <w:sz w:val="18"/>
                <w:szCs w:val="18"/>
                <w:u w:val="none"/>
              </w:rPr>
            </w:pP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4D7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二、把政治建设贯穿始终，坚持党对检察工作的绝对领导</w:t>
            </w:r>
          </w:p>
        </w:tc>
        <w:tc>
          <w:tcPr>
            <w:tcW w:w="80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8D6B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坚持以习近平新时代中国特色社会主义思想为指导，全面贯彻习近平法治思想，深入学习和贯彻党的二十大精神，持续巩固主题教育活动成果，坚决捍卫“两个确立”，坚决做到“两个维护”。严格执行《中国共产党政法工作条例》，严格落实重大事项请示报告制度，确保各项检察工作围绕党和国家工作大局开展。全面加强党的建设，推动主题教育常态化长效化，以党建带动业务强起来、队伍强起来。</w:t>
            </w:r>
          </w:p>
        </w:tc>
      </w:tr>
      <w:tr w14:paraId="4CC0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5"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046DD">
            <w:pPr>
              <w:jc w:val="center"/>
              <w:rPr>
                <w:rFonts w:hint="eastAsia" w:ascii="宋体" w:hAnsi="宋体" w:eastAsia="宋体" w:cs="宋体"/>
                <w:i w:val="0"/>
                <w:iCs w:val="0"/>
                <w:color w:val="000000"/>
                <w:sz w:val="18"/>
                <w:szCs w:val="18"/>
                <w:u w:val="none"/>
              </w:rPr>
            </w:pPr>
          </w:p>
        </w:tc>
        <w:tc>
          <w:tcPr>
            <w:tcW w:w="36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2F6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三、把严管厚爱贯穿始终，着力促进过硬红原检察队伍建设</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134F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化党建业务共融共促，促进检察干警政治能力、业务能力“双提升”。持续优化队伍结构，实现人、岗、案（事）相适，让每名干警都能够发挥最大作用、有更大作为。坚持领导干部带头办案，健全实战化、精准化、科学化培训机制，全方位提升干警综合素能。压紧压实“两个责任”，严格执行“三个规定［4］”和新时代政法干警“十个严禁”，营造风清气正检察政治生态。以改革创新为根本动力，以科技强检为重要支持，务实推动检察工作自身高质量发展。</w:t>
            </w:r>
          </w:p>
        </w:tc>
      </w:tr>
      <w:tr w14:paraId="34A8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6D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F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A2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4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3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6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5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C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14:paraId="36FE4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E7C7">
            <w:pPr>
              <w:jc w:val="center"/>
              <w:rPr>
                <w:rFonts w:hint="eastAsia" w:ascii="宋体" w:hAnsi="宋体" w:eastAsia="宋体" w:cs="宋体"/>
                <w:i w:val="0"/>
                <w:iCs w:val="0"/>
                <w:color w:val="000000"/>
                <w:sz w:val="18"/>
                <w:szCs w:val="18"/>
                <w:u w:val="none"/>
              </w:rPr>
            </w:pPr>
          </w:p>
        </w:tc>
        <w:tc>
          <w:tcPr>
            <w:tcW w:w="1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6A6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3E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40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案件办理数</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FA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42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99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3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14:paraId="79BBF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78DEC">
            <w:pPr>
              <w:jc w:val="center"/>
              <w:rPr>
                <w:rFonts w:hint="eastAsia" w:ascii="宋体" w:hAnsi="宋体" w:eastAsia="宋体" w:cs="宋体"/>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B6C20">
            <w:pPr>
              <w:jc w:val="left"/>
              <w:rPr>
                <w:rFonts w:hint="eastAsia" w:ascii="宋体" w:hAnsi="宋体" w:eastAsia="宋体" w:cs="宋体"/>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BF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E0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案件办结率</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39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0E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9E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D1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CB9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4369">
            <w:pPr>
              <w:jc w:val="center"/>
              <w:rPr>
                <w:rFonts w:hint="eastAsia" w:ascii="宋体" w:hAnsi="宋体" w:eastAsia="宋体" w:cs="宋体"/>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76A9D">
            <w:pPr>
              <w:jc w:val="left"/>
              <w:rPr>
                <w:rFonts w:hint="eastAsia" w:ascii="宋体" w:hAnsi="宋体" w:eastAsia="宋体" w:cs="宋体"/>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A4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45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案件超期案件数</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33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16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5B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FA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5332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0D6A8">
            <w:pPr>
              <w:jc w:val="center"/>
              <w:rPr>
                <w:rFonts w:hint="eastAsia" w:ascii="宋体" w:hAnsi="宋体" w:eastAsia="宋体" w:cs="宋体"/>
                <w:i w:val="0"/>
                <w:iCs w:val="0"/>
                <w:color w:val="000000"/>
                <w:sz w:val="18"/>
                <w:szCs w:val="18"/>
                <w:u w:val="none"/>
              </w:rPr>
            </w:pPr>
          </w:p>
        </w:tc>
        <w:tc>
          <w:tcPr>
            <w:tcW w:w="1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9A3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74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1E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改善办案条件和办案设施设备</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81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4E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显著改善</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4939">
            <w:pPr>
              <w:jc w:val="left"/>
              <w:rPr>
                <w:rFonts w:hint="eastAsia" w:ascii="宋体" w:hAnsi="宋体" w:eastAsia="宋体" w:cs="宋体"/>
                <w:i w:val="0"/>
                <w:iCs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D6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1B020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7F8CF">
            <w:pPr>
              <w:jc w:val="center"/>
              <w:rPr>
                <w:rFonts w:hint="eastAsia" w:ascii="宋体" w:hAnsi="宋体" w:eastAsia="宋体" w:cs="宋体"/>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E83A8">
            <w:pPr>
              <w:jc w:val="left"/>
              <w:rPr>
                <w:rFonts w:hint="eastAsia" w:ascii="宋体" w:hAnsi="宋体" w:eastAsia="宋体" w:cs="宋体"/>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89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8F6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打击犯罪，维护社会稳定</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7B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A9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有效维护</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05FD">
            <w:pPr>
              <w:jc w:val="left"/>
              <w:rPr>
                <w:rFonts w:hint="eastAsia" w:ascii="宋体" w:hAnsi="宋体" w:eastAsia="宋体" w:cs="宋体"/>
                <w:i w:val="0"/>
                <w:iCs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BB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29F22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812E9">
            <w:pPr>
              <w:jc w:val="center"/>
              <w:rPr>
                <w:rFonts w:hint="eastAsia" w:ascii="宋体" w:hAnsi="宋体" w:eastAsia="宋体" w:cs="宋体"/>
                <w:i w:val="0"/>
                <w:iCs w:val="0"/>
                <w:color w:val="000000"/>
                <w:sz w:val="18"/>
                <w:szCs w:val="18"/>
                <w:u w:val="none"/>
              </w:rPr>
            </w:pPr>
          </w:p>
        </w:tc>
        <w:tc>
          <w:tcPr>
            <w:tcW w:w="1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187C">
            <w:pPr>
              <w:jc w:val="left"/>
              <w:rPr>
                <w:rFonts w:hint="eastAsia" w:ascii="宋体" w:hAnsi="宋体" w:eastAsia="宋体" w:cs="宋体"/>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54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32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加强公益诉讼对县内环境的保护</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B3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44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显著加强</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30D0">
            <w:pPr>
              <w:jc w:val="left"/>
              <w:rPr>
                <w:rFonts w:hint="eastAsia" w:ascii="宋体" w:hAnsi="宋体" w:eastAsia="宋体" w:cs="宋体"/>
                <w:i w:val="0"/>
                <w:iCs w:val="0"/>
                <w:color w:val="000000"/>
                <w:sz w:val="18"/>
                <w:szCs w:val="18"/>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D8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64E2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589F9">
            <w:pPr>
              <w:jc w:val="center"/>
              <w:rPr>
                <w:rFonts w:hint="eastAsia" w:ascii="宋体" w:hAnsi="宋体" w:eastAsia="宋体" w:cs="宋体"/>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5A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FA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D5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49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99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A2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0D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77B7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F0788">
            <w:pPr>
              <w:jc w:val="center"/>
              <w:rPr>
                <w:rFonts w:hint="eastAsia" w:ascii="宋体" w:hAnsi="宋体" w:eastAsia="宋体" w:cs="宋体"/>
                <w:i w:val="0"/>
                <w:iCs w:val="0"/>
                <w:color w:val="000000"/>
                <w:sz w:val="18"/>
                <w:szCs w:val="18"/>
                <w:u w:val="none"/>
              </w:rPr>
            </w:pP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D6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0C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26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项目总成本</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CB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09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694.48</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203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10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bl>
    <w:p w14:paraId="10CA5E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A4860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9E4F2F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4"/>
      <w:bookmarkStart w:id="55" w:name="_Toc15396619"/>
    </w:p>
    <w:p w14:paraId="35FBE7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80EA2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40EAB37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4B99B85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53C29BF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43FBDB6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763171B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C410C1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4EB528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255050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26362D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7AC6FD7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CB5AA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07B26F4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63969D9B">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simhei">
    <w:altName w:val="C059"/>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0"/>
      <w:jc w:val="center"/>
    </w:pPr>
  </w:p>
  <w:p w14:paraId="3B0C36E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BE4C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DBBE4C5">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96EF46"/>
    <w:multiLevelType w:val="singleLevel"/>
    <w:tmpl w:val="7E96EF4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DEA802"/>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FB61C2"/>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3FFE41F1"/>
    <w:rsid w:val="40E54C45"/>
    <w:rsid w:val="43A407DF"/>
    <w:rsid w:val="44515BEA"/>
    <w:rsid w:val="44E268DA"/>
    <w:rsid w:val="453F7E5B"/>
    <w:rsid w:val="486A6C7A"/>
    <w:rsid w:val="49176D9B"/>
    <w:rsid w:val="4A627F82"/>
    <w:rsid w:val="4AFE26E7"/>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C1299A"/>
    <w:rsid w:val="56E47B74"/>
    <w:rsid w:val="57778275"/>
    <w:rsid w:val="57BD3DD4"/>
    <w:rsid w:val="57D77CB9"/>
    <w:rsid w:val="5AF92295"/>
    <w:rsid w:val="5BDD79E6"/>
    <w:rsid w:val="5BF561CA"/>
    <w:rsid w:val="5BFF5DFC"/>
    <w:rsid w:val="5CD71FC4"/>
    <w:rsid w:val="5D1F11B5"/>
    <w:rsid w:val="5DAE1B18"/>
    <w:rsid w:val="5DE7D9E5"/>
    <w:rsid w:val="5DEF7F83"/>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411D30"/>
    <w:rsid w:val="7D7EC23E"/>
    <w:rsid w:val="7D916348"/>
    <w:rsid w:val="7DBFDF98"/>
    <w:rsid w:val="7DEE2595"/>
    <w:rsid w:val="7E8ADEBF"/>
    <w:rsid w:val="7EDF284E"/>
    <w:rsid w:val="7EEF11D3"/>
    <w:rsid w:val="7F0971A6"/>
    <w:rsid w:val="7F3F679B"/>
    <w:rsid w:val="7F4FC4EF"/>
    <w:rsid w:val="7F5E4D54"/>
    <w:rsid w:val="7F6E0135"/>
    <w:rsid w:val="7F954DBA"/>
    <w:rsid w:val="7FA30C79"/>
    <w:rsid w:val="7FA781B6"/>
    <w:rsid w:val="7FAF8ABF"/>
    <w:rsid w:val="7FB7269E"/>
    <w:rsid w:val="7FC96657"/>
    <w:rsid w:val="7FDA9588"/>
    <w:rsid w:val="7FDF220F"/>
    <w:rsid w:val="7FEDC5F7"/>
    <w:rsid w:val="7FEDD9DE"/>
    <w:rsid w:val="7FF5890D"/>
    <w:rsid w:val="7FF93490"/>
    <w:rsid w:val="7FFECFBE"/>
    <w:rsid w:val="7FFFCF16"/>
    <w:rsid w:val="8FF09F5E"/>
    <w:rsid w:val="99FF2014"/>
    <w:rsid w:val="A6DD0D7F"/>
    <w:rsid w:val="ADC6F725"/>
    <w:rsid w:val="B7CF06AB"/>
    <w:rsid w:val="B7CFA926"/>
    <w:rsid w:val="B7F8786B"/>
    <w:rsid w:val="B7FF82C3"/>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DA31B3"/>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7F6C85"/>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5"/>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2"/>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7"/>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4"/>
    <w:qFormat/>
    <w:uiPriority w:val="9"/>
    <w:rPr>
      <w:rFonts w:ascii="Times New Roman" w:hAnsi="Times New Roman"/>
      <w:b/>
      <w:bCs/>
      <w:kern w:val="44"/>
      <w:sz w:val="44"/>
      <w:szCs w:val="44"/>
    </w:rPr>
  </w:style>
  <w:style w:type="character" w:customStyle="1" w:styleId="29">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6"/>
    <w:qFormat/>
    <w:uiPriority w:val="9"/>
    <w:rPr>
      <w:rFonts w:ascii="Times New Roman" w:hAnsi="Times New Roman"/>
      <w:b/>
      <w:bCs/>
      <w:kern w:val="2"/>
      <w:sz w:val="32"/>
      <w:szCs w:val="32"/>
    </w:rPr>
  </w:style>
  <w:style w:type="paragraph" w:customStyle="1" w:styleId="33">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15"/>
    <w:basedOn w:val="16"/>
    <w:qFormat/>
    <w:uiPriority w:val="0"/>
    <w:rPr>
      <w:rFonts w:hint="default" w:ascii="Times New Roman" w:hAnsi="Times New Roman" w:cs="Times New Roman"/>
      <w:b/>
    </w:rPr>
  </w:style>
  <w:style w:type="paragraph" w:customStyle="1" w:styleId="36">
    <w:name w:val="标4"/>
    <w:basedOn w:val="1"/>
    <w:qFormat/>
    <w:uiPriority w:val="99"/>
    <w:pPr>
      <w:adjustRightInd w:val="0"/>
      <w:spacing w:before="240" w:after="360" w:line="240" w:lineRule="exact"/>
      <w:outlineLvl w:val="3"/>
    </w:pPr>
    <w:rPr>
      <w:rFonts w:ascii="Arial" w:hAnsi="Arial" w:cs="Arial"/>
      <w:b/>
      <w:bCs/>
      <w:kern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70382695507488"/>
          <c:y val="0.0999717593900028"/>
          <c:w val="0.882750970604548"/>
          <c:h val="0.673933916972607"/>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1009.48</c:v>
                </c:pt>
                <c:pt idx="1">
                  <c:v>1009.48</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960.52</c:v>
                </c:pt>
                <c:pt idx="1">
                  <c:v>960.52</c:v>
                </c:pt>
              </c:numCache>
            </c:numRef>
          </c:val>
        </c:ser>
        <c:dLbls>
          <c:showLegendKey val="0"/>
          <c:showVal val="1"/>
          <c:showCatName val="0"/>
          <c:showSerName val="0"/>
          <c:showPercent val="0"/>
          <c:showBubbleSize val="0"/>
        </c:dLbls>
        <c:gapWidth val="75"/>
        <c:overlap val="0"/>
        <c:axId val="432640917"/>
        <c:axId val="753767617"/>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收入</c:v>
                      </c:pt>
                      <c:pt idx="1">
                        <c:v>支出</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4326409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3767617"/>
        <c:crosses val="autoZero"/>
        <c:auto val="1"/>
        <c:lblAlgn val="ctr"/>
        <c:lblOffset val="100"/>
        <c:noMultiLvlLbl val="0"/>
      </c:catAx>
      <c:valAx>
        <c:axId val="753767617"/>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26409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b31223-0122-4847-b60e-ab7870fd1fc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58771663119489"/>
          <c:y val="0.133939774153074"/>
          <c:w val="0.933110367892977"/>
          <c:h val="0.851944792973651"/>
        </c:manualLayout>
      </c:layout>
      <c:pie3DChart>
        <c:varyColors val="1"/>
        <c:ser>
          <c:idx val="0"/>
          <c:order val="0"/>
          <c:tx>
            <c:strRef>
              <c:f>Sheet1!$B$1</c:f>
              <c:strCache>
                <c:ptCount val="1"/>
                <c:pt idx="0">
                  <c:v>收入占比</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一般公共预算财政拨款收入</c:v>
                </c:pt>
                <c:pt idx="1">
                  <c:v>其他收入</c:v>
                </c:pt>
                <c:pt idx="2">
                  <c:v>年初结转结余</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72.3</c:v>
                </c:pt>
                <c:pt idx="1">
                  <c:v>26.63</c:v>
                </c:pt>
                <c:pt idx="2">
                  <c:v>1.07</c:v>
                </c:pt>
              </c:numCache>
            </c:numRef>
          </c:val>
        </c:ser>
        <c:dLbls>
          <c:showLegendKey val="0"/>
          <c:showVal val="0"/>
          <c:showCatName val="0"/>
          <c:showSerName val="0"/>
          <c:showPercent val="0"/>
          <c:showBubbleSize val="0"/>
        </c:dLbls>
      </c:pie3DChart>
      <c:spPr>
        <a:noFill/>
        <a:ln>
          <a:noFill/>
        </a:ln>
        <a:effectLst/>
      </c:spPr>
    </c:plotArea>
    <c:plotVisOnly val="1"/>
    <c:dispBlanksAs val="gap"/>
    <c:showDLblsOverMax val="0"/>
    <c:extLst>
      <c:ext uri="{0b15fc19-7d7d-44ad-8c2d-2c3a37ce22c3}">
        <chartProps xmlns="https://web.wps.cn/et/2018/main" chartId="{86c3d8ca-a3c4-42fb-ac23-3268ec95395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支出决算结构</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87.62</c:v>
                </c:pt>
                <c:pt idx="1">
                  <c:v>12.38</c:v>
                </c:pt>
              </c:numCache>
            </c:numRef>
          </c:val>
        </c:ser>
        <c:dLbls>
          <c:showLegendKey val="0"/>
          <c:showVal val="0"/>
          <c:showCatName val="1"/>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4e072535-cbd6-4cc9-99d0-c2a51e90d24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787.57</c:v>
                </c:pt>
                <c:pt idx="1">
                  <c:v>787.57</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694.48</c:v>
                </c:pt>
                <c:pt idx="1">
                  <c:v>694.48</c:v>
                </c:pt>
              </c:numCache>
            </c:numRef>
          </c:val>
        </c:ser>
        <c:dLbls>
          <c:showLegendKey val="0"/>
          <c:showVal val="1"/>
          <c:showCatName val="0"/>
          <c:showSerName val="0"/>
          <c:showPercent val="0"/>
          <c:showBubbleSize val="0"/>
        </c:dLbls>
        <c:gapWidth val="75"/>
        <c:overlap val="0"/>
        <c:axId val="627386267"/>
        <c:axId val="445867335"/>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财政拨款收入</c:v>
                      </c:pt>
                      <c:pt idx="1">
                        <c:v>财政拨款支出</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62738626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5867335"/>
        <c:crosses val="autoZero"/>
        <c:auto val="1"/>
        <c:lblAlgn val="ctr"/>
        <c:lblOffset val="100"/>
        <c:noMultiLvlLbl val="0"/>
      </c:catAx>
      <c:valAx>
        <c:axId val="445867335"/>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73862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b6985e4-b582-4b63-b204-6e6886bb88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c:f>
              <c:strCache>
                <c:ptCount val="1"/>
                <c:pt idx="0">
                  <c:v>一般公共预算财政拨款支出</c:v>
                </c:pt>
              </c:strCache>
            </c:strRef>
          </c:cat>
          <c:val>
            <c:numRef>
              <c:extLst>
                <c:ext xmlns:c15="http://schemas.microsoft.com/office/drawing/2012/chart" uri="{02D57815-91ED-43cb-92C2-25804820EDAC}">
                  <c15:fullRef>
                    <c15:sqref>Sheet1!$B$2:$B$5</c15:sqref>
                  </c15:fullRef>
                </c:ext>
              </c:extLst>
              <c:f>Sheet1!$B$2</c:f>
              <c:numCache>
                <c:formatCode>General</c:formatCode>
                <c:ptCount val="1"/>
                <c:pt idx="0">
                  <c:v>787.57</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c:f>
              <c:strCache>
                <c:ptCount val="1"/>
                <c:pt idx="0">
                  <c:v>一般公共预算财政拨款支出</c:v>
                </c:pt>
              </c:strCache>
            </c:strRef>
          </c:cat>
          <c:val>
            <c:numRef>
              <c:extLst>
                <c:ext xmlns:c15="http://schemas.microsoft.com/office/drawing/2012/chart" uri="{02D57815-91ED-43cb-92C2-25804820EDAC}">
                  <c15:fullRef>
                    <c15:sqref>Sheet1!$C$2:$C$5</c15:sqref>
                  </c15:fullRef>
                </c:ext>
              </c:extLst>
              <c:f>Sheet1!$C$2</c:f>
              <c:numCache>
                <c:formatCode>General</c:formatCode>
                <c:ptCount val="1"/>
                <c:pt idx="0">
                  <c:v>694.48</c:v>
                </c:pt>
              </c:numCache>
            </c:numRef>
          </c:val>
        </c:ser>
        <c:dLbls>
          <c:showLegendKey val="0"/>
          <c:showVal val="1"/>
          <c:showCatName val="0"/>
          <c:showSerName val="0"/>
          <c:showPercent val="0"/>
          <c:showBubbleSize val="0"/>
        </c:dLbls>
        <c:gapWidth val="75"/>
        <c:overlap val="0"/>
        <c:axId val="319950788"/>
        <c:axId val="988747734"/>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c15:sqref>
                        </c15:formulaRef>
                      </c:ext>
                    </c:extLst>
                    <c:strCache>
                      <c:ptCount val="1"/>
                      <c:pt idx="0">
                        <c:v>一般公共预算财政拨款支出</c:v>
                      </c:pt>
                    </c:strCache>
                  </c:strRef>
                </c:cat>
                <c:val>
                  <c:numRef>
                    <c:extLst>
                      <c:ext uri="{02D57815-91ED-43cb-92C2-25804820EDAC}">
                        <c15:fullRef>
                          <c15:sqref>Sheet1!$D$2:$D$5</c15:sqref>
                        </c15:fullRef>
                        <c15:formulaRef>
                          <c15:sqref>Sheet1!$D$2</c15:sqref>
                        </c15:formulaRef>
                      </c:ext>
                    </c:extLst>
                    <c:numCache>
                      <c:formatCode>General</c:formatCode>
                      <c:ptCount val="1"/>
                    </c:numCache>
                  </c:numRef>
                </c:val>
              </c15:ser>
            </c15:filteredBarSeries>
          </c:ext>
        </c:extLst>
      </c:barChart>
      <c:catAx>
        <c:axId val="3199507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8747734"/>
        <c:crosses val="autoZero"/>
        <c:auto val="1"/>
        <c:lblAlgn val="ctr"/>
        <c:lblOffset val="100"/>
        <c:noMultiLvlLbl val="0"/>
      </c:catAx>
      <c:valAx>
        <c:axId val="988747734"/>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99507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f889b61-c7c9-4f6f-986c-0cfd1e973b5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支出决算结构</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Pt>
            <c:idx val="3"/>
            <c:bubble3D val="0"/>
            <c:spPr>
              <a:solidFill>
                <a:schemeClr val="accent4"/>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一般公共安全支出</c:v>
                </c:pt>
                <c:pt idx="1">
                  <c:v>住房保障支出</c:v>
                </c:pt>
                <c:pt idx="2">
                  <c:v>社会保障和就业支出</c:v>
                </c:pt>
                <c:pt idx="3">
                  <c:v>卫生健康支出</c:v>
                </c:pt>
              </c:strCache>
            </c:strRef>
          </c:cat>
          <c:val>
            <c:numRef>
              <c:f>Sheet1!$B$2:$B$5</c:f>
              <c:numCache>
                <c:formatCode>General</c:formatCode>
                <c:ptCount val="4"/>
                <c:pt idx="0">
                  <c:v>77.11</c:v>
                </c:pt>
                <c:pt idx="1">
                  <c:v>6.99</c:v>
                </c:pt>
                <c:pt idx="2">
                  <c:v>10.5</c:v>
                </c:pt>
                <c:pt idx="3">
                  <c:v>5.4</c:v>
                </c:pt>
              </c:numCache>
            </c:numRef>
          </c:val>
        </c:ser>
        <c:dLbls>
          <c:showLegendKey val="0"/>
          <c:showVal val="0"/>
          <c:showCatName val="0"/>
          <c:showSerName val="0"/>
          <c:showPercent val="1"/>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e9324c-39b1-41c5-b9bc-73e8ce6b102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“三公”经费支出决算结构图</c:v>
                </c:pt>
              </c:strCache>
            </c:strRef>
          </c:tx>
          <c:spPr>
            <a:scene3d>
              <a:camera prst="orthographicFront"/>
              <a:lightRig rig="threePt" dir="t"/>
            </a:scene3d>
            <a:sp3d contourW="9525"/>
          </c:spPr>
          <c:explosion val="0"/>
          <c:dPt>
            <c:idx val="0"/>
            <c:bubble3D val="0"/>
            <c:spPr>
              <a:solidFill>
                <a:schemeClr val="accent1"/>
              </a:solidFill>
              <a:ln>
                <a:solidFill>
                  <a:schemeClr val="bg1"/>
                </a:solidFill>
              </a:ln>
              <a:effectLst/>
              <a:scene3d>
                <a:camera prst="orthographicFront"/>
                <a:lightRig rig="threePt" dir="t"/>
              </a:scene3d>
              <a:sp3d contourW="9525"/>
            </c:spPr>
          </c:dPt>
          <c:dPt>
            <c:idx val="1"/>
            <c:bubble3D val="0"/>
            <c:spPr>
              <a:solidFill>
                <a:schemeClr val="accent2"/>
              </a:solidFill>
              <a:ln>
                <a:solidFill>
                  <a:schemeClr val="bg1"/>
                </a:solidFill>
              </a:ln>
              <a:effectLst/>
              <a:scene3d>
                <a:camera prst="orthographicFront"/>
                <a:lightRig rig="threePt" dir="t"/>
              </a:scene3d>
              <a:sp3d contourW="9525"/>
            </c:spPr>
          </c:dPt>
          <c:dPt>
            <c:idx val="2"/>
            <c:bubble3D val="0"/>
            <c:spPr>
              <a:solidFill>
                <a:schemeClr val="accent3"/>
              </a:solidFill>
              <a:ln>
                <a:solidFill>
                  <a:schemeClr val="bg1"/>
                </a:solidFill>
              </a:ln>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v>91.33</c:v>
                </c:pt>
                <c:pt idx="2">
                  <c:v>8.67</c:v>
                </c:pt>
              </c:numCache>
            </c:numRef>
          </c:val>
        </c:ser>
        <c:dLbls>
          <c:showLegendKey val="0"/>
          <c:showVal val="0"/>
          <c:showCatName val="0"/>
          <c:showSerName val="0"/>
          <c:showPercent val="0"/>
          <c:showBubbleSize val="0"/>
        </c:dLbls>
      </c:pie3D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295822e-3736-43fd-9e61-aef815413d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1">
      <cs:styleClr val="auto"/>
    </cs:fillRef>
    <cs:effectRef idx="0"/>
    <cs:fontRef idx="minor">
      <a:schemeClr val="dk1"/>
    </cs:fontRef>
    <cs:spPr>
      <a:ln>
        <a:solidFill>
          <a:schemeClr val="bg1"/>
        </a:soli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26</Pages>
  <Words>1299</Words>
  <Characters>7410</Characters>
  <Lines>61</Lines>
  <Paragraphs>17</Paragraphs>
  <TotalTime>10</TotalTime>
  <ScaleCrop>false</ScaleCrop>
  <LinksUpToDate>false</LinksUpToDate>
  <CharactersWithSpaces>8692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user</cp:lastModifiedBy>
  <cp:lastPrinted>2026-08-04T17:27:00Z</cp:lastPrinted>
  <dcterms:modified xsi:type="dcterms:W3CDTF">2026-09-18T11:18:05Z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