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F26D1">
      <w:pPr>
        <w:adjustRightInd w:val="0"/>
        <w:snapToGrid w:val="0"/>
        <w:spacing w:line="360" w:lineRule="auto"/>
        <w:ind w:firstLine="1440" w:firstLineChars="200"/>
        <w:jc w:val="center"/>
        <w:outlineLvl w:val="9"/>
        <w:rPr>
          <w:rFonts w:hint="eastAsia" w:ascii="方正小标宋简体" w:hAnsi="方正小标宋简体" w:eastAsia="方正小标宋简体" w:cs="方正小标宋简体"/>
          <w:sz w:val="72"/>
          <w:szCs w:val="72"/>
        </w:rPr>
      </w:pPr>
      <w:bookmarkStart w:id="0" w:name="_Toc15396475"/>
      <w:bookmarkStart w:id="1" w:name="_Toc15396597"/>
      <w:bookmarkStart w:id="2" w:name="_Toc15377425"/>
      <w:bookmarkStart w:id="3" w:name="_Toc15377193"/>
      <w:bookmarkStart w:id="4" w:name="_Toc15378441"/>
      <w:bookmarkStart w:id="5" w:name="_Toc15306267"/>
    </w:p>
    <w:p w14:paraId="6510D985">
      <w:pPr>
        <w:adjustRightInd w:val="0"/>
        <w:snapToGrid w:val="0"/>
        <w:spacing w:line="360" w:lineRule="auto"/>
        <w:jc w:val="center"/>
        <w:outlineLvl w:val="9"/>
        <w:rPr>
          <w:rFonts w:hint="eastAsia" w:ascii="方正小标宋简体" w:hAnsi="方正小标宋简体" w:eastAsia="方正小标宋简体" w:cs="方正小标宋简体"/>
          <w:sz w:val="72"/>
          <w:szCs w:val="72"/>
        </w:rPr>
      </w:pPr>
    </w:p>
    <w:p w14:paraId="6407FC4C">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28834"/>
      <w:r>
        <w:rPr>
          <w:rFonts w:hint="eastAsia" w:ascii="方正小标宋简体" w:hAnsi="方正小标宋简体" w:eastAsia="方正小标宋简体" w:cs="方正小标宋简体"/>
          <w:sz w:val="72"/>
          <w:szCs w:val="72"/>
          <w:lang w:eastAsia="zh-CN"/>
        </w:rPr>
        <w:t>2025年度</w:t>
      </w:r>
      <w:bookmarkEnd w:id="0"/>
      <w:bookmarkEnd w:id="1"/>
      <w:bookmarkEnd w:id="2"/>
      <w:bookmarkEnd w:id="3"/>
      <w:bookmarkEnd w:id="4"/>
      <w:bookmarkEnd w:id="6"/>
    </w:p>
    <w:bookmarkEnd w:id="5"/>
    <w:p w14:paraId="6FDC2D36">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eastAsia="zh-CN"/>
        </w:rPr>
      </w:pPr>
      <w:bookmarkStart w:id="7" w:name="_Toc25527"/>
      <w:bookmarkStart w:id="8" w:name="_Toc15377194"/>
      <w:bookmarkStart w:id="9" w:name="_Toc15396476"/>
      <w:bookmarkStart w:id="10" w:name="_Toc15377426"/>
      <w:bookmarkStart w:id="11" w:name="_Toc15378442"/>
      <w:bookmarkStart w:id="12" w:name="_Toc15306268"/>
      <w:bookmarkStart w:id="13" w:name="_Toc15396598"/>
      <w:r>
        <w:rPr>
          <w:rFonts w:hint="eastAsia" w:ascii="方正小标宋简体" w:hAnsi="方正小标宋简体" w:eastAsia="方正小标宋简体" w:cs="方正小标宋简体"/>
          <w:sz w:val="72"/>
          <w:szCs w:val="72"/>
          <w:lang w:eastAsia="zh-CN"/>
        </w:rPr>
        <w:t>阿坝州黑水县人民法院</w:t>
      </w:r>
      <w:bookmarkEnd w:id="7"/>
    </w:p>
    <w:p w14:paraId="7CD0CFDB">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bookmarkStart w:id="14" w:name="_Toc391"/>
      <w:r>
        <w:rPr>
          <w:rFonts w:hint="eastAsia" w:ascii="方正小标宋简体" w:hAnsi="方正小标宋简体" w:eastAsia="方正小标宋简体" w:cs="方正小标宋简体"/>
          <w:sz w:val="72"/>
          <w:szCs w:val="72"/>
        </w:rPr>
        <w:t>部门决算</w:t>
      </w:r>
      <w:bookmarkEnd w:id="8"/>
      <w:bookmarkEnd w:id="9"/>
      <w:bookmarkEnd w:id="10"/>
      <w:bookmarkEnd w:id="11"/>
      <w:bookmarkEnd w:id="12"/>
      <w:bookmarkEnd w:id="13"/>
      <w:bookmarkEnd w:id="14"/>
    </w:p>
    <w:p w14:paraId="40C5060A">
      <w:pPr>
        <w:pStyle w:val="2"/>
        <w:jc w:val="center"/>
        <w:outlineLvl w:val="0"/>
        <w:rPr>
          <w:rFonts w:hint="eastAsia" w:ascii="方正小标宋简体" w:hAnsi="方正小标宋简体" w:eastAsia="方正小标宋简体" w:cs="方正小标宋简体"/>
          <w:sz w:val="72"/>
          <w:szCs w:val="72"/>
          <w:lang w:val="en-US" w:eastAsia="zh-CN"/>
        </w:rPr>
      </w:pPr>
      <w:bookmarkStart w:id="15" w:name="_Toc29470"/>
      <w:r>
        <w:rPr>
          <w:rFonts w:hint="eastAsia" w:ascii="仿宋_GB2312" w:hAnsi="仿宋_GB2312" w:eastAsia="仿宋_GB2312" w:cs="仿宋_GB2312"/>
          <w:b w:val="0"/>
          <w:bCs/>
          <w:sz w:val="32"/>
          <w:szCs w:val="32"/>
          <w:lang w:val="en-US" w:eastAsia="zh-CN"/>
        </w:rPr>
        <w:t>已经保密审查、内容审定，同意对外公开</w:t>
      </w:r>
      <w:bookmarkEnd w:id="15"/>
    </w:p>
    <w:p w14:paraId="3258E938">
      <w:pPr>
        <w:widowControl/>
        <w:ind w:firstLine="720" w:firstLineChars="200"/>
        <w:jc w:val="center"/>
        <w:rPr>
          <w:rFonts w:ascii="方正小标宋简体" w:hAnsi="宋体" w:eastAsia="方正小标宋简体"/>
          <w:sz w:val="36"/>
          <w:szCs w:val="36"/>
        </w:rPr>
      </w:pPr>
      <w:r>
        <w:rPr>
          <w:rFonts w:ascii="方正小标宋简体" w:hAnsi="宋体" w:eastAsia="方正小标宋简体"/>
          <w:sz w:val="36"/>
          <w:szCs w:val="36"/>
        </w:rPr>
        <w:br w:type="page"/>
      </w:r>
    </w:p>
    <w:p w14:paraId="05588922">
      <w:pPr>
        <w:widowControl/>
        <w:ind w:firstLine="960" w:firstLineChars="200"/>
        <w:jc w:val="center"/>
        <w:rPr>
          <w:rFonts w:hint="eastAsia" w:ascii="黑体" w:hAnsi="黑体" w:eastAsia="黑体"/>
          <w:sz w:val="48"/>
          <w:szCs w:val="48"/>
        </w:rPr>
      </w:pPr>
      <w:r>
        <w:rPr>
          <w:rFonts w:hint="eastAsia" w:ascii="黑体" w:hAnsi="黑体" w:eastAsia="黑体"/>
          <w:sz w:val="48"/>
          <w:szCs w:val="48"/>
        </w:rPr>
        <w:t>目录</w:t>
      </w:r>
    </w:p>
    <w:p w14:paraId="33EEFA89">
      <w:pPr>
        <w:pStyle w:val="13"/>
      </w:pPr>
    </w:p>
    <w:p w14:paraId="0D35F014">
      <w:pPr>
        <w:pStyle w:val="11"/>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公开时间：2026年　9月18　日</w:t>
      </w:r>
    </w:p>
    <w:sdt>
      <w:sdtPr>
        <w:rPr>
          <w:rFonts w:ascii="宋体" w:hAnsi="宋体" w:eastAsia="宋体" w:cs="Times New Roman"/>
          <w:color w:val="auto"/>
          <w:kern w:val="2"/>
          <w:sz w:val="21"/>
          <w:szCs w:val="24"/>
          <w:lang w:val="en-US" w:eastAsia="zh-CN" w:bidi="ar-SA"/>
        </w:rPr>
        <w:id w:val="147453573"/>
        <w15:color w:val="DBDBDB"/>
        <w:docPartObj>
          <w:docPartGallery w:val="Table of Contents"/>
          <w:docPartUnique/>
        </w:docPartObj>
      </w:sdtPr>
      <w:sdtEndPr>
        <w:rPr>
          <w:rFonts w:ascii="Calibri" w:hAnsi="Calibri" w:eastAsia="宋体" w:cs="Times New Roman"/>
          <w:b/>
          <w:color w:val="auto"/>
          <w:kern w:val="2"/>
          <w:sz w:val="18"/>
          <w:szCs w:val="18"/>
          <w:lang w:val="en-US" w:eastAsia="zh-CN" w:bidi="ar-SA"/>
        </w:rPr>
      </w:sdtEndPr>
      <w:sdtContent>
        <w:p w14:paraId="182724A0">
          <w:pPr>
            <w:spacing w:before="0" w:beforeLines="0" w:after="0" w:afterLines="0" w:line="240" w:lineRule="auto"/>
            <w:ind w:left="0" w:leftChars="0" w:right="0" w:rightChars="0" w:firstLine="0" w:firstLineChars="0"/>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TOC \o "1-2" \h \u </w:instrText>
          </w:r>
          <w:r>
            <w:rPr>
              <w:rFonts w:hint="eastAsia" w:ascii="仿宋_GB2312" w:hAnsi="仿宋_GB2312" w:eastAsia="仿宋_GB2312" w:cs="仿宋_GB2312"/>
              <w:b w:val="0"/>
              <w:bCs w:val="0"/>
              <w:sz w:val="32"/>
              <w:szCs w:val="32"/>
            </w:rPr>
            <w:fldChar w:fldCharType="separate"/>
          </w:r>
        </w:p>
        <w:p w14:paraId="651C266B">
          <w:pPr>
            <w:pStyle w:val="29"/>
            <w:tabs>
              <w:tab w:val="right" w:leader="dot" w:pos="8528"/>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_Toc27834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第一部分 部门概况</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_Toc27834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4</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6374933D">
          <w:pPr>
            <w:pStyle w:val="28"/>
            <w:tabs>
              <w:tab w:val="right" w:leader="dot" w:pos="8528"/>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_Toc18036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一、 部门职责</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_Toc18036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4</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4FE11FCB">
          <w:pPr>
            <w:pStyle w:val="28"/>
            <w:tabs>
              <w:tab w:val="right" w:leader="dot" w:pos="8528"/>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_Toc4235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二、机构设置</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_Toc4235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4</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071BB915">
          <w:pPr>
            <w:pStyle w:val="29"/>
            <w:tabs>
              <w:tab w:val="right" w:leader="dot" w:pos="8528"/>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_Toc27554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第二部分 2025年度部门决算情况说明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_Toc27554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5</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3A0FFE0B">
          <w:pPr>
            <w:pStyle w:val="28"/>
            <w:tabs>
              <w:tab w:val="right" w:leader="dot" w:pos="8528"/>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_Toc12468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一、</w:t>
          </w:r>
          <w:r>
            <w:rPr>
              <w:rFonts w:hint="eastAsia" w:ascii="仿宋_GB2312" w:hAnsi="仿宋_GB2312" w:eastAsia="仿宋_GB2312" w:cs="仿宋_GB2312"/>
              <w:b w:val="0"/>
              <w:bCs w:val="0"/>
              <w:sz w:val="32"/>
              <w:szCs w:val="32"/>
            </w:rPr>
            <w:t>收入支出决算总体情况说明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_Toc12468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5</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06C6929E">
          <w:pPr>
            <w:pStyle w:val="28"/>
            <w:tabs>
              <w:tab w:val="right" w:leader="dot" w:pos="8528"/>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_Toc5932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二、</w:t>
          </w:r>
          <w:r>
            <w:rPr>
              <w:rFonts w:hint="eastAsia" w:ascii="仿宋_GB2312" w:hAnsi="仿宋_GB2312" w:eastAsia="仿宋_GB2312" w:cs="仿宋_GB2312"/>
              <w:b w:val="0"/>
              <w:bCs w:val="0"/>
              <w:sz w:val="32"/>
              <w:szCs w:val="32"/>
            </w:rPr>
            <w:t>收入决算情况说明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_Toc5932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5</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06AEE559">
          <w:pPr>
            <w:pStyle w:val="28"/>
            <w:tabs>
              <w:tab w:val="right" w:leader="dot" w:pos="8528"/>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_Toc2545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三、</w:t>
          </w:r>
          <w:r>
            <w:rPr>
              <w:rFonts w:hint="eastAsia" w:ascii="仿宋_GB2312" w:hAnsi="仿宋_GB2312" w:eastAsia="仿宋_GB2312" w:cs="仿宋_GB2312"/>
              <w:b w:val="0"/>
              <w:bCs w:val="0"/>
              <w:sz w:val="32"/>
              <w:szCs w:val="32"/>
            </w:rPr>
            <w:t>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_Toc2545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6</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2DD992C4">
          <w:pPr>
            <w:pStyle w:val="28"/>
            <w:tabs>
              <w:tab w:val="right" w:leader="dot" w:pos="8528"/>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_Toc12827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四、财政拨款收入支出决算总体情况说明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_Toc12827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7</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040E0800">
          <w:pPr>
            <w:pStyle w:val="28"/>
            <w:tabs>
              <w:tab w:val="right" w:leader="dot" w:pos="8528"/>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_Toc13044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五、一般公共预算财政拨款支出决算情况说明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_Toc13044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7</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193E6909">
          <w:pPr>
            <w:pStyle w:val="28"/>
            <w:tabs>
              <w:tab w:val="right" w:leader="dot" w:pos="8528"/>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_Toc1513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六、一般公共预算财政拨款基本支出决算情况说明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_Toc1513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10</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19FDED28">
          <w:pPr>
            <w:pStyle w:val="28"/>
            <w:tabs>
              <w:tab w:val="right" w:leader="dot" w:pos="8528"/>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_Toc18559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七、财政拨款“三公”经费支出决算情况说明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_Toc18559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10</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55332BC7">
          <w:pPr>
            <w:pStyle w:val="28"/>
            <w:tabs>
              <w:tab w:val="right" w:leader="dot" w:pos="8528"/>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_Toc23180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八、政府性基金预算支出决算情况说明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_Toc23180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12</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3399B621">
          <w:pPr>
            <w:pStyle w:val="28"/>
            <w:tabs>
              <w:tab w:val="right" w:leader="dot" w:pos="8528"/>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_Toc12903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九、 国有资本经营预算支出决算情况说明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_Toc12903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12</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554386C8">
          <w:pPr>
            <w:pStyle w:val="28"/>
            <w:tabs>
              <w:tab w:val="right" w:leader="dot" w:pos="8528"/>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_Toc28295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十、 其他重要事项的情况说明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_Toc28295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12</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031A8D46">
          <w:pPr>
            <w:pStyle w:val="29"/>
            <w:tabs>
              <w:tab w:val="right" w:leader="dot" w:pos="8528"/>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_Toc26115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第三部分 名词解释</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_Toc26115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15</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17DC0D56">
          <w:pPr>
            <w:pStyle w:val="29"/>
            <w:tabs>
              <w:tab w:val="right" w:leader="dot" w:pos="8528"/>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_Toc11102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highlight w:val="none"/>
            </w:rPr>
            <w:t>第四部分</w:t>
          </w:r>
          <w:r>
            <w:rPr>
              <w:rFonts w:hint="eastAsia" w:ascii="仿宋_GB2312" w:hAnsi="仿宋_GB2312" w:eastAsia="仿宋_GB2312" w:cs="仿宋_GB2312"/>
              <w:b w:val="0"/>
              <w:bCs w:val="0"/>
              <w:sz w:val="32"/>
              <w:szCs w:val="32"/>
              <w:highlight w:val="none"/>
              <w:lang w:val="en-US" w:eastAsia="zh-CN"/>
            </w:rPr>
            <w:t xml:space="preserve"> </w:t>
          </w:r>
          <w:r>
            <w:rPr>
              <w:rFonts w:hint="eastAsia" w:ascii="仿宋_GB2312" w:hAnsi="仿宋_GB2312" w:eastAsia="仿宋_GB2312" w:cs="仿宋_GB2312"/>
              <w:b w:val="0"/>
              <w:bCs w:val="0"/>
              <w:sz w:val="32"/>
              <w:szCs w:val="32"/>
              <w:highlight w:val="none"/>
            </w:rPr>
            <w:t xml:space="preserve"> 附件</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_Toc11102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17</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391707F3">
          <w:pPr>
            <w:pStyle w:val="28"/>
            <w:tabs>
              <w:tab w:val="right" w:leader="dot" w:pos="8528"/>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_Toc27770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highlight w:val="none"/>
              <w:shd w:val="clear" w:color="auto" w:fill="FFFFFF"/>
            </w:rPr>
            <w:t>部门</w:t>
          </w:r>
          <w:r>
            <w:rPr>
              <w:rFonts w:hint="eastAsia" w:ascii="仿宋_GB2312" w:hAnsi="仿宋_GB2312" w:eastAsia="仿宋_GB2312" w:cs="仿宋_GB2312"/>
              <w:b w:val="0"/>
              <w:bCs w:val="0"/>
              <w:sz w:val="32"/>
              <w:szCs w:val="32"/>
              <w:highlight w:val="none"/>
              <w:shd w:val="clear" w:color="auto" w:fill="FFFFFF"/>
              <w:lang w:eastAsia="zh-CN"/>
            </w:rPr>
            <w:t>预算</w:t>
          </w:r>
          <w:r>
            <w:rPr>
              <w:rFonts w:hint="eastAsia" w:ascii="仿宋_GB2312" w:hAnsi="仿宋_GB2312" w:eastAsia="仿宋_GB2312" w:cs="仿宋_GB2312"/>
              <w:b w:val="0"/>
              <w:bCs w:val="0"/>
              <w:sz w:val="32"/>
              <w:szCs w:val="32"/>
              <w:highlight w:val="none"/>
              <w:shd w:val="clear" w:color="auto" w:fill="FFFFFF"/>
            </w:rPr>
            <w:t>绩效</w:t>
          </w:r>
          <w:r>
            <w:rPr>
              <w:rFonts w:hint="eastAsia" w:ascii="仿宋_GB2312" w:hAnsi="仿宋_GB2312" w:eastAsia="仿宋_GB2312" w:cs="仿宋_GB2312"/>
              <w:b w:val="0"/>
              <w:bCs w:val="0"/>
              <w:sz w:val="32"/>
              <w:szCs w:val="32"/>
              <w:highlight w:val="none"/>
              <w:shd w:val="clear" w:color="auto" w:fill="FFFFFF"/>
              <w:lang w:eastAsia="zh-CN"/>
            </w:rPr>
            <w:t>评价</w:t>
          </w:r>
          <w:r>
            <w:rPr>
              <w:rFonts w:hint="eastAsia" w:ascii="仿宋_GB2312" w:hAnsi="仿宋_GB2312" w:eastAsia="仿宋_GB2312" w:cs="仿宋_GB2312"/>
              <w:b w:val="0"/>
              <w:bCs w:val="0"/>
              <w:sz w:val="32"/>
              <w:szCs w:val="32"/>
              <w:highlight w:val="none"/>
              <w:shd w:val="clear" w:color="auto" w:fill="FFFFFF"/>
            </w:rPr>
            <w:t>报告</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_Toc27770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17</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630397A3">
          <w:pPr>
            <w:pStyle w:val="28"/>
            <w:tabs>
              <w:tab w:val="right" w:leader="dot" w:pos="8528"/>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_Toc4567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kern w:val="0"/>
              <w:sz w:val="32"/>
              <w:szCs w:val="32"/>
              <w:shd w:val="clear" w:color="auto" w:fill="FFFFFF"/>
              <w:lang w:val="zh-CN"/>
            </w:rPr>
            <w:t>一、部门（单位）基本情况</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_Toc4567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17</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08FB04B0">
          <w:pPr>
            <w:pStyle w:val="28"/>
            <w:tabs>
              <w:tab w:val="right" w:leader="dot" w:pos="8528"/>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_Toc16862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kern w:val="0"/>
              <w:sz w:val="32"/>
              <w:szCs w:val="32"/>
              <w:shd w:val="clear" w:color="auto" w:fill="FFFFFF"/>
            </w:rPr>
            <w:t>二、部门资金收支情况</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_Toc16862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36544C08">
          <w:pPr>
            <w:pStyle w:val="28"/>
            <w:tabs>
              <w:tab w:val="right" w:leader="dot" w:pos="8528"/>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_Toc736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kern w:val="0"/>
              <w:sz w:val="32"/>
              <w:szCs w:val="32"/>
              <w:highlight w:val="none"/>
              <w:shd w:val="clear" w:color="auto" w:fill="FFFFFF"/>
            </w:rPr>
            <w:t>三、部门预算绩效分析</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_Toc736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44B58C98">
          <w:pPr>
            <w:pStyle w:val="28"/>
            <w:tabs>
              <w:tab w:val="right" w:leader="dot" w:pos="8528"/>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_Toc30789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kern w:val="0"/>
              <w:sz w:val="32"/>
              <w:szCs w:val="32"/>
              <w:shd w:val="clear" w:color="auto" w:fill="FFFFFF"/>
            </w:rPr>
            <w:t>四、评价结论及建议</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_Toc30789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27</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70F24215">
          <w:pPr>
            <w:pStyle w:val="29"/>
            <w:tabs>
              <w:tab w:val="right" w:leader="dot" w:pos="8528"/>
            </w:tabs>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_Toc24418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第五部分 附表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_Toc24418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32</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55DC339D">
          <w:pPr>
            <w:pStyle w:val="13"/>
            <w:rPr>
              <w:rFonts w:ascii="Calibri" w:hAnsi="Calibri" w:eastAsia="宋体" w:cs="Times New Roman"/>
              <w:b/>
              <w:color w:val="auto"/>
              <w:kern w:val="2"/>
              <w:sz w:val="18"/>
              <w:szCs w:val="18"/>
              <w:lang w:val="en-US" w:eastAsia="zh-CN" w:bidi="ar-SA"/>
            </w:rPr>
          </w:pPr>
          <w:r>
            <w:rPr>
              <w:rFonts w:hint="eastAsia" w:ascii="仿宋_GB2312" w:hAnsi="仿宋_GB2312" w:eastAsia="仿宋_GB2312" w:cs="仿宋_GB2312"/>
              <w:b w:val="0"/>
              <w:bCs w:val="0"/>
              <w:sz w:val="32"/>
              <w:szCs w:val="32"/>
            </w:rPr>
            <w:fldChar w:fldCharType="end"/>
          </w:r>
        </w:p>
      </w:sdtContent>
    </w:sdt>
    <w:p w14:paraId="6B5850EF">
      <w:pPr>
        <w:pStyle w:val="14"/>
      </w:pPr>
    </w:p>
    <w:p w14:paraId="67A94467">
      <w:pPr>
        <w:pStyle w:val="3"/>
        <w:pageBreakBefore w:val="0"/>
        <w:widowControl w:val="0"/>
        <w:kinsoku/>
        <w:wordWrap/>
        <w:overflowPunct/>
        <w:topLinePunct w:val="0"/>
        <w:autoSpaceDE/>
        <w:autoSpaceDN/>
        <w:bidi w:val="0"/>
        <w:adjustRightInd/>
        <w:snapToGrid/>
        <w:spacing w:line="560" w:lineRule="exact"/>
        <w:ind w:firstLine="880" w:firstLineChars="200"/>
        <w:jc w:val="center"/>
        <w:textAlignment w:val="auto"/>
        <w:outlineLvl w:val="9"/>
        <w:rPr>
          <w:rFonts w:hint="eastAsia" w:ascii="黑体" w:hAnsi="黑体" w:eastAsia="黑体"/>
          <w:b w:val="0"/>
        </w:rPr>
      </w:pPr>
      <w:bookmarkStart w:id="16" w:name="_Toc1967984326_WPSOffice_Level1"/>
      <w:bookmarkStart w:id="17" w:name="_Toc1492048074_WPSOffice_Level1"/>
      <w:bookmarkStart w:id="18" w:name="_Toc259794507_WPSOffice_Level1"/>
    </w:p>
    <w:p w14:paraId="14263803">
      <w:pPr>
        <w:rPr>
          <w:rFonts w:hint="eastAsia" w:ascii="黑体" w:hAnsi="黑体" w:eastAsia="黑体"/>
          <w:b w:val="0"/>
        </w:rPr>
      </w:pPr>
    </w:p>
    <w:p w14:paraId="54769A2C">
      <w:pPr>
        <w:pStyle w:val="2"/>
        <w:rPr>
          <w:rFonts w:hint="eastAsia" w:ascii="黑体" w:hAnsi="黑体" w:eastAsia="黑体"/>
          <w:b w:val="0"/>
        </w:rPr>
      </w:pPr>
    </w:p>
    <w:p w14:paraId="68CC2A76">
      <w:pPr>
        <w:rPr>
          <w:rFonts w:hint="eastAsia" w:ascii="黑体" w:hAnsi="黑体" w:eastAsia="黑体"/>
          <w:b w:val="0"/>
        </w:rPr>
      </w:pPr>
    </w:p>
    <w:p w14:paraId="024FADFC">
      <w:pPr>
        <w:pStyle w:val="2"/>
        <w:rPr>
          <w:rFonts w:hint="eastAsia" w:ascii="黑体" w:hAnsi="黑体" w:eastAsia="黑体"/>
          <w:b w:val="0"/>
        </w:rPr>
      </w:pPr>
    </w:p>
    <w:p w14:paraId="0661C681">
      <w:pPr>
        <w:rPr>
          <w:rFonts w:hint="eastAsia" w:ascii="黑体" w:hAnsi="黑体" w:eastAsia="黑体"/>
          <w:b w:val="0"/>
        </w:rPr>
      </w:pPr>
    </w:p>
    <w:p w14:paraId="6C1C409F">
      <w:pPr>
        <w:pStyle w:val="2"/>
        <w:rPr>
          <w:rFonts w:hint="eastAsia" w:ascii="黑体" w:hAnsi="黑体" w:eastAsia="黑体"/>
          <w:b w:val="0"/>
        </w:rPr>
      </w:pPr>
    </w:p>
    <w:p w14:paraId="03722956">
      <w:pPr>
        <w:rPr>
          <w:rFonts w:hint="eastAsia" w:ascii="黑体" w:hAnsi="黑体" w:eastAsia="黑体"/>
          <w:b w:val="0"/>
        </w:rPr>
      </w:pPr>
    </w:p>
    <w:p w14:paraId="02F134FB">
      <w:pPr>
        <w:pStyle w:val="2"/>
        <w:rPr>
          <w:rFonts w:hint="eastAsia" w:ascii="黑体" w:hAnsi="黑体" w:eastAsia="黑体"/>
          <w:b w:val="0"/>
        </w:rPr>
      </w:pPr>
    </w:p>
    <w:p w14:paraId="5146D309">
      <w:pPr>
        <w:rPr>
          <w:rFonts w:hint="eastAsia" w:ascii="黑体" w:hAnsi="黑体" w:eastAsia="黑体"/>
          <w:b w:val="0"/>
        </w:rPr>
      </w:pPr>
    </w:p>
    <w:p w14:paraId="0EFD83A2">
      <w:pPr>
        <w:pStyle w:val="2"/>
        <w:rPr>
          <w:rFonts w:hint="eastAsia" w:ascii="黑体" w:hAnsi="黑体" w:eastAsia="黑体"/>
          <w:b w:val="0"/>
        </w:rPr>
      </w:pPr>
    </w:p>
    <w:p w14:paraId="68DF3002">
      <w:pPr>
        <w:rPr>
          <w:rFonts w:hint="eastAsia" w:ascii="黑体" w:hAnsi="黑体" w:eastAsia="黑体"/>
          <w:b w:val="0"/>
        </w:rPr>
      </w:pPr>
    </w:p>
    <w:p w14:paraId="69BBDA10">
      <w:pPr>
        <w:pStyle w:val="2"/>
        <w:rPr>
          <w:rFonts w:hint="eastAsia" w:ascii="黑体" w:hAnsi="黑体" w:eastAsia="黑体"/>
          <w:b w:val="0"/>
        </w:rPr>
      </w:pPr>
    </w:p>
    <w:p w14:paraId="7E27BD1C">
      <w:pPr>
        <w:rPr>
          <w:rFonts w:hint="eastAsia"/>
        </w:rPr>
      </w:pPr>
    </w:p>
    <w:p w14:paraId="207F870A">
      <w:pPr>
        <w:pStyle w:val="3"/>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ascii="黑体" w:eastAsia="黑体"/>
          <w:sz w:val="32"/>
          <w:szCs w:val="32"/>
        </w:rPr>
      </w:pPr>
      <w:bookmarkStart w:id="19" w:name="_Toc27834"/>
      <w:r>
        <w:rPr>
          <w:rFonts w:hint="eastAsia" w:ascii="黑体" w:hAnsi="黑体" w:eastAsia="黑体"/>
          <w:b w:val="0"/>
        </w:rPr>
        <w:t xml:space="preserve">第一部分 </w:t>
      </w:r>
      <w:r>
        <w:rPr>
          <w:rStyle w:val="22"/>
          <w:rFonts w:hint="eastAsia" w:ascii="黑体" w:hAnsi="黑体" w:eastAsia="黑体"/>
          <w:b w:val="0"/>
          <w:bCs w:val="0"/>
        </w:rPr>
        <w:t>部门概况</w:t>
      </w:r>
      <w:bookmarkEnd w:id="16"/>
      <w:bookmarkEnd w:id="17"/>
      <w:bookmarkEnd w:id="18"/>
      <w:bookmarkEnd w:id="19"/>
    </w:p>
    <w:p w14:paraId="002E2176">
      <w:pPr>
        <w:pStyle w:val="4"/>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b w:val="0"/>
        </w:rPr>
      </w:pPr>
      <w:bookmarkStart w:id="20" w:name="_Toc1712802907_WPSOffice_Level2"/>
      <w:bookmarkStart w:id="21" w:name="_Toc18036"/>
      <w:r>
        <w:rPr>
          <w:rFonts w:hint="eastAsia" w:ascii="黑体" w:hAnsi="黑体" w:eastAsia="黑体"/>
          <w:b w:val="0"/>
        </w:rPr>
        <w:t>部门职责</w:t>
      </w:r>
      <w:bookmarkEnd w:id="20"/>
      <w:bookmarkEnd w:id="21"/>
    </w:p>
    <w:p w14:paraId="59B1C20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（一）主要职能。</w:t>
      </w:r>
      <w:bookmarkStart w:id="22" w:name="_Toc15396601"/>
      <w:bookmarkStart w:id="23" w:name="_Toc15377200"/>
      <w:bookmarkStart w:id="24" w:name="_Toc1233075718_WPSOffice_Level2"/>
      <w:r>
        <w:rPr>
          <w:rFonts w:hint="eastAsia" w:ascii="仿宋_GB2312" w:hAnsi="仿宋_GB2312" w:eastAsia="仿宋_GB2312" w:cs="仿宋_GB2312"/>
          <w:sz w:val="32"/>
          <w:szCs w:val="32"/>
        </w:rPr>
        <w:t>法院作为国家审判机关，在各级党委、政府的指导下依法独立行使审判权，对县人民代表大会及其常务委员会负责并报告工作。人民法院作为国家的司法机关，承担着维护社会公平正义、保障公民权益、维护法律尊严的重要职责。它的主要职能包括审判、执行和监督，通过司法权力的行使，维护社会秩序，保护人民的合法权益，促进社会稳定和经济发展。</w:t>
      </w:r>
    </w:p>
    <w:p w14:paraId="22440DB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人员情况。现有政法专项编制</w:t>
      </w:r>
      <w:r>
        <w:rPr>
          <w:rFonts w:hint="eastAsia" w:ascii="仿宋_GB2312" w:hAnsi="仿宋_GB2312" w:eastAsia="仿宋_GB2312" w:cs="仿宋_GB2312"/>
          <w:sz w:val="32"/>
          <w:szCs w:val="32"/>
          <w:lang w:val="en-US" w:eastAsia="zh-CN"/>
        </w:rPr>
        <w:t>52</w:t>
      </w:r>
      <w:r>
        <w:rPr>
          <w:rFonts w:hint="eastAsia" w:ascii="仿宋_GB2312" w:hAnsi="仿宋_GB2312" w:eastAsia="仿宋_GB2312" w:cs="仿宋_GB2312"/>
          <w:sz w:val="32"/>
          <w:szCs w:val="32"/>
        </w:rPr>
        <w:t>名，行政工勤编制</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名；在编在岗干警</w:t>
      </w:r>
      <w:r>
        <w:rPr>
          <w:rFonts w:hint="eastAsia" w:ascii="仿宋_GB2312" w:hAnsi="仿宋_GB2312" w:eastAsia="仿宋_GB2312" w:cs="仿宋_GB2312"/>
          <w:sz w:val="32"/>
          <w:szCs w:val="32"/>
          <w:lang w:val="en-US" w:eastAsia="zh-CN"/>
        </w:rPr>
        <w:t>47</w:t>
      </w:r>
      <w:r>
        <w:rPr>
          <w:rFonts w:hint="eastAsia" w:ascii="仿宋_GB2312" w:hAnsi="仿宋_GB2312" w:eastAsia="仿宋_GB2312" w:cs="仿宋_GB2312"/>
          <w:sz w:val="32"/>
          <w:szCs w:val="32"/>
        </w:rPr>
        <w:t>人，聘用制书记员</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人。</w:t>
      </w:r>
    </w:p>
    <w:p w14:paraId="64DE8AE8">
      <w:pPr>
        <w:pStyle w:val="4"/>
        <w:pageBreakBefore w:val="0"/>
        <w:widowControl w:val="0"/>
        <w:kinsoku/>
        <w:wordWrap/>
        <w:overflowPunct/>
        <w:topLinePunct w:val="0"/>
        <w:autoSpaceDE/>
        <w:autoSpaceDN/>
        <w:bidi w:val="0"/>
        <w:adjustRightInd/>
        <w:snapToGrid/>
        <w:spacing w:line="560" w:lineRule="exact"/>
        <w:ind w:firstLine="640" w:firstLineChars="200"/>
        <w:textAlignment w:val="auto"/>
        <w:rPr>
          <w:rStyle w:val="23"/>
          <w:b w:val="0"/>
          <w:bCs w:val="0"/>
        </w:rPr>
      </w:pPr>
      <w:bookmarkStart w:id="25" w:name="_Toc4235"/>
      <w:r>
        <w:rPr>
          <w:rFonts w:hint="eastAsia" w:ascii="黑体" w:eastAsia="黑体"/>
          <w:b w:val="0"/>
        </w:rPr>
        <w:t>二、</w:t>
      </w:r>
      <w:r>
        <w:rPr>
          <w:rFonts w:hint="eastAsia" w:ascii="黑体" w:hAnsi="黑体" w:eastAsia="黑体"/>
          <w:b w:val="0"/>
        </w:rPr>
        <w:t>机</w:t>
      </w:r>
      <w:r>
        <w:rPr>
          <w:rStyle w:val="23"/>
          <w:rFonts w:hint="eastAsia" w:ascii="黑体" w:hAnsi="黑体" w:eastAsia="黑体"/>
          <w:b w:val="0"/>
          <w:bCs w:val="0"/>
        </w:rPr>
        <w:t>构设置</w:t>
      </w:r>
      <w:bookmarkEnd w:id="22"/>
      <w:bookmarkEnd w:id="23"/>
      <w:bookmarkEnd w:id="24"/>
      <w:bookmarkEnd w:id="25"/>
    </w:p>
    <w:p w14:paraId="69499BB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26" w:name="_Toc15377204"/>
      <w:bookmarkStart w:id="27" w:name="_Toc15396602"/>
      <w:r>
        <w:rPr>
          <w:rFonts w:hint="eastAsia" w:ascii="仿宋_GB2312" w:hAnsi="仿宋_GB2312" w:eastAsia="仿宋_GB2312" w:cs="仿宋_GB2312"/>
          <w:sz w:val="32"/>
          <w:szCs w:val="32"/>
        </w:rPr>
        <w:t>黑水县人民法院属于行政单位，无下属二级单位。其中内设机构8个，包括政治部（督察室）、综合办公室、民庭（环境资源审判庭）、刑庭、执行局、立案庭（诉讼服务中心）、行政审判庭（未成年人案件审判庭）、审判管理办公室（研究室）。</w:t>
      </w:r>
    </w:p>
    <w:p w14:paraId="0146BCEF">
      <w:pPr>
        <w:pStyle w:val="3"/>
        <w:ind w:right="440"/>
        <w:jc w:val="both"/>
        <w:outlineLvl w:val="9"/>
        <w:rPr>
          <w:rFonts w:hint="eastAsia" w:ascii="黑体" w:hAnsi="黑体" w:eastAsia="黑体"/>
          <w:b w:val="0"/>
        </w:rPr>
      </w:pPr>
      <w:bookmarkStart w:id="28" w:name="_Toc147807194_WPSOffice_Level1"/>
      <w:bookmarkStart w:id="29" w:name="_Toc866545342_WPSOffice_Level1"/>
      <w:bookmarkStart w:id="30" w:name="_Toc271692791_WPSOffice_Level1"/>
    </w:p>
    <w:p w14:paraId="775B3D21">
      <w:pPr>
        <w:rPr>
          <w:rFonts w:hint="eastAsia"/>
        </w:rPr>
      </w:pPr>
    </w:p>
    <w:p w14:paraId="0B1B10F4">
      <w:pPr>
        <w:pStyle w:val="3"/>
        <w:ind w:right="440"/>
        <w:jc w:val="center"/>
        <w:rPr>
          <w:rStyle w:val="22"/>
          <w:rFonts w:ascii="黑体" w:hAnsi="黑体" w:eastAsia="黑体"/>
          <w:b w:val="0"/>
          <w:bCs/>
        </w:rPr>
      </w:pPr>
      <w:bookmarkStart w:id="31" w:name="_Toc27554"/>
      <w:r>
        <w:rPr>
          <w:rFonts w:hint="eastAsia" w:ascii="黑体" w:hAnsi="黑体" w:eastAsia="黑体"/>
          <w:b w:val="0"/>
        </w:rPr>
        <w:t>第二部分 2025年度部门决算情况说明</w:t>
      </w:r>
      <w:bookmarkEnd w:id="26"/>
      <w:bookmarkEnd w:id="27"/>
      <w:bookmarkEnd w:id="28"/>
      <w:bookmarkEnd w:id="29"/>
      <w:bookmarkEnd w:id="30"/>
      <w:bookmarkEnd w:id="31"/>
    </w:p>
    <w:p w14:paraId="74037422">
      <w:pPr>
        <w:pStyle w:val="26"/>
        <w:numPr>
          <w:ilvl w:val="0"/>
          <w:numId w:val="0"/>
        </w:numPr>
        <w:spacing w:line="600" w:lineRule="exact"/>
        <w:ind w:leftChars="0"/>
        <w:jc w:val="left"/>
        <w:outlineLvl w:val="1"/>
        <w:rPr>
          <w:rStyle w:val="23"/>
          <w:rFonts w:ascii="黑体" w:hAnsi="黑体" w:eastAsia="黑体"/>
          <w:b w:val="0"/>
        </w:rPr>
      </w:pPr>
      <w:bookmarkStart w:id="32" w:name="_Toc15396603"/>
      <w:bookmarkStart w:id="33" w:name="_Toc15377205"/>
      <w:bookmarkStart w:id="34" w:name="_Toc1263987493_WPSOffice_Level2"/>
      <w:bookmarkStart w:id="35" w:name="_Toc12468"/>
      <w:r>
        <w:rPr>
          <w:rFonts w:hint="eastAsia" w:ascii="黑体" w:hAnsi="黑体" w:eastAsia="黑体"/>
          <w:sz w:val="32"/>
          <w:szCs w:val="32"/>
          <w:lang w:eastAsia="zh-CN"/>
        </w:rPr>
        <w:t>一、</w:t>
      </w:r>
      <w:r>
        <w:rPr>
          <w:rFonts w:hint="eastAsia" w:ascii="黑体" w:hAnsi="黑体" w:eastAsia="黑体"/>
          <w:sz w:val="32"/>
          <w:szCs w:val="32"/>
        </w:rPr>
        <w:t>收</w:t>
      </w:r>
      <w:r>
        <w:rPr>
          <w:rStyle w:val="23"/>
          <w:rFonts w:hint="eastAsia" w:ascii="黑体" w:hAnsi="黑体" w:eastAsia="黑体"/>
          <w:b w:val="0"/>
        </w:rPr>
        <w:t>入支出决算总体情况说明</w:t>
      </w:r>
      <w:bookmarkEnd w:id="32"/>
      <w:bookmarkEnd w:id="33"/>
      <w:bookmarkEnd w:id="34"/>
      <w:bookmarkEnd w:id="35"/>
    </w:p>
    <w:p w14:paraId="422EE57F">
      <w:pPr>
        <w:spacing w:line="6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度收入总计均为2,261.71万元。与2024年度相比，收入增加68.99万元，增加3.15%。2025年度支出总计均为2,261.71万元。与2024年度相比，支出增加86.49万元，增加3.98%。主要变动原因是财政拨款收入增加、项目支出增加。</w:t>
      </w:r>
    </w:p>
    <w:p w14:paraId="361123B3">
      <w:pPr>
        <w:pStyle w:val="7"/>
        <w:ind w:firstLine="420" w:firstLineChars="200"/>
        <w:rPr>
          <w:rFonts w:hint="eastAsia" w:ascii="仿宋_GB2312" w:hAnsi="仿宋_GB2312" w:eastAsia="仿宋_GB2312" w:cs="仿宋_GB2312"/>
        </w:rPr>
      </w:pPr>
      <w:r>
        <w:drawing>
          <wp:inline distT="0" distB="0" distL="114300" distR="114300">
            <wp:extent cx="4591050" cy="27622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4591050" cy="2762250"/>
                    </a:xfrm>
                    <a:prstGeom prst="rect">
                      <a:avLst/>
                    </a:prstGeom>
                    <a:noFill/>
                    <a:ln>
                      <a:noFill/>
                    </a:ln>
                  </pic:spPr>
                </pic:pic>
              </a:graphicData>
            </a:graphic>
          </wp:inline>
        </w:drawing>
      </w:r>
    </w:p>
    <w:p w14:paraId="49285A41">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（图1：收、支决算总计变动情况图）（柱状图）</w:t>
      </w:r>
    </w:p>
    <w:p w14:paraId="7C791180">
      <w:pPr>
        <w:pStyle w:val="26"/>
        <w:numPr>
          <w:ilvl w:val="0"/>
          <w:numId w:val="0"/>
        </w:numPr>
        <w:spacing w:line="600" w:lineRule="exact"/>
        <w:ind w:leftChars="200"/>
        <w:outlineLvl w:val="1"/>
        <w:rPr>
          <w:rStyle w:val="23"/>
          <w:rFonts w:ascii="黑体" w:hAnsi="黑体" w:eastAsia="黑体"/>
          <w:b w:val="0"/>
        </w:rPr>
      </w:pPr>
      <w:bookmarkStart w:id="36" w:name="_Toc15377206"/>
      <w:bookmarkStart w:id="37" w:name="_Toc1782534932_WPSOffice_Level2"/>
      <w:bookmarkStart w:id="38" w:name="_Toc15396604"/>
      <w:bookmarkStart w:id="39" w:name="_Toc5932"/>
      <w:r>
        <w:rPr>
          <w:rFonts w:hint="eastAsia" w:ascii="黑体" w:hAnsi="黑体" w:eastAsia="黑体"/>
          <w:sz w:val="32"/>
          <w:szCs w:val="32"/>
          <w:lang w:eastAsia="zh-CN"/>
        </w:rPr>
        <w:t>二、</w:t>
      </w:r>
      <w:r>
        <w:rPr>
          <w:rFonts w:hint="eastAsia" w:ascii="黑体" w:hAnsi="黑体" w:eastAsia="黑体"/>
          <w:sz w:val="32"/>
          <w:szCs w:val="32"/>
        </w:rPr>
        <w:t>收</w:t>
      </w:r>
      <w:r>
        <w:rPr>
          <w:rStyle w:val="23"/>
          <w:rFonts w:hint="eastAsia" w:ascii="黑体" w:hAnsi="黑体" w:eastAsia="黑体"/>
          <w:b w:val="0"/>
        </w:rPr>
        <w:t>入决算情况说明</w:t>
      </w:r>
      <w:bookmarkEnd w:id="36"/>
      <w:bookmarkEnd w:id="37"/>
      <w:bookmarkEnd w:id="38"/>
      <w:bookmarkEnd w:id="39"/>
    </w:p>
    <w:p w14:paraId="0F537D3A">
      <w:pPr>
        <w:spacing w:line="600" w:lineRule="exact"/>
        <w:ind w:firstLine="640" w:firstLineChars="200"/>
        <w:jc w:val="left"/>
        <w:outlineLvl w:val="1"/>
        <w:rPr>
          <w:rFonts w:hint="eastAsia" w:ascii="仿宋_GB2312" w:hAnsi="仿宋_GB2312" w:eastAsia="仿宋_GB2312" w:cs="仿宋_GB2312"/>
          <w:sz w:val="32"/>
          <w:szCs w:val="32"/>
        </w:rPr>
      </w:pPr>
      <w:bookmarkStart w:id="40" w:name="_Toc22702"/>
      <w:r>
        <w:rPr>
          <w:rFonts w:hint="eastAsia" w:ascii="仿宋_GB2312" w:hAnsi="仿宋_GB2312" w:eastAsia="仿宋_GB2312" w:cs="仿宋_GB2312"/>
          <w:sz w:val="32"/>
          <w:szCs w:val="32"/>
          <w:lang w:eastAsia="zh-CN"/>
        </w:rPr>
        <w:t>2025年度本年收入合计2,224.20万元，其中：一般公共预算财政拨款收入1,794.62万元，占80.68%；政府性基金预算财政拨款收入0万元，占0%；国有资本经营预算财政拨款收入0万元，占0%；上级补助收入0万元，占0%；事业收入0万元，占0%；经营收入0万元，占0%；附属单位上缴收入0万元，占0%；其他收入429.58万元，占19.31%。</w:t>
      </w:r>
      <w:bookmarkEnd w:id="40"/>
    </w:p>
    <w:p w14:paraId="07B8759C">
      <w:pPr>
        <w:spacing w:line="600" w:lineRule="exact"/>
        <w:ind w:firstLine="643" w:firstLineChars="200"/>
        <w:outlineLvl w:val="1"/>
      </w:pPr>
      <w:bookmarkStart w:id="41" w:name="_Toc13209"/>
      <w:r>
        <w:rPr>
          <w:rFonts w:hint="eastAsia" w:ascii="仿宋" w:hAnsi="仿宋" w:eastAsia="仿宋"/>
          <w:b/>
          <w:sz w:val="32"/>
          <w:szCs w:val="32"/>
        </w:rPr>
        <w:t>（注：数据来源于财决</w:t>
      </w:r>
      <w:r>
        <w:rPr>
          <w:rFonts w:ascii="仿宋" w:hAnsi="仿宋" w:eastAsia="仿宋"/>
          <w:b/>
          <w:sz w:val="32"/>
          <w:szCs w:val="32"/>
        </w:rPr>
        <w:t>01表</w:t>
      </w:r>
      <w:r>
        <w:rPr>
          <w:rFonts w:hint="eastAsia" w:ascii="仿宋" w:hAnsi="仿宋" w:eastAsia="仿宋"/>
          <w:b/>
          <w:sz w:val="32"/>
          <w:szCs w:val="32"/>
        </w:rPr>
        <w:t>，仅罗列本部门涉及的收入。</w:t>
      </w:r>
      <w:r>
        <w:rPr>
          <w:rFonts w:ascii="仿宋" w:hAnsi="仿宋" w:eastAsia="仿宋"/>
          <w:b/>
          <w:sz w:val="32"/>
          <w:szCs w:val="32"/>
        </w:rPr>
        <w:t>）</w:t>
      </w:r>
      <w:bookmarkEnd w:id="41"/>
    </w:p>
    <w:p w14:paraId="0F2B5010">
      <w:pPr>
        <w:spacing w:line="240" w:lineRule="auto"/>
        <w:ind w:firstLine="420" w:firstLineChars="200"/>
        <w:outlineLvl w:val="9"/>
        <w:rPr>
          <w:rFonts w:ascii="仿宋" w:hAnsi="仿宋" w:eastAsia="仿宋"/>
          <w:sz w:val="32"/>
          <w:szCs w:val="32"/>
        </w:rPr>
      </w:pPr>
      <w:r>
        <w:drawing>
          <wp:inline distT="0" distB="0" distL="114300" distR="114300">
            <wp:extent cx="5429250" cy="28194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429250" cy="2819400"/>
                    </a:xfrm>
                    <a:prstGeom prst="rect">
                      <a:avLst/>
                    </a:prstGeom>
                    <a:noFill/>
                    <a:ln>
                      <a:noFill/>
                    </a:ln>
                  </pic:spPr>
                </pic:pic>
              </a:graphicData>
            </a:graphic>
          </wp:inline>
        </w:drawing>
      </w:r>
    </w:p>
    <w:p w14:paraId="32BC8024">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（图2：收入决算结构图）（饼状图）</w:t>
      </w:r>
    </w:p>
    <w:p w14:paraId="20BE146B">
      <w:pPr>
        <w:pStyle w:val="26"/>
        <w:numPr>
          <w:ilvl w:val="0"/>
          <w:numId w:val="0"/>
        </w:numPr>
        <w:spacing w:line="600" w:lineRule="exact"/>
        <w:ind w:leftChars="200"/>
        <w:outlineLvl w:val="1"/>
        <w:rPr>
          <w:rStyle w:val="23"/>
          <w:rFonts w:ascii="黑体" w:hAnsi="黑体" w:eastAsia="黑体"/>
          <w:b w:val="0"/>
        </w:rPr>
      </w:pPr>
      <w:bookmarkStart w:id="42" w:name="_Toc15396605"/>
      <w:bookmarkStart w:id="43" w:name="_Toc15377207"/>
      <w:bookmarkStart w:id="44" w:name="_Toc1381444523_WPSOffice_Level2"/>
      <w:bookmarkStart w:id="45" w:name="_Toc2545"/>
      <w:r>
        <w:rPr>
          <w:rFonts w:hint="eastAsia" w:ascii="黑体" w:hAnsi="黑体" w:eastAsia="黑体"/>
          <w:sz w:val="32"/>
          <w:szCs w:val="32"/>
          <w:lang w:eastAsia="zh-CN"/>
        </w:rPr>
        <w:t>三、</w:t>
      </w:r>
      <w:r>
        <w:rPr>
          <w:rFonts w:hint="eastAsia" w:ascii="黑体" w:hAnsi="黑体" w:eastAsia="黑体"/>
          <w:sz w:val="32"/>
          <w:szCs w:val="32"/>
        </w:rPr>
        <w:t>支</w:t>
      </w:r>
      <w:r>
        <w:rPr>
          <w:rStyle w:val="23"/>
          <w:rFonts w:hint="eastAsia" w:ascii="黑体" w:hAnsi="黑体" w:eastAsia="黑体"/>
          <w:b w:val="0"/>
        </w:rPr>
        <w:t>出决算情况说明</w:t>
      </w:r>
      <w:bookmarkEnd w:id="42"/>
      <w:bookmarkEnd w:id="43"/>
      <w:bookmarkEnd w:id="44"/>
      <w:bookmarkEnd w:id="45"/>
    </w:p>
    <w:p w14:paraId="2B619258">
      <w:pPr>
        <w:spacing w:line="600" w:lineRule="exact"/>
        <w:ind w:firstLine="640" w:firstLineChars="200"/>
        <w:outlineLvl w:val="1"/>
        <w:rPr>
          <w:rFonts w:hint="eastAsia" w:ascii="仿宋_GB2312" w:hAnsi="仿宋_GB2312" w:eastAsia="仿宋_GB2312" w:cs="仿宋_GB2312"/>
          <w:sz w:val="32"/>
          <w:szCs w:val="32"/>
        </w:rPr>
      </w:pPr>
      <w:bookmarkStart w:id="46" w:name="_Toc16720"/>
      <w:r>
        <w:rPr>
          <w:rFonts w:hint="eastAsia" w:ascii="仿宋_GB2312" w:hAnsi="仿宋_GB2312" w:eastAsia="仿宋_GB2312" w:cs="仿宋_GB2312"/>
          <w:sz w:val="32"/>
          <w:szCs w:val="32"/>
          <w:lang w:eastAsia="zh-CN"/>
        </w:rPr>
        <w:t>2025年度本年支出合计2,239.64万元，其中：基本支出1,649.74万元，占73.66%；项目支出589.89万元，占26.33%；上缴上级支出0万元，占0%；经营支出0万元，占0%；对附属单位补助支出0万元，占0%。</w:t>
      </w:r>
      <w:bookmarkEnd w:id="46"/>
    </w:p>
    <w:p w14:paraId="3755B867">
      <w:pPr>
        <w:spacing w:line="600" w:lineRule="exact"/>
        <w:ind w:firstLine="643" w:firstLineChars="200"/>
        <w:outlineLvl w:val="1"/>
        <w:rPr>
          <w:rFonts w:hint="eastAsia" w:ascii="仿宋" w:hAnsi="仿宋" w:eastAsia="仿宋"/>
          <w:b/>
          <w:sz w:val="32"/>
          <w:szCs w:val="32"/>
        </w:rPr>
      </w:pPr>
      <w:bookmarkStart w:id="47" w:name="_Toc23788"/>
      <w:r>
        <w:rPr>
          <w:rFonts w:hint="eastAsia" w:ascii="仿宋" w:hAnsi="仿宋" w:eastAsia="仿宋"/>
          <w:b/>
          <w:sz w:val="32"/>
          <w:szCs w:val="32"/>
        </w:rPr>
        <w:t>（注：数据来源于财决</w:t>
      </w:r>
      <w:r>
        <w:rPr>
          <w:rFonts w:ascii="仿宋" w:hAnsi="仿宋" w:eastAsia="仿宋"/>
          <w:b/>
          <w:sz w:val="32"/>
          <w:szCs w:val="32"/>
        </w:rPr>
        <w:t>04</w:t>
      </w:r>
      <w:r>
        <w:rPr>
          <w:rFonts w:hint="eastAsia" w:ascii="仿宋" w:hAnsi="仿宋" w:eastAsia="仿宋"/>
          <w:b/>
          <w:sz w:val="32"/>
          <w:szCs w:val="32"/>
        </w:rPr>
        <w:t>表，仅罗列本部门涉及的支出。）</w:t>
      </w:r>
      <w:bookmarkEnd w:id="47"/>
    </w:p>
    <w:p w14:paraId="7DBF0FCB">
      <w:pPr>
        <w:pStyle w:val="7"/>
        <w:ind w:firstLine="420" w:firstLineChars="200"/>
        <w:rPr>
          <w:rFonts w:hint="eastAsia" w:ascii="仿宋" w:hAnsi="仿宋" w:eastAsia="仿宋"/>
          <w:sz w:val="32"/>
          <w:szCs w:val="32"/>
        </w:rPr>
      </w:pPr>
      <w:r>
        <w:drawing>
          <wp:inline distT="0" distB="0" distL="114300" distR="114300">
            <wp:extent cx="4705350" cy="2286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4705350" cy="2286000"/>
                    </a:xfrm>
                    <a:prstGeom prst="rect">
                      <a:avLst/>
                    </a:prstGeom>
                    <a:noFill/>
                    <a:ln>
                      <a:noFill/>
                    </a:ln>
                  </pic:spPr>
                </pic:pic>
              </a:graphicData>
            </a:graphic>
          </wp:inline>
        </w:drawing>
      </w:r>
    </w:p>
    <w:p w14:paraId="460FDD02">
      <w:pPr>
        <w:spacing w:line="600" w:lineRule="exact"/>
        <w:ind w:firstLine="640" w:firstLineChars="200"/>
        <w:rPr>
          <w:rFonts w:ascii="仿宋_GB2312" w:eastAsia="仿宋_GB2312"/>
          <w:sz w:val="32"/>
          <w:szCs w:val="32"/>
        </w:rPr>
      </w:pPr>
      <w:r>
        <w:rPr>
          <w:rFonts w:hint="eastAsia" w:ascii="仿宋" w:hAnsi="仿宋" w:eastAsia="仿宋"/>
          <w:sz w:val="32"/>
          <w:szCs w:val="32"/>
        </w:rPr>
        <w:t>（图3：支出决算结构图）（饼状图）</w:t>
      </w:r>
    </w:p>
    <w:p w14:paraId="38A0D35E">
      <w:pPr>
        <w:spacing w:line="600" w:lineRule="exact"/>
        <w:ind w:firstLine="640" w:firstLineChars="200"/>
        <w:outlineLvl w:val="1"/>
        <w:rPr>
          <w:rStyle w:val="23"/>
          <w:rFonts w:ascii="黑体" w:hAnsi="黑体" w:eastAsia="黑体"/>
          <w:b w:val="0"/>
        </w:rPr>
      </w:pPr>
      <w:bookmarkStart w:id="48" w:name="_Toc15396606"/>
      <w:bookmarkStart w:id="49" w:name="_Toc1235809100_WPSOffice_Level2"/>
      <w:bookmarkStart w:id="50" w:name="_Toc15377208"/>
      <w:bookmarkStart w:id="51" w:name="_Toc12827"/>
      <w:r>
        <w:rPr>
          <w:rFonts w:hint="eastAsia" w:ascii="黑体" w:hAnsi="黑体" w:eastAsia="黑体"/>
          <w:sz w:val="32"/>
          <w:szCs w:val="32"/>
        </w:rPr>
        <w:t>四、财</w:t>
      </w:r>
      <w:r>
        <w:rPr>
          <w:rStyle w:val="23"/>
          <w:rFonts w:hint="eastAsia" w:ascii="黑体" w:hAnsi="黑体" w:eastAsia="黑体"/>
          <w:b w:val="0"/>
        </w:rPr>
        <w:t>政拨款收入支出决算总体情况说明</w:t>
      </w:r>
      <w:bookmarkEnd w:id="48"/>
      <w:bookmarkEnd w:id="49"/>
      <w:bookmarkEnd w:id="50"/>
      <w:bookmarkEnd w:id="51"/>
    </w:p>
    <w:p w14:paraId="50105478">
      <w:pPr>
        <w:spacing w:line="60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2025年度财政拨款收入、支出均为1,794.62万元，与2024年度相比，财政拨款收、支总计各增加133.58万元，增加8.04%。主要变动原因是项目支出增加。</w:t>
      </w:r>
    </w:p>
    <w:p w14:paraId="2D48AB47">
      <w:pPr>
        <w:spacing w:line="600" w:lineRule="exact"/>
        <w:ind w:firstLine="643" w:firstLineChars="200"/>
      </w:pPr>
      <w:r>
        <w:rPr>
          <w:rFonts w:hint="eastAsia" w:ascii="仿宋" w:hAnsi="仿宋" w:eastAsia="仿宋"/>
          <w:b/>
          <w:sz w:val="32"/>
          <w:szCs w:val="32"/>
        </w:rPr>
        <w:t>（注：数据来源于财决</w:t>
      </w:r>
      <w:r>
        <w:rPr>
          <w:rFonts w:ascii="仿宋" w:hAnsi="仿宋" w:eastAsia="仿宋"/>
          <w:b/>
          <w:sz w:val="32"/>
          <w:szCs w:val="32"/>
        </w:rPr>
        <w:t>01-1</w:t>
      </w:r>
      <w:r>
        <w:rPr>
          <w:rFonts w:hint="eastAsia" w:ascii="仿宋" w:hAnsi="仿宋" w:eastAsia="仿宋"/>
          <w:b/>
          <w:sz w:val="32"/>
          <w:szCs w:val="32"/>
        </w:rPr>
        <w:t>表</w:t>
      </w:r>
      <w:r>
        <w:rPr>
          <w:rFonts w:ascii="仿宋" w:hAnsi="仿宋" w:eastAsia="仿宋"/>
          <w:b/>
          <w:sz w:val="32"/>
          <w:szCs w:val="32"/>
        </w:rPr>
        <w:t>）</w:t>
      </w:r>
    </w:p>
    <w:p w14:paraId="0AC83D91">
      <w:pPr>
        <w:spacing w:line="240" w:lineRule="auto"/>
        <w:ind w:firstLine="420" w:firstLineChars="200"/>
        <w:rPr>
          <w:rFonts w:hint="eastAsia" w:ascii="仿宋" w:hAnsi="仿宋" w:eastAsia="仿宋"/>
          <w:sz w:val="32"/>
          <w:szCs w:val="32"/>
        </w:rPr>
      </w:pPr>
      <w:r>
        <w:drawing>
          <wp:inline distT="0" distB="0" distL="114300" distR="114300">
            <wp:extent cx="4857750" cy="24384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4857750" cy="2438400"/>
                    </a:xfrm>
                    <a:prstGeom prst="rect">
                      <a:avLst/>
                    </a:prstGeom>
                    <a:noFill/>
                    <a:ln>
                      <a:noFill/>
                    </a:ln>
                  </pic:spPr>
                </pic:pic>
              </a:graphicData>
            </a:graphic>
          </wp:inline>
        </w:drawing>
      </w:r>
    </w:p>
    <w:p w14:paraId="522F005F">
      <w:pPr>
        <w:spacing w:line="600" w:lineRule="exact"/>
        <w:ind w:firstLine="640" w:firstLineChars="200"/>
        <w:rPr>
          <w:rFonts w:ascii="仿宋" w:hAnsi="仿宋" w:eastAsia="仿宋"/>
          <w:b/>
          <w:sz w:val="32"/>
          <w:szCs w:val="32"/>
        </w:rPr>
      </w:pPr>
      <w:r>
        <w:rPr>
          <w:rFonts w:hint="eastAsia" w:ascii="仿宋" w:hAnsi="仿宋" w:eastAsia="仿宋"/>
          <w:sz w:val="32"/>
          <w:szCs w:val="32"/>
        </w:rPr>
        <w:t>（图4：财政拨款收、支决算总计变动情况）（柱状图）</w:t>
      </w:r>
    </w:p>
    <w:p w14:paraId="3230373F">
      <w:pPr>
        <w:spacing w:line="600" w:lineRule="exact"/>
        <w:ind w:firstLine="640" w:firstLineChars="200"/>
        <w:outlineLvl w:val="1"/>
        <w:rPr>
          <w:rStyle w:val="23"/>
          <w:rFonts w:ascii="黑体" w:hAnsi="黑体" w:eastAsia="黑体"/>
          <w:b w:val="0"/>
        </w:rPr>
      </w:pPr>
      <w:bookmarkStart w:id="52" w:name="_Toc1176161981_WPSOffice_Level2"/>
      <w:bookmarkStart w:id="53" w:name="_Toc15396607"/>
      <w:bookmarkStart w:id="54" w:name="_Toc15377209"/>
      <w:bookmarkStart w:id="55" w:name="_Toc13044"/>
      <w:r>
        <w:rPr>
          <w:rFonts w:hint="eastAsia" w:ascii="黑体" w:hAnsi="黑体" w:eastAsia="黑体"/>
          <w:sz w:val="32"/>
          <w:szCs w:val="32"/>
        </w:rPr>
        <w:t>五、</w:t>
      </w:r>
      <w:r>
        <w:rPr>
          <w:rFonts w:hint="eastAsia" w:ascii="黑体" w:hAnsi="黑体" w:eastAsia="黑体"/>
          <w:b/>
          <w:sz w:val="32"/>
          <w:szCs w:val="32"/>
        </w:rPr>
        <w:t>一</w:t>
      </w:r>
      <w:r>
        <w:rPr>
          <w:rStyle w:val="23"/>
          <w:rFonts w:hint="eastAsia" w:ascii="黑体" w:hAnsi="黑体" w:eastAsia="黑体"/>
          <w:b w:val="0"/>
        </w:rPr>
        <w:t>般公共预算财政拨款支出决算情况说明</w:t>
      </w:r>
      <w:bookmarkEnd w:id="52"/>
      <w:bookmarkEnd w:id="53"/>
      <w:bookmarkEnd w:id="54"/>
      <w:bookmarkEnd w:id="55"/>
    </w:p>
    <w:p w14:paraId="3E03D05E">
      <w:pPr>
        <w:spacing w:line="600" w:lineRule="exact"/>
        <w:ind w:firstLine="643" w:firstLineChars="200"/>
        <w:outlineLvl w:val="2"/>
        <w:rPr>
          <w:rFonts w:ascii="仿宋" w:hAnsi="仿宋" w:eastAsia="仿宋"/>
          <w:b/>
          <w:sz w:val="32"/>
          <w:szCs w:val="32"/>
        </w:rPr>
      </w:pPr>
      <w:bookmarkStart w:id="56" w:name="_Toc15377210"/>
      <w:r>
        <w:rPr>
          <w:rFonts w:hint="eastAsia" w:ascii="仿宋" w:hAnsi="仿宋" w:eastAsia="仿宋"/>
          <w:b/>
          <w:sz w:val="32"/>
          <w:szCs w:val="32"/>
        </w:rPr>
        <w:t>（一）一般公共预算财政拨款支出决算总体情况</w:t>
      </w:r>
      <w:bookmarkEnd w:id="56"/>
    </w:p>
    <w:p w14:paraId="4CE6555A">
      <w:pPr>
        <w:spacing w:line="60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2025年度一般公共预算财政拨款支出1,794.62万元，占本年支出合计的80.12%。与2024年度相比，一般公共预算财政拨款支出增加133.58万元，增加8.04%。主要变动原因是项目支出增加。</w:t>
      </w:r>
    </w:p>
    <w:p w14:paraId="068CC7BB">
      <w:pPr>
        <w:pStyle w:val="7"/>
        <w:ind w:firstLine="420" w:firstLineChars="200"/>
        <w:rPr>
          <w:rFonts w:ascii="仿宋" w:hAnsi="仿宋" w:eastAsia="仿宋"/>
          <w:sz w:val="32"/>
          <w:szCs w:val="32"/>
        </w:rPr>
      </w:pPr>
      <w:r>
        <w:drawing>
          <wp:inline distT="0" distB="0" distL="114300" distR="114300">
            <wp:extent cx="5429250" cy="26860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tretch>
                      <a:fillRect/>
                    </a:stretch>
                  </pic:blipFill>
                  <pic:spPr>
                    <a:xfrm>
                      <a:off x="0" y="0"/>
                      <a:ext cx="5429250" cy="2686050"/>
                    </a:xfrm>
                    <a:prstGeom prst="rect">
                      <a:avLst/>
                    </a:prstGeom>
                    <a:noFill/>
                    <a:ln>
                      <a:noFill/>
                    </a:ln>
                  </pic:spPr>
                </pic:pic>
              </a:graphicData>
            </a:graphic>
          </wp:inline>
        </w:drawing>
      </w:r>
    </w:p>
    <w:p w14:paraId="15A33B94">
      <w:pPr>
        <w:spacing w:line="600" w:lineRule="exact"/>
        <w:ind w:firstLine="640" w:firstLineChars="200"/>
        <w:rPr>
          <w:rFonts w:ascii="仿宋" w:hAnsi="仿宋" w:eastAsia="仿宋"/>
          <w:sz w:val="32"/>
          <w:szCs w:val="32"/>
        </w:rPr>
      </w:pPr>
      <w:r>
        <w:rPr>
          <w:rFonts w:hint="eastAsia" w:ascii="仿宋" w:hAnsi="仿宋" w:eastAsia="仿宋"/>
          <w:sz w:val="32"/>
          <w:szCs w:val="32"/>
        </w:rPr>
        <w:t>（图5：一般公共预算财政拨款支出决算变动情况）（柱状图）</w:t>
      </w:r>
    </w:p>
    <w:p w14:paraId="1FABB714">
      <w:pPr>
        <w:spacing w:line="600" w:lineRule="exact"/>
        <w:ind w:firstLine="643" w:firstLineChars="200"/>
        <w:outlineLvl w:val="2"/>
        <w:rPr>
          <w:rFonts w:ascii="仿宋" w:hAnsi="仿宋" w:eastAsia="仿宋"/>
          <w:b/>
          <w:sz w:val="32"/>
          <w:szCs w:val="32"/>
        </w:rPr>
      </w:pPr>
      <w:bookmarkStart w:id="57" w:name="_Toc15377211"/>
      <w:r>
        <w:rPr>
          <w:rFonts w:hint="eastAsia" w:ascii="仿宋" w:hAnsi="仿宋" w:eastAsia="仿宋"/>
          <w:b/>
          <w:sz w:val="32"/>
          <w:szCs w:val="32"/>
        </w:rPr>
        <w:t>（二）一般公共预算财政拨款支出决算结构情况</w:t>
      </w:r>
      <w:bookmarkEnd w:id="57"/>
    </w:p>
    <w:p w14:paraId="1FE34280">
      <w:pPr>
        <w:spacing w:line="60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2025年度一般公共预算财政拨款支出1794.62万元，主要用于以下方面：</w:t>
      </w:r>
    </w:p>
    <w:p w14:paraId="2197E2BF">
      <w:pPr>
        <w:spacing w:line="60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1、公共安全（类）支出1454.21万元，占81.03%。其中：2040501行政运行支出864.31万元、2040502一般行政管理事务支出589.89万元。</w:t>
      </w:r>
    </w:p>
    <w:p w14:paraId="3F204784">
      <w:pPr>
        <w:spacing w:line="60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2、社会保障和就业（类）支出163.69万元，占9.12%。其中：2080505机关事业单位基本养老保险缴费支出109.08万元、2080506机关事业单位职业年金缴费支出54.62万元。</w:t>
      </w:r>
    </w:p>
    <w:p w14:paraId="50D690C7">
      <w:pPr>
        <w:spacing w:line="60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3、卫生健康支出66.47万元，占3.70%。其中：2101101行政单位医疗支出53.83万元、2101103公务员医疗补助支出12.63万元。</w:t>
      </w:r>
    </w:p>
    <w:p w14:paraId="030601FF">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eastAsia="zh-CN"/>
        </w:rPr>
        <w:t>4、住房保障支出110.25万元，占6.14%，主要为2210201住房公积金支出110.25万元。</w:t>
      </w:r>
    </w:p>
    <w:p w14:paraId="193B4866">
      <w:pPr>
        <w:spacing w:line="600" w:lineRule="exact"/>
        <w:rPr>
          <w:rFonts w:hint="eastAsia" w:ascii="仿宋" w:hAnsi="仿宋" w:eastAsia="仿宋"/>
          <w:b/>
          <w:sz w:val="32"/>
          <w:szCs w:val="32"/>
        </w:rPr>
      </w:pPr>
      <w:r>
        <w:rPr>
          <w:rFonts w:hint="eastAsia" w:ascii="仿宋" w:hAnsi="仿宋" w:eastAsia="仿宋"/>
          <w:b/>
          <w:sz w:val="32"/>
          <w:szCs w:val="32"/>
        </w:rPr>
        <w:t>（注：数据来源于财决01-1表，仅罗列本部门涉及的全部功能分类科目，至类级。）</w:t>
      </w:r>
    </w:p>
    <w:p w14:paraId="10B64BC8">
      <w:pPr>
        <w:pStyle w:val="7"/>
        <w:ind w:firstLine="420" w:firstLineChars="200"/>
        <w:rPr>
          <w:rFonts w:hint="eastAsia" w:eastAsia="宋体"/>
          <w:lang w:eastAsia="zh-CN"/>
        </w:rPr>
      </w:pPr>
      <w:r>
        <w:rPr>
          <w:rFonts w:hint="eastAsia" w:eastAsia="宋体"/>
          <w:lang w:eastAsia="zh-CN"/>
        </w:rPr>
        <w:drawing>
          <wp:inline distT="0" distB="0" distL="114300" distR="114300">
            <wp:extent cx="5398135" cy="3032760"/>
            <wp:effectExtent l="0" t="0" r="12065" b="15240"/>
            <wp:docPr id="7" name="图片 7" descr="2025年财政拨款支出情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025年财政拨款支出情况"/>
                    <pic:cNvPicPr>
                      <a:picLocks noChangeAspect="1"/>
                    </pic:cNvPicPr>
                  </pic:nvPicPr>
                  <pic:blipFill>
                    <a:blip r:embed="rId11"/>
                    <a:stretch>
                      <a:fillRect/>
                    </a:stretch>
                  </pic:blipFill>
                  <pic:spPr>
                    <a:xfrm>
                      <a:off x="0" y="0"/>
                      <a:ext cx="5398135" cy="3032760"/>
                    </a:xfrm>
                    <a:prstGeom prst="rect">
                      <a:avLst/>
                    </a:prstGeom>
                  </pic:spPr>
                </pic:pic>
              </a:graphicData>
            </a:graphic>
          </wp:inline>
        </w:drawing>
      </w:r>
    </w:p>
    <w:p w14:paraId="311A72DD">
      <w:pPr>
        <w:spacing w:line="600" w:lineRule="exact"/>
        <w:ind w:firstLine="640" w:firstLineChars="200"/>
        <w:rPr>
          <w:rFonts w:ascii="仿宋" w:hAnsi="仿宋" w:eastAsia="仿宋"/>
          <w:sz w:val="32"/>
          <w:szCs w:val="32"/>
        </w:rPr>
      </w:pPr>
      <w:r>
        <w:rPr>
          <w:rFonts w:hint="eastAsia" w:ascii="仿宋" w:hAnsi="仿宋" w:eastAsia="仿宋"/>
          <w:sz w:val="32"/>
          <w:szCs w:val="32"/>
        </w:rPr>
        <w:t>（图6：一般公共预算财政拨款支出决算结构）（饼状图）</w:t>
      </w:r>
    </w:p>
    <w:p w14:paraId="54F787EC">
      <w:pPr>
        <w:spacing w:line="600" w:lineRule="exact"/>
        <w:ind w:firstLine="643" w:firstLineChars="200"/>
        <w:outlineLvl w:val="2"/>
        <w:rPr>
          <w:rFonts w:ascii="仿宋" w:hAnsi="仿宋" w:eastAsia="仿宋"/>
          <w:b/>
          <w:sz w:val="32"/>
          <w:szCs w:val="32"/>
        </w:rPr>
      </w:pPr>
      <w:bookmarkStart w:id="58" w:name="_Toc15377212"/>
      <w:r>
        <w:rPr>
          <w:rFonts w:hint="eastAsia" w:ascii="仿宋" w:hAnsi="仿宋" w:eastAsia="仿宋"/>
          <w:b/>
          <w:sz w:val="32"/>
          <w:szCs w:val="32"/>
        </w:rPr>
        <w:t>（三）一般公共预算财政拨款支出决算具体情况</w:t>
      </w:r>
      <w:bookmarkEnd w:id="58"/>
    </w:p>
    <w:p w14:paraId="38F34C0D">
      <w:pPr>
        <w:spacing w:line="600" w:lineRule="exact"/>
        <w:ind w:firstLine="640" w:firstLineChars="200"/>
        <w:rPr>
          <w:rFonts w:hint="eastAsia" w:ascii="仿宋" w:hAnsi="仿宋" w:eastAsia="仿宋"/>
          <w:sz w:val="32"/>
          <w:szCs w:val="32"/>
          <w:lang w:val="en-US" w:eastAsia="zh-CN"/>
        </w:rPr>
      </w:pPr>
      <w:bookmarkStart w:id="59" w:name="_Toc15378460"/>
      <w:bookmarkStart w:id="60" w:name="_Toc15377444"/>
      <w:bookmarkStart w:id="61" w:name="_Toc15377213"/>
      <w:r>
        <w:rPr>
          <w:rFonts w:hint="eastAsia" w:ascii="仿宋" w:hAnsi="仿宋" w:eastAsia="仿宋"/>
          <w:sz w:val="32"/>
          <w:szCs w:val="32"/>
          <w:lang w:val="en-US" w:eastAsia="zh-CN"/>
        </w:rPr>
        <w:t>2025年度一般公共预算支出决算数为1,794.62万元，完成预算100%。其中：</w:t>
      </w:r>
      <w:bookmarkEnd w:id="59"/>
      <w:bookmarkEnd w:id="60"/>
      <w:bookmarkEnd w:id="61"/>
    </w:p>
    <w:p w14:paraId="32A78BA3">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1. 公共安全（类）204（款）：支出决算为1454.21万元，完成预算100%，决算数等于预算数。</w:t>
      </w:r>
    </w:p>
    <w:p w14:paraId="082E548F">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 社会保障和就业（类）208（款）0505、0506（项）：支出决算为163.69万元，完成预算100%，决算数等于预算数。</w:t>
      </w:r>
    </w:p>
    <w:p w14:paraId="74935544">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3. 卫生健康（类）210（款）1101、1103（项）：支出决算为66.47万元，完成预算100%，决算数等于预算数。</w:t>
      </w:r>
    </w:p>
    <w:p w14:paraId="09195213">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sz w:val="32"/>
          <w:szCs w:val="32"/>
          <w:lang w:val="en-US" w:eastAsia="zh-CN"/>
        </w:rPr>
        <w:t>4. 住房保障（类）221（款）0201（项）：支出决算为110.25万元，完成预算100%，决算数等于预算数。</w:t>
      </w:r>
    </w:p>
    <w:p w14:paraId="2B01B9A2">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w:t>
      </w:r>
      <w:r>
        <w:rPr>
          <w:rFonts w:hint="eastAsia" w:ascii="仿宋" w:hAnsi="仿宋" w:eastAsia="仿宋"/>
          <w:b/>
          <w:sz w:val="32"/>
          <w:szCs w:val="32"/>
        </w:rPr>
        <w:t>1-1表和财决08表，仅罗列本部门涉及的全部功能分类科目，至项级。上述“预算”口径为全年预算数。增减变动原因为决算数</w:t>
      </w:r>
      <w:r>
        <w:rPr>
          <w:rFonts w:ascii="仿宋" w:hAnsi="仿宋" w:eastAsia="仿宋"/>
          <w:b/>
          <w:sz w:val="32"/>
          <w:szCs w:val="32"/>
        </w:rPr>
        <w:t>&lt;</w:t>
      </w:r>
      <w:r>
        <w:rPr>
          <w:rFonts w:hint="eastAsia" w:ascii="仿宋" w:hAnsi="仿宋" w:eastAsia="仿宋"/>
          <w:b/>
          <w:sz w:val="32"/>
          <w:szCs w:val="32"/>
        </w:rPr>
        <w:t>项级</w:t>
      </w:r>
      <w:r>
        <w:rPr>
          <w:rFonts w:ascii="仿宋" w:hAnsi="仿宋" w:eastAsia="仿宋"/>
          <w:b/>
          <w:sz w:val="32"/>
          <w:szCs w:val="32"/>
        </w:rPr>
        <w:t>&gt;</w:t>
      </w:r>
      <w:r>
        <w:rPr>
          <w:rFonts w:hint="eastAsia" w:ascii="仿宋" w:hAnsi="仿宋" w:eastAsia="仿宋"/>
          <w:b/>
          <w:sz w:val="32"/>
          <w:szCs w:val="32"/>
        </w:rPr>
        <w:t>和全年预算数</w:t>
      </w:r>
      <w:r>
        <w:rPr>
          <w:rFonts w:ascii="仿宋" w:hAnsi="仿宋" w:eastAsia="仿宋"/>
          <w:b/>
          <w:sz w:val="32"/>
          <w:szCs w:val="32"/>
        </w:rPr>
        <w:t>&lt;</w:t>
      </w:r>
      <w:r>
        <w:rPr>
          <w:rFonts w:hint="eastAsia" w:ascii="仿宋" w:hAnsi="仿宋" w:eastAsia="仿宋"/>
          <w:b/>
          <w:sz w:val="32"/>
          <w:szCs w:val="32"/>
        </w:rPr>
        <w:t>项级</w:t>
      </w:r>
      <w:r>
        <w:rPr>
          <w:rFonts w:ascii="仿宋" w:hAnsi="仿宋" w:eastAsia="仿宋"/>
          <w:b/>
          <w:sz w:val="32"/>
          <w:szCs w:val="32"/>
        </w:rPr>
        <w:t>&gt;</w:t>
      </w:r>
      <w:r>
        <w:rPr>
          <w:rFonts w:hint="eastAsia" w:ascii="仿宋" w:hAnsi="仿宋" w:eastAsia="仿宋"/>
          <w:b/>
          <w:sz w:val="32"/>
          <w:szCs w:val="32"/>
        </w:rPr>
        <w:t>比较，与预算数持平可以不写原因。）</w:t>
      </w:r>
    </w:p>
    <w:p w14:paraId="40BA73F7">
      <w:pPr>
        <w:tabs>
          <w:tab w:val="right" w:pos="8306"/>
        </w:tabs>
        <w:spacing w:line="600" w:lineRule="exact"/>
        <w:ind w:firstLine="640" w:firstLineChars="200"/>
        <w:outlineLvl w:val="1"/>
        <w:rPr>
          <w:rStyle w:val="23"/>
        </w:rPr>
      </w:pPr>
      <w:bookmarkStart w:id="62" w:name="_Toc15396608"/>
      <w:bookmarkStart w:id="63" w:name="_Toc1116836059_WPSOffice_Level2"/>
      <w:bookmarkStart w:id="64" w:name="_Toc15377214"/>
      <w:bookmarkStart w:id="65" w:name="_Toc1513"/>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3"/>
          <w:rFonts w:hint="eastAsia" w:ascii="黑体" w:hAnsi="黑体" w:eastAsia="黑体"/>
          <w:b w:val="0"/>
        </w:rPr>
        <w:t>般公共预算财政拨款基本支出决算情况说明</w:t>
      </w:r>
      <w:bookmarkEnd w:id="62"/>
      <w:bookmarkEnd w:id="63"/>
      <w:bookmarkEnd w:id="64"/>
      <w:bookmarkEnd w:id="65"/>
      <w:r>
        <w:rPr>
          <w:rStyle w:val="23"/>
          <w:rFonts w:ascii="黑体" w:hAnsi="黑体" w:eastAsia="黑体"/>
          <w:b w:val="0"/>
        </w:rPr>
        <w:tab/>
      </w:r>
    </w:p>
    <w:p w14:paraId="73D38AED">
      <w:pPr>
        <w:spacing w:line="600" w:lineRule="exact"/>
        <w:ind w:firstLine="640" w:firstLineChars="200"/>
        <w:rPr>
          <w:rFonts w:ascii="仿宋" w:hAnsi="仿宋" w:eastAsia="仿宋"/>
          <w:sz w:val="32"/>
          <w:szCs w:val="32"/>
        </w:rPr>
      </w:pPr>
      <w:r>
        <w:rPr>
          <w:rFonts w:hint="eastAsia" w:ascii="仿宋" w:hAnsi="仿宋" w:eastAsia="仿宋"/>
          <w:sz w:val="32"/>
          <w:szCs w:val="32"/>
          <w:lang w:eastAsia="zh-CN"/>
        </w:rPr>
        <w:t>2025年度一般公共预算财政拨款基本支出1,204.73万元，其中：</w:t>
      </w:r>
    </w:p>
    <w:p w14:paraId="1B46E362">
      <w:pPr>
        <w:spacing w:line="600" w:lineRule="exact"/>
        <w:ind w:firstLine="640" w:firstLineChars="200"/>
        <w:rPr>
          <w:rFonts w:ascii="仿宋" w:hAnsi="仿宋" w:eastAsia="仿宋"/>
          <w:sz w:val="32"/>
          <w:szCs w:val="32"/>
        </w:rPr>
      </w:pPr>
      <w:r>
        <w:rPr>
          <w:rFonts w:hint="eastAsia" w:ascii="仿宋" w:hAnsi="仿宋" w:eastAsia="仿宋"/>
          <w:sz w:val="32"/>
          <w:szCs w:val="32"/>
        </w:rPr>
        <w:t>人员经费1,103.28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 w:hAnsi="仿宋" w:eastAsia="仿宋"/>
          <w:sz w:val="32"/>
          <w:szCs w:val="32"/>
        </w:rPr>
        <w:br w:type="textWrapping"/>
      </w:r>
      <w:r>
        <w:rPr>
          <w:rFonts w:hint="eastAsia" w:ascii="仿宋" w:hAnsi="仿宋" w:eastAsia="仿宋"/>
          <w:sz w:val="32"/>
          <w:szCs w:val="32"/>
        </w:rPr>
        <w:t>　　公用经费101.45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60F3EE3">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w:t>
      </w:r>
      <w:r>
        <w:rPr>
          <w:rFonts w:hint="eastAsia" w:ascii="仿宋" w:hAnsi="仿宋" w:eastAsia="仿宋"/>
          <w:b/>
          <w:sz w:val="32"/>
          <w:szCs w:val="32"/>
        </w:rPr>
        <w:t>7表和财决08-1表，仅罗列本部门实际支出涉及的经济分类科目。）</w:t>
      </w:r>
    </w:p>
    <w:p w14:paraId="2020AE73">
      <w:pPr>
        <w:spacing w:line="600" w:lineRule="exact"/>
        <w:ind w:firstLine="640" w:firstLineChars="200"/>
        <w:outlineLvl w:val="1"/>
        <w:rPr>
          <w:rStyle w:val="23"/>
          <w:rFonts w:ascii="黑体" w:hAnsi="黑体" w:eastAsia="黑体"/>
          <w:b w:val="0"/>
        </w:rPr>
      </w:pPr>
      <w:bookmarkStart w:id="66" w:name="_Toc147198076_WPSOffice_Level2"/>
      <w:bookmarkStart w:id="67" w:name="_Toc15377215"/>
      <w:bookmarkStart w:id="68" w:name="_Toc15396609"/>
      <w:bookmarkStart w:id="69" w:name="_Toc18559"/>
      <w:r>
        <w:rPr>
          <w:rFonts w:hint="eastAsia" w:ascii="黑体" w:eastAsia="黑体"/>
          <w:sz w:val="32"/>
          <w:szCs w:val="32"/>
        </w:rPr>
        <w:t>七、</w:t>
      </w:r>
      <w:r>
        <w:rPr>
          <w:rStyle w:val="23"/>
          <w:rFonts w:hint="eastAsia" w:ascii="黑体" w:hAnsi="黑体" w:eastAsia="黑体"/>
          <w:b w:val="0"/>
        </w:rPr>
        <w:t>财政拨款</w:t>
      </w:r>
      <w:r>
        <w:rPr>
          <w:rStyle w:val="23"/>
          <w:rFonts w:hint="eastAsia" w:ascii="黑体" w:hAnsi="黑体" w:eastAsia="黑体"/>
        </w:rPr>
        <w:t>“</w:t>
      </w:r>
      <w:r>
        <w:rPr>
          <w:rStyle w:val="23"/>
          <w:rFonts w:hint="eastAsia" w:ascii="黑体" w:hAnsi="黑体" w:eastAsia="黑体"/>
          <w:b w:val="0"/>
        </w:rPr>
        <w:t>三公”经费支出决算情况说明</w:t>
      </w:r>
      <w:bookmarkEnd w:id="66"/>
      <w:bookmarkEnd w:id="67"/>
      <w:bookmarkEnd w:id="68"/>
      <w:bookmarkEnd w:id="69"/>
    </w:p>
    <w:p w14:paraId="21C0437C">
      <w:pPr>
        <w:spacing w:line="600" w:lineRule="exact"/>
        <w:ind w:firstLine="643" w:firstLineChars="200"/>
        <w:outlineLvl w:val="2"/>
        <w:rPr>
          <w:rFonts w:ascii="仿宋" w:hAnsi="仿宋" w:eastAsia="仿宋"/>
          <w:b/>
          <w:sz w:val="32"/>
          <w:szCs w:val="32"/>
        </w:rPr>
      </w:pPr>
      <w:bookmarkStart w:id="70" w:name="_Toc15377216"/>
      <w:r>
        <w:rPr>
          <w:rFonts w:hint="eastAsia" w:ascii="仿宋" w:hAnsi="仿宋" w:eastAsia="仿宋"/>
          <w:b/>
          <w:sz w:val="32"/>
          <w:szCs w:val="32"/>
        </w:rPr>
        <w:t>（一）“三公”经费财政拨款支出决算总体情况说明</w:t>
      </w:r>
      <w:bookmarkEnd w:id="70"/>
    </w:p>
    <w:p w14:paraId="55D2F135">
      <w:pPr>
        <w:spacing w:line="600" w:lineRule="exact"/>
        <w:ind w:firstLine="640" w:firstLineChars="200"/>
        <w:rPr>
          <w:rFonts w:ascii="仿宋" w:hAnsi="仿宋" w:eastAsia="仿宋"/>
          <w:sz w:val="32"/>
          <w:szCs w:val="32"/>
        </w:rPr>
      </w:pPr>
      <w:r>
        <w:rPr>
          <w:rFonts w:hint="eastAsia" w:ascii="仿宋" w:hAnsi="仿宋" w:eastAsia="仿宋"/>
          <w:sz w:val="32"/>
          <w:szCs w:val="32"/>
          <w:lang w:eastAsia="zh-CN"/>
        </w:rPr>
        <w:t>2025年度“三公”经费财政拨款支出决算为1.77万元，完成预算100%，决算数与预算数持平。</w:t>
      </w:r>
    </w:p>
    <w:p w14:paraId="1B1A4171">
      <w:pPr>
        <w:spacing w:line="600" w:lineRule="exact"/>
        <w:ind w:firstLine="643" w:firstLineChars="200"/>
        <w:rPr>
          <w:rFonts w:ascii="仿宋" w:hAnsi="仿宋" w:eastAsia="仿宋"/>
          <w:b/>
          <w:sz w:val="32"/>
          <w:szCs w:val="32"/>
        </w:rPr>
      </w:pPr>
      <w:r>
        <w:rPr>
          <w:rFonts w:hint="eastAsia" w:ascii="仿宋" w:hAnsi="仿宋" w:eastAsia="仿宋"/>
          <w:b/>
          <w:sz w:val="32"/>
          <w:szCs w:val="32"/>
        </w:rPr>
        <w:t>（注：上述“预算”口径为全年预算数，包括一般公共预算和政府性基金预算财政拨款支出决算情况。）</w:t>
      </w:r>
    </w:p>
    <w:p w14:paraId="21C93D9D">
      <w:pPr>
        <w:spacing w:line="600" w:lineRule="exact"/>
        <w:ind w:firstLine="643" w:firstLineChars="200"/>
        <w:outlineLvl w:val="2"/>
        <w:rPr>
          <w:rFonts w:ascii="仿宋" w:hAnsi="仿宋" w:eastAsia="仿宋"/>
          <w:b/>
          <w:sz w:val="32"/>
          <w:szCs w:val="32"/>
        </w:rPr>
      </w:pPr>
      <w:bookmarkStart w:id="71" w:name="_Toc15377217"/>
      <w:r>
        <w:rPr>
          <w:rFonts w:hint="eastAsia" w:ascii="仿宋" w:hAnsi="仿宋" w:eastAsia="仿宋"/>
          <w:b/>
          <w:sz w:val="32"/>
          <w:szCs w:val="32"/>
        </w:rPr>
        <w:t>（二）“三公”经费财政拨款支出决算具体情况说明</w:t>
      </w:r>
      <w:bookmarkEnd w:id="71"/>
    </w:p>
    <w:p w14:paraId="74293E23">
      <w:pPr>
        <w:spacing w:line="600" w:lineRule="exact"/>
        <w:ind w:firstLine="640" w:firstLineChars="200"/>
        <w:rPr>
          <w:rFonts w:hint="eastAsia" w:ascii="仿宋" w:hAnsi="仿宋" w:eastAsia="仿宋"/>
          <w:sz w:val="32"/>
          <w:szCs w:val="32"/>
        </w:rPr>
      </w:pPr>
      <w:r>
        <w:rPr>
          <w:rFonts w:hint="eastAsia" w:ascii="仿宋" w:hAnsi="仿宋" w:eastAsia="仿宋"/>
          <w:sz w:val="32"/>
          <w:szCs w:val="32"/>
          <w:lang w:eastAsia="zh-CN"/>
        </w:rPr>
        <w:t>2025年度“三公”经费财政拨款支出决算中，因公出国（境）费支出决算0万元，占0%；公务用车购置及运行维护费支出决算0.76万元，占43%；公务接待费支出决算1.01万元，占57%。具体情况如下：</w:t>
      </w:r>
    </w:p>
    <w:p w14:paraId="0021F5A2">
      <w:pPr>
        <w:pStyle w:val="7"/>
        <w:ind w:firstLine="420" w:firstLineChars="200"/>
      </w:pPr>
      <w:r>
        <w:drawing>
          <wp:inline distT="0" distB="0" distL="114300" distR="114300">
            <wp:extent cx="5429250" cy="29337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2"/>
                    <a:stretch>
                      <a:fillRect/>
                    </a:stretch>
                  </pic:blipFill>
                  <pic:spPr>
                    <a:xfrm>
                      <a:off x="0" y="0"/>
                      <a:ext cx="5429250" cy="2933700"/>
                    </a:xfrm>
                    <a:prstGeom prst="rect">
                      <a:avLst/>
                    </a:prstGeom>
                    <a:noFill/>
                    <a:ln>
                      <a:noFill/>
                    </a:ln>
                  </pic:spPr>
                </pic:pic>
              </a:graphicData>
            </a:graphic>
          </wp:inline>
        </w:drawing>
      </w:r>
    </w:p>
    <w:p w14:paraId="15F80C8F">
      <w:pPr>
        <w:spacing w:line="600" w:lineRule="exact"/>
        <w:ind w:firstLine="640" w:firstLineChars="200"/>
        <w:rPr>
          <w:rFonts w:ascii="仿宋" w:hAnsi="仿宋" w:eastAsia="仿宋"/>
          <w:sz w:val="32"/>
          <w:szCs w:val="32"/>
        </w:rPr>
      </w:pPr>
      <w:r>
        <w:rPr>
          <w:rFonts w:hint="eastAsia" w:ascii="仿宋" w:hAnsi="仿宋" w:eastAsia="仿宋"/>
          <w:sz w:val="32"/>
          <w:szCs w:val="32"/>
        </w:rPr>
        <w:t>（图7：“三公”经费财政拨款支出结构）（饼状图）</w:t>
      </w:r>
    </w:p>
    <w:p w14:paraId="20D3C1CD">
      <w:pPr>
        <w:spacing w:line="600" w:lineRule="exact"/>
        <w:ind w:firstLine="643" w:firstLineChars="200"/>
        <w:rPr>
          <w:rFonts w:ascii="仿宋_GB2312" w:eastAsia="仿宋_GB2312"/>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sz w:val="32"/>
          <w:szCs w:val="32"/>
        </w:rPr>
        <w:t>0</w:t>
      </w:r>
      <w:r>
        <w:rPr>
          <w:rFonts w:hint="eastAsia" w:ascii="仿宋_GB2312" w:eastAsia="仿宋_GB2312"/>
          <w:sz w:val="32"/>
          <w:szCs w:val="32"/>
        </w:rPr>
        <w:t>万元，</w:t>
      </w:r>
      <w:r>
        <w:rPr>
          <w:rStyle w:val="20"/>
          <w:rFonts w:hint="eastAsia" w:ascii="仿宋" w:hAnsi="仿宋" w:eastAsia="仿宋"/>
          <w:b w:val="0"/>
          <w:bCs/>
          <w:sz w:val="32"/>
          <w:szCs w:val="32"/>
        </w:rPr>
        <w:t>完成预算</w:t>
      </w:r>
      <w:r>
        <w:rPr>
          <w:sz w:val="32"/>
          <w:szCs w:val="32"/>
        </w:rPr>
        <w:t>0</w:t>
      </w:r>
      <w:r>
        <w:rPr>
          <w:rStyle w:val="20"/>
          <w:rFonts w:ascii="仿宋" w:hAnsi="仿宋" w:eastAsia="仿宋"/>
          <w:b w:val="0"/>
          <w:bCs/>
          <w:sz w:val="32"/>
          <w:szCs w:val="32"/>
        </w:rPr>
        <w:t>%</w:t>
      </w:r>
      <w:r>
        <w:rPr>
          <w:rStyle w:val="20"/>
          <w:rFonts w:hint="eastAsia" w:ascii="仿宋" w:hAnsi="仿宋" w:eastAsia="仿宋"/>
          <w:b w:val="0"/>
          <w:bCs/>
          <w:sz w:val="32"/>
          <w:szCs w:val="32"/>
        </w:rPr>
        <w:t>。</w:t>
      </w:r>
    </w:p>
    <w:p w14:paraId="463F80E9">
      <w:pPr>
        <w:spacing w:line="600" w:lineRule="exact"/>
        <w:ind w:firstLine="643" w:firstLineChars="200"/>
        <w:rPr>
          <w:rFonts w:hint="eastAsia" w:ascii="仿宋_GB2312" w:eastAsia="仿宋_GB2312"/>
          <w:b/>
          <w:sz w:val="32"/>
          <w:szCs w:val="32"/>
          <w:lang w:eastAsia="zh-CN"/>
        </w:rPr>
      </w:pPr>
      <w:r>
        <w:rPr>
          <w:rFonts w:ascii="仿宋_GB2312" w:eastAsia="仿宋_GB2312"/>
          <w:b/>
          <w:sz w:val="32"/>
          <w:szCs w:val="32"/>
        </w:rPr>
        <w:t>2.公务用车购置及运行维护费支出0.76万元，完成预算100%。公务用车购置及运行维护费支出决算比2024年度增加0.17万元，增加28.81%。主要原因是</w:t>
      </w:r>
      <w:r>
        <w:rPr>
          <w:rFonts w:hint="eastAsia" w:ascii="仿宋_GB2312" w:eastAsia="仿宋_GB2312"/>
          <w:b/>
          <w:sz w:val="32"/>
          <w:szCs w:val="32"/>
          <w:lang w:eastAsia="zh-CN"/>
        </w:rPr>
        <w:t>燃油费价格受到市场因素费用增加。</w:t>
      </w:r>
    </w:p>
    <w:p w14:paraId="302352FD">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公务用车购置支出0万元。全年按规定更新购置公务用车0辆，其中：轿车0辆、金额0万元，越野车0辆、金额0万元，载客汽车0辆、金额0万元，主要用于日常执法执勤。截至2025年12月31日，单位共有公务用车12辆，其中：轿车0辆、越野车10辆、巡回审判车1辆，囚车1辆。</w:t>
      </w:r>
    </w:p>
    <w:p w14:paraId="462C76B3">
      <w:pPr>
        <w:spacing w:line="600" w:lineRule="exact"/>
        <w:ind w:firstLine="643" w:firstLineChars="200"/>
        <w:rPr>
          <w:rFonts w:ascii="仿宋_GB2312" w:eastAsia="仿宋_GB2312"/>
          <w:sz w:val="32"/>
          <w:szCs w:val="32"/>
        </w:rPr>
      </w:pPr>
      <w:r>
        <w:rPr>
          <w:rFonts w:hint="eastAsia" w:ascii="仿宋_GB2312" w:eastAsia="仿宋_GB2312"/>
          <w:b/>
          <w:sz w:val="32"/>
          <w:szCs w:val="32"/>
          <w:lang w:val="en-US" w:eastAsia="zh-CN"/>
        </w:rPr>
        <w:t>3.公务用车运行维护费支出0.76万元。主要用于法院日常办案工作所需的公务用车燃料费、维修费、过路过桥费、保险费等支出。</w:t>
      </w:r>
    </w:p>
    <w:p w14:paraId="14614B40">
      <w:pPr>
        <w:spacing w:line="600" w:lineRule="exact"/>
        <w:ind w:firstLine="643" w:firstLineChars="200"/>
        <w:rPr>
          <w:rFonts w:ascii="仿宋_GB2312" w:eastAsia="仿宋_GB2312"/>
          <w:sz w:val="32"/>
          <w:szCs w:val="32"/>
        </w:rPr>
      </w:pPr>
      <w:r>
        <w:rPr>
          <w:rFonts w:hint="eastAsia" w:ascii="仿宋_GB2312" w:eastAsia="仿宋_GB2312"/>
          <w:b/>
          <w:sz w:val="32"/>
          <w:szCs w:val="32"/>
          <w:lang w:val="en-US" w:eastAsia="zh-CN"/>
        </w:rPr>
        <w:t>4.公务接待费支出1.01万元，完成预算100%。公务接待费支出决算比2024年度减少0.14万元，减少12.17%。主要原因是严控支出。其中：</w:t>
      </w:r>
    </w:p>
    <w:p w14:paraId="03F8C56B">
      <w:pPr>
        <w:spacing w:line="600" w:lineRule="exact"/>
        <w:ind w:firstLine="643" w:firstLineChars="200"/>
        <w:rPr>
          <w:rFonts w:hint="default" w:ascii="仿宋_GB2312" w:eastAsia="仿宋_GB2312"/>
          <w:color w:val="000000"/>
          <w:sz w:val="32"/>
          <w:szCs w:val="32"/>
          <w:highlight w:val="none"/>
          <w:lang w:val="en-US"/>
        </w:rPr>
      </w:pPr>
      <w:r>
        <w:rPr>
          <w:rFonts w:hint="eastAsia" w:ascii="仿宋" w:hAnsi="仿宋" w:eastAsia="仿宋"/>
          <w:b/>
          <w:sz w:val="32"/>
          <w:szCs w:val="32"/>
          <w:highlight w:val="none"/>
        </w:rPr>
        <w:t>国内公务接待支出1.01万元，主要用于开展业务活动开支的交通费、住宿费、用餐费等。国内公务接待1</w:t>
      </w:r>
      <w:r>
        <w:rPr>
          <w:rFonts w:hint="eastAsia" w:ascii="仿宋" w:hAnsi="仿宋" w:eastAsia="仿宋"/>
          <w:b/>
          <w:sz w:val="32"/>
          <w:szCs w:val="32"/>
          <w:highlight w:val="none"/>
          <w:lang w:val="en-US" w:eastAsia="zh-CN"/>
        </w:rPr>
        <w:t>4</w:t>
      </w:r>
      <w:r>
        <w:rPr>
          <w:rFonts w:hint="eastAsia" w:ascii="仿宋" w:hAnsi="仿宋" w:eastAsia="仿宋"/>
          <w:b/>
          <w:sz w:val="32"/>
          <w:szCs w:val="32"/>
          <w:highlight w:val="none"/>
        </w:rPr>
        <w:t>批次，</w:t>
      </w:r>
      <w:r>
        <w:rPr>
          <w:rFonts w:hint="eastAsia" w:ascii="仿宋" w:hAnsi="仿宋" w:eastAsia="仿宋"/>
          <w:b/>
          <w:sz w:val="32"/>
          <w:szCs w:val="32"/>
          <w:highlight w:val="none"/>
          <w:lang w:val="en-US" w:eastAsia="zh-CN"/>
        </w:rPr>
        <w:t>87</w:t>
      </w:r>
      <w:r>
        <w:rPr>
          <w:rFonts w:hint="eastAsia" w:ascii="仿宋" w:hAnsi="仿宋" w:eastAsia="仿宋"/>
          <w:b/>
          <w:sz w:val="32"/>
          <w:szCs w:val="32"/>
          <w:highlight w:val="none"/>
        </w:rPr>
        <w:t>人次（不包括陪同人员），共计支出1.01万元。</w:t>
      </w:r>
    </w:p>
    <w:p w14:paraId="672DC07D">
      <w:pPr>
        <w:spacing w:line="600" w:lineRule="exact"/>
        <w:ind w:firstLine="643" w:firstLineChars="200"/>
        <w:rPr>
          <w:rFonts w:ascii="黑体" w:eastAsia="黑体"/>
          <w:sz w:val="32"/>
          <w:szCs w:val="32"/>
        </w:rPr>
      </w:pPr>
      <w:r>
        <w:rPr>
          <w:rFonts w:hint="eastAsia" w:ascii="仿宋" w:hAnsi="仿宋" w:eastAsia="仿宋"/>
          <w:b/>
          <w:sz w:val="32"/>
          <w:szCs w:val="32"/>
        </w:rPr>
        <w:t>外事接待支出</w:t>
      </w:r>
      <w:r>
        <w:rPr>
          <w:rFonts w:hint="eastAsia" w:ascii="仿宋" w:hAnsi="仿宋" w:eastAsia="仿宋"/>
          <w:b/>
          <w:sz w:val="32"/>
          <w:szCs w:val="32"/>
          <w:lang w:val="en-US" w:eastAsia="zh-CN"/>
        </w:rPr>
        <w:t>0</w:t>
      </w:r>
      <w:r>
        <w:rPr>
          <w:rFonts w:hint="eastAsia" w:ascii="仿宋_GB2312" w:eastAsia="仿宋_GB2312"/>
          <w:sz w:val="32"/>
          <w:szCs w:val="32"/>
        </w:rPr>
        <w:t>万元，外事接待</w:t>
      </w:r>
      <w:r>
        <w:rPr>
          <w:rFonts w:hint="eastAsia" w:ascii="仿宋_GB2312" w:eastAsia="仿宋_GB2312"/>
          <w:sz w:val="32"/>
          <w:szCs w:val="32"/>
          <w:lang w:val="en-US" w:eastAsia="zh-CN"/>
        </w:rPr>
        <w:t>0</w:t>
      </w:r>
      <w:r>
        <w:rPr>
          <w:rFonts w:hint="eastAsia" w:ascii="仿宋_GB2312" w:eastAsia="仿宋_GB2312"/>
          <w:sz w:val="32"/>
          <w:szCs w:val="32"/>
        </w:rPr>
        <w:t>批次，</w:t>
      </w:r>
      <w:r>
        <w:rPr>
          <w:rFonts w:hint="eastAsia" w:ascii="仿宋_GB2312" w:eastAsia="仿宋_GB2312"/>
          <w:sz w:val="32"/>
          <w:szCs w:val="32"/>
          <w:lang w:val="en-US" w:eastAsia="zh-CN"/>
        </w:rPr>
        <w:t>0</w:t>
      </w:r>
      <w:r>
        <w:rPr>
          <w:rFonts w:hint="eastAsia" w:ascii="仿宋_GB2312" w:eastAsia="仿宋_GB2312"/>
          <w:sz w:val="32"/>
          <w:szCs w:val="32"/>
        </w:rPr>
        <w:t>人次，共计支出</w:t>
      </w:r>
      <w:r>
        <w:rPr>
          <w:rFonts w:hint="eastAsia" w:ascii="仿宋_GB2312" w:eastAsia="仿宋_GB2312"/>
          <w:sz w:val="32"/>
          <w:szCs w:val="32"/>
          <w:lang w:val="en-US" w:eastAsia="zh-CN"/>
        </w:rPr>
        <w:t>0</w:t>
      </w:r>
      <w:r>
        <w:rPr>
          <w:rFonts w:hint="eastAsia" w:ascii="仿宋_GB2312" w:eastAsia="仿宋_GB2312"/>
          <w:sz w:val="32"/>
          <w:szCs w:val="32"/>
        </w:rPr>
        <w:t>万元。</w:t>
      </w:r>
      <w:bookmarkStart w:id="72" w:name="_Toc15377218"/>
      <w:bookmarkStart w:id="73" w:name="_Toc15396610"/>
    </w:p>
    <w:p w14:paraId="64FEE0A8">
      <w:pPr>
        <w:spacing w:line="600" w:lineRule="exact"/>
        <w:ind w:firstLine="640" w:firstLineChars="200"/>
        <w:outlineLvl w:val="1"/>
        <w:rPr>
          <w:rStyle w:val="23"/>
          <w:rFonts w:ascii="黑体" w:hAnsi="黑体" w:eastAsia="黑体"/>
        </w:rPr>
      </w:pPr>
      <w:bookmarkStart w:id="74" w:name="_Toc418866747_WPSOffice_Level2"/>
      <w:bookmarkStart w:id="75" w:name="_Toc23180"/>
      <w:r>
        <w:rPr>
          <w:rFonts w:hint="eastAsia" w:ascii="黑体" w:eastAsia="黑体"/>
          <w:sz w:val="32"/>
          <w:szCs w:val="32"/>
        </w:rPr>
        <w:t>八、</w:t>
      </w:r>
      <w:r>
        <w:rPr>
          <w:rStyle w:val="23"/>
          <w:rFonts w:hint="eastAsia" w:ascii="黑体" w:hAnsi="黑体" w:eastAsia="黑体"/>
          <w:b w:val="0"/>
        </w:rPr>
        <w:t>政府性基金预算支出决算情况说明</w:t>
      </w:r>
      <w:bookmarkEnd w:id="72"/>
      <w:bookmarkEnd w:id="73"/>
      <w:bookmarkEnd w:id="74"/>
      <w:bookmarkEnd w:id="75"/>
    </w:p>
    <w:p w14:paraId="2C1B1785">
      <w:pPr>
        <w:spacing w:line="600" w:lineRule="exact"/>
        <w:ind w:firstLine="640" w:firstLineChars="200"/>
        <w:rPr>
          <w:rFonts w:ascii="仿宋_GB2312" w:eastAsia="仿宋_GB2312"/>
          <w:sz w:val="32"/>
          <w:szCs w:val="32"/>
        </w:rPr>
      </w:pPr>
      <w:r>
        <w:rPr>
          <w:rFonts w:hint="eastAsia" w:ascii="仿宋_GB2312" w:eastAsia="仿宋_GB2312"/>
          <w:sz w:val="32"/>
          <w:szCs w:val="32"/>
          <w:lang w:eastAsia="zh-CN"/>
        </w:rPr>
        <w:t>2025年度政府性基金预算财政拨款支出0万元。</w:t>
      </w:r>
    </w:p>
    <w:p w14:paraId="3D06FC6F">
      <w:pPr>
        <w:numPr>
          <w:ilvl w:val="0"/>
          <w:numId w:val="2"/>
        </w:numPr>
        <w:spacing w:line="600" w:lineRule="exact"/>
        <w:ind w:firstLine="640" w:firstLineChars="200"/>
        <w:outlineLvl w:val="1"/>
        <w:rPr>
          <w:rStyle w:val="23"/>
          <w:rFonts w:ascii="黑体" w:hAnsi="黑体" w:eastAsia="黑体"/>
          <w:b w:val="0"/>
        </w:rPr>
      </w:pPr>
      <w:bookmarkStart w:id="76" w:name="_Toc15377219"/>
      <w:bookmarkStart w:id="77" w:name="_Toc543270987_WPSOffice_Level2"/>
      <w:bookmarkStart w:id="78" w:name="_Toc15396611"/>
      <w:bookmarkStart w:id="79" w:name="_Toc12903"/>
      <w:r>
        <w:rPr>
          <w:rStyle w:val="23"/>
          <w:rFonts w:hint="eastAsia" w:ascii="黑体" w:hAnsi="黑体" w:eastAsia="黑体"/>
          <w:b w:val="0"/>
        </w:rPr>
        <w:t>国有资本经营预算支出决算情况说明</w:t>
      </w:r>
      <w:bookmarkEnd w:id="76"/>
      <w:bookmarkEnd w:id="77"/>
      <w:bookmarkEnd w:id="78"/>
      <w:bookmarkEnd w:id="79"/>
    </w:p>
    <w:p w14:paraId="177C8843">
      <w:pPr>
        <w:spacing w:line="600" w:lineRule="exact"/>
        <w:ind w:firstLine="640" w:firstLineChars="200"/>
        <w:rPr>
          <w:rFonts w:ascii="方正小标宋简体" w:hAnsi="方正小标宋简体" w:eastAsia="方正小标宋简体" w:cs="方正小标宋简体"/>
          <w:sz w:val="44"/>
          <w:szCs w:val="44"/>
        </w:rPr>
      </w:pPr>
      <w:r>
        <w:rPr>
          <w:rFonts w:hint="eastAsia" w:ascii="仿宋_GB2312" w:eastAsia="仿宋_GB2312"/>
          <w:sz w:val="32"/>
          <w:szCs w:val="32"/>
          <w:lang w:eastAsia="zh-CN"/>
        </w:rPr>
        <w:t>2025年度国有资本经营预算财政拨款支出0万元。</w:t>
      </w:r>
    </w:p>
    <w:p w14:paraId="5D8448BE">
      <w:pPr>
        <w:numPr>
          <w:ilvl w:val="0"/>
          <w:numId w:val="2"/>
        </w:numPr>
        <w:spacing w:line="600" w:lineRule="exact"/>
        <w:ind w:firstLine="640" w:firstLineChars="200"/>
        <w:outlineLvl w:val="1"/>
        <w:rPr>
          <w:rStyle w:val="23"/>
          <w:rFonts w:ascii="黑体" w:hAnsi="黑体" w:eastAsia="黑体"/>
          <w:b w:val="0"/>
        </w:rPr>
      </w:pPr>
      <w:bookmarkStart w:id="80" w:name="_Toc15396612"/>
      <w:bookmarkStart w:id="81" w:name="_Toc15377221"/>
      <w:bookmarkStart w:id="82" w:name="_Toc1826728033_WPSOffice_Level2"/>
      <w:bookmarkStart w:id="83" w:name="_Toc28295"/>
      <w:r>
        <w:rPr>
          <w:rStyle w:val="23"/>
          <w:rFonts w:hint="eastAsia" w:ascii="黑体" w:hAnsi="黑体" w:eastAsia="黑体"/>
          <w:b w:val="0"/>
        </w:rPr>
        <w:t>其他重要事项的情况说明</w:t>
      </w:r>
      <w:bookmarkEnd w:id="80"/>
      <w:bookmarkEnd w:id="81"/>
      <w:bookmarkEnd w:id="82"/>
      <w:bookmarkEnd w:id="83"/>
    </w:p>
    <w:p w14:paraId="7E945DDB">
      <w:pPr>
        <w:spacing w:line="600" w:lineRule="exact"/>
        <w:ind w:firstLine="643" w:firstLineChars="200"/>
        <w:outlineLvl w:val="2"/>
        <w:rPr>
          <w:rFonts w:ascii="仿宋" w:hAnsi="仿宋" w:eastAsia="仿宋"/>
          <w:sz w:val="32"/>
          <w:szCs w:val="32"/>
        </w:rPr>
      </w:pPr>
      <w:bookmarkStart w:id="84" w:name="_Toc15377222"/>
      <w:r>
        <w:rPr>
          <w:rFonts w:hint="eastAsia" w:ascii="仿宋" w:hAnsi="仿宋" w:eastAsia="仿宋"/>
          <w:b/>
          <w:sz w:val="32"/>
          <w:szCs w:val="32"/>
        </w:rPr>
        <w:t>（一）机关运行经费支出情况</w:t>
      </w:r>
      <w:bookmarkEnd w:id="84"/>
    </w:p>
    <w:p w14:paraId="132C8B90">
      <w:pPr>
        <w:spacing w:line="600" w:lineRule="exact"/>
        <w:ind w:firstLine="640" w:firstLineChars="200"/>
        <w:rPr>
          <w:rFonts w:ascii="仿宋_GB2312" w:eastAsia="仿宋_GB2312"/>
          <w:sz w:val="32"/>
          <w:szCs w:val="32"/>
        </w:rPr>
      </w:pPr>
      <w:r>
        <w:rPr>
          <w:rFonts w:hint="eastAsia" w:ascii="仿宋_GB2312" w:eastAsia="仿宋_GB2312"/>
          <w:sz w:val="32"/>
          <w:szCs w:val="32"/>
          <w:lang w:eastAsia="zh-CN"/>
        </w:rPr>
        <w:t>2025年度，四川省阿坝州黑水县人民法院机关运行经费支出101.45万元，比2024年度减少4.91万元，减少4.62%。主要原因是厉行节约。</w:t>
      </w:r>
    </w:p>
    <w:p w14:paraId="428C9F1D">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w:t>
      </w:r>
    </w:p>
    <w:p w14:paraId="5E6DA883">
      <w:pPr>
        <w:autoSpaceDE w:val="0"/>
        <w:autoSpaceDN w:val="0"/>
        <w:adjustRightInd w:val="0"/>
        <w:spacing w:line="600" w:lineRule="exact"/>
        <w:ind w:firstLine="643" w:firstLineChars="200"/>
        <w:jc w:val="left"/>
        <w:outlineLvl w:val="2"/>
        <w:rPr>
          <w:rFonts w:ascii="仿宋" w:hAnsi="仿宋" w:eastAsia="仿宋"/>
          <w:b/>
          <w:sz w:val="32"/>
          <w:szCs w:val="32"/>
        </w:rPr>
      </w:pPr>
      <w:bookmarkStart w:id="85" w:name="_Toc15377223"/>
      <w:r>
        <w:rPr>
          <w:rFonts w:hint="eastAsia" w:ascii="仿宋" w:hAnsi="仿宋" w:eastAsia="仿宋"/>
          <w:b/>
          <w:sz w:val="32"/>
          <w:szCs w:val="32"/>
        </w:rPr>
        <w:t>（二）政府采购支出情况</w:t>
      </w:r>
      <w:bookmarkEnd w:id="85"/>
    </w:p>
    <w:p w14:paraId="30379DAD">
      <w:pPr>
        <w:spacing w:line="600" w:lineRule="exact"/>
        <w:ind w:firstLine="640" w:firstLineChars="200"/>
        <w:rPr>
          <w:rFonts w:ascii="仿宋_GB2312" w:eastAsia="仿宋_GB2312"/>
          <w:sz w:val="32"/>
          <w:szCs w:val="32"/>
        </w:rPr>
      </w:pPr>
      <w:r>
        <w:rPr>
          <w:rFonts w:hint="eastAsia" w:ascii="仿宋_GB2312" w:eastAsia="仿宋_GB2312"/>
          <w:sz w:val="32"/>
          <w:szCs w:val="32"/>
          <w:lang w:eastAsia="zh-CN"/>
        </w:rPr>
        <w:t>2025年度，四川省阿坝州黑水县人民法院政府采购支出总额151.30万元，其中：政府采购货物支出151.30万元、政府采购工程支出0万元、政府采购服务支出0万元。主要用于…（具体工作）。授予中小企业合同金额151.30万元，占政府采购支出总额的100%，其中：授予小微企业合同金额151.30万元，占政府采购支出总额的100%。</w:t>
      </w:r>
    </w:p>
    <w:p w14:paraId="0143EDA4">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w:t>
      </w:r>
    </w:p>
    <w:p w14:paraId="0895A49C">
      <w:pPr>
        <w:autoSpaceDE w:val="0"/>
        <w:autoSpaceDN w:val="0"/>
        <w:adjustRightInd w:val="0"/>
        <w:spacing w:line="600" w:lineRule="exact"/>
        <w:ind w:firstLine="643" w:firstLineChars="200"/>
        <w:jc w:val="left"/>
        <w:outlineLvl w:val="2"/>
        <w:rPr>
          <w:rFonts w:ascii="仿宋" w:hAnsi="仿宋" w:eastAsia="仿宋"/>
          <w:b/>
          <w:sz w:val="32"/>
          <w:szCs w:val="32"/>
        </w:rPr>
      </w:pPr>
      <w:bookmarkStart w:id="86" w:name="_Toc15377224"/>
      <w:r>
        <w:rPr>
          <w:rFonts w:hint="eastAsia" w:ascii="仿宋" w:hAnsi="仿宋" w:eastAsia="仿宋"/>
          <w:b/>
          <w:sz w:val="32"/>
          <w:szCs w:val="32"/>
        </w:rPr>
        <w:t>（三）国有资产占有使用情况</w:t>
      </w:r>
      <w:bookmarkEnd w:id="86"/>
    </w:p>
    <w:p w14:paraId="2E2C3B03">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截至2025年12月31日，四川省阿坝州黑水县人民法院共有车辆12辆，其中：主要领导干部用车0辆、一般公务用车0辆、一般执法执勤用车9辆、特种专业技术用车3辆、其他用车0辆。单价50万元以上通用设备</w:t>
      </w:r>
      <w:r>
        <w:rPr>
          <w:rFonts w:hint="eastAsia" w:ascii="仿宋_GB2312" w:eastAsia="仿宋_GB2312"/>
          <w:sz w:val="32"/>
          <w:szCs w:val="32"/>
          <w:lang w:val="en-US" w:eastAsia="zh-CN"/>
        </w:rPr>
        <w:t>1</w:t>
      </w:r>
      <w:r>
        <w:rPr>
          <w:rFonts w:hint="eastAsia" w:ascii="仿宋_GB2312" w:eastAsia="仿宋_GB2312"/>
          <w:sz w:val="32"/>
          <w:szCs w:val="32"/>
        </w:rPr>
        <w:t>台（套），单价100万元以上设备0台（套）。</w:t>
      </w:r>
    </w:p>
    <w:p w14:paraId="7AE6E113">
      <w:pPr>
        <w:autoSpaceDE w:val="0"/>
        <w:autoSpaceDN w:val="0"/>
        <w:adjustRightInd w:val="0"/>
        <w:spacing w:line="600" w:lineRule="exact"/>
        <w:ind w:firstLine="643" w:firstLineChars="200"/>
        <w:jc w:val="left"/>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表，按部门决算报表填报数据罗列车辆情况。）</w:t>
      </w:r>
    </w:p>
    <w:p w14:paraId="04210877">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14:paraId="4295C20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根据预算绩效管理要求，本部门在2025年度预算编制阶段，组织对部门预算阶段项目等</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个项目开展了预算事前绩效评估，对</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个项目编制了绩效目标，预算执行过程中，选取</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个项目开展绩效监控。</w:t>
      </w:r>
      <w:bookmarkStart w:id="87" w:name="_Toc1809573212_WPSOffice_Level1"/>
      <w:bookmarkStart w:id="88" w:name="_Toc289724497_WPSOffice_Level1"/>
    </w:p>
    <w:p w14:paraId="2DC13162">
      <w:pPr>
        <w:pStyle w:val="13"/>
        <w:rPr>
          <w:rFonts w:hint="eastAsia" w:ascii="仿宋_GB2312" w:hAnsi="仿宋_GB2312" w:eastAsia="仿宋_GB2312" w:cs="仿宋_GB2312"/>
          <w:sz w:val="32"/>
          <w:szCs w:val="32"/>
        </w:rPr>
      </w:pPr>
    </w:p>
    <w:p w14:paraId="227CE621">
      <w:pPr>
        <w:pStyle w:val="14"/>
        <w:rPr>
          <w:rFonts w:hint="eastAsia" w:ascii="仿宋_GB2312" w:hAnsi="仿宋_GB2312" w:eastAsia="仿宋_GB2312" w:cs="仿宋_GB2312"/>
          <w:sz w:val="32"/>
          <w:szCs w:val="32"/>
        </w:rPr>
      </w:pPr>
    </w:p>
    <w:p w14:paraId="7B55A784">
      <w:pPr>
        <w:pStyle w:val="14"/>
        <w:rPr>
          <w:rFonts w:hint="eastAsia" w:ascii="仿宋_GB2312" w:hAnsi="仿宋_GB2312" w:eastAsia="仿宋_GB2312" w:cs="仿宋_GB2312"/>
          <w:sz w:val="32"/>
          <w:szCs w:val="32"/>
        </w:rPr>
      </w:pPr>
    </w:p>
    <w:p w14:paraId="7397EA86">
      <w:pPr>
        <w:pStyle w:val="14"/>
        <w:rPr>
          <w:rFonts w:hint="eastAsia" w:ascii="仿宋_GB2312" w:hAnsi="仿宋_GB2312" w:eastAsia="仿宋_GB2312" w:cs="仿宋_GB2312"/>
          <w:sz w:val="32"/>
          <w:szCs w:val="32"/>
        </w:rPr>
      </w:pPr>
    </w:p>
    <w:p w14:paraId="3ED75D21">
      <w:pPr>
        <w:pStyle w:val="14"/>
        <w:rPr>
          <w:rFonts w:hint="eastAsia" w:ascii="仿宋_GB2312" w:hAnsi="仿宋_GB2312" w:eastAsia="仿宋_GB2312" w:cs="仿宋_GB2312"/>
          <w:sz w:val="32"/>
          <w:szCs w:val="32"/>
        </w:rPr>
      </w:pPr>
    </w:p>
    <w:p w14:paraId="714F7F13">
      <w:pPr>
        <w:pStyle w:val="14"/>
        <w:rPr>
          <w:rFonts w:hint="eastAsia" w:ascii="仿宋_GB2312" w:hAnsi="仿宋_GB2312" w:eastAsia="仿宋_GB2312" w:cs="仿宋_GB2312"/>
          <w:sz w:val="32"/>
          <w:szCs w:val="32"/>
        </w:rPr>
      </w:pPr>
    </w:p>
    <w:p w14:paraId="7C4B3EED">
      <w:pPr>
        <w:pStyle w:val="14"/>
        <w:rPr>
          <w:rFonts w:hint="eastAsia" w:ascii="仿宋_GB2312" w:hAnsi="仿宋_GB2312" w:eastAsia="仿宋_GB2312" w:cs="仿宋_GB2312"/>
          <w:sz w:val="32"/>
          <w:szCs w:val="32"/>
        </w:rPr>
      </w:pPr>
    </w:p>
    <w:p w14:paraId="00FFCF01">
      <w:pPr>
        <w:pStyle w:val="14"/>
        <w:rPr>
          <w:rFonts w:hint="eastAsia" w:ascii="仿宋_GB2312" w:hAnsi="仿宋_GB2312" w:eastAsia="仿宋_GB2312" w:cs="仿宋_GB2312"/>
          <w:sz w:val="32"/>
          <w:szCs w:val="32"/>
        </w:rPr>
      </w:pPr>
    </w:p>
    <w:p w14:paraId="179D6EC7">
      <w:pPr>
        <w:pStyle w:val="14"/>
        <w:rPr>
          <w:rFonts w:hint="eastAsia" w:ascii="仿宋_GB2312" w:hAnsi="仿宋_GB2312" w:eastAsia="仿宋_GB2312" w:cs="仿宋_GB2312"/>
          <w:sz w:val="32"/>
          <w:szCs w:val="32"/>
        </w:rPr>
      </w:pPr>
    </w:p>
    <w:p w14:paraId="705BE367">
      <w:pPr>
        <w:pStyle w:val="14"/>
        <w:rPr>
          <w:rFonts w:hint="eastAsia" w:ascii="仿宋_GB2312" w:hAnsi="仿宋_GB2312" w:eastAsia="仿宋_GB2312" w:cs="仿宋_GB2312"/>
          <w:sz w:val="32"/>
          <w:szCs w:val="32"/>
        </w:rPr>
      </w:pPr>
    </w:p>
    <w:p w14:paraId="33AF5B17">
      <w:pPr>
        <w:pStyle w:val="14"/>
        <w:rPr>
          <w:rFonts w:hint="eastAsia" w:ascii="仿宋_GB2312" w:hAnsi="仿宋_GB2312" w:eastAsia="仿宋_GB2312" w:cs="仿宋_GB2312"/>
          <w:sz w:val="32"/>
          <w:szCs w:val="32"/>
        </w:rPr>
      </w:pPr>
    </w:p>
    <w:p w14:paraId="4D765386">
      <w:pPr>
        <w:pStyle w:val="14"/>
        <w:rPr>
          <w:rFonts w:hint="eastAsia" w:ascii="仿宋_GB2312" w:hAnsi="仿宋_GB2312" w:eastAsia="仿宋_GB2312" w:cs="仿宋_GB2312"/>
          <w:sz w:val="32"/>
          <w:szCs w:val="32"/>
        </w:rPr>
      </w:pPr>
    </w:p>
    <w:p w14:paraId="79D4A57A">
      <w:pPr>
        <w:pStyle w:val="14"/>
        <w:rPr>
          <w:rFonts w:hint="eastAsia" w:ascii="仿宋_GB2312" w:hAnsi="仿宋_GB2312" w:eastAsia="仿宋_GB2312" w:cs="仿宋_GB2312"/>
          <w:sz w:val="32"/>
          <w:szCs w:val="32"/>
        </w:rPr>
      </w:pPr>
    </w:p>
    <w:p w14:paraId="7C0063ED">
      <w:pPr>
        <w:pStyle w:val="14"/>
        <w:rPr>
          <w:rFonts w:hint="eastAsia" w:ascii="仿宋_GB2312" w:hAnsi="仿宋_GB2312" w:eastAsia="仿宋_GB2312" w:cs="仿宋_GB2312"/>
          <w:sz w:val="32"/>
          <w:szCs w:val="32"/>
        </w:rPr>
      </w:pPr>
    </w:p>
    <w:p w14:paraId="25CF088F">
      <w:pPr>
        <w:pStyle w:val="14"/>
        <w:rPr>
          <w:rFonts w:hint="eastAsia" w:ascii="仿宋_GB2312" w:hAnsi="仿宋_GB2312" w:eastAsia="仿宋_GB2312" w:cs="仿宋_GB2312"/>
          <w:sz w:val="32"/>
          <w:szCs w:val="32"/>
        </w:rPr>
      </w:pPr>
    </w:p>
    <w:p w14:paraId="6DCF7DD5">
      <w:pPr>
        <w:pStyle w:val="14"/>
        <w:rPr>
          <w:rFonts w:hint="eastAsia" w:ascii="仿宋_GB2312" w:hAnsi="仿宋_GB2312" w:eastAsia="仿宋_GB2312" w:cs="仿宋_GB2312"/>
          <w:sz w:val="32"/>
          <w:szCs w:val="32"/>
        </w:rPr>
      </w:pPr>
    </w:p>
    <w:p w14:paraId="50DDBD7F">
      <w:pPr>
        <w:pStyle w:val="14"/>
        <w:rPr>
          <w:rFonts w:hint="eastAsia" w:ascii="仿宋_GB2312" w:hAnsi="仿宋_GB2312" w:eastAsia="仿宋_GB2312" w:cs="仿宋_GB2312"/>
          <w:sz w:val="32"/>
          <w:szCs w:val="32"/>
        </w:rPr>
      </w:pPr>
    </w:p>
    <w:p w14:paraId="506B98D6">
      <w:pPr>
        <w:pStyle w:val="3"/>
        <w:jc w:val="center"/>
      </w:pPr>
      <w:bookmarkStart w:id="89" w:name="_Toc26115"/>
      <w:r>
        <w:rPr>
          <w:rFonts w:hint="eastAsia"/>
        </w:rPr>
        <w:t>第三部分 名词解释</w:t>
      </w:r>
      <w:bookmarkEnd w:id="87"/>
      <w:bookmarkEnd w:id="88"/>
      <w:bookmarkEnd w:id="89"/>
    </w:p>
    <w:p w14:paraId="6F3CDD9C">
      <w:pPr>
        <w:ind w:firstLine="640" w:firstLineChars="200"/>
        <w:outlineLvl w:val="1"/>
        <w:rPr>
          <w:rFonts w:hint="eastAsia" w:ascii="仿宋_GB2312" w:eastAsia="仿宋_GB2312"/>
          <w:sz w:val="32"/>
          <w:szCs w:val="32"/>
        </w:rPr>
      </w:pPr>
      <w:bookmarkStart w:id="90" w:name="_Toc22312"/>
      <w:r>
        <w:rPr>
          <w:rFonts w:hint="eastAsia" w:ascii="仿宋_GB2312" w:eastAsia="仿宋_GB2312"/>
          <w:sz w:val="32"/>
          <w:szCs w:val="32"/>
        </w:rPr>
        <w:t>1.财政拨款收入：指单位从同级财政部门取得的财政预算资金。</w:t>
      </w:r>
      <w:bookmarkEnd w:id="90"/>
    </w:p>
    <w:p w14:paraId="2E46449C">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 xml:space="preserve">.年初结转和结余：指以前年度尚未完成、结转到本年按有关规定继续使用的资金。 </w:t>
      </w:r>
    </w:p>
    <w:p w14:paraId="7AB50FEB">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.年末结转和结余：指单位按有关规定结转到下年或以后年度继续使用的资金。</w:t>
      </w:r>
    </w:p>
    <w:p w14:paraId="21778A0F">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.公共安全</w:t>
      </w:r>
      <w:r>
        <w:rPr>
          <w:rFonts w:hint="eastAsia" w:ascii="仿宋_GB2312" w:eastAsia="仿宋_GB2312"/>
          <w:sz w:val="32"/>
          <w:szCs w:val="32"/>
          <w:lang w:val="en-US" w:eastAsia="zh-CN"/>
        </w:rPr>
        <w:t>2040501</w:t>
      </w:r>
      <w:r>
        <w:rPr>
          <w:rFonts w:hint="eastAsia" w:ascii="仿宋_GB2312" w:eastAsia="仿宋_GB2312"/>
          <w:sz w:val="32"/>
          <w:szCs w:val="32"/>
        </w:rPr>
        <w:t>：指</w:t>
      </w:r>
      <w:r>
        <w:rPr>
          <w:rFonts w:hint="eastAsia" w:ascii="仿宋_GB2312" w:eastAsia="仿宋_GB2312"/>
          <w:sz w:val="32"/>
          <w:szCs w:val="32"/>
          <w:lang w:eastAsia="zh-CN"/>
        </w:rPr>
        <w:t>行政运行包含单位人员工资津补贴及日常公用经费支出</w:t>
      </w:r>
      <w:r>
        <w:rPr>
          <w:rFonts w:hint="eastAsia" w:ascii="仿宋_GB2312" w:eastAsia="仿宋_GB2312"/>
          <w:sz w:val="32"/>
          <w:szCs w:val="32"/>
        </w:rPr>
        <w:t>。</w:t>
      </w:r>
    </w:p>
    <w:p w14:paraId="0313A81A">
      <w:pPr>
        <w:ind w:firstLine="640" w:firstLineChars="200"/>
        <w:rPr>
          <w:rFonts w:hint="eastAsia" w:ascii="仿宋_GB2312" w:eastAsia="仿宋_GB2312"/>
          <w:sz w:val="32"/>
          <w:szCs w:val="32"/>
        </w:rPr>
      </w:pPr>
      <w:r>
        <w:rPr>
          <w:rFonts w:hint="eastAsia" w:ascii="仿宋_GB2312" w:eastAsia="仿宋_GB2312"/>
          <w:sz w:val="32"/>
          <w:szCs w:val="32"/>
        </w:rPr>
        <w:t>5.社会保障和就业</w:t>
      </w:r>
      <w:r>
        <w:rPr>
          <w:rFonts w:hint="eastAsia" w:ascii="仿宋_GB2312" w:eastAsia="仿宋_GB2312"/>
          <w:sz w:val="32"/>
          <w:szCs w:val="32"/>
          <w:lang w:val="en-US" w:eastAsia="zh-CN"/>
        </w:rPr>
        <w:t>2080505、2080506</w:t>
      </w:r>
      <w:r>
        <w:rPr>
          <w:rFonts w:hint="eastAsia" w:ascii="仿宋_GB2312" w:eastAsia="仿宋_GB2312"/>
          <w:sz w:val="32"/>
          <w:szCs w:val="32"/>
        </w:rPr>
        <w:t>：指</w:t>
      </w:r>
      <w:r>
        <w:rPr>
          <w:rFonts w:hint="eastAsia" w:ascii="仿宋" w:hAnsi="仿宋" w:eastAsia="仿宋" w:cs="仿宋"/>
          <w:sz w:val="32"/>
          <w:szCs w:val="32"/>
        </w:rPr>
        <w:t>机关事业单位养老保险</w:t>
      </w:r>
      <w:r>
        <w:rPr>
          <w:rFonts w:hint="eastAsia" w:ascii="仿宋" w:hAnsi="仿宋" w:eastAsia="仿宋" w:cs="仿宋"/>
          <w:sz w:val="32"/>
          <w:szCs w:val="32"/>
          <w:lang w:eastAsia="zh-CN"/>
        </w:rPr>
        <w:t>支出、</w:t>
      </w:r>
      <w:r>
        <w:rPr>
          <w:rFonts w:hint="eastAsia" w:ascii="仿宋" w:hAnsi="仿宋" w:eastAsia="仿宋" w:cs="仿宋"/>
          <w:sz w:val="32"/>
          <w:szCs w:val="32"/>
        </w:rPr>
        <w:t>机关事业单位职业年金缴费支出</w:t>
      </w:r>
      <w:r>
        <w:rPr>
          <w:rFonts w:hint="eastAsia" w:ascii="仿宋_GB2312" w:eastAsia="仿宋_GB2312"/>
          <w:sz w:val="32"/>
          <w:szCs w:val="32"/>
        </w:rPr>
        <w:t>。</w:t>
      </w:r>
    </w:p>
    <w:p w14:paraId="0F02CAD4">
      <w:pPr>
        <w:ind w:firstLine="640" w:firstLineChars="200"/>
        <w:rPr>
          <w:rFonts w:hint="eastAsia" w:ascii="仿宋_GB2312" w:eastAsia="仿宋_GB2312"/>
          <w:sz w:val="32"/>
          <w:szCs w:val="32"/>
        </w:rPr>
      </w:pPr>
      <w:r>
        <w:rPr>
          <w:rFonts w:hint="eastAsia" w:ascii="仿宋_GB2312" w:eastAsia="仿宋_GB2312"/>
          <w:sz w:val="32"/>
          <w:szCs w:val="32"/>
        </w:rPr>
        <w:t>6.卫生健康</w:t>
      </w:r>
      <w:r>
        <w:rPr>
          <w:rFonts w:hint="eastAsia" w:ascii="仿宋_GB2312" w:eastAsia="仿宋_GB2312"/>
          <w:sz w:val="32"/>
          <w:szCs w:val="32"/>
          <w:lang w:val="en-US" w:eastAsia="zh-CN"/>
        </w:rPr>
        <w:t>2101101、2101103</w:t>
      </w:r>
      <w:r>
        <w:rPr>
          <w:rFonts w:hint="eastAsia" w:ascii="仿宋_GB2312" w:eastAsia="仿宋_GB2312"/>
          <w:sz w:val="32"/>
          <w:szCs w:val="32"/>
        </w:rPr>
        <w:t>：指</w:t>
      </w:r>
      <w:r>
        <w:rPr>
          <w:rFonts w:hint="eastAsia" w:ascii="仿宋_GB2312" w:eastAsia="仿宋_GB2312"/>
          <w:sz w:val="32"/>
          <w:szCs w:val="32"/>
          <w:lang w:eastAsia="zh-CN"/>
        </w:rPr>
        <w:t>行政单位医疗</w:t>
      </w:r>
      <w:r>
        <w:rPr>
          <w:rFonts w:hint="eastAsia" w:ascii="仿宋_GB2312" w:eastAsia="仿宋_GB2312"/>
          <w:sz w:val="32"/>
          <w:szCs w:val="32"/>
        </w:rPr>
        <w:t>。</w:t>
      </w:r>
    </w:p>
    <w:p w14:paraId="73A8BE13">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7</w:t>
      </w:r>
      <w:r>
        <w:rPr>
          <w:rFonts w:hint="eastAsia" w:ascii="仿宋_GB2312" w:eastAsia="仿宋_GB2312"/>
          <w:sz w:val="32"/>
          <w:szCs w:val="32"/>
        </w:rPr>
        <w:t>.住房保障</w:t>
      </w:r>
      <w:r>
        <w:rPr>
          <w:rFonts w:hint="eastAsia" w:ascii="仿宋_GB2312" w:eastAsia="仿宋_GB2312"/>
          <w:sz w:val="32"/>
          <w:szCs w:val="32"/>
          <w:lang w:val="en-US" w:eastAsia="zh-CN"/>
        </w:rPr>
        <w:t>2210201</w:t>
      </w:r>
      <w:r>
        <w:rPr>
          <w:rFonts w:hint="eastAsia" w:ascii="仿宋_GB2312" w:eastAsia="仿宋_GB2312"/>
          <w:sz w:val="32"/>
          <w:szCs w:val="32"/>
        </w:rPr>
        <w:t>：指</w:t>
      </w:r>
      <w:r>
        <w:rPr>
          <w:rFonts w:hint="eastAsia" w:ascii="仿宋_GB2312" w:eastAsia="仿宋_GB2312"/>
          <w:sz w:val="32"/>
          <w:szCs w:val="32"/>
          <w:lang w:eastAsia="zh-CN"/>
        </w:rPr>
        <w:t>行政单位住房补贴</w:t>
      </w:r>
      <w:r>
        <w:rPr>
          <w:rFonts w:hint="eastAsia" w:ascii="仿宋_GB2312" w:eastAsia="仿宋_GB2312"/>
          <w:sz w:val="32"/>
          <w:szCs w:val="32"/>
        </w:rPr>
        <w:t>。</w:t>
      </w:r>
    </w:p>
    <w:p w14:paraId="1D765E37">
      <w:pPr>
        <w:pStyle w:val="7"/>
        <w:ind w:firstLine="640" w:firstLineChars="200"/>
        <w:rPr>
          <w:rFonts w:hint="default" w:ascii="仿宋_GB2312" w:hAnsi="Calibri" w:eastAsia="仿宋_GB2312" w:cs="Times New Roman"/>
          <w:color w:val="auto"/>
          <w:kern w:val="2"/>
          <w:sz w:val="32"/>
          <w:szCs w:val="32"/>
          <w:lang w:val="en-US" w:eastAsia="zh-CN" w:bidi="ar-SA"/>
        </w:rPr>
      </w:pPr>
      <w:r>
        <w:rPr>
          <w:rFonts w:hint="eastAsia" w:ascii="仿宋_GB2312" w:hAnsi="Calibri" w:eastAsia="仿宋_GB2312" w:cs="Times New Roman"/>
          <w:color w:val="auto"/>
          <w:kern w:val="2"/>
          <w:sz w:val="32"/>
          <w:szCs w:val="32"/>
          <w:lang w:val="en-US" w:eastAsia="zh-CN" w:bidi="ar-SA"/>
        </w:rPr>
        <w:t>8.一般行政管理事务：日常办案工作产生的差旅费、燃油费、委托业务费及装备购置费等。</w:t>
      </w:r>
    </w:p>
    <w:p w14:paraId="356F2E35">
      <w:pPr>
        <w:ind w:firstLine="640" w:firstLineChars="200"/>
        <w:rPr>
          <w:rFonts w:ascii="仿宋_GB2312" w:eastAsia="仿宋_GB2312"/>
          <w:sz w:val="32"/>
          <w:szCs w:val="32"/>
        </w:rPr>
      </w:pPr>
      <w:r>
        <w:rPr>
          <w:rFonts w:hint="eastAsia" w:ascii="仿宋_GB2312" w:eastAsia="仿宋_GB2312"/>
          <w:sz w:val="32"/>
          <w:szCs w:val="32"/>
          <w:lang w:val="en-US" w:eastAsia="zh-CN"/>
        </w:rPr>
        <w:t>9</w:t>
      </w:r>
      <w:r>
        <w:rPr>
          <w:rFonts w:hint="eastAsia" w:ascii="仿宋_GB2312" w:eastAsia="仿宋_GB2312"/>
          <w:sz w:val="32"/>
          <w:szCs w:val="32"/>
        </w:rPr>
        <w:t>.基本支出：指为保障机构正常运转、完成日常工作任务而发生的人员支出和公用支出。</w:t>
      </w:r>
    </w:p>
    <w:p w14:paraId="4B303DCB">
      <w:pPr>
        <w:ind w:firstLine="640" w:firstLineChars="200"/>
        <w:rPr>
          <w:rFonts w:ascii="仿宋_GB2312" w:eastAsia="仿宋_GB2312"/>
          <w:sz w:val="32"/>
          <w:szCs w:val="32"/>
        </w:rPr>
      </w:pPr>
      <w:r>
        <w:rPr>
          <w:rFonts w:hint="eastAsia" w:ascii="仿宋_GB2312" w:eastAsia="仿宋_GB2312"/>
          <w:sz w:val="32"/>
          <w:szCs w:val="32"/>
          <w:lang w:val="en-US" w:eastAsia="zh-CN"/>
        </w:rPr>
        <w:t>10</w:t>
      </w:r>
      <w:r>
        <w:rPr>
          <w:rFonts w:hint="eastAsia" w:ascii="仿宋_GB2312" w:eastAsia="仿宋_GB2312"/>
          <w:sz w:val="32"/>
          <w:szCs w:val="32"/>
        </w:rPr>
        <w:t xml:space="preserve">.项目支出：指在基本支出之外为完成特定行政任务和事业发展目标所发生的支出。 </w:t>
      </w:r>
    </w:p>
    <w:p w14:paraId="237A0F17">
      <w:pPr>
        <w:ind w:firstLine="640" w:firstLineChars="200"/>
        <w:rPr>
          <w:rFonts w:ascii="仿宋_GB2312" w:eastAsia="仿宋_GB2312"/>
          <w:sz w:val="32"/>
          <w:szCs w:val="32"/>
        </w:rPr>
      </w:pPr>
      <w:r>
        <w:rPr>
          <w:rFonts w:hint="eastAsia" w:ascii="仿宋_GB2312" w:eastAsia="仿宋_GB2312"/>
          <w:sz w:val="32"/>
          <w:szCs w:val="32"/>
          <w:lang w:val="en-US" w:eastAsia="zh-CN"/>
        </w:rPr>
        <w:t>11</w:t>
      </w:r>
      <w:r>
        <w:rPr>
          <w:rFonts w:hint="eastAsia" w:ascii="仿宋_GB2312" w:eastAsia="仿宋_GB2312"/>
          <w:sz w:val="32"/>
          <w:szCs w:val="32"/>
        </w:rPr>
        <w:t>.经营支出：指事业单位在专业业务活动及其辅助活动之外开展非独立核算经营活动发生的支出。</w:t>
      </w:r>
    </w:p>
    <w:p w14:paraId="4B4DA0E6">
      <w:pPr>
        <w:ind w:firstLine="640" w:firstLineChars="200"/>
        <w:rPr>
          <w:rFonts w:ascii="仿宋_GB2312" w:eastAsia="仿宋_GB2312"/>
          <w:sz w:val="32"/>
          <w:szCs w:val="32"/>
        </w:rPr>
      </w:pPr>
      <w:r>
        <w:rPr>
          <w:rFonts w:hint="eastAsia" w:ascii="仿宋_GB2312" w:eastAsia="仿宋_GB2312"/>
          <w:sz w:val="32"/>
          <w:szCs w:val="32"/>
          <w:lang w:val="en-US" w:eastAsia="zh-CN"/>
        </w:rPr>
        <w:t>12</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F0439B9">
      <w:pPr>
        <w:ind w:firstLine="640" w:firstLineChars="200"/>
        <w:rPr>
          <w:rFonts w:ascii="仿宋_GB2312" w:eastAsia="仿宋_GB2312"/>
          <w:sz w:val="32"/>
          <w:szCs w:val="32"/>
        </w:rPr>
      </w:pPr>
      <w:r>
        <w:rPr>
          <w:rFonts w:hint="eastAsia" w:ascii="仿宋_GB2312" w:eastAsia="仿宋_GB2312"/>
          <w:sz w:val="32"/>
          <w:szCs w:val="32"/>
          <w:lang w:val="en-US" w:eastAsia="zh-CN"/>
        </w:rPr>
        <w:t>13</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B13BA68">
      <w:pPr>
        <w:spacing w:line="600" w:lineRule="exact"/>
        <w:jc w:val="center"/>
        <w:outlineLvl w:val="0"/>
        <w:rPr>
          <w:rStyle w:val="24"/>
          <w:rFonts w:hint="eastAsia" w:ascii="Times New Roman" w:hAnsi="Times New Roman" w:eastAsia="黑体"/>
          <w:b w:val="0"/>
          <w:color w:val="auto"/>
          <w:highlight w:val="none"/>
          <w:lang w:eastAsia="zh-CN"/>
        </w:rPr>
      </w:pPr>
      <w:r>
        <w:rPr>
          <w:rFonts w:ascii="仿宋" w:hAnsi="仿宋" w:eastAsia="仿宋"/>
          <w:b/>
          <w:sz w:val="32"/>
          <w:szCs w:val="32"/>
        </w:rPr>
        <w:br w:type="page"/>
      </w:r>
      <w:bookmarkStart w:id="91" w:name="_Toc15396614"/>
      <w:bookmarkStart w:id="92" w:name="_Toc11102"/>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91"/>
      <w:bookmarkEnd w:id="92"/>
    </w:p>
    <w:p w14:paraId="6BC154F9">
      <w:pPr>
        <w:keepNext w:val="0"/>
        <w:keepLines w:val="0"/>
        <w:pageBreakBefore w:val="0"/>
        <w:kinsoku/>
        <w:wordWrap/>
        <w:overflowPunct/>
        <w:topLinePunct w:val="0"/>
        <w:autoSpaceDE/>
        <w:autoSpaceDN/>
        <w:bidi w:val="0"/>
        <w:spacing w:line="572" w:lineRule="exact"/>
        <w:jc w:val="center"/>
        <w:textAlignment w:val="auto"/>
        <w:outlineLvl w:val="9"/>
        <w:rPr>
          <w:rFonts w:hint="eastAsia" w:ascii="Times New Roman" w:hAnsi="Times New Roman" w:eastAsia="黑体" w:cs="黑体"/>
          <w:color w:val="FF0000"/>
          <w:sz w:val="32"/>
          <w:szCs w:val="32"/>
          <w:highlight w:val="none"/>
        </w:rPr>
      </w:pPr>
    </w:p>
    <w:p w14:paraId="15925D19">
      <w:pPr>
        <w:ind w:firstLine="880" w:firstLineChars="200"/>
        <w:jc w:val="center"/>
        <w:outlineLvl w:val="1"/>
        <w:rPr>
          <w:rFonts w:hint="default" w:ascii="Times New Roman" w:hAnsi="Times New Roman" w:eastAsia="方正小标宋简体" w:cs="Times New Roman"/>
          <w:b w:val="0"/>
          <w:bCs/>
          <w:sz w:val="44"/>
          <w:szCs w:val="44"/>
          <w:highlight w:val="none"/>
          <w:shd w:val="clear" w:color="auto" w:fill="FFFFFF"/>
        </w:rPr>
      </w:pPr>
      <w:bookmarkStart w:id="93" w:name="_Toc27770"/>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bookmarkEnd w:id="93"/>
    </w:p>
    <w:p w14:paraId="52100B42">
      <w:pPr>
        <w:widowControl/>
        <w:suppressAutoHyphens/>
        <w:bidi w:val="0"/>
        <w:adjustRightInd w:val="0"/>
        <w:snapToGrid w:val="0"/>
        <w:spacing w:line="578" w:lineRule="exact"/>
        <w:ind w:firstLine="640" w:firstLineChars="200"/>
        <w:contextualSpacing/>
        <w:jc w:val="left"/>
        <w:outlineLvl w:val="1"/>
        <w:rPr>
          <w:rFonts w:hint="default" w:ascii="Times New Roman Regular" w:hAnsi="Times New Roman Regular" w:eastAsia="仿宋_GB2312" w:cs="Times New Roman Regular"/>
          <w:sz w:val="32"/>
          <w:szCs w:val="32"/>
        </w:rPr>
      </w:pPr>
      <w:bookmarkStart w:id="94" w:name="_Toc4567"/>
      <w:r>
        <w:rPr>
          <w:rFonts w:hint="default" w:ascii="Times New Roman Regular" w:hAnsi="Times New Roman Regular" w:eastAsia="黑体" w:cs="Times New Roman Regular"/>
          <w:color w:val="000000"/>
          <w:kern w:val="0"/>
          <w:sz w:val="32"/>
          <w:szCs w:val="32"/>
          <w:shd w:val="clear" w:color="auto" w:fill="FFFFFF"/>
          <w:lang w:val="zh-CN"/>
        </w:rPr>
        <w:t>一、部门（单位）基本情况</w:t>
      </w:r>
      <w:bookmarkEnd w:id="94"/>
    </w:p>
    <w:p w14:paraId="713BBBD0">
      <w:pPr>
        <w:widowControl/>
        <w:suppressAutoHyphens/>
        <w:bidi w:val="0"/>
        <w:adjustRightInd w:val="0"/>
        <w:snapToGrid w:val="0"/>
        <w:spacing w:line="578" w:lineRule="exact"/>
        <w:ind w:firstLine="643" w:firstLineChars="200"/>
        <w:contextualSpacing/>
        <w:jc w:val="left"/>
        <w:rPr>
          <w:rFonts w:hint="default" w:ascii="Times New Roman Regular" w:hAnsi="Times New Roman Regular" w:eastAsia="楷体_GB2312" w:cs="Times New Roman Regular"/>
          <w:b/>
          <w:bCs/>
          <w:color w:val="000000"/>
          <w:kern w:val="0"/>
          <w:sz w:val="32"/>
          <w:szCs w:val="32"/>
          <w:shd w:val="clear" w:color="auto" w:fill="FFFFFF"/>
          <w:lang w:val="zh-CN"/>
        </w:rPr>
      </w:pPr>
      <w:r>
        <w:rPr>
          <w:rFonts w:hint="default" w:ascii="Times New Roman Regular" w:hAnsi="Times New Roman Regular" w:eastAsia="楷体_GB2312" w:cs="Times New Roman Regular"/>
          <w:b/>
          <w:bCs/>
          <w:color w:val="000000"/>
          <w:kern w:val="0"/>
          <w:sz w:val="32"/>
          <w:szCs w:val="32"/>
          <w:shd w:val="clear" w:color="auto" w:fill="FFFFFF"/>
          <w:lang w:val="zh-CN"/>
        </w:rPr>
        <w:t>（一）机构组成</w:t>
      </w:r>
    </w:p>
    <w:p w14:paraId="3AD06382">
      <w:pPr>
        <w:widowControl/>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黑水县人民法院内设8个机构，包含：综合办公室、政治部（督查室）、立案庭（诉讼服务中心）、刑事审判庭、民事审判庭（环境资源审判庭）、行政审判庭（未成年案件审判庭）、执行局、审判管理办公室（研究室）。</w:t>
      </w:r>
    </w:p>
    <w:p w14:paraId="788709DB">
      <w:pPr>
        <w:widowControl/>
        <w:suppressAutoHyphens/>
        <w:bidi w:val="0"/>
        <w:adjustRightInd w:val="0"/>
        <w:snapToGrid w:val="0"/>
        <w:spacing w:line="578" w:lineRule="exact"/>
        <w:ind w:firstLine="643" w:firstLineChars="200"/>
        <w:contextualSpacing/>
        <w:jc w:val="left"/>
        <w:rPr>
          <w:rFonts w:hint="default" w:ascii="Times New Roman Regular" w:hAnsi="Times New Roman Regular" w:eastAsia="楷体_GB2312" w:cs="Times New Roman Regular"/>
          <w:b/>
          <w:bCs/>
          <w:color w:val="000000"/>
          <w:kern w:val="0"/>
          <w:sz w:val="32"/>
          <w:szCs w:val="32"/>
          <w:shd w:val="clear" w:color="auto" w:fill="FFFFFF"/>
          <w:lang w:val="zh-CN"/>
        </w:rPr>
      </w:pPr>
      <w:r>
        <w:rPr>
          <w:rFonts w:hint="default" w:ascii="Times New Roman Regular" w:hAnsi="Times New Roman Regular" w:eastAsia="楷体_GB2312" w:cs="Times New Roman Regular"/>
          <w:b/>
          <w:bCs/>
          <w:color w:val="000000"/>
          <w:kern w:val="0"/>
          <w:sz w:val="32"/>
          <w:szCs w:val="32"/>
          <w:shd w:val="clear" w:color="auto" w:fill="FFFFFF"/>
          <w:lang w:val="zh-CN"/>
        </w:rPr>
        <w:t>（二）机构职能</w:t>
      </w:r>
    </w:p>
    <w:p w14:paraId="40E4CE34">
      <w:pPr>
        <w:widowControl/>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法院是国家司法（审判）机关，我院负责本县辖区内审理案件，解决基本民事、行政、刑事案件纠纷的国家机构。主要职能如下：</w:t>
      </w:r>
    </w:p>
    <w:p w14:paraId="3D534D8E">
      <w:pPr>
        <w:widowControl/>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1.拥有和行使调解的职能。</w:t>
      </w:r>
    </w:p>
    <w:p w14:paraId="71A47946">
      <w:pPr>
        <w:widowControl/>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2.依法在职权范围</w:t>
      </w:r>
      <w:r>
        <w:rPr>
          <w:rFonts w:hint="eastAsia" w:ascii="Times New Roman Regular" w:hAnsi="Times New Roman Regular" w:eastAsia="仿宋_GB2312" w:cs="Times New Roman Regular"/>
          <w:sz w:val="32"/>
          <w:szCs w:val="32"/>
          <w:lang w:eastAsia="zh-CN"/>
        </w:rPr>
        <w:t>内受理</w:t>
      </w:r>
      <w:r>
        <w:rPr>
          <w:rFonts w:hint="default" w:ascii="Times New Roman Regular" w:hAnsi="Times New Roman Regular" w:eastAsia="仿宋_GB2312" w:cs="Times New Roman Regular"/>
          <w:sz w:val="32"/>
          <w:szCs w:val="32"/>
        </w:rPr>
        <w:t>自诉和公诉的刑事、民事、行政等第一审案件。</w:t>
      </w:r>
    </w:p>
    <w:p w14:paraId="15894BFB">
      <w:pPr>
        <w:widowControl/>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3.依法行使司法执行权和司法决定权。</w:t>
      </w:r>
    </w:p>
    <w:p w14:paraId="27F74368">
      <w:pPr>
        <w:widowControl/>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4.依法决定国家赔偿。</w:t>
      </w:r>
    </w:p>
    <w:p w14:paraId="5A0C6350">
      <w:pPr>
        <w:widowControl/>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5.行使审判监督职能。</w:t>
      </w:r>
    </w:p>
    <w:p w14:paraId="3DC292F0">
      <w:pPr>
        <w:widowControl/>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sz w:val="32"/>
          <w:szCs w:val="32"/>
        </w:rPr>
        <w:t>6.研究、征集对</w:t>
      </w:r>
      <w:r>
        <w:rPr>
          <w:rFonts w:hint="eastAsia" w:ascii="Times New Roman Regular" w:hAnsi="Times New Roman Regular" w:eastAsia="仿宋_GB2312" w:cs="Times New Roman Regular"/>
          <w:sz w:val="32"/>
          <w:szCs w:val="32"/>
          <w:lang w:eastAsia="zh-CN"/>
        </w:rPr>
        <w:t>法律法规</w:t>
      </w:r>
      <w:r>
        <w:rPr>
          <w:rFonts w:hint="default" w:ascii="Times New Roman Regular" w:hAnsi="Times New Roman Regular" w:eastAsia="仿宋_GB2312" w:cs="Times New Roman Regular"/>
          <w:sz w:val="32"/>
          <w:szCs w:val="32"/>
        </w:rPr>
        <w:t>、规章草案的意见；对案件审理中发现的问题提出司法建议。</w:t>
      </w:r>
    </w:p>
    <w:p w14:paraId="6EA8217A">
      <w:pPr>
        <w:widowControl/>
        <w:suppressAutoHyphens/>
        <w:bidi w:val="0"/>
        <w:adjustRightInd w:val="0"/>
        <w:snapToGrid w:val="0"/>
        <w:spacing w:line="578" w:lineRule="exact"/>
        <w:ind w:firstLine="640" w:firstLineChars="200"/>
        <w:contextualSpacing/>
        <w:rPr>
          <w:rFonts w:hint="default" w:ascii="Times New Roman Regular" w:hAnsi="Times New Roman Regular" w:eastAsia="楷体_GB2312" w:cs="Times New Roman Regular"/>
          <w:b/>
          <w:bCs/>
          <w:color w:val="000000"/>
          <w:kern w:val="0"/>
          <w:sz w:val="32"/>
          <w:szCs w:val="32"/>
          <w:shd w:val="clear" w:color="auto" w:fill="FFFFFF"/>
          <w:lang w:val="zh-CN"/>
        </w:rPr>
      </w:pPr>
      <w:r>
        <w:rPr>
          <w:rFonts w:hint="default" w:ascii="Times New Roman Regular" w:hAnsi="Times New Roman Regular" w:eastAsia="仿宋_GB2312" w:cs="Times New Roman Regular"/>
          <w:sz w:val="32"/>
          <w:szCs w:val="32"/>
        </w:rPr>
        <w:t>7.结合审判工作宣传法制，教育公民自觉遵守宪法和法律。</w:t>
      </w:r>
    </w:p>
    <w:p w14:paraId="2099A0DE">
      <w:pPr>
        <w:widowControl/>
        <w:suppressAutoHyphens/>
        <w:bidi w:val="0"/>
        <w:adjustRightInd w:val="0"/>
        <w:snapToGrid w:val="0"/>
        <w:spacing w:line="578" w:lineRule="exact"/>
        <w:ind w:firstLine="643" w:firstLineChars="200"/>
        <w:contextualSpacing/>
        <w:jc w:val="left"/>
        <w:rPr>
          <w:rFonts w:hint="default" w:ascii="Times New Roman Regular" w:hAnsi="Times New Roman Regular" w:eastAsia="楷体_GB2312" w:cs="Times New Roman Regular"/>
          <w:b/>
          <w:bCs/>
          <w:color w:val="000000"/>
          <w:kern w:val="0"/>
          <w:sz w:val="32"/>
          <w:szCs w:val="32"/>
          <w:shd w:val="clear" w:color="auto" w:fill="FFFFFF"/>
          <w:lang w:val="zh-CN"/>
        </w:rPr>
      </w:pPr>
      <w:r>
        <w:rPr>
          <w:rFonts w:hint="default" w:ascii="Times New Roman Regular" w:hAnsi="Times New Roman Regular" w:eastAsia="楷体_GB2312" w:cs="Times New Roman Regular"/>
          <w:b/>
          <w:bCs/>
          <w:color w:val="000000"/>
          <w:kern w:val="0"/>
          <w:sz w:val="32"/>
          <w:szCs w:val="32"/>
          <w:shd w:val="clear" w:color="auto" w:fill="FFFFFF"/>
          <w:lang w:val="zh-CN"/>
        </w:rPr>
        <w:t>（三）人员概况</w:t>
      </w:r>
    </w:p>
    <w:p w14:paraId="300D1C2F">
      <w:pPr>
        <w:widowControl/>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sz w:val="32"/>
          <w:szCs w:val="32"/>
          <w:highlight w:val="none"/>
        </w:rPr>
      </w:pPr>
      <w:r>
        <w:rPr>
          <w:rFonts w:hint="default" w:ascii="Times New Roman Regular" w:hAnsi="Times New Roman Regular" w:eastAsia="仿宋_GB2312" w:cs="Times New Roman Regular"/>
          <w:sz w:val="32"/>
          <w:highlight w:val="none"/>
        </w:rPr>
        <w:t>截至</w:t>
      </w:r>
      <w:r>
        <w:rPr>
          <w:rFonts w:hint="default" w:ascii="Times New Roman Regular" w:hAnsi="Times New Roman Regular" w:eastAsia="仿宋_GB2312" w:cs="Times New Roman Regular"/>
          <w:sz w:val="32"/>
          <w:highlight w:val="none"/>
          <w:lang w:eastAsia="zh-CN"/>
        </w:rPr>
        <w:t>2025年</w:t>
      </w:r>
      <w:r>
        <w:rPr>
          <w:rFonts w:hint="default" w:ascii="Times New Roman Regular" w:hAnsi="Times New Roman Regular" w:eastAsia="仿宋_GB2312" w:cs="Times New Roman Regular"/>
          <w:sz w:val="32"/>
          <w:highlight w:val="none"/>
        </w:rPr>
        <w:t>12月31日，我院</w:t>
      </w:r>
      <w:r>
        <w:rPr>
          <w:rFonts w:hint="default" w:ascii="Times New Roman Regular" w:hAnsi="Times New Roman Regular" w:eastAsia="仿宋_GB2312" w:cs="Times New Roman Regular"/>
          <w:sz w:val="32"/>
          <w:highlight w:val="none"/>
          <w:lang w:val="en-US" w:eastAsia="zh-CN"/>
        </w:rPr>
        <w:t>实有人数7</w:t>
      </w:r>
      <w:r>
        <w:rPr>
          <w:rFonts w:hint="eastAsia" w:ascii="Times New Roman Regular" w:hAnsi="Times New Roman Regular" w:eastAsia="仿宋_GB2312" w:cs="Times New Roman Regular"/>
          <w:sz w:val="32"/>
          <w:highlight w:val="none"/>
          <w:lang w:val="en-US" w:eastAsia="zh-CN"/>
        </w:rPr>
        <w:t>6</w:t>
      </w:r>
      <w:r>
        <w:rPr>
          <w:rFonts w:hint="default" w:ascii="Times New Roman Regular" w:hAnsi="Times New Roman Regular" w:eastAsia="仿宋_GB2312" w:cs="Times New Roman Regular"/>
          <w:sz w:val="32"/>
          <w:highlight w:val="none"/>
        </w:rPr>
        <w:t>名，</w:t>
      </w:r>
      <w:r>
        <w:rPr>
          <w:rFonts w:hint="default" w:ascii="Times New Roman Regular" w:hAnsi="Times New Roman Regular" w:eastAsia="仿宋_GB2312" w:cs="Times New Roman Regular"/>
          <w:sz w:val="32"/>
          <w:highlight w:val="none"/>
          <w:lang w:val="en-US" w:eastAsia="zh-CN"/>
        </w:rPr>
        <w:t>包括公务员4</w:t>
      </w:r>
      <w:r>
        <w:rPr>
          <w:rFonts w:hint="eastAsia" w:ascii="Times New Roman Regular" w:hAnsi="Times New Roman Regular" w:eastAsia="仿宋_GB2312" w:cs="Times New Roman Regular"/>
          <w:sz w:val="32"/>
          <w:highlight w:val="none"/>
          <w:lang w:val="en-US" w:eastAsia="zh-CN"/>
        </w:rPr>
        <w:t>7</w:t>
      </w:r>
      <w:r>
        <w:rPr>
          <w:rFonts w:hint="default" w:ascii="Times New Roman Regular" w:hAnsi="Times New Roman Regular" w:eastAsia="仿宋_GB2312" w:cs="Times New Roman Regular"/>
          <w:sz w:val="32"/>
          <w:highlight w:val="none"/>
          <w:lang w:val="en-US" w:eastAsia="zh-CN"/>
        </w:rPr>
        <w:t>名、机关和事业工人</w:t>
      </w:r>
      <w:r>
        <w:rPr>
          <w:rFonts w:hint="eastAsia" w:ascii="Times New Roman Regular" w:hAnsi="Times New Roman Regular" w:eastAsia="仿宋_GB2312" w:cs="Times New Roman Regular"/>
          <w:sz w:val="32"/>
          <w:highlight w:val="none"/>
          <w:lang w:val="en-US" w:eastAsia="zh-CN"/>
        </w:rPr>
        <w:t>3</w:t>
      </w:r>
      <w:r>
        <w:rPr>
          <w:rFonts w:hint="default" w:ascii="Times New Roman Regular" w:hAnsi="Times New Roman Regular" w:eastAsia="仿宋_GB2312" w:cs="Times New Roman Regular"/>
          <w:sz w:val="32"/>
          <w:highlight w:val="none"/>
          <w:lang w:val="en-US" w:eastAsia="zh-CN"/>
        </w:rPr>
        <w:t>名和其他人员28名</w:t>
      </w:r>
      <w:r>
        <w:rPr>
          <w:rFonts w:hint="default" w:ascii="Times New Roman Regular" w:hAnsi="Times New Roman Regular" w:eastAsia="仿宋_GB2312" w:cs="Times New Roman Regular"/>
          <w:sz w:val="32"/>
          <w:highlight w:val="none"/>
        </w:rPr>
        <w:t>。</w:t>
      </w:r>
    </w:p>
    <w:p w14:paraId="3B0970EB">
      <w:pPr>
        <w:widowControl/>
        <w:suppressAutoHyphens/>
        <w:bidi w:val="0"/>
        <w:adjustRightInd w:val="0"/>
        <w:snapToGrid w:val="0"/>
        <w:spacing w:line="578" w:lineRule="exact"/>
        <w:ind w:firstLine="640" w:firstLineChars="200"/>
        <w:contextualSpacing/>
        <w:jc w:val="left"/>
        <w:outlineLvl w:val="1"/>
        <w:rPr>
          <w:rFonts w:hint="default" w:ascii="Times New Roman Regular" w:hAnsi="Times New Roman Regular" w:eastAsia="黑体" w:cs="Times New Roman Regular"/>
          <w:color w:val="000000"/>
          <w:kern w:val="0"/>
          <w:sz w:val="32"/>
          <w:szCs w:val="32"/>
          <w:shd w:val="clear" w:color="auto" w:fill="FFFFFF"/>
        </w:rPr>
      </w:pPr>
      <w:bookmarkStart w:id="95" w:name="_Toc16862"/>
      <w:r>
        <w:rPr>
          <w:rFonts w:hint="default" w:ascii="Times New Roman Regular" w:hAnsi="Times New Roman Regular" w:eastAsia="黑体" w:cs="Times New Roman Regular"/>
          <w:color w:val="000000"/>
          <w:kern w:val="0"/>
          <w:sz w:val="32"/>
          <w:szCs w:val="32"/>
          <w:shd w:val="clear" w:color="auto" w:fill="FFFFFF"/>
        </w:rPr>
        <w:t>二、部门资金收支情况</w:t>
      </w:r>
      <w:bookmarkEnd w:id="95"/>
    </w:p>
    <w:p w14:paraId="4859CE42">
      <w:pPr>
        <w:widowControl/>
        <w:suppressAutoHyphens/>
        <w:bidi w:val="0"/>
        <w:adjustRightInd w:val="0"/>
        <w:snapToGrid w:val="0"/>
        <w:spacing w:line="578" w:lineRule="exact"/>
        <w:ind w:firstLine="643" w:firstLineChars="200"/>
        <w:contextualSpacing/>
        <w:jc w:val="left"/>
        <w:rPr>
          <w:rFonts w:hint="default" w:ascii="Times New Roman Regular" w:hAnsi="Times New Roman Regular" w:eastAsia="楷体_GB2312" w:cs="Times New Roman Regular"/>
          <w:b/>
          <w:bCs/>
          <w:color w:val="000000"/>
          <w:kern w:val="0"/>
          <w:sz w:val="32"/>
          <w:szCs w:val="32"/>
          <w:shd w:val="clear" w:color="auto" w:fill="FFFFFF"/>
          <w:lang w:val="zh-CN"/>
        </w:rPr>
      </w:pPr>
      <w:r>
        <w:rPr>
          <w:rFonts w:hint="default" w:ascii="Times New Roman Regular" w:hAnsi="Times New Roman Regular" w:eastAsia="楷体_GB2312" w:cs="Times New Roman Regular"/>
          <w:b/>
          <w:bCs/>
          <w:color w:val="000000"/>
          <w:kern w:val="0"/>
          <w:sz w:val="32"/>
          <w:szCs w:val="32"/>
          <w:shd w:val="clear" w:color="auto" w:fill="FFFFFF"/>
          <w:lang w:val="zh-CN"/>
        </w:rPr>
        <w:t>（一）收入情况。</w:t>
      </w:r>
    </w:p>
    <w:p w14:paraId="2ADED870">
      <w:pPr>
        <w:widowControl/>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b/>
          <w:bCs/>
          <w:color w:val="000000"/>
          <w:kern w:val="0"/>
          <w:sz w:val="32"/>
          <w:szCs w:val="32"/>
          <w:shd w:val="clear" w:color="auto" w:fill="FFFFFF"/>
          <w:lang w:val="en-US" w:eastAsia="zh-CN"/>
        </w:rPr>
      </w:pPr>
      <w:r>
        <w:rPr>
          <w:rFonts w:hint="default" w:ascii="Times New Roman Regular" w:hAnsi="Times New Roman Regular" w:eastAsia="仿宋_GB2312" w:cs="Times New Roman Regular"/>
          <w:sz w:val="32"/>
          <w:lang w:eastAsia="zh-CN"/>
        </w:rPr>
        <w:t>2025年</w:t>
      </w:r>
      <w:r>
        <w:rPr>
          <w:rFonts w:hint="default" w:ascii="Times New Roman Regular" w:hAnsi="Times New Roman Regular" w:eastAsia="仿宋_GB2312" w:cs="Times New Roman Regular"/>
          <w:sz w:val="32"/>
        </w:rPr>
        <w:t>我院年初收入预算数为</w:t>
      </w:r>
      <w:r>
        <w:rPr>
          <w:rFonts w:hint="default" w:ascii="Times New Roman Regular" w:hAnsi="Times New Roman Regular" w:eastAsia="仿宋_GB2312" w:cs="Times New Roman Regular"/>
          <w:sz w:val="32"/>
          <w:lang w:val="en-US" w:eastAsia="zh-CN"/>
        </w:rPr>
        <w:t>1080.04</w:t>
      </w:r>
      <w:r>
        <w:rPr>
          <w:rFonts w:hint="default" w:ascii="Times New Roman Regular" w:hAnsi="Times New Roman Regular" w:eastAsia="仿宋_GB2312" w:cs="Times New Roman Regular"/>
          <w:sz w:val="32"/>
        </w:rPr>
        <w:t>万元，调整后收入预算数为2261</w:t>
      </w:r>
      <w:r>
        <w:rPr>
          <w:rFonts w:hint="default" w:ascii="Times New Roman Regular" w:hAnsi="Times New Roman Regular" w:eastAsia="仿宋_GB2312" w:cs="Times New Roman Regular"/>
          <w:sz w:val="32"/>
          <w:lang w:val="en-US" w:eastAsia="zh-CN"/>
        </w:rPr>
        <w:t>.</w:t>
      </w:r>
      <w:r>
        <w:rPr>
          <w:rFonts w:hint="default" w:ascii="Times New Roman Regular" w:hAnsi="Times New Roman Regular" w:eastAsia="仿宋_GB2312" w:cs="Times New Roman Regular"/>
          <w:sz w:val="32"/>
        </w:rPr>
        <w:t>7</w:t>
      </w:r>
      <w:r>
        <w:rPr>
          <w:rFonts w:hint="default" w:ascii="Times New Roman Regular" w:hAnsi="Times New Roman Regular" w:eastAsia="仿宋_GB2312" w:cs="Times New Roman Regular"/>
          <w:sz w:val="32"/>
          <w:lang w:val="en-US" w:eastAsia="zh-CN"/>
        </w:rPr>
        <w:t>1</w:t>
      </w:r>
      <w:r>
        <w:rPr>
          <w:rFonts w:hint="default" w:ascii="Times New Roman Regular" w:hAnsi="Times New Roman Regular" w:eastAsia="仿宋_GB2312" w:cs="Times New Roman Regular"/>
          <w:sz w:val="32"/>
        </w:rPr>
        <w:t>万元，收入决算数为2261</w:t>
      </w:r>
      <w:r>
        <w:rPr>
          <w:rFonts w:hint="default" w:ascii="Times New Roman Regular" w:hAnsi="Times New Roman Regular" w:eastAsia="仿宋_GB2312" w:cs="Times New Roman Regular"/>
          <w:sz w:val="32"/>
          <w:lang w:val="en-US" w:eastAsia="zh-CN"/>
        </w:rPr>
        <w:t>.</w:t>
      </w:r>
      <w:r>
        <w:rPr>
          <w:rFonts w:hint="default" w:ascii="Times New Roman Regular" w:hAnsi="Times New Roman Regular" w:eastAsia="仿宋_GB2312" w:cs="Times New Roman Regular"/>
          <w:sz w:val="32"/>
        </w:rPr>
        <w:t>7</w:t>
      </w:r>
      <w:r>
        <w:rPr>
          <w:rFonts w:hint="default" w:ascii="Times New Roman Regular" w:hAnsi="Times New Roman Regular" w:eastAsia="仿宋_GB2312" w:cs="Times New Roman Regular"/>
          <w:sz w:val="32"/>
          <w:lang w:val="en-US" w:eastAsia="zh-CN"/>
        </w:rPr>
        <w:t>1</w:t>
      </w:r>
      <w:r>
        <w:rPr>
          <w:rFonts w:hint="default" w:ascii="Times New Roman Regular" w:hAnsi="Times New Roman Regular" w:eastAsia="仿宋_GB2312" w:cs="Times New Roman Regular"/>
          <w:sz w:val="32"/>
        </w:rPr>
        <w:t>万元，其中一般财政拨款收入</w:t>
      </w:r>
      <w:r>
        <w:rPr>
          <w:rFonts w:hint="default" w:ascii="Times New Roman Regular" w:hAnsi="Times New Roman Regular" w:eastAsia="仿宋_GB2312" w:cs="Times New Roman Regular"/>
          <w:sz w:val="32"/>
          <w:lang w:val="en-US" w:eastAsia="zh-CN"/>
        </w:rPr>
        <w:t>1794.62</w:t>
      </w:r>
      <w:r>
        <w:rPr>
          <w:rFonts w:hint="default" w:ascii="Times New Roman Regular" w:hAnsi="Times New Roman Regular" w:eastAsia="仿宋_GB2312" w:cs="Times New Roman Regular"/>
          <w:sz w:val="32"/>
        </w:rPr>
        <w:t>万元</w:t>
      </w:r>
      <w:r>
        <w:rPr>
          <w:rFonts w:hint="default" w:ascii="Times New Roman Regular" w:hAnsi="Times New Roman Regular" w:eastAsia="仿宋_GB2312" w:cs="Times New Roman Regular"/>
          <w:sz w:val="32"/>
          <w:lang w:eastAsia="zh-CN"/>
        </w:rPr>
        <w:t>、</w:t>
      </w:r>
      <w:r>
        <w:rPr>
          <w:rFonts w:hint="default" w:ascii="Times New Roman Regular" w:hAnsi="Times New Roman Regular" w:eastAsia="仿宋_GB2312" w:cs="Times New Roman Regular"/>
          <w:sz w:val="32"/>
        </w:rPr>
        <w:t>其他收入</w:t>
      </w:r>
      <w:r>
        <w:rPr>
          <w:rFonts w:hint="default" w:ascii="Times New Roman Regular" w:hAnsi="Times New Roman Regular" w:eastAsia="仿宋_GB2312" w:cs="Times New Roman Regular"/>
          <w:sz w:val="32"/>
          <w:lang w:val="en-US" w:eastAsia="zh-CN"/>
        </w:rPr>
        <w:t>429.58</w:t>
      </w:r>
      <w:r>
        <w:rPr>
          <w:rFonts w:hint="default" w:ascii="Times New Roman Regular" w:hAnsi="Times New Roman Regular" w:eastAsia="仿宋_GB2312" w:cs="Times New Roman Regular"/>
          <w:sz w:val="32"/>
        </w:rPr>
        <w:t>万元</w:t>
      </w:r>
      <w:r>
        <w:rPr>
          <w:rFonts w:hint="default" w:ascii="Times New Roman Regular" w:hAnsi="Times New Roman Regular" w:eastAsia="仿宋_GB2312" w:cs="Times New Roman Regular"/>
          <w:sz w:val="32"/>
          <w:lang w:val="en-US" w:eastAsia="zh-CN"/>
        </w:rPr>
        <w:t>和年初结转结余37.51万元。</w:t>
      </w:r>
    </w:p>
    <w:p w14:paraId="0ACE5AAE">
      <w:pPr>
        <w:widowControl/>
        <w:suppressAutoHyphens/>
        <w:bidi w:val="0"/>
        <w:adjustRightInd w:val="0"/>
        <w:snapToGrid w:val="0"/>
        <w:spacing w:line="578" w:lineRule="exact"/>
        <w:ind w:firstLine="643" w:firstLineChars="200"/>
        <w:contextualSpacing/>
        <w:jc w:val="left"/>
        <w:rPr>
          <w:rFonts w:hint="default" w:ascii="Times New Roman Regular" w:hAnsi="Times New Roman Regular" w:eastAsia="楷体_GB2312" w:cs="Times New Roman Regular"/>
          <w:b/>
          <w:bCs/>
          <w:color w:val="000000"/>
          <w:kern w:val="0"/>
          <w:sz w:val="32"/>
          <w:szCs w:val="32"/>
          <w:shd w:val="clear" w:color="auto" w:fill="FFFFFF"/>
          <w:lang w:val="zh-CN"/>
        </w:rPr>
      </w:pPr>
      <w:r>
        <w:rPr>
          <w:rFonts w:hint="default" w:ascii="Times New Roman Regular" w:hAnsi="Times New Roman Regular" w:eastAsia="楷体_GB2312" w:cs="Times New Roman Regular"/>
          <w:b/>
          <w:bCs/>
          <w:color w:val="000000"/>
          <w:kern w:val="0"/>
          <w:sz w:val="32"/>
          <w:szCs w:val="32"/>
          <w:shd w:val="clear" w:color="auto" w:fill="FFFFFF"/>
          <w:lang w:val="zh-CN"/>
        </w:rPr>
        <w:t>（二）支出情况。</w:t>
      </w:r>
    </w:p>
    <w:p w14:paraId="05846A75">
      <w:pPr>
        <w:widowControl/>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sz w:val="32"/>
          <w:szCs w:val="32"/>
          <w:lang w:val="zh-CN"/>
        </w:rPr>
      </w:pPr>
      <w:r>
        <w:rPr>
          <w:rFonts w:hint="default" w:ascii="Times New Roman Regular" w:hAnsi="Times New Roman Regular" w:eastAsia="仿宋_GB2312" w:cs="Times New Roman Regular"/>
          <w:sz w:val="32"/>
          <w:lang w:eastAsia="zh-CN"/>
        </w:rPr>
        <w:t>2025年</w:t>
      </w:r>
      <w:r>
        <w:rPr>
          <w:rFonts w:hint="default" w:ascii="Times New Roman Regular" w:hAnsi="Times New Roman Regular" w:eastAsia="仿宋_GB2312" w:cs="Times New Roman Regular"/>
          <w:sz w:val="32"/>
        </w:rPr>
        <w:t>我院年初支出预算数为</w:t>
      </w:r>
      <w:r>
        <w:rPr>
          <w:rFonts w:hint="default" w:ascii="Times New Roman Regular" w:hAnsi="Times New Roman Regular" w:eastAsia="仿宋_GB2312" w:cs="Times New Roman Regular"/>
          <w:sz w:val="32"/>
          <w:lang w:val="en-US" w:eastAsia="zh-CN"/>
        </w:rPr>
        <w:t>1080.04</w:t>
      </w:r>
      <w:r>
        <w:rPr>
          <w:rFonts w:hint="default" w:ascii="Times New Roman Regular" w:hAnsi="Times New Roman Regular" w:eastAsia="仿宋_GB2312" w:cs="Times New Roman Regular"/>
          <w:sz w:val="32"/>
        </w:rPr>
        <w:t>万元，调整后支出预算数为2261</w:t>
      </w:r>
      <w:r>
        <w:rPr>
          <w:rFonts w:hint="default" w:ascii="Times New Roman Regular" w:hAnsi="Times New Roman Regular" w:eastAsia="仿宋_GB2312" w:cs="Times New Roman Regular"/>
          <w:sz w:val="32"/>
          <w:lang w:val="en-US" w:eastAsia="zh-CN"/>
        </w:rPr>
        <w:t>.</w:t>
      </w:r>
      <w:r>
        <w:rPr>
          <w:rFonts w:hint="default" w:ascii="Times New Roman Regular" w:hAnsi="Times New Roman Regular" w:eastAsia="仿宋_GB2312" w:cs="Times New Roman Regular"/>
          <w:sz w:val="32"/>
        </w:rPr>
        <w:t>7</w:t>
      </w:r>
      <w:r>
        <w:rPr>
          <w:rFonts w:hint="default" w:ascii="Times New Roman Regular" w:hAnsi="Times New Roman Regular" w:eastAsia="仿宋_GB2312" w:cs="Times New Roman Regular"/>
          <w:sz w:val="32"/>
          <w:lang w:val="en-US" w:eastAsia="zh-CN"/>
        </w:rPr>
        <w:t>1</w:t>
      </w:r>
      <w:r>
        <w:rPr>
          <w:rFonts w:hint="default" w:ascii="Times New Roman Regular" w:hAnsi="Times New Roman Regular" w:eastAsia="仿宋_GB2312" w:cs="Times New Roman Regular"/>
          <w:sz w:val="32"/>
        </w:rPr>
        <w:t>万元，支出决算数为</w:t>
      </w:r>
      <w:r>
        <w:rPr>
          <w:rFonts w:hint="default" w:ascii="Times New Roman Regular" w:hAnsi="Times New Roman Regular" w:eastAsia="仿宋_GB2312" w:cs="Times New Roman Regular"/>
          <w:sz w:val="32"/>
          <w:lang w:val="en-US" w:eastAsia="zh-CN"/>
        </w:rPr>
        <w:t>2239.64</w:t>
      </w:r>
      <w:r>
        <w:rPr>
          <w:rFonts w:hint="default" w:ascii="Times New Roman Regular" w:hAnsi="Times New Roman Regular" w:eastAsia="仿宋_GB2312" w:cs="Times New Roman Regular"/>
          <w:sz w:val="32"/>
        </w:rPr>
        <w:t>万元，预算执行率为</w:t>
      </w:r>
      <w:r>
        <w:rPr>
          <w:rFonts w:hint="default" w:ascii="Times New Roman Regular" w:hAnsi="Times New Roman Regular" w:eastAsia="仿宋_GB2312" w:cs="Times New Roman Regular"/>
          <w:sz w:val="32"/>
          <w:lang w:val="en-US" w:eastAsia="zh-CN"/>
        </w:rPr>
        <w:t>99.02</w:t>
      </w:r>
      <w:r>
        <w:rPr>
          <w:rFonts w:hint="default" w:ascii="Times New Roman Regular" w:hAnsi="Times New Roman Regular" w:eastAsia="仿宋_GB2312" w:cs="Times New Roman Regular"/>
          <w:sz w:val="32"/>
        </w:rPr>
        <w:t>%。其中：基本支出</w:t>
      </w:r>
      <w:r>
        <w:rPr>
          <w:rFonts w:hint="default" w:ascii="Times New Roman Regular" w:hAnsi="Times New Roman Regular" w:eastAsia="仿宋_GB2312" w:cs="Times New Roman Regular"/>
          <w:sz w:val="32"/>
          <w:lang w:val="en-US" w:eastAsia="zh-CN"/>
        </w:rPr>
        <w:t>1649.7</w:t>
      </w:r>
      <w:r>
        <w:rPr>
          <w:rFonts w:hint="eastAsia" w:ascii="Times New Roman Regular" w:hAnsi="Times New Roman Regular" w:eastAsia="仿宋_GB2312" w:cs="Times New Roman Regular"/>
          <w:sz w:val="32"/>
          <w:lang w:val="en-US" w:eastAsia="zh-CN"/>
        </w:rPr>
        <w:t>5</w:t>
      </w:r>
      <w:r>
        <w:rPr>
          <w:rFonts w:hint="default" w:ascii="Times New Roman Regular" w:hAnsi="Times New Roman Regular" w:eastAsia="仿宋_GB2312" w:cs="Times New Roman Regular"/>
          <w:sz w:val="32"/>
        </w:rPr>
        <w:t>万元，包括：人员经费</w:t>
      </w:r>
      <w:r>
        <w:rPr>
          <w:rFonts w:hint="default" w:ascii="Times New Roman Regular" w:hAnsi="Times New Roman Regular" w:eastAsia="仿宋_GB2312" w:cs="Times New Roman Regular"/>
          <w:sz w:val="32"/>
          <w:lang w:val="en-US" w:eastAsia="zh-CN"/>
        </w:rPr>
        <w:t>1</w:t>
      </w:r>
      <w:r>
        <w:rPr>
          <w:rFonts w:hint="eastAsia" w:ascii="Times New Roman Regular" w:hAnsi="Times New Roman Regular" w:eastAsia="仿宋_GB2312" w:cs="Times New Roman Regular"/>
          <w:sz w:val="32"/>
          <w:lang w:val="en-US" w:eastAsia="zh-CN"/>
        </w:rPr>
        <w:t>532</w:t>
      </w:r>
      <w:r>
        <w:rPr>
          <w:rFonts w:hint="default" w:ascii="Times New Roman Regular" w:hAnsi="Times New Roman Regular" w:eastAsia="仿宋_GB2312" w:cs="Times New Roman Regular"/>
          <w:sz w:val="32"/>
          <w:lang w:val="en-US" w:eastAsia="zh-CN"/>
        </w:rPr>
        <w:t>.8</w:t>
      </w:r>
      <w:r>
        <w:rPr>
          <w:rFonts w:hint="eastAsia" w:ascii="Times New Roman Regular" w:hAnsi="Times New Roman Regular" w:eastAsia="仿宋_GB2312" w:cs="Times New Roman Regular"/>
          <w:sz w:val="32"/>
          <w:lang w:val="en-US" w:eastAsia="zh-CN"/>
        </w:rPr>
        <w:t>6</w:t>
      </w:r>
      <w:r>
        <w:rPr>
          <w:rFonts w:hint="default" w:ascii="Times New Roman Regular" w:hAnsi="Times New Roman Regular" w:eastAsia="仿宋_GB2312" w:cs="Times New Roman Regular"/>
          <w:sz w:val="32"/>
        </w:rPr>
        <w:t>万元，公用经费</w:t>
      </w:r>
      <w:r>
        <w:rPr>
          <w:rFonts w:hint="default" w:ascii="Times New Roman Regular" w:hAnsi="Times New Roman Regular" w:eastAsia="仿宋_GB2312" w:cs="Times New Roman Regular"/>
          <w:sz w:val="32"/>
          <w:lang w:val="en-US" w:eastAsia="zh-CN"/>
        </w:rPr>
        <w:t>116.89</w:t>
      </w:r>
      <w:r>
        <w:rPr>
          <w:rFonts w:hint="default" w:ascii="Times New Roman Regular" w:hAnsi="Times New Roman Regular" w:eastAsia="仿宋_GB2312" w:cs="Times New Roman Regular"/>
          <w:sz w:val="32"/>
        </w:rPr>
        <w:t>万元；项目支出</w:t>
      </w:r>
      <w:r>
        <w:rPr>
          <w:rFonts w:hint="default" w:ascii="Times New Roman Regular" w:hAnsi="Times New Roman Regular" w:eastAsia="仿宋_GB2312" w:cs="Times New Roman Regular"/>
          <w:sz w:val="32"/>
          <w:lang w:val="en-US" w:eastAsia="zh-CN"/>
        </w:rPr>
        <w:t>589.89</w:t>
      </w:r>
      <w:r>
        <w:rPr>
          <w:rFonts w:hint="default" w:ascii="Times New Roman Regular" w:hAnsi="Times New Roman Regular" w:eastAsia="仿宋_GB2312" w:cs="Times New Roman Regular"/>
          <w:sz w:val="32"/>
        </w:rPr>
        <w:t>万元</w:t>
      </w:r>
      <w:r>
        <w:rPr>
          <w:rFonts w:hint="default" w:ascii="Times New Roman Regular" w:hAnsi="Times New Roman Regular" w:eastAsia="仿宋_GB2312" w:cs="Times New Roman Regular"/>
          <w:sz w:val="32"/>
          <w:szCs w:val="32"/>
        </w:rPr>
        <w:t>。</w:t>
      </w:r>
    </w:p>
    <w:p w14:paraId="7A95C0A7">
      <w:pPr>
        <w:widowControl/>
        <w:suppressAutoHyphens/>
        <w:bidi w:val="0"/>
        <w:adjustRightInd w:val="0"/>
        <w:snapToGrid w:val="0"/>
        <w:spacing w:line="578" w:lineRule="exact"/>
        <w:ind w:firstLine="643" w:firstLineChars="200"/>
        <w:contextualSpacing/>
        <w:jc w:val="left"/>
        <w:rPr>
          <w:rFonts w:hint="default" w:ascii="Times New Roman Regular" w:hAnsi="Times New Roman Regular" w:eastAsia="楷体_GB2312" w:cs="Times New Roman Regular"/>
          <w:b/>
          <w:sz w:val="32"/>
          <w:szCs w:val="32"/>
        </w:rPr>
      </w:pPr>
      <w:r>
        <w:rPr>
          <w:rFonts w:hint="default" w:ascii="Times New Roman Regular" w:hAnsi="Times New Roman Regular" w:eastAsia="楷体_GB2312" w:cs="Times New Roman Regular"/>
          <w:b/>
          <w:bCs/>
          <w:color w:val="000000"/>
          <w:kern w:val="0"/>
          <w:sz w:val="32"/>
          <w:szCs w:val="32"/>
          <w:shd w:val="clear" w:color="auto" w:fill="FFFFFF"/>
          <w:lang w:val="zh-CN"/>
        </w:rPr>
        <w:t>（三）</w:t>
      </w:r>
      <w:r>
        <w:rPr>
          <w:rFonts w:hint="default" w:ascii="Times New Roman Regular" w:hAnsi="Times New Roman Regular" w:eastAsia="楷体_GB2312" w:cs="Times New Roman Regular"/>
          <w:b/>
          <w:sz w:val="32"/>
          <w:szCs w:val="32"/>
        </w:rPr>
        <w:t>结余分配和结转结余情况。</w:t>
      </w:r>
    </w:p>
    <w:p w14:paraId="564909FC">
      <w:pPr>
        <w:widowControl/>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sz w:val="32"/>
          <w:szCs w:val="32"/>
          <w:lang w:eastAsia="zh-CN"/>
        </w:rPr>
        <w:t>2025年</w:t>
      </w:r>
      <w:r>
        <w:rPr>
          <w:rFonts w:hint="default" w:ascii="Times New Roman Regular" w:hAnsi="Times New Roman Regular" w:eastAsia="仿宋_GB2312" w:cs="Times New Roman Regular"/>
          <w:sz w:val="32"/>
          <w:szCs w:val="32"/>
        </w:rPr>
        <w:t>年末我院</w:t>
      </w:r>
      <w:r>
        <w:rPr>
          <w:rFonts w:hint="default" w:ascii="Times New Roman Regular" w:hAnsi="Times New Roman Regular" w:eastAsia="仿宋_GB2312" w:cs="Times New Roman Regular"/>
          <w:color w:val="000000"/>
          <w:kern w:val="0"/>
          <w:sz w:val="32"/>
          <w:szCs w:val="32"/>
          <w:shd w:val="clear" w:color="auto" w:fill="FFFFFF"/>
        </w:rPr>
        <w:t>结转</w:t>
      </w:r>
      <w:r>
        <w:rPr>
          <w:rFonts w:hint="default" w:ascii="Times New Roman Regular" w:hAnsi="Times New Roman Regular" w:eastAsia="仿宋_GB2312" w:cs="Times New Roman Regular"/>
          <w:color w:val="000000"/>
          <w:kern w:val="0"/>
          <w:sz w:val="32"/>
          <w:szCs w:val="32"/>
          <w:shd w:val="clear" w:color="auto" w:fill="FFFFFF"/>
          <w:lang w:val="en-US" w:eastAsia="zh-CN"/>
        </w:rPr>
        <w:t>和</w:t>
      </w:r>
      <w:r>
        <w:rPr>
          <w:rFonts w:hint="default" w:ascii="Times New Roman Regular" w:hAnsi="Times New Roman Regular" w:eastAsia="仿宋_GB2312" w:cs="Times New Roman Regular"/>
          <w:color w:val="000000"/>
          <w:kern w:val="0"/>
          <w:sz w:val="32"/>
          <w:szCs w:val="32"/>
          <w:shd w:val="clear" w:color="auto" w:fill="FFFFFF"/>
        </w:rPr>
        <w:t>结余</w:t>
      </w:r>
      <w:r>
        <w:rPr>
          <w:rFonts w:hint="default" w:ascii="Times New Roman Regular" w:hAnsi="Times New Roman Regular" w:eastAsia="仿宋_GB2312" w:cs="Times New Roman Regular"/>
          <w:color w:val="000000"/>
          <w:kern w:val="0"/>
          <w:sz w:val="32"/>
          <w:szCs w:val="32"/>
          <w:shd w:val="clear" w:color="auto" w:fill="FFFFFF"/>
          <w:lang w:val="en-US" w:eastAsia="zh-CN"/>
        </w:rPr>
        <w:t>资金共22.07万元</w:t>
      </w:r>
      <w:r>
        <w:rPr>
          <w:rFonts w:hint="default" w:ascii="Times New Roman Regular" w:hAnsi="Times New Roman Regular" w:eastAsia="仿宋_GB2312" w:cs="Times New Roman Regular"/>
          <w:color w:val="000000"/>
          <w:kern w:val="0"/>
          <w:sz w:val="32"/>
          <w:szCs w:val="32"/>
          <w:shd w:val="clear" w:color="auto" w:fill="FFFFFF"/>
        </w:rPr>
        <w:t>。</w:t>
      </w:r>
    </w:p>
    <w:p w14:paraId="02417222">
      <w:pPr>
        <w:widowControl/>
        <w:suppressAutoHyphens/>
        <w:bidi w:val="0"/>
        <w:adjustRightInd w:val="0"/>
        <w:snapToGrid w:val="0"/>
        <w:spacing w:line="578" w:lineRule="exact"/>
        <w:ind w:firstLine="640" w:firstLineChars="200"/>
        <w:contextualSpacing/>
        <w:jc w:val="left"/>
        <w:outlineLvl w:val="1"/>
        <w:rPr>
          <w:rFonts w:hint="default" w:ascii="Times New Roman Regular" w:hAnsi="Times New Roman Regular" w:eastAsia="黑体" w:cs="Times New Roman Regular"/>
          <w:color w:val="000000"/>
          <w:kern w:val="0"/>
          <w:sz w:val="32"/>
          <w:szCs w:val="32"/>
          <w:highlight w:val="none"/>
          <w:shd w:val="clear" w:color="auto" w:fill="FFFFFF"/>
        </w:rPr>
      </w:pPr>
      <w:bookmarkStart w:id="96" w:name="_Toc736"/>
      <w:r>
        <w:rPr>
          <w:rFonts w:hint="default" w:ascii="Times New Roman Regular" w:hAnsi="Times New Roman Regular" w:eastAsia="黑体" w:cs="Times New Roman Regular"/>
          <w:color w:val="000000"/>
          <w:kern w:val="0"/>
          <w:sz w:val="32"/>
          <w:szCs w:val="32"/>
          <w:highlight w:val="none"/>
          <w:shd w:val="clear" w:color="auto" w:fill="FFFFFF"/>
        </w:rPr>
        <w:t>三、部门预算绩效分析</w:t>
      </w:r>
      <w:bookmarkEnd w:id="96"/>
    </w:p>
    <w:p w14:paraId="3954580C">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highlight w:val="none"/>
          <w:shd w:val="clear" w:color="auto" w:fill="FFFFFF"/>
          <w:lang w:val="zh-CN"/>
        </w:rPr>
      </w:pPr>
      <w:r>
        <w:rPr>
          <w:rFonts w:hint="default" w:ascii="Times New Roman Regular" w:hAnsi="Times New Roman Regular" w:eastAsia="楷体_GB2312" w:cs="Times New Roman Regular"/>
          <w:color w:val="000000"/>
          <w:kern w:val="0"/>
          <w:sz w:val="32"/>
          <w:szCs w:val="32"/>
          <w:highlight w:val="none"/>
          <w:shd w:val="clear" w:color="auto" w:fill="FFFFFF"/>
        </w:rPr>
        <w:t>1.</w:t>
      </w:r>
      <w:r>
        <w:rPr>
          <w:rFonts w:hint="default" w:ascii="Times New Roman Regular" w:hAnsi="Times New Roman Regular" w:eastAsia="楷体_GB2312" w:cs="Times New Roman Regular"/>
          <w:color w:val="000000"/>
          <w:kern w:val="0"/>
          <w:sz w:val="32"/>
          <w:szCs w:val="32"/>
          <w:highlight w:val="none"/>
          <w:shd w:val="clear" w:color="auto" w:fill="FFFFFF"/>
          <w:lang w:val="zh-CN"/>
        </w:rPr>
        <w:t>履职效能</w:t>
      </w:r>
      <w:r>
        <w:rPr>
          <w:rFonts w:hint="default" w:ascii="Times New Roman Regular" w:hAnsi="Times New Roman Regular" w:eastAsia="仿宋_GB2312" w:cs="Times New Roman Regular"/>
          <w:color w:val="000000"/>
          <w:kern w:val="0"/>
          <w:sz w:val="32"/>
          <w:szCs w:val="32"/>
          <w:highlight w:val="none"/>
          <w:shd w:val="clear" w:color="auto" w:fill="FFFFFF"/>
          <w:lang w:val="zh-CN"/>
        </w:rPr>
        <w:t>。</w:t>
      </w:r>
    </w:p>
    <w:p w14:paraId="3AA861DC">
      <w:pPr>
        <w:widowControl w:val="0"/>
        <w:overflowPunct w:val="0"/>
        <w:spacing w:after="0" w:line="560" w:lineRule="exact"/>
        <w:ind w:left="0" w:leftChars="0" w:firstLine="643" w:firstLineChars="200"/>
        <w:jc w:val="both"/>
        <w:rPr>
          <w:rFonts w:hint="default" w:ascii="Times New Roman Regular" w:hAnsi="Times New Roman Regular" w:eastAsia="仿宋_GB2312" w:cs="Times New Roman Regular"/>
          <w:kern w:val="2"/>
          <w:sz w:val="32"/>
          <w:szCs w:val="32"/>
          <w:highlight w:val="none"/>
          <w:lang w:val="en-US" w:eastAsia="zh-CN" w:bidi="ar-SA"/>
        </w:rPr>
      </w:pPr>
      <w:r>
        <w:rPr>
          <w:rFonts w:hint="default" w:ascii="Times New Roman Regular" w:hAnsi="Times New Roman Regular" w:eastAsia="仿宋_GB2312" w:cs="Times New Roman Regular"/>
          <w:b/>
          <w:bCs/>
          <w:kern w:val="2"/>
          <w:sz w:val="32"/>
          <w:szCs w:val="32"/>
          <w:highlight w:val="none"/>
          <w:lang w:val="en-US" w:eastAsia="zh-CN" w:bidi="ar-SA"/>
        </w:rPr>
        <w:t>一是恪守司法本职，捍卫法治生命线。</w:t>
      </w:r>
      <w:r>
        <w:rPr>
          <w:rFonts w:hint="default" w:ascii="Times New Roman Regular" w:hAnsi="Times New Roman Regular" w:eastAsia="仿宋_GB2312" w:cs="Times New Roman Regular"/>
          <w:kern w:val="2"/>
          <w:sz w:val="32"/>
          <w:szCs w:val="32"/>
          <w:highlight w:val="none"/>
          <w:lang w:val="en-US" w:eastAsia="zh-CN" w:bidi="ar-SA"/>
        </w:rPr>
        <w:t>2025年，我院全年受理各类案件444件，审执结423件，结收比96.79%，审限内结案率97.78%。严厉打击各类刑事犯罪，受理刑事案件28件、审结27件，严惩受贿罪6件6人、开设赌场罪2件5人等。受理民商事案件317件、审结297件，其中婚姻家庭类77件、民间借贷类52件（涉及资金4200万元）。执行案件受理99件、执结率100%，执行到位标的额276.75万元，开展执行联席会议2次，联动破解执行难题。召开府院联席会议3次，前置化解行政矛盾3件。</w:t>
      </w:r>
    </w:p>
    <w:p w14:paraId="52FB2B04">
      <w:pPr>
        <w:widowControl w:val="0"/>
        <w:overflowPunct w:val="0"/>
        <w:spacing w:after="0" w:line="560" w:lineRule="exact"/>
        <w:ind w:left="0" w:leftChars="0" w:firstLine="643" w:firstLineChars="200"/>
        <w:jc w:val="both"/>
        <w:rPr>
          <w:rFonts w:hint="default" w:ascii="Times New Roman Regular" w:hAnsi="Times New Roman Regular" w:eastAsia="仿宋_GB2312" w:cs="Times New Roman Regular"/>
          <w:kern w:val="2"/>
          <w:sz w:val="32"/>
          <w:szCs w:val="32"/>
          <w:highlight w:val="none"/>
          <w:lang w:val="en-US" w:eastAsia="zh-CN" w:bidi="ar-SA"/>
        </w:rPr>
      </w:pPr>
      <w:r>
        <w:rPr>
          <w:rFonts w:hint="default" w:ascii="Times New Roman Regular" w:hAnsi="Times New Roman Regular" w:eastAsia="仿宋_GB2312" w:cs="Times New Roman Regular"/>
          <w:b/>
          <w:bCs/>
          <w:kern w:val="2"/>
          <w:sz w:val="32"/>
          <w:szCs w:val="32"/>
          <w:highlight w:val="none"/>
          <w:lang w:val="en-US" w:eastAsia="zh-CN" w:bidi="ar-SA"/>
        </w:rPr>
        <w:t>二是锚定发展大局，护航高质量发展。</w:t>
      </w:r>
      <w:r>
        <w:rPr>
          <w:rFonts w:hint="default" w:ascii="Times New Roman Regular" w:hAnsi="Times New Roman Regular" w:eastAsia="仿宋_GB2312" w:cs="Times New Roman Regular"/>
          <w:kern w:val="2"/>
          <w:sz w:val="32"/>
          <w:szCs w:val="32"/>
          <w:highlight w:val="none"/>
          <w:lang w:val="en-US" w:eastAsia="zh-CN" w:bidi="ar-SA"/>
        </w:rPr>
        <w:t>聚焦县域发展大局，优化营商环境，受理涉企民商事案件91件（涉案标的额8000万元），审结阿坝金峰水电开发有限公司破产重整案，化解债务1.1亿余元，清偿23名职工债权。践行生态司法理念，落实环资案件“三审合一”，审结非法采矿案1件，开展巡回审判3次，化解涉旅纠纷6件。深化社会治理，依托“石榴籽调解室”调撤案件221件，法官下沉网格20余次化解纠纷18件，投入6万余元助力乡村振兴，解决群众实际困难12项。</w:t>
      </w:r>
    </w:p>
    <w:p w14:paraId="119E8224">
      <w:pPr>
        <w:widowControl w:val="0"/>
        <w:overflowPunct w:val="0"/>
        <w:spacing w:after="0" w:line="560" w:lineRule="exact"/>
        <w:ind w:left="0" w:leftChars="0" w:firstLine="643" w:firstLineChars="200"/>
        <w:jc w:val="both"/>
        <w:rPr>
          <w:rFonts w:hint="default" w:ascii="Times New Roman Regular" w:hAnsi="Times New Roman Regular" w:eastAsia="仿宋_GB2312" w:cs="Times New Roman Regular"/>
          <w:kern w:val="2"/>
          <w:sz w:val="32"/>
          <w:szCs w:val="32"/>
          <w:highlight w:val="none"/>
          <w:lang w:val="en-US" w:eastAsia="zh-CN" w:bidi="ar-SA"/>
        </w:rPr>
      </w:pPr>
      <w:r>
        <w:rPr>
          <w:rFonts w:hint="default" w:ascii="Times New Roman Regular" w:hAnsi="Times New Roman Regular" w:eastAsia="仿宋_GB2312" w:cs="Times New Roman Regular"/>
          <w:b/>
          <w:bCs/>
          <w:kern w:val="2"/>
          <w:sz w:val="32"/>
          <w:szCs w:val="32"/>
          <w:highlight w:val="none"/>
          <w:lang w:val="en-US" w:eastAsia="zh-CN" w:bidi="ar-SA"/>
        </w:rPr>
        <w:t>三是厚植为民情怀，守护百姓美好生活</w:t>
      </w:r>
      <w:r>
        <w:rPr>
          <w:rFonts w:hint="default" w:ascii="Times New Roman Regular" w:hAnsi="Times New Roman Regular" w:eastAsia="仿宋_GB2312" w:cs="Times New Roman Regular"/>
          <w:kern w:val="2"/>
          <w:sz w:val="32"/>
          <w:szCs w:val="32"/>
          <w:highlight w:val="none"/>
          <w:lang w:val="en-US" w:eastAsia="zh-CN" w:bidi="ar-SA"/>
        </w:rPr>
        <w:t>。坚持司法为民，为困难当事人缓减免诉讼费21.5万元，发放司法救助金9.3万元，惠及38个困难家庭。畅通诉求渠道，处理来信来访9件，回复12368咨询137次，开展满意度回访130余次。开展巡回审判、以案释法50余次，“法律七进”30余次，覆盖群众1000余人，举办法治进校园活动8次覆盖师生300余人。推进“智慧法院”建设，网上立案152件、在线开庭43次，电子送达适用率91%，投入153万元升级执行指挥中心。</w:t>
      </w:r>
    </w:p>
    <w:p w14:paraId="3970A9E9">
      <w:pPr>
        <w:widowControl w:val="0"/>
        <w:overflowPunct w:val="0"/>
        <w:spacing w:after="0" w:line="560" w:lineRule="exact"/>
        <w:ind w:left="0" w:leftChars="0" w:firstLine="643" w:firstLineChars="200"/>
        <w:jc w:val="both"/>
        <w:rPr>
          <w:rFonts w:hint="default" w:ascii="Times New Roman Regular" w:hAnsi="Times New Roman Regular" w:eastAsia="仿宋_GB2312" w:cs="Times New Roman Regular"/>
          <w:kern w:val="2"/>
          <w:sz w:val="32"/>
          <w:szCs w:val="32"/>
          <w:highlight w:val="none"/>
          <w:lang w:val="en-US" w:eastAsia="zh-CN" w:bidi="ar-SA"/>
        </w:rPr>
      </w:pPr>
      <w:r>
        <w:rPr>
          <w:rFonts w:hint="default" w:ascii="Times New Roman Regular" w:hAnsi="Times New Roman Regular" w:eastAsia="仿宋_GB2312" w:cs="Times New Roman Regular"/>
          <w:b/>
          <w:bCs/>
          <w:kern w:val="2"/>
          <w:sz w:val="32"/>
          <w:szCs w:val="32"/>
          <w:highlight w:val="none"/>
          <w:lang w:val="en-US" w:eastAsia="zh-CN" w:bidi="ar-SA"/>
        </w:rPr>
        <w:t>四是锐意改革创新，提升审判效能。</w:t>
      </w:r>
      <w:r>
        <w:rPr>
          <w:rFonts w:hint="default" w:ascii="Times New Roman Regular" w:hAnsi="Times New Roman Regular" w:eastAsia="仿宋_GB2312" w:cs="Times New Roman Regular"/>
          <w:kern w:val="2"/>
          <w:sz w:val="32"/>
          <w:szCs w:val="32"/>
          <w:highlight w:val="none"/>
          <w:lang w:val="en-US" w:eastAsia="zh-CN" w:bidi="ar-SA"/>
        </w:rPr>
        <w:t>深化司法改革，院庭长办案302件，占全院案件的69.27%，实质化监管案件46件，阅核结案案件391件，经阅核案件上诉率同比下降1.84个百分点。召开专业法官会议11次、审判委员会21次，研讨疑难案件73件。严格审限管理，下发审限预警25条，召开质效研判会12次，发布审判管理通报4期。开展案件评查12件、抽查裁判文书12份，形成“三张清单”，发布评查通报4期，推动案件质量提升。</w:t>
      </w:r>
    </w:p>
    <w:p w14:paraId="24AB165B">
      <w:pPr>
        <w:widowControl w:val="0"/>
        <w:overflowPunct w:val="0"/>
        <w:spacing w:after="0" w:line="560" w:lineRule="exact"/>
        <w:ind w:left="0" w:leftChars="0" w:firstLine="643" w:firstLineChars="200"/>
        <w:jc w:val="both"/>
        <w:rPr>
          <w:rFonts w:hint="default" w:ascii="Times New Roman Regular" w:hAnsi="Times New Roman Regular" w:eastAsia="仿宋_GB2312" w:cs="Times New Roman Regular"/>
          <w:kern w:val="2"/>
          <w:sz w:val="32"/>
          <w:szCs w:val="32"/>
          <w:highlight w:val="none"/>
          <w:lang w:val="en-US" w:eastAsia="zh-CN" w:bidi="ar-SA"/>
        </w:rPr>
      </w:pPr>
      <w:r>
        <w:rPr>
          <w:rFonts w:hint="default" w:ascii="Times New Roman Regular" w:hAnsi="Times New Roman Regular" w:eastAsia="仿宋_GB2312" w:cs="Times New Roman Regular"/>
          <w:b/>
          <w:bCs/>
          <w:kern w:val="2"/>
          <w:sz w:val="32"/>
          <w:szCs w:val="32"/>
          <w:highlight w:val="none"/>
          <w:lang w:val="en-US" w:eastAsia="zh-CN" w:bidi="ar-SA"/>
        </w:rPr>
        <w:t>五是淬炼过硬铁军，铸就司法公信。</w:t>
      </w:r>
      <w:r>
        <w:rPr>
          <w:rFonts w:hint="default" w:ascii="Times New Roman Regular" w:hAnsi="Times New Roman Regular" w:eastAsia="仿宋_GB2312" w:cs="Times New Roman Regular"/>
          <w:kern w:val="2"/>
          <w:sz w:val="32"/>
          <w:szCs w:val="32"/>
          <w:highlight w:val="none"/>
          <w:lang w:val="en-US" w:eastAsia="zh-CN" w:bidi="ar-SA"/>
        </w:rPr>
        <w:t>强化政治建设，开展政治学习30余次，主动请示报告重大事项6件次，接受政治督察、司法巡察3</w:t>
      </w:r>
      <w:r>
        <w:rPr>
          <w:rFonts w:hint="eastAsia" w:ascii="Times New Roman Regular" w:hAnsi="Times New Roman Regular" w:eastAsia="仿宋_GB2312" w:cs="Times New Roman Regular"/>
          <w:kern w:val="2"/>
          <w:sz w:val="32"/>
          <w:szCs w:val="32"/>
          <w:highlight w:val="none"/>
          <w:lang w:val="en-US" w:eastAsia="zh-CN" w:bidi="ar-SA"/>
        </w:rPr>
        <w:t>次。</w:t>
      </w:r>
      <w:r>
        <w:rPr>
          <w:rFonts w:hint="default" w:ascii="Times New Roman Regular" w:hAnsi="Times New Roman Regular" w:eastAsia="仿宋_GB2312" w:cs="Times New Roman Regular"/>
          <w:kern w:val="2"/>
          <w:sz w:val="32"/>
          <w:szCs w:val="32"/>
          <w:highlight w:val="none"/>
          <w:lang w:val="en-US" w:eastAsia="zh-CN" w:bidi="ar-SA"/>
        </w:rPr>
        <w:t>，整改问题9个。提升业务素能，组织各类培训35期、302人次，投入20万元建成“干群书屋”，遴选3名80后法官助理。筑牢廉洁防线，召开党风廉政专题会议4次，开展廉政谈话45人次，填报“三个规定”信息557条。自觉接受监督，邀请代表委员参与活动53人次，办理意见建议3份，公开裁判文书111份、庭审直播41件。同时正视自身短板，明确改进方向。</w:t>
      </w:r>
    </w:p>
    <w:p w14:paraId="5116DE55">
      <w:pPr>
        <w:suppressAutoHyphens/>
        <w:overflowPunct w:val="0"/>
        <w:bidi w:val="0"/>
        <w:spacing w:line="560" w:lineRule="exact"/>
        <w:ind w:firstLine="640" w:firstLineChars="200"/>
        <w:rPr>
          <w:rFonts w:hint="default" w:ascii="Times New Roman Regular" w:hAnsi="Times New Roman Regular" w:eastAsia="仿宋_GB2312" w:cs="Times New Roman Regular"/>
          <w:bCs/>
          <w:sz w:val="32"/>
          <w:szCs w:val="32"/>
          <w:highlight w:val="none"/>
          <w:lang w:eastAsia="zh-CN"/>
        </w:rPr>
      </w:pPr>
      <w:r>
        <w:rPr>
          <w:rFonts w:hint="default" w:ascii="Times New Roman Regular" w:hAnsi="Times New Roman Regular" w:eastAsia="仿宋_GB2312" w:cs="Times New Roman Regular"/>
          <w:bCs/>
          <w:sz w:val="32"/>
          <w:szCs w:val="32"/>
          <w:highlight w:val="none"/>
          <w:lang w:eastAsia="zh-CN"/>
        </w:rPr>
        <w:t>2025</w:t>
      </w:r>
      <w:r>
        <w:rPr>
          <w:rFonts w:hint="eastAsia" w:ascii="Times New Roman Regular" w:hAnsi="Times New Roman Regular" w:eastAsia="仿宋_GB2312" w:cs="Times New Roman Regular"/>
          <w:bCs/>
          <w:sz w:val="32"/>
          <w:szCs w:val="32"/>
          <w:highlight w:val="none"/>
          <w:lang w:eastAsia="zh-CN"/>
        </w:rPr>
        <w:t>年</w:t>
      </w:r>
      <w:r>
        <w:rPr>
          <w:rFonts w:hint="default" w:ascii="Times New Roman Regular" w:hAnsi="Times New Roman Regular" w:eastAsia="仿宋_GB2312" w:cs="Times New Roman Regular"/>
          <w:bCs/>
          <w:sz w:val="32"/>
          <w:szCs w:val="32"/>
          <w:highlight w:val="none"/>
        </w:rPr>
        <w:t>我院在上级部门的坚强领导下，圆满完成了单位年度任务。故此项得15分</w:t>
      </w:r>
      <w:r>
        <w:rPr>
          <w:rFonts w:hint="default" w:ascii="Times New Roman Regular" w:hAnsi="Times New Roman Regular" w:eastAsia="仿宋_GB2312" w:cs="Times New Roman Regular"/>
          <w:bCs/>
          <w:sz w:val="32"/>
          <w:szCs w:val="32"/>
          <w:highlight w:val="none"/>
          <w:lang w:eastAsia="zh-CN"/>
        </w:rPr>
        <w:t>。</w:t>
      </w:r>
    </w:p>
    <w:p w14:paraId="7BAE5775">
      <w:pPr>
        <w:suppressAutoHyphens/>
        <w:bidi w:val="0"/>
        <w:adjustRightInd w:val="0"/>
        <w:snapToGrid w:val="0"/>
        <w:spacing w:line="578" w:lineRule="exact"/>
        <w:ind w:firstLine="640" w:firstLineChars="200"/>
        <w:contextualSpacing/>
        <w:rPr>
          <w:rFonts w:hint="default" w:ascii="Times New Roman Regular" w:hAnsi="Times New Roman Regular" w:eastAsia="楷体_GB2312" w:cs="Times New Roman Regular"/>
          <w:color w:val="000000"/>
          <w:kern w:val="0"/>
          <w:sz w:val="32"/>
          <w:szCs w:val="32"/>
          <w:shd w:val="clear" w:color="auto" w:fill="FFFFFF"/>
          <w:lang w:val="zh-CN"/>
        </w:rPr>
      </w:pPr>
      <w:r>
        <w:rPr>
          <w:rFonts w:hint="default" w:ascii="Times New Roman Regular" w:hAnsi="Times New Roman Regular" w:eastAsia="楷体_GB2312" w:cs="Times New Roman Regular"/>
          <w:color w:val="000000"/>
          <w:kern w:val="0"/>
          <w:sz w:val="32"/>
          <w:szCs w:val="32"/>
          <w:shd w:val="clear" w:color="auto" w:fill="FFFFFF"/>
        </w:rPr>
        <w:t>2.</w:t>
      </w:r>
      <w:r>
        <w:rPr>
          <w:rFonts w:hint="default" w:ascii="Times New Roman Regular" w:hAnsi="Times New Roman Regular" w:eastAsia="楷体_GB2312" w:cs="Times New Roman Regular"/>
          <w:color w:val="000000"/>
          <w:kern w:val="0"/>
          <w:sz w:val="32"/>
          <w:szCs w:val="32"/>
          <w:shd w:val="clear" w:color="auto" w:fill="FFFFFF"/>
          <w:lang w:val="zh-CN"/>
        </w:rPr>
        <w:t>预算管理。</w:t>
      </w:r>
    </w:p>
    <w:p w14:paraId="41704BDC">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shd w:val="clear" w:color="auto" w:fill="FFFFFF"/>
        </w:rPr>
      </w:pPr>
      <w:r>
        <w:rPr>
          <w:rFonts w:hint="default" w:ascii="Times New Roman Regular" w:hAnsi="Times New Roman Regular" w:eastAsia="仿宋_GB2312" w:cs="Times New Roman Regular"/>
          <w:color w:val="000000"/>
          <w:kern w:val="0"/>
          <w:sz w:val="32"/>
          <w:szCs w:val="32"/>
          <w:shd w:val="clear" w:color="auto" w:fill="FFFFFF"/>
          <w:lang w:val="zh-CN"/>
        </w:rPr>
        <w:t>（</w:t>
      </w:r>
      <w:r>
        <w:rPr>
          <w:rFonts w:hint="default" w:ascii="Times New Roman Regular" w:hAnsi="Times New Roman Regular" w:eastAsia="仿宋_GB2312" w:cs="Times New Roman Regular"/>
          <w:color w:val="000000"/>
          <w:kern w:val="0"/>
          <w:sz w:val="32"/>
          <w:szCs w:val="32"/>
          <w:shd w:val="clear" w:color="auto" w:fill="FFFFFF"/>
        </w:rPr>
        <w:t>1</w:t>
      </w:r>
      <w:r>
        <w:rPr>
          <w:rFonts w:hint="default" w:ascii="Times New Roman Regular" w:hAnsi="Times New Roman Regular" w:eastAsia="仿宋_GB2312" w:cs="Times New Roman Regular"/>
          <w:color w:val="000000"/>
          <w:kern w:val="0"/>
          <w:sz w:val="32"/>
          <w:szCs w:val="32"/>
          <w:shd w:val="clear" w:color="auto" w:fill="FFFFFF"/>
          <w:lang w:val="zh-CN"/>
        </w:rPr>
        <w:t>）</w:t>
      </w:r>
      <w:r>
        <w:rPr>
          <w:rFonts w:hint="default" w:ascii="Times New Roman Regular" w:hAnsi="Times New Roman Regular" w:eastAsia="仿宋_GB2312" w:cs="Times New Roman Regular"/>
          <w:color w:val="000000"/>
          <w:kern w:val="0"/>
          <w:sz w:val="32"/>
          <w:szCs w:val="32"/>
          <w:shd w:val="clear" w:color="auto" w:fill="FFFFFF"/>
        </w:rPr>
        <w:t>预算编制质量</w:t>
      </w:r>
    </w:p>
    <w:p w14:paraId="04B33959">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本部门财政拨款偏离度=|预算执行数</w:t>
      </w:r>
      <w:r>
        <w:rPr>
          <w:rFonts w:hint="default" w:ascii="Times New Roman Regular" w:hAnsi="Times New Roman Regular" w:eastAsia="仿宋_GB2312" w:cs="Times New Roman Regular"/>
          <w:sz w:val="32"/>
          <w:lang w:val="en-US" w:eastAsia="zh-CN"/>
        </w:rPr>
        <w:t>1</w:t>
      </w:r>
      <w:r>
        <w:rPr>
          <w:rFonts w:hint="eastAsia" w:ascii="Times New Roman Regular" w:hAnsi="Times New Roman Regular" w:eastAsia="仿宋_GB2312" w:cs="Times New Roman Regular"/>
          <w:sz w:val="32"/>
          <w:lang w:val="en-US" w:eastAsia="zh-CN"/>
        </w:rPr>
        <w:t>794.62</w:t>
      </w:r>
      <w:r>
        <w:rPr>
          <w:rFonts w:hint="default" w:ascii="Times New Roman Regular" w:hAnsi="Times New Roman Regular" w:eastAsia="仿宋_GB2312" w:cs="Times New Roman Regular"/>
          <w:color w:val="000000"/>
          <w:kern w:val="0"/>
          <w:sz w:val="32"/>
          <w:szCs w:val="32"/>
          <w:shd w:val="clear" w:color="auto" w:fill="FFFFFF"/>
          <w:lang w:val="zh-CN"/>
        </w:rPr>
        <w:t>万元-年初预算数</w:t>
      </w:r>
      <w:r>
        <w:rPr>
          <w:rFonts w:hint="default" w:ascii="Times New Roman Regular" w:hAnsi="Times New Roman Regular" w:eastAsia="仿宋_GB2312" w:cs="Times New Roman Regular"/>
          <w:sz w:val="32"/>
          <w:lang w:val="en-US" w:eastAsia="zh-CN"/>
        </w:rPr>
        <w:t>1080.04</w:t>
      </w:r>
      <w:r>
        <w:rPr>
          <w:rFonts w:hint="default" w:ascii="Times New Roman Regular" w:hAnsi="Times New Roman Regular" w:eastAsia="仿宋_GB2312" w:cs="Times New Roman Regular"/>
          <w:color w:val="000000"/>
          <w:kern w:val="0"/>
          <w:sz w:val="32"/>
          <w:szCs w:val="32"/>
          <w:shd w:val="clear" w:color="auto" w:fill="FFFFFF"/>
          <w:lang w:val="zh-CN"/>
        </w:rPr>
        <w:t>万元|÷年初预算数</w:t>
      </w:r>
      <w:r>
        <w:rPr>
          <w:rFonts w:hint="default" w:ascii="Times New Roman Regular" w:hAnsi="Times New Roman Regular" w:eastAsia="仿宋_GB2312" w:cs="Times New Roman Regular"/>
          <w:sz w:val="32"/>
          <w:lang w:val="en-US" w:eastAsia="zh-CN"/>
        </w:rPr>
        <w:t>1080.04</w:t>
      </w:r>
      <w:r>
        <w:rPr>
          <w:rFonts w:hint="default" w:ascii="Times New Roman Regular" w:hAnsi="Times New Roman Regular" w:eastAsia="仿宋_GB2312" w:cs="Times New Roman Regular"/>
          <w:color w:val="000000"/>
          <w:kern w:val="0"/>
          <w:sz w:val="32"/>
          <w:szCs w:val="32"/>
          <w:shd w:val="clear" w:color="auto" w:fill="FFFFFF"/>
          <w:lang w:val="zh-CN"/>
        </w:rPr>
        <w:t>万元=</w:t>
      </w:r>
      <w:r>
        <w:rPr>
          <w:rFonts w:hint="default" w:ascii="Times New Roman Regular" w:hAnsi="Times New Roman Regular" w:eastAsia="仿宋_GB2312" w:cs="Times New Roman Regular"/>
          <w:color w:val="000000"/>
          <w:kern w:val="0"/>
          <w:sz w:val="32"/>
          <w:szCs w:val="32"/>
          <w:shd w:val="clear" w:color="auto" w:fill="FFFFFF"/>
          <w:lang w:val="en-US" w:eastAsia="zh-CN"/>
        </w:rPr>
        <w:t>6</w:t>
      </w:r>
      <w:r>
        <w:rPr>
          <w:rFonts w:hint="eastAsia" w:ascii="Times New Roman Regular" w:hAnsi="Times New Roman Regular" w:eastAsia="仿宋_GB2312" w:cs="Times New Roman Regular"/>
          <w:color w:val="000000"/>
          <w:kern w:val="0"/>
          <w:sz w:val="32"/>
          <w:szCs w:val="32"/>
          <w:shd w:val="clear" w:color="auto" w:fill="FFFFFF"/>
          <w:lang w:val="en-US" w:eastAsia="zh-CN"/>
        </w:rPr>
        <w:t>6</w:t>
      </w:r>
      <w:r>
        <w:rPr>
          <w:rFonts w:hint="default" w:ascii="Times New Roman Regular" w:hAnsi="Times New Roman Regular" w:eastAsia="仿宋_GB2312" w:cs="Times New Roman Regular"/>
          <w:color w:val="000000"/>
          <w:kern w:val="0"/>
          <w:sz w:val="32"/>
          <w:szCs w:val="32"/>
          <w:shd w:val="clear" w:color="auto" w:fill="FFFFFF"/>
          <w:lang w:val="en-US" w:eastAsia="zh-CN"/>
        </w:rPr>
        <w:t>.</w:t>
      </w:r>
      <w:r>
        <w:rPr>
          <w:rFonts w:hint="eastAsia" w:ascii="Times New Roman Regular" w:hAnsi="Times New Roman Regular" w:eastAsia="仿宋_GB2312" w:cs="Times New Roman Regular"/>
          <w:color w:val="000000"/>
          <w:kern w:val="0"/>
          <w:sz w:val="32"/>
          <w:szCs w:val="32"/>
          <w:shd w:val="clear" w:color="auto" w:fill="FFFFFF"/>
          <w:lang w:val="en-US" w:eastAsia="zh-CN"/>
        </w:rPr>
        <w:t>16</w:t>
      </w:r>
      <w:r>
        <w:rPr>
          <w:rFonts w:hint="default" w:ascii="Times New Roman Regular" w:hAnsi="Times New Roman Regular" w:eastAsia="仿宋_GB2312" w:cs="Times New Roman Regular"/>
          <w:color w:val="000000"/>
          <w:kern w:val="0"/>
          <w:sz w:val="32"/>
          <w:szCs w:val="32"/>
          <w:shd w:val="clear" w:color="auto" w:fill="FFFFFF"/>
          <w:lang w:val="zh-CN"/>
        </w:rPr>
        <w:t>%；资产配置</w:t>
      </w:r>
      <w:r>
        <w:rPr>
          <w:rFonts w:hint="default" w:ascii="Times New Roman Regular" w:hAnsi="Times New Roman Regular" w:eastAsia="仿宋_GB2312" w:cs="Times New Roman Regular"/>
          <w:color w:val="000000"/>
          <w:kern w:val="0"/>
          <w:sz w:val="32"/>
          <w:szCs w:val="32"/>
          <w:shd w:val="clear" w:color="auto" w:fill="FFFFFF"/>
          <w:lang w:val="en-US" w:eastAsia="zh-CN"/>
        </w:rPr>
        <w:t>年初预算0万元，执行数为153.90万元</w:t>
      </w:r>
      <w:r>
        <w:rPr>
          <w:rFonts w:hint="default" w:ascii="Times New Roman Regular" w:hAnsi="Times New Roman Regular" w:eastAsia="仿宋_GB2312" w:cs="Times New Roman Regular"/>
          <w:color w:val="000000"/>
          <w:kern w:val="0"/>
          <w:sz w:val="32"/>
          <w:szCs w:val="32"/>
          <w:shd w:val="clear" w:color="auto" w:fill="FFFFFF"/>
          <w:lang w:val="zh-CN"/>
        </w:rPr>
        <w:t>；政府采购</w:t>
      </w:r>
      <w:r>
        <w:rPr>
          <w:rFonts w:hint="default" w:ascii="Times New Roman Regular" w:hAnsi="Times New Roman Regular" w:eastAsia="仿宋_GB2312" w:cs="Times New Roman Regular"/>
          <w:color w:val="000000"/>
          <w:kern w:val="0"/>
          <w:sz w:val="32"/>
          <w:szCs w:val="32"/>
          <w:shd w:val="clear" w:color="auto" w:fill="FFFFFF"/>
          <w:lang w:val="en-US" w:eastAsia="zh-CN"/>
        </w:rPr>
        <w:t>年初预算0万元，执行数为151.30万元</w:t>
      </w:r>
      <w:r>
        <w:rPr>
          <w:rFonts w:hint="default" w:ascii="Times New Roman Regular" w:hAnsi="Times New Roman Regular" w:eastAsia="仿宋_GB2312" w:cs="Times New Roman Regular"/>
          <w:color w:val="000000"/>
          <w:kern w:val="0"/>
          <w:sz w:val="32"/>
          <w:szCs w:val="32"/>
          <w:shd w:val="clear" w:color="auto" w:fill="FFFFFF"/>
          <w:lang w:val="zh-CN"/>
        </w:rPr>
        <w:t>。</w:t>
      </w:r>
    </w:p>
    <w:p w14:paraId="29AE2FB8">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综上，根据评分标准，该项指标扣</w:t>
      </w:r>
      <w:r>
        <w:rPr>
          <w:rFonts w:hint="default" w:ascii="Times New Roman Regular" w:hAnsi="Times New Roman Regular" w:eastAsia="仿宋_GB2312" w:cs="Times New Roman Regular"/>
          <w:color w:val="000000"/>
          <w:kern w:val="0"/>
          <w:sz w:val="32"/>
          <w:szCs w:val="32"/>
          <w:shd w:val="clear" w:color="auto" w:fill="FFFFFF"/>
          <w:lang w:val="en-US" w:eastAsia="zh-CN"/>
        </w:rPr>
        <w:t>6.</w:t>
      </w:r>
      <w:r>
        <w:rPr>
          <w:rFonts w:hint="eastAsia" w:ascii="Times New Roman Regular" w:hAnsi="Times New Roman Regular" w:eastAsia="仿宋_GB2312" w:cs="Times New Roman Regular"/>
          <w:color w:val="000000"/>
          <w:kern w:val="0"/>
          <w:sz w:val="32"/>
          <w:szCs w:val="32"/>
          <w:shd w:val="clear" w:color="auto" w:fill="FFFFFF"/>
          <w:lang w:val="en-US" w:eastAsia="zh-CN"/>
        </w:rPr>
        <w:t>65</w:t>
      </w:r>
      <w:r>
        <w:rPr>
          <w:rFonts w:hint="default" w:ascii="Times New Roman Regular" w:hAnsi="Times New Roman Regular" w:eastAsia="仿宋_GB2312" w:cs="Times New Roman Regular"/>
          <w:color w:val="000000"/>
          <w:kern w:val="0"/>
          <w:sz w:val="32"/>
          <w:szCs w:val="32"/>
          <w:shd w:val="clear" w:color="auto" w:fill="FFFFFF"/>
          <w:lang w:val="en-US" w:eastAsia="zh-CN"/>
        </w:rPr>
        <w:t>分</w:t>
      </w:r>
      <w:r>
        <w:rPr>
          <w:rFonts w:hint="default" w:ascii="Times New Roman Regular" w:hAnsi="Times New Roman Regular" w:eastAsia="仿宋_GB2312" w:cs="Times New Roman Regular"/>
          <w:color w:val="000000"/>
          <w:kern w:val="0"/>
          <w:sz w:val="32"/>
          <w:szCs w:val="32"/>
          <w:shd w:val="clear" w:color="auto" w:fill="FFFFFF"/>
          <w:lang w:val="zh-CN"/>
        </w:rPr>
        <w:t>，得</w:t>
      </w:r>
      <w:r>
        <w:rPr>
          <w:rFonts w:hint="eastAsia" w:ascii="Times New Roman Regular" w:hAnsi="Times New Roman Regular" w:eastAsia="仿宋_GB2312" w:cs="Times New Roman Regular"/>
          <w:color w:val="000000"/>
          <w:kern w:val="0"/>
          <w:sz w:val="32"/>
          <w:szCs w:val="32"/>
          <w:shd w:val="clear" w:color="auto" w:fill="FFFFFF"/>
          <w:lang w:val="en-US" w:eastAsia="zh-CN"/>
        </w:rPr>
        <w:t>1.35</w:t>
      </w:r>
      <w:r>
        <w:rPr>
          <w:rFonts w:hint="default" w:ascii="Times New Roman Regular" w:hAnsi="Times New Roman Regular" w:eastAsia="仿宋_GB2312" w:cs="Times New Roman Regular"/>
          <w:color w:val="000000"/>
          <w:kern w:val="0"/>
          <w:sz w:val="32"/>
          <w:szCs w:val="32"/>
          <w:shd w:val="clear" w:color="auto" w:fill="FFFFFF"/>
          <w:lang w:val="zh-CN"/>
        </w:rPr>
        <w:t>分。</w:t>
      </w:r>
    </w:p>
    <w:p w14:paraId="51F8F854">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w:t>
      </w:r>
      <w:r>
        <w:rPr>
          <w:rFonts w:hint="default" w:ascii="Times New Roman Regular" w:hAnsi="Times New Roman Regular" w:eastAsia="仿宋_GB2312" w:cs="Times New Roman Regular"/>
          <w:color w:val="000000"/>
          <w:kern w:val="0"/>
          <w:sz w:val="32"/>
          <w:szCs w:val="32"/>
          <w:shd w:val="clear" w:color="auto" w:fill="FFFFFF"/>
        </w:rPr>
        <w:t>2</w:t>
      </w:r>
      <w:r>
        <w:rPr>
          <w:rFonts w:hint="default" w:ascii="Times New Roman Regular" w:hAnsi="Times New Roman Regular" w:eastAsia="仿宋_GB2312" w:cs="Times New Roman Regular"/>
          <w:color w:val="000000"/>
          <w:kern w:val="0"/>
          <w:sz w:val="32"/>
          <w:szCs w:val="32"/>
          <w:shd w:val="clear" w:color="auto" w:fill="FFFFFF"/>
          <w:lang w:val="zh-CN"/>
        </w:rPr>
        <w:t>）单位收入统筹</w:t>
      </w:r>
    </w:p>
    <w:p w14:paraId="03502D6D">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我院未有自有收入，不涉及单位收入统筹。</w:t>
      </w:r>
    </w:p>
    <w:p w14:paraId="08BA449D">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综上，根据评分标准，该项指标不扣分，得</w:t>
      </w:r>
      <w:r>
        <w:rPr>
          <w:rFonts w:hint="default" w:ascii="Times New Roman Regular" w:hAnsi="Times New Roman Regular" w:eastAsia="仿宋_GB2312" w:cs="Times New Roman Regular"/>
          <w:color w:val="000000"/>
          <w:kern w:val="0"/>
          <w:sz w:val="32"/>
          <w:szCs w:val="32"/>
          <w:shd w:val="clear" w:color="auto" w:fill="FFFFFF"/>
        </w:rPr>
        <w:t>4</w:t>
      </w:r>
      <w:r>
        <w:rPr>
          <w:rFonts w:hint="default" w:ascii="Times New Roman Regular" w:hAnsi="Times New Roman Regular" w:eastAsia="仿宋_GB2312" w:cs="Times New Roman Regular"/>
          <w:color w:val="000000"/>
          <w:kern w:val="0"/>
          <w:sz w:val="32"/>
          <w:szCs w:val="32"/>
          <w:shd w:val="clear" w:color="auto" w:fill="FFFFFF"/>
          <w:lang w:val="zh-CN"/>
        </w:rPr>
        <w:t>分。</w:t>
      </w:r>
    </w:p>
    <w:p w14:paraId="3719E9D5">
      <w:pPr>
        <w:numPr>
          <w:ilvl w:val="0"/>
          <w:numId w:val="3"/>
        </w:num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shd w:val="clear" w:color="auto" w:fill="FFFFFF"/>
        </w:rPr>
      </w:pPr>
      <w:r>
        <w:rPr>
          <w:rFonts w:hint="default" w:ascii="Times New Roman Regular" w:hAnsi="Times New Roman Regular" w:eastAsia="仿宋_GB2312" w:cs="Times New Roman Regular"/>
          <w:color w:val="000000"/>
          <w:kern w:val="0"/>
          <w:sz w:val="32"/>
          <w:szCs w:val="32"/>
          <w:shd w:val="clear" w:color="auto" w:fill="FFFFFF"/>
        </w:rPr>
        <w:t>支出执行进度</w:t>
      </w:r>
    </w:p>
    <w:p w14:paraId="60648FD1">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highlight w:val="none"/>
          <w:shd w:val="clear" w:color="auto" w:fill="FFFFFF"/>
        </w:rPr>
      </w:pPr>
      <w:r>
        <w:rPr>
          <w:rFonts w:hint="default" w:ascii="Times New Roman Regular" w:hAnsi="Times New Roman Regular" w:eastAsia="仿宋_GB2312" w:cs="Times New Roman Regular"/>
          <w:color w:val="000000"/>
          <w:kern w:val="0"/>
          <w:sz w:val="32"/>
          <w:szCs w:val="32"/>
          <w:shd w:val="clear" w:color="auto" w:fill="FFFFFF"/>
        </w:rPr>
        <w:t>1至6月预算执行数为</w:t>
      </w:r>
      <w:r>
        <w:rPr>
          <w:rFonts w:hint="default" w:ascii="Times New Roman Regular" w:hAnsi="Times New Roman Regular" w:eastAsia="仿宋_GB2312" w:cs="Times New Roman Regular"/>
          <w:color w:val="000000"/>
          <w:kern w:val="0"/>
          <w:sz w:val="32"/>
          <w:szCs w:val="32"/>
          <w:shd w:val="clear" w:color="auto" w:fill="FFFFFF"/>
          <w:lang w:val="en-US" w:eastAsia="zh-CN"/>
        </w:rPr>
        <w:t>780.56</w:t>
      </w:r>
      <w:r>
        <w:rPr>
          <w:rFonts w:hint="default" w:ascii="Times New Roman Regular" w:hAnsi="Times New Roman Regular" w:eastAsia="仿宋_GB2312" w:cs="Times New Roman Regular"/>
          <w:color w:val="000000"/>
          <w:kern w:val="0"/>
          <w:sz w:val="32"/>
          <w:szCs w:val="32"/>
          <w:shd w:val="clear" w:color="auto" w:fill="FFFFFF"/>
        </w:rPr>
        <w:t>万元，部门全年预算数为</w:t>
      </w:r>
      <w:r>
        <w:rPr>
          <w:rFonts w:hint="default" w:ascii="Times New Roman Regular" w:hAnsi="Times New Roman Regular" w:eastAsia="仿宋_GB2312" w:cs="Times New Roman Regular"/>
          <w:sz w:val="32"/>
          <w:highlight w:val="none"/>
        </w:rPr>
        <w:t>2261</w:t>
      </w:r>
      <w:r>
        <w:rPr>
          <w:rFonts w:hint="default" w:ascii="Times New Roman Regular" w:hAnsi="Times New Roman Regular" w:eastAsia="仿宋_GB2312" w:cs="Times New Roman Regular"/>
          <w:sz w:val="32"/>
          <w:highlight w:val="none"/>
          <w:lang w:val="en-US" w:eastAsia="zh-CN"/>
        </w:rPr>
        <w:t>.</w:t>
      </w:r>
      <w:r>
        <w:rPr>
          <w:rFonts w:hint="default" w:ascii="Times New Roman Regular" w:hAnsi="Times New Roman Regular" w:eastAsia="仿宋_GB2312" w:cs="Times New Roman Regular"/>
          <w:sz w:val="32"/>
          <w:highlight w:val="none"/>
        </w:rPr>
        <w:t>7</w:t>
      </w:r>
      <w:r>
        <w:rPr>
          <w:rFonts w:hint="default" w:ascii="Times New Roman Regular" w:hAnsi="Times New Roman Regular" w:eastAsia="仿宋_GB2312" w:cs="Times New Roman Regular"/>
          <w:sz w:val="32"/>
          <w:highlight w:val="none"/>
          <w:lang w:val="en-US" w:eastAsia="zh-CN"/>
        </w:rPr>
        <w:t>1</w:t>
      </w:r>
      <w:r>
        <w:rPr>
          <w:rFonts w:hint="default" w:ascii="Times New Roman Regular" w:hAnsi="Times New Roman Regular" w:eastAsia="仿宋_GB2312" w:cs="Times New Roman Regular"/>
          <w:color w:val="000000"/>
          <w:kern w:val="0"/>
          <w:sz w:val="32"/>
          <w:szCs w:val="32"/>
          <w:highlight w:val="none"/>
          <w:shd w:val="clear" w:color="auto" w:fill="FFFFFF"/>
        </w:rPr>
        <w:t>万元，1至6月支出预警金额</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0</w:t>
      </w:r>
      <w:r>
        <w:rPr>
          <w:rFonts w:hint="default" w:ascii="Times New Roman Regular" w:hAnsi="Times New Roman Regular" w:eastAsia="仿宋_GB2312" w:cs="Times New Roman Regular"/>
          <w:color w:val="000000"/>
          <w:kern w:val="0"/>
          <w:sz w:val="32"/>
          <w:szCs w:val="32"/>
          <w:highlight w:val="none"/>
          <w:shd w:val="clear" w:color="auto" w:fill="FFFFFF"/>
        </w:rPr>
        <w:t>万元，无支出违规金额。</w:t>
      </w:r>
    </w:p>
    <w:p w14:paraId="6E5B4C7A">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highlight w:val="none"/>
          <w:shd w:val="clear" w:color="auto" w:fill="FFFFFF"/>
        </w:rPr>
      </w:pPr>
      <w:r>
        <w:rPr>
          <w:rFonts w:hint="default" w:ascii="Times New Roman Regular" w:hAnsi="Times New Roman Regular" w:eastAsia="仿宋_GB2312" w:cs="Times New Roman Regular"/>
          <w:color w:val="000000"/>
          <w:kern w:val="0"/>
          <w:sz w:val="32"/>
          <w:szCs w:val="32"/>
          <w:highlight w:val="none"/>
          <w:shd w:val="clear" w:color="auto" w:fill="FFFFFF"/>
        </w:rPr>
        <w:t>1至10月预算执行数为1</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242.88</w:t>
      </w:r>
      <w:r>
        <w:rPr>
          <w:rFonts w:hint="default" w:ascii="Times New Roman Regular" w:hAnsi="Times New Roman Regular" w:eastAsia="仿宋_GB2312" w:cs="Times New Roman Regular"/>
          <w:color w:val="000000"/>
          <w:kern w:val="0"/>
          <w:sz w:val="32"/>
          <w:szCs w:val="32"/>
          <w:highlight w:val="none"/>
          <w:shd w:val="clear" w:color="auto" w:fill="FFFFFF"/>
        </w:rPr>
        <w:t>万元，部门全年预算数为</w:t>
      </w:r>
      <w:r>
        <w:rPr>
          <w:rFonts w:hint="default" w:ascii="Times New Roman Regular" w:hAnsi="Times New Roman Regular" w:eastAsia="仿宋_GB2312" w:cs="Times New Roman Regular"/>
          <w:sz w:val="32"/>
          <w:highlight w:val="none"/>
        </w:rPr>
        <w:t>2261</w:t>
      </w:r>
      <w:r>
        <w:rPr>
          <w:rFonts w:hint="default" w:ascii="Times New Roman Regular" w:hAnsi="Times New Roman Regular" w:eastAsia="仿宋_GB2312" w:cs="Times New Roman Regular"/>
          <w:sz w:val="32"/>
          <w:highlight w:val="none"/>
          <w:lang w:val="en-US" w:eastAsia="zh-CN"/>
        </w:rPr>
        <w:t>.</w:t>
      </w:r>
      <w:r>
        <w:rPr>
          <w:rFonts w:hint="default" w:ascii="Times New Roman Regular" w:hAnsi="Times New Roman Regular" w:eastAsia="仿宋_GB2312" w:cs="Times New Roman Regular"/>
          <w:sz w:val="32"/>
          <w:highlight w:val="none"/>
        </w:rPr>
        <w:t>7</w:t>
      </w:r>
      <w:r>
        <w:rPr>
          <w:rFonts w:hint="default" w:ascii="Times New Roman Regular" w:hAnsi="Times New Roman Regular" w:eastAsia="仿宋_GB2312" w:cs="Times New Roman Regular"/>
          <w:sz w:val="32"/>
          <w:highlight w:val="none"/>
          <w:lang w:val="en-US" w:eastAsia="zh-CN"/>
        </w:rPr>
        <w:t>1</w:t>
      </w:r>
      <w:r>
        <w:rPr>
          <w:rFonts w:hint="default" w:ascii="Times New Roman Regular" w:hAnsi="Times New Roman Regular" w:eastAsia="仿宋_GB2312" w:cs="Times New Roman Regular"/>
          <w:color w:val="000000"/>
          <w:kern w:val="0"/>
          <w:sz w:val="32"/>
          <w:szCs w:val="32"/>
          <w:highlight w:val="none"/>
          <w:shd w:val="clear" w:color="auto" w:fill="FFFFFF"/>
        </w:rPr>
        <w:t>万元，1至10月无支出预警金额</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0</w:t>
      </w:r>
      <w:r>
        <w:rPr>
          <w:rFonts w:hint="default" w:ascii="Times New Roman Regular" w:hAnsi="Times New Roman Regular" w:eastAsia="仿宋_GB2312" w:cs="Times New Roman Regular"/>
          <w:color w:val="000000"/>
          <w:kern w:val="0"/>
          <w:sz w:val="32"/>
          <w:szCs w:val="32"/>
          <w:highlight w:val="none"/>
          <w:shd w:val="clear" w:color="auto" w:fill="FFFFFF"/>
        </w:rPr>
        <w:t>万元，无支出违规金额。</w:t>
      </w:r>
    </w:p>
    <w:p w14:paraId="44AD40A5">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highlight w:val="none"/>
          <w:shd w:val="clear" w:color="auto" w:fill="FFFFFF"/>
        </w:rPr>
      </w:pPr>
      <w:r>
        <w:rPr>
          <w:rFonts w:hint="default" w:ascii="Times New Roman Regular" w:hAnsi="Times New Roman Regular" w:eastAsia="仿宋_GB2312" w:cs="Times New Roman Regular"/>
          <w:color w:val="000000"/>
          <w:kern w:val="0"/>
          <w:sz w:val="32"/>
          <w:szCs w:val="32"/>
          <w:highlight w:val="none"/>
          <w:shd w:val="clear" w:color="auto" w:fill="FFFFFF"/>
        </w:rPr>
        <w:t>综上，根据评分标准，该项指标扣</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1.3</w:t>
      </w:r>
      <w:r>
        <w:rPr>
          <w:rFonts w:hint="default" w:ascii="Times New Roman Regular" w:hAnsi="Times New Roman Regular" w:eastAsia="仿宋_GB2312" w:cs="Times New Roman Regular"/>
          <w:color w:val="000000"/>
          <w:kern w:val="0"/>
          <w:sz w:val="32"/>
          <w:szCs w:val="32"/>
          <w:highlight w:val="none"/>
          <w:shd w:val="clear" w:color="auto" w:fill="FFFFFF"/>
        </w:rPr>
        <w:t>分，得4.</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70</w:t>
      </w:r>
      <w:r>
        <w:rPr>
          <w:rFonts w:hint="default" w:ascii="Times New Roman Regular" w:hAnsi="Times New Roman Regular" w:eastAsia="仿宋_GB2312" w:cs="Times New Roman Regular"/>
          <w:color w:val="000000"/>
          <w:kern w:val="0"/>
          <w:sz w:val="32"/>
          <w:szCs w:val="32"/>
          <w:highlight w:val="none"/>
          <w:shd w:val="clear" w:color="auto" w:fill="FFFFFF"/>
        </w:rPr>
        <w:t>分。</w:t>
      </w:r>
    </w:p>
    <w:p w14:paraId="0B6C1EC4">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shd w:val="clear" w:color="auto" w:fill="FFFFFF"/>
        </w:rPr>
      </w:pPr>
      <w:r>
        <w:rPr>
          <w:rFonts w:hint="default" w:ascii="Times New Roman Regular" w:hAnsi="Times New Roman Regular" w:eastAsia="仿宋_GB2312" w:cs="Times New Roman Regular"/>
          <w:color w:val="000000"/>
          <w:kern w:val="0"/>
          <w:sz w:val="32"/>
          <w:szCs w:val="32"/>
          <w:shd w:val="clear" w:color="auto" w:fill="FFFFFF"/>
        </w:rPr>
        <w:t>（4）预算年终结余</w:t>
      </w:r>
    </w:p>
    <w:p w14:paraId="7D80A5C5">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shd w:val="clear" w:color="auto" w:fill="FFFFFF"/>
        </w:rPr>
      </w:pPr>
      <w:r>
        <w:rPr>
          <w:rFonts w:hint="default" w:ascii="Times New Roman Regular" w:hAnsi="Times New Roman Regular" w:eastAsia="仿宋_GB2312" w:cs="Times New Roman Regular"/>
          <w:color w:val="000000"/>
          <w:kern w:val="0"/>
          <w:sz w:val="32"/>
          <w:szCs w:val="32"/>
          <w:shd w:val="clear" w:color="auto" w:fill="FFFFFF"/>
        </w:rPr>
        <w:t>本部门预算总金额为</w:t>
      </w:r>
      <w:r>
        <w:rPr>
          <w:rFonts w:hint="default" w:ascii="Times New Roman Regular" w:hAnsi="Times New Roman Regular" w:eastAsia="仿宋_GB2312" w:cs="Times New Roman Regular"/>
          <w:sz w:val="32"/>
        </w:rPr>
        <w:t>2261</w:t>
      </w:r>
      <w:r>
        <w:rPr>
          <w:rFonts w:hint="default" w:ascii="Times New Roman Regular" w:hAnsi="Times New Roman Regular" w:eastAsia="仿宋_GB2312" w:cs="Times New Roman Regular"/>
          <w:sz w:val="32"/>
          <w:lang w:val="en-US" w:eastAsia="zh-CN"/>
        </w:rPr>
        <w:t>.</w:t>
      </w:r>
      <w:r>
        <w:rPr>
          <w:rFonts w:hint="default" w:ascii="Times New Roman Regular" w:hAnsi="Times New Roman Regular" w:eastAsia="仿宋_GB2312" w:cs="Times New Roman Regular"/>
          <w:sz w:val="32"/>
        </w:rPr>
        <w:t>7</w:t>
      </w:r>
      <w:r>
        <w:rPr>
          <w:rFonts w:hint="default" w:ascii="Times New Roman Regular" w:hAnsi="Times New Roman Regular" w:eastAsia="仿宋_GB2312" w:cs="Times New Roman Regular"/>
          <w:sz w:val="32"/>
          <w:lang w:val="en-US" w:eastAsia="zh-CN"/>
        </w:rPr>
        <w:t>1</w:t>
      </w:r>
      <w:r>
        <w:rPr>
          <w:rFonts w:hint="default" w:ascii="Times New Roman Regular" w:hAnsi="Times New Roman Regular" w:eastAsia="仿宋_GB2312" w:cs="Times New Roman Regular"/>
          <w:color w:val="000000"/>
          <w:kern w:val="0"/>
          <w:sz w:val="32"/>
          <w:szCs w:val="32"/>
          <w:shd w:val="clear" w:color="auto" w:fill="FFFFFF"/>
        </w:rPr>
        <w:t>万元，年终部门预算注销金额为0.00万元，结转</w:t>
      </w:r>
      <w:r>
        <w:rPr>
          <w:rFonts w:hint="eastAsia" w:ascii="Times New Roman Regular" w:hAnsi="Times New Roman Regular" w:eastAsia="仿宋_GB2312" w:cs="Times New Roman Regular"/>
          <w:color w:val="000000"/>
          <w:kern w:val="0"/>
          <w:sz w:val="32"/>
          <w:szCs w:val="32"/>
          <w:shd w:val="clear" w:color="auto" w:fill="FFFFFF"/>
          <w:lang w:val="en-US" w:eastAsia="zh-CN"/>
        </w:rPr>
        <w:t>和结余</w:t>
      </w:r>
      <w:r>
        <w:rPr>
          <w:rFonts w:hint="default" w:ascii="Times New Roman Regular" w:hAnsi="Times New Roman Regular" w:eastAsia="仿宋_GB2312" w:cs="Times New Roman Regular"/>
          <w:color w:val="000000"/>
          <w:kern w:val="0"/>
          <w:sz w:val="32"/>
          <w:szCs w:val="32"/>
          <w:shd w:val="clear" w:color="auto" w:fill="FFFFFF"/>
        </w:rPr>
        <w:t>金额</w:t>
      </w:r>
      <w:r>
        <w:rPr>
          <w:rFonts w:hint="default" w:ascii="Times New Roman Regular" w:hAnsi="Times New Roman Regular" w:eastAsia="仿宋_GB2312" w:cs="Times New Roman Regular"/>
          <w:color w:val="000000"/>
          <w:kern w:val="0"/>
          <w:sz w:val="32"/>
          <w:szCs w:val="32"/>
          <w:shd w:val="clear" w:color="auto" w:fill="FFFFFF"/>
          <w:lang w:val="en-US" w:eastAsia="zh-CN"/>
        </w:rPr>
        <w:t>20.07</w:t>
      </w:r>
      <w:r>
        <w:rPr>
          <w:rFonts w:hint="default" w:ascii="Times New Roman Regular" w:hAnsi="Times New Roman Regular" w:eastAsia="仿宋_GB2312" w:cs="Times New Roman Regular"/>
          <w:color w:val="000000"/>
          <w:kern w:val="0"/>
          <w:sz w:val="32"/>
          <w:szCs w:val="32"/>
          <w:shd w:val="clear" w:color="auto" w:fill="FFFFFF"/>
        </w:rPr>
        <w:t>万元。</w:t>
      </w:r>
    </w:p>
    <w:p w14:paraId="187E452D">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shd w:val="clear" w:color="auto" w:fill="FFFFFF"/>
        </w:rPr>
      </w:pPr>
      <w:r>
        <w:rPr>
          <w:rFonts w:hint="default" w:ascii="Times New Roman Regular" w:hAnsi="Times New Roman Regular" w:eastAsia="仿宋_GB2312" w:cs="Times New Roman Regular"/>
          <w:color w:val="000000"/>
          <w:kern w:val="0"/>
          <w:sz w:val="32"/>
          <w:szCs w:val="32"/>
          <w:shd w:val="clear" w:color="auto" w:fill="FFFFFF"/>
        </w:rPr>
        <w:t>综上，根据评分标准，该项指标扣</w:t>
      </w:r>
      <w:r>
        <w:rPr>
          <w:rFonts w:hint="default" w:ascii="Times New Roman Regular" w:hAnsi="Times New Roman Regular" w:eastAsia="仿宋_GB2312" w:cs="Times New Roman Regular"/>
          <w:color w:val="000000"/>
          <w:kern w:val="0"/>
          <w:sz w:val="32"/>
          <w:szCs w:val="32"/>
          <w:shd w:val="clear" w:color="auto" w:fill="FFFFFF"/>
          <w:lang w:val="en-US" w:eastAsia="zh-CN"/>
        </w:rPr>
        <w:t>0.02</w:t>
      </w:r>
      <w:r>
        <w:rPr>
          <w:rFonts w:hint="default" w:ascii="Times New Roman Regular" w:hAnsi="Times New Roman Regular" w:eastAsia="仿宋_GB2312" w:cs="Times New Roman Regular"/>
          <w:color w:val="000000"/>
          <w:kern w:val="0"/>
          <w:sz w:val="32"/>
          <w:szCs w:val="32"/>
          <w:shd w:val="clear" w:color="auto" w:fill="FFFFFF"/>
        </w:rPr>
        <w:t>分，得</w:t>
      </w:r>
      <w:r>
        <w:rPr>
          <w:rFonts w:hint="default" w:ascii="Times New Roman Regular" w:hAnsi="Times New Roman Regular" w:eastAsia="仿宋_GB2312" w:cs="Times New Roman Regular"/>
          <w:color w:val="000000"/>
          <w:kern w:val="0"/>
          <w:sz w:val="32"/>
          <w:szCs w:val="32"/>
          <w:shd w:val="clear" w:color="auto" w:fill="FFFFFF"/>
          <w:lang w:val="en-US" w:eastAsia="zh-CN"/>
        </w:rPr>
        <w:t>1.98</w:t>
      </w:r>
      <w:r>
        <w:rPr>
          <w:rFonts w:hint="default" w:ascii="Times New Roman Regular" w:hAnsi="Times New Roman Regular" w:eastAsia="仿宋_GB2312" w:cs="Times New Roman Regular"/>
          <w:color w:val="000000"/>
          <w:kern w:val="0"/>
          <w:sz w:val="32"/>
          <w:szCs w:val="32"/>
          <w:shd w:val="clear" w:color="auto" w:fill="FFFFFF"/>
        </w:rPr>
        <w:t>分。</w:t>
      </w:r>
    </w:p>
    <w:p w14:paraId="2F01A8BE">
      <w:pPr>
        <w:suppressAutoHyphens/>
        <w:bidi w:val="0"/>
        <w:adjustRightInd w:val="0"/>
        <w:snapToGrid w:val="0"/>
        <w:spacing w:line="578" w:lineRule="exact"/>
        <w:ind w:left="420" w:leftChars="200"/>
        <w:contextualSpacing/>
        <w:rPr>
          <w:rFonts w:hint="default" w:ascii="Times New Roman Regular" w:hAnsi="Times New Roman Regular" w:eastAsia="仿宋_GB2312" w:cs="Times New Roman Regular"/>
          <w:color w:val="000000"/>
          <w:kern w:val="0"/>
          <w:sz w:val="32"/>
          <w:szCs w:val="32"/>
          <w:shd w:val="clear" w:color="auto" w:fill="FFFFFF"/>
        </w:rPr>
      </w:pPr>
      <w:r>
        <w:rPr>
          <w:rFonts w:hint="default" w:ascii="Times New Roman Regular" w:hAnsi="Times New Roman Regular" w:eastAsia="仿宋_GB2312" w:cs="Times New Roman Regular"/>
          <w:color w:val="000000"/>
          <w:kern w:val="0"/>
          <w:sz w:val="32"/>
          <w:szCs w:val="32"/>
          <w:shd w:val="clear" w:color="auto" w:fill="FFFFFF"/>
        </w:rPr>
        <w:t>（5）严控一般性支出</w:t>
      </w:r>
    </w:p>
    <w:p w14:paraId="57DCDB66">
      <w:pPr>
        <w:suppressAutoHyphens/>
        <w:autoSpaceDE w:val="0"/>
        <w:bidi w:val="0"/>
        <w:adjustRightInd w:val="0"/>
        <w:snapToGrid w:val="0"/>
        <w:spacing w:line="578" w:lineRule="exact"/>
        <w:ind w:firstLine="562" w:firstLineChars="200"/>
        <w:contextualSpacing/>
        <w:jc w:val="center"/>
        <w:rPr>
          <w:rFonts w:hint="default" w:ascii="Times New Roman Regular" w:hAnsi="Times New Roman Regular" w:eastAsia="仿宋_GB2312" w:cs="Times New Roman Regular"/>
          <w:b/>
          <w:bCs/>
          <w:color w:val="000000"/>
          <w:kern w:val="0"/>
          <w:sz w:val="28"/>
          <w:szCs w:val="28"/>
          <w:shd w:val="clear" w:color="auto" w:fill="FFFFFF"/>
          <w:lang w:bidi="ar"/>
        </w:rPr>
      </w:pPr>
      <w:r>
        <w:rPr>
          <w:rFonts w:hint="default" w:ascii="Times New Roman Regular" w:hAnsi="Times New Roman Regular" w:eastAsia="仿宋_GB2312" w:cs="Times New Roman Regular"/>
          <w:b/>
          <w:bCs/>
          <w:color w:val="000000"/>
          <w:kern w:val="0"/>
          <w:sz w:val="28"/>
          <w:szCs w:val="28"/>
          <w:shd w:val="clear" w:color="auto" w:fill="FFFFFF"/>
          <w:lang w:bidi="ar"/>
        </w:rPr>
        <w:t>表3-1 一般性支出情况表</w:t>
      </w:r>
    </w:p>
    <w:p w14:paraId="6F59495B">
      <w:pPr>
        <w:suppressAutoHyphens/>
        <w:autoSpaceDE w:val="0"/>
        <w:bidi w:val="0"/>
        <w:adjustRightInd w:val="0"/>
        <w:snapToGrid w:val="0"/>
        <w:spacing w:line="578" w:lineRule="exact"/>
        <w:ind w:firstLine="562" w:firstLineChars="200"/>
        <w:contextualSpacing/>
        <w:jc w:val="right"/>
        <w:rPr>
          <w:rFonts w:hint="default" w:ascii="Times New Roman Regular" w:hAnsi="Times New Roman Regular" w:eastAsia="仿宋_GB2312" w:cs="Times New Roman Regular"/>
          <w:b/>
          <w:bCs/>
          <w:color w:val="000000"/>
          <w:kern w:val="0"/>
          <w:sz w:val="28"/>
          <w:szCs w:val="28"/>
          <w:shd w:val="clear" w:color="auto" w:fill="FFFFFF"/>
          <w:lang w:bidi="ar"/>
        </w:rPr>
      </w:pPr>
      <w:r>
        <w:rPr>
          <w:rFonts w:hint="default" w:ascii="Times New Roman Regular" w:hAnsi="Times New Roman Regular" w:eastAsia="仿宋_GB2312" w:cs="Times New Roman Regular"/>
          <w:b/>
          <w:bCs/>
          <w:color w:val="000000"/>
          <w:kern w:val="0"/>
          <w:sz w:val="28"/>
          <w:szCs w:val="28"/>
          <w:shd w:val="clear" w:color="auto" w:fill="FFFFFF"/>
          <w:lang w:bidi="ar"/>
        </w:rPr>
        <w:t>单位：万元</w:t>
      </w:r>
    </w:p>
    <w:tbl>
      <w:tblPr>
        <w:tblStyle w:val="18"/>
        <w:tblW w:w="94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
        <w:gridCol w:w="1357"/>
        <w:gridCol w:w="1529"/>
        <w:gridCol w:w="1596"/>
        <w:gridCol w:w="701"/>
        <w:gridCol w:w="1690"/>
        <w:gridCol w:w="1323"/>
        <w:gridCol w:w="781"/>
      </w:tblGrid>
      <w:tr w14:paraId="0236B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EDECBBB">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序号</w:t>
            </w:r>
          </w:p>
        </w:tc>
        <w:tc>
          <w:tcPr>
            <w:tcW w:w="13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BE1B3A">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项目名称</w:t>
            </w:r>
          </w:p>
        </w:tc>
        <w:tc>
          <w:tcPr>
            <w:tcW w:w="1546" w:type="dxa"/>
            <w:tcBorders>
              <w:top w:val="single" w:color="auto" w:sz="4" w:space="0"/>
              <w:left w:val="single" w:color="auto" w:sz="4" w:space="0"/>
              <w:bottom w:val="single" w:color="auto" w:sz="4" w:space="0"/>
              <w:right w:val="single" w:color="auto" w:sz="4" w:space="0"/>
            </w:tcBorders>
            <w:shd w:val="clear" w:color="auto" w:fill="auto"/>
            <w:vAlign w:val="center"/>
          </w:tcPr>
          <w:p w14:paraId="26ED6241">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202</w:t>
            </w:r>
            <w:r>
              <w:rPr>
                <w:rFonts w:hint="default" w:ascii="Times New Roman Regular" w:hAnsi="Times New Roman Regular" w:eastAsia="仿宋_GB2312" w:cs="Times New Roman Regular"/>
                <w:color w:val="000000"/>
                <w:kern w:val="0"/>
                <w:sz w:val="22"/>
                <w:szCs w:val="22"/>
                <w:shd w:val="clear" w:color="auto" w:fill="FFFFFF"/>
                <w:lang w:val="en-US" w:eastAsia="zh-CN"/>
              </w:rPr>
              <w:t>4</w:t>
            </w:r>
            <w:r>
              <w:rPr>
                <w:rFonts w:hint="default" w:ascii="Times New Roman Regular" w:hAnsi="Times New Roman Regular" w:eastAsia="仿宋_GB2312" w:cs="Times New Roman Regular"/>
                <w:color w:val="000000"/>
                <w:kern w:val="0"/>
                <w:sz w:val="22"/>
                <w:szCs w:val="22"/>
                <w:shd w:val="clear" w:color="auto" w:fill="FFFFFF"/>
              </w:rPr>
              <w:t>年度</w:t>
            </w:r>
          </w:p>
        </w:tc>
        <w:tc>
          <w:tcPr>
            <w:tcW w:w="1614" w:type="dxa"/>
            <w:tcBorders>
              <w:top w:val="single" w:color="auto" w:sz="4" w:space="0"/>
              <w:left w:val="single" w:color="auto" w:sz="4" w:space="0"/>
              <w:bottom w:val="single" w:color="auto" w:sz="4" w:space="0"/>
              <w:right w:val="single" w:color="auto" w:sz="4" w:space="0"/>
            </w:tcBorders>
            <w:shd w:val="clear" w:color="auto" w:fill="auto"/>
            <w:vAlign w:val="center"/>
          </w:tcPr>
          <w:p w14:paraId="54A635EA">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lang w:eastAsia="zh-CN"/>
              </w:rPr>
              <w:t>2025年</w:t>
            </w:r>
            <w:r>
              <w:rPr>
                <w:rFonts w:hint="default" w:ascii="Times New Roman Regular" w:hAnsi="Times New Roman Regular" w:eastAsia="仿宋_GB2312" w:cs="Times New Roman Regular"/>
                <w:color w:val="000000"/>
                <w:kern w:val="0"/>
                <w:sz w:val="22"/>
                <w:szCs w:val="22"/>
                <w:shd w:val="clear" w:color="auto" w:fill="FFFFFF"/>
              </w:rPr>
              <w:t>度</w:t>
            </w:r>
          </w:p>
        </w:tc>
        <w:tc>
          <w:tcPr>
            <w:tcW w:w="70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5536705">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变动情况</w:t>
            </w:r>
          </w:p>
        </w:tc>
        <w:tc>
          <w:tcPr>
            <w:tcW w:w="1708" w:type="dxa"/>
            <w:tcBorders>
              <w:top w:val="single" w:color="auto" w:sz="4" w:space="0"/>
              <w:left w:val="single" w:color="auto" w:sz="4" w:space="0"/>
              <w:bottom w:val="single" w:color="auto" w:sz="4" w:space="0"/>
              <w:right w:val="single" w:color="auto" w:sz="4" w:space="0"/>
            </w:tcBorders>
            <w:shd w:val="clear" w:color="auto" w:fill="auto"/>
            <w:vAlign w:val="center"/>
          </w:tcPr>
          <w:p w14:paraId="25A45302">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202</w:t>
            </w:r>
            <w:r>
              <w:rPr>
                <w:rFonts w:hint="default" w:ascii="Times New Roman Regular" w:hAnsi="Times New Roman Regular" w:eastAsia="仿宋_GB2312" w:cs="Times New Roman Regular"/>
                <w:color w:val="000000"/>
                <w:kern w:val="0"/>
                <w:sz w:val="22"/>
                <w:szCs w:val="22"/>
                <w:shd w:val="clear" w:color="auto" w:fill="FFFFFF"/>
                <w:lang w:val="en-US" w:eastAsia="zh-CN"/>
              </w:rPr>
              <w:t>4</w:t>
            </w:r>
            <w:r>
              <w:rPr>
                <w:rFonts w:hint="default" w:ascii="Times New Roman Regular" w:hAnsi="Times New Roman Regular" w:eastAsia="仿宋_GB2312" w:cs="Times New Roman Regular"/>
                <w:color w:val="000000"/>
                <w:kern w:val="0"/>
                <w:sz w:val="22"/>
                <w:szCs w:val="22"/>
                <w:shd w:val="clear" w:color="auto" w:fill="FFFFFF"/>
              </w:rPr>
              <w:t>年度</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723E5C3A">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lang w:eastAsia="zh-CN"/>
              </w:rPr>
              <w:t>2025年</w:t>
            </w:r>
            <w:r>
              <w:rPr>
                <w:rFonts w:hint="default" w:ascii="Times New Roman Regular" w:hAnsi="Times New Roman Regular" w:eastAsia="仿宋_GB2312" w:cs="Times New Roman Regular"/>
                <w:color w:val="000000"/>
                <w:kern w:val="0"/>
                <w:sz w:val="22"/>
                <w:szCs w:val="22"/>
                <w:shd w:val="clear" w:color="auto" w:fill="FFFFFF"/>
              </w:rPr>
              <w:t>度</w:t>
            </w:r>
          </w:p>
        </w:tc>
        <w:tc>
          <w:tcPr>
            <w:tcW w:w="78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5004F3">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变动情况</w:t>
            </w:r>
          </w:p>
        </w:tc>
      </w:tr>
      <w:tr w14:paraId="27D4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45" w:type="dxa"/>
            <w:vMerge w:val="continue"/>
            <w:tcBorders>
              <w:top w:val="single" w:color="auto" w:sz="4" w:space="0"/>
              <w:left w:val="single" w:color="auto" w:sz="4" w:space="0"/>
              <w:bottom w:val="single" w:color="auto" w:sz="4" w:space="0"/>
              <w:right w:val="single" w:color="auto" w:sz="4" w:space="0"/>
            </w:tcBorders>
            <w:shd w:val="clear" w:color="auto" w:fill="D7D7D7"/>
            <w:vAlign w:val="center"/>
          </w:tcPr>
          <w:p w14:paraId="580FE9BA">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p>
        </w:tc>
        <w:tc>
          <w:tcPr>
            <w:tcW w:w="1374" w:type="dxa"/>
            <w:vMerge w:val="continue"/>
            <w:tcBorders>
              <w:top w:val="single" w:color="auto" w:sz="4" w:space="0"/>
              <w:left w:val="single" w:color="auto" w:sz="4" w:space="0"/>
              <w:bottom w:val="single" w:color="auto" w:sz="4" w:space="0"/>
              <w:right w:val="single" w:color="auto" w:sz="4" w:space="0"/>
            </w:tcBorders>
            <w:shd w:val="clear" w:color="auto" w:fill="D7D7D7"/>
            <w:vAlign w:val="center"/>
          </w:tcPr>
          <w:p w14:paraId="5CAC87F4">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p>
        </w:tc>
        <w:tc>
          <w:tcPr>
            <w:tcW w:w="1546" w:type="dxa"/>
            <w:tcBorders>
              <w:top w:val="single" w:color="auto" w:sz="4" w:space="0"/>
              <w:left w:val="single" w:color="auto" w:sz="4" w:space="0"/>
              <w:bottom w:val="single" w:color="auto" w:sz="4" w:space="0"/>
              <w:right w:val="single" w:color="auto" w:sz="4" w:space="0"/>
            </w:tcBorders>
            <w:shd w:val="clear" w:color="auto" w:fill="auto"/>
            <w:vAlign w:val="center"/>
          </w:tcPr>
          <w:p w14:paraId="5063A55B">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财政拨款年初预算数</w:t>
            </w:r>
          </w:p>
        </w:tc>
        <w:tc>
          <w:tcPr>
            <w:tcW w:w="1614" w:type="dxa"/>
            <w:tcBorders>
              <w:top w:val="single" w:color="auto" w:sz="4" w:space="0"/>
              <w:left w:val="single" w:color="auto" w:sz="4" w:space="0"/>
              <w:bottom w:val="single" w:color="auto" w:sz="4" w:space="0"/>
              <w:right w:val="single" w:color="auto" w:sz="4" w:space="0"/>
            </w:tcBorders>
            <w:shd w:val="clear" w:color="auto" w:fill="auto"/>
            <w:vAlign w:val="center"/>
          </w:tcPr>
          <w:p w14:paraId="6455D762">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财政拨款年初预算数</w:t>
            </w: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0693CB">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p>
        </w:tc>
        <w:tc>
          <w:tcPr>
            <w:tcW w:w="1708" w:type="dxa"/>
            <w:tcBorders>
              <w:top w:val="single" w:color="auto" w:sz="4" w:space="0"/>
              <w:left w:val="single" w:color="auto" w:sz="4" w:space="0"/>
              <w:bottom w:val="single" w:color="auto" w:sz="4" w:space="0"/>
              <w:right w:val="single" w:color="auto" w:sz="4" w:space="0"/>
            </w:tcBorders>
            <w:shd w:val="clear" w:color="auto" w:fill="auto"/>
            <w:vAlign w:val="center"/>
          </w:tcPr>
          <w:p w14:paraId="10C5F604">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财政拨款预算执行数</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6E53ABCA">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财政拨款预算执行数</w:t>
            </w:r>
          </w:p>
        </w:tc>
        <w:tc>
          <w:tcPr>
            <w:tcW w:w="787" w:type="dxa"/>
            <w:vMerge w:val="continue"/>
            <w:tcBorders>
              <w:top w:val="single" w:color="auto" w:sz="4" w:space="0"/>
              <w:left w:val="single" w:color="auto" w:sz="4" w:space="0"/>
              <w:bottom w:val="single" w:color="auto" w:sz="4" w:space="0"/>
              <w:right w:val="single" w:color="auto" w:sz="4" w:space="0"/>
            </w:tcBorders>
            <w:shd w:val="clear" w:color="auto" w:fill="D7D7D7"/>
            <w:vAlign w:val="center"/>
          </w:tcPr>
          <w:p w14:paraId="6AF4EF3A">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p>
        </w:tc>
      </w:tr>
      <w:tr w14:paraId="6C7C7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45" w:type="dxa"/>
            <w:tcBorders>
              <w:top w:val="single" w:color="auto" w:sz="4" w:space="0"/>
              <w:left w:val="single" w:color="auto" w:sz="4" w:space="0"/>
              <w:bottom w:val="single" w:color="auto" w:sz="4" w:space="0"/>
              <w:right w:val="single" w:color="auto" w:sz="4" w:space="0"/>
            </w:tcBorders>
            <w:shd w:val="clear" w:color="auto" w:fill="auto"/>
            <w:vAlign w:val="center"/>
          </w:tcPr>
          <w:p w14:paraId="53E74FB5">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1</w:t>
            </w:r>
          </w:p>
        </w:tc>
        <w:tc>
          <w:tcPr>
            <w:tcW w:w="1374" w:type="dxa"/>
            <w:tcBorders>
              <w:top w:val="single" w:color="auto" w:sz="4" w:space="0"/>
              <w:left w:val="single" w:color="auto" w:sz="4" w:space="0"/>
              <w:bottom w:val="single" w:color="auto" w:sz="4" w:space="0"/>
              <w:right w:val="single" w:color="auto" w:sz="4" w:space="0"/>
            </w:tcBorders>
            <w:shd w:val="clear" w:color="auto" w:fill="auto"/>
            <w:vAlign w:val="center"/>
          </w:tcPr>
          <w:p w14:paraId="25375108">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“三公”经费</w:t>
            </w:r>
          </w:p>
        </w:tc>
        <w:tc>
          <w:tcPr>
            <w:tcW w:w="1546" w:type="dxa"/>
            <w:tcBorders>
              <w:top w:val="single" w:color="auto" w:sz="4" w:space="0"/>
              <w:left w:val="single" w:color="auto" w:sz="4" w:space="0"/>
              <w:bottom w:val="single" w:color="auto" w:sz="4" w:space="0"/>
              <w:right w:val="single" w:color="auto" w:sz="4" w:space="0"/>
            </w:tcBorders>
            <w:shd w:val="clear" w:color="auto" w:fill="auto"/>
            <w:vAlign w:val="center"/>
          </w:tcPr>
          <w:p w14:paraId="7ED4C298">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lang w:val="en-US" w:eastAsia="zh-CN"/>
              </w:rPr>
            </w:pPr>
            <w:r>
              <w:rPr>
                <w:rFonts w:hint="default" w:ascii="Times New Roman Regular" w:hAnsi="Times New Roman Regular" w:eastAsia="仿宋_GB2312" w:cs="Times New Roman Regular"/>
                <w:color w:val="000000"/>
                <w:kern w:val="0"/>
                <w:sz w:val="22"/>
                <w:szCs w:val="22"/>
                <w:shd w:val="clear" w:color="auto" w:fill="FFFFFF"/>
                <w:lang w:val="en-US" w:eastAsia="zh-CN"/>
              </w:rPr>
              <w:t>24.3</w:t>
            </w:r>
          </w:p>
        </w:tc>
        <w:tc>
          <w:tcPr>
            <w:tcW w:w="1614" w:type="dxa"/>
            <w:tcBorders>
              <w:top w:val="single" w:color="auto" w:sz="4" w:space="0"/>
              <w:left w:val="single" w:color="auto" w:sz="4" w:space="0"/>
              <w:bottom w:val="single" w:color="auto" w:sz="4" w:space="0"/>
              <w:right w:val="single" w:color="auto" w:sz="4" w:space="0"/>
            </w:tcBorders>
            <w:shd w:val="clear" w:color="auto" w:fill="auto"/>
            <w:vAlign w:val="center"/>
          </w:tcPr>
          <w:p w14:paraId="0AEE5820">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lang w:val="en-US" w:eastAsia="zh-CN"/>
              </w:rPr>
            </w:pPr>
            <w:r>
              <w:rPr>
                <w:rFonts w:hint="default" w:ascii="Times New Roman Regular" w:hAnsi="Times New Roman Regular" w:eastAsia="仿宋_GB2312" w:cs="Times New Roman Regular"/>
                <w:color w:val="000000"/>
                <w:kern w:val="0"/>
                <w:sz w:val="22"/>
                <w:szCs w:val="22"/>
                <w:shd w:val="clear" w:color="auto" w:fill="FFFFFF"/>
                <w:lang w:val="en-US" w:eastAsia="zh-CN"/>
              </w:rPr>
              <w:t>24.34</w:t>
            </w:r>
          </w:p>
        </w:tc>
        <w:tc>
          <w:tcPr>
            <w:tcW w:w="706" w:type="dxa"/>
            <w:tcBorders>
              <w:top w:val="single" w:color="auto" w:sz="4" w:space="0"/>
              <w:left w:val="single" w:color="auto" w:sz="4" w:space="0"/>
              <w:bottom w:val="single" w:color="auto" w:sz="4" w:space="0"/>
              <w:right w:val="single" w:color="auto" w:sz="4" w:space="0"/>
            </w:tcBorders>
            <w:shd w:val="clear" w:color="auto" w:fill="auto"/>
            <w:vAlign w:val="center"/>
          </w:tcPr>
          <w:p w14:paraId="338A9F77">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lang w:val="en-US" w:eastAsia="zh-CN"/>
              </w:rPr>
              <w:t>减少</w:t>
            </w:r>
          </w:p>
        </w:tc>
        <w:tc>
          <w:tcPr>
            <w:tcW w:w="1708" w:type="dxa"/>
            <w:tcBorders>
              <w:top w:val="single" w:color="auto" w:sz="4" w:space="0"/>
              <w:left w:val="single" w:color="auto" w:sz="4" w:space="0"/>
              <w:bottom w:val="single" w:color="auto" w:sz="4" w:space="0"/>
              <w:right w:val="single" w:color="auto" w:sz="4" w:space="0"/>
            </w:tcBorders>
            <w:shd w:val="clear" w:color="auto" w:fill="auto"/>
            <w:vAlign w:val="center"/>
          </w:tcPr>
          <w:p w14:paraId="0E0230A8">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lang w:val="en-US" w:eastAsia="zh-CN"/>
              </w:rPr>
            </w:pPr>
            <w:r>
              <w:rPr>
                <w:rFonts w:hint="default" w:ascii="Times New Roman Regular" w:hAnsi="Times New Roman Regular" w:eastAsia="仿宋_GB2312" w:cs="Times New Roman Regular"/>
                <w:color w:val="000000"/>
                <w:kern w:val="0"/>
                <w:sz w:val="22"/>
                <w:szCs w:val="22"/>
                <w:shd w:val="clear" w:color="auto" w:fill="FFFFFF"/>
                <w:lang w:val="en-US" w:eastAsia="zh-CN"/>
              </w:rPr>
              <w:t>1.74</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523B9271">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lang w:val="en-US" w:eastAsia="zh-CN"/>
              </w:rPr>
            </w:pPr>
            <w:r>
              <w:rPr>
                <w:rFonts w:hint="default" w:ascii="Times New Roman Regular" w:hAnsi="Times New Roman Regular" w:eastAsia="仿宋_GB2312" w:cs="Times New Roman Regular"/>
                <w:color w:val="000000"/>
                <w:kern w:val="0"/>
                <w:sz w:val="22"/>
                <w:szCs w:val="22"/>
                <w:shd w:val="clear" w:color="auto" w:fill="FFFFFF"/>
                <w:lang w:val="en-US" w:eastAsia="zh-CN"/>
              </w:rPr>
              <w:t>1.77</w:t>
            </w:r>
          </w:p>
        </w:tc>
        <w:tc>
          <w:tcPr>
            <w:tcW w:w="787" w:type="dxa"/>
            <w:tcBorders>
              <w:top w:val="single" w:color="auto" w:sz="4" w:space="0"/>
              <w:left w:val="single" w:color="auto" w:sz="4" w:space="0"/>
              <w:bottom w:val="single" w:color="auto" w:sz="4" w:space="0"/>
              <w:right w:val="single" w:color="auto" w:sz="4" w:space="0"/>
            </w:tcBorders>
            <w:shd w:val="clear" w:color="auto" w:fill="auto"/>
            <w:vAlign w:val="center"/>
          </w:tcPr>
          <w:p w14:paraId="101BBFD7">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增加</w:t>
            </w:r>
          </w:p>
        </w:tc>
      </w:tr>
      <w:tr w14:paraId="111AD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45" w:type="dxa"/>
            <w:tcBorders>
              <w:top w:val="single" w:color="auto" w:sz="4" w:space="0"/>
              <w:left w:val="single" w:color="auto" w:sz="4" w:space="0"/>
              <w:bottom w:val="single" w:color="auto" w:sz="4" w:space="0"/>
              <w:right w:val="single" w:color="auto" w:sz="4" w:space="0"/>
            </w:tcBorders>
            <w:shd w:val="clear" w:color="auto" w:fill="auto"/>
            <w:vAlign w:val="center"/>
          </w:tcPr>
          <w:p w14:paraId="7F1B8D0F">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2</w:t>
            </w:r>
          </w:p>
        </w:tc>
        <w:tc>
          <w:tcPr>
            <w:tcW w:w="1374" w:type="dxa"/>
            <w:tcBorders>
              <w:top w:val="single" w:color="auto" w:sz="4" w:space="0"/>
              <w:left w:val="single" w:color="auto" w:sz="4" w:space="0"/>
              <w:bottom w:val="single" w:color="auto" w:sz="4" w:space="0"/>
              <w:right w:val="single" w:color="auto" w:sz="4" w:space="0"/>
            </w:tcBorders>
            <w:shd w:val="clear" w:color="auto" w:fill="auto"/>
            <w:vAlign w:val="center"/>
          </w:tcPr>
          <w:p w14:paraId="3B4F8B2D">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会议经费</w:t>
            </w:r>
          </w:p>
        </w:tc>
        <w:tc>
          <w:tcPr>
            <w:tcW w:w="1546" w:type="dxa"/>
            <w:tcBorders>
              <w:top w:val="single" w:color="auto" w:sz="4" w:space="0"/>
              <w:left w:val="single" w:color="auto" w:sz="4" w:space="0"/>
              <w:bottom w:val="single" w:color="auto" w:sz="4" w:space="0"/>
              <w:right w:val="single" w:color="auto" w:sz="4" w:space="0"/>
            </w:tcBorders>
            <w:shd w:val="clear" w:color="auto" w:fill="auto"/>
            <w:vAlign w:val="center"/>
          </w:tcPr>
          <w:p w14:paraId="094A40C4">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Times New Roman Regular" w:cs="Times New Roman Regular"/>
                <w:i w:val="0"/>
                <w:iCs w:val="0"/>
                <w:color w:val="000000"/>
                <w:kern w:val="0"/>
                <w:sz w:val="22"/>
                <w:szCs w:val="22"/>
                <w:u w:val="none"/>
                <w:lang w:val="en-US" w:eastAsia="zh-CN" w:bidi="ar"/>
              </w:rPr>
              <w:t>——</w:t>
            </w:r>
          </w:p>
        </w:tc>
        <w:tc>
          <w:tcPr>
            <w:tcW w:w="1614" w:type="dxa"/>
            <w:tcBorders>
              <w:top w:val="single" w:color="auto" w:sz="4" w:space="0"/>
              <w:left w:val="single" w:color="auto" w:sz="4" w:space="0"/>
              <w:bottom w:val="single" w:color="auto" w:sz="4" w:space="0"/>
              <w:right w:val="single" w:color="auto" w:sz="4" w:space="0"/>
            </w:tcBorders>
            <w:shd w:val="clear" w:color="auto" w:fill="auto"/>
            <w:vAlign w:val="center"/>
          </w:tcPr>
          <w:p w14:paraId="45620392">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Times New Roman Regular" w:cs="Times New Roman Regular"/>
                <w:i w:val="0"/>
                <w:iCs w:val="0"/>
                <w:color w:val="000000"/>
                <w:kern w:val="0"/>
                <w:sz w:val="22"/>
                <w:szCs w:val="22"/>
                <w:u w:val="none"/>
                <w:lang w:val="en-US" w:eastAsia="zh-CN" w:bidi="ar"/>
              </w:rPr>
              <w:t>——</w:t>
            </w:r>
          </w:p>
        </w:tc>
        <w:tc>
          <w:tcPr>
            <w:tcW w:w="706" w:type="dxa"/>
            <w:tcBorders>
              <w:top w:val="single" w:color="auto" w:sz="4" w:space="0"/>
              <w:left w:val="single" w:color="auto" w:sz="4" w:space="0"/>
              <w:bottom w:val="single" w:color="auto" w:sz="4" w:space="0"/>
              <w:right w:val="single" w:color="auto" w:sz="4" w:space="0"/>
            </w:tcBorders>
            <w:shd w:val="clear" w:color="auto" w:fill="auto"/>
            <w:vAlign w:val="center"/>
          </w:tcPr>
          <w:p w14:paraId="70881DDC">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持平</w:t>
            </w:r>
          </w:p>
        </w:tc>
        <w:tc>
          <w:tcPr>
            <w:tcW w:w="1708" w:type="dxa"/>
            <w:tcBorders>
              <w:top w:val="single" w:color="auto" w:sz="4" w:space="0"/>
              <w:left w:val="single" w:color="auto" w:sz="4" w:space="0"/>
              <w:bottom w:val="single" w:color="auto" w:sz="4" w:space="0"/>
              <w:right w:val="single" w:color="auto" w:sz="4" w:space="0"/>
            </w:tcBorders>
            <w:shd w:val="clear" w:color="auto" w:fill="auto"/>
            <w:vAlign w:val="center"/>
          </w:tcPr>
          <w:p w14:paraId="7E7B8BF9">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Times New Roman Regular" w:cs="Times New Roman Regular"/>
                <w:i w:val="0"/>
                <w:iCs w:val="0"/>
                <w:color w:val="000000"/>
                <w:kern w:val="0"/>
                <w:sz w:val="22"/>
                <w:szCs w:val="22"/>
                <w:u w:val="none"/>
                <w:lang w:val="en-US" w:eastAsia="zh-CN" w:bidi="ar"/>
              </w:rPr>
              <w:t>——</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3177EDAA">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Times New Roman Regular" w:cs="Times New Roman Regular"/>
                <w:i w:val="0"/>
                <w:iCs w:val="0"/>
                <w:color w:val="000000"/>
                <w:kern w:val="0"/>
                <w:sz w:val="22"/>
                <w:szCs w:val="22"/>
                <w:u w:val="none"/>
                <w:lang w:val="en-US" w:eastAsia="zh-CN" w:bidi="ar"/>
              </w:rPr>
              <w:t>——</w:t>
            </w:r>
          </w:p>
        </w:tc>
        <w:tc>
          <w:tcPr>
            <w:tcW w:w="787" w:type="dxa"/>
            <w:tcBorders>
              <w:top w:val="single" w:color="auto" w:sz="4" w:space="0"/>
              <w:left w:val="single" w:color="auto" w:sz="4" w:space="0"/>
              <w:bottom w:val="single" w:color="auto" w:sz="4" w:space="0"/>
              <w:right w:val="single" w:color="auto" w:sz="4" w:space="0"/>
            </w:tcBorders>
            <w:shd w:val="clear" w:color="auto" w:fill="auto"/>
            <w:vAlign w:val="center"/>
          </w:tcPr>
          <w:p w14:paraId="65ED6E5B">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持平</w:t>
            </w:r>
          </w:p>
        </w:tc>
      </w:tr>
      <w:tr w14:paraId="3F52D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45" w:type="dxa"/>
            <w:tcBorders>
              <w:top w:val="single" w:color="auto" w:sz="4" w:space="0"/>
              <w:left w:val="single" w:color="auto" w:sz="4" w:space="0"/>
              <w:bottom w:val="single" w:color="auto" w:sz="4" w:space="0"/>
              <w:right w:val="single" w:color="auto" w:sz="4" w:space="0"/>
            </w:tcBorders>
            <w:shd w:val="clear" w:color="auto" w:fill="auto"/>
            <w:vAlign w:val="center"/>
          </w:tcPr>
          <w:p w14:paraId="7A8D379D">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3</w:t>
            </w:r>
          </w:p>
        </w:tc>
        <w:tc>
          <w:tcPr>
            <w:tcW w:w="1374" w:type="dxa"/>
            <w:tcBorders>
              <w:top w:val="single" w:color="auto" w:sz="4" w:space="0"/>
              <w:left w:val="single" w:color="auto" w:sz="4" w:space="0"/>
              <w:bottom w:val="single" w:color="auto" w:sz="4" w:space="0"/>
              <w:right w:val="single" w:color="auto" w:sz="4" w:space="0"/>
            </w:tcBorders>
            <w:shd w:val="clear" w:color="auto" w:fill="auto"/>
            <w:vAlign w:val="center"/>
          </w:tcPr>
          <w:p w14:paraId="7397316C">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培训经费</w:t>
            </w:r>
          </w:p>
        </w:tc>
        <w:tc>
          <w:tcPr>
            <w:tcW w:w="1546" w:type="dxa"/>
            <w:tcBorders>
              <w:top w:val="single" w:color="auto" w:sz="4" w:space="0"/>
              <w:left w:val="single" w:color="auto" w:sz="4" w:space="0"/>
              <w:bottom w:val="single" w:color="auto" w:sz="4" w:space="0"/>
              <w:right w:val="single" w:color="auto" w:sz="4" w:space="0"/>
            </w:tcBorders>
            <w:shd w:val="clear" w:color="auto" w:fill="auto"/>
            <w:vAlign w:val="center"/>
          </w:tcPr>
          <w:p w14:paraId="50718B84">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lang w:val="en-US" w:eastAsia="zh-CN"/>
              </w:rPr>
            </w:pPr>
            <w:r>
              <w:rPr>
                <w:rFonts w:hint="default" w:ascii="Times New Roman Regular" w:hAnsi="Times New Roman Regular" w:eastAsia="仿宋_GB2312" w:cs="Times New Roman Regular"/>
                <w:color w:val="000000"/>
                <w:kern w:val="0"/>
                <w:sz w:val="22"/>
                <w:szCs w:val="22"/>
                <w:shd w:val="clear" w:color="auto" w:fill="FFFFFF"/>
                <w:lang w:val="en-US" w:eastAsia="zh-CN"/>
              </w:rPr>
              <w:t>9.78</w:t>
            </w:r>
          </w:p>
        </w:tc>
        <w:tc>
          <w:tcPr>
            <w:tcW w:w="1614" w:type="dxa"/>
            <w:tcBorders>
              <w:top w:val="single" w:color="auto" w:sz="4" w:space="0"/>
              <w:left w:val="single" w:color="auto" w:sz="4" w:space="0"/>
              <w:bottom w:val="single" w:color="auto" w:sz="4" w:space="0"/>
              <w:right w:val="single" w:color="auto" w:sz="4" w:space="0"/>
            </w:tcBorders>
            <w:shd w:val="clear" w:color="auto" w:fill="auto"/>
            <w:vAlign w:val="center"/>
          </w:tcPr>
          <w:p w14:paraId="298DA839">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lang w:val="en-US" w:eastAsia="zh-CN"/>
              </w:rPr>
            </w:pPr>
            <w:r>
              <w:rPr>
                <w:rFonts w:hint="default" w:ascii="Times New Roman Regular" w:hAnsi="Times New Roman Regular" w:eastAsia="仿宋_GB2312" w:cs="Times New Roman Regular"/>
                <w:color w:val="000000"/>
                <w:kern w:val="0"/>
                <w:sz w:val="22"/>
                <w:szCs w:val="22"/>
                <w:shd w:val="clear" w:color="auto" w:fill="FFFFFF"/>
                <w:lang w:val="en-US" w:eastAsia="zh-CN"/>
              </w:rPr>
              <w:t>9.78</w:t>
            </w:r>
          </w:p>
        </w:tc>
        <w:tc>
          <w:tcPr>
            <w:tcW w:w="706" w:type="dxa"/>
            <w:tcBorders>
              <w:top w:val="single" w:color="auto" w:sz="4" w:space="0"/>
              <w:left w:val="single" w:color="auto" w:sz="4" w:space="0"/>
              <w:bottom w:val="single" w:color="auto" w:sz="4" w:space="0"/>
              <w:right w:val="single" w:color="auto" w:sz="4" w:space="0"/>
            </w:tcBorders>
            <w:shd w:val="clear" w:color="auto" w:fill="auto"/>
            <w:vAlign w:val="center"/>
          </w:tcPr>
          <w:p w14:paraId="13146D1B">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持平</w:t>
            </w:r>
          </w:p>
        </w:tc>
        <w:tc>
          <w:tcPr>
            <w:tcW w:w="1708" w:type="dxa"/>
            <w:tcBorders>
              <w:top w:val="single" w:color="auto" w:sz="4" w:space="0"/>
              <w:left w:val="single" w:color="auto" w:sz="4" w:space="0"/>
              <w:bottom w:val="single" w:color="auto" w:sz="4" w:space="0"/>
              <w:right w:val="single" w:color="auto" w:sz="4" w:space="0"/>
            </w:tcBorders>
            <w:shd w:val="clear" w:color="auto" w:fill="auto"/>
            <w:vAlign w:val="center"/>
          </w:tcPr>
          <w:p w14:paraId="2A91D486">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lang w:val="en-US" w:eastAsia="zh-CN"/>
              </w:rPr>
            </w:pPr>
            <w:r>
              <w:rPr>
                <w:rFonts w:hint="default" w:ascii="Times New Roman Regular" w:hAnsi="Times New Roman Regular" w:eastAsia="仿宋_GB2312" w:cs="Times New Roman Regular"/>
                <w:color w:val="000000"/>
                <w:kern w:val="0"/>
                <w:sz w:val="22"/>
                <w:szCs w:val="22"/>
                <w:shd w:val="clear" w:color="auto" w:fill="FFFFFF"/>
                <w:lang w:val="en-US" w:eastAsia="zh-CN"/>
              </w:rPr>
              <w:t>2.02</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4C66494A">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lang w:val="en-US" w:eastAsia="zh-CN"/>
              </w:rPr>
            </w:pPr>
            <w:r>
              <w:rPr>
                <w:rFonts w:hint="default" w:ascii="Times New Roman Regular" w:hAnsi="Times New Roman Regular" w:eastAsia="仿宋_GB2312" w:cs="Times New Roman Regular"/>
                <w:color w:val="000000"/>
                <w:kern w:val="0"/>
                <w:sz w:val="22"/>
                <w:szCs w:val="22"/>
                <w:shd w:val="clear" w:color="auto" w:fill="FFFFFF"/>
                <w:lang w:val="en-US" w:eastAsia="zh-CN"/>
              </w:rPr>
              <w:t>3</w:t>
            </w:r>
          </w:p>
        </w:tc>
        <w:tc>
          <w:tcPr>
            <w:tcW w:w="787" w:type="dxa"/>
            <w:tcBorders>
              <w:top w:val="single" w:color="auto" w:sz="4" w:space="0"/>
              <w:left w:val="single" w:color="auto" w:sz="4" w:space="0"/>
              <w:bottom w:val="single" w:color="auto" w:sz="4" w:space="0"/>
              <w:right w:val="single" w:color="auto" w:sz="4" w:space="0"/>
            </w:tcBorders>
            <w:shd w:val="clear" w:color="auto" w:fill="auto"/>
            <w:vAlign w:val="center"/>
          </w:tcPr>
          <w:p w14:paraId="0C80969E">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增加</w:t>
            </w:r>
          </w:p>
        </w:tc>
      </w:tr>
      <w:tr w14:paraId="74FC4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45" w:type="dxa"/>
            <w:tcBorders>
              <w:top w:val="single" w:color="auto" w:sz="4" w:space="0"/>
              <w:left w:val="single" w:color="auto" w:sz="4" w:space="0"/>
              <w:bottom w:val="single" w:color="auto" w:sz="4" w:space="0"/>
              <w:right w:val="single" w:color="auto" w:sz="4" w:space="0"/>
            </w:tcBorders>
            <w:shd w:val="clear" w:color="auto" w:fill="auto"/>
            <w:vAlign w:val="center"/>
          </w:tcPr>
          <w:p w14:paraId="11A05959">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4</w:t>
            </w:r>
          </w:p>
        </w:tc>
        <w:tc>
          <w:tcPr>
            <w:tcW w:w="1374" w:type="dxa"/>
            <w:tcBorders>
              <w:top w:val="single" w:color="auto" w:sz="4" w:space="0"/>
              <w:left w:val="single" w:color="auto" w:sz="4" w:space="0"/>
              <w:bottom w:val="single" w:color="auto" w:sz="4" w:space="0"/>
              <w:right w:val="single" w:color="auto" w:sz="4" w:space="0"/>
            </w:tcBorders>
            <w:shd w:val="clear" w:color="auto" w:fill="auto"/>
            <w:vAlign w:val="center"/>
          </w:tcPr>
          <w:p w14:paraId="69FDD1C4">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差旅经费</w:t>
            </w:r>
          </w:p>
        </w:tc>
        <w:tc>
          <w:tcPr>
            <w:tcW w:w="1546" w:type="dxa"/>
            <w:tcBorders>
              <w:top w:val="single" w:color="auto" w:sz="4" w:space="0"/>
              <w:left w:val="single" w:color="auto" w:sz="4" w:space="0"/>
              <w:bottom w:val="single" w:color="auto" w:sz="4" w:space="0"/>
              <w:right w:val="single" w:color="auto" w:sz="4" w:space="0"/>
            </w:tcBorders>
            <w:shd w:val="clear" w:color="auto" w:fill="auto"/>
            <w:vAlign w:val="center"/>
          </w:tcPr>
          <w:p w14:paraId="34680C57">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lang w:val="en-US" w:eastAsia="zh-CN"/>
              </w:rPr>
            </w:pPr>
            <w:r>
              <w:rPr>
                <w:rFonts w:hint="default" w:ascii="Times New Roman Regular" w:hAnsi="Times New Roman Regular" w:eastAsia="仿宋_GB2312" w:cs="Times New Roman Regular"/>
                <w:color w:val="000000"/>
                <w:kern w:val="0"/>
                <w:sz w:val="22"/>
                <w:szCs w:val="22"/>
                <w:shd w:val="clear" w:color="auto" w:fill="FFFFFF"/>
                <w:lang w:val="en-US" w:eastAsia="zh-CN"/>
              </w:rPr>
              <w:t>23.28</w:t>
            </w:r>
          </w:p>
        </w:tc>
        <w:tc>
          <w:tcPr>
            <w:tcW w:w="1614" w:type="dxa"/>
            <w:tcBorders>
              <w:top w:val="single" w:color="auto" w:sz="4" w:space="0"/>
              <w:left w:val="single" w:color="auto" w:sz="4" w:space="0"/>
              <w:bottom w:val="single" w:color="auto" w:sz="4" w:space="0"/>
              <w:right w:val="single" w:color="auto" w:sz="4" w:space="0"/>
            </w:tcBorders>
            <w:shd w:val="clear" w:color="auto" w:fill="auto"/>
            <w:vAlign w:val="center"/>
          </w:tcPr>
          <w:p w14:paraId="6F4F4275">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lang w:val="en-US" w:eastAsia="zh-CN"/>
              </w:rPr>
            </w:pPr>
            <w:r>
              <w:rPr>
                <w:rFonts w:hint="default" w:ascii="Times New Roman Regular" w:hAnsi="Times New Roman Regular" w:eastAsia="仿宋_GB2312" w:cs="Times New Roman Regular"/>
                <w:color w:val="000000"/>
                <w:kern w:val="0"/>
                <w:sz w:val="22"/>
                <w:szCs w:val="22"/>
                <w:shd w:val="clear" w:color="auto" w:fill="FFFFFF"/>
                <w:lang w:val="en-US" w:eastAsia="zh-CN"/>
              </w:rPr>
              <w:t>21.38</w:t>
            </w:r>
          </w:p>
        </w:tc>
        <w:tc>
          <w:tcPr>
            <w:tcW w:w="706" w:type="dxa"/>
            <w:tcBorders>
              <w:top w:val="single" w:color="auto" w:sz="4" w:space="0"/>
              <w:left w:val="single" w:color="auto" w:sz="4" w:space="0"/>
              <w:bottom w:val="single" w:color="auto" w:sz="4" w:space="0"/>
              <w:right w:val="single" w:color="auto" w:sz="4" w:space="0"/>
            </w:tcBorders>
            <w:shd w:val="clear" w:color="auto" w:fill="auto"/>
            <w:vAlign w:val="center"/>
          </w:tcPr>
          <w:p w14:paraId="399929FF">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lang w:eastAsia="zh-CN"/>
              </w:rPr>
            </w:pPr>
            <w:r>
              <w:rPr>
                <w:rFonts w:hint="default" w:ascii="Times New Roman Regular" w:hAnsi="Times New Roman Regular" w:eastAsia="仿宋_GB2312" w:cs="Times New Roman Regular"/>
                <w:color w:val="000000"/>
                <w:kern w:val="0"/>
                <w:sz w:val="22"/>
                <w:szCs w:val="22"/>
                <w:shd w:val="clear" w:color="auto" w:fill="FFFFFF"/>
                <w:lang w:val="en-US" w:eastAsia="zh-CN"/>
              </w:rPr>
              <w:t>减少</w:t>
            </w:r>
          </w:p>
        </w:tc>
        <w:tc>
          <w:tcPr>
            <w:tcW w:w="1708" w:type="dxa"/>
            <w:tcBorders>
              <w:top w:val="single" w:color="auto" w:sz="4" w:space="0"/>
              <w:left w:val="single" w:color="auto" w:sz="4" w:space="0"/>
              <w:bottom w:val="single" w:color="auto" w:sz="4" w:space="0"/>
              <w:right w:val="single" w:color="auto" w:sz="4" w:space="0"/>
            </w:tcBorders>
            <w:shd w:val="clear" w:color="auto" w:fill="auto"/>
            <w:vAlign w:val="center"/>
          </w:tcPr>
          <w:p w14:paraId="74808D5F">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lang w:val="en-US" w:eastAsia="zh-CN"/>
              </w:rPr>
            </w:pPr>
            <w:r>
              <w:rPr>
                <w:rFonts w:hint="default" w:ascii="Times New Roman Regular" w:hAnsi="Times New Roman Regular" w:eastAsia="仿宋_GB2312" w:cs="Times New Roman Regular"/>
                <w:color w:val="000000"/>
                <w:kern w:val="0"/>
                <w:sz w:val="22"/>
                <w:szCs w:val="22"/>
                <w:shd w:val="clear" w:color="auto" w:fill="FFFFFF"/>
                <w:lang w:val="en-US" w:eastAsia="zh-CN"/>
              </w:rPr>
              <w:t>171.79</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4AE7F523">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lang w:val="en-US" w:eastAsia="zh-CN"/>
              </w:rPr>
            </w:pPr>
            <w:r>
              <w:rPr>
                <w:rFonts w:hint="default" w:ascii="Times New Roman Regular" w:hAnsi="Times New Roman Regular" w:eastAsia="仿宋_GB2312" w:cs="Times New Roman Regular"/>
                <w:color w:val="000000"/>
                <w:kern w:val="0"/>
                <w:sz w:val="22"/>
                <w:szCs w:val="22"/>
                <w:shd w:val="clear" w:color="auto" w:fill="FFFFFF"/>
                <w:lang w:val="en-US" w:eastAsia="zh-CN"/>
              </w:rPr>
              <w:t>177.89</w:t>
            </w:r>
          </w:p>
        </w:tc>
        <w:tc>
          <w:tcPr>
            <w:tcW w:w="787" w:type="dxa"/>
            <w:tcBorders>
              <w:top w:val="single" w:color="auto" w:sz="4" w:space="0"/>
              <w:left w:val="single" w:color="auto" w:sz="4" w:space="0"/>
              <w:bottom w:val="single" w:color="auto" w:sz="4" w:space="0"/>
              <w:right w:val="single" w:color="auto" w:sz="4" w:space="0"/>
            </w:tcBorders>
            <w:shd w:val="clear" w:color="auto" w:fill="auto"/>
            <w:vAlign w:val="center"/>
          </w:tcPr>
          <w:p w14:paraId="4259E207">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增加</w:t>
            </w:r>
          </w:p>
        </w:tc>
      </w:tr>
      <w:tr w14:paraId="4097D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45" w:type="dxa"/>
            <w:tcBorders>
              <w:top w:val="single" w:color="auto" w:sz="4" w:space="0"/>
              <w:left w:val="single" w:color="auto" w:sz="4" w:space="0"/>
              <w:bottom w:val="single" w:color="auto" w:sz="4" w:space="0"/>
              <w:right w:val="single" w:color="auto" w:sz="4" w:space="0"/>
            </w:tcBorders>
            <w:shd w:val="clear" w:color="auto" w:fill="auto"/>
            <w:vAlign w:val="center"/>
          </w:tcPr>
          <w:p w14:paraId="7070626F">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5</w:t>
            </w:r>
          </w:p>
        </w:tc>
        <w:tc>
          <w:tcPr>
            <w:tcW w:w="1374" w:type="dxa"/>
            <w:tcBorders>
              <w:top w:val="single" w:color="auto" w:sz="4" w:space="0"/>
              <w:left w:val="single" w:color="auto" w:sz="4" w:space="0"/>
              <w:bottom w:val="single" w:color="auto" w:sz="4" w:space="0"/>
              <w:right w:val="single" w:color="auto" w:sz="4" w:space="0"/>
            </w:tcBorders>
            <w:shd w:val="clear" w:color="auto" w:fill="auto"/>
            <w:vAlign w:val="center"/>
          </w:tcPr>
          <w:p w14:paraId="63B03EA0">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办节办展</w:t>
            </w:r>
          </w:p>
          <w:p w14:paraId="7899B5C4">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经费</w:t>
            </w:r>
          </w:p>
        </w:tc>
        <w:tc>
          <w:tcPr>
            <w:tcW w:w="1546" w:type="dxa"/>
            <w:tcBorders>
              <w:top w:val="single" w:color="auto" w:sz="4" w:space="0"/>
              <w:left w:val="single" w:color="auto" w:sz="4" w:space="0"/>
              <w:bottom w:val="single" w:color="auto" w:sz="4" w:space="0"/>
              <w:right w:val="single" w:color="auto" w:sz="4" w:space="0"/>
            </w:tcBorders>
            <w:shd w:val="clear" w:color="auto" w:fill="auto"/>
            <w:vAlign w:val="center"/>
          </w:tcPr>
          <w:p w14:paraId="5DC1576D">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Times New Roman Regular" w:cs="Times New Roman Regular"/>
                <w:i w:val="0"/>
                <w:iCs w:val="0"/>
                <w:color w:val="000000"/>
                <w:kern w:val="0"/>
                <w:sz w:val="22"/>
                <w:szCs w:val="22"/>
                <w:u w:val="none"/>
                <w:lang w:val="en-US" w:eastAsia="zh-CN" w:bidi="ar"/>
              </w:rPr>
              <w:t>——</w:t>
            </w:r>
          </w:p>
        </w:tc>
        <w:tc>
          <w:tcPr>
            <w:tcW w:w="1614" w:type="dxa"/>
            <w:tcBorders>
              <w:top w:val="single" w:color="auto" w:sz="4" w:space="0"/>
              <w:left w:val="single" w:color="auto" w:sz="4" w:space="0"/>
              <w:bottom w:val="single" w:color="auto" w:sz="4" w:space="0"/>
              <w:right w:val="single" w:color="auto" w:sz="4" w:space="0"/>
            </w:tcBorders>
            <w:shd w:val="clear" w:color="auto" w:fill="auto"/>
            <w:vAlign w:val="center"/>
          </w:tcPr>
          <w:p w14:paraId="3F490B1C">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Times New Roman Regular" w:cs="Times New Roman Regular"/>
                <w:i w:val="0"/>
                <w:iCs w:val="0"/>
                <w:color w:val="000000"/>
                <w:kern w:val="0"/>
                <w:sz w:val="22"/>
                <w:szCs w:val="22"/>
                <w:u w:val="none"/>
                <w:lang w:val="en-US" w:eastAsia="zh-CN" w:bidi="ar"/>
              </w:rPr>
              <w:t>——</w:t>
            </w:r>
          </w:p>
        </w:tc>
        <w:tc>
          <w:tcPr>
            <w:tcW w:w="706" w:type="dxa"/>
            <w:tcBorders>
              <w:top w:val="single" w:color="auto" w:sz="4" w:space="0"/>
              <w:left w:val="single" w:color="auto" w:sz="4" w:space="0"/>
              <w:bottom w:val="single" w:color="auto" w:sz="4" w:space="0"/>
              <w:right w:val="single" w:color="auto" w:sz="4" w:space="0"/>
            </w:tcBorders>
            <w:shd w:val="clear" w:color="auto" w:fill="auto"/>
            <w:vAlign w:val="center"/>
          </w:tcPr>
          <w:p w14:paraId="31FBB84F">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持平</w:t>
            </w:r>
          </w:p>
        </w:tc>
        <w:tc>
          <w:tcPr>
            <w:tcW w:w="1708" w:type="dxa"/>
            <w:tcBorders>
              <w:top w:val="single" w:color="auto" w:sz="4" w:space="0"/>
              <w:left w:val="single" w:color="auto" w:sz="4" w:space="0"/>
              <w:bottom w:val="single" w:color="auto" w:sz="4" w:space="0"/>
              <w:right w:val="single" w:color="auto" w:sz="4" w:space="0"/>
            </w:tcBorders>
            <w:shd w:val="clear" w:color="auto" w:fill="auto"/>
            <w:vAlign w:val="center"/>
          </w:tcPr>
          <w:p w14:paraId="303BDBBC">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Times New Roman Regular" w:cs="Times New Roman Regular"/>
                <w:i w:val="0"/>
                <w:iCs w:val="0"/>
                <w:color w:val="000000"/>
                <w:kern w:val="0"/>
                <w:sz w:val="22"/>
                <w:szCs w:val="22"/>
                <w:u w:val="none"/>
                <w:lang w:val="en-US" w:eastAsia="zh-CN" w:bidi="ar"/>
              </w:rPr>
              <w:t>——</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5842442B">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Times New Roman Regular" w:cs="Times New Roman Regular"/>
                <w:i w:val="0"/>
                <w:iCs w:val="0"/>
                <w:color w:val="000000"/>
                <w:kern w:val="0"/>
                <w:sz w:val="22"/>
                <w:szCs w:val="22"/>
                <w:u w:val="none"/>
                <w:lang w:val="en-US" w:eastAsia="zh-CN" w:bidi="ar"/>
              </w:rPr>
              <w:t>——</w:t>
            </w:r>
          </w:p>
        </w:tc>
        <w:tc>
          <w:tcPr>
            <w:tcW w:w="787" w:type="dxa"/>
            <w:tcBorders>
              <w:top w:val="single" w:color="auto" w:sz="4" w:space="0"/>
              <w:left w:val="single" w:color="auto" w:sz="4" w:space="0"/>
              <w:bottom w:val="single" w:color="auto" w:sz="4" w:space="0"/>
              <w:right w:val="single" w:color="auto" w:sz="4" w:space="0"/>
            </w:tcBorders>
            <w:shd w:val="clear" w:color="auto" w:fill="auto"/>
            <w:vAlign w:val="center"/>
          </w:tcPr>
          <w:p w14:paraId="62F1BD9E">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持平</w:t>
            </w:r>
          </w:p>
        </w:tc>
      </w:tr>
      <w:tr w14:paraId="44BA2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345" w:type="dxa"/>
            <w:tcBorders>
              <w:top w:val="single" w:color="auto" w:sz="4" w:space="0"/>
              <w:left w:val="single" w:color="auto" w:sz="4" w:space="0"/>
              <w:bottom w:val="single" w:color="auto" w:sz="4" w:space="0"/>
              <w:right w:val="single" w:color="auto" w:sz="4" w:space="0"/>
            </w:tcBorders>
            <w:shd w:val="clear" w:color="auto" w:fill="auto"/>
            <w:vAlign w:val="center"/>
          </w:tcPr>
          <w:p w14:paraId="0CEE7EF1">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6</w:t>
            </w:r>
          </w:p>
        </w:tc>
        <w:tc>
          <w:tcPr>
            <w:tcW w:w="1374" w:type="dxa"/>
            <w:tcBorders>
              <w:top w:val="single" w:color="auto" w:sz="4" w:space="0"/>
              <w:left w:val="single" w:color="auto" w:sz="4" w:space="0"/>
              <w:bottom w:val="single" w:color="auto" w:sz="4" w:space="0"/>
              <w:right w:val="single" w:color="auto" w:sz="4" w:space="0"/>
            </w:tcBorders>
            <w:shd w:val="clear" w:color="auto" w:fill="auto"/>
            <w:vAlign w:val="center"/>
          </w:tcPr>
          <w:p w14:paraId="619A038D">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办公设备</w:t>
            </w:r>
          </w:p>
          <w:p w14:paraId="2DF2ACB2">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购置经费</w:t>
            </w:r>
          </w:p>
        </w:tc>
        <w:tc>
          <w:tcPr>
            <w:tcW w:w="1546" w:type="dxa"/>
            <w:tcBorders>
              <w:top w:val="single" w:color="auto" w:sz="4" w:space="0"/>
              <w:left w:val="single" w:color="auto" w:sz="4" w:space="0"/>
              <w:bottom w:val="single" w:color="auto" w:sz="4" w:space="0"/>
              <w:right w:val="single" w:color="auto" w:sz="4" w:space="0"/>
            </w:tcBorders>
            <w:shd w:val="clear" w:color="auto" w:fill="auto"/>
            <w:vAlign w:val="center"/>
          </w:tcPr>
          <w:p w14:paraId="5A7510A7">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Times New Roman Regular" w:cs="Times New Roman Regular"/>
                <w:i w:val="0"/>
                <w:iCs w:val="0"/>
                <w:color w:val="000000"/>
                <w:kern w:val="0"/>
                <w:sz w:val="22"/>
                <w:szCs w:val="22"/>
                <w:u w:val="none"/>
                <w:lang w:val="en-US" w:eastAsia="zh-CN" w:bidi="ar"/>
              </w:rPr>
              <w:t>——</w:t>
            </w:r>
          </w:p>
        </w:tc>
        <w:tc>
          <w:tcPr>
            <w:tcW w:w="1614" w:type="dxa"/>
            <w:tcBorders>
              <w:top w:val="single" w:color="auto" w:sz="4" w:space="0"/>
              <w:left w:val="single" w:color="auto" w:sz="4" w:space="0"/>
              <w:bottom w:val="single" w:color="auto" w:sz="4" w:space="0"/>
              <w:right w:val="single" w:color="auto" w:sz="4" w:space="0"/>
            </w:tcBorders>
            <w:shd w:val="clear" w:color="auto" w:fill="auto"/>
            <w:vAlign w:val="center"/>
          </w:tcPr>
          <w:p w14:paraId="7708D660">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Times New Roman Regular" w:cs="Times New Roman Regular"/>
                <w:i w:val="0"/>
                <w:iCs w:val="0"/>
                <w:color w:val="000000"/>
                <w:kern w:val="0"/>
                <w:sz w:val="22"/>
                <w:szCs w:val="22"/>
                <w:u w:val="none"/>
                <w:lang w:val="en-US" w:eastAsia="zh-CN" w:bidi="ar"/>
              </w:rPr>
              <w:t>——</w:t>
            </w:r>
          </w:p>
        </w:tc>
        <w:tc>
          <w:tcPr>
            <w:tcW w:w="706" w:type="dxa"/>
            <w:tcBorders>
              <w:top w:val="single" w:color="auto" w:sz="4" w:space="0"/>
              <w:left w:val="single" w:color="auto" w:sz="4" w:space="0"/>
              <w:bottom w:val="single" w:color="auto" w:sz="4" w:space="0"/>
              <w:right w:val="single" w:color="auto" w:sz="4" w:space="0"/>
            </w:tcBorders>
            <w:shd w:val="clear" w:color="auto" w:fill="auto"/>
            <w:vAlign w:val="center"/>
          </w:tcPr>
          <w:p w14:paraId="6ACCF944">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持平</w:t>
            </w:r>
          </w:p>
        </w:tc>
        <w:tc>
          <w:tcPr>
            <w:tcW w:w="1708" w:type="dxa"/>
            <w:tcBorders>
              <w:top w:val="single" w:color="auto" w:sz="4" w:space="0"/>
              <w:left w:val="single" w:color="auto" w:sz="4" w:space="0"/>
              <w:bottom w:val="single" w:color="auto" w:sz="4" w:space="0"/>
              <w:right w:val="single" w:color="auto" w:sz="4" w:space="0"/>
            </w:tcBorders>
            <w:shd w:val="clear" w:color="auto" w:fill="auto"/>
            <w:vAlign w:val="center"/>
          </w:tcPr>
          <w:p w14:paraId="30C708BD">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lang w:val="en-US" w:eastAsia="zh-CN"/>
              </w:rPr>
            </w:pPr>
            <w:r>
              <w:rPr>
                <w:rFonts w:hint="default" w:ascii="Times New Roman Regular" w:hAnsi="Times New Roman Regular" w:eastAsia="仿宋_GB2312" w:cs="Times New Roman Regular"/>
                <w:color w:val="000000"/>
                <w:kern w:val="0"/>
                <w:sz w:val="22"/>
                <w:szCs w:val="22"/>
                <w:shd w:val="clear" w:color="auto" w:fill="FFFFFF"/>
                <w:lang w:val="en-US" w:eastAsia="zh-CN"/>
              </w:rPr>
              <w:t>88.88</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3810A5E1">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lang w:val="en-US" w:eastAsia="zh-CN"/>
              </w:rPr>
            </w:pPr>
            <w:r>
              <w:rPr>
                <w:rFonts w:hint="default" w:ascii="Times New Roman Regular" w:hAnsi="Times New Roman Regular" w:eastAsia="仿宋_GB2312" w:cs="Times New Roman Regular"/>
                <w:color w:val="000000"/>
                <w:kern w:val="0"/>
                <w:sz w:val="22"/>
                <w:szCs w:val="22"/>
                <w:shd w:val="clear" w:color="auto" w:fill="FFFFFF"/>
                <w:lang w:val="en-US" w:eastAsia="zh-CN"/>
              </w:rPr>
              <w:t>153.90</w:t>
            </w:r>
          </w:p>
        </w:tc>
        <w:tc>
          <w:tcPr>
            <w:tcW w:w="787" w:type="dxa"/>
            <w:tcBorders>
              <w:top w:val="single" w:color="auto" w:sz="4" w:space="0"/>
              <w:left w:val="single" w:color="auto" w:sz="4" w:space="0"/>
              <w:bottom w:val="single" w:color="auto" w:sz="4" w:space="0"/>
              <w:right w:val="single" w:color="auto" w:sz="4" w:space="0"/>
            </w:tcBorders>
            <w:shd w:val="clear" w:color="auto" w:fill="auto"/>
            <w:vAlign w:val="center"/>
          </w:tcPr>
          <w:p w14:paraId="6678587A">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增加</w:t>
            </w:r>
          </w:p>
        </w:tc>
      </w:tr>
      <w:tr w14:paraId="08F13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345" w:type="dxa"/>
            <w:tcBorders>
              <w:top w:val="single" w:color="auto" w:sz="4" w:space="0"/>
              <w:left w:val="single" w:color="auto" w:sz="4" w:space="0"/>
              <w:bottom w:val="single" w:color="auto" w:sz="4" w:space="0"/>
              <w:right w:val="single" w:color="auto" w:sz="4" w:space="0"/>
            </w:tcBorders>
            <w:shd w:val="clear" w:color="auto" w:fill="auto"/>
            <w:vAlign w:val="center"/>
          </w:tcPr>
          <w:p w14:paraId="5B5EDBB1">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7</w:t>
            </w:r>
          </w:p>
        </w:tc>
        <w:tc>
          <w:tcPr>
            <w:tcW w:w="1374" w:type="dxa"/>
            <w:tcBorders>
              <w:top w:val="single" w:color="auto" w:sz="4" w:space="0"/>
              <w:left w:val="single" w:color="auto" w:sz="4" w:space="0"/>
              <w:bottom w:val="single" w:color="auto" w:sz="4" w:space="0"/>
              <w:right w:val="single" w:color="auto" w:sz="4" w:space="0"/>
            </w:tcBorders>
            <w:shd w:val="clear" w:color="auto" w:fill="auto"/>
            <w:vAlign w:val="center"/>
          </w:tcPr>
          <w:p w14:paraId="4A6E14A3">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信息网络及软件购置更新经费</w:t>
            </w:r>
          </w:p>
        </w:tc>
        <w:tc>
          <w:tcPr>
            <w:tcW w:w="1546" w:type="dxa"/>
            <w:tcBorders>
              <w:top w:val="single" w:color="auto" w:sz="4" w:space="0"/>
              <w:left w:val="single" w:color="auto" w:sz="4" w:space="0"/>
              <w:bottom w:val="single" w:color="auto" w:sz="4" w:space="0"/>
              <w:right w:val="single" w:color="auto" w:sz="4" w:space="0"/>
            </w:tcBorders>
            <w:shd w:val="clear" w:color="auto" w:fill="auto"/>
            <w:vAlign w:val="center"/>
          </w:tcPr>
          <w:p w14:paraId="5DAF583D">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Times New Roman Regular" w:cs="Times New Roman Regular"/>
                <w:i w:val="0"/>
                <w:iCs w:val="0"/>
                <w:color w:val="000000"/>
                <w:kern w:val="0"/>
                <w:sz w:val="22"/>
                <w:szCs w:val="22"/>
                <w:u w:val="none"/>
                <w:lang w:val="en-US" w:eastAsia="zh-CN" w:bidi="ar"/>
              </w:rPr>
              <w:t>——</w:t>
            </w:r>
          </w:p>
        </w:tc>
        <w:tc>
          <w:tcPr>
            <w:tcW w:w="1614" w:type="dxa"/>
            <w:tcBorders>
              <w:top w:val="single" w:color="auto" w:sz="4" w:space="0"/>
              <w:left w:val="single" w:color="auto" w:sz="4" w:space="0"/>
              <w:bottom w:val="single" w:color="auto" w:sz="4" w:space="0"/>
              <w:right w:val="single" w:color="auto" w:sz="4" w:space="0"/>
            </w:tcBorders>
            <w:shd w:val="clear" w:color="auto" w:fill="auto"/>
            <w:vAlign w:val="center"/>
          </w:tcPr>
          <w:p w14:paraId="1B99FDA9">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Times New Roman Regular" w:cs="Times New Roman Regular"/>
                <w:i w:val="0"/>
                <w:iCs w:val="0"/>
                <w:color w:val="000000"/>
                <w:kern w:val="0"/>
                <w:sz w:val="22"/>
                <w:szCs w:val="22"/>
                <w:u w:val="none"/>
                <w:lang w:val="en-US" w:eastAsia="zh-CN" w:bidi="ar"/>
              </w:rPr>
              <w:t>——</w:t>
            </w:r>
          </w:p>
        </w:tc>
        <w:tc>
          <w:tcPr>
            <w:tcW w:w="706" w:type="dxa"/>
            <w:tcBorders>
              <w:top w:val="single" w:color="auto" w:sz="4" w:space="0"/>
              <w:left w:val="single" w:color="auto" w:sz="4" w:space="0"/>
              <w:bottom w:val="single" w:color="auto" w:sz="4" w:space="0"/>
              <w:right w:val="single" w:color="auto" w:sz="4" w:space="0"/>
            </w:tcBorders>
            <w:shd w:val="clear" w:color="auto" w:fill="auto"/>
            <w:vAlign w:val="center"/>
          </w:tcPr>
          <w:p w14:paraId="3EB134DA">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i w:val="0"/>
                <w:iCs w:val="0"/>
                <w:color w:val="000000"/>
                <w:kern w:val="0"/>
                <w:sz w:val="22"/>
                <w:szCs w:val="22"/>
                <w:u w:val="none"/>
                <w:lang w:val="en-US" w:eastAsia="zh-CN" w:bidi="ar"/>
              </w:rPr>
              <w:t>持平</w:t>
            </w:r>
          </w:p>
        </w:tc>
        <w:tc>
          <w:tcPr>
            <w:tcW w:w="1708" w:type="dxa"/>
            <w:tcBorders>
              <w:top w:val="single" w:color="auto" w:sz="4" w:space="0"/>
              <w:left w:val="single" w:color="auto" w:sz="4" w:space="0"/>
              <w:bottom w:val="single" w:color="auto" w:sz="4" w:space="0"/>
              <w:right w:val="single" w:color="auto" w:sz="4" w:space="0"/>
            </w:tcBorders>
            <w:shd w:val="clear" w:color="auto" w:fill="auto"/>
            <w:vAlign w:val="center"/>
          </w:tcPr>
          <w:p w14:paraId="432F7281">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Times New Roman Regular" w:cs="Times New Roman Regular"/>
                <w:i w:val="0"/>
                <w:iCs w:val="0"/>
                <w:color w:val="000000"/>
                <w:kern w:val="0"/>
                <w:sz w:val="22"/>
                <w:szCs w:val="22"/>
                <w:u w:val="none"/>
                <w:lang w:val="en-US" w:eastAsia="zh-CN" w:bidi="ar"/>
              </w:rPr>
              <w:t>——</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469238D1">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Times New Roman Regular" w:cs="Times New Roman Regular"/>
                <w:i w:val="0"/>
                <w:iCs w:val="0"/>
                <w:color w:val="000000"/>
                <w:kern w:val="0"/>
                <w:sz w:val="22"/>
                <w:szCs w:val="22"/>
                <w:u w:val="none"/>
                <w:lang w:val="en-US" w:eastAsia="zh-CN" w:bidi="ar"/>
              </w:rPr>
              <w:t>——</w:t>
            </w:r>
          </w:p>
        </w:tc>
        <w:tc>
          <w:tcPr>
            <w:tcW w:w="787" w:type="dxa"/>
            <w:tcBorders>
              <w:top w:val="single" w:color="auto" w:sz="4" w:space="0"/>
              <w:left w:val="single" w:color="auto" w:sz="4" w:space="0"/>
              <w:bottom w:val="single" w:color="auto" w:sz="4" w:space="0"/>
              <w:right w:val="single" w:color="auto" w:sz="4" w:space="0"/>
            </w:tcBorders>
            <w:shd w:val="clear" w:color="auto" w:fill="auto"/>
            <w:vAlign w:val="center"/>
          </w:tcPr>
          <w:p w14:paraId="4A2D4FD1">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持平</w:t>
            </w:r>
          </w:p>
        </w:tc>
      </w:tr>
      <w:tr w14:paraId="52DB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345" w:type="dxa"/>
            <w:tcBorders>
              <w:top w:val="single" w:color="auto" w:sz="4" w:space="0"/>
              <w:left w:val="single" w:color="auto" w:sz="4" w:space="0"/>
              <w:bottom w:val="single" w:color="auto" w:sz="4" w:space="0"/>
              <w:right w:val="single" w:color="auto" w:sz="4" w:space="0"/>
            </w:tcBorders>
            <w:shd w:val="clear" w:color="auto" w:fill="auto"/>
            <w:vAlign w:val="center"/>
          </w:tcPr>
          <w:p w14:paraId="5CA42FB0">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8</w:t>
            </w:r>
          </w:p>
        </w:tc>
        <w:tc>
          <w:tcPr>
            <w:tcW w:w="1374" w:type="dxa"/>
            <w:tcBorders>
              <w:top w:val="single" w:color="auto" w:sz="4" w:space="0"/>
              <w:left w:val="single" w:color="auto" w:sz="4" w:space="0"/>
              <w:bottom w:val="single" w:color="auto" w:sz="4" w:space="0"/>
              <w:right w:val="single" w:color="auto" w:sz="4" w:space="0"/>
            </w:tcBorders>
            <w:shd w:val="clear" w:color="auto" w:fill="auto"/>
            <w:vAlign w:val="center"/>
          </w:tcPr>
          <w:p w14:paraId="57DB976F">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课题经费</w:t>
            </w:r>
          </w:p>
        </w:tc>
        <w:tc>
          <w:tcPr>
            <w:tcW w:w="1546" w:type="dxa"/>
            <w:tcBorders>
              <w:top w:val="single" w:color="auto" w:sz="4" w:space="0"/>
              <w:left w:val="single" w:color="auto" w:sz="4" w:space="0"/>
              <w:bottom w:val="single" w:color="auto" w:sz="4" w:space="0"/>
              <w:right w:val="single" w:color="auto" w:sz="4" w:space="0"/>
            </w:tcBorders>
            <w:shd w:val="clear" w:color="auto" w:fill="auto"/>
            <w:vAlign w:val="center"/>
          </w:tcPr>
          <w:p w14:paraId="0B58D1E7">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Times New Roman Regular" w:cs="Times New Roman Regular"/>
                <w:i w:val="0"/>
                <w:iCs w:val="0"/>
                <w:color w:val="000000"/>
                <w:kern w:val="0"/>
                <w:sz w:val="22"/>
                <w:szCs w:val="22"/>
                <w:u w:val="none"/>
                <w:lang w:val="en-US" w:eastAsia="zh-CN" w:bidi="ar"/>
              </w:rPr>
              <w:t>——</w:t>
            </w:r>
          </w:p>
        </w:tc>
        <w:tc>
          <w:tcPr>
            <w:tcW w:w="1614" w:type="dxa"/>
            <w:tcBorders>
              <w:top w:val="single" w:color="auto" w:sz="4" w:space="0"/>
              <w:left w:val="single" w:color="auto" w:sz="4" w:space="0"/>
              <w:bottom w:val="single" w:color="auto" w:sz="4" w:space="0"/>
              <w:right w:val="single" w:color="auto" w:sz="4" w:space="0"/>
            </w:tcBorders>
            <w:shd w:val="clear" w:color="auto" w:fill="auto"/>
            <w:vAlign w:val="center"/>
          </w:tcPr>
          <w:p w14:paraId="08A3CFF1">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Times New Roman Regular" w:cs="Times New Roman Regular"/>
                <w:i w:val="0"/>
                <w:iCs w:val="0"/>
                <w:color w:val="000000"/>
                <w:kern w:val="0"/>
                <w:sz w:val="22"/>
                <w:szCs w:val="22"/>
                <w:u w:val="none"/>
                <w:lang w:val="en-US" w:eastAsia="zh-CN" w:bidi="ar"/>
              </w:rPr>
              <w:t>——</w:t>
            </w:r>
          </w:p>
        </w:tc>
        <w:tc>
          <w:tcPr>
            <w:tcW w:w="706" w:type="dxa"/>
            <w:tcBorders>
              <w:top w:val="single" w:color="auto" w:sz="4" w:space="0"/>
              <w:left w:val="single" w:color="auto" w:sz="4" w:space="0"/>
              <w:bottom w:val="single" w:color="auto" w:sz="4" w:space="0"/>
              <w:right w:val="single" w:color="auto" w:sz="4" w:space="0"/>
            </w:tcBorders>
            <w:shd w:val="clear" w:color="auto" w:fill="auto"/>
            <w:vAlign w:val="center"/>
          </w:tcPr>
          <w:p w14:paraId="49C68D2A">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i w:val="0"/>
                <w:iCs w:val="0"/>
                <w:color w:val="000000"/>
                <w:kern w:val="0"/>
                <w:sz w:val="22"/>
                <w:szCs w:val="22"/>
                <w:u w:val="none"/>
                <w:lang w:val="en-US" w:eastAsia="zh-CN" w:bidi="ar"/>
              </w:rPr>
              <w:t>持平</w:t>
            </w:r>
          </w:p>
        </w:tc>
        <w:tc>
          <w:tcPr>
            <w:tcW w:w="1708" w:type="dxa"/>
            <w:tcBorders>
              <w:top w:val="single" w:color="auto" w:sz="4" w:space="0"/>
              <w:left w:val="single" w:color="auto" w:sz="4" w:space="0"/>
              <w:bottom w:val="single" w:color="auto" w:sz="4" w:space="0"/>
              <w:right w:val="single" w:color="auto" w:sz="4" w:space="0"/>
            </w:tcBorders>
            <w:shd w:val="clear" w:color="auto" w:fill="auto"/>
            <w:vAlign w:val="center"/>
          </w:tcPr>
          <w:p w14:paraId="649BDD53">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Times New Roman Regular" w:cs="Times New Roman Regular"/>
                <w:i w:val="0"/>
                <w:iCs w:val="0"/>
                <w:color w:val="000000"/>
                <w:kern w:val="0"/>
                <w:sz w:val="22"/>
                <w:szCs w:val="22"/>
                <w:u w:val="none"/>
                <w:lang w:val="en-US" w:eastAsia="zh-CN" w:bidi="ar"/>
              </w:rPr>
              <w:t>——</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73A4ADD6">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Times New Roman Regular" w:cs="Times New Roman Regular"/>
                <w:i w:val="0"/>
                <w:iCs w:val="0"/>
                <w:color w:val="000000"/>
                <w:kern w:val="0"/>
                <w:sz w:val="22"/>
                <w:szCs w:val="22"/>
                <w:u w:val="none"/>
                <w:lang w:val="en-US" w:eastAsia="zh-CN" w:bidi="ar"/>
              </w:rPr>
              <w:t>——</w:t>
            </w:r>
          </w:p>
        </w:tc>
        <w:tc>
          <w:tcPr>
            <w:tcW w:w="787" w:type="dxa"/>
            <w:tcBorders>
              <w:top w:val="single" w:color="auto" w:sz="4" w:space="0"/>
              <w:left w:val="single" w:color="auto" w:sz="4" w:space="0"/>
              <w:bottom w:val="single" w:color="auto" w:sz="4" w:space="0"/>
              <w:right w:val="single" w:color="auto" w:sz="4" w:space="0"/>
            </w:tcBorders>
            <w:shd w:val="clear" w:color="auto" w:fill="auto"/>
            <w:vAlign w:val="center"/>
          </w:tcPr>
          <w:p w14:paraId="6B368CA9">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持平</w:t>
            </w:r>
          </w:p>
        </w:tc>
      </w:tr>
      <w:tr w14:paraId="18F1C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45" w:type="dxa"/>
            <w:tcBorders>
              <w:top w:val="single" w:color="auto" w:sz="4" w:space="0"/>
              <w:left w:val="single" w:color="auto" w:sz="4" w:space="0"/>
              <w:bottom w:val="single" w:color="auto" w:sz="4" w:space="0"/>
              <w:right w:val="single" w:color="auto" w:sz="4" w:space="0"/>
            </w:tcBorders>
            <w:shd w:val="clear" w:color="auto" w:fill="auto"/>
            <w:vAlign w:val="center"/>
          </w:tcPr>
          <w:p w14:paraId="37B5F882">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9</w:t>
            </w:r>
          </w:p>
        </w:tc>
        <w:tc>
          <w:tcPr>
            <w:tcW w:w="1374" w:type="dxa"/>
            <w:tcBorders>
              <w:top w:val="single" w:color="auto" w:sz="4" w:space="0"/>
              <w:left w:val="single" w:color="auto" w:sz="4" w:space="0"/>
              <w:bottom w:val="single" w:color="auto" w:sz="4" w:space="0"/>
              <w:right w:val="single" w:color="auto" w:sz="4" w:space="0"/>
            </w:tcBorders>
            <w:shd w:val="clear" w:color="auto" w:fill="auto"/>
            <w:vAlign w:val="center"/>
          </w:tcPr>
          <w:p w14:paraId="6D679BC3">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合计</w:t>
            </w:r>
          </w:p>
        </w:tc>
        <w:tc>
          <w:tcPr>
            <w:tcW w:w="1546" w:type="dxa"/>
            <w:tcBorders>
              <w:top w:val="single" w:color="auto" w:sz="4" w:space="0"/>
              <w:left w:val="single" w:color="auto" w:sz="4" w:space="0"/>
              <w:bottom w:val="single" w:color="auto" w:sz="4" w:space="0"/>
              <w:right w:val="single" w:color="auto" w:sz="4" w:space="0"/>
            </w:tcBorders>
            <w:shd w:val="clear" w:color="auto" w:fill="auto"/>
            <w:vAlign w:val="center"/>
          </w:tcPr>
          <w:p w14:paraId="74DA555D">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Times New Roman Regular" w:cs="Times New Roman Regular"/>
                <w:i w:val="0"/>
                <w:iCs w:val="0"/>
                <w:color w:val="000000"/>
                <w:kern w:val="0"/>
                <w:sz w:val="22"/>
                <w:szCs w:val="22"/>
                <w:u w:val="none"/>
                <w:lang w:val="en-US" w:eastAsia="zh-CN" w:bidi="ar"/>
              </w:rPr>
              <w:t>57.36</w:t>
            </w:r>
          </w:p>
        </w:tc>
        <w:tc>
          <w:tcPr>
            <w:tcW w:w="1614" w:type="dxa"/>
            <w:tcBorders>
              <w:top w:val="single" w:color="auto" w:sz="4" w:space="0"/>
              <w:left w:val="single" w:color="auto" w:sz="4" w:space="0"/>
              <w:bottom w:val="single" w:color="auto" w:sz="4" w:space="0"/>
              <w:right w:val="single" w:color="auto" w:sz="4" w:space="0"/>
            </w:tcBorders>
            <w:shd w:val="clear" w:color="auto" w:fill="auto"/>
            <w:vAlign w:val="center"/>
          </w:tcPr>
          <w:p w14:paraId="63CBA77E">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Times New Roman Regular" w:cs="Times New Roman Regular"/>
                <w:i w:val="0"/>
                <w:iCs w:val="0"/>
                <w:color w:val="000000"/>
                <w:kern w:val="0"/>
                <w:sz w:val="22"/>
                <w:szCs w:val="22"/>
                <w:u w:val="none"/>
                <w:lang w:val="en-US" w:eastAsia="zh-CN" w:bidi="ar"/>
              </w:rPr>
              <w:t>55.5</w:t>
            </w:r>
          </w:p>
        </w:tc>
        <w:tc>
          <w:tcPr>
            <w:tcW w:w="706" w:type="dxa"/>
            <w:tcBorders>
              <w:top w:val="single" w:color="auto" w:sz="4" w:space="0"/>
              <w:left w:val="single" w:color="auto" w:sz="4" w:space="0"/>
              <w:bottom w:val="single" w:color="auto" w:sz="4" w:space="0"/>
              <w:right w:val="single" w:color="auto" w:sz="4" w:space="0"/>
            </w:tcBorders>
            <w:shd w:val="clear" w:color="auto" w:fill="auto"/>
            <w:vAlign w:val="center"/>
          </w:tcPr>
          <w:p w14:paraId="0F2A3A25">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i w:val="0"/>
                <w:iCs w:val="0"/>
                <w:color w:val="000000"/>
                <w:kern w:val="0"/>
                <w:sz w:val="22"/>
                <w:szCs w:val="22"/>
                <w:u w:val="none"/>
                <w:lang w:val="en-US" w:eastAsia="zh-CN" w:bidi="ar"/>
              </w:rPr>
              <w:t>减少</w:t>
            </w:r>
          </w:p>
        </w:tc>
        <w:tc>
          <w:tcPr>
            <w:tcW w:w="1708" w:type="dxa"/>
            <w:tcBorders>
              <w:top w:val="single" w:color="auto" w:sz="4" w:space="0"/>
              <w:left w:val="single" w:color="auto" w:sz="4" w:space="0"/>
              <w:bottom w:val="single" w:color="auto" w:sz="4" w:space="0"/>
              <w:right w:val="single" w:color="auto" w:sz="4" w:space="0"/>
            </w:tcBorders>
            <w:shd w:val="clear" w:color="auto" w:fill="auto"/>
            <w:vAlign w:val="center"/>
          </w:tcPr>
          <w:p w14:paraId="03BF4344">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Times New Roman Regular" w:cs="Times New Roman Regular"/>
                <w:i w:val="0"/>
                <w:iCs w:val="0"/>
                <w:color w:val="000000"/>
                <w:kern w:val="0"/>
                <w:sz w:val="22"/>
                <w:szCs w:val="22"/>
                <w:u w:val="none"/>
                <w:lang w:val="en-US" w:eastAsia="zh-CN" w:bidi="ar"/>
              </w:rPr>
              <w:t>264.43</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590F0F8E">
            <w:pPr>
              <w:keepNext w:val="0"/>
              <w:keepLines w:val="0"/>
              <w:pageBreakBefore w:val="0"/>
              <w:widowControl/>
              <w:suppressLineNumbers w:val="0"/>
              <w:suppressAutoHyphens/>
              <w:kinsoku/>
              <w:wordWrap/>
              <w:overflowPunct/>
              <w:topLinePunct w:val="0"/>
              <w:autoSpaceDE/>
              <w:autoSpaceDN/>
              <w:bidi w:val="0"/>
              <w:spacing w:line="240" w:lineRule="auto"/>
              <w:jc w:val="center"/>
              <w:textAlignment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Times New Roman Regular" w:cs="Times New Roman Regular"/>
                <w:i w:val="0"/>
                <w:iCs w:val="0"/>
                <w:color w:val="000000"/>
                <w:kern w:val="0"/>
                <w:sz w:val="22"/>
                <w:szCs w:val="22"/>
                <w:u w:val="none"/>
                <w:lang w:val="en-US" w:eastAsia="zh-CN" w:bidi="ar"/>
              </w:rPr>
              <w:t>336.56</w:t>
            </w:r>
          </w:p>
        </w:tc>
        <w:tc>
          <w:tcPr>
            <w:tcW w:w="787" w:type="dxa"/>
            <w:tcBorders>
              <w:top w:val="single" w:color="auto" w:sz="4" w:space="0"/>
              <w:left w:val="single" w:color="auto" w:sz="4" w:space="0"/>
              <w:bottom w:val="single" w:color="auto" w:sz="4" w:space="0"/>
              <w:right w:val="single" w:color="auto" w:sz="4" w:space="0"/>
            </w:tcBorders>
            <w:shd w:val="clear" w:color="auto" w:fill="auto"/>
            <w:vAlign w:val="center"/>
          </w:tcPr>
          <w:p w14:paraId="3D6E6CA7">
            <w:pPr>
              <w:keepNext w:val="0"/>
              <w:keepLines w:val="0"/>
              <w:pageBreakBefore w:val="0"/>
              <w:suppressAutoHyphens/>
              <w:kinsoku/>
              <w:wordWrap/>
              <w:overflowPunct/>
              <w:topLinePunct w:val="0"/>
              <w:autoSpaceDE/>
              <w:autoSpaceDN/>
              <w:bidi w:val="0"/>
              <w:adjustRightInd w:val="0"/>
              <w:snapToGrid w:val="0"/>
              <w:spacing w:line="240" w:lineRule="auto"/>
              <w:contextualSpacing/>
              <w:jc w:val="center"/>
              <w:rPr>
                <w:rFonts w:hint="default" w:ascii="Times New Roman Regular" w:hAnsi="Times New Roman Regular" w:eastAsia="仿宋_GB2312" w:cs="Times New Roman Regular"/>
                <w:color w:val="000000"/>
                <w:kern w:val="0"/>
                <w:sz w:val="22"/>
                <w:szCs w:val="22"/>
                <w:shd w:val="clear" w:color="auto" w:fill="FFFFFF"/>
              </w:rPr>
            </w:pPr>
            <w:r>
              <w:rPr>
                <w:rFonts w:hint="default" w:ascii="Times New Roman Regular" w:hAnsi="Times New Roman Regular" w:eastAsia="仿宋_GB2312" w:cs="Times New Roman Regular"/>
                <w:color w:val="000000"/>
                <w:kern w:val="0"/>
                <w:sz w:val="22"/>
                <w:szCs w:val="22"/>
                <w:shd w:val="clear" w:color="auto" w:fill="FFFFFF"/>
              </w:rPr>
              <w:t>增加</w:t>
            </w:r>
          </w:p>
        </w:tc>
      </w:tr>
    </w:tbl>
    <w:p w14:paraId="60EA95C2">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en-US" w:eastAsia="zh-CN"/>
        </w:rPr>
      </w:pPr>
      <w:r>
        <w:rPr>
          <w:rFonts w:hint="default" w:ascii="Times New Roman Regular" w:hAnsi="Times New Roman Regular" w:eastAsia="仿宋_GB2312" w:cs="Times New Roman Regular"/>
          <w:color w:val="000000"/>
          <w:kern w:val="0"/>
          <w:sz w:val="32"/>
          <w:szCs w:val="32"/>
          <w:shd w:val="clear" w:color="auto" w:fill="FFFFFF"/>
          <w:lang w:val="en-US" w:eastAsia="zh-CN"/>
        </w:rPr>
        <w:t>2025年我院财政拨款</w:t>
      </w:r>
      <w:r>
        <w:rPr>
          <w:rFonts w:hint="eastAsia" w:ascii="Times New Roman Regular" w:hAnsi="Times New Roman Regular" w:eastAsia="仿宋_GB2312" w:cs="Times New Roman Regular"/>
          <w:color w:val="000000"/>
          <w:kern w:val="0"/>
          <w:sz w:val="32"/>
          <w:szCs w:val="32"/>
          <w:shd w:val="clear" w:color="auto" w:fill="FFFFFF"/>
          <w:lang w:val="en-US" w:eastAsia="zh-CN"/>
        </w:rPr>
        <w:t>“三公”经费</w:t>
      </w:r>
      <w:r>
        <w:rPr>
          <w:rFonts w:hint="default" w:ascii="Times New Roman Regular" w:hAnsi="Times New Roman Regular" w:eastAsia="仿宋_GB2312" w:cs="Times New Roman Regular"/>
          <w:color w:val="000000"/>
          <w:kern w:val="0"/>
          <w:sz w:val="32"/>
          <w:szCs w:val="32"/>
          <w:shd w:val="clear" w:color="auto" w:fill="FFFFFF"/>
          <w:lang w:val="en-US" w:eastAsia="zh-CN"/>
        </w:rPr>
        <w:t>、会议、培训、差旅、办节办展、办公设备购置、信息网络及软件购置更新、课题经费等8项一般性支出年初预算数较上年减少，执行数较上年增加。</w:t>
      </w:r>
    </w:p>
    <w:p w14:paraId="662A0BF5">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rPr>
      </w:pPr>
      <w:r>
        <w:rPr>
          <w:rFonts w:hint="default" w:ascii="Times New Roman Regular" w:hAnsi="Times New Roman Regular" w:eastAsia="仿宋_GB2312" w:cs="Times New Roman Regular"/>
          <w:color w:val="000000"/>
          <w:kern w:val="0"/>
          <w:sz w:val="32"/>
          <w:szCs w:val="32"/>
          <w:shd w:val="clear" w:color="auto" w:fill="FFFFFF"/>
        </w:rPr>
        <w:t>综上，根据评分标准，该项指标扣</w:t>
      </w:r>
      <w:r>
        <w:rPr>
          <w:rFonts w:hint="default" w:ascii="Times New Roman Regular" w:hAnsi="Times New Roman Regular" w:eastAsia="仿宋_GB2312" w:cs="Times New Roman Regular"/>
          <w:color w:val="000000"/>
          <w:kern w:val="0"/>
          <w:sz w:val="32"/>
          <w:szCs w:val="32"/>
          <w:shd w:val="clear" w:color="auto" w:fill="FFFFFF"/>
          <w:lang w:val="en-US" w:eastAsia="zh-CN"/>
        </w:rPr>
        <w:t>3.35</w:t>
      </w:r>
      <w:r>
        <w:rPr>
          <w:rFonts w:hint="default" w:ascii="Times New Roman Regular" w:hAnsi="Times New Roman Regular" w:eastAsia="仿宋_GB2312" w:cs="Times New Roman Regular"/>
          <w:color w:val="000000"/>
          <w:kern w:val="0"/>
          <w:sz w:val="32"/>
          <w:szCs w:val="32"/>
          <w:shd w:val="clear" w:color="auto" w:fill="FFFFFF"/>
        </w:rPr>
        <w:t>分，得</w:t>
      </w:r>
      <w:r>
        <w:rPr>
          <w:rFonts w:hint="default" w:ascii="Times New Roman Regular" w:hAnsi="Times New Roman Regular" w:eastAsia="仿宋_GB2312" w:cs="Times New Roman Regular"/>
          <w:color w:val="000000"/>
          <w:kern w:val="0"/>
          <w:sz w:val="32"/>
          <w:szCs w:val="32"/>
          <w:shd w:val="clear" w:color="auto" w:fill="FFFFFF"/>
          <w:lang w:val="en-US" w:eastAsia="zh-CN"/>
        </w:rPr>
        <w:t>1.65</w:t>
      </w:r>
      <w:r>
        <w:rPr>
          <w:rFonts w:hint="default" w:ascii="Times New Roman Regular" w:hAnsi="Times New Roman Regular" w:eastAsia="仿宋_GB2312" w:cs="Times New Roman Regular"/>
          <w:color w:val="000000"/>
          <w:kern w:val="0"/>
          <w:sz w:val="32"/>
          <w:szCs w:val="32"/>
          <w:shd w:val="clear" w:color="auto" w:fill="FFFFFF"/>
        </w:rPr>
        <w:t>分。</w:t>
      </w:r>
    </w:p>
    <w:p w14:paraId="240799D5">
      <w:pPr>
        <w:suppressAutoHyphens/>
        <w:bidi w:val="0"/>
        <w:adjustRightInd w:val="0"/>
        <w:snapToGrid w:val="0"/>
        <w:spacing w:line="578" w:lineRule="exact"/>
        <w:ind w:firstLine="640" w:firstLineChars="200"/>
        <w:contextualSpacing/>
        <w:jc w:val="left"/>
        <w:rPr>
          <w:rFonts w:hint="default" w:ascii="Times New Roman Regular" w:hAnsi="Times New Roman Regular" w:eastAsia="楷体_GB2312" w:cs="Times New Roman Regular"/>
          <w:color w:val="000000"/>
          <w:kern w:val="0"/>
          <w:sz w:val="32"/>
          <w:szCs w:val="32"/>
          <w:shd w:val="clear" w:color="auto" w:fill="FFFFFF"/>
          <w:lang w:val="zh-CN"/>
        </w:rPr>
      </w:pPr>
      <w:r>
        <w:rPr>
          <w:rFonts w:hint="default" w:ascii="Times New Roman Regular" w:hAnsi="Times New Roman Regular" w:eastAsia="楷体_GB2312" w:cs="Times New Roman Regular"/>
          <w:color w:val="000000"/>
          <w:kern w:val="0"/>
          <w:sz w:val="32"/>
          <w:szCs w:val="32"/>
          <w:shd w:val="clear" w:color="auto" w:fill="FFFFFF"/>
        </w:rPr>
        <w:t>3.</w:t>
      </w:r>
      <w:r>
        <w:rPr>
          <w:rFonts w:hint="default" w:ascii="Times New Roman Regular" w:hAnsi="Times New Roman Regular" w:eastAsia="楷体_GB2312" w:cs="Times New Roman Regular"/>
          <w:color w:val="000000"/>
          <w:kern w:val="0"/>
          <w:sz w:val="32"/>
          <w:szCs w:val="32"/>
          <w:shd w:val="clear" w:color="auto" w:fill="FFFFFF"/>
          <w:lang w:val="zh-CN"/>
        </w:rPr>
        <w:t>财务管理。</w:t>
      </w:r>
    </w:p>
    <w:p w14:paraId="07177F37">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en-US" w:eastAsia="zh-CN"/>
        </w:rPr>
      </w:pPr>
      <w:r>
        <w:rPr>
          <w:rFonts w:hint="eastAsia" w:ascii="Times New Roman Regular" w:hAnsi="Times New Roman Regular" w:eastAsia="仿宋_GB2312" w:cs="Times New Roman Regular"/>
          <w:color w:val="000000"/>
          <w:kern w:val="0"/>
          <w:sz w:val="32"/>
          <w:szCs w:val="32"/>
          <w:shd w:val="clear" w:color="auto" w:fill="FFFFFF"/>
          <w:lang w:val="zh-CN"/>
        </w:rPr>
        <w:t>（</w:t>
      </w:r>
      <w:r>
        <w:rPr>
          <w:rFonts w:hint="eastAsia" w:ascii="Times New Roman Regular" w:hAnsi="Times New Roman Regular" w:eastAsia="仿宋_GB2312" w:cs="Times New Roman Regular"/>
          <w:color w:val="000000"/>
          <w:kern w:val="0"/>
          <w:sz w:val="32"/>
          <w:szCs w:val="32"/>
          <w:shd w:val="clear" w:color="auto" w:fill="FFFFFF"/>
          <w:lang w:val="en-US" w:eastAsia="zh-CN"/>
        </w:rPr>
        <w:t>1）财务管理制度</w:t>
      </w:r>
    </w:p>
    <w:p w14:paraId="34225FD9">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eastAsia" w:ascii="Times New Roman Regular" w:hAnsi="Times New Roman Regular" w:eastAsia="仿宋_GB2312" w:cs="Times New Roman Regular"/>
          <w:color w:val="000000"/>
          <w:kern w:val="0"/>
          <w:sz w:val="32"/>
          <w:szCs w:val="32"/>
          <w:shd w:val="clear" w:color="auto" w:fill="FFFFFF"/>
          <w:lang w:val="zh-CN"/>
        </w:rPr>
        <w:t>我院</w:t>
      </w:r>
      <w:r>
        <w:rPr>
          <w:rFonts w:hint="default" w:ascii="Times New Roman Regular" w:hAnsi="Times New Roman Regular" w:eastAsia="仿宋_GB2312" w:cs="Times New Roman Regular"/>
          <w:color w:val="000000"/>
          <w:kern w:val="0"/>
          <w:sz w:val="32"/>
          <w:szCs w:val="32"/>
          <w:shd w:val="clear" w:color="auto" w:fill="FFFFFF"/>
          <w:lang w:val="zh-CN"/>
        </w:rPr>
        <w:t>已建立《黑水县人民法院财务管理制度》，结合法院工作实际，明确财务收支、预算管理、经费使用等核心环节要求，细化操作流程、明确责任分工。同时，将制度严格落到实处，常态化开展制度执行检查，规范财务审批、报销等流程，强化资金使用监管，确保各项财务工作依规有序开展，切实提升财政资金使用效益，筑牢财务管理合规防线。</w:t>
      </w:r>
    </w:p>
    <w:p w14:paraId="20B83D1B">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综上，根据评分标准，该项指标不扣分，得4分。</w:t>
      </w:r>
    </w:p>
    <w:p w14:paraId="02085F5F">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（2）财务岗位设置</w:t>
      </w:r>
    </w:p>
    <w:p w14:paraId="5FF398B6">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eastAsia" w:ascii="Times New Roman Regular" w:hAnsi="Times New Roman Regular" w:eastAsia="仿宋_GB2312" w:cs="Times New Roman Regular"/>
          <w:color w:val="000000"/>
          <w:kern w:val="0"/>
          <w:sz w:val="32"/>
          <w:szCs w:val="32"/>
          <w:shd w:val="clear" w:color="auto" w:fill="FFFFFF"/>
          <w:lang w:val="zh-CN"/>
        </w:rPr>
        <w:t>我院</w:t>
      </w:r>
      <w:r>
        <w:rPr>
          <w:rFonts w:hint="default" w:ascii="Times New Roman Regular" w:hAnsi="Times New Roman Regular" w:eastAsia="仿宋_GB2312" w:cs="Times New Roman Regular"/>
          <w:color w:val="000000"/>
          <w:kern w:val="0"/>
          <w:sz w:val="32"/>
          <w:szCs w:val="32"/>
          <w:shd w:val="clear" w:color="auto" w:fill="FFFFFF"/>
          <w:lang w:val="zh-CN"/>
        </w:rPr>
        <w:t>已合理设置财务工作岗位，明确职责权限，并严格实行不相容岗位分离，岗位间职责清晰，各岗位按照工作流程有序进行。</w:t>
      </w:r>
    </w:p>
    <w:p w14:paraId="659054DC">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综上，根据评分标准，该项指标不扣分，得2分。</w:t>
      </w:r>
    </w:p>
    <w:p w14:paraId="411C8D6A">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（3）资金使用规范</w:t>
      </w:r>
    </w:p>
    <w:p w14:paraId="22441A17">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shd w:val="clear" w:color="auto" w:fill="FFFFFF"/>
          <w:lang w:val="zh-CN"/>
        </w:rPr>
      </w:pPr>
      <w:r>
        <w:rPr>
          <w:rFonts w:hint="eastAsia" w:ascii="Times New Roman Regular" w:hAnsi="Times New Roman Regular" w:eastAsia="仿宋_GB2312" w:cs="Times New Roman Regular"/>
          <w:color w:val="000000"/>
          <w:kern w:val="0"/>
          <w:sz w:val="32"/>
          <w:szCs w:val="32"/>
          <w:shd w:val="clear" w:color="auto" w:fill="FFFFFF"/>
          <w:lang w:val="zh-CN"/>
        </w:rPr>
        <w:t>我院</w:t>
      </w:r>
      <w:r>
        <w:rPr>
          <w:rFonts w:hint="default" w:ascii="Times New Roman Regular" w:hAnsi="Times New Roman Regular" w:eastAsia="仿宋_GB2312" w:cs="Times New Roman Regular"/>
          <w:color w:val="000000"/>
          <w:kern w:val="0"/>
          <w:sz w:val="32"/>
          <w:szCs w:val="32"/>
          <w:shd w:val="clear" w:color="auto" w:fill="FFFFFF"/>
          <w:lang w:val="zh-CN"/>
        </w:rPr>
        <w:t>资金严格按照相关财务管理制度进行使用，</w:t>
      </w:r>
      <w:r>
        <w:rPr>
          <w:rFonts w:hint="default" w:ascii="Times New Roman Regular" w:hAnsi="Times New Roman Regular" w:eastAsia="仿宋_GB2312" w:cs="Times New Roman Regular"/>
          <w:sz w:val="32"/>
        </w:rPr>
        <w:t>符合国家财经法规和财务管理制度规定以及有关专项资金管理办法的规定，资金拨付有完整的审批程序和手续，项目的重大开支经过评估论证，资金使用符合部门预算批复的用途，不存在截留、挤占、挪用、虚列支出等情况</w:t>
      </w:r>
      <w:r>
        <w:rPr>
          <w:rFonts w:hint="default" w:ascii="Times New Roman Regular" w:hAnsi="Times New Roman Regular" w:eastAsia="仿宋_GB2312" w:cs="Times New Roman Regular"/>
          <w:color w:val="000000"/>
          <w:kern w:val="0"/>
          <w:sz w:val="32"/>
          <w:szCs w:val="32"/>
          <w:shd w:val="clear" w:color="auto" w:fill="FFFFFF"/>
          <w:lang w:val="zh-CN"/>
        </w:rPr>
        <w:t>。</w:t>
      </w:r>
    </w:p>
    <w:p w14:paraId="5634C31C">
      <w:pPr>
        <w:suppressAutoHyphens/>
        <w:bidi w:val="0"/>
        <w:adjustRightInd w:val="0"/>
        <w:snapToGrid w:val="0"/>
        <w:spacing w:line="578" w:lineRule="exact"/>
        <w:ind w:firstLine="640" w:firstLineChars="200"/>
        <w:contextualSpacing/>
        <w:jc w:val="left"/>
        <w:rPr>
          <w:rFonts w:hint="default" w:ascii="Times New Roman Regular" w:hAnsi="Times New Roman Regular" w:eastAsia="楷体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综上，根据评分标准，该项指标不扣分，得4分。</w:t>
      </w:r>
    </w:p>
    <w:p w14:paraId="5D6D00C0">
      <w:pPr>
        <w:suppressAutoHyphens/>
        <w:bidi w:val="0"/>
        <w:adjustRightInd w:val="0"/>
        <w:snapToGrid w:val="0"/>
        <w:spacing w:line="578" w:lineRule="exact"/>
        <w:ind w:firstLine="640" w:firstLineChars="200"/>
        <w:contextualSpacing/>
        <w:jc w:val="left"/>
        <w:rPr>
          <w:rFonts w:hint="default" w:ascii="Times New Roman Regular" w:hAnsi="Times New Roman Regular" w:eastAsia="楷体_GB2312" w:cs="Times New Roman Regular"/>
          <w:color w:val="000000"/>
          <w:kern w:val="0"/>
          <w:sz w:val="32"/>
          <w:szCs w:val="32"/>
          <w:shd w:val="clear" w:color="auto" w:fill="FFFFFF"/>
          <w:lang w:val="zh-CN"/>
        </w:rPr>
      </w:pPr>
      <w:r>
        <w:rPr>
          <w:rFonts w:hint="default" w:ascii="Times New Roman Regular" w:hAnsi="Times New Roman Regular" w:eastAsia="楷体_GB2312" w:cs="Times New Roman Regular"/>
          <w:color w:val="000000"/>
          <w:kern w:val="0"/>
          <w:sz w:val="32"/>
          <w:szCs w:val="32"/>
          <w:shd w:val="clear" w:color="auto" w:fill="FFFFFF"/>
        </w:rPr>
        <w:t>4.</w:t>
      </w:r>
      <w:r>
        <w:rPr>
          <w:rFonts w:hint="default" w:ascii="Times New Roman Regular" w:hAnsi="Times New Roman Regular" w:eastAsia="楷体_GB2312" w:cs="Times New Roman Regular"/>
          <w:color w:val="000000"/>
          <w:kern w:val="0"/>
          <w:sz w:val="32"/>
          <w:szCs w:val="32"/>
          <w:shd w:val="clear" w:color="auto" w:fill="FFFFFF"/>
          <w:lang w:val="zh-CN"/>
        </w:rPr>
        <w:t>资产管理。</w:t>
      </w:r>
    </w:p>
    <w:p w14:paraId="36EDA229">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rPr>
      </w:pPr>
      <w:r>
        <w:rPr>
          <w:rFonts w:hint="default" w:ascii="Times New Roman Regular" w:hAnsi="Times New Roman Regular" w:eastAsia="仿宋_GB2312" w:cs="Times New Roman Regular"/>
          <w:color w:val="000000"/>
          <w:kern w:val="0"/>
          <w:sz w:val="32"/>
          <w:szCs w:val="32"/>
          <w:shd w:val="clear" w:color="auto" w:fill="FFFFFF"/>
          <w:lang w:val="zh-CN"/>
        </w:rPr>
        <w:t>（</w:t>
      </w:r>
      <w:r>
        <w:rPr>
          <w:rFonts w:hint="default" w:ascii="Times New Roman Regular" w:hAnsi="Times New Roman Regular" w:eastAsia="仿宋_GB2312" w:cs="Times New Roman Regular"/>
          <w:color w:val="000000"/>
          <w:kern w:val="0"/>
          <w:sz w:val="32"/>
          <w:szCs w:val="32"/>
          <w:shd w:val="clear" w:color="auto" w:fill="FFFFFF"/>
        </w:rPr>
        <w:t>1</w:t>
      </w:r>
      <w:r>
        <w:rPr>
          <w:rFonts w:hint="default" w:ascii="Times New Roman Regular" w:hAnsi="Times New Roman Regular" w:eastAsia="仿宋_GB2312" w:cs="Times New Roman Regular"/>
          <w:color w:val="000000"/>
          <w:kern w:val="0"/>
          <w:sz w:val="32"/>
          <w:szCs w:val="32"/>
          <w:shd w:val="clear" w:color="auto" w:fill="FFFFFF"/>
          <w:lang w:val="zh-CN"/>
        </w:rPr>
        <w:t>）</w:t>
      </w:r>
      <w:r>
        <w:rPr>
          <w:rFonts w:hint="default" w:ascii="Times New Roman Regular" w:hAnsi="Times New Roman Regular" w:eastAsia="仿宋_GB2312" w:cs="Times New Roman Regular"/>
          <w:color w:val="000000"/>
          <w:kern w:val="0"/>
          <w:sz w:val="32"/>
          <w:szCs w:val="32"/>
          <w:shd w:val="clear" w:color="auto" w:fill="FFFFFF"/>
        </w:rPr>
        <w:t>人均资产变化率</w:t>
      </w:r>
    </w:p>
    <w:p w14:paraId="06C2C926">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highlight w:val="none"/>
          <w:shd w:val="clear" w:color="auto" w:fill="FFFFFF"/>
        </w:rPr>
      </w:pPr>
      <w:r>
        <w:rPr>
          <w:rFonts w:hint="eastAsia" w:ascii="Times New Roman Regular" w:hAnsi="Times New Roman Regular" w:eastAsia="仿宋_GB2312" w:cs="Times New Roman Regular"/>
          <w:color w:val="000000"/>
          <w:kern w:val="0"/>
          <w:sz w:val="32"/>
          <w:szCs w:val="32"/>
          <w:highlight w:val="none"/>
          <w:shd w:val="clear" w:color="auto" w:fill="FFFFFF"/>
          <w:lang w:eastAsia="zh-CN"/>
        </w:rPr>
        <w:t>我院</w:t>
      </w:r>
      <w:r>
        <w:rPr>
          <w:rFonts w:hint="default" w:ascii="Times New Roman Regular" w:hAnsi="Times New Roman Regular" w:eastAsia="仿宋_GB2312" w:cs="Times New Roman Regular"/>
          <w:color w:val="000000"/>
          <w:kern w:val="0"/>
          <w:sz w:val="32"/>
          <w:szCs w:val="32"/>
          <w:highlight w:val="none"/>
          <w:shd w:val="clear" w:color="auto" w:fill="FFFFFF"/>
          <w:lang w:eastAsia="zh-CN"/>
        </w:rPr>
        <w:t>2024年</w:t>
      </w:r>
      <w:r>
        <w:rPr>
          <w:rFonts w:hint="default" w:ascii="Times New Roman Regular" w:hAnsi="Times New Roman Regular" w:eastAsia="仿宋_GB2312" w:cs="Times New Roman Regular"/>
          <w:color w:val="000000"/>
          <w:kern w:val="0"/>
          <w:sz w:val="32"/>
          <w:szCs w:val="32"/>
          <w:highlight w:val="none"/>
          <w:shd w:val="clear" w:color="auto" w:fill="FFFFFF"/>
        </w:rPr>
        <w:t>末</w:t>
      </w:r>
      <w:r>
        <w:rPr>
          <w:rFonts w:hint="eastAsia" w:ascii="Times New Roman Regular" w:hAnsi="Times New Roman Regular" w:eastAsia="仿宋_GB2312" w:cs="Times New Roman Regular"/>
          <w:color w:val="000000"/>
          <w:kern w:val="0"/>
          <w:sz w:val="32"/>
          <w:szCs w:val="32"/>
          <w:highlight w:val="none"/>
          <w:shd w:val="clear" w:color="auto" w:fill="FFFFFF"/>
          <w:lang w:val="en-US" w:eastAsia="zh-CN"/>
        </w:rPr>
        <w:t>编制内</w:t>
      </w:r>
      <w:r>
        <w:rPr>
          <w:rFonts w:hint="default" w:ascii="Times New Roman Regular" w:hAnsi="Times New Roman Regular" w:eastAsia="仿宋_GB2312" w:cs="Times New Roman Regular"/>
          <w:color w:val="000000"/>
          <w:kern w:val="0"/>
          <w:sz w:val="32"/>
          <w:szCs w:val="32"/>
          <w:highlight w:val="none"/>
          <w:shd w:val="clear" w:color="auto" w:fill="FFFFFF"/>
        </w:rPr>
        <w:t>实有人数为</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45</w:t>
      </w:r>
      <w:r>
        <w:rPr>
          <w:rFonts w:hint="default" w:ascii="Times New Roman Regular" w:hAnsi="Times New Roman Regular" w:eastAsia="仿宋_GB2312" w:cs="Times New Roman Regular"/>
          <w:color w:val="000000"/>
          <w:kern w:val="0"/>
          <w:sz w:val="32"/>
          <w:szCs w:val="32"/>
          <w:highlight w:val="none"/>
          <w:shd w:val="clear" w:color="auto" w:fill="FFFFFF"/>
        </w:rPr>
        <w:t>人，</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资产总额为883.15</w:t>
      </w:r>
      <w:r>
        <w:rPr>
          <w:rFonts w:hint="default" w:ascii="Times New Roman Regular" w:hAnsi="Times New Roman Regular" w:eastAsia="仿宋_GB2312" w:cs="Times New Roman Regular"/>
          <w:color w:val="000000"/>
          <w:kern w:val="0"/>
          <w:sz w:val="32"/>
          <w:szCs w:val="32"/>
          <w:highlight w:val="none"/>
          <w:shd w:val="clear" w:color="auto" w:fill="FFFFFF"/>
        </w:rPr>
        <w:t>万元；</w:t>
      </w:r>
      <w:r>
        <w:rPr>
          <w:rFonts w:hint="default" w:ascii="Times New Roman Regular" w:hAnsi="Times New Roman Regular" w:eastAsia="仿宋_GB2312" w:cs="Times New Roman Regular"/>
          <w:color w:val="000000"/>
          <w:kern w:val="0"/>
          <w:sz w:val="32"/>
          <w:szCs w:val="32"/>
          <w:highlight w:val="none"/>
          <w:shd w:val="clear" w:color="auto" w:fill="FFFFFF"/>
          <w:lang w:eastAsia="zh-CN"/>
        </w:rPr>
        <w:t>2025年</w:t>
      </w:r>
      <w:r>
        <w:rPr>
          <w:rFonts w:hint="default" w:ascii="Times New Roman Regular" w:hAnsi="Times New Roman Regular" w:eastAsia="仿宋_GB2312" w:cs="Times New Roman Regular"/>
          <w:color w:val="000000"/>
          <w:kern w:val="0"/>
          <w:sz w:val="32"/>
          <w:szCs w:val="32"/>
          <w:highlight w:val="none"/>
          <w:shd w:val="clear" w:color="auto" w:fill="FFFFFF"/>
        </w:rPr>
        <w:t>末</w:t>
      </w:r>
      <w:r>
        <w:rPr>
          <w:rFonts w:hint="eastAsia" w:ascii="Times New Roman Regular" w:hAnsi="Times New Roman Regular" w:eastAsia="仿宋_GB2312" w:cs="Times New Roman Regular"/>
          <w:color w:val="000000"/>
          <w:kern w:val="0"/>
          <w:sz w:val="32"/>
          <w:szCs w:val="32"/>
          <w:highlight w:val="none"/>
          <w:shd w:val="clear" w:color="auto" w:fill="FFFFFF"/>
          <w:lang w:val="en-US" w:eastAsia="zh-CN"/>
        </w:rPr>
        <w:t>编制内</w:t>
      </w:r>
      <w:r>
        <w:rPr>
          <w:rFonts w:hint="default" w:ascii="Times New Roman Regular" w:hAnsi="Times New Roman Regular" w:eastAsia="仿宋_GB2312" w:cs="Times New Roman Regular"/>
          <w:color w:val="000000"/>
          <w:kern w:val="0"/>
          <w:sz w:val="32"/>
          <w:szCs w:val="32"/>
          <w:highlight w:val="none"/>
          <w:shd w:val="clear" w:color="auto" w:fill="FFFFFF"/>
        </w:rPr>
        <w:t>实有人数为</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49</w:t>
      </w:r>
      <w:r>
        <w:rPr>
          <w:rFonts w:hint="default" w:ascii="Times New Roman Regular" w:hAnsi="Times New Roman Regular" w:eastAsia="仿宋_GB2312" w:cs="Times New Roman Regular"/>
          <w:color w:val="000000"/>
          <w:kern w:val="0"/>
          <w:sz w:val="32"/>
          <w:szCs w:val="32"/>
          <w:highlight w:val="none"/>
          <w:shd w:val="clear" w:color="auto" w:fill="FFFFFF"/>
        </w:rPr>
        <w:t>人，</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资产总额为8</w:t>
      </w:r>
      <w:r>
        <w:rPr>
          <w:rFonts w:hint="default" w:ascii="Times New Roman Regular" w:hAnsi="Times New Roman Regular" w:eastAsia="仿宋_GB2312" w:cs="Times New Roman Regular"/>
          <w:color w:val="000000"/>
          <w:kern w:val="0"/>
          <w:sz w:val="32"/>
          <w:szCs w:val="32"/>
          <w:highlight w:val="none"/>
          <w:shd w:val="clear" w:color="auto" w:fill="FFFFFF"/>
        </w:rPr>
        <w:t>41.4</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7</w:t>
      </w:r>
      <w:r>
        <w:rPr>
          <w:rFonts w:hint="default" w:ascii="Times New Roman Regular" w:hAnsi="Times New Roman Regular" w:eastAsia="仿宋_GB2312" w:cs="Times New Roman Regular"/>
          <w:color w:val="000000"/>
          <w:kern w:val="0"/>
          <w:sz w:val="32"/>
          <w:szCs w:val="32"/>
          <w:highlight w:val="none"/>
          <w:shd w:val="clear" w:color="auto" w:fill="FFFFFF"/>
        </w:rPr>
        <w:t>万元。</w:t>
      </w:r>
    </w:p>
    <w:p w14:paraId="41C26C39">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highlight w:val="none"/>
          <w:shd w:val="clear" w:color="auto" w:fill="FFFFFF"/>
        </w:rPr>
      </w:pPr>
      <w:r>
        <w:rPr>
          <w:rFonts w:hint="default" w:ascii="Times New Roman Regular" w:hAnsi="Times New Roman Regular" w:eastAsia="仿宋_GB2312" w:cs="Times New Roman Regular"/>
          <w:color w:val="000000"/>
          <w:kern w:val="0"/>
          <w:sz w:val="32"/>
          <w:szCs w:val="32"/>
          <w:highlight w:val="none"/>
          <w:shd w:val="clear" w:color="auto" w:fill="FFFFFF"/>
        </w:rPr>
        <w:t>部门人均资产变化率为（</w:t>
      </w:r>
      <w:r>
        <w:rPr>
          <w:rFonts w:hint="default" w:ascii="Times New Roman Regular" w:hAnsi="Times New Roman Regular" w:eastAsia="仿宋_GB2312" w:cs="Times New Roman Regular"/>
          <w:color w:val="000000"/>
          <w:kern w:val="0"/>
          <w:sz w:val="32"/>
          <w:szCs w:val="32"/>
          <w:highlight w:val="none"/>
          <w:shd w:val="clear" w:color="auto" w:fill="FFFFFF"/>
          <w:lang w:eastAsia="zh-CN"/>
        </w:rPr>
        <w:t>2025年</w:t>
      </w:r>
      <w:r>
        <w:rPr>
          <w:rFonts w:hint="default" w:ascii="Times New Roman Regular" w:hAnsi="Times New Roman Regular" w:eastAsia="仿宋_GB2312" w:cs="Times New Roman Regular"/>
          <w:color w:val="000000"/>
          <w:kern w:val="0"/>
          <w:sz w:val="32"/>
          <w:szCs w:val="32"/>
          <w:highlight w:val="none"/>
          <w:shd w:val="clear" w:color="auto" w:fill="FFFFFF"/>
        </w:rPr>
        <w:t>人均占有资产</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17.17</w:t>
      </w:r>
      <w:r>
        <w:rPr>
          <w:rFonts w:hint="default" w:ascii="Times New Roman Regular" w:hAnsi="Times New Roman Regular" w:eastAsia="仿宋_GB2312" w:cs="Times New Roman Regular"/>
          <w:color w:val="000000"/>
          <w:kern w:val="0"/>
          <w:sz w:val="32"/>
          <w:szCs w:val="32"/>
          <w:highlight w:val="none"/>
          <w:shd w:val="clear" w:color="auto" w:fill="FFFFFF"/>
        </w:rPr>
        <w:t>万元-</w:t>
      </w:r>
      <w:r>
        <w:rPr>
          <w:rFonts w:hint="default" w:ascii="Times New Roman Regular" w:hAnsi="Times New Roman Regular" w:eastAsia="仿宋_GB2312" w:cs="Times New Roman Regular"/>
          <w:color w:val="000000"/>
          <w:kern w:val="0"/>
          <w:sz w:val="32"/>
          <w:szCs w:val="32"/>
          <w:highlight w:val="none"/>
          <w:shd w:val="clear" w:color="auto" w:fill="FFFFFF"/>
          <w:lang w:eastAsia="zh-CN"/>
        </w:rPr>
        <w:t>2024年</w:t>
      </w:r>
      <w:r>
        <w:rPr>
          <w:rFonts w:hint="default" w:ascii="Times New Roman Regular" w:hAnsi="Times New Roman Regular" w:eastAsia="仿宋_GB2312" w:cs="Times New Roman Regular"/>
          <w:color w:val="000000"/>
          <w:kern w:val="0"/>
          <w:sz w:val="32"/>
          <w:szCs w:val="32"/>
          <w:highlight w:val="none"/>
          <w:shd w:val="clear" w:color="auto" w:fill="FFFFFF"/>
        </w:rPr>
        <w:t>人均占有资产</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19.63</w:t>
      </w:r>
      <w:r>
        <w:rPr>
          <w:rFonts w:hint="default" w:ascii="Times New Roman Regular" w:hAnsi="Times New Roman Regular" w:eastAsia="仿宋_GB2312" w:cs="Times New Roman Regular"/>
          <w:color w:val="000000"/>
          <w:kern w:val="0"/>
          <w:sz w:val="32"/>
          <w:szCs w:val="32"/>
          <w:highlight w:val="none"/>
          <w:shd w:val="clear" w:color="auto" w:fill="FFFFFF"/>
        </w:rPr>
        <w:t>万元）÷</w:t>
      </w:r>
      <w:r>
        <w:rPr>
          <w:rFonts w:hint="default" w:ascii="Times New Roman Regular" w:hAnsi="Times New Roman Regular" w:eastAsia="仿宋_GB2312" w:cs="Times New Roman Regular"/>
          <w:color w:val="000000"/>
          <w:kern w:val="0"/>
          <w:sz w:val="32"/>
          <w:szCs w:val="32"/>
          <w:highlight w:val="none"/>
          <w:shd w:val="clear" w:color="auto" w:fill="FFFFFF"/>
          <w:lang w:eastAsia="zh-CN"/>
        </w:rPr>
        <w:t>202</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4</w:t>
      </w:r>
      <w:r>
        <w:rPr>
          <w:rFonts w:hint="default" w:ascii="Times New Roman Regular" w:hAnsi="Times New Roman Regular" w:eastAsia="仿宋_GB2312" w:cs="Times New Roman Regular"/>
          <w:color w:val="000000"/>
          <w:kern w:val="0"/>
          <w:sz w:val="32"/>
          <w:szCs w:val="32"/>
          <w:highlight w:val="none"/>
          <w:shd w:val="clear" w:color="auto" w:fill="FFFFFF"/>
          <w:lang w:eastAsia="zh-CN"/>
        </w:rPr>
        <w:t>年</w:t>
      </w:r>
      <w:r>
        <w:rPr>
          <w:rFonts w:hint="default" w:ascii="Times New Roman Regular" w:hAnsi="Times New Roman Regular" w:eastAsia="仿宋_GB2312" w:cs="Times New Roman Regular"/>
          <w:color w:val="000000"/>
          <w:kern w:val="0"/>
          <w:sz w:val="32"/>
          <w:szCs w:val="32"/>
          <w:highlight w:val="none"/>
          <w:shd w:val="clear" w:color="auto" w:fill="FFFFFF"/>
        </w:rPr>
        <w:t>人均占有资产19.6</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3</w:t>
      </w:r>
      <w:r>
        <w:rPr>
          <w:rFonts w:hint="default" w:ascii="Times New Roman Regular" w:hAnsi="Times New Roman Regular" w:eastAsia="仿宋_GB2312" w:cs="Times New Roman Regular"/>
          <w:color w:val="000000"/>
          <w:kern w:val="0"/>
          <w:sz w:val="32"/>
          <w:szCs w:val="32"/>
          <w:highlight w:val="none"/>
          <w:shd w:val="clear" w:color="auto" w:fill="FFFFFF"/>
        </w:rPr>
        <w:t>万元=-</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12.50</w:t>
      </w:r>
      <w:r>
        <w:rPr>
          <w:rFonts w:hint="default" w:ascii="Times New Roman Regular" w:hAnsi="Times New Roman Regular" w:eastAsia="仿宋_GB2312" w:cs="Times New Roman Regular"/>
          <w:color w:val="000000"/>
          <w:kern w:val="0"/>
          <w:sz w:val="32"/>
          <w:szCs w:val="32"/>
          <w:highlight w:val="none"/>
          <w:shd w:val="clear" w:color="auto" w:fill="FFFFFF"/>
        </w:rPr>
        <w:t>%，小于州直行政事业单位人均资产变化率-3.</w:t>
      </w:r>
      <w:r>
        <w:rPr>
          <w:rFonts w:hint="eastAsia" w:ascii="Times New Roman Regular" w:hAnsi="Times New Roman Regular" w:eastAsia="仿宋_GB2312" w:cs="Times New Roman Regular"/>
          <w:color w:val="000000"/>
          <w:kern w:val="0"/>
          <w:sz w:val="32"/>
          <w:szCs w:val="32"/>
          <w:highlight w:val="none"/>
          <w:shd w:val="clear" w:color="auto" w:fill="FFFFFF"/>
          <w:lang w:val="en-US" w:eastAsia="zh-CN"/>
        </w:rPr>
        <w:t>4</w:t>
      </w:r>
      <w:r>
        <w:rPr>
          <w:rFonts w:hint="default" w:ascii="Times New Roman Regular" w:hAnsi="Times New Roman Regular" w:eastAsia="仿宋_GB2312" w:cs="Times New Roman Regular"/>
          <w:color w:val="000000"/>
          <w:kern w:val="0"/>
          <w:sz w:val="32"/>
          <w:szCs w:val="32"/>
          <w:highlight w:val="none"/>
          <w:shd w:val="clear" w:color="auto" w:fill="FFFFFF"/>
        </w:rPr>
        <w:t>9%，得1.5分；部门人均资产增长率为</w:t>
      </w:r>
      <w:r>
        <w:rPr>
          <w:rFonts w:hint="eastAsia" w:ascii="Times New Roman Regular" w:hAnsi="Times New Roman Regular" w:eastAsia="仿宋_GB2312" w:cs="Times New Roman Regular"/>
          <w:color w:val="000000"/>
          <w:kern w:val="0"/>
          <w:sz w:val="32"/>
          <w:szCs w:val="32"/>
          <w:highlight w:val="none"/>
          <w:shd w:val="clear" w:color="auto" w:fill="FFFFFF"/>
          <w:lang w:eastAsia="zh-CN"/>
        </w:rPr>
        <w:t>（2025</w:t>
      </w:r>
      <w:r>
        <w:rPr>
          <w:rFonts w:hint="default" w:ascii="Times New Roman Regular" w:hAnsi="Times New Roman Regular" w:eastAsia="仿宋_GB2312" w:cs="Times New Roman Regular"/>
          <w:color w:val="000000"/>
          <w:kern w:val="0"/>
          <w:sz w:val="32"/>
          <w:szCs w:val="32"/>
          <w:highlight w:val="none"/>
          <w:shd w:val="clear" w:color="auto" w:fill="FFFFFF"/>
          <w:lang w:eastAsia="zh-CN"/>
        </w:rPr>
        <w:t>年</w:t>
      </w:r>
      <w:r>
        <w:rPr>
          <w:rFonts w:hint="default" w:ascii="Times New Roman Regular" w:hAnsi="Times New Roman Regular" w:eastAsia="仿宋_GB2312" w:cs="Times New Roman Regular"/>
          <w:color w:val="000000"/>
          <w:kern w:val="0"/>
          <w:sz w:val="32"/>
          <w:szCs w:val="32"/>
          <w:highlight w:val="none"/>
          <w:shd w:val="clear" w:color="auto" w:fill="FFFFFF"/>
        </w:rPr>
        <w:t>人均占有资产</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17.17</w:t>
      </w:r>
      <w:r>
        <w:rPr>
          <w:rFonts w:hint="default" w:ascii="Times New Roman Regular" w:hAnsi="Times New Roman Regular" w:eastAsia="仿宋_GB2312" w:cs="Times New Roman Regular"/>
          <w:color w:val="000000"/>
          <w:kern w:val="0"/>
          <w:sz w:val="32"/>
          <w:szCs w:val="32"/>
          <w:highlight w:val="none"/>
          <w:shd w:val="clear" w:color="auto" w:fill="FFFFFF"/>
        </w:rPr>
        <w:t>万元-</w:t>
      </w:r>
      <w:r>
        <w:rPr>
          <w:rFonts w:hint="default" w:ascii="Times New Roman Regular" w:hAnsi="Times New Roman Regular" w:eastAsia="仿宋_GB2312" w:cs="Times New Roman Regular"/>
          <w:color w:val="000000"/>
          <w:kern w:val="0"/>
          <w:sz w:val="32"/>
          <w:szCs w:val="32"/>
          <w:highlight w:val="none"/>
          <w:shd w:val="clear" w:color="auto" w:fill="FFFFFF"/>
          <w:lang w:eastAsia="zh-CN"/>
        </w:rPr>
        <w:t>2024年</w:t>
      </w:r>
      <w:r>
        <w:rPr>
          <w:rFonts w:hint="default" w:ascii="Times New Roman Regular" w:hAnsi="Times New Roman Regular" w:eastAsia="仿宋_GB2312" w:cs="Times New Roman Regular"/>
          <w:color w:val="000000"/>
          <w:kern w:val="0"/>
          <w:sz w:val="32"/>
          <w:szCs w:val="32"/>
          <w:highlight w:val="none"/>
          <w:shd w:val="clear" w:color="auto" w:fill="FFFFFF"/>
        </w:rPr>
        <w:t>人均占有资产</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19.63</w:t>
      </w:r>
      <w:r>
        <w:rPr>
          <w:rFonts w:hint="default" w:ascii="Times New Roman Regular" w:hAnsi="Times New Roman Regular" w:eastAsia="仿宋_GB2312" w:cs="Times New Roman Regular"/>
          <w:color w:val="000000"/>
          <w:kern w:val="0"/>
          <w:sz w:val="32"/>
          <w:szCs w:val="32"/>
          <w:highlight w:val="none"/>
          <w:shd w:val="clear" w:color="auto" w:fill="FFFFFF"/>
        </w:rPr>
        <w:t>万元）÷</w:t>
      </w:r>
      <w:r>
        <w:rPr>
          <w:rFonts w:hint="default" w:ascii="Times New Roman Regular" w:hAnsi="Times New Roman Regular" w:eastAsia="仿宋_GB2312" w:cs="Times New Roman Regular"/>
          <w:color w:val="000000"/>
          <w:kern w:val="0"/>
          <w:sz w:val="32"/>
          <w:szCs w:val="32"/>
          <w:highlight w:val="none"/>
          <w:shd w:val="clear" w:color="auto" w:fill="FFFFFF"/>
          <w:lang w:eastAsia="zh-CN"/>
        </w:rPr>
        <w:t>202</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4</w:t>
      </w:r>
      <w:r>
        <w:rPr>
          <w:rFonts w:hint="default" w:ascii="Times New Roman Regular" w:hAnsi="Times New Roman Regular" w:eastAsia="仿宋_GB2312" w:cs="Times New Roman Regular"/>
          <w:color w:val="000000"/>
          <w:kern w:val="0"/>
          <w:sz w:val="32"/>
          <w:szCs w:val="32"/>
          <w:highlight w:val="none"/>
          <w:shd w:val="clear" w:color="auto" w:fill="FFFFFF"/>
          <w:lang w:eastAsia="zh-CN"/>
        </w:rPr>
        <w:t>年</w:t>
      </w:r>
      <w:r>
        <w:rPr>
          <w:rFonts w:hint="default" w:ascii="Times New Roman Regular" w:hAnsi="Times New Roman Regular" w:eastAsia="仿宋_GB2312" w:cs="Times New Roman Regular"/>
          <w:color w:val="000000"/>
          <w:kern w:val="0"/>
          <w:sz w:val="32"/>
          <w:szCs w:val="32"/>
          <w:highlight w:val="none"/>
          <w:shd w:val="clear" w:color="auto" w:fill="FFFFFF"/>
        </w:rPr>
        <w:t>人均占有资产19.6</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3</w:t>
      </w:r>
      <w:r>
        <w:rPr>
          <w:rFonts w:hint="default" w:ascii="Times New Roman Regular" w:hAnsi="Times New Roman Regular" w:eastAsia="仿宋_GB2312" w:cs="Times New Roman Regular"/>
          <w:color w:val="000000"/>
          <w:kern w:val="0"/>
          <w:sz w:val="32"/>
          <w:szCs w:val="32"/>
          <w:highlight w:val="none"/>
          <w:shd w:val="clear" w:color="auto" w:fill="FFFFFF"/>
        </w:rPr>
        <w:t>万元=-</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12.50</w:t>
      </w:r>
      <w:r>
        <w:rPr>
          <w:rFonts w:hint="default" w:ascii="Times New Roman Regular" w:hAnsi="Times New Roman Regular" w:eastAsia="仿宋_GB2312" w:cs="Times New Roman Regular"/>
          <w:color w:val="000000"/>
          <w:kern w:val="0"/>
          <w:sz w:val="32"/>
          <w:szCs w:val="32"/>
          <w:highlight w:val="none"/>
          <w:shd w:val="clear" w:color="auto" w:fill="FFFFFF"/>
        </w:rPr>
        <w:t>%，小于州级财政收入增长率</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17.1</w:t>
      </w:r>
      <w:r>
        <w:rPr>
          <w:rFonts w:hint="default" w:ascii="Times New Roman Regular" w:hAnsi="Times New Roman Regular" w:eastAsia="仿宋_GB2312" w:cs="Times New Roman Regular"/>
          <w:color w:val="000000"/>
          <w:kern w:val="0"/>
          <w:sz w:val="32"/>
          <w:szCs w:val="32"/>
          <w:highlight w:val="none"/>
          <w:shd w:val="clear" w:color="auto" w:fill="FFFFFF"/>
        </w:rPr>
        <w:t>%。</w:t>
      </w:r>
    </w:p>
    <w:p w14:paraId="6A546233">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highlight w:val="none"/>
          <w:shd w:val="clear" w:color="auto" w:fill="FFFFFF"/>
        </w:rPr>
      </w:pPr>
      <w:r>
        <w:rPr>
          <w:rFonts w:hint="default" w:ascii="Times New Roman Regular" w:hAnsi="Times New Roman Regular" w:eastAsia="仿宋_GB2312" w:cs="Times New Roman Regular"/>
          <w:color w:val="000000"/>
          <w:kern w:val="0"/>
          <w:sz w:val="32"/>
          <w:szCs w:val="32"/>
          <w:highlight w:val="none"/>
          <w:shd w:val="clear" w:color="auto" w:fill="FFFFFF"/>
        </w:rPr>
        <w:t>综上，根据评分标准，</w:t>
      </w:r>
      <w:r>
        <w:rPr>
          <w:rFonts w:hint="default" w:ascii="Times New Roman Regular" w:hAnsi="Times New Roman Regular" w:eastAsia="仿宋_GB2312" w:cs="Times New Roman Regular"/>
          <w:color w:val="000000"/>
          <w:kern w:val="0"/>
          <w:sz w:val="32"/>
          <w:szCs w:val="32"/>
          <w:shd w:val="clear" w:color="auto" w:fill="FFFFFF"/>
          <w:lang w:val="zh-CN"/>
        </w:rPr>
        <w:t>该项指标不扣分</w:t>
      </w:r>
      <w:r>
        <w:rPr>
          <w:rFonts w:hint="eastAsia" w:ascii="Times New Roman Regular" w:hAnsi="Times New Roman Regular" w:eastAsia="仿宋_GB2312" w:cs="Times New Roman Regular"/>
          <w:color w:val="000000"/>
          <w:kern w:val="0"/>
          <w:sz w:val="32"/>
          <w:szCs w:val="32"/>
          <w:shd w:val="clear" w:color="auto" w:fill="FFFFFF"/>
          <w:lang w:val="zh-CN"/>
        </w:rPr>
        <w:t>，</w:t>
      </w:r>
      <w:r>
        <w:rPr>
          <w:rFonts w:hint="default" w:ascii="Times New Roman Regular" w:hAnsi="Times New Roman Regular" w:eastAsia="仿宋_GB2312" w:cs="Times New Roman Regular"/>
          <w:color w:val="000000"/>
          <w:kern w:val="0"/>
          <w:sz w:val="32"/>
          <w:szCs w:val="32"/>
          <w:highlight w:val="none"/>
          <w:shd w:val="clear" w:color="auto" w:fill="FFFFFF"/>
        </w:rPr>
        <w:t>得3分。</w:t>
      </w:r>
    </w:p>
    <w:p w14:paraId="79741626">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highlight w:val="none"/>
          <w:shd w:val="clear" w:color="auto" w:fill="FFFFFF"/>
        </w:rPr>
      </w:pPr>
      <w:r>
        <w:rPr>
          <w:rFonts w:hint="default" w:ascii="Times New Roman Regular" w:hAnsi="Times New Roman Regular" w:eastAsia="仿宋_GB2312" w:cs="Times New Roman Regular"/>
          <w:color w:val="000000"/>
          <w:kern w:val="0"/>
          <w:sz w:val="32"/>
          <w:szCs w:val="32"/>
          <w:highlight w:val="none"/>
          <w:shd w:val="clear" w:color="auto" w:fill="FFFFFF"/>
        </w:rPr>
        <w:t>（2）资产利用率</w:t>
      </w:r>
    </w:p>
    <w:p w14:paraId="3FE24DA1">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highlight w:val="none"/>
          <w:shd w:val="clear" w:color="auto" w:fill="FFFFFF"/>
        </w:rPr>
      </w:pPr>
      <w:r>
        <w:rPr>
          <w:rFonts w:hint="eastAsia" w:ascii="Times New Roman Regular" w:hAnsi="Times New Roman Regular" w:eastAsia="仿宋_GB2312" w:cs="Times New Roman Regular"/>
          <w:color w:val="000000"/>
          <w:kern w:val="0"/>
          <w:sz w:val="32"/>
          <w:szCs w:val="32"/>
          <w:highlight w:val="none"/>
          <w:shd w:val="clear" w:color="auto" w:fill="FFFFFF"/>
          <w:lang w:val="en-US" w:eastAsia="zh-CN"/>
        </w:rPr>
        <w:t>我</w:t>
      </w:r>
      <w:r>
        <w:rPr>
          <w:rFonts w:hint="default" w:ascii="Times New Roman Regular" w:hAnsi="Times New Roman Regular" w:eastAsia="仿宋_GB2312" w:cs="Times New Roman Regular"/>
          <w:color w:val="000000"/>
          <w:kern w:val="0"/>
          <w:sz w:val="32"/>
          <w:szCs w:val="32"/>
          <w:highlight w:val="none"/>
          <w:shd w:val="clear" w:color="auto" w:fill="FFFFFF"/>
        </w:rPr>
        <w:t>院超最低使用年限的办公家具账面价值为0万元，办公家具账面价值为0万元，办公家具超最低使用年限资产利用率为0，小于</w:t>
      </w:r>
      <w:r>
        <w:rPr>
          <w:rFonts w:hint="default" w:ascii="Times New Roman Regular" w:hAnsi="Times New Roman Regular" w:eastAsia="仿宋_GB2312" w:cs="Times New Roman Regular"/>
          <w:color w:val="000000"/>
          <w:kern w:val="0"/>
          <w:sz w:val="32"/>
          <w:szCs w:val="32"/>
          <w:highlight w:val="none"/>
          <w:shd w:val="clear" w:color="auto" w:fill="FFFFFF"/>
          <w:lang w:eastAsia="zh-CN"/>
        </w:rPr>
        <w:t>2025年</w:t>
      </w:r>
      <w:r>
        <w:rPr>
          <w:rFonts w:hint="default" w:ascii="Times New Roman Regular" w:hAnsi="Times New Roman Regular" w:eastAsia="仿宋_GB2312" w:cs="Times New Roman Regular"/>
          <w:color w:val="000000"/>
          <w:kern w:val="0"/>
          <w:sz w:val="32"/>
          <w:szCs w:val="32"/>
          <w:highlight w:val="none"/>
          <w:shd w:val="clear" w:color="auto" w:fill="FFFFFF"/>
        </w:rPr>
        <w:t>资产利用率的州直行政事业单位平均值</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12.93</w:t>
      </w:r>
      <w:r>
        <w:rPr>
          <w:rFonts w:hint="default" w:ascii="Times New Roman Regular" w:hAnsi="Times New Roman Regular" w:eastAsia="仿宋_GB2312" w:cs="Times New Roman Regular"/>
          <w:color w:val="000000"/>
          <w:kern w:val="0"/>
          <w:sz w:val="32"/>
          <w:szCs w:val="32"/>
          <w:highlight w:val="none"/>
          <w:shd w:val="clear" w:color="auto" w:fill="FFFFFF"/>
        </w:rPr>
        <w:t>%；</w:t>
      </w:r>
      <w:r>
        <w:rPr>
          <w:rFonts w:hint="default" w:ascii="Times New Roman Regular" w:hAnsi="Times New Roman Regular" w:eastAsia="仿宋_GB2312" w:cs="Times New Roman Regular"/>
          <w:color w:val="000000"/>
          <w:kern w:val="0"/>
          <w:sz w:val="32"/>
          <w:szCs w:val="32"/>
          <w:highlight w:val="none"/>
          <w:shd w:val="clear" w:color="auto" w:fill="FFFFFF"/>
          <w:lang w:eastAsia="zh-CN"/>
        </w:rPr>
        <w:t>2025年</w:t>
      </w:r>
      <w:r>
        <w:rPr>
          <w:rFonts w:hint="default" w:ascii="Times New Roman Regular" w:hAnsi="Times New Roman Regular" w:eastAsia="仿宋_GB2312" w:cs="Times New Roman Regular"/>
          <w:color w:val="000000"/>
          <w:kern w:val="0"/>
          <w:sz w:val="32"/>
          <w:szCs w:val="32"/>
          <w:highlight w:val="none"/>
          <w:shd w:val="clear" w:color="auto" w:fill="FFFFFF"/>
        </w:rPr>
        <w:t>办公设备超最低使用年限账面价值为</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0</w:t>
      </w:r>
      <w:r>
        <w:rPr>
          <w:rFonts w:hint="default" w:ascii="Times New Roman Regular" w:hAnsi="Times New Roman Regular" w:eastAsia="仿宋_GB2312" w:cs="Times New Roman Regular"/>
          <w:color w:val="000000"/>
          <w:kern w:val="0"/>
          <w:sz w:val="32"/>
          <w:szCs w:val="32"/>
          <w:highlight w:val="none"/>
          <w:shd w:val="clear" w:color="auto" w:fill="FFFFFF"/>
        </w:rPr>
        <w:t>万元，办公设备超最低使用年限资产利用率为</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0</w:t>
      </w:r>
      <w:r>
        <w:rPr>
          <w:rFonts w:hint="default" w:ascii="Times New Roman Regular" w:hAnsi="Times New Roman Regular" w:eastAsia="仿宋_GB2312" w:cs="Times New Roman Regular"/>
          <w:color w:val="000000"/>
          <w:kern w:val="0"/>
          <w:sz w:val="32"/>
          <w:szCs w:val="32"/>
          <w:highlight w:val="none"/>
          <w:shd w:val="clear" w:color="auto" w:fill="FFFFFF"/>
        </w:rPr>
        <w:t>%，小于</w:t>
      </w:r>
      <w:r>
        <w:rPr>
          <w:rFonts w:hint="default" w:ascii="Times New Roman Regular" w:hAnsi="Times New Roman Regular" w:eastAsia="仿宋_GB2312" w:cs="Times New Roman Regular"/>
          <w:color w:val="000000"/>
          <w:kern w:val="0"/>
          <w:sz w:val="32"/>
          <w:szCs w:val="32"/>
          <w:highlight w:val="none"/>
          <w:shd w:val="clear" w:color="auto" w:fill="FFFFFF"/>
          <w:lang w:eastAsia="zh-CN"/>
        </w:rPr>
        <w:t>2025年</w:t>
      </w:r>
      <w:r>
        <w:rPr>
          <w:rFonts w:hint="default" w:ascii="Times New Roman Regular" w:hAnsi="Times New Roman Regular" w:eastAsia="仿宋_GB2312" w:cs="Times New Roman Regular"/>
          <w:color w:val="000000"/>
          <w:kern w:val="0"/>
          <w:sz w:val="32"/>
          <w:szCs w:val="32"/>
          <w:highlight w:val="none"/>
          <w:shd w:val="clear" w:color="auto" w:fill="FFFFFF"/>
        </w:rPr>
        <w:t>办公设备超最低使用年限资产利用率的州直行政事业单位平均值5</w:t>
      </w:r>
      <w:r>
        <w:rPr>
          <w:rFonts w:hint="default" w:ascii="Times New Roman Regular" w:hAnsi="Times New Roman Regular" w:eastAsia="仿宋_GB2312" w:cs="Times New Roman Regular"/>
          <w:color w:val="000000"/>
          <w:kern w:val="0"/>
          <w:sz w:val="32"/>
          <w:szCs w:val="32"/>
          <w:highlight w:val="none"/>
          <w:shd w:val="clear" w:color="auto" w:fill="FFFFFF"/>
          <w:lang w:val="en-US" w:eastAsia="zh-CN"/>
        </w:rPr>
        <w:t>3.14</w:t>
      </w:r>
      <w:r>
        <w:rPr>
          <w:rFonts w:hint="default" w:ascii="Times New Roman Regular" w:hAnsi="Times New Roman Regular" w:eastAsia="仿宋_GB2312" w:cs="Times New Roman Regular"/>
          <w:color w:val="000000"/>
          <w:kern w:val="0"/>
          <w:sz w:val="32"/>
          <w:szCs w:val="32"/>
          <w:highlight w:val="none"/>
          <w:shd w:val="clear" w:color="auto" w:fill="FFFFFF"/>
        </w:rPr>
        <w:t>%。</w:t>
      </w:r>
    </w:p>
    <w:p w14:paraId="7E721356">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rPr>
      </w:pPr>
      <w:r>
        <w:rPr>
          <w:rFonts w:hint="default" w:ascii="Times New Roman Regular" w:hAnsi="Times New Roman Regular" w:eastAsia="仿宋_GB2312" w:cs="Times New Roman Regular"/>
          <w:color w:val="000000"/>
          <w:kern w:val="0"/>
          <w:sz w:val="32"/>
          <w:szCs w:val="32"/>
          <w:shd w:val="clear" w:color="auto" w:fill="FFFFFF"/>
        </w:rPr>
        <w:t>综上，根据评分标准，该项指标扣</w:t>
      </w:r>
      <w:r>
        <w:rPr>
          <w:rFonts w:hint="default" w:ascii="Times New Roman Regular" w:hAnsi="Times New Roman Regular" w:eastAsia="仿宋_GB2312" w:cs="Times New Roman Regular"/>
          <w:color w:val="000000"/>
          <w:kern w:val="0"/>
          <w:sz w:val="32"/>
          <w:szCs w:val="32"/>
          <w:shd w:val="clear" w:color="auto" w:fill="FFFFFF"/>
          <w:lang w:val="en-US" w:eastAsia="zh-CN"/>
        </w:rPr>
        <w:t>3</w:t>
      </w:r>
      <w:r>
        <w:rPr>
          <w:rFonts w:hint="default" w:ascii="Times New Roman Regular" w:hAnsi="Times New Roman Regular" w:eastAsia="仿宋_GB2312" w:cs="Times New Roman Regular"/>
          <w:color w:val="000000"/>
          <w:kern w:val="0"/>
          <w:sz w:val="32"/>
          <w:szCs w:val="32"/>
          <w:shd w:val="clear" w:color="auto" w:fill="FFFFFF"/>
        </w:rPr>
        <w:t>分，得</w:t>
      </w:r>
      <w:r>
        <w:rPr>
          <w:rFonts w:hint="default" w:ascii="Times New Roman Regular" w:hAnsi="Times New Roman Regular" w:eastAsia="仿宋_GB2312" w:cs="Times New Roman Regular"/>
          <w:color w:val="000000"/>
          <w:kern w:val="0"/>
          <w:sz w:val="32"/>
          <w:szCs w:val="32"/>
          <w:shd w:val="clear" w:color="auto" w:fill="FFFFFF"/>
          <w:lang w:val="en-US" w:eastAsia="zh-CN"/>
        </w:rPr>
        <w:t>0</w:t>
      </w:r>
      <w:r>
        <w:rPr>
          <w:rFonts w:hint="default" w:ascii="Times New Roman Regular" w:hAnsi="Times New Roman Regular" w:eastAsia="仿宋_GB2312" w:cs="Times New Roman Regular"/>
          <w:color w:val="000000"/>
          <w:kern w:val="0"/>
          <w:sz w:val="32"/>
          <w:szCs w:val="32"/>
          <w:shd w:val="clear" w:color="auto" w:fill="FFFFFF"/>
        </w:rPr>
        <w:t>分。</w:t>
      </w:r>
    </w:p>
    <w:p w14:paraId="7D4F2D3B">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rPr>
      </w:pPr>
      <w:r>
        <w:rPr>
          <w:rFonts w:hint="default" w:ascii="Times New Roman Regular" w:hAnsi="Times New Roman Regular" w:eastAsia="仿宋_GB2312" w:cs="Times New Roman Regular"/>
          <w:color w:val="000000"/>
          <w:kern w:val="0"/>
          <w:sz w:val="32"/>
          <w:szCs w:val="32"/>
          <w:shd w:val="clear" w:color="auto" w:fill="FFFFFF"/>
        </w:rPr>
        <w:t>（3）资产盘活率</w:t>
      </w:r>
    </w:p>
    <w:p w14:paraId="4F02C073">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rPr>
      </w:pPr>
      <w:r>
        <w:rPr>
          <w:rFonts w:hint="eastAsia" w:ascii="Times New Roman Regular" w:hAnsi="Times New Roman Regular" w:eastAsia="仿宋_GB2312" w:cs="Times New Roman Regular"/>
          <w:color w:val="000000"/>
          <w:kern w:val="0"/>
          <w:sz w:val="32"/>
          <w:szCs w:val="32"/>
          <w:shd w:val="clear" w:color="auto" w:fill="FFFFFF"/>
          <w:lang w:val="en-US" w:eastAsia="zh-CN"/>
        </w:rPr>
        <w:t>我院</w:t>
      </w:r>
      <w:r>
        <w:rPr>
          <w:rFonts w:hint="default" w:ascii="Times New Roman Regular" w:hAnsi="Times New Roman Regular" w:eastAsia="仿宋_GB2312" w:cs="Times New Roman Regular"/>
          <w:color w:val="000000"/>
          <w:kern w:val="0"/>
          <w:sz w:val="32"/>
          <w:szCs w:val="32"/>
          <w:shd w:val="clear" w:color="auto" w:fill="FFFFFF"/>
          <w:lang w:eastAsia="zh-CN"/>
        </w:rPr>
        <w:t>2024年</w:t>
      </w:r>
      <w:r>
        <w:rPr>
          <w:rFonts w:hint="default" w:ascii="Times New Roman Regular" w:hAnsi="Times New Roman Regular" w:eastAsia="仿宋_GB2312" w:cs="Times New Roman Regular"/>
          <w:color w:val="000000"/>
          <w:kern w:val="0"/>
          <w:sz w:val="32"/>
          <w:szCs w:val="32"/>
          <w:shd w:val="clear" w:color="auto" w:fill="FFFFFF"/>
        </w:rPr>
        <w:t>、</w:t>
      </w:r>
      <w:r>
        <w:rPr>
          <w:rFonts w:hint="default" w:ascii="Times New Roman Regular" w:hAnsi="Times New Roman Regular" w:eastAsia="仿宋_GB2312" w:cs="Times New Roman Regular"/>
          <w:color w:val="000000"/>
          <w:kern w:val="0"/>
          <w:sz w:val="32"/>
          <w:szCs w:val="32"/>
          <w:shd w:val="clear" w:color="auto" w:fill="FFFFFF"/>
          <w:lang w:eastAsia="zh-CN"/>
        </w:rPr>
        <w:t>2025年</w:t>
      </w:r>
      <w:r>
        <w:rPr>
          <w:rFonts w:hint="default" w:ascii="Times New Roman Regular" w:hAnsi="Times New Roman Regular" w:eastAsia="仿宋_GB2312" w:cs="Times New Roman Regular"/>
          <w:color w:val="000000"/>
          <w:kern w:val="0"/>
          <w:sz w:val="32"/>
          <w:szCs w:val="32"/>
          <w:shd w:val="clear" w:color="auto" w:fill="FFFFFF"/>
        </w:rPr>
        <w:t>均无闲置资产。</w:t>
      </w:r>
    </w:p>
    <w:p w14:paraId="1A12E8AA">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rPr>
      </w:pPr>
      <w:r>
        <w:rPr>
          <w:rFonts w:hint="default" w:ascii="Times New Roman Regular" w:hAnsi="Times New Roman Regular" w:eastAsia="仿宋_GB2312" w:cs="Times New Roman Regular"/>
          <w:color w:val="000000"/>
          <w:kern w:val="0"/>
          <w:sz w:val="32"/>
          <w:szCs w:val="32"/>
          <w:shd w:val="clear" w:color="auto" w:fill="FFFFFF"/>
        </w:rPr>
        <w:t>综上，根据评分标准，该项指标不扣分，得3分。</w:t>
      </w:r>
    </w:p>
    <w:p w14:paraId="034DD476">
      <w:pPr>
        <w:suppressAutoHyphens/>
        <w:bidi w:val="0"/>
        <w:adjustRightInd w:val="0"/>
        <w:snapToGrid w:val="0"/>
        <w:spacing w:line="578" w:lineRule="exact"/>
        <w:ind w:firstLine="640" w:firstLineChars="200"/>
        <w:contextualSpacing/>
        <w:jc w:val="left"/>
        <w:rPr>
          <w:rFonts w:hint="default" w:ascii="Times New Roman Regular" w:hAnsi="Times New Roman Regular" w:eastAsia="楷体_GB2312" w:cs="Times New Roman Regular"/>
          <w:color w:val="000000"/>
          <w:kern w:val="0"/>
          <w:sz w:val="32"/>
          <w:szCs w:val="32"/>
          <w:shd w:val="clear" w:color="auto" w:fill="FFFFFF"/>
          <w:lang w:val="zh-CN"/>
        </w:rPr>
      </w:pPr>
      <w:r>
        <w:rPr>
          <w:rFonts w:hint="default" w:ascii="Times New Roman Regular" w:hAnsi="Times New Roman Regular" w:eastAsia="楷体_GB2312" w:cs="Times New Roman Regular"/>
          <w:color w:val="000000"/>
          <w:kern w:val="0"/>
          <w:sz w:val="32"/>
          <w:szCs w:val="32"/>
          <w:shd w:val="clear" w:color="auto" w:fill="FFFFFF"/>
        </w:rPr>
        <w:t>5.</w:t>
      </w:r>
      <w:r>
        <w:rPr>
          <w:rFonts w:hint="default" w:ascii="Times New Roman Regular" w:hAnsi="Times New Roman Regular" w:eastAsia="楷体_GB2312" w:cs="Times New Roman Regular"/>
          <w:color w:val="000000"/>
          <w:kern w:val="0"/>
          <w:sz w:val="32"/>
          <w:szCs w:val="32"/>
          <w:shd w:val="clear" w:color="auto" w:fill="FFFFFF"/>
          <w:lang w:val="zh-CN"/>
        </w:rPr>
        <w:t>采购管理。</w:t>
      </w:r>
    </w:p>
    <w:p w14:paraId="0A5D9675">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w:t>
      </w:r>
      <w:r>
        <w:rPr>
          <w:rFonts w:hint="default" w:ascii="Times New Roman Regular" w:hAnsi="Times New Roman Regular" w:eastAsia="仿宋_GB2312" w:cs="Times New Roman Regular"/>
          <w:color w:val="000000"/>
          <w:kern w:val="0"/>
          <w:sz w:val="32"/>
          <w:szCs w:val="32"/>
          <w:shd w:val="clear" w:color="auto" w:fill="FFFFFF"/>
        </w:rPr>
        <w:t>1</w:t>
      </w:r>
      <w:r>
        <w:rPr>
          <w:rFonts w:hint="default" w:ascii="Times New Roman Regular" w:hAnsi="Times New Roman Regular" w:eastAsia="仿宋_GB2312" w:cs="Times New Roman Regular"/>
          <w:color w:val="000000"/>
          <w:kern w:val="0"/>
          <w:sz w:val="32"/>
          <w:szCs w:val="32"/>
          <w:shd w:val="clear" w:color="auto" w:fill="FFFFFF"/>
          <w:lang w:val="zh-CN"/>
        </w:rPr>
        <w:t>）支持中小企业发展</w:t>
      </w:r>
    </w:p>
    <w:p w14:paraId="5AEC3A66">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对适宜由中小企业提供的采购项目和采购包，预留采购份额专门面向中小企业采购，并在采购预算中单独列示，授予小微企业合同金额</w:t>
      </w:r>
      <w:r>
        <w:rPr>
          <w:rFonts w:hint="default" w:ascii="Times New Roman Regular" w:hAnsi="Times New Roman Regular" w:eastAsia="仿宋_GB2312" w:cs="Times New Roman Regular"/>
          <w:color w:val="000000"/>
          <w:kern w:val="0"/>
          <w:sz w:val="32"/>
          <w:szCs w:val="32"/>
          <w:shd w:val="clear" w:color="auto" w:fill="FFFFFF"/>
          <w:lang w:val="en-US" w:eastAsia="zh-CN"/>
        </w:rPr>
        <w:t>为151.30万元</w:t>
      </w:r>
      <w:r>
        <w:rPr>
          <w:rFonts w:hint="default" w:ascii="Times New Roman Regular" w:hAnsi="Times New Roman Regular" w:eastAsia="仿宋_GB2312" w:cs="Times New Roman Regular"/>
          <w:color w:val="000000"/>
          <w:kern w:val="0"/>
          <w:sz w:val="32"/>
          <w:szCs w:val="32"/>
          <w:shd w:val="clear" w:color="auto" w:fill="FFFFFF"/>
          <w:lang w:val="zh-CN"/>
        </w:rPr>
        <w:t>。</w:t>
      </w:r>
    </w:p>
    <w:p w14:paraId="59DC251E">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综上，根据评分标准，该项指标不扣分，该项指标得3分。</w:t>
      </w:r>
    </w:p>
    <w:p w14:paraId="1156DF27">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w:t>
      </w:r>
      <w:r>
        <w:rPr>
          <w:rFonts w:hint="default" w:ascii="Times New Roman Regular" w:hAnsi="Times New Roman Regular" w:eastAsia="仿宋_GB2312" w:cs="Times New Roman Regular"/>
          <w:color w:val="000000"/>
          <w:kern w:val="0"/>
          <w:sz w:val="32"/>
          <w:szCs w:val="32"/>
          <w:shd w:val="clear" w:color="auto" w:fill="FFFFFF"/>
        </w:rPr>
        <w:t>2</w:t>
      </w:r>
      <w:r>
        <w:rPr>
          <w:rFonts w:hint="default" w:ascii="Times New Roman Regular" w:hAnsi="Times New Roman Regular" w:eastAsia="仿宋_GB2312" w:cs="Times New Roman Regular"/>
          <w:color w:val="000000"/>
          <w:kern w:val="0"/>
          <w:sz w:val="32"/>
          <w:szCs w:val="32"/>
          <w:shd w:val="clear" w:color="auto" w:fill="FFFFFF"/>
          <w:lang w:val="zh-CN"/>
        </w:rPr>
        <w:t>）采购执行率</w:t>
      </w:r>
    </w:p>
    <w:p w14:paraId="3105D9D9">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rPr>
        <w:t>本部门</w:t>
      </w:r>
      <w:r>
        <w:rPr>
          <w:rFonts w:hint="default" w:ascii="Times New Roman Regular" w:hAnsi="Times New Roman Regular" w:eastAsia="仿宋_GB2312" w:cs="Times New Roman Regular"/>
          <w:color w:val="000000"/>
          <w:kern w:val="0"/>
          <w:sz w:val="32"/>
          <w:szCs w:val="32"/>
          <w:shd w:val="clear" w:color="auto" w:fill="FFFFFF"/>
          <w:lang w:val="zh-CN"/>
        </w:rPr>
        <w:t>当年涉及政府采购</w:t>
      </w:r>
      <w:r>
        <w:rPr>
          <w:rFonts w:hint="default" w:ascii="Times New Roman Regular" w:hAnsi="Times New Roman Regular" w:eastAsia="仿宋_GB2312" w:cs="Times New Roman Regular"/>
          <w:color w:val="000000"/>
          <w:kern w:val="0"/>
          <w:sz w:val="32"/>
          <w:szCs w:val="32"/>
          <w:shd w:val="clear" w:color="auto" w:fill="FFFFFF"/>
        </w:rPr>
        <w:t>总预算221.</w:t>
      </w:r>
      <w:r>
        <w:rPr>
          <w:rFonts w:hint="default" w:ascii="Times New Roman Regular" w:hAnsi="Times New Roman Regular" w:eastAsia="仿宋_GB2312" w:cs="Times New Roman Regular"/>
          <w:color w:val="000000"/>
          <w:kern w:val="0"/>
          <w:sz w:val="32"/>
          <w:szCs w:val="32"/>
          <w:shd w:val="clear" w:color="auto" w:fill="FFFFFF"/>
          <w:lang w:val="en-US" w:eastAsia="zh-CN"/>
        </w:rPr>
        <w:t>56</w:t>
      </w:r>
      <w:r>
        <w:rPr>
          <w:rFonts w:hint="default" w:ascii="Times New Roman Regular" w:hAnsi="Times New Roman Regular" w:eastAsia="仿宋_GB2312" w:cs="Times New Roman Regular"/>
          <w:color w:val="000000"/>
          <w:kern w:val="0"/>
          <w:sz w:val="32"/>
          <w:szCs w:val="32"/>
          <w:shd w:val="clear" w:color="auto" w:fill="FFFFFF"/>
        </w:rPr>
        <w:t>万元，</w:t>
      </w:r>
      <w:r>
        <w:rPr>
          <w:rFonts w:hint="default" w:ascii="Times New Roman Regular" w:hAnsi="Times New Roman Regular" w:eastAsia="仿宋_GB2312" w:cs="Times New Roman Regular"/>
          <w:color w:val="000000"/>
          <w:kern w:val="0"/>
          <w:sz w:val="32"/>
          <w:szCs w:val="32"/>
          <w:shd w:val="clear" w:color="auto" w:fill="FFFFFF"/>
          <w:lang w:val="en-US" w:eastAsia="zh-CN"/>
        </w:rPr>
        <w:t>支出</w:t>
      </w:r>
      <w:r>
        <w:rPr>
          <w:rFonts w:hint="default" w:ascii="Times New Roman Regular" w:hAnsi="Times New Roman Regular" w:eastAsia="仿宋_GB2312" w:cs="Times New Roman Regular"/>
          <w:color w:val="000000"/>
          <w:kern w:val="0"/>
          <w:sz w:val="32"/>
          <w:szCs w:val="32"/>
          <w:shd w:val="clear" w:color="auto" w:fill="FFFFFF"/>
        </w:rPr>
        <w:t>数</w:t>
      </w:r>
      <w:r>
        <w:rPr>
          <w:rFonts w:hint="default" w:ascii="Times New Roman Regular" w:hAnsi="Times New Roman Regular" w:eastAsia="仿宋_GB2312" w:cs="Times New Roman Regular"/>
          <w:color w:val="000000"/>
          <w:kern w:val="0"/>
          <w:sz w:val="32"/>
          <w:szCs w:val="32"/>
          <w:shd w:val="clear" w:color="auto" w:fill="FFFFFF"/>
          <w:lang w:val="en-US" w:eastAsia="zh-CN"/>
        </w:rPr>
        <w:t>221.30</w:t>
      </w:r>
      <w:r>
        <w:rPr>
          <w:rFonts w:hint="default" w:ascii="Times New Roman Regular" w:hAnsi="Times New Roman Regular" w:eastAsia="仿宋_GB2312" w:cs="Times New Roman Regular"/>
          <w:color w:val="000000"/>
          <w:kern w:val="0"/>
          <w:sz w:val="32"/>
          <w:szCs w:val="32"/>
          <w:shd w:val="clear" w:color="auto" w:fill="FFFFFF"/>
        </w:rPr>
        <w:t>万元，预算执行率</w:t>
      </w:r>
      <w:r>
        <w:rPr>
          <w:rFonts w:hint="default" w:ascii="Times New Roman Regular" w:hAnsi="Times New Roman Regular" w:eastAsia="仿宋_GB2312" w:cs="Times New Roman Regular"/>
          <w:color w:val="000000"/>
          <w:kern w:val="0"/>
          <w:sz w:val="32"/>
          <w:szCs w:val="32"/>
          <w:shd w:val="clear" w:color="auto" w:fill="FFFFFF"/>
          <w:lang w:val="en-US" w:eastAsia="zh-CN"/>
        </w:rPr>
        <w:t>99.88</w:t>
      </w:r>
      <w:r>
        <w:rPr>
          <w:rFonts w:hint="default" w:ascii="Times New Roman Regular" w:hAnsi="Times New Roman Regular" w:eastAsia="仿宋_GB2312" w:cs="Times New Roman Regular"/>
          <w:color w:val="000000"/>
          <w:kern w:val="0"/>
          <w:sz w:val="32"/>
          <w:szCs w:val="32"/>
          <w:shd w:val="clear" w:color="auto" w:fill="FFFFFF"/>
        </w:rPr>
        <w:t>%</w:t>
      </w:r>
      <w:r>
        <w:rPr>
          <w:rFonts w:hint="default" w:ascii="Times New Roman Regular" w:hAnsi="Times New Roman Regular" w:eastAsia="仿宋_GB2312" w:cs="Times New Roman Regular"/>
          <w:color w:val="000000"/>
          <w:kern w:val="0"/>
          <w:sz w:val="32"/>
          <w:szCs w:val="32"/>
          <w:shd w:val="clear" w:color="auto" w:fill="FFFFFF"/>
          <w:lang w:val="zh-CN"/>
        </w:rPr>
        <w:t>。</w:t>
      </w:r>
    </w:p>
    <w:p w14:paraId="13F03594">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综上，根据评分标准，该项指标</w:t>
      </w:r>
      <w:r>
        <w:rPr>
          <w:rFonts w:hint="default" w:ascii="Times New Roman Regular" w:hAnsi="Times New Roman Regular" w:eastAsia="仿宋_GB2312" w:cs="Times New Roman Regular"/>
          <w:color w:val="000000"/>
          <w:kern w:val="0"/>
          <w:sz w:val="32"/>
          <w:szCs w:val="32"/>
          <w:shd w:val="clear" w:color="auto" w:fill="FFFFFF"/>
          <w:lang w:val="en-US" w:eastAsia="zh-CN"/>
        </w:rPr>
        <w:t>不扣</w:t>
      </w:r>
      <w:r>
        <w:rPr>
          <w:rFonts w:hint="default" w:ascii="Times New Roman Regular" w:hAnsi="Times New Roman Regular" w:eastAsia="仿宋_GB2312" w:cs="Times New Roman Regular"/>
          <w:color w:val="000000"/>
          <w:kern w:val="0"/>
          <w:sz w:val="32"/>
          <w:szCs w:val="32"/>
          <w:shd w:val="clear" w:color="auto" w:fill="FFFFFF"/>
          <w:lang w:val="zh-CN"/>
        </w:rPr>
        <w:t>分，该项指标得</w:t>
      </w:r>
      <w:r>
        <w:rPr>
          <w:rFonts w:hint="default" w:ascii="Times New Roman Regular" w:hAnsi="Times New Roman Regular" w:eastAsia="仿宋_GB2312" w:cs="Times New Roman Regular"/>
          <w:color w:val="000000"/>
          <w:kern w:val="0"/>
          <w:sz w:val="32"/>
          <w:szCs w:val="32"/>
          <w:shd w:val="clear" w:color="auto" w:fill="FFFFFF"/>
          <w:lang w:val="en-US" w:eastAsia="zh-CN"/>
        </w:rPr>
        <w:t>3</w:t>
      </w:r>
      <w:r>
        <w:rPr>
          <w:rFonts w:hint="default" w:ascii="Times New Roman Regular" w:hAnsi="Times New Roman Regular" w:eastAsia="仿宋_GB2312" w:cs="Times New Roman Regular"/>
          <w:color w:val="000000"/>
          <w:kern w:val="0"/>
          <w:sz w:val="32"/>
          <w:szCs w:val="32"/>
          <w:shd w:val="clear" w:color="auto" w:fill="FFFFFF"/>
          <w:lang w:val="zh-CN"/>
        </w:rPr>
        <w:t>分。</w:t>
      </w:r>
    </w:p>
    <w:p w14:paraId="529E9EA6">
      <w:pPr>
        <w:suppressAutoHyphens/>
        <w:bidi w:val="0"/>
        <w:adjustRightInd w:val="0"/>
        <w:snapToGrid w:val="0"/>
        <w:spacing w:line="578" w:lineRule="exact"/>
        <w:ind w:firstLine="643" w:firstLineChars="200"/>
        <w:contextualSpacing/>
        <w:jc w:val="left"/>
        <w:rPr>
          <w:rFonts w:hint="default" w:ascii="Times New Roman Regular" w:hAnsi="Times New Roman Regular" w:eastAsia="楷体_GB2312" w:cs="Times New Roman Regular"/>
          <w:b/>
          <w:bCs/>
          <w:color w:val="000000"/>
          <w:kern w:val="0"/>
          <w:sz w:val="32"/>
          <w:szCs w:val="32"/>
          <w:shd w:val="clear" w:color="auto" w:fill="FFFFFF"/>
          <w:lang w:val="zh-CN"/>
        </w:rPr>
      </w:pPr>
      <w:r>
        <w:rPr>
          <w:rFonts w:hint="default" w:ascii="Times New Roman Regular" w:hAnsi="Times New Roman Regular" w:eastAsia="楷体_GB2312" w:cs="Times New Roman Regular"/>
          <w:b/>
          <w:bCs/>
          <w:color w:val="000000"/>
          <w:kern w:val="0"/>
          <w:sz w:val="32"/>
          <w:szCs w:val="32"/>
          <w:shd w:val="clear" w:color="auto" w:fill="FFFFFF"/>
          <w:lang w:val="zh-CN"/>
        </w:rPr>
        <w:t>（二）部门预算项目绩效分析。</w:t>
      </w:r>
    </w:p>
    <w:p w14:paraId="6984F5BA">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rPr>
        <w:t>常年项目绩效分析。</w:t>
      </w:r>
      <w:r>
        <w:rPr>
          <w:rFonts w:hint="default" w:ascii="Times New Roman Regular" w:hAnsi="Times New Roman Regular" w:eastAsia="仿宋_GB2312" w:cs="Times New Roman Regular"/>
          <w:color w:val="000000"/>
          <w:kern w:val="0"/>
          <w:sz w:val="32"/>
          <w:szCs w:val="32"/>
          <w:shd w:val="clear" w:color="auto" w:fill="FFFFFF"/>
          <w:lang w:val="zh-CN"/>
        </w:rPr>
        <w:t>该类项目总数</w:t>
      </w:r>
      <w:r>
        <w:rPr>
          <w:rFonts w:hint="default" w:ascii="Times New Roman Regular" w:hAnsi="Times New Roman Regular" w:eastAsia="仿宋_GB2312" w:cs="Times New Roman Regular"/>
          <w:color w:val="000000"/>
          <w:kern w:val="0"/>
          <w:sz w:val="32"/>
          <w:szCs w:val="32"/>
          <w:shd w:val="clear" w:color="auto" w:fill="FFFFFF"/>
          <w:lang w:val="en-US" w:eastAsia="zh-CN"/>
        </w:rPr>
        <w:t>1</w:t>
      </w:r>
      <w:r>
        <w:rPr>
          <w:rFonts w:hint="default" w:ascii="Times New Roman Regular" w:hAnsi="Times New Roman Regular" w:eastAsia="仿宋_GB2312" w:cs="Times New Roman Regular"/>
          <w:color w:val="000000"/>
          <w:kern w:val="0"/>
          <w:sz w:val="32"/>
          <w:szCs w:val="32"/>
          <w:shd w:val="clear" w:color="auto" w:fill="FFFFFF"/>
          <w:lang w:val="zh-CN"/>
        </w:rPr>
        <w:t>个，涉及预算总金额</w:t>
      </w:r>
      <w:r>
        <w:rPr>
          <w:rFonts w:hint="default" w:ascii="Times New Roman Regular" w:hAnsi="Times New Roman Regular" w:eastAsia="仿宋_GB2312" w:cs="Times New Roman Regular"/>
          <w:color w:val="000000"/>
          <w:kern w:val="0"/>
          <w:sz w:val="32"/>
          <w:szCs w:val="32"/>
          <w:shd w:val="clear" w:color="auto" w:fill="FFFFFF"/>
          <w:lang w:val="en-US" w:eastAsia="zh-CN"/>
        </w:rPr>
        <w:t>423.79</w:t>
      </w:r>
      <w:r>
        <w:rPr>
          <w:rFonts w:hint="default" w:ascii="Times New Roman Regular" w:hAnsi="Times New Roman Regular" w:eastAsia="仿宋_GB2312" w:cs="Times New Roman Regular"/>
          <w:color w:val="000000"/>
          <w:kern w:val="0"/>
          <w:sz w:val="32"/>
          <w:szCs w:val="32"/>
          <w:shd w:val="clear" w:color="auto" w:fill="FFFFFF"/>
          <w:lang w:val="zh-CN"/>
        </w:rPr>
        <w:t>万元，1—1</w:t>
      </w:r>
      <w:r>
        <w:rPr>
          <w:rFonts w:hint="default" w:ascii="Times New Roman Regular" w:hAnsi="Times New Roman Regular" w:eastAsia="仿宋_GB2312" w:cs="Times New Roman Regular"/>
          <w:color w:val="000000"/>
          <w:kern w:val="0"/>
          <w:sz w:val="32"/>
          <w:szCs w:val="32"/>
          <w:shd w:val="clear" w:color="auto" w:fill="FFFFFF"/>
        </w:rPr>
        <w:t>2</w:t>
      </w:r>
      <w:r>
        <w:rPr>
          <w:rFonts w:hint="default" w:ascii="Times New Roman Regular" w:hAnsi="Times New Roman Regular" w:eastAsia="仿宋_GB2312" w:cs="Times New Roman Regular"/>
          <w:color w:val="000000"/>
          <w:kern w:val="0"/>
          <w:sz w:val="32"/>
          <w:szCs w:val="32"/>
          <w:shd w:val="clear" w:color="auto" w:fill="FFFFFF"/>
          <w:lang w:val="zh-CN"/>
        </w:rPr>
        <w:t>月预算执行总体进度为</w:t>
      </w:r>
      <w:r>
        <w:rPr>
          <w:rFonts w:hint="default" w:ascii="Times New Roman Regular" w:hAnsi="Times New Roman Regular" w:eastAsia="仿宋_GB2312" w:cs="Times New Roman Regular"/>
          <w:color w:val="000000"/>
          <w:kern w:val="0"/>
          <w:sz w:val="32"/>
          <w:szCs w:val="32"/>
          <w:shd w:val="clear" w:color="auto" w:fill="FFFFFF"/>
        </w:rPr>
        <w:t>100</w:t>
      </w:r>
      <w:r>
        <w:rPr>
          <w:rFonts w:hint="default" w:ascii="Times New Roman Regular" w:hAnsi="Times New Roman Regular" w:eastAsia="仿宋_GB2312" w:cs="Times New Roman Regular"/>
          <w:color w:val="000000"/>
          <w:kern w:val="0"/>
          <w:sz w:val="32"/>
          <w:szCs w:val="32"/>
          <w:shd w:val="clear" w:color="auto" w:fill="FFFFFF"/>
          <w:lang w:val="zh-CN"/>
        </w:rPr>
        <w:t>%，其中：预算结余率大于</w:t>
      </w:r>
      <w:r>
        <w:rPr>
          <w:rFonts w:hint="default" w:ascii="Times New Roman Regular" w:hAnsi="Times New Roman Regular" w:eastAsia="仿宋_GB2312" w:cs="Times New Roman Regular"/>
          <w:color w:val="000000"/>
          <w:kern w:val="0"/>
          <w:sz w:val="32"/>
          <w:szCs w:val="32"/>
          <w:shd w:val="clear" w:color="auto" w:fill="FFFFFF"/>
        </w:rPr>
        <w:t>10%</w:t>
      </w:r>
      <w:r>
        <w:rPr>
          <w:rFonts w:hint="default" w:ascii="Times New Roman Regular" w:hAnsi="Times New Roman Regular" w:eastAsia="仿宋_GB2312" w:cs="Times New Roman Regular"/>
          <w:color w:val="000000"/>
          <w:kern w:val="0"/>
          <w:sz w:val="32"/>
          <w:szCs w:val="32"/>
          <w:shd w:val="clear" w:color="auto" w:fill="FFFFFF"/>
          <w:lang w:val="zh-CN"/>
        </w:rPr>
        <w:t>的项目共计</w:t>
      </w:r>
      <w:r>
        <w:rPr>
          <w:rFonts w:hint="default" w:ascii="Times New Roman Regular" w:hAnsi="Times New Roman Regular" w:eastAsia="仿宋_GB2312" w:cs="Times New Roman Regular"/>
          <w:color w:val="000000"/>
          <w:kern w:val="0"/>
          <w:sz w:val="32"/>
          <w:szCs w:val="32"/>
          <w:shd w:val="clear" w:color="auto" w:fill="FFFFFF"/>
        </w:rPr>
        <w:t>0</w:t>
      </w:r>
      <w:r>
        <w:rPr>
          <w:rFonts w:hint="default" w:ascii="Times New Roman Regular" w:hAnsi="Times New Roman Regular" w:eastAsia="仿宋_GB2312" w:cs="Times New Roman Regular"/>
          <w:color w:val="000000"/>
          <w:kern w:val="0"/>
          <w:sz w:val="32"/>
          <w:szCs w:val="32"/>
          <w:shd w:val="clear" w:color="auto" w:fill="FFFFFF"/>
          <w:lang w:val="zh-CN"/>
        </w:rPr>
        <w:t>个。</w:t>
      </w:r>
    </w:p>
    <w:p w14:paraId="12101E9B">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rPr>
        <w:t>阶段（一次性）项目绩效分析。</w:t>
      </w:r>
      <w:r>
        <w:rPr>
          <w:rFonts w:hint="default" w:ascii="Times New Roman Regular" w:hAnsi="Times New Roman Regular" w:eastAsia="仿宋_GB2312" w:cs="Times New Roman Regular"/>
          <w:color w:val="000000"/>
          <w:kern w:val="0"/>
          <w:sz w:val="32"/>
          <w:szCs w:val="32"/>
          <w:shd w:val="clear" w:color="auto" w:fill="FFFFFF"/>
          <w:lang w:val="zh-CN"/>
        </w:rPr>
        <w:t>该类项目总数</w:t>
      </w:r>
      <w:r>
        <w:rPr>
          <w:rFonts w:hint="default" w:ascii="Times New Roman Regular" w:hAnsi="Times New Roman Regular" w:eastAsia="仿宋_GB2312" w:cs="Times New Roman Regular"/>
          <w:color w:val="000000"/>
          <w:kern w:val="0"/>
          <w:sz w:val="32"/>
          <w:szCs w:val="32"/>
          <w:shd w:val="clear" w:color="auto" w:fill="FFFFFF"/>
          <w:lang w:val="en-US" w:eastAsia="zh-CN"/>
        </w:rPr>
        <w:t>4</w:t>
      </w:r>
      <w:r>
        <w:rPr>
          <w:rFonts w:hint="default" w:ascii="Times New Roman Regular" w:hAnsi="Times New Roman Regular" w:eastAsia="仿宋_GB2312" w:cs="Times New Roman Regular"/>
          <w:color w:val="000000"/>
          <w:kern w:val="0"/>
          <w:sz w:val="32"/>
          <w:szCs w:val="32"/>
          <w:shd w:val="clear" w:color="auto" w:fill="FFFFFF"/>
          <w:lang w:val="zh-CN"/>
        </w:rPr>
        <w:t>个，涉及预算总金额</w:t>
      </w:r>
      <w:r>
        <w:rPr>
          <w:rFonts w:hint="default" w:ascii="Times New Roman Regular" w:hAnsi="Times New Roman Regular" w:eastAsia="仿宋_GB2312" w:cs="Times New Roman Regular"/>
          <w:color w:val="000000"/>
          <w:kern w:val="0"/>
          <w:sz w:val="32"/>
          <w:szCs w:val="32"/>
          <w:shd w:val="clear" w:color="auto" w:fill="FFFFFF"/>
          <w:lang w:val="en-US" w:eastAsia="zh-CN"/>
        </w:rPr>
        <w:t>237.87</w:t>
      </w:r>
      <w:r>
        <w:rPr>
          <w:rFonts w:hint="default" w:ascii="Times New Roman Regular" w:hAnsi="Times New Roman Regular" w:eastAsia="仿宋_GB2312" w:cs="Times New Roman Regular"/>
          <w:color w:val="000000"/>
          <w:kern w:val="0"/>
          <w:sz w:val="32"/>
          <w:szCs w:val="32"/>
          <w:shd w:val="clear" w:color="auto" w:fill="FFFFFF"/>
          <w:lang w:val="zh-CN"/>
        </w:rPr>
        <w:t>万元，1—1</w:t>
      </w:r>
      <w:r>
        <w:rPr>
          <w:rFonts w:hint="default" w:ascii="Times New Roman Regular" w:hAnsi="Times New Roman Regular" w:eastAsia="仿宋_GB2312" w:cs="Times New Roman Regular"/>
          <w:color w:val="000000"/>
          <w:kern w:val="0"/>
          <w:sz w:val="32"/>
          <w:szCs w:val="32"/>
          <w:shd w:val="clear" w:color="auto" w:fill="FFFFFF"/>
        </w:rPr>
        <w:t>2</w:t>
      </w:r>
      <w:r>
        <w:rPr>
          <w:rFonts w:hint="default" w:ascii="Times New Roman Regular" w:hAnsi="Times New Roman Regular" w:eastAsia="仿宋_GB2312" w:cs="Times New Roman Regular"/>
          <w:color w:val="000000"/>
          <w:kern w:val="0"/>
          <w:sz w:val="32"/>
          <w:szCs w:val="32"/>
          <w:shd w:val="clear" w:color="auto" w:fill="FFFFFF"/>
          <w:lang w:val="zh-CN"/>
        </w:rPr>
        <w:t>月预算执行总体进度为</w:t>
      </w:r>
      <w:r>
        <w:rPr>
          <w:rFonts w:hint="default" w:ascii="Times New Roman Regular" w:hAnsi="Times New Roman Regular" w:eastAsia="仿宋_GB2312" w:cs="Times New Roman Regular"/>
          <w:color w:val="000000"/>
          <w:kern w:val="0"/>
          <w:sz w:val="32"/>
          <w:szCs w:val="32"/>
          <w:shd w:val="clear" w:color="auto" w:fill="FFFFFF"/>
        </w:rPr>
        <w:t>100</w:t>
      </w:r>
      <w:r>
        <w:rPr>
          <w:rFonts w:hint="default" w:ascii="Times New Roman Regular" w:hAnsi="Times New Roman Regular" w:eastAsia="仿宋_GB2312" w:cs="Times New Roman Regular"/>
          <w:color w:val="000000"/>
          <w:kern w:val="0"/>
          <w:sz w:val="32"/>
          <w:szCs w:val="32"/>
          <w:shd w:val="clear" w:color="auto" w:fill="FFFFFF"/>
          <w:lang w:val="zh-CN"/>
        </w:rPr>
        <w:t>%，其中：预算结余率大于</w:t>
      </w:r>
      <w:r>
        <w:rPr>
          <w:rFonts w:hint="default" w:ascii="Times New Roman Regular" w:hAnsi="Times New Roman Regular" w:eastAsia="仿宋_GB2312" w:cs="Times New Roman Regular"/>
          <w:color w:val="000000"/>
          <w:kern w:val="0"/>
          <w:sz w:val="32"/>
          <w:szCs w:val="32"/>
          <w:shd w:val="clear" w:color="auto" w:fill="FFFFFF"/>
        </w:rPr>
        <w:t>10%</w:t>
      </w:r>
      <w:r>
        <w:rPr>
          <w:rFonts w:hint="default" w:ascii="Times New Roman Regular" w:hAnsi="Times New Roman Regular" w:eastAsia="仿宋_GB2312" w:cs="Times New Roman Regular"/>
          <w:color w:val="000000"/>
          <w:kern w:val="0"/>
          <w:sz w:val="32"/>
          <w:szCs w:val="32"/>
          <w:shd w:val="clear" w:color="auto" w:fill="FFFFFF"/>
          <w:lang w:val="zh-CN"/>
        </w:rPr>
        <w:t>的项目共计</w:t>
      </w:r>
      <w:r>
        <w:rPr>
          <w:rFonts w:hint="default" w:ascii="Times New Roman Regular" w:hAnsi="Times New Roman Regular" w:eastAsia="仿宋_GB2312" w:cs="Times New Roman Regular"/>
          <w:color w:val="000000"/>
          <w:kern w:val="0"/>
          <w:sz w:val="32"/>
          <w:szCs w:val="32"/>
          <w:shd w:val="clear" w:color="auto" w:fill="FFFFFF"/>
        </w:rPr>
        <w:t>0</w:t>
      </w:r>
      <w:r>
        <w:rPr>
          <w:rFonts w:hint="default" w:ascii="Times New Roman Regular" w:hAnsi="Times New Roman Regular" w:eastAsia="仿宋_GB2312" w:cs="Times New Roman Regular"/>
          <w:color w:val="000000"/>
          <w:kern w:val="0"/>
          <w:sz w:val="32"/>
          <w:szCs w:val="32"/>
          <w:shd w:val="clear" w:color="auto" w:fill="FFFFFF"/>
          <w:lang w:val="zh-CN"/>
        </w:rPr>
        <w:t>个。</w:t>
      </w:r>
    </w:p>
    <w:p w14:paraId="5508E778">
      <w:pPr>
        <w:suppressAutoHyphens/>
        <w:bidi w:val="0"/>
        <w:adjustRightInd w:val="0"/>
        <w:snapToGrid w:val="0"/>
        <w:spacing w:line="578" w:lineRule="exact"/>
        <w:ind w:firstLine="640" w:firstLineChars="200"/>
        <w:contextualSpacing/>
        <w:jc w:val="left"/>
        <w:rPr>
          <w:rFonts w:hint="default" w:ascii="Times New Roman Regular" w:hAnsi="Times New Roman Regular" w:eastAsia="楷体_GB2312" w:cs="Times New Roman Regular"/>
          <w:color w:val="000000"/>
          <w:kern w:val="0"/>
          <w:sz w:val="32"/>
          <w:szCs w:val="32"/>
          <w:shd w:val="clear" w:color="auto" w:fill="FFFFFF"/>
          <w:lang w:val="zh-CN"/>
        </w:rPr>
      </w:pPr>
      <w:r>
        <w:rPr>
          <w:rFonts w:hint="default" w:ascii="Times New Roman Regular" w:hAnsi="Times New Roman Regular" w:eastAsia="楷体_GB2312" w:cs="Times New Roman Regular"/>
          <w:color w:val="000000"/>
          <w:kern w:val="0"/>
          <w:sz w:val="32"/>
          <w:szCs w:val="32"/>
          <w:shd w:val="clear" w:color="auto" w:fill="FFFFFF"/>
        </w:rPr>
        <w:t>1.</w:t>
      </w:r>
      <w:r>
        <w:rPr>
          <w:rFonts w:hint="default" w:ascii="Times New Roman Regular" w:hAnsi="Times New Roman Regular" w:eastAsia="楷体_GB2312" w:cs="Times New Roman Regular"/>
          <w:color w:val="000000"/>
          <w:kern w:val="0"/>
          <w:sz w:val="32"/>
          <w:szCs w:val="32"/>
          <w:shd w:val="clear" w:color="auto" w:fill="FFFFFF"/>
          <w:lang w:val="zh-CN"/>
        </w:rPr>
        <w:t>项目决策。</w:t>
      </w:r>
    </w:p>
    <w:p w14:paraId="27B13020">
      <w:pPr>
        <w:suppressAutoHyphens/>
        <w:bidi w:val="0"/>
        <w:adjustRightInd w:val="0"/>
        <w:snapToGrid w:val="0"/>
        <w:spacing w:line="578" w:lineRule="exact"/>
        <w:ind w:firstLine="640" w:firstLineChars="200"/>
        <w:contextualSpacing/>
        <w:jc w:val="left"/>
        <w:rPr>
          <w:rFonts w:hint="default" w:ascii="Times New Roman Regular" w:hAnsi="Times New Roman Regular" w:eastAsia="楷体_GB2312" w:cs="Times New Roman Regular"/>
          <w:color w:val="000000"/>
          <w:kern w:val="0"/>
          <w:sz w:val="32"/>
          <w:szCs w:val="32"/>
          <w:shd w:val="clear" w:color="auto" w:fill="FFFFFF"/>
        </w:rPr>
      </w:pPr>
      <w:r>
        <w:rPr>
          <w:rFonts w:hint="default" w:ascii="Times New Roman Regular" w:hAnsi="Times New Roman Regular" w:eastAsia="楷体_GB2312" w:cs="Times New Roman Regular"/>
          <w:color w:val="000000"/>
          <w:kern w:val="0"/>
          <w:sz w:val="32"/>
          <w:szCs w:val="32"/>
          <w:shd w:val="clear" w:color="auto" w:fill="FFFFFF"/>
          <w:lang w:val="zh-CN"/>
        </w:rPr>
        <w:t>（</w:t>
      </w:r>
      <w:r>
        <w:rPr>
          <w:rFonts w:hint="default" w:ascii="Times New Roman Regular" w:hAnsi="Times New Roman Regular" w:eastAsia="楷体_GB2312" w:cs="Times New Roman Regular"/>
          <w:color w:val="000000"/>
          <w:kern w:val="0"/>
          <w:sz w:val="32"/>
          <w:szCs w:val="32"/>
          <w:shd w:val="clear" w:color="auto" w:fill="FFFFFF"/>
        </w:rPr>
        <w:t>1</w:t>
      </w:r>
      <w:r>
        <w:rPr>
          <w:rFonts w:hint="default" w:ascii="Times New Roman Regular" w:hAnsi="Times New Roman Regular" w:eastAsia="楷体_GB2312" w:cs="Times New Roman Regular"/>
          <w:color w:val="000000"/>
          <w:kern w:val="0"/>
          <w:sz w:val="32"/>
          <w:szCs w:val="32"/>
          <w:shd w:val="clear" w:color="auto" w:fill="FFFFFF"/>
          <w:lang w:val="zh-CN"/>
        </w:rPr>
        <w:t>）</w:t>
      </w:r>
      <w:r>
        <w:rPr>
          <w:rFonts w:hint="default" w:ascii="Times New Roman Regular" w:hAnsi="Times New Roman Regular" w:eastAsia="楷体_GB2312" w:cs="Times New Roman Regular"/>
          <w:color w:val="000000"/>
          <w:kern w:val="0"/>
          <w:sz w:val="32"/>
          <w:szCs w:val="32"/>
          <w:shd w:val="clear" w:color="auto" w:fill="FFFFFF"/>
        </w:rPr>
        <w:t>决策程序</w:t>
      </w:r>
    </w:p>
    <w:p w14:paraId="5922740D">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rPr>
      </w:pPr>
      <w:r>
        <w:rPr>
          <w:rFonts w:hint="default" w:ascii="Times New Roman Regular" w:hAnsi="Times New Roman Regular" w:eastAsia="仿宋_GB2312" w:cs="Times New Roman Regular"/>
          <w:color w:val="000000"/>
          <w:kern w:val="0"/>
          <w:sz w:val="32"/>
          <w:szCs w:val="32"/>
          <w:shd w:val="clear" w:color="auto" w:fill="FFFFFF"/>
        </w:rPr>
        <w:t>本部门预算阶段项目（含一次性项目）总数为5个，无未履行事前评估程序的部门预算阶段项目。</w:t>
      </w:r>
    </w:p>
    <w:p w14:paraId="62E92D92">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rPr>
      </w:pPr>
      <w:r>
        <w:rPr>
          <w:rFonts w:hint="default" w:ascii="Times New Roman Regular" w:hAnsi="Times New Roman Regular" w:eastAsia="仿宋_GB2312" w:cs="Times New Roman Regular"/>
          <w:color w:val="000000"/>
          <w:kern w:val="0"/>
          <w:sz w:val="32"/>
          <w:szCs w:val="32"/>
          <w:shd w:val="clear" w:color="auto" w:fill="FFFFFF"/>
        </w:rPr>
        <w:t>综上，根据评分标准，该项指标不扣分，得4分。</w:t>
      </w:r>
    </w:p>
    <w:p w14:paraId="21B71824">
      <w:pPr>
        <w:suppressAutoHyphens/>
        <w:bidi w:val="0"/>
        <w:adjustRightInd w:val="0"/>
        <w:snapToGrid w:val="0"/>
        <w:spacing w:line="578" w:lineRule="exact"/>
        <w:ind w:firstLine="640" w:firstLineChars="200"/>
        <w:contextualSpacing/>
        <w:jc w:val="left"/>
        <w:rPr>
          <w:rFonts w:hint="default" w:ascii="Times New Roman Regular" w:hAnsi="Times New Roman Regular" w:eastAsia="楷体_GB2312" w:cs="Times New Roman Regular"/>
          <w:color w:val="000000"/>
          <w:kern w:val="0"/>
          <w:sz w:val="32"/>
          <w:szCs w:val="32"/>
          <w:shd w:val="clear" w:color="auto" w:fill="FFFFFF"/>
        </w:rPr>
      </w:pPr>
      <w:r>
        <w:rPr>
          <w:rFonts w:hint="default" w:ascii="Times New Roman Regular" w:hAnsi="Times New Roman Regular" w:eastAsia="楷体_GB2312" w:cs="Times New Roman Regular"/>
          <w:color w:val="000000"/>
          <w:kern w:val="0"/>
          <w:sz w:val="32"/>
          <w:szCs w:val="32"/>
          <w:shd w:val="clear" w:color="auto" w:fill="FFFFFF"/>
        </w:rPr>
        <w:t>（2）目标设置</w:t>
      </w:r>
    </w:p>
    <w:p w14:paraId="0F99C251">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rPr>
      </w:pPr>
      <w:r>
        <w:rPr>
          <w:rFonts w:hint="default" w:ascii="Times New Roman Regular" w:hAnsi="Times New Roman Regular" w:eastAsia="仿宋_GB2312" w:cs="Times New Roman Regular"/>
          <w:color w:val="000000"/>
          <w:kern w:val="0"/>
          <w:sz w:val="32"/>
          <w:szCs w:val="32"/>
          <w:shd w:val="clear" w:color="auto" w:fill="FFFFFF"/>
        </w:rPr>
        <w:t>预算阶段项目（含一次性项目）总数为5个，无绩效目标与计划期内的任务量、预算安排不相匹配的部门预算阶段项目（含一次性项目）。</w:t>
      </w:r>
    </w:p>
    <w:p w14:paraId="3D9CABE1">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rPr>
      </w:pPr>
      <w:r>
        <w:rPr>
          <w:rFonts w:hint="default" w:ascii="Times New Roman Regular" w:hAnsi="Times New Roman Regular" w:eastAsia="仿宋_GB2312" w:cs="Times New Roman Regular"/>
          <w:color w:val="000000"/>
          <w:kern w:val="0"/>
          <w:sz w:val="32"/>
          <w:szCs w:val="32"/>
          <w:shd w:val="clear" w:color="auto" w:fill="FFFFFF"/>
        </w:rPr>
        <w:t>综上，根据评分标准，该项指标不扣分，得4分。</w:t>
      </w:r>
    </w:p>
    <w:p w14:paraId="25F15909">
      <w:pPr>
        <w:numPr>
          <w:ilvl w:val="0"/>
          <w:numId w:val="3"/>
        </w:numPr>
        <w:suppressAutoHyphens/>
        <w:bidi w:val="0"/>
        <w:adjustRightInd w:val="0"/>
        <w:snapToGrid w:val="0"/>
        <w:spacing w:line="578" w:lineRule="exact"/>
        <w:ind w:firstLine="640" w:firstLineChars="200"/>
        <w:contextualSpacing/>
        <w:jc w:val="left"/>
        <w:rPr>
          <w:rFonts w:hint="default" w:ascii="Times New Roman Regular" w:hAnsi="Times New Roman Regular" w:eastAsia="楷体_GB2312" w:cs="Times New Roman Regular"/>
          <w:color w:val="000000"/>
          <w:kern w:val="0"/>
          <w:sz w:val="32"/>
          <w:szCs w:val="32"/>
          <w:shd w:val="clear" w:color="auto" w:fill="FFFFFF"/>
        </w:rPr>
      </w:pPr>
      <w:r>
        <w:rPr>
          <w:rFonts w:hint="default" w:ascii="Times New Roman Regular" w:hAnsi="Times New Roman Regular" w:eastAsia="楷体_GB2312" w:cs="Times New Roman Regular"/>
          <w:color w:val="000000"/>
          <w:kern w:val="0"/>
          <w:sz w:val="32"/>
          <w:szCs w:val="32"/>
          <w:shd w:val="clear" w:color="auto" w:fill="FFFFFF"/>
        </w:rPr>
        <w:t>项目入库</w:t>
      </w:r>
    </w:p>
    <w:p w14:paraId="34D07B0C">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rPr>
      </w:pPr>
      <w:r>
        <w:rPr>
          <w:rFonts w:hint="default" w:ascii="Times New Roman Regular" w:hAnsi="Times New Roman Regular" w:eastAsia="仿宋_GB2312" w:cs="Times New Roman Regular"/>
          <w:color w:val="000000"/>
          <w:kern w:val="0"/>
          <w:sz w:val="32"/>
          <w:szCs w:val="32"/>
          <w:shd w:val="clear" w:color="auto" w:fill="FFFFFF"/>
        </w:rPr>
        <w:t>预算阶段项目（含一次性项目）总数为5个，无绩效目标与计划期内的任务量、预算安排不相匹配的部门预算阶段项目（含一次性项目）。</w:t>
      </w:r>
    </w:p>
    <w:p w14:paraId="16F36291">
      <w:pPr>
        <w:suppressAutoHyphens/>
        <w:bidi w:val="0"/>
        <w:adjustRightInd w:val="0"/>
        <w:snapToGrid w:val="0"/>
        <w:spacing w:line="578" w:lineRule="exact"/>
        <w:ind w:firstLine="640" w:firstLineChars="200"/>
        <w:contextualSpacing/>
        <w:jc w:val="left"/>
        <w:rPr>
          <w:rFonts w:hint="default" w:ascii="Times New Roman Regular" w:hAnsi="Times New Roman Regular" w:eastAsia="楷体_GB2312" w:cs="Times New Roman Regular"/>
          <w:color w:val="000000"/>
          <w:kern w:val="0"/>
          <w:sz w:val="32"/>
          <w:szCs w:val="32"/>
          <w:shd w:val="clear" w:color="auto" w:fill="FFFFFF"/>
        </w:rPr>
      </w:pPr>
      <w:r>
        <w:rPr>
          <w:rFonts w:hint="default" w:ascii="Times New Roman Regular" w:hAnsi="Times New Roman Regular" w:eastAsia="仿宋_GB2312" w:cs="Times New Roman Regular"/>
          <w:color w:val="000000"/>
          <w:kern w:val="0"/>
          <w:sz w:val="32"/>
          <w:szCs w:val="32"/>
          <w:shd w:val="clear" w:color="auto" w:fill="FFFFFF"/>
        </w:rPr>
        <w:t>综上，根据评分标准，该项指标不扣分，得4分。</w:t>
      </w:r>
    </w:p>
    <w:p w14:paraId="2951E431">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rPr>
        <w:t>2.项目执行</w:t>
      </w:r>
    </w:p>
    <w:p w14:paraId="2F9D910B">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w:t>
      </w:r>
      <w:r>
        <w:rPr>
          <w:rFonts w:hint="default" w:ascii="Times New Roman Regular" w:hAnsi="Times New Roman Regular" w:eastAsia="仿宋_GB2312" w:cs="Times New Roman Regular"/>
          <w:color w:val="000000"/>
          <w:kern w:val="0"/>
          <w:sz w:val="32"/>
          <w:szCs w:val="32"/>
          <w:shd w:val="clear" w:color="auto" w:fill="FFFFFF"/>
        </w:rPr>
        <w:t>1</w:t>
      </w:r>
      <w:r>
        <w:rPr>
          <w:rFonts w:hint="default" w:ascii="Times New Roman Regular" w:hAnsi="Times New Roman Regular" w:eastAsia="仿宋_GB2312" w:cs="Times New Roman Regular"/>
          <w:color w:val="000000"/>
          <w:kern w:val="0"/>
          <w:sz w:val="32"/>
          <w:szCs w:val="32"/>
          <w:shd w:val="clear" w:color="auto" w:fill="FFFFFF"/>
          <w:lang w:val="zh-CN"/>
        </w:rPr>
        <w:t>）资金执行同向</w:t>
      </w:r>
    </w:p>
    <w:p w14:paraId="4CA8A841">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预算阶段项目（含一次性项目）总数为</w:t>
      </w:r>
      <w:r>
        <w:rPr>
          <w:rFonts w:hint="default" w:ascii="Times New Roman Regular" w:hAnsi="Times New Roman Regular" w:eastAsia="仿宋_GB2312" w:cs="Times New Roman Regular"/>
          <w:color w:val="000000"/>
          <w:kern w:val="0"/>
          <w:sz w:val="32"/>
          <w:szCs w:val="32"/>
          <w:shd w:val="clear" w:color="auto" w:fill="FFFFFF"/>
        </w:rPr>
        <w:t>5</w:t>
      </w:r>
      <w:r>
        <w:rPr>
          <w:rFonts w:hint="default" w:ascii="Times New Roman Regular" w:hAnsi="Times New Roman Regular" w:eastAsia="仿宋_GB2312" w:cs="Times New Roman Regular"/>
          <w:color w:val="000000"/>
          <w:kern w:val="0"/>
          <w:sz w:val="32"/>
          <w:szCs w:val="32"/>
          <w:shd w:val="clear" w:color="auto" w:fill="FFFFFF"/>
          <w:lang w:val="zh-CN"/>
        </w:rPr>
        <w:t>个，无实际列支内容与绩效目标设置方向不相符的部门预算阶段项目（含一次性项目）。</w:t>
      </w:r>
    </w:p>
    <w:p w14:paraId="17F95BF2">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综上，根据评分标准，该项指标不扣分，得4分。</w:t>
      </w:r>
    </w:p>
    <w:p w14:paraId="0A10498F">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w:t>
      </w:r>
      <w:r>
        <w:rPr>
          <w:rFonts w:hint="default" w:ascii="Times New Roman Regular" w:hAnsi="Times New Roman Regular" w:eastAsia="仿宋_GB2312" w:cs="Times New Roman Regular"/>
          <w:color w:val="000000"/>
          <w:kern w:val="0"/>
          <w:sz w:val="32"/>
          <w:szCs w:val="32"/>
          <w:shd w:val="clear" w:color="auto" w:fill="FFFFFF"/>
        </w:rPr>
        <w:t>2</w:t>
      </w:r>
      <w:r>
        <w:rPr>
          <w:rFonts w:hint="default" w:ascii="Times New Roman Regular" w:hAnsi="Times New Roman Regular" w:eastAsia="仿宋_GB2312" w:cs="Times New Roman Regular"/>
          <w:color w:val="000000"/>
          <w:kern w:val="0"/>
          <w:sz w:val="32"/>
          <w:szCs w:val="32"/>
          <w:shd w:val="clear" w:color="auto" w:fill="FFFFFF"/>
          <w:lang w:val="zh-CN"/>
        </w:rPr>
        <w:t>）项目调整</w:t>
      </w:r>
    </w:p>
    <w:p w14:paraId="72799AA7">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不涉及应采取收回预算、调整目标等处置措施的部门预算阶段项目（含一次性项目）。</w:t>
      </w:r>
    </w:p>
    <w:p w14:paraId="7A1335D0">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综上，根据评分标准，该项指标不扣分，得4分。</w:t>
      </w:r>
    </w:p>
    <w:p w14:paraId="76400502">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w:t>
      </w:r>
      <w:r>
        <w:rPr>
          <w:rFonts w:hint="default" w:ascii="Times New Roman Regular" w:hAnsi="Times New Roman Regular" w:eastAsia="仿宋_GB2312" w:cs="Times New Roman Regular"/>
          <w:color w:val="000000"/>
          <w:kern w:val="0"/>
          <w:sz w:val="32"/>
          <w:szCs w:val="32"/>
          <w:shd w:val="clear" w:color="auto" w:fill="FFFFFF"/>
        </w:rPr>
        <w:t>3</w:t>
      </w:r>
      <w:r>
        <w:rPr>
          <w:rFonts w:hint="default" w:ascii="Times New Roman Regular" w:hAnsi="Times New Roman Regular" w:eastAsia="仿宋_GB2312" w:cs="Times New Roman Regular"/>
          <w:color w:val="000000"/>
          <w:kern w:val="0"/>
          <w:sz w:val="32"/>
          <w:szCs w:val="32"/>
          <w:shd w:val="clear" w:color="auto" w:fill="FFFFFF"/>
          <w:lang w:val="zh-CN"/>
        </w:rPr>
        <w:t>）执行结果</w:t>
      </w:r>
    </w:p>
    <w:p w14:paraId="300A3461">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预算结余率小于10%的常年项目数量为</w:t>
      </w:r>
      <w:r>
        <w:rPr>
          <w:rFonts w:hint="eastAsia" w:ascii="Times New Roman Regular" w:hAnsi="Times New Roman Regular" w:eastAsia="仿宋_GB2312" w:cs="Times New Roman Regular"/>
          <w:color w:val="000000"/>
          <w:kern w:val="0"/>
          <w:sz w:val="32"/>
          <w:szCs w:val="32"/>
          <w:shd w:val="clear" w:color="auto" w:fill="FFFFFF"/>
          <w:lang w:val="en-US" w:eastAsia="zh-CN"/>
        </w:rPr>
        <w:t>1</w:t>
      </w:r>
      <w:r>
        <w:rPr>
          <w:rFonts w:hint="default" w:ascii="Times New Roman Regular" w:hAnsi="Times New Roman Regular" w:eastAsia="仿宋_GB2312" w:cs="Times New Roman Regular"/>
          <w:color w:val="000000"/>
          <w:kern w:val="0"/>
          <w:sz w:val="32"/>
          <w:szCs w:val="32"/>
          <w:shd w:val="clear" w:color="auto" w:fill="FFFFFF"/>
          <w:lang w:val="zh-CN"/>
        </w:rPr>
        <w:t>个，部门预算常年项目总数为</w:t>
      </w:r>
      <w:r>
        <w:rPr>
          <w:rFonts w:hint="eastAsia" w:ascii="Times New Roman Regular" w:hAnsi="Times New Roman Regular" w:eastAsia="仿宋_GB2312" w:cs="Times New Roman Regular"/>
          <w:color w:val="000000"/>
          <w:kern w:val="0"/>
          <w:sz w:val="32"/>
          <w:szCs w:val="32"/>
          <w:shd w:val="clear" w:color="auto" w:fill="FFFFFF"/>
          <w:lang w:val="en-US" w:eastAsia="zh-CN"/>
        </w:rPr>
        <w:t>1</w:t>
      </w:r>
      <w:r>
        <w:rPr>
          <w:rFonts w:hint="default" w:ascii="Times New Roman Regular" w:hAnsi="Times New Roman Regular" w:eastAsia="仿宋_GB2312" w:cs="Times New Roman Regular"/>
          <w:color w:val="000000"/>
          <w:kern w:val="0"/>
          <w:sz w:val="32"/>
          <w:szCs w:val="32"/>
          <w:shd w:val="clear" w:color="auto" w:fill="FFFFFF"/>
          <w:lang w:val="zh-CN"/>
        </w:rPr>
        <w:t>个，预算结余率小于10%的一次性项目和阶段项目数量为</w:t>
      </w:r>
      <w:r>
        <w:rPr>
          <w:rFonts w:hint="eastAsia" w:ascii="Times New Roman Regular" w:hAnsi="Times New Roman Regular" w:eastAsia="仿宋_GB2312" w:cs="Times New Roman Regular"/>
          <w:color w:val="000000"/>
          <w:kern w:val="0"/>
          <w:sz w:val="32"/>
          <w:szCs w:val="32"/>
          <w:shd w:val="clear" w:color="auto" w:fill="FFFFFF"/>
          <w:lang w:val="en-US" w:eastAsia="zh-CN"/>
        </w:rPr>
        <w:t>4</w:t>
      </w:r>
      <w:r>
        <w:rPr>
          <w:rFonts w:hint="default" w:ascii="Times New Roman Regular" w:hAnsi="Times New Roman Regular" w:eastAsia="仿宋_GB2312" w:cs="Times New Roman Regular"/>
          <w:color w:val="000000"/>
          <w:kern w:val="0"/>
          <w:sz w:val="32"/>
          <w:szCs w:val="32"/>
          <w:shd w:val="clear" w:color="auto" w:fill="FFFFFF"/>
          <w:lang w:val="zh-CN"/>
        </w:rPr>
        <w:t>个，部门预算一次性项目和阶段项目总数为</w:t>
      </w:r>
      <w:r>
        <w:rPr>
          <w:rFonts w:hint="eastAsia" w:ascii="Times New Roman Regular" w:hAnsi="Times New Roman Regular" w:eastAsia="仿宋_GB2312" w:cs="Times New Roman Regular"/>
          <w:color w:val="000000"/>
          <w:kern w:val="0"/>
          <w:sz w:val="32"/>
          <w:szCs w:val="32"/>
          <w:shd w:val="clear" w:color="auto" w:fill="FFFFFF"/>
          <w:lang w:val="en-US" w:eastAsia="zh-CN"/>
        </w:rPr>
        <w:t>4</w:t>
      </w:r>
      <w:r>
        <w:rPr>
          <w:rFonts w:hint="default" w:ascii="Times New Roman Regular" w:hAnsi="Times New Roman Regular" w:eastAsia="仿宋_GB2312" w:cs="Times New Roman Regular"/>
          <w:color w:val="000000"/>
          <w:kern w:val="0"/>
          <w:sz w:val="32"/>
          <w:szCs w:val="32"/>
          <w:shd w:val="clear" w:color="auto" w:fill="FFFFFF"/>
          <w:lang w:val="zh-CN"/>
        </w:rPr>
        <w:t>个。</w:t>
      </w:r>
    </w:p>
    <w:p w14:paraId="18837C26">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综上，根据评分标准，该项指标得4分。</w:t>
      </w:r>
    </w:p>
    <w:p w14:paraId="1916EF9A">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rPr>
        <w:t>3.</w:t>
      </w:r>
      <w:r>
        <w:rPr>
          <w:rFonts w:hint="default" w:ascii="Times New Roman Regular" w:hAnsi="Times New Roman Regular" w:eastAsia="仿宋_GB2312" w:cs="Times New Roman Regular"/>
          <w:color w:val="000000"/>
          <w:kern w:val="0"/>
          <w:sz w:val="32"/>
          <w:szCs w:val="32"/>
          <w:shd w:val="clear" w:color="auto" w:fill="FFFFFF"/>
          <w:lang w:val="zh-CN"/>
        </w:rPr>
        <w:t>目标实现。</w:t>
      </w:r>
    </w:p>
    <w:p w14:paraId="691C29CE">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w:t>
      </w:r>
      <w:r>
        <w:rPr>
          <w:rFonts w:hint="default" w:ascii="Times New Roman Regular" w:hAnsi="Times New Roman Regular" w:eastAsia="仿宋_GB2312" w:cs="Times New Roman Regular"/>
          <w:color w:val="000000"/>
          <w:kern w:val="0"/>
          <w:sz w:val="32"/>
          <w:szCs w:val="32"/>
          <w:shd w:val="clear" w:color="auto" w:fill="FFFFFF"/>
        </w:rPr>
        <w:t>1</w:t>
      </w:r>
      <w:r>
        <w:rPr>
          <w:rFonts w:hint="default" w:ascii="Times New Roman Regular" w:hAnsi="Times New Roman Regular" w:eastAsia="仿宋_GB2312" w:cs="Times New Roman Regular"/>
          <w:color w:val="000000"/>
          <w:kern w:val="0"/>
          <w:sz w:val="32"/>
          <w:szCs w:val="32"/>
          <w:shd w:val="clear" w:color="auto" w:fill="FFFFFF"/>
          <w:lang w:val="zh-CN"/>
        </w:rPr>
        <w:t>）目标完成</w:t>
      </w:r>
    </w:p>
    <w:p w14:paraId="0F7236C7">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预算阶段项目（含一次性项目）总数为</w:t>
      </w:r>
      <w:r>
        <w:rPr>
          <w:rFonts w:hint="default" w:ascii="Times New Roman Regular" w:hAnsi="Times New Roman Regular" w:eastAsia="仿宋_GB2312" w:cs="Times New Roman Regular"/>
          <w:color w:val="000000"/>
          <w:kern w:val="0"/>
          <w:sz w:val="32"/>
          <w:szCs w:val="32"/>
          <w:shd w:val="clear" w:color="auto" w:fill="FFFFFF"/>
        </w:rPr>
        <w:t>5</w:t>
      </w:r>
      <w:r>
        <w:rPr>
          <w:rFonts w:hint="default" w:ascii="Times New Roman Regular" w:hAnsi="Times New Roman Regular" w:eastAsia="仿宋_GB2312" w:cs="Times New Roman Regular"/>
          <w:color w:val="000000"/>
          <w:kern w:val="0"/>
          <w:sz w:val="32"/>
          <w:szCs w:val="32"/>
          <w:shd w:val="clear" w:color="auto" w:fill="FFFFFF"/>
          <w:lang w:val="zh-CN"/>
        </w:rPr>
        <w:t>个，已完成绩效目标数量指标的部门预算阶段项目（含一次性项目）数量为</w:t>
      </w:r>
      <w:r>
        <w:rPr>
          <w:rFonts w:hint="default" w:ascii="Times New Roman Regular" w:hAnsi="Times New Roman Regular" w:eastAsia="仿宋_GB2312" w:cs="Times New Roman Regular"/>
          <w:color w:val="000000"/>
          <w:kern w:val="0"/>
          <w:sz w:val="32"/>
          <w:szCs w:val="32"/>
          <w:shd w:val="clear" w:color="auto" w:fill="FFFFFF"/>
        </w:rPr>
        <w:t>5</w:t>
      </w:r>
      <w:r>
        <w:rPr>
          <w:rFonts w:hint="default" w:ascii="Times New Roman Regular" w:hAnsi="Times New Roman Regular" w:eastAsia="仿宋_GB2312" w:cs="Times New Roman Regular"/>
          <w:color w:val="000000"/>
          <w:kern w:val="0"/>
          <w:sz w:val="32"/>
          <w:szCs w:val="32"/>
          <w:shd w:val="clear" w:color="auto" w:fill="FFFFFF"/>
          <w:lang w:val="zh-CN"/>
        </w:rPr>
        <w:t>个。</w:t>
      </w:r>
    </w:p>
    <w:p w14:paraId="16703939">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综上，根据评分标准，该项指标不扣分，得4分。</w:t>
      </w:r>
    </w:p>
    <w:p w14:paraId="2A9993FF">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w:t>
      </w:r>
      <w:r>
        <w:rPr>
          <w:rFonts w:hint="default" w:ascii="Times New Roman Regular" w:hAnsi="Times New Roman Regular" w:eastAsia="仿宋_GB2312" w:cs="Times New Roman Regular"/>
          <w:color w:val="000000"/>
          <w:kern w:val="0"/>
          <w:sz w:val="32"/>
          <w:szCs w:val="32"/>
          <w:shd w:val="clear" w:color="auto" w:fill="FFFFFF"/>
        </w:rPr>
        <w:t>2</w:t>
      </w:r>
      <w:r>
        <w:rPr>
          <w:rFonts w:hint="default" w:ascii="Times New Roman Regular" w:hAnsi="Times New Roman Regular" w:eastAsia="仿宋_GB2312" w:cs="Times New Roman Regular"/>
          <w:color w:val="000000"/>
          <w:kern w:val="0"/>
          <w:sz w:val="32"/>
          <w:szCs w:val="32"/>
          <w:shd w:val="clear" w:color="auto" w:fill="FFFFFF"/>
          <w:lang w:val="zh-CN"/>
        </w:rPr>
        <w:t>）目标偏离</w:t>
      </w:r>
    </w:p>
    <w:p w14:paraId="6D9DA416">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已完成预期指标值的数量指标中偏离度在30%内的指标个数为</w:t>
      </w:r>
      <w:r>
        <w:rPr>
          <w:rFonts w:hint="default" w:ascii="Times New Roman Regular" w:hAnsi="Times New Roman Regular" w:eastAsia="仿宋_GB2312" w:cs="Times New Roman Regular"/>
          <w:color w:val="000000"/>
          <w:kern w:val="0"/>
          <w:sz w:val="32"/>
          <w:szCs w:val="32"/>
          <w:shd w:val="clear" w:color="auto" w:fill="FFFFFF"/>
        </w:rPr>
        <w:t>5</w:t>
      </w:r>
      <w:r>
        <w:rPr>
          <w:rFonts w:hint="default" w:ascii="Times New Roman Regular" w:hAnsi="Times New Roman Regular" w:eastAsia="仿宋_GB2312" w:cs="Times New Roman Regular"/>
          <w:color w:val="000000"/>
          <w:kern w:val="0"/>
          <w:sz w:val="32"/>
          <w:szCs w:val="32"/>
          <w:shd w:val="clear" w:color="auto" w:fill="FFFFFF"/>
          <w:lang w:val="zh-CN"/>
        </w:rPr>
        <w:t>个，已完成预期指标值的数量指标个数为</w:t>
      </w:r>
      <w:r>
        <w:rPr>
          <w:rFonts w:hint="default" w:ascii="Times New Roman Regular" w:hAnsi="Times New Roman Regular" w:eastAsia="仿宋_GB2312" w:cs="Times New Roman Regular"/>
          <w:color w:val="000000"/>
          <w:kern w:val="0"/>
          <w:sz w:val="32"/>
          <w:szCs w:val="32"/>
          <w:shd w:val="clear" w:color="auto" w:fill="FFFFFF"/>
        </w:rPr>
        <w:t>5</w:t>
      </w:r>
      <w:r>
        <w:rPr>
          <w:rFonts w:hint="default" w:ascii="Times New Roman Regular" w:hAnsi="Times New Roman Regular" w:eastAsia="仿宋_GB2312" w:cs="Times New Roman Regular"/>
          <w:color w:val="000000"/>
          <w:kern w:val="0"/>
          <w:sz w:val="32"/>
          <w:szCs w:val="32"/>
          <w:shd w:val="clear" w:color="auto" w:fill="FFFFFF"/>
          <w:lang w:val="zh-CN"/>
        </w:rPr>
        <w:t>个。</w:t>
      </w:r>
    </w:p>
    <w:p w14:paraId="7C27069C">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综上，根据评分标准，该项指标不扣分，得4分。</w:t>
      </w:r>
    </w:p>
    <w:p w14:paraId="55F97061">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rPr>
      </w:pPr>
      <w:r>
        <w:rPr>
          <w:rFonts w:hint="default" w:ascii="Times New Roman Regular" w:hAnsi="Times New Roman Regular" w:eastAsia="仿宋_GB2312" w:cs="Times New Roman Regular"/>
          <w:color w:val="000000"/>
          <w:kern w:val="0"/>
          <w:sz w:val="32"/>
          <w:szCs w:val="32"/>
          <w:shd w:val="clear" w:color="auto" w:fill="FFFFFF"/>
          <w:lang w:val="zh-CN"/>
        </w:rPr>
        <w:t>（</w:t>
      </w:r>
      <w:r>
        <w:rPr>
          <w:rFonts w:hint="default" w:ascii="Times New Roman Regular" w:hAnsi="Times New Roman Regular" w:eastAsia="仿宋_GB2312" w:cs="Times New Roman Regular"/>
          <w:color w:val="000000"/>
          <w:kern w:val="0"/>
          <w:sz w:val="32"/>
          <w:szCs w:val="32"/>
          <w:shd w:val="clear" w:color="auto" w:fill="FFFFFF"/>
        </w:rPr>
        <w:t>3</w:t>
      </w:r>
      <w:r>
        <w:rPr>
          <w:rFonts w:hint="default" w:ascii="Times New Roman Regular" w:hAnsi="Times New Roman Regular" w:eastAsia="仿宋_GB2312" w:cs="Times New Roman Regular"/>
          <w:color w:val="000000"/>
          <w:kern w:val="0"/>
          <w:sz w:val="32"/>
          <w:szCs w:val="32"/>
          <w:shd w:val="clear" w:color="auto" w:fill="FFFFFF"/>
          <w:lang w:val="zh-CN"/>
        </w:rPr>
        <w:t>）实现</w:t>
      </w:r>
      <w:r>
        <w:rPr>
          <w:rFonts w:hint="default" w:ascii="Times New Roman Regular" w:hAnsi="Times New Roman Regular" w:eastAsia="仿宋_GB2312" w:cs="Times New Roman Regular"/>
          <w:color w:val="000000"/>
          <w:kern w:val="0"/>
          <w:sz w:val="32"/>
          <w:szCs w:val="32"/>
          <w:shd w:val="clear" w:color="auto" w:fill="FFFFFF"/>
        </w:rPr>
        <w:t>效果</w:t>
      </w:r>
    </w:p>
    <w:p w14:paraId="3257B0DB">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预算阶段项目（含一次性项目）总数为</w:t>
      </w:r>
      <w:r>
        <w:rPr>
          <w:rFonts w:hint="default" w:ascii="Times New Roman Regular" w:hAnsi="Times New Roman Regular" w:eastAsia="仿宋_GB2312" w:cs="Times New Roman Regular"/>
          <w:color w:val="000000"/>
          <w:kern w:val="0"/>
          <w:sz w:val="32"/>
          <w:szCs w:val="32"/>
          <w:shd w:val="clear" w:color="auto" w:fill="FFFFFF"/>
        </w:rPr>
        <w:t>5</w:t>
      </w:r>
      <w:r>
        <w:rPr>
          <w:rFonts w:hint="default" w:ascii="Times New Roman Regular" w:hAnsi="Times New Roman Regular" w:eastAsia="仿宋_GB2312" w:cs="Times New Roman Regular"/>
          <w:color w:val="000000"/>
          <w:kern w:val="0"/>
          <w:sz w:val="32"/>
          <w:szCs w:val="32"/>
          <w:shd w:val="clear" w:color="auto" w:fill="FFFFFF"/>
          <w:lang w:val="zh-CN"/>
        </w:rPr>
        <w:t>个，完成绩效目标效益指标的部门预算阶段项目（含一次性项目）数量为</w:t>
      </w:r>
      <w:r>
        <w:rPr>
          <w:rFonts w:hint="default" w:ascii="Times New Roman Regular" w:hAnsi="Times New Roman Regular" w:eastAsia="仿宋_GB2312" w:cs="Times New Roman Regular"/>
          <w:color w:val="000000"/>
          <w:kern w:val="0"/>
          <w:sz w:val="32"/>
          <w:szCs w:val="32"/>
          <w:shd w:val="clear" w:color="auto" w:fill="FFFFFF"/>
        </w:rPr>
        <w:t>5</w:t>
      </w:r>
      <w:r>
        <w:rPr>
          <w:rFonts w:hint="default" w:ascii="Times New Roman Regular" w:hAnsi="Times New Roman Regular" w:eastAsia="仿宋_GB2312" w:cs="Times New Roman Regular"/>
          <w:color w:val="000000"/>
          <w:kern w:val="0"/>
          <w:sz w:val="32"/>
          <w:szCs w:val="32"/>
          <w:shd w:val="clear" w:color="auto" w:fill="FFFFFF"/>
          <w:lang w:val="zh-CN"/>
        </w:rPr>
        <w:t>个，我所预算项目绩效目标效益指标实施效果较好，均已达到设定指标值。</w:t>
      </w:r>
    </w:p>
    <w:p w14:paraId="72226D8B">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val="zh-CN"/>
        </w:rPr>
      </w:pPr>
      <w:r>
        <w:rPr>
          <w:rFonts w:hint="default" w:ascii="Times New Roman Regular" w:hAnsi="Times New Roman Regular" w:eastAsia="仿宋_GB2312" w:cs="Times New Roman Regular"/>
          <w:color w:val="000000"/>
          <w:kern w:val="0"/>
          <w:sz w:val="32"/>
          <w:szCs w:val="32"/>
          <w:shd w:val="clear" w:color="auto" w:fill="FFFFFF"/>
          <w:lang w:val="zh-CN"/>
        </w:rPr>
        <w:t>综上，根据评分标准，该项指标得3分。</w:t>
      </w:r>
    </w:p>
    <w:p w14:paraId="2209756B">
      <w:pPr>
        <w:suppressAutoHyphens/>
        <w:bidi w:val="0"/>
        <w:adjustRightInd w:val="0"/>
        <w:snapToGrid w:val="0"/>
        <w:spacing w:line="578" w:lineRule="exact"/>
        <w:ind w:firstLine="643" w:firstLineChars="200"/>
        <w:contextualSpacing/>
        <w:jc w:val="left"/>
        <w:rPr>
          <w:rFonts w:hint="default" w:ascii="Times New Roman Regular" w:hAnsi="Times New Roman Regular" w:eastAsia="楷体_GB2312" w:cs="Times New Roman Regular"/>
          <w:b/>
          <w:bCs/>
          <w:color w:val="000000"/>
          <w:kern w:val="0"/>
          <w:sz w:val="32"/>
          <w:szCs w:val="32"/>
          <w:shd w:val="clear" w:color="auto" w:fill="FFFFFF"/>
          <w:lang w:val="zh-CN"/>
        </w:rPr>
      </w:pPr>
      <w:r>
        <w:rPr>
          <w:rFonts w:hint="default" w:ascii="Times New Roman Regular" w:hAnsi="Times New Roman Regular" w:eastAsia="楷体_GB2312" w:cs="Times New Roman Regular"/>
          <w:b/>
          <w:bCs/>
          <w:color w:val="000000"/>
          <w:kern w:val="0"/>
          <w:sz w:val="32"/>
          <w:szCs w:val="32"/>
          <w:shd w:val="clear" w:color="auto" w:fill="FFFFFF"/>
          <w:lang w:val="zh-CN"/>
        </w:rPr>
        <w:t>（三）重点领域绩效分析。</w:t>
      </w:r>
    </w:p>
    <w:p w14:paraId="0E7E34DB">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rPr>
      </w:pPr>
      <w:r>
        <w:rPr>
          <w:rFonts w:hint="default" w:ascii="Times New Roman Regular" w:hAnsi="Times New Roman Regular" w:eastAsia="仿宋_GB2312" w:cs="Times New Roman Regular"/>
          <w:color w:val="000000"/>
          <w:kern w:val="0"/>
          <w:sz w:val="32"/>
          <w:szCs w:val="32"/>
          <w:shd w:val="clear" w:color="auto" w:fill="FFFFFF"/>
        </w:rPr>
        <w:t>1.行政事业性国有资产绩效分析。</w:t>
      </w:r>
    </w:p>
    <w:p w14:paraId="30A529C9">
      <w:pPr>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shd w:val="clear" w:color="auto" w:fill="FFFFFF"/>
        </w:rPr>
      </w:pPr>
      <w:r>
        <w:rPr>
          <w:rFonts w:hint="eastAsia" w:ascii="Times New Roman Regular" w:hAnsi="Times New Roman Regular" w:eastAsia="仿宋_GB2312" w:cs="Times New Roman Regular"/>
          <w:color w:val="000000"/>
          <w:kern w:val="0"/>
          <w:sz w:val="32"/>
          <w:szCs w:val="32"/>
          <w:shd w:val="clear" w:color="auto" w:fill="FFFFFF"/>
          <w:lang w:eastAsia="zh-CN"/>
        </w:rPr>
        <w:t>我院</w:t>
      </w:r>
      <w:r>
        <w:rPr>
          <w:rFonts w:hint="default" w:ascii="Times New Roman Regular" w:hAnsi="Times New Roman Regular" w:eastAsia="仿宋_GB2312" w:cs="Times New Roman Regular"/>
          <w:color w:val="000000"/>
          <w:kern w:val="0"/>
          <w:sz w:val="32"/>
          <w:szCs w:val="32"/>
          <w:shd w:val="clear" w:color="auto" w:fill="FFFFFF"/>
        </w:rPr>
        <w:t>严格按照相关工作要求，在四川省行政事业性国有资产管理信息系统中对国有资产进行管理，按时将新购、满足固定资产登记条件的资产进行资产卡片新增。每月初按时填报资产月报，严格审核，确保数据准确、及时、</w:t>
      </w:r>
      <w:r>
        <w:rPr>
          <w:rFonts w:hint="eastAsia" w:ascii="Times New Roman Regular" w:hAnsi="Times New Roman Regular" w:eastAsia="仿宋_GB2312" w:cs="Times New Roman Regular"/>
          <w:color w:val="000000"/>
          <w:kern w:val="0"/>
          <w:sz w:val="32"/>
          <w:szCs w:val="32"/>
          <w:shd w:val="clear" w:color="auto" w:fill="FFFFFF"/>
          <w:lang w:eastAsia="zh-CN"/>
        </w:rPr>
        <w:t>完整</w:t>
      </w:r>
      <w:r>
        <w:rPr>
          <w:rFonts w:hint="default" w:ascii="Times New Roman Regular" w:hAnsi="Times New Roman Regular" w:eastAsia="仿宋_GB2312" w:cs="Times New Roman Regular"/>
          <w:color w:val="000000"/>
          <w:kern w:val="0"/>
          <w:sz w:val="32"/>
          <w:szCs w:val="32"/>
          <w:shd w:val="clear" w:color="auto" w:fill="FFFFFF"/>
        </w:rPr>
        <w:t>，有效夯实了行政事业性国有资产管理基础工作。</w:t>
      </w:r>
    </w:p>
    <w:p w14:paraId="695D619E">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rPr>
      </w:pPr>
      <w:r>
        <w:rPr>
          <w:rFonts w:hint="default" w:ascii="Times New Roman Regular" w:hAnsi="Times New Roman Regular" w:eastAsia="仿宋_GB2312" w:cs="Times New Roman Regular"/>
          <w:color w:val="000000"/>
          <w:kern w:val="0"/>
          <w:sz w:val="32"/>
          <w:szCs w:val="32"/>
          <w:shd w:val="clear" w:color="auto" w:fill="FFFFFF"/>
        </w:rPr>
        <w:t>2.政府采购绩效分析。</w:t>
      </w:r>
    </w:p>
    <w:p w14:paraId="6C2D6D83">
      <w:pPr>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color w:val="000000"/>
          <w:kern w:val="0"/>
          <w:sz w:val="32"/>
          <w:szCs w:val="32"/>
          <w:shd w:val="clear" w:color="auto" w:fill="FFFFFF"/>
          <w:lang w:eastAsia="zh-CN"/>
        </w:rPr>
      </w:pPr>
      <w:r>
        <w:rPr>
          <w:rFonts w:hint="default" w:ascii="Times New Roman Regular" w:hAnsi="Times New Roman Regular" w:eastAsia="仿宋_GB2312" w:cs="Times New Roman Regular"/>
          <w:color w:val="000000"/>
          <w:kern w:val="0"/>
          <w:sz w:val="32"/>
          <w:szCs w:val="32"/>
          <w:shd w:val="clear" w:color="auto" w:fill="FFFFFF"/>
          <w:lang w:val="en-US" w:eastAsia="zh-CN"/>
        </w:rPr>
        <w:t>我</w:t>
      </w:r>
      <w:r>
        <w:rPr>
          <w:rFonts w:hint="default" w:ascii="Times New Roman Regular" w:hAnsi="Times New Roman Regular" w:eastAsia="仿宋_GB2312" w:cs="Times New Roman Regular"/>
          <w:color w:val="000000"/>
          <w:kern w:val="0"/>
          <w:sz w:val="32"/>
          <w:szCs w:val="32"/>
          <w:shd w:val="clear" w:color="auto" w:fill="FFFFFF"/>
        </w:rPr>
        <w:t>院2025年政府采购工作严格遵循相关法律法规及政策要求，合规性良好。在支持中小企业发展方面，对适宜中小企业提供的采购项目预留专门份额并在预算中单独列示，全年授予小微企业合同金额151.30万元。在采购执行率方面，当年政府采购总预算221.</w:t>
      </w:r>
      <w:r>
        <w:rPr>
          <w:rFonts w:hint="default" w:ascii="Times New Roman Regular" w:hAnsi="Times New Roman Regular" w:eastAsia="仿宋_GB2312" w:cs="Times New Roman Regular"/>
          <w:color w:val="000000"/>
          <w:kern w:val="0"/>
          <w:sz w:val="32"/>
          <w:szCs w:val="32"/>
          <w:shd w:val="clear" w:color="auto" w:fill="FFFFFF"/>
          <w:lang w:val="en-US" w:eastAsia="zh-CN"/>
        </w:rPr>
        <w:t>56</w:t>
      </w:r>
      <w:r>
        <w:rPr>
          <w:rFonts w:hint="default" w:ascii="Times New Roman Regular" w:hAnsi="Times New Roman Regular" w:eastAsia="仿宋_GB2312" w:cs="Times New Roman Regular"/>
          <w:color w:val="000000"/>
          <w:kern w:val="0"/>
          <w:sz w:val="32"/>
          <w:szCs w:val="32"/>
          <w:shd w:val="clear" w:color="auto" w:fill="FFFFFF"/>
        </w:rPr>
        <w:t>万元，</w:t>
      </w:r>
      <w:r>
        <w:rPr>
          <w:rFonts w:hint="default" w:ascii="Times New Roman Regular" w:hAnsi="Times New Roman Regular" w:eastAsia="仿宋_GB2312" w:cs="Times New Roman Regular"/>
          <w:color w:val="000000"/>
          <w:kern w:val="0"/>
          <w:sz w:val="32"/>
          <w:szCs w:val="32"/>
          <w:shd w:val="clear" w:color="auto" w:fill="FFFFFF"/>
          <w:lang w:val="en-US" w:eastAsia="zh-CN"/>
        </w:rPr>
        <w:t>支出</w:t>
      </w:r>
      <w:r>
        <w:rPr>
          <w:rFonts w:hint="default" w:ascii="Times New Roman Regular" w:hAnsi="Times New Roman Regular" w:eastAsia="仿宋_GB2312" w:cs="Times New Roman Regular"/>
          <w:color w:val="000000"/>
          <w:kern w:val="0"/>
          <w:sz w:val="32"/>
          <w:szCs w:val="32"/>
          <w:shd w:val="clear" w:color="auto" w:fill="FFFFFF"/>
        </w:rPr>
        <w:t>数</w:t>
      </w:r>
      <w:r>
        <w:rPr>
          <w:rFonts w:hint="default" w:ascii="Times New Roman Regular" w:hAnsi="Times New Roman Regular" w:eastAsia="仿宋_GB2312" w:cs="Times New Roman Regular"/>
          <w:color w:val="000000"/>
          <w:kern w:val="0"/>
          <w:sz w:val="32"/>
          <w:szCs w:val="32"/>
          <w:shd w:val="clear" w:color="auto" w:fill="FFFFFF"/>
          <w:lang w:val="en-US" w:eastAsia="zh-CN"/>
        </w:rPr>
        <w:t>221.30</w:t>
      </w:r>
      <w:r>
        <w:rPr>
          <w:rFonts w:hint="default" w:ascii="Times New Roman Regular" w:hAnsi="Times New Roman Regular" w:eastAsia="仿宋_GB2312" w:cs="Times New Roman Regular"/>
          <w:color w:val="000000"/>
          <w:kern w:val="0"/>
          <w:sz w:val="32"/>
          <w:szCs w:val="32"/>
          <w:shd w:val="clear" w:color="auto" w:fill="FFFFFF"/>
        </w:rPr>
        <w:t>万元，预算执行率</w:t>
      </w:r>
      <w:r>
        <w:rPr>
          <w:rFonts w:hint="default" w:ascii="Times New Roman Regular" w:hAnsi="Times New Roman Regular" w:eastAsia="仿宋_GB2312" w:cs="Times New Roman Regular"/>
          <w:color w:val="000000"/>
          <w:kern w:val="0"/>
          <w:sz w:val="32"/>
          <w:szCs w:val="32"/>
          <w:shd w:val="clear" w:color="auto" w:fill="FFFFFF"/>
          <w:lang w:val="en-US" w:eastAsia="zh-CN"/>
        </w:rPr>
        <w:t>99.88</w:t>
      </w:r>
      <w:r>
        <w:rPr>
          <w:rFonts w:hint="default" w:ascii="Times New Roman Regular" w:hAnsi="Times New Roman Regular" w:eastAsia="仿宋_GB2312" w:cs="Times New Roman Regular"/>
          <w:color w:val="000000"/>
          <w:kern w:val="0"/>
          <w:sz w:val="32"/>
          <w:szCs w:val="32"/>
          <w:shd w:val="clear" w:color="auto" w:fill="FFFFFF"/>
        </w:rPr>
        <w:t>%，执行过程严格遵循“无预算不采购”原则，无超预算、无预算采购等违规情形，整体采购工作规范有序，切实保障了财政资金使用的合规性与有效性。</w:t>
      </w:r>
    </w:p>
    <w:p w14:paraId="18A8B1BA">
      <w:pPr>
        <w:widowControl/>
        <w:suppressAutoHyphens/>
        <w:bidi w:val="0"/>
        <w:adjustRightInd w:val="0"/>
        <w:snapToGrid w:val="0"/>
        <w:spacing w:line="578" w:lineRule="exact"/>
        <w:ind w:firstLine="643" w:firstLineChars="200"/>
        <w:contextualSpacing/>
        <w:jc w:val="left"/>
        <w:rPr>
          <w:rFonts w:hint="default" w:ascii="Times New Roman Regular" w:hAnsi="Times New Roman Regular" w:eastAsia="楷体_GB2312" w:cs="Times New Roman Regular"/>
          <w:b/>
          <w:bCs/>
          <w:sz w:val="32"/>
          <w:szCs w:val="32"/>
          <w:lang w:val="zh-CN"/>
        </w:rPr>
      </w:pPr>
      <w:r>
        <w:rPr>
          <w:rFonts w:hint="default" w:ascii="Times New Roman Regular" w:hAnsi="Times New Roman Regular" w:eastAsia="楷体_GB2312" w:cs="Times New Roman Regular"/>
          <w:b/>
          <w:bCs/>
          <w:sz w:val="32"/>
          <w:szCs w:val="32"/>
          <w:lang w:val="zh-CN"/>
        </w:rPr>
        <w:t>（四）绩效结果应用情况。</w:t>
      </w:r>
    </w:p>
    <w:p w14:paraId="459FE4DE">
      <w:pPr>
        <w:widowControl/>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color w:val="000000"/>
          <w:kern w:val="0"/>
          <w:sz w:val="32"/>
          <w:szCs w:val="32"/>
          <w:shd w:val="clear" w:color="auto" w:fill="FFFFFF"/>
        </w:rPr>
      </w:pPr>
      <w:r>
        <w:rPr>
          <w:rFonts w:hint="eastAsia" w:ascii="Times New Roman Regular" w:hAnsi="Times New Roman Regular" w:eastAsia="仿宋_GB2312" w:cs="Times New Roman Regular"/>
          <w:color w:val="000000"/>
          <w:kern w:val="0"/>
          <w:sz w:val="32"/>
          <w:szCs w:val="32"/>
          <w:shd w:val="clear" w:color="auto" w:fill="FFFFFF"/>
          <w:lang w:eastAsia="zh-CN"/>
        </w:rPr>
        <w:t>我院</w:t>
      </w:r>
      <w:r>
        <w:rPr>
          <w:rFonts w:hint="default" w:ascii="Times New Roman Regular" w:hAnsi="Times New Roman Regular" w:eastAsia="仿宋_GB2312" w:cs="Times New Roman Regular"/>
          <w:color w:val="000000"/>
          <w:kern w:val="0"/>
          <w:sz w:val="32"/>
          <w:szCs w:val="32"/>
          <w:shd w:val="clear" w:color="auto" w:fill="FFFFFF"/>
        </w:rPr>
        <w:t>在</w:t>
      </w:r>
      <w:r>
        <w:rPr>
          <w:rFonts w:hint="default" w:ascii="Times New Roman Regular" w:hAnsi="Times New Roman Regular" w:eastAsia="仿宋_GB2312" w:cs="Times New Roman Regular"/>
          <w:color w:val="000000"/>
          <w:kern w:val="0"/>
          <w:sz w:val="32"/>
          <w:szCs w:val="32"/>
          <w:shd w:val="clear" w:color="auto" w:fill="FFFFFF"/>
          <w:lang w:eastAsia="zh-CN"/>
        </w:rPr>
        <w:t>2025年</w:t>
      </w:r>
      <w:r>
        <w:rPr>
          <w:rFonts w:hint="default" w:ascii="Times New Roman Regular" w:hAnsi="Times New Roman Regular" w:eastAsia="仿宋_GB2312" w:cs="Times New Roman Regular"/>
          <w:color w:val="000000"/>
          <w:kern w:val="0"/>
          <w:sz w:val="32"/>
          <w:szCs w:val="32"/>
          <w:shd w:val="clear" w:color="auto" w:fill="FFFFFF"/>
        </w:rPr>
        <w:t>圆满完成单位的年度任务，明确预算编制、预算分解、预算执行与分析、预算调整、决算管理、预算绩效管理及预决算信息公开管理等业务环节的管理要求，加强预算业务各环节的风险管控，并在日常的各个任务间提升我处的自身素质，提升隧道运行维护能力，夯实责任，筑牢安全生产防线，加强财务制度落实，提升财务业务水平，做好资料管理，推动工作高效开展。</w:t>
      </w:r>
    </w:p>
    <w:p w14:paraId="4C50FA88">
      <w:pPr>
        <w:widowControl/>
        <w:suppressAutoHyphens/>
        <w:bidi w:val="0"/>
        <w:adjustRightInd w:val="0"/>
        <w:snapToGrid w:val="0"/>
        <w:spacing w:line="578" w:lineRule="exact"/>
        <w:ind w:firstLine="640" w:firstLineChars="200"/>
        <w:contextualSpacing/>
        <w:jc w:val="left"/>
        <w:outlineLvl w:val="1"/>
        <w:rPr>
          <w:rFonts w:hint="default" w:ascii="Times New Roman Regular" w:hAnsi="Times New Roman Regular" w:eastAsia="黑体" w:cs="Times New Roman Regular"/>
          <w:color w:val="000000"/>
          <w:kern w:val="0"/>
          <w:sz w:val="32"/>
          <w:szCs w:val="32"/>
          <w:shd w:val="clear" w:color="auto" w:fill="FFFFFF"/>
        </w:rPr>
      </w:pPr>
      <w:bookmarkStart w:id="97" w:name="_Toc30789"/>
      <w:r>
        <w:rPr>
          <w:rFonts w:hint="default" w:ascii="Times New Roman Regular" w:hAnsi="Times New Roman Regular" w:eastAsia="黑体" w:cs="Times New Roman Regular"/>
          <w:color w:val="000000"/>
          <w:kern w:val="0"/>
          <w:sz w:val="32"/>
          <w:szCs w:val="32"/>
          <w:shd w:val="clear" w:color="auto" w:fill="FFFFFF"/>
        </w:rPr>
        <w:t>四、评价结论及建议</w:t>
      </w:r>
      <w:bookmarkEnd w:id="97"/>
    </w:p>
    <w:p w14:paraId="672EAB02">
      <w:pPr>
        <w:widowControl/>
        <w:suppressAutoHyphens/>
        <w:bidi w:val="0"/>
        <w:adjustRightInd w:val="0"/>
        <w:snapToGrid w:val="0"/>
        <w:spacing w:line="578" w:lineRule="exact"/>
        <w:ind w:firstLine="643" w:firstLineChars="200"/>
        <w:contextualSpacing/>
        <w:jc w:val="left"/>
        <w:rPr>
          <w:rFonts w:hint="default" w:ascii="Times New Roman Regular" w:hAnsi="Times New Roman Regular" w:eastAsia="楷体_GB2312" w:cs="Times New Roman Regular"/>
          <w:b/>
          <w:bCs/>
          <w:color w:val="000000"/>
          <w:kern w:val="0"/>
          <w:sz w:val="32"/>
          <w:szCs w:val="32"/>
          <w:shd w:val="clear" w:color="auto" w:fill="FFFFFF"/>
          <w:lang w:val="zh-CN"/>
        </w:rPr>
      </w:pPr>
      <w:r>
        <w:rPr>
          <w:rFonts w:hint="default" w:ascii="Times New Roman Regular" w:hAnsi="Times New Roman Regular" w:eastAsia="楷体_GB2312" w:cs="Times New Roman Regular"/>
          <w:b/>
          <w:bCs/>
          <w:color w:val="000000"/>
          <w:kern w:val="0"/>
          <w:sz w:val="32"/>
          <w:szCs w:val="32"/>
          <w:shd w:val="clear" w:color="auto" w:fill="FFFFFF"/>
          <w:lang w:val="zh-CN"/>
        </w:rPr>
        <w:t>（一）评价结论。</w:t>
      </w:r>
    </w:p>
    <w:p w14:paraId="4624BFA3">
      <w:pPr>
        <w:widowControl/>
        <w:suppressAutoHyphens/>
        <w:bidi w:val="0"/>
        <w:adjustRightInd w:val="0"/>
        <w:snapToGrid w:val="0"/>
        <w:spacing w:line="578" w:lineRule="exact"/>
        <w:ind w:firstLine="640" w:firstLineChars="200"/>
        <w:contextualSpacing/>
        <w:rPr>
          <w:rFonts w:hint="default" w:ascii="Times New Roman Regular" w:hAnsi="Times New Roman Regular" w:eastAsia="楷体_GB2312" w:cs="Times New Roman Regular"/>
          <w:b/>
          <w:bCs/>
          <w:color w:val="000000"/>
          <w:kern w:val="0"/>
          <w:sz w:val="32"/>
          <w:szCs w:val="32"/>
          <w:shd w:val="clear" w:color="auto" w:fill="FFFFFF"/>
        </w:rPr>
      </w:pPr>
      <w:r>
        <w:rPr>
          <w:rFonts w:hint="eastAsia" w:ascii="Times New Roman Regular" w:hAnsi="Times New Roman Regular" w:eastAsia="仿宋_GB2312" w:cs="Times New Roman Regular"/>
          <w:kern w:val="0"/>
          <w:sz w:val="32"/>
          <w:szCs w:val="32"/>
          <w:lang w:eastAsia="zh-CN"/>
        </w:rPr>
        <w:t>我院</w:t>
      </w:r>
      <w:r>
        <w:rPr>
          <w:rFonts w:hint="default" w:ascii="Times New Roman Regular" w:hAnsi="Times New Roman Regular" w:eastAsia="仿宋_GB2312" w:cs="Times New Roman Regular"/>
          <w:kern w:val="0"/>
          <w:sz w:val="32"/>
          <w:szCs w:val="32"/>
        </w:rPr>
        <w:t>履职效果和预算管理效果较好，财务管理、资产管理、采购管理规范，项目决策程序严格，项目执行进度良好，绩效目标实现程度良好。根据《阿坝州财政局关于开展202</w:t>
      </w:r>
      <w:r>
        <w:rPr>
          <w:rFonts w:hint="default" w:ascii="Times New Roman Regular" w:hAnsi="Times New Roman Regular" w:eastAsia="仿宋_GB2312" w:cs="Times New Roman Regular"/>
          <w:kern w:val="0"/>
          <w:sz w:val="32"/>
          <w:szCs w:val="32"/>
          <w:lang w:val="en-US" w:eastAsia="zh-CN"/>
        </w:rPr>
        <w:t>5</w:t>
      </w:r>
      <w:r>
        <w:rPr>
          <w:rFonts w:hint="default" w:ascii="Times New Roman Regular" w:hAnsi="Times New Roman Regular" w:eastAsia="仿宋_GB2312" w:cs="Times New Roman Regular"/>
          <w:kern w:val="0"/>
          <w:sz w:val="32"/>
          <w:szCs w:val="32"/>
        </w:rPr>
        <w:t>年州级部门绩效自评工作的通知》中部门整体支出绩效评价指标体系，</w:t>
      </w:r>
      <w:r>
        <w:rPr>
          <w:rFonts w:hint="default" w:ascii="Times New Roman Regular" w:hAnsi="Times New Roman Regular" w:eastAsia="仿宋_GB2312" w:cs="Times New Roman Regular"/>
          <w:kern w:val="0"/>
          <w:sz w:val="32"/>
          <w:szCs w:val="32"/>
          <w:highlight w:val="none"/>
          <w:lang w:eastAsia="zh-CN"/>
        </w:rPr>
        <w:t>2025年</w:t>
      </w:r>
      <w:r>
        <w:rPr>
          <w:rFonts w:hint="default" w:ascii="Times New Roman Regular" w:hAnsi="Times New Roman Regular" w:eastAsia="仿宋_GB2312" w:cs="Times New Roman Regular"/>
          <w:kern w:val="0"/>
          <w:sz w:val="32"/>
          <w:szCs w:val="32"/>
          <w:highlight w:val="none"/>
        </w:rPr>
        <w:t>度自评得分</w:t>
      </w:r>
      <w:r>
        <w:rPr>
          <w:rFonts w:hint="default" w:ascii="Times New Roman Regular" w:hAnsi="Times New Roman Regular" w:eastAsia="仿宋_GB2312" w:cs="Times New Roman Regular"/>
          <w:kern w:val="0"/>
          <w:sz w:val="32"/>
          <w:szCs w:val="32"/>
          <w:highlight w:val="none"/>
          <w:lang w:val="en-US" w:eastAsia="zh-CN"/>
        </w:rPr>
        <w:t>85.</w:t>
      </w:r>
      <w:r>
        <w:rPr>
          <w:rFonts w:hint="eastAsia" w:ascii="Times New Roman Regular" w:hAnsi="Times New Roman Regular" w:eastAsia="仿宋_GB2312" w:cs="Times New Roman Regular"/>
          <w:kern w:val="0"/>
          <w:sz w:val="32"/>
          <w:szCs w:val="32"/>
          <w:highlight w:val="none"/>
          <w:lang w:val="en-US" w:eastAsia="zh-CN"/>
        </w:rPr>
        <w:t>68</w:t>
      </w:r>
      <w:r>
        <w:rPr>
          <w:rFonts w:hint="default" w:ascii="Times New Roman Regular" w:hAnsi="Times New Roman Regular" w:eastAsia="仿宋_GB2312" w:cs="Times New Roman Regular"/>
          <w:kern w:val="0"/>
          <w:sz w:val="32"/>
          <w:szCs w:val="32"/>
          <w:highlight w:val="none"/>
        </w:rPr>
        <w:t>分。</w:t>
      </w:r>
    </w:p>
    <w:p w14:paraId="7B6E7AE9">
      <w:pPr>
        <w:widowControl/>
        <w:suppressAutoHyphens/>
        <w:bidi w:val="0"/>
        <w:adjustRightInd w:val="0"/>
        <w:snapToGrid w:val="0"/>
        <w:spacing w:line="578" w:lineRule="exact"/>
        <w:ind w:firstLine="643" w:firstLineChars="200"/>
        <w:contextualSpacing/>
        <w:jc w:val="left"/>
        <w:rPr>
          <w:rFonts w:hint="default" w:ascii="Times New Roman Regular" w:hAnsi="Times New Roman Regular" w:eastAsia="仿宋_GB2312" w:cs="Times New Roman Regular"/>
          <w:w w:val="95"/>
          <w:kern w:val="0"/>
          <w:sz w:val="32"/>
          <w:szCs w:val="32"/>
        </w:rPr>
      </w:pPr>
      <w:r>
        <w:rPr>
          <w:rFonts w:hint="default" w:ascii="Times New Roman Regular" w:hAnsi="Times New Roman Regular" w:eastAsia="楷体_GB2312" w:cs="Times New Roman Regular"/>
          <w:b/>
          <w:bCs/>
          <w:color w:val="000000"/>
          <w:kern w:val="0"/>
          <w:sz w:val="32"/>
          <w:szCs w:val="32"/>
          <w:shd w:val="clear" w:color="auto" w:fill="FFFFFF"/>
          <w:lang w:val="zh-CN"/>
        </w:rPr>
        <w:t>（二）存在问题。</w:t>
      </w:r>
    </w:p>
    <w:p w14:paraId="297E961C">
      <w:pPr>
        <w:widowControl/>
        <w:suppressAutoHyphens/>
        <w:bidi w:val="0"/>
        <w:adjustRightInd w:val="0"/>
        <w:snapToGrid w:val="0"/>
        <w:spacing w:line="578" w:lineRule="exact"/>
        <w:ind w:firstLine="608" w:firstLineChars="200"/>
        <w:contextualSpacing/>
        <w:jc w:val="left"/>
        <w:rPr>
          <w:rFonts w:hint="default" w:ascii="Times New Roman Regular" w:hAnsi="Times New Roman Regular" w:eastAsia="仿宋_GB2312" w:cs="Times New Roman Regular"/>
          <w:w w:val="95"/>
          <w:kern w:val="0"/>
          <w:sz w:val="32"/>
          <w:szCs w:val="32"/>
        </w:rPr>
      </w:pPr>
      <w:r>
        <w:rPr>
          <w:rFonts w:hint="default" w:ascii="Times New Roman Regular" w:hAnsi="Times New Roman Regular" w:eastAsia="仿宋_GB2312" w:cs="Times New Roman Regular"/>
          <w:w w:val="95"/>
          <w:kern w:val="0"/>
          <w:sz w:val="32"/>
          <w:szCs w:val="32"/>
        </w:rPr>
        <w:t>1.年初预算编制质量有待加强</w:t>
      </w:r>
    </w:p>
    <w:p w14:paraId="47034C70">
      <w:pPr>
        <w:widowControl/>
        <w:suppressAutoHyphens/>
        <w:bidi w:val="0"/>
        <w:adjustRightInd w:val="0"/>
        <w:snapToGrid w:val="0"/>
        <w:spacing w:line="578" w:lineRule="exact"/>
        <w:ind w:firstLine="608" w:firstLineChars="200"/>
        <w:contextualSpacing/>
        <w:jc w:val="left"/>
        <w:rPr>
          <w:rFonts w:hint="default" w:ascii="Times New Roman Regular" w:hAnsi="Times New Roman Regular" w:eastAsia="仿宋_GB2312" w:cs="Times New Roman Regular"/>
          <w:w w:val="95"/>
          <w:kern w:val="0"/>
          <w:sz w:val="32"/>
          <w:szCs w:val="32"/>
          <w:lang w:val="en-US" w:eastAsia="zh-CN"/>
        </w:rPr>
      </w:pPr>
      <w:r>
        <w:rPr>
          <w:rFonts w:hint="default" w:ascii="Times New Roman Regular" w:hAnsi="Times New Roman Regular" w:eastAsia="仿宋_GB2312" w:cs="Times New Roman Regular"/>
          <w:w w:val="95"/>
          <w:kern w:val="0"/>
          <w:sz w:val="32"/>
          <w:szCs w:val="32"/>
        </w:rPr>
        <w:t>本部门</w:t>
      </w:r>
      <w:r>
        <w:rPr>
          <w:rFonts w:hint="default" w:ascii="Times New Roman Regular" w:hAnsi="Times New Roman Regular" w:eastAsia="仿宋_GB2312" w:cs="Times New Roman Regular"/>
          <w:sz w:val="32"/>
          <w:lang w:eastAsia="zh-CN"/>
        </w:rPr>
        <w:t>2025年</w:t>
      </w:r>
      <w:r>
        <w:rPr>
          <w:rFonts w:hint="default" w:ascii="Times New Roman Regular" w:hAnsi="Times New Roman Regular" w:eastAsia="仿宋_GB2312" w:cs="Times New Roman Regular"/>
          <w:sz w:val="32"/>
        </w:rPr>
        <w:t>我院</w:t>
      </w:r>
      <w:r>
        <w:rPr>
          <w:rFonts w:hint="default" w:ascii="Times New Roman Regular" w:hAnsi="Times New Roman Regular" w:eastAsia="仿宋_GB2312" w:cs="Times New Roman Regular"/>
          <w:sz w:val="32"/>
          <w:lang w:val="en-US" w:eastAsia="zh-CN"/>
        </w:rPr>
        <w:t>财政拨款</w:t>
      </w:r>
      <w:r>
        <w:rPr>
          <w:rFonts w:hint="default" w:ascii="Times New Roman Regular" w:hAnsi="Times New Roman Regular" w:eastAsia="仿宋_GB2312" w:cs="Times New Roman Regular"/>
          <w:sz w:val="32"/>
        </w:rPr>
        <w:t>年初收入预算数为</w:t>
      </w:r>
      <w:r>
        <w:rPr>
          <w:rFonts w:hint="default" w:ascii="Times New Roman Regular" w:hAnsi="Times New Roman Regular" w:eastAsia="仿宋_GB2312" w:cs="Times New Roman Regular"/>
          <w:sz w:val="32"/>
          <w:lang w:val="en-US" w:eastAsia="zh-CN"/>
        </w:rPr>
        <w:t>1080.04</w:t>
      </w:r>
      <w:r>
        <w:rPr>
          <w:rFonts w:hint="default" w:ascii="Times New Roman Regular" w:hAnsi="Times New Roman Regular" w:eastAsia="仿宋_GB2312" w:cs="Times New Roman Regular"/>
          <w:sz w:val="32"/>
        </w:rPr>
        <w:t>万元，调整后</w:t>
      </w:r>
      <w:r>
        <w:rPr>
          <w:rFonts w:hint="default" w:ascii="Times New Roman Regular" w:hAnsi="Times New Roman Regular" w:eastAsia="仿宋_GB2312" w:cs="Times New Roman Regular"/>
          <w:color w:val="000000"/>
          <w:kern w:val="0"/>
          <w:sz w:val="32"/>
          <w:szCs w:val="32"/>
          <w:shd w:val="clear" w:color="auto" w:fill="FFFFFF"/>
          <w:lang w:val="zh-CN"/>
        </w:rPr>
        <w:t>预算执行数</w:t>
      </w:r>
      <w:r>
        <w:rPr>
          <w:rFonts w:hint="default" w:ascii="Times New Roman Regular" w:hAnsi="Times New Roman Regular" w:eastAsia="仿宋_GB2312" w:cs="Times New Roman Regular"/>
          <w:sz w:val="32"/>
          <w:lang w:val="en-US" w:eastAsia="zh-CN"/>
        </w:rPr>
        <w:t>1794.62万元</w:t>
      </w:r>
      <w:r>
        <w:rPr>
          <w:rFonts w:hint="default" w:ascii="Times New Roman Regular" w:hAnsi="Times New Roman Regular" w:eastAsia="仿宋_GB2312" w:cs="Times New Roman Regular"/>
          <w:sz w:val="32"/>
        </w:rPr>
        <w:t>，调整预算占比较大</w:t>
      </w:r>
      <w:r>
        <w:rPr>
          <w:rFonts w:hint="default" w:ascii="Times New Roman Regular" w:hAnsi="Times New Roman Regular" w:eastAsia="仿宋_GB2312" w:cs="Times New Roman Regular"/>
          <w:sz w:val="32"/>
          <w:lang w:eastAsia="zh-CN"/>
        </w:rPr>
        <w:t>，</w:t>
      </w:r>
      <w:r>
        <w:rPr>
          <w:rFonts w:hint="default" w:ascii="Times New Roman Regular" w:hAnsi="Times New Roman Regular" w:eastAsia="仿宋_GB2312" w:cs="Times New Roman Regular"/>
          <w:sz w:val="32"/>
          <w:lang w:val="en-US" w:eastAsia="zh-CN"/>
        </w:rPr>
        <w:t>预算编制质量有待加强。</w:t>
      </w:r>
    </w:p>
    <w:p w14:paraId="30CD5F6D">
      <w:pPr>
        <w:keepNext w:val="0"/>
        <w:keepLines w:val="0"/>
        <w:pageBreakBefore w:val="0"/>
        <w:widowControl/>
        <w:numPr>
          <w:ilvl w:val="0"/>
          <w:numId w:val="0"/>
        </w:numPr>
        <w:suppressAutoHyphens/>
        <w:kinsoku/>
        <w:wordWrap/>
        <w:overflowPunct/>
        <w:topLinePunct w:val="0"/>
        <w:autoSpaceDE/>
        <w:autoSpaceDN/>
        <w:bidi w:val="0"/>
        <w:adjustRightInd w:val="0"/>
        <w:snapToGrid w:val="0"/>
        <w:spacing w:line="578" w:lineRule="exact"/>
        <w:ind w:firstLine="608" w:firstLineChars="200"/>
        <w:contextualSpacing/>
        <w:jc w:val="left"/>
        <w:textAlignment w:val="auto"/>
        <w:rPr>
          <w:rFonts w:hint="default" w:ascii="Times New Roman Regular" w:hAnsi="Times New Roman Regular" w:eastAsia="仿宋_GB2312" w:cs="Times New Roman Regular"/>
          <w:w w:val="95"/>
          <w:kern w:val="0"/>
          <w:sz w:val="32"/>
          <w:szCs w:val="32"/>
        </w:rPr>
      </w:pPr>
      <w:r>
        <w:rPr>
          <w:rFonts w:hint="default" w:ascii="Times New Roman Regular" w:hAnsi="Times New Roman Regular" w:eastAsia="仿宋_GB2312" w:cs="Times New Roman Regular"/>
          <w:w w:val="95"/>
          <w:kern w:val="0"/>
          <w:sz w:val="32"/>
          <w:szCs w:val="32"/>
          <w:lang w:val="en-US" w:eastAsia="zh-CN"/>
        </w:rPr>
        <w:t>2.一般性支出预算管控的精准性和约束力有待提升</w:t>
      </w:r>
    </w:p>
    <w:p w14:paraId="651CA0CC">
      <w:pPr>
        <w:widowControl/>
        <w:suppressAutoHyphens/>
        <w:bidi w:val="0"/>
        <w:adjustRightInd w:val="0"/>
        <w:snapToGrid w:val="0"/>
        <w:spacing w:line="578" w:lineRule="exact"/>
        <w:ind w:firstLine="608" w:firstLineChars="200"/>
        <w:contextualSpacing/>
        <w:jc w:val="left"/>
        <w:rPr>
          <w:rFonts w:hint="default" w:ascii="Times New Roman Regular" w:hAnsi="Times New Roman Regular" w:eastAsia="仿宋_GB2312" w:cs="Times New Roman Regular"/>
          <w:w w:val="95"/>
          <w:kern w:val="0"/>
          <w:sz w:val="32"/>
          <w:szCs w:val="32"/>
          <w:lang w:val="en-US" w:eastAsia="zh-CN"/>
        </w:rPr>
      </w:pPr>
      <w:r>
        <w:rPr>
          <w:rFonts w:hint="default" w:ascii="Times New Roman Regular" w:hAnsi="Times New Roman Regular" w:eastAsia="仿宋_GB2312" w:cs="Times New Roman Regular"/>
          <w:w w:val="95"/>
          <w:kern w:val="0"/>
          <w:sz w:val="32"/>
          <w:szCs w:val="32"/>
          <w:lang w:val="en-US" w:eastAsia="zh-CN"/>
        </w:rPr>
        <w:t>2025年我院8项一般性支出（含“三公”经费、会议培训等）年初预算较上年减少，但执行数较上年增加，预算编制与实际执行衔接不够紧密，预算管控的精准性和约束力有待提升。</w:t>
      </w:r>
    </w:p>
    <w:p w14:paraId="729C509F">
      <w:pPr>
        <w:widowControl/>
        <w:suppressAutoHyphens/>
        <w:bidi w:val="0"/>
        <w:adjustRightInd w:val="0"/>
        <w:snapToGrid w:val="0"/>
        <w:spacing w:line="578" w:lineRule="exact"/>
        <w:ind w:firstLine="608" w:firstLineChars="200"/>
        <w:contextualSpacing/>
        <w:jc w:val="left"/>
        <w:rPr>
          <w:rFonts w:hint="default" w:ascii="Times New Roman Regular" w:hAnsi="Times New Roman Regular" w:eastAsia="仿宋_GB2312" w:cs="Times New Roman Regular"/>
          <w:sz w:val="32"/>
          <w:highlight w:val="none"/>
        </w:rPr>
      </w:pPr>
      <w:r>
        <w:rPr>
          <w:rFonts w:hint="default" w:ascii="Times New Roman Regular" w:hAnsi="Times New Roman Regular" w:eastAsia="仿宋_GB2312" w:cs="Times New Roman Regular"/>
          <w:w w:val="95"/>
          <w:kern w:val="0"/>
          <w:sz w:val="32"/>
          <w:szCs w:val="32"/>
          <w:highlight w:val="none"/>
          <w:lang w:val="en-US" w:eastAsia="zh-CN"/>
        </w:rPr>
        <w:t>3</w:t>
      </w:r>
      <w:r>
        <w:rPr>
          <w:rFonts w:hint="default" w:ascii="Times New Roman Regular" w:hAnsi="Times New Roman Regular" w:eastAsia="仿宋_GB2312" w:cs="Times New Roman Regular"/>
          <w:w w:val="95"/>
          <w:kern w:val="0"/>
          <w:sz w:val="32"/>
          <w:szCs w:val="32"/>
          <w:highlight w:val="none"/>
        </w:rPr>
        <w:t>.资产管理工作有待提升</w:t>
      </w:r>
    </w:p>
    <w:p w14:paraId="33E5D47C">
      <w:pPr>
        <w:widowControl/>
        <w:suppressAutoHyphens/>
        <w:bidi w:val="0"/>
        <w:adjustRightInd w:val="0"/>
        <w:snapToGrid w:val="0"/>
        <w:spacing w:line="578" w:lineRule="exact"/>
        <w:ind w:firstLine="608" w:firstLineChars="200"/>
        <w:contextualSpacing/>
        <w:jc w:val="left"/>
        <w:rPr>
          <w:rFonts w:hint="default" w:ascii="Times New Roman Regular" w:hAnsi="Times New Roman Regular" w:eastAsia="楷体_GB2312" w:cs="Times New Roman Regular"/>
          <w:b/>
          <w:bCs/>
          <w:color w:val="000000"/>
          <w:kern w:val="0"/>
          <w:sz w:val="32"/>
          <w:szCs w:val="32"/>
          <w:highlight w:val="none"/>
          <w:shd w:val="clear" w:color="auto" w:fill="FFFFFF"/>
        </w:rPr>
      </w:pPr>
      <w:r>
        <w:rPr>
          <w:rFonts w:hint="default" w:ascii="Times New Roman Regular" w:hAnsi="Times New Roman Regular" w:eastAsia="仿宋_GB2312" w:cs="Times New Roman Regular"/>
          <w:w w:val="95"/>
          <w:kern w:val="0"/>
          <w:sz w:val="32"/>
          <w:szCs w:val="32"/>
          <w:highlight w:val="none"/>
        </w:rPr>
        <w:t>本部门资产利用率较低，办公家具的超最低使用年限资产利用率小于州直行政事业单位平均值。</w:t>
      </w:r>
    </w:p>
    <w:p w14:paraId="0539C84A">
      <w:pPr>
        <w:widowControl/>
        <w:suppressAutoHyphens/>
        <w:bidi w:val="0"/>
        <w:adjustRightInd w:val="0"/>
        <w:snapToGrid w:val="0"/>
        <w:spacing w:line="578" w:lineRule="exact"/>
        <w:ind w:firstLine="643" w:firstLineChars="200"/>
        <w:contextualSpacing/>
        <w:jc w:val="left"/>
        <w:rPr>
          <w:rFonts w:hint="default" w:ascii="Times New Roman Regular" w:hAnsi="Times New Roman Regular" w:eastAsia="仿宋_GB2312" w:cs="Times New Roman Regular"/>
          <w:kern w:val="0"/>
          <w:sz w:val="32"/>
          <w:szCs w:val="32"/>
        </w:rPr>
      </w:pPr>
      <w:r>
        <w:rPr>
          <w:rFonts w:hint="default" w:ascii="Times New Roman Regular" w:hAnsi="Times New Roman Regular" w:eastAsia="楷体_GB2312" w:cs="Times New Roman Regular"/>
          <w:b/>
          <w:bCs/>
          <w:color w:val="000000"/>
          <w:kern w:val="0"/>
          <w:sz w:val="32"/>
          <w:szCs w:val="32"/>
          <w:shd w:val="clear" w:color="auto" w:fill="FFFFFF"/>
          <w:lang w:val="zh-CN"/>
        </w:rPr>
        <w:t>（三）改进建议。</w:t>
      </w:r>
    </w:p>
    <w:p w14:paraId="577EFE49">
      <w:pPr>
        <w:widowControl/>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kern w:val="0"/>
          <w:sz w:val="32"/>
          <w:szCs w:val="32"/>
        </w:rPr>
      </w:pPr>
      <w:r>
        <w:rPr>
          <w:rFonts w:hint="default" w:ascii="Times New Roman Regular" w:hAnsi="Times New Roman Regular" w:eastAsia="仿宋_GB2312" w:cs="Times New Roman Regular"/>
          <w:kern w:val="0"/>
          <w:sz w:val="32"/>
          <w:szCs w:val="32"/>
        </w:rPr>
        <w:t>1.加强年初预算编制的准确性和科学性</w:t>
      </w:r>
    </w:p>
    <w:p w14:paraId="4469EF9B">
      <w:pPr>
        <w:widowControl/>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kern w:val="0"/>
          <w:sz w:val="32"/>
          <w:szCs w:val="32"/>
        </w:rPr>
      </w:pPr>
      <w:r>
        <w:rPr>
          <w:rFonts w:hint="eastAsia" w:ascii="Times New Roman Regular" w:hAnsi="Times New Roman Regular" w:eastAsia="仿宋_GB2312" w:cs="Times New Roman Regular"/>
          <w:kern w:val="0"/>
          <w:sz w:val="32"/>
          <w:szCs w:val="32"/>
          <w:lang w:eastAsia="zh-CN"/>
        </w:rPr>
        <w:t>我院</w:t>
      </w:r>
      <w:r>
        <w:rPr>
          <w:rFonts w:hint="default" w:ascii="Times New Roman Regular" w:hAnsi="Times New Roman Regular" w:eastAsia="仿宋_GB2312" w:cs="Times New Roman Regular"/>
          <w:kern w:val="0"/>
          <w:sz w:val="32"/>
          <w:szCs w:val="32"/>
        </w:rPr>
        <w:t>将认真对待部门预算工作，依据职能、年度工作，结合上年度决算情况，科学、合理地编制本年度预算；准确测算项目预算情况，控制和减少预算调整事项，依法进行预算的调整变动。改进预算编制方法，提高部门预算编制的完整性、科学性和规范性，做到全面、真实、准确地反映部门预算情况。</w:t>
      </w:r>
    </w:p>
    <w:p w14:paraId="009A7492">
      <w:pPr>
        <w:widowControl/>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kern w:val="0"/>
          <w:sz w:val="32"/>
          <w:szCs w:val="32"/>
        </w:rPr>
      </w:pPr>
      <w:r>
        <w:rPr>
          <w:rFonts w:hint="default" w:ascii="Times New Roman Regular" w:hAnsi="Times New Roman Regular" w:eastAsia="仿宋_GB2312" w:cs="Times New Roman Regular"/>
          <w:kern w:val="0"/>
          <w:sz w:val="32"/>
          <w:szCs w:val="32"/>
          <w:lang w:val="en-US" w:eastAsia="zh-CN"/>
        </w:rPr>
        <w:t>2</w:t>
      </w:r>
      <w:r>
        <w:rPr>
          <w:rFonts w:hint="default" w:ascii="Times New Roman Regular" w:hAnsi="Times New Roman Regular" w:eastAsia="仿宋_GB2312" w:cs="Times New Roman Regular"/>
          <w:kern w:val="0"/>
          <w:sz w:val="32"/>
          <w:szCs w:val="32"/>
        </w:rPr>
        <w:t>.</w:t>
      </w:r>
      <w:r>
        <w:rPr>
          <w:rFonts w:hint="eastAsia" w:ascii="Times New Roman Regular" w:hAnsi="Times New Roman Regular" w:eastAsia="仿宋_GB2312" w:cs="Times New Roman Regular"/>
          <w:kern w:val="0"/>
          <w:sz w:val="32"/>
          <w:szCs w:val="32"/>
          <w:lang w:eastAsia="zh-CN"/>
        </w:rPr>
        <w:t>提升</w:t>
      </w:r>
      <w:r>
        <w:rPr>
          <w:rFonts w:hint="default" w:ascii="Times New Roman Regular" w:hAnsi="Times New Roman Regular" w:eastAsia="仿宋_GB2312" w:cs="Times New Roman Regular"/>
          <w:kern w:val="0"/>
          <w:sz w:val="32"/>
          <w:szCs w:val="32"/>
          <w:lang w:val="en-US" w:eastAsia="zh-CN"/>
        </w:rPr>
        <w:t>预算编制科学性</w:t>
      </w:r>
    </w:p>
    <w:p w14:paraId="4116D41B">
      <w:pPr>
        <w:widowControl/>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kern w:val="0"/>
          <w:sz w:val="32"/>
          <w:szCs w:val="32"/>
          <w:lang w:val="en-US" w:eastAsia="zh-CN"/>
        </w:rPr>
      </w:pPr>
      <w:r>
        <w:rPr>
          <w:rFonts w:hint="default" w:ascii="Times New Roman Regular" w:hAnsi="Times New Roman Regular" w:eastAsia="仿宋_GB2312" w:cs="Times New Roman Regular"/>
          <w:kern w:val="0"/>
          <w:sz w:val="32"/>
          <w:szCs w:val="32"/>
          <w:lang w:val="en-US" w:eastAsia="zh-CN"/>
        </w:rPr>
        <w:t>结合上年执行情况和当年工作实际，精准测算8项一般性支出需求，提升预算与实际执行的匹配度。严格执行预算管控，规范支出审批流程，严控无预算、超预算支出，确保预算刚性约束落地见效。</w:t>
      </w:r>
    </w:p>
    <w:p w14:paraId="0B9B4E67">
      <w:pPr>
        <w:widowControl/>
        <w:suppressAutoHyphens/>
        <w:bidi w:val="0"/>
        <w:adjustRightInd w:val="0"/>
        <w:snapToGrid w:val="0"/>
        <w:spacing w:line="578" w:lineRule="exact"/>
        <w:ind w:firstLine="640" w:firstLineChars="200"/>
        <w:contextualSpacing/>
        <w:jc w:val="left"/>
        <w:rPr>
          <w:rFonts w:hint="default" w:ascii="Times New Roman Regular" w:hAnsi="Times New Roman Regular" w:eastAsia="仿宋_GB2312" w:cs="Times New Roman Regular"/>
          <w:kern w:val="0"/>
          <w:sz w:val="32"/>
          <w:szCs w:val="32"/>
          <w:highlight w:val="none"/>
        </w:rPr>
      </w:pPr>
      <w:r>
        <w:rPr>
          <w:rFonts w:hint="default" w:ascii="Times New Roman Regular" w:hAnsi="Times New Roman Regular" w:eastAsia="仿宋_GB2312" w:cs="Times New Roman Regular"/>
          <w:kern w:val="0"/>
          <w:sz w:val="32"/>
          <w:szCs w:val="32"/>
          <w:highlight w:val="none"/>
          <w:lang w:val="en-US" w:eastAsia="zh-CN"/>
        </w:rPr>
        <w:t>3</w:t>
      </w:r>
      <w:r>
        <w:rPr>
          <w:rFonts w:hint="default" w:ascii="Times New Roman Regular" w:hAnsi="Times New Roman Regular" w:eastAsia="仿宋_GB2312" w:cs="Times New Roman Regular"/>
          <w:kern w:val="0"/>
          <w:sz w:val="32"/>
          <w:szCs w:val="32"/>
          <w:highlight w:val="none"/>
        </w:rPr>
        <w:t>.加强资产管理基础</w:t>
      </w:r>
    </w:p>
    <w:p w14:paraId="44AAE03C">
      <w:pPr>
        <w:widowControl/>
        <w:suppressAutoHyphens/>
        <w:bidi w:val="0"/>
        <w:adjustRightInd w:val="0"/>
        <w:snapToGrid w:val="0"/>
        <w:spacing w:line="578" w:lineRule="exact"/>
        <w:ind w:firstLine="640" w:firstLineChars="200"/>
        <w:contextualSpacing/>
        <w:rPr>
          <w:rFonts w:hint="default" w:ascii="Times New Roman Regular" w:hAnsi="Times New Roman Regular" w:eastAsia="仿宋_GB2312" w:cs="Times New Roman Regular"/>
          <w:kern w:val="0"/>
          <w:sz w:val="32"/>
          <w:szCs w:val="32"/>
          <w:highlight w:val="none"/>
          <w:lang w:val="zh-CN"/>
        </w:rPr>
      </w:pPr>
      <w:r>
        <w:rPr>
          <w:rFonts w:hint="eastAsia" w:ascii="Times New Roman Regular" w:hAnsi="Times New Roman Regular" w:eastAsia="仿宋_GB2312" w:cs="Times New Roman Regular"/>
          <w:kern w:val="0"/>
          <w:sz w:val="32"/>
          <w:szCs w:val="32"/>
          <w:highlight w:val="none"/>
          <w:lang w:eastAsia="zh-CN"/>
        </w:rPr>
        <w:t>我院</w:t>
      </w:r>
      <w:r>
        <w:rPr>
          <w:rFonts w:hint="default" w:ascii="Times New Roman Regular" w:hAnsi="Times New Roman Regular" w:eastAsia="仿宋_GB2312" w:cs="Times New Roman Regular"/>
          <w:kern w:val="0"/>
          <w:sz w:val="32"/>
          <w:szCs w:val="32"/>
          <w:highlight w:val="none"/>
        </w:rPr>
        <w:t>将加</w:t>
      </w:r>
      <w:r>
        <w:rPr>
          <w:rFonts w:hint="eastAsia" w:ascii="Times New Roman Regular" w:hAnsi="Times New Roman Regular" w:eastAsia="仿宋_GB2312" w:cs="Times New Roman Regular"/>
          <w:kern w:val="0"/>
          <w:sz w:val="32"/>
          <w:szCs w:val="32"/>
          <w:highlight w:val="none"/>
          <w:lang w:eastAsia="zh-CN"/>
        </w:rPr>
        <w:t>强对</w:t>
      </w:r>
      <w:r>
        <w:rPr>
          <w:rFonts w:hint="default" w:ascii="Times New Roman Regular" w:hAnsi="Times New Roman Regular" w:eastAsia="仿宋_GB2312" w:cs="Times New Roman Regular"/>
          <w:kern w:val="0"/>
          <w:sz w:val="32"/>
          <w:szCs w:val="32"/>
          <w:highlight w:val="none"/>
        </w:rPr>
        <w:t>资产管理人员的培训，增强管理人员的专业能力，并建立个人绩效考核机制，明确将资产的管理效果与个人考核挂钩，从制度上约束部门及个人的资产管理行为，促进资产管理的合理化、科学化。</w:t>
      </w:r>
    </w:p>
    <w:p w14:paraId="151BFF71">
      <w:pPr>
        <w:suppressAutoHyphens/>
        <w:bidi w:val="0"/>
        <w:spacing w:line="578" w:lineRule="exact"/>
        <w:contextualSpacing/>
        <w:rPr>
          <w:rFonts w:hint="default" w:ascii="Times New Roman Regular" w:hAnsi="Times New Roman Regular" w:eastAsia="黑体" w:cs="Times New Roman Regular"/>
          <w:sz w:val="32"/>
          <w:szCs w:val="32"/>
        </w:rPr>
      </w:pPr>
    </w:p>
    <w:p w14:paraId="7D70BF1D">
      <w:pPr>
        <w:suppressAutoHyphens/>
        <w:bidi w:val="0"/>
        <w:spacing w:line="578" w:lineRule="exact"/>
        <w:ind w:firstLine="640" w:firstLineChars="200"/>
        <w:jc w:val="left"/>
        <w:rPr>
          <w:rFonts w:hint="default"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color w:val="000000"/>
          <w:kern w:val="0"/>
          <w:sz w:val="32"/>
          <w:szCs w:val="32"/>
          <w:shd w:val="clear" w:color="auto" w:fill="FFFFFF"/>
        </w:rPr>
        <w:t>附表：1.</w:t>
      </w:r>
      <w:r>
        <w:rPr>
          <w:rFonts w:hint="default" w:ascii="Times New Roman Regular" w:hAnsi="Times New Roman Regular" w:eastAsia="仿宋_GB2312" w:cs="Times New Roman Regular"/>
          <w:sz w:val="32"/>
          <w:szCs w:val="32"/>
        </w:rPr>
        <w:t>部门预算绩效自评打分表</w:t>
      </w:r>
    </w:p>
    <w:p w14:paraId="29FD946B">
      <w:pPr>
        <w:suppressAutoHyphens/>
        <w:bidi w:val="0"/>
        <w:spacing w:line="578" w:lineRule="exact"/>
        <w:ind w:firstLine="1600" w:firstLineChars="500"/>
        <w:jc w:val="left"/>
        <w:rPr>
          <w:rFonts w:hint="default" w:ascii="Times New Roman Regular" w:hAnsi="Times New Roman Regular" w:eastAsia="仿宋_GB2312" w:cs="Times New Roman Regular"/>
          <w:color w:val="000000"/>
          <w:kern w:val="0"/>
          <w:sz w:val="32"/>
          <w:szCs w:val="32"/>
          <w:shd w:val="clear" w:color="auto" w:fill="FFFFFF"/>
        </w:rPr>
      </w:pPr>
      <w:r>
        <w:rPr>
          <w:rFonts w:hint="default" w:ascii="Times New Roman Regular" w:hAnsi="Times New Roman Regular" w:eastAsia="仿宋_GB2312" w:cs="Times New Roman Regular"/>
          <w:sz w:val="32"/>
          <w:szCs w:val="32"/>
        </w:rPr>
        <w:t>2.</w:t>
      </w:r>
      <w:r>
        <w:rPr>
          <w:rFonts w:hint="default" w:ascii="Times New Roman Regular" w:hAnsi="Times New Roman Regular" w:eastAsia="仿宋_GB2312" w:cs="Times New Roman Regular"/>
          <w:color w:val="000000"/>
          <w:kern w:val="0"/>
          <w:sz w:val="32"/>
          <w:szCs w:val="32"/>
          <w:shd w:val="clear" w:color="auto" w:fill="FFFFFF"/>
        </w:rPr>
        <w:t>部门整体支出绩效目标完成情况自评表</w:t>
      </w:r>
    </w:p>
    <w:p w14:paraId="18151FC2">
      <w:pPr>
        <w:spacing w:line="578" w:lineRule="exact"/>
        <w:jc w:val="left"/>
        <w:rPr>
          <w:rFonts w:hint="default" w:ascii="Times New Roman Regular" w:hAnsi="Times New Roman Regular" w:eastAsia="黑体" w:cs="Times New Roman Regular"/>
        </w:rPr>
      </w:pPr>
      <w:r>
        <w:rPr>
          <w:rFonts w:hint="default" w:ascii="Times New Roman Regular" w:hAnsi="Times New Roman Regular" w:eastAsia="黑体" w:cs="Times New Roman Regular"/>
        </w:rPr>
        <w:t>附表1</w:t>
      </w:r>
    </w:p>
    <w:p w14:paraId="171EEDF2">
      <w:pPr>
        <w:widowControl/>
        <w:spacing w:line="600" w:lineRule="exact"/>
        <w:jc w:val="center"/>
        <w:textAlignment w:val="center"/>
        <w:outlineLvl w:val="0"/>
        <w:rPr>
          <w:rFonts w:hint="default" w:ascii="Times New Roman Regular" w:hAnsi="Times New Roman Regular" w:eastAsia="方正小标宋简体" w:cs="Times New Roman Regular"/>
          <w:color w:val="000000"/>
          <w:kern w:val="0"/>
          <w:sz w:val="44"/>
          <w:szCs w:val="44"/>
        </w:rPr>
      </w:pPr>
      <w:bookmarkStart w:id="98" w:name="_Toc11206"/>
      <w:r>
        <w:rPr>
          <w:rFonts w:hint="default" w:ascii="Times New Roman Regular" w:hAnsi="Times New Roman Regular" w:eastAsia="方正小标宋简体" w:cs="Times New Roman Regular"/>
          <w:color w:val="000000"/>
          <w:kern w:val="0"/>
          <w:sz w:val="44"/>
          <w:szCs w:val="44"/>
        </w:rPr>
        <w:t>部门预算绩效自评打分表</w:t>
      </w:r>
      <w:bookmarkEnd w:id="98"/>
    </w:p>
    <w:tbl>
      <w:tblPr>
        <w:tblStyle w:val="17"/>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14:paraId="1BB4F58A">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B50B48">
            <w:pPr>
              <w:widowControl/>
              <w:spacing w:line="240" w:lineRule="exact"/>
              <w:jc w:val="center"/>
              <w:textAlignment w:val="center"/>
              <w:rPr>
                <w:rFonts w:hint="default" w:ascii="Times New Roman Regular" w:hAnsi="Times New Roman Regular" w:eastAsia="仿宋_GB2312" w:cs="Times New Roman Regular"/>
                <w:b/>
                <w:bCs/>
                <w:color w:val="000000"/>
                <w:sz w:val="21"/>
                <w:szCs w:val="21"/>
              </w:rPr>
            </w:pPr>
            <w:r>
              <w:rPr>
                <w:rFonts w:hint="default" w:ascii="Times New Roman Regular" w:hAnsi="Times New Roman Regular" w:eastAsia="仿宋_GB2312" w:cs="Times New Roman Regular"/>
                <w:b/>
                <w:bCs/>
                <w:color w:val="000000"/>
                <w:kern w:val="0"/>
                <w:sz w:val="21"/>
                <w:szCs w:val="21"/>
              </w:rPr>
              <w:t>绩效评价</w:t>
            </w:r>
            <w:r>
              <w:rPr>
                <w:rFonts w:hint="eastAsia" w:ascii="Times New Roman Regular" w:hAnsi="Times New Roman Regular" w:cs="Times New Roman Regular"/>
                <w:b/>
                <w:bCs/>
                <w:color w:val="000000"/>
                <w:kern w:val="0"/>
                <w:sz w:val="21"/>
                <w:szCs w:val="21"/>
                <w:lang w:eastAsia="zh-CN"/>
              </w:rPr>
              <w:t>指标</w:t>
            </w:r>
            <w:r>
              <w:rPr>
                <w:rFonts w:hint="default" w:ascii="Times New Roman Regular" w:hAnsi="Times New Roman Regular" w:eastAsia="仿宋_GB2312" w:cs="Times New Roman Regular"/>
                <w:b/>
                <w:bCs/>
                <w:color w:val="000000"/>
                <w:kern w:val="0"/>
                <w:sz w:val="21"/>
                <w:szCs w:val="21"/>
              </w:rPr>
              <w:t>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DC6C34">
            <w:pPr>
              <w:widowControl/>
              <w:spacing w:line="240" w:lineRule="exact"/>
              <w:jc w:val="center"/>
              <w:textAlignment w:val="center"/>
              <w:rPr>
                <w:rFonts w:hint="default" w:ascii="Times New Roman Regular" w:hAnsi="Times New Roman Regular" w:eastAsia="仿宋_GB2312" w:cs="Times New Roman Regular"/>
                <w:b/>
                <w:bCs/>
                <w:color w:val="000000"/>
                <w:sz w:val="21"/>
                <w:szCs w:val="21"/>
              </w:rPr>
            </w:pPr>
            <w:r>
              <w:rPr>
                <w:rFonts w:hint="default" w:ascii="Times New Roman Regular" w:hAnsi="Times New Roman Regular" w:eastAsia="仿宋_GB2312" w:cs="Times New Roman Regular"/>
                <w:b/>
                <w:bCs/>
                <w:color w:val="000000"/>
                <w:kern w:val="0"/>
                <w:sz w:val="21"/>
                <w:szCs w:val="21"/>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14:paraId="202376EA">
            <w:pPr>
              <w:widowControl/>
              <w:spacing w:line="240" w:lineRule="exact"/>
              <w:jc w:val="center"/>
              <w:textAlignment w:val="center"/>
              <w:rPr>
                <w:rFonts w:hint="default" w:ascii="Times New Roman Regular" w:hAnsi="Times New Roman Regular" w:eastAsia="仿宋_GB2312" w:cs="Times New Roman Regular"/>
                <w:b/>
                <w:bCs/>
                <w:color w:val="000000"/>
                <w:kern w:val="0"/>
                <w:sz w:val="21"/>
                <w:szCs w:val="21"/>
              </w:rPr>
            </w:pPr>
            <w:r>
              <w:rPr>
                <w:rFonts w:hint="default" w:ascii="Times New Roman Regular" w:hAnsi="Times New Roman Regular" w:eastAsia="仿宋_GB2312" w:cs="Times New Roman Regular"/>
                <w:b/>
                <w:bCs/>
                <w:color w:val="000000"/>
                <w:kern w:val="0"/>
                <w:sz w:val="21"/>
                <w:szCs w:val="21"/>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1EE450EC">
            <w:pPr>
              <w:widowControl/>
              <w:spacing w:line="240" w:lineRule="exact"/>
              <w:jc w:val="center"/>
              <w:textAlignment w:val="center"/>
              <w:rPr>
                <w:rFonts w:hint="default" w:ascii="Times New Roman Regular" w:hAnsi="Times New Roman Regular" w:eastAsia="仿宋_GB2312" w:cs="Times New Roman Regular"/>
                <w:b/>
                <w:bCs/>
                <w:color w:val="000000"/>
                <w:kern w:val="0"/>
                <w:sz w:val="21"/>
                <w:szCs w:val="21"/>
              </w:rPr>
            </w:pPr>
            <w:r>
              <w:rPr>
                <w:rFonts w:hint="default" w:ascii="Times New Roman Regular" w:hAnsi="Times New Roman Regular" w:eastAsia="仿宋_GB2312" w:cs="Times New Roman Regular"/>
                <w:b/>
                <w:bCs/>
                <w:color w:val="000000"/>
                <w:kern w:val="0"/>
                <w:sz w:val="21"/>
                <w:szCs w:val="21"/>
              </w:rPr>
              <w:t>备注</w:t>
            </w:r>
          </w:p>
        </w:tc>
      </w:tr>
      <w:tr w14:paraId="40094067">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0D16BF61">
            <w:pPr>
              <w:widowControl/>
              <w:spacing w:line="240" w:lineRule="exact"/>
              <w:jc w:val="center"/>
              <w:textAlignment w:val="center"/>
              <w:rPr>
                <w:rFonts w:hint="default" w:ascii="Times New Roman Regular" w:hAnsi="Times New Roman Regular" w:eastAsia="仿宋_GB2312" w:cs="Times New Roman Regular"/>
                <w:b/>
                <w:bCs/>
                <w:color w:val="000000"/>
                <w:sz w:val="21"/>
                <w:szCs w:val="21"/>
              </w:rPr>
            </w:pPr>
            <w:r>
              <w:rPr>
                <w:rFonts w:hint="default" w:ascii="Times New Roman Regular" w:hAnsi="Times New Roman Regular" w:eastAsia="仿宋_GB2312" w:cs="Times New Roman Regular"/>
                <w:b/>
                <w:bCs/>
                <w:color w:val="000000"/>
                <w:kern w:val="0"/>
                <w:sz w:val="21"/>
                <w:szCs w:val="21"/>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6E583">
            <w:pPr>
              <w:widowControl/>
              <w:spacing w:line="240" w:lineRule="exact"/>
              <w:jc w:val="center"/>
              <w:textAlignment w:val="center"/>
              <w:rPr>
                <w:rFonts w:hint="default" w:ascii="Times New Roman Regular" w:hAnsi="Times New Roman Regular" w:eastAsia="仿宋_GB2312" w:cs="Times New Roman Regular"/>
                <w:b/>
                <w:bCs/>
                <w:color w:val="000000"/>
                <w:sz w:val="21"/>
                <w:szCs w:val="21"/>
              </w:rPr>
            </w:pPr>
            <w:r>
              <w:rPr>
                <w:rFonts w:hint="default" w:ascii="Times New Roman Regular" w:hAnsi="Times New Roman Regular" w:eastAsia="仿宋_GB2312" w:cs="Times New Roman Regular"/>
                <w:b/>
                <w:bCs/>
                <w:color w:val="000000"/>
                <w:kern w:val="0"/>
                <w:sz w:val="21"/>
                <w:szCs w:val="21"/>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4AFB5">
            <w:pPr>
              <w:widowControl/>
              <w:spacing w:line="240" w:lineRule="exact"/>
              <w:jc w:val="center"/>
              <w:textAlignment w:val="center"/>
              <w:rPr>
                <w:rFonts w:hint="default" w:ascii="Times New Roman Regular" w:hAnsi="Times New Roman Regular" w:eastAsia="仿宋_GB2312" w:cs="Times New Roman Regular"/>
                <w:b/>
                <w:bCs/>
                <w:color w:val="000000"/>
                <w:sz w:val="21"/>
                <w:szCs w:val="21"/>
              </w:rPr>
            </w:pPr>
            <w:r>
              <w:rPr>
                <w:rFonts w:hint="default" w:ascii="Times New Roman Regular" w:hAnsi="Times New Roman Regular" w:eastAsia="仿宋_GB2312" w:cs="Times New Roman Regular"/>
                <w:b/>
                <w:bCs/>
                <w:color w:val="000000"/>
                <w:kern w:val="0"/>
                <w:sz w:val="21"/>
                <w:szCs w:val="21"/>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2C8A4">
            <w:pPr>
              <w:widowControl/>
              <w:spacing w:line="240" w:lineRule="exact"/>
              <w:jc w:val="center"/>
              <w:textAlignment w:val="center"/>
              <w:rPr>
                <w:rFonts w:hint="default" w:ascii="Times New Roman Regular" w:hAnsi="Times New Roman Regular" w:eastAsia="仿宋_GB2312" w:cs="Times New Roman Regular"/>
                <w:b/>
                <w:bCs/>
                <w:color w:val="000000"/>
                <w:sz w:val="21"/>
                <w:szCs w:val="21"/>
              </w:rPr>
            </w:pPr>
            <w:r>
              <w:rPr>
                <w:rFonts w:hint="default" w:ascii="Times New Roman Regular" w:hAnsi="Times New Roman Regular" w:eastAsia="仿宋_GB2312" w:cs="Times New Roman Regular"/>
                <w:b/>
                <w:bCs/>
                <w:color w:val="000000"/>
                <w:kern w:val="0"/>
                <w:sz w:val="21"/>
                <w:szCs w:val="21"/>
              </w:rPr>
              <w:t>指标</w:t>
            </w:r>
            <w:r>
              <w:rPr>
                <w:rFonts w:hint="default" w:ascii="Times New Roman Regular" w:hAnsi="Times New Roman Regular" w:eastAsia="仿宋_GB2312" w:cs="Times New Roman Regular"/>
                <w:b/>
                <w:bCs/>
                <w:color w:val="000000"/>
                <w:kern w:val="0"/>
                <w:sz w:val="21"/>
                <w:szCs w:val="21"/>
              </w:rPr>
              <w:br w:type="textWrapping"/>
            </w:r>
            <w:r>
              <w:rPr>
                <w:rFonts w:hint="default" w:ascii="Times New Roman Regular" w:hAnsi="Times New Roman Regular" w:eastAsia="仿宋_GB2312" w:cs="Times New Roman Regular"/>
                <w:b/>
                <w:bCs/>
                <w:color w:val="000000"/>
                <w:kern w:val="0"/>
                <w:sz w:val="21"/>
                <w:szCs w:val="21"/>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A4A53">
            <w:pPr>
              <w:widowControl/>
              <w:spacing w:line="240" w:lineRule="exact"/>
              <w:jc w:val="center"/>
              <w:rPr>
                <w:rFonts w:hint="default" w:ascii="Times New Roman Regular" w:hAnsi="Times New Roman Regular" w:eastAsia="仿宋_GB2312" w:cs="Times New Roman Regular"/>
                <w:b/>
                <w:bCs/>
                <w:color w:val="000000"/>
                <w:sz w:val="21"/>
                <w:szCs w:val="21"/>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14:paraId="6CBFC0D3">
            <w:pPr>
              <w:widowControl/>
              <w:spacing w:line="240" w:lineRule="exact"/>
              <w:jc w:val="center"/>
              <w:rPr>
                <w:rFonts w:hint="default" w:ascii="Times New Roman Regular" w:hAnsi="Times New Roman Regular" w:eastAsia="仿宋_GB2312" w:cs="Times New Roman Regular"/>
                <w:b/>
                <w:bCs/>
                <w:color w:val="000000"/>
                <w:sz w:val="21"/>
                <w:szCs w:val="21"/>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0C583A85">
            <w:pPr>
              <w:widowControl/>
              <w:spacing w:line="240" w:lineRule="exact"/>
              <w:jc w:val="center"/>
              <w:rPr>
                <w:rFonts w:hint="default" w:ascii="Times New Roman Regular" w:hAnsi="Times New Roman Regular" w:eastAsia="仿宋_GB2312" w:cs="Times New Roman Regular"/>
                <w:b/>
                <w:bCs/>
                <w:color w:val="000000"/>
                <w:sz w:val="21"/>
                <w:szCs w:val="21"/>
              </w:rPr>
            </w:pPr>
          </w:p>
        </w:tc>
      </w:tr>
      <w:tr w14:paraId="3C6A11FD">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14:paraId="55DD71BB">
            <w:pPr>
              <w:widowControl/>
              <w:spacing w:line="240" w:lineRule="exact"/>
              <w:jc w:val="center"/>
              <w:textAlignment w:val="center"/>
              <w:rPr>
                <w:rFonts w:hint="default" w:ascii="Times New Roman Regular" w:hAnsi="Times New Roman Regular" w:eastAsia="仿宋_GB2312" w:cs="Times New Roman Regular"/>
                <w:b/>
                <w:color w:val="000000"/>
                <w:sz w:val="21"/>
                <w:szCs w:val="21"/>
              </w:rPr>
            </w:pPr>
            <w:r>
              <w:rPr>
                <w:rFonts w:hint="default" w:ascii="Times New Roman Regular" w:hAnsi="Times New Roman Regular" w:eastAsia="仿宋_GB2312" w:cs="Times New Roman Regular"/>
                <w:b/>
                <w:color w:val="000000"/>
                <w:kern w:val="0"/>
                <w:sz w:val="21"/>
                <w:szCs w:val="21"/>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B9AA0">
            <w:pPr>
              <w:widowControl/>
              <w:spacing w:line="240" w:lineRule="exact"/>
              <w:jc w:val="center"/>
              <w:textAlignment w:val="center"/>
              <w:rPr>
                <w:rFonts w:hint="default" w:ascii="Times New Roman Regular" w:hAnsi="Times New Roman Regular" w:eastAsia="仿宋_GB2312" w:cs="Times New Roman Regular"/>
                <w:b/>
                <w:color w:val="000000"/>
                <w:sz w:val="21"/>
                <w:szCs w:val="21"/>
              </w:rPr>
            </w:pPr>
            <w:r>
              <w:rPr>
                <w:rFonts w:hint="default" w:ascii="Times New Roman Regular" w:hAnsi="Times New Roman Regular" w:eastAsia="仿宋_GB2312" w:cs="Times New Roman Regular"/>
                <w:b/>
                <w:color w:val="000000"/>
                <w:kern w:val="0"/>
                <w:sz w:val="21"/>
                <w:szCs w:val="21"/>
              </w:rPr>
              <w:t>履职效能</w:t>
            </w:r>
            <w:r>
              <w:rPr>
                <w:rFonts w:hint="default" w:ascii="Times New Roman Regular" w:hAnsi="Times New Roman Regular" w:eastAsia="仿宋_GB2312" w:cs="Times New Roman Regular"/>
                <w:b/>
                <w:color w:val="000000"/>
                <w:kern w:val="0"/>
                <w:sz w:val="21"/>
                <w:szCs w:val="21"/>
              </w:rPr>
              <w:br w:type="textWrapping"/>
            </w:r>
            <w:r>
              <w:rPr>
                <w:rFonts w:hint="default" w:ascii="Times New Roman Regular" w:hAnsi="Times New Roman Regular" w:eastAsia="仿宋_GB2312" w:cs="Times New Roman Regular"/>
                <w:b/>
                <w:color w:val="000000"/>
                <w:kern w:val="0"/>
                <w:sz w:val="21"/>
                <w:szCs w:val="21"/>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35403">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14:paraId="4A75E542">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F5F4A">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E5580">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lang w:val="en-US" w:eastAsia="zh-CN"/>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180AF">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07655401">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EF98E89">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0DC296AC">
            <w:pPr>
              <w:widowControl/>
              <w:spacing w:line="240" w:lineRule="exact"/>
              <w:jc w:val="center"/>
              <w:textAlignment w:val="center"/>
              <w:rPr>
                <w:rFonts w:hint="default" w:ascii="Times New Roman Regular" w:hAnsi="Times New Roman Regular" w:eastAsia="仿宋_GB2312" w:cs="Times New Roman Regular"/>
                <w:b/>
                <w:color w:val="000000"/>
                <w:sz w:val="21"/>
                <w:szCs w:val="21"/>
              </w:rPr>
            </w:pPr>
            <w:r>
              <w:rPr>
                <w:rFonts w:hint="default" w:ascii="Times New Roman Regular" w:hAnsi="Times New Roman Regular" w:eastAsia="仿宋_GB2312" w:cs="Times New Roman Regular"/>
                <w:b/>
                <w:color w:val="000000"/>
                <w:kern w:val="0"/>
                <w:sz w:val="21"/>
                <w:szCs w:val="21"/>
              </w:rPr>
              <w:t>预算管理</w:t>
            </w:r>
            <w:r>
              <w:rPr>
                <w:rFonts w:hint="default" w:ascii="Times New Roman Regular" w:hAnsi="Times New Roman Regular" w:eastAsia="仿宋_GB2312" w:cs="Times New Roman Regular"/>
                <w:b/>
                <w:color w:val="000000"/>
                <w:kern w:val="0"/>
                <w:sz w:val="21"/>
                <w:szCs w:val="21"/>
              </w:rPr>
              <w:br w:type="textWrapping"/>
            </w:r>
            <w:r>
              <w:rPr>
                <w:rFonts w:hint="default" w:ascii="Times New Roman Regular" w:hAnsi="Times New Roman Regular" w:eastAsia="仿宋_GB2312" w:cs="Times New Roman Regular"/>
                <w:b/>
                <w:color w:val="000000"/>
                <w:kern w:val="0"/>
                <w:sz w:val="21"/>
                <w:szCs w:val="21"/>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DA6DD">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C42E9">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0B274">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CBB63">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lang w:val="en-US"/>
              </w:rPr>
            </w:pPr>
            <w:r>
              <w:rPr>
                <w:rFonts w:hint="default" w:ascii="Times New Roman Regular" w:hAnsi="Times New Roman Regular" w:eastAsia="仿宋_GB2312" w:cs="Times New Roman Regular"/>
                <w:color w:val="000000"/>
                <w:kern w:val="0"/>
                <w:sz w:val="21"/>
                <w:szCs w:val="21"/>
                <w:lang w:val="en-US" w:eastAsia="zh-CN"/>
              </w:rPr>
              <w:t>1.</w:t>
            </w:r>
            <w:r>
              <w:rPr>
                <w:rFonts w:hint="eastAsia" w:ascii="Times New Roman Regular" w:hAnsi="Times New Roman Regular" w:cs="Times New Roman Regular"/>
                <w:color w:val="000000"/>
                <w:kern w:val="0"/>
                <w:sz w:val="21"/>
                <w:szCs w:val="21"/>
                <w:lang w:val="en-US" w:eastAsia="zh-CN"/>
              </w:rPr>
              <w:t>35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27D3">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18719016">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ADDB3D4">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201" w:type="dxa"/>
            <w:vMerge w:val="continue"/>
            <w:tcBorders>
              <w:left w:val="single" w:color="000000" w:sz="4" w:space="0"/>
              <w:right w:val="single" w:color="000000" w:sz="4" w:space="0"/>
            </w:tcBorders>
            <w:shd w:val="clear" w:color="auto" w:fill="auto"/>
            <w:vAlign w:val="center"/>
          </w:tcPr>
          <w:p w14:paraId="46689EFE">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AF49B">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7323A">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72A4C">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5CC43">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8F439">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78528F36">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295A105">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201" w:type="dxa"/>
            <w:vMerge w:val="continue"/>
            <w:tcBorders>
              <w:left w:val="single" w:color="000000" w:sz="4" w:space="0"/>
              <w:right w:val="single" w:color="000000" w:sz="4" w:space="0"/>
            </w:tcBorders>
            <w:shd w:val="clear" w:color="auto" w:fill="auto"/>
            <w:vAlign w:val="center"/>
          </w:tcPr>
          <w:p w14:paraId="710047A5">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96624">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3F087">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179CD">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18855">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lang w:val="en-US" w:eastAsia="zh-CN"/>
              </w:rPr>
              <w:t>4.7</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692D1">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7F5FF2C9">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6F8BC18">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201" w:type="dxa"/>
            <w:vMerge w:val="continue"/>
            <w:tcBorders>
              <w:left w:val="single" w:color="000000" w:sz="4" w:space="0"/>
              <w:right w:val="single" w:color="000000" w:sz="4" w:space="0"/>
            </w:tcBorders>
            <w:shd w:val="clear" w:color="auto" w:fill="auto"/>
            <w:vAlign w:val="center"/>
          </w:tcPr>
          <w:p w14:paraId="788C7945">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283FC">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89D4A">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E61FC">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015E2">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lang w:val="en-US" w:eastAsia="zh-CN"/>
              </w:rPr>
              <w:t xml:space="preserve">1.98 </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17B85">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7B37BD6B">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14:paraId="5A5CC274">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201" w:type="dxa"/>
            <w:vMerge w:val="continue"/>
            <w:tcBorders>
              <w:left w:val="single" w:color="000000" w:sz="4" w:space="0"/>
              <w:right w:val="single" w:color="000000" w:sz="4" w:space="0"/>
            </w:tcBorders>
            <w:shd w:val="clear" w:color="auto" w:fill="auto"/>
            <w:vAlign w:val="center"/>
          </w:tcPr>
          <w:p w14:paraId="3FE3148B">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40A2A">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1EE7">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37606">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CCB76">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lang w:val="en-US" w:eastAsia="zh-CN"/>
              </w:rPr>
              <w:t>1.65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C0168">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5423410E">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0BAD682">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0075B2">
            <w:pPr>
              <w:widowControl/>
              <w:spacing w:line="240" w:lineRule="exact"/>
              <w:jc w:val="center"/>
              <w:textAlignment w:val="center"/>
              <w:rPr>
                <w:rFonts w:hint="default" w:ascii="Times New Roman Regular" w:hAnsi="Times New Roman Regular" w:eastAsia="仿宋_GB2312" w:cs="Times New Roman Regular"/>
                <w:b/>
                <w:color w:val="000000"/>
                <w:sz w:val="21"/>
                <w:szCs w:val="21"/>
              </w:rPr>
            </w:pPr>
            <w:r>
              <w:rPr>
                <w:rFonts w:hint="default" w:ascii="Times New Roman Regular" w:hAnsi="Times New Roman Regular" w:eastAsia="仿宋_GB2312" w:cs="Times New Roman Regular"/>
                <w:b/>
                <w:color w:val="000000"/>
                <w:kern w:val="0"/>
                <w:sz w:val="21"/>
                <w:szCs w:val="21"/>
              </w:rPr>
              <w:t>财务管理</w:t>
            </w:r>
            <w:r>
              <w:rPr>
                <w:rFonts w:hint="default" w:ascii="Times New Roman Regular" w:hAnsi="Times New Roman Regular" w:eastAsia="仿宋_GB2312" w:cs="Times New Roman Regular"/>
                <w:b/>
                <w:color w:val="000000"/>
                <w:kern w:val="0"/>
                <w:sz w:val="21"/>
                <w:szCs w:val="21"/>
              </w:rPr>
              <w:br w:type="textWrapping"/>
            </w:r>
            <w:r>
              <w:rPr>
                <w:rFonts w:hint="default" w:ascii="Times New Roman Regular" w:hAnsi="Times New Roman Regular" w:eastAsia="仿宋_GB2312" w:cs="Times New Roman Regular"/>
                <w:b/>
                <w:color w:val="000000"/>
                <w:kern w:val="0"/>
                <w:sz w:val="21"/>
                <w:szCs w:val="21"/>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AD023">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0ACCA">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50B7C">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7DB21">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106F9">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7D055BCC">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455C613">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75573">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51D77">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D4553">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00B16">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23168">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02CB2">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1986BCD0">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BB39F83">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C6D21">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18532">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F4EA3">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30931">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8E27F">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1D76B">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21B90E1D">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D8D3790">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C62C2B">
            <w:pPr>
              <w:widowControl/>
              <w:spacing w:line="240" w:lineRule="exact"/>
              <w:jc w:val="center"/>
              <w:textAlignment w:val="center"/>
              <w:rPr>
                <w:rFonts w:hint="default" w:ascii="Times New Roman Regular" w:hAnsi="Times New Roman Regular" w:eastAsia="仿宋_GB2312" w:cs="Times New Roman Regular"/>
                <w:b/>
                <w:color w:val="000000"/>
                <w:sz w:val="21"/>
                <w:szCs w:val="21"/>
              </w:rPr>
            </w:pPr>
            <w:r>
              <w:rPr>
                <w:rFonts w:hint="default" w:ascii="Times New Roman Regular" w:hAnsi="Times New Roman Regular" w:eastAsia="仿宋_GB2312" w:cs="Times New Roman Regular"/>
                <w:b/>
                <w:color w:val="000000"/>
                <w:kern w:val="0"/>
                <w:sz w:val="21"/>
                <w:szCs w:val="21"/>
              </w:rPr>
              <w:t>资产管理</w:t>
            </w:r>
            <w:r>
              <w:rPr>
                <w:rFonts w:hint="default" w:ascii="Times New Roman Regular" w:hAnsi="Times New Roman Regular" w:eastAsia="仿宋_GB2312" w:cs="Times New Roman Regular"/>
                <w:b/>
                <w:color w:val="000000"/>
                <w:kern w:val="0"/>
                <w:sz w:val="21"/>
                <w:szCs w:val="21"/>
              </w:rPr>
              <w:br w:type="textWrapping"/>
            </w:r>
            <w:r>
              <w:rPr>
                <w:rFonts w:hint="default" w:ascii="Times New Roman Regular" w:hAnsi="Times New Roman Regular" w:eastAsia="仿宋_GB2312" w:cs="Times New Roman Regular"/>
                <w:b/>
                <w:color w:val="000000"/>
                <w:kern w:val="0"/>
                <w:sz w:val="21"/>
                <w:szCs w:val="21"/>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09FBA">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D65EB">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D66D">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F1C71">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9F982">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03646585">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0846576">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7CE1F">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4D799">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B8999">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4BD73">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0604A">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lang w:val="en-US" w:eastAsia="zh-CN"/>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D1F0B">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233813C3">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7CAE006">
            <w:pPr>
              <w:widowControl/>
              <w:spacing w:line="240" w:lineRule="exact"/>
              <w:jc w:val="center"/>
              <w:textAlignment w:val="center"/>
              <w:rPr>
                <w:rFonts w:hint="default" w:ascii="Times New Roman Regular" w:hAnsi="Times New Roman Regular" w:eastAsia="仿宋_GB2312" w:cs="Times New Roman Regular"/>
                <w:b/>
                <w:color w:val="000000"/>
                <w:sz w:val="21"/>
                <w:szCs w:val="21"/>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418E0">
            <w:pPr>
              <w:widowControl/>
              <w:spacing w:line="240" w:lineRule="exact"/>
              <w:jc w:val="center"/>
              <w:textAlignment w:val="center"/>
              <w:rPr>
                <w:rFonts w:hint="default" w:ascii="Times New Roman Regular" w:hAnsi="Times New Roman Regular" w:eastAsia="仿宋_GB2312" w:cs="Times New Roman Regular"/>
                <w:b/>
                <w:color w:val="000000"/>
                <w:sz w:val="21"/>
                <w:szCs w:val="21"/>
              </w:rPr>
            </w:pPr>
            <w:r>
              <w:rPr>
                <w:rFonts w:hint="default" w:ascii="Times New Roman Regular" w:hAnsi="Times New Roman Regular" w:eastAsia="仿宋_GB2312" w:cs="Times New Roman Regular"/>
                <w:b/>
                <w:color w:val="000000"/>
                <w:kern w:val="0"/>
                <w:sz w:val="21"/>
                <w:szCs w:val="21"/>
              </w:rPr>
              <w:t>资产管理</w:t>
            </w:r>
            <w:r>
              <w:rPr>
                <w:rFonts w:hint="default" w:ascii="Times New Roman Regular" w:hAnsi="Times New Roman Regular" w:eastAsia="仿宋_GB2312" w:cs="Times New Roman Regular"/>
                <w:b/>
                <w:color w:val="000000"/>
                <w:kern w:val="0"/>
                <w:sz w:val="21"/>
                <w:szCs w:val="21"/>
              </w:rPr>
              <w:br w:type="textWrapping"/>
            </w:r>
            <w:r>
              <w:rPr>
                <w:rFonts w:hint="default" w:ascii="Times New Roman Regular" w:hAnsi="Times New Roman Regular" w:eastAsia="仿宋_GB2312" w:cs="Times New Roman Regular"/>
                <w:b/>
                <w:color w:val="000000"/>
                <w:kern w:val="0"/>
                <w:sz w:val="21"/>
                <w:szCs w:val="21"/>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7460">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39473">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BE19A">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844E">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97777">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2AC64A1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F9D283A">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A2E760">
            <w:pPr>
              <w:widowControl/>
              <w:spacing w:line="240" w:lineRule="exact"/>
              <w:jc w:val="center"/>
              <w:textAlignment w:val="center"/>
              <w:rPr>
                <w:rFonts w:hint="default" w:ascii="Times New Roman Regular" w:hAnsi="Times New Roman Regular" w:eastAsia="仿宋_GB2312" w:cs="Times New Roman Regular"/>
                <w:b/>
                <w:color w:val="000000"/>
                <w:sz w:val="21"/>
                <w:szCs w:val="21"/>
              </w:rPr>
            </w:pPr>
            <w:r>
              <w:rPr>
                <w:rFonts w:hint="default" w:ascii="Times New Roman Regular" w:hAnsi="Times New Roman Regular" w:eastAsia="仿宋_GB2312" w:cs="Times New Roman Regular"/>
                <w:b/>
                <w:color w:val="000000"/>
                <w:kern w:val="0"/>
                <w:sz w:val="21"/>
                <w:szCs w:val="21"/>
              </w:rPr>
              <w:t>采购管理</w:t>
            </w:r>
            <w:r>
              <w:rPr>
                <w:rFonts w:hint="default" w:ascii="Times New Roman Regular" w:hAnsi="Times New Roman Regular" w:eastAsia="仿宋_GB2312" w:cs="Times New Roman Regular"/>
                <w:b/>
                <w:color w:val="000000"/>
                <w:kern w:val="0"/>
                <w:sz w:val="21"/>
                <w:szCs w:val="21"/>
              </w:rPr>
              <w:br w:type="textWrapping"/>
            </w:r>
            <w:r>
              <w:rPr>
                <w:rFonts w:hint="default" w:ascii="Times New Roman Regular" w:hAnsi="Times New Roman Regular" w:eastAsia="仿宋_GB2312" w:cs="Times New Roman Regular"/>
                <w:b/>
                <w:color w:val="000000"/>
                <w:kern w:val="0"/>
                <w:sz w:val="21"/>
                <w:szCs w:val="21"/>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27775">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78B2C">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652E5">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A7E66">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9C690">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719E980F">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4746DB05">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C7D24">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C7373">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C4E2">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B2BB0">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79EF2">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lang w:val="en-US" w:eastAsia="zh-CN"/>
              </w:rPr>
              <w:t xml:space="preserve">3 </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36718">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278A7C83">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6A9916">
            <w:pPr>
              <w:widowControl/>
              <w:spacing w:line="240" w:lineRule="exact"/>
              <w:jc w:val="center"/>
              <w:textAlignment w:val="center"/>
              <w:rPr>
                <w:rFonts w:hint="default" w:ascii="Times New Roman Regular" w:hAnsi="Times New Roman Regular" w:eastAsia="仿宋_GB2312" w:cs="Times New Roman Regular"/>
                <w:b/>
                <w:color w:val="000000"/>
                <w:sz w:val="21"/>
                <w:szCs w:val="21"/>
              </w:rPr>
            </w:pPr>
            <w:r>
              <w:rPr>
                <w:rFonts w:hint="default" w:ascii="Times New Roman Regular" w:hAnsi="Times New Roman Regular" w:eastAsia="仿宋_GB2312" w:cs="Times New Roman Regular"/>
                <w:b/>
                <w:color w:val="000000"/>
                <w:kern w:val="0"/>
                <w:sz w:val="21"/>
                <w:szCs w:val="21"/>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7A7D27C8">
            <w:pPr>
              <w:widowControl/>
              <w:spacing w:line="240" w:lineRule="exact"/>
              <w:jc w:val="center"/>
              <w:textAlignment w:val="center"/>
              <w:rPr>
                <w:rFonts w:hint="default" w:ascii="Times New Roman Regular" w:hAnsi="Times New Roman Regular" w:eastAsia="仿宋_GB2312" w:cs="Times New Roman Regular"/>
                <w:b/>
                <w:color w:val="000000"/>
                <w:sz w:val="21"/>
                <w:szCs w:val="21"/>
              </w:rPr>
            </w:pPr>
            <w:r>
              <w:rPr>
                <w:rFonts w:hint="default" w:ascii="Times New Roman Regular" w:hAnsi="Times New Roman Regular" w:eastAsia="仿宋_GB2312" w:cs="Times New Roman Regular"/>
                <w:b/>
                <w:color w:val="000000"/>
                <w:kern w:val="0"/>
                <w:sz w:val="21"/>
                <w:szCs w:val="21"/>
              </w:rPr>
              <w:t>项目决策</w:t>
            </w:r>
            <w:r>
              <w:rPr>
                <w:rFonts w:hint="default" w:ascii="Times New Roman Regular" w:hAnsi="Times New Roman Regular" w:eastAsia="仿宋_GB2312" w:cs="Times New Roman Regular"/>
                <w:b/>
                <w:color w:val="000000"/>
                <w:kern w:val="0"/>
                <w:sz w:val="21"/>
                <w:szCs w:val="21"/>
              </w:rPr>
              <w:br w:type="textWrapping"/>
            </w:r>
            <w:r>
              <w:rPr>
                <w:rFonts w:hint="default" w:ascii="Times New Roman Regular" w:hAnsi="Times New Roman Regular" w:eastAsia="仿宋_GB2312" w:cs="Times New Roman Regular"/>
                <w:b/>
                <w:color w:val="000000"/>
                <w:kern w:val="0"/>
                <w:sz w:val="21"/>
                <w:szCs w:val="21"/>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E5A0B">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0B0F3">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5F17E">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2E3B3">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88975">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1636EC76">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697E3">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2B2A7193">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28211">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6E4F">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16569">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A52A3">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94460">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3FBF8F0E">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44683">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5D9EC718">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42B0C">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4FFA3">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6B86">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A46B4">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CE51B">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540C6171">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3C42E">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1834D075">
            <w:pPr>
              <w:widowControl/>
              <w:spacing w:line="240" w:lineRule="exact"/>
              <w:jc w:val="center"/>
              <w:textAlignment w:val="center"/>
              <w:rPr>
                <w:rFonts w:hint="default" w:ascii="Times New Roman Regular" w:hAnsi="Times New Roman Regular" w:eastAsia="仿宋_GB2312" w:cs="Times New Roman Regular"/>
                <w:b/>
                <w:color w:val="000000"/>
                <w:sz w:val="21"/>
                <w:szCs w:val="21"/>
              </w:rPr>
            </w:pPr>
            <w:r>
              <w:rPr>
                <w:rFonts w:hint="default" w:ascii="Times New Roman Regular" w:hAnsi="Times New Roman Regular" w:eastAsia="仿宋_GB2312" w:cs="Times New Roman Regular"/>
                <w:b/>
                <w:color w:val="000000"/>
                <w:kern w:val="0"/>
                <w:sz w:val="21"/>
                <w:szCs w:val="21"/>
              </w:rPr>
              <w:t>项目执行</w:t>
            </w:r>
            <w:r>
              <w:rPr>
                <w:rFonts w:hint="default" w:ascii="Times New Roman Regular" w:hAnsi="Times New Roman Regular" w:eastAsia="仿宋_GB2312" w:cs="Times New Roman Regular"/>
                <w:b/>
                <w:color w:val="000000"/>
                <w:kern w:val="0"/>
                <w:sz w:val="21"/>
                <w:szCs w:val="21"/>
              </w:rPr>
              <w:br w:type="textWrapping"/>
            </w:r>
            <w:r>
              <w:rPr>
                <w:rFonts w:hint="default" w:ascii="Times New Roman Regular" w:hAnsi="Times New Roman Regular" w:eastAsia="仿宋_GB2312" w:cs="Times New Roman Regular"/>
                <w:b/>
                <w:color w:val="000000"/>
                <w:kern w:val="0"/>
                <w:sz w:val="21"/>
                <w:szCs w:val="21"/>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B2DE6">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D4425">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C7DBE">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D549A">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184E0">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01AA0AB0">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09490">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5DF5D377">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14:paraId="699791B7">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1F371">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74A20">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30547">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3D66E">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2B001029">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C48A4">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03AC62DB">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A0569">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A8505">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2923D">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C306B">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12D1B">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34DD5155">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4A021">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7FA81A">
            <w:pPr>
              <w:widowControl/>
              <w:spacing w:line="240" w:lineRule="exact"/>
              <w:jc w:val="center"/>
              <w:textAlignment w:val="center"/>
              <w:rPr>
                <w:rFonts w:hint="default" w:ascii="Times New Roman Regular" w:hAnsi="Times New Roman Regular" w:eastAsia="仿宋_GB2312" w:cs="Times New Roman Regular"/>
                <w:b/>
                <w:color w:val="000000"/>
                <w:sz w:val="21"/>
                <w:szCs w:val="21"/>
              </w:rPr>
            </w:pPr>
            <w:r>
              <w:rPr>
                <w:rFonts w:hint="default" w:ascii="Times New Roman Regular" w:hAnsi="Times New Roman Regular" w:eastAsia="仿宋_GB2312" w:cs="Times New Roman Regular"/>
                <w:b/>
                <w:color w:val="000000"/>
                <w:kern w:val="0"/>
                <w:sz w:val="21"/>
                <w:szCs w:val="21"/>
              </w:rPr>
              <w:t>目标实现</w:t>
            </w:r>
            <w:r>
              <w:rPr>
                <w:rFonts w:hint="default" w:ascii="Times New Roman Regular" w:hAnsi="Times New Roman Regular" w:eastAsia="仿宋_GB2312" w:cs="Times New Roman Regular"/>
                <w:b/>
                <w:color w:val="000000"/>
                <w:kern w:val="0"/>
                <w:sz w:val="21"/>
                <w:szCs w:val="21"/>
              </w:rPr>
              <w:br w:type="textWrapping"/>
            </w:r>
            <w:r>
              <w:rPr>
                <w:rFonts w:hint="default" w:ascii="Times New Roman Regular" w:hAnsi="Times New Roman Regular" w:eastAsia="仿宋_GB2312" w:cs="Times New Roman Regular"/>
                <w:b/>
                <w:color w:val="000000"/>
                <w:kern w:val="0"/>
                <w:sz w:val="21"/>
                <w:szCs w:val="21"/>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2F2E0">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849AC">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3339">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932E8">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A3D2E">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7D40638F">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F10ED">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DBBDD">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56BCB">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18B89">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3F5CA">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3E3B5">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29B31">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198F93B1">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7B4EC">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5E393">
            <w:pPr>
              <w:widowControl/>
              <w:spacing w:line="240" w:lineRule="exact"/>
              <w:jc w:val="center"/>
              <w:rPr>
                <w:rFonts w:hint="default" w:ascii="Times New Roman Regular" w:hAnsi="Times New Roman Regular" w:eastAsia="仿宋_GB2312" w:cs="Times New Roman Regular"/>
                <w:b/>
                <w:color w:val="000000"/>
                <w:sz w:val="21"/>
                <w:szCs w:val="21"/>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D931C">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ED3A0">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CBB7A">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EC7B">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rPr>
            </w:pPr>
            <w:r>
              <w:rPr>
                <w:rFonts w:hint="default" w:ascii="Times New Roman Regular" w:hAnsi="Times New Roman Regular" w:eastAsia="仿宋_GB2312" w:cs="Times New Roman Regular"/>
                <w:color w:val="000000"/>
                <w:kern w:val="0"/>
                <w:sz w:val="21"/>
                <w:szCs w:val="21"/>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31D26">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0B5039FE">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07221">
            <w:pPr>
              <w:widowControl/>
              <w:spacing w:line="240" w:lineRule="exact"/>
              <w:jc w:val="center"/>
              <w:textAlignment w:val="center"/>
              <w:rPr>
                <w:rFonts w:hint="default" w:ascii="Times New Roman Regular" w:hAnsi="Times New Roman Regular" w:eastAsia="仿宋_GB2312" w:cs="Times New Roman Regular"/>
                <w:b/>
                <w:color w:val="000000"/>
                <w:sz w:val="21"/>
                <w:szCs w:val="21"/>
              </w:rPr>
            </w:pPr>
            <w:r>
              <w:rPr>
                <w:rFonts w:hint="default" w:ascii="Times New Roman Regular" w:hAnsi="Times New Roman Regular" w:eastAsia="仿宋_GB2312" w:cs="Times New Roman Regular"/>
                <w:b/>
                <w:color w:val="000000"/>
                <w:kern w:val="0"/>
                <w:sz w:val="21"/>
                <w:szCs w:val="21"/>
              </w:rPr>
              <w:t>扣分项</w:t>
            </w:r>
            <w:r>
              <w:rPr>
                <w:rFonts w:hint="default" w:ascii="Times New Roman Regular" w:hAnsi="Times New Roman Regular" w:eastAsia="仿宋_GB2312" w:cs="Times New Roman Regular"/>
                <w:b/>
                <w:color w:val="000000"/>
                <w:kern w:val="0"/>
                <w:sz w:val="21"/>
                <w:szCs w:val="21"/>
              </w:rPr>
              <w:br w:type="textWrapping"/>
            </w:r>
            <w:r>
              <w:rPr>
                <w:rFonts w:hint="default" w:ascii="Times New Roman Regular" w:hAnsi="Times New Roman Regular" w:eastAsia="仿宋_GB2312" w:cs="Times New Roman Regular"/>
                <w:b/>
                <w:color w:val="000000"/>
                <w:kern w:val="0"/>
                <w:sz w:val="21"/>
                <w:szCs w:val="21"/>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433544">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9FFA5">
            <w:pPr>
              <w:widowControl/>
              <w:spacing w:line="240" w:lineRule="exact"/>
              <w:jc w:val="center"/>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A97BD">
            <w:pPr>
              <w:widowControl/>
              <w:spacing w:line="240" w:lineRule="exact"/>
              <w:jc w:val="left"/>
              <w:textAlignment w:val="center"/>
              <w:rPr>
                <w:rFonts w:hint="default" w:ascii="Times New Roman Regular" w:hAnsi="Times New Roman Regular" w:eastAsia="仿宋_GB2312" w:cs="Times New Roman Regular"/>
                <w:color w:val="000000"/>
                <w:sz w:val="21"/>
                <w:szCs w:val="21"/>
              </w:rPr>
            </w:pPr>
            <w:r>
              <w:rPr>
                <w:rFonts w:hint="default" w:ascii="Times New Roman Regular" w:hAnsi="Times New Roman Regular" w:eastAsia="仿宋_GB2312" w:cs="Times New Roman Regular"/>
                <w:color w:val="000000"/>
                <w:kern w:val="0"/>
                <w:sz w:val="21"/>
                <w:szCs w:val="21"/>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835B4">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79EFF">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r w14:paraId="222B8524">
        <w:tblPrEx>
          <w:tblCellMar>
            <w:top w:w="0" w:type="dxa"/>
            <w:left w:w="108" w:type="dxa"/>
            <w:bottom w:w="0" w:type="dxa"/>
            <w:right w:w="108" w:type="dxa"/>
          </w:tblCellMar>
        </w:tblPrEx>
        <w:trPr>
          <w:trHeight w:val="23" w:hRule="atLeast"/>
          <w:jc w:val="center"/>
        </w:trPr>
        <w:tc>
          <w:tcPr>
            <w:tcW w:w="42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5BFDEE">
            <w:pPr>
              <w:widowControl/>
              <w:spacing w:line="240" w:lineRule="exact"/>
              <w:jc w:val="center"/>
              <w:textAlignment w:val="center"/>
              <w:rPr>
                <w:rFonts w:hint="eastAsia" w:ascii="Times New Roman Regular" w:hAnsi="Times New Roman Regular" w:eastAsia="仿宋_GB2312" w:cs="Times New Roman Regular"/>
                <w:color w:val="000000"/>
                <w:kern w:val="0"/>
                <w:sz w:val="21"/>
                <w:szCs w:val="21"/>
                <w:lang w:val="en-US" w:eastAsia="zh-CN"/>
              </w:rPr>
            </w:pPr>
            <w:r>
              <w:rPr>
                <w:rFonts w:hint="eastAsia" w:ascii="Times New Roman Regular" w:hAnsi="Times New Roman Regular" w:cs="Times New Roman Regular"/>
                <w:color w:val="000000"/>
                <w:kern w:val="0"/>
                <w:sz w:val="21"/>
                <w:szCs w:val="21"/>
                <w:lang w:val="en-US" w:eastAsia="zh-CN"/>
              </w:rPr>
              <w:t>合计</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31F0E">
            <w:pPr>
              <w:widowControl/>
              <w:spacing w:line="240" w:lineRule="exact"/>
              <w:jc w:val="center"/>
              <w:textAlignment w:val="center"/>
              <w:rPr>
                <w:rFonts w:hint="default" w:ascii="Times New Roman Regular" w:hAnsi="Times New Roman Regular" w:eastAsia="仿宋_GB2312" w:cs="Times New Roman Regular"/>
                <w:color w:val="000000"/>
                <w:kern w:val="0"/>
                <w:sz w:val="21"/>
                <w:szCs w:val="21"/>
                <w:lang w:val="en-US" w:eastAsia="zh-CN"/>
              </w:rPr>
            </w:pPr>
            <w:r>
              <w:rPr>
                <w:rFonts w:hint="eastAsia" w:ascii="Times New Roman Regular" w:hAnsi="Times New Roman Regular" w:cs="Times New Roman Regular"/>
                <w:color w:val="000000"/>
                <w:kern w:val="0"/>
                <w:sz w:val="21"/>
                <w:szCs w:val="21"/>
                <w:lang w:val="en-US" w:eastAsia="zh-CN"/>
              </w:rPr>
              <w:t>100</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83FCE">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2612">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lang w:val="en-US" w:eastAsia="zh-CN"/>
              </w:rPr>
            </w:pPr>
            <w:r>
              <w:rPr>
                <w:rFonts w:hint="eastAsia" w:ascii="Times New Roman Regular" w:hAnsi="Times New Roman Regular" w:cs="Times New Roman Regular"/>
                <w:color w:val="000000"/>
                <w:kern w:val="0"/>
                <w:sz w:val="21"/>
                <w:szCs w:val="21"/>
                <w:lang w:val="en-US" w:eastAsia="zh-CN"/>
              </w:rPr>
              <w:t>85.68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0C96B">
            <w:pPr>
              <w:widowControl/>
              <w:spacing w:line="240" w:lineRule="exact"/>
              <w:jc w:val="left"/>
              <w:textAlignment w:val="center"/>
              <w:rPr>
                <w:rFonts w:hint="default" w:ascii="Times New Roman Regular" w:hAnsi="Times New Roman Regular" w:eastAsia="仿宋_GB2312" w:cs="Times New Roman Regular"/>
                <w:color w:val="000000"/>
                <w:kern w:val="0"/>
                <w:sz w:val="21"/>
                <w:szCs w:val="21"/>
              </w:rPr>
            </w:pPr>
          </w:p>
        </w:tc>
      </w:tr>
    </w:tbl>
    <w:p w14:paraId="57128C47">
      <w:pPr>
        <w:pStyle w:val="2"/>
        <w:spacing w:line="20" w:lineRule="exact"/>
        <w:outlineLvl w:val="9"/>
        <w:rPr>
          <w:rFonts w:hint="default" w:ascii="Times New Roman Regular" w:hAnsi="Times New Roman Regular" w:cs="Times New Roman Regular"/>
        </w:rPr>
      </w:pPr>
    </w:p>
    <w:p w14:paraId="75754789">
      <w:pPr>
        <w:spacing w:line="20" w:lineRule="exact"/>
        <w:rPr>
          <w:rFonts w:hint="default" w:ascii="Times New Roman Regular" w:hAnsi="Times New Roman Regular" w:eastAsia="黑体" w:cs="Times New Roman Regular"/>
        </w:rPr>
      </w:pPr>
      <w:r>
        <w:rPr>
          <w:rFonts w:hint="default" w:ascii="Times New Roman Regular" w:hAnsi="Times New Roman Regular" w:eastAsia="黑体" w:cs="Times New Roman Regular"/>
        </w:rPr>
        <w:br w:type="page"/>
      </w:r>
    </w:p>
    <w:p w14:paraId="7C68BCDD">
      <w:pPr>
        <w:spacing w:line="578" w:lineRule="exact"/>
        <w:jc w:val="left"/>
        <w:rPr>
          <w:rFonts w:hint="default" w:ascii="Times New Roman Regular" w:hAnsi="Times New Roman Regular" w:eastAsia="黑体" w:cs="Times New Roman Regular"/>
        </w:rPr>
      </w:pPr>
      <w:r>
        <w:rPr>
          <w:rFonts w:hint="default" w:ascii="Times New Roman Regular" w:hAnsi="Times New Roman Regular" w:eastAsia="黑体" w:cs="Times New Roman Regular"/>
        </w:rPr>
        <w:t>附表2</w:t>
      </w:r>
    </w:p>
    <w:p w14:paraId="5444A90F">
      <w:pPr>
        <w:widowControl/>
        <w:spacing w:line="578" w:lineRule="exact"/>
        <w:jc w:val="center"/>
        <w:textAlignment w:val="center"/>
        <w:rPr>
          <w:rFonts w:hint="default" w:ascii="Times New Roman Regular" w:hAnsi="Times New Roman Regular" w:eastAsia="方正小标宋简体" w:cs="Times New Roman Regular"/>
          <w:color w:val="000000"/>
          <w:kern w:val="0"/>
          <w:sz w:val="44"/>
          <w:szCs w:val="44"/>
        </w:rPr>
      </w:pPr>
      <w:r>
        <w:rPr>
          <w:rFonts w:hint="default" w:ascii="Times New Roman Regular" w:hAnsi="Times New Roman Regular" w:eastAsia="方正小标宋简体" w:cs="Times New Roman Regular"/>
          <w:color w:val="000000"/>
          <w:kern w:val="0"/>
          <w:sz w:val="44"/>
          <w:szCs w:val="44"/>
        </w:rPr>
        <w:t>部门整体支出绩效目标完成情况自评表</w:t>
      </w:r>
    </w:p>
    <w:tbl>
      <w:tblPr>
        <w:tblStyle w:val="17"/>
        <w:tblW w:w="9658" w:type="dxa"/>
        <w:jc w:val="center"/>
        <w:tblLayout w:type="fixed"/>
        <w:tblCellMar>
          <w:top w:w="0" w:type="dxa"/>
          <w:left w:w="108" w:type="dxa"/>
          <w:bottom w:w="0" w:type="dxa"/>
          <w:right w:w="108" w:type="dxa"/>
        </w:tblCellMar>
      </w:tblPr>
      <w:tblGrid>
        <w:gridCol w:w="331"/>
        <w:gridCol w:w="593"/>
        <w:gridCol w:w="677"/>
        <w:gridCol w:w="1239"/>
        <w:gridCol w:w="936"/>
        <w:gridCol w:w="777"/>
        <w:gridCol w:w="1018"/>
        <w:gridCol w:w="1045"/>
        <w:gridCol w:w="1111"/>
        <w:gridCol w:w="1931"/>
      </w:tblGrid>
      <w:tr w14:paraId="2C8C966F">
        <w:tblPrEx>
          <w:tblCellMar>
            <w:top w:w="0" w:type="dxa"/>
            <w:left w:w="108" w:type="dxa"/>
            <w:bottom w:w="0" w:type="dxa"/>
            <w:right w:w="108" w:type="dxa"/>
          </w:tblCellMar>
        </w:tblPrEx>
        <w:trPr>
          <w:trHeight w:val="465" w:hRule="atLeast"/>
          <w:jc w:val="center"/>
        </w:trPr>
        <w:tc>
          <w:tcPr>
            <w:tcW w:w="1601" w:type="dxa"/>
            <w:gridSpan w:val="3"/>
            <w:tcBorders>
              <w:top w:val="single" w:color="000000" w:sz="4" w:space="0"/>
              <w:left w:val="single" w:color="000000" w:sz="4" w:space="0"/>
              <w:bottom w:val="single" w:color="auto" w:sz="4" w:space="0"/>
              <w:right w:val="single" w:color="000000" w:sz="4" w:space="0"/>
            </w:tcBorders>
            <w:noWrap/>
            <w:vAlign w:val="center"/>
          </w:tcPr>
          <w:p w14:paraId="6105EFC2">
            <w:pP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sz w:val="18"/>
                <w:szCs w:val="18"/>
              </w:rPr>
              <w:br w:type="page"/>
            </w:r>
            <w:r>
              <w:rPr>
                <w:rFonts w:hint="default" w:ascii="Times New Roman Regular" w:hAnsi="Times New Roman Regular" w:eastAsia="仿宋_GB2312" w:cs="Times New Roman Regular"/>
                <w:color w:val="000000"/>
                <w:kern w:val="0"/>
                <w:sz w:val="18"/>
                <w:szCs w:val="18"/>
              </w:rPr>
              <w:t>部门名称</w:t>
            </w:r>
          </w:p>
        </w:tc>
        <w:tc>
          <w:tcPr>
            <w:tcW w:w="8057" w:type="dxa"/>
            <w:gridSpan w:val="7"/>
            <w:tcBorders>
              <w:top w:val="single" w:color="000000" w:sz="4" w:space="0"/>
              <w:left w:val="single" w:color="000000" w:sz="4" w:space="0"/>
              <w:bottom w:val="single" w:color="000000" w:sz="4" w:space="0"/>
              <w:right w:val="single" w:color="000000" w:sz="4" w:space="0"/>
            </w:tcBorders>
            <w:noWrap/>
            <w:vAlign w:val="center"/>
          </w:tcPr>
          <w:p w14:paraId="7EC68A2A">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lang w:val="en-US" w:eastAsia="zh-CN"/>
              </w:rPr>
            </w:pPr>
            <w:r>
              <w:rPr>
                <w:rFonts w:hint="default" w:ascii="Times New Roman Regular" w:hAnsi="Times New Roman Regular" w:eastAsia="仿宋_GB2312" w:cs="Times New Roman Regular"/>
                <w:color w:val="000000"/>
                <w:kern w:val="0"/>
                <w:sz w:val="18"/>
                <w:szCs w:val="18"/>
              </w:rPr>
              <w:t>阿坝州</w:t>
            </w:r>
            <w:r>
              <w:rPr>
                <w:rFonts w:hint="default" w:ascii="Times New Roman Regular" w:hAnsi="Times New Roman Regular" w:cs="Times New Roman Regular"/>
                <w:color w:val="000000"/>
                <w:kern w:val="0"/>
                <w:sz w:val="18"/>
                <w:szCs w:val="18"/>
                <w:lang w:val="en-US" w:eastAsia="zh-CN"/>
              </w:rPr>
              <w:t>黑水县人民法院</w:t>
            </w:r>
          </w:p>
        </w:tc>
      </w:tr>
      <w:tr w14:paraId="234FB132">
        <w:tblPrEx>
          <w:tblCellMar>
            <w:top w:w="0" w:type="dxa"/>
            <w:left w:w="108" w:type="dxa"/>
            <w:bottom w:w="0" w:type="dxa"/>
            <w:right w:w="108" w:type="dxa"/>
          </w:tblCellMar>
        </w:tblPrEx>
        <w:trPr>
          <w:trHeight w:val="239" w:hRule="atLeast"/>
          <w:jc w:val="center"/>
        </w:trPr>
        <w:tc>
          <w:tcPr>
            <w:tcW w:w="1601" w:type="dxa"/>
            <w:gridSpan w:val="3"/>
            <w:tcBorders>
              <w:top w:val="single" w:color="auto" w:sz="4" w:space="0"/>
              <w:left w:val="single" w:color="auto" w:sz="4" w:space="0"/>
              <w:bottom w:val="single" w:color="auto" w:sz="4" w:space="0"/>
              <w:right w:val="single" w:color="auto" w:sz="4" w:space="0"/>
            </w:tcBorders>
            <w:noWrap/>
            <w:vAlign w:val="center"/>
          </w:tcPr>
          <w:p w14:paraId="1FD708B0">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年度部门整体预算</w:t>
            </w:r>
          </w:p>
        </w:tc>
        <w:tc>
          <w:tcPr>
            <w:tcW w:w="2175" w:type="dxa"/>
            <w:gridSpan w:val="2"/>
            <w:tcBorders>
              <w:top w:val="single" w:color="000000" w:sz="4" w:space="0"/>
              <w:left w:val="single" w:color="auto" w:sz="4" w:space="0"/>
              <w:bottom w:val="single" w:color="000000" w:sz="4" w:space="0"/>
              <w:right w:val="single" w:color="auto" w:sz="4" w:space="0"/>
            </w:tcBorders>
            <w:noWrap/>
            <w:vAlign w:val="center"/>
          </w:tcPr>
          <w:p w14:paraId="28227BB4">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4443333C">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4A0C5693">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其他资金</w:t>
            </w:r>
          </w:p>
        </w:tc>
      </w:tr>
      <w:tr w14:paraId="49DD99A9">
        <w:tblPrEx>
          <w:tblCellMar>
            <w:top w:w="0" w:type="dxa"/>
            <w:left w:w="108" w:type="dxa"/>
            <w:bottom w:w="0" w:type="dxa"/>
            <w:right w:w="108" w:type="dxa"/>
          </w:tblCellMar>
        </w:tblPrEx>
        <w:trPr>
          <w:trHeight w:val="239" w:hRule="atLeast"/>
          <w:jc w:val="center"/>
        </w:trPr>
        <w:tc>
          <w:tcPr>
            <w:tcW w:w="1601" w:type="dxa"/>
            <w:gridSpan w:val="3"/>
            <w:tcBorders>
              <w:top w:val="single" w:color="auto" w:sz="4" w:space="0"/>
              <w:left w:val="single" w:color="auto" w:sz="4" w:space="0"/>
              <w:bottom w:val="single" w:color="auto" w:sz="4" w:space="0"/>
              <w:right w:val="single" w:color="auto" w:sz="4" w:space="0"/>
            </w:tcBorders>
            <w:noWrap/>
            <w:vAlign w:val="center"/>
          </w:tcPr>
          <w:p w14:paraId="7EB63BA1">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收入预算</w:t>
            </w:r>
          </w:p>
        </w:tc>
        <w:tc>
          <w:tcPr>
            <w:tcW w:w="2175" w:type="dxa"/>
            <w:gridSpan w:val="2"/>
            <w:tcBorders>
              <w:top w:val="single" w:color="000000" w:sz="4" w:space="0"/>
              <w:left w:val="single" w:color="auto" w:sz="4" w:space="0"/>
              <w:bottom w:val="single" w:color="000000" w:sz="4" w:space="0"/>
              <w:right w:val="single" w:color="auto" w:sz="4" w:space="0"/>
            </w:tcBorders>
            <w:noWrap/>
            <w:vAlign w:val="center"/>
          </w:tcPr>
          <w:p w14:paraId="2C415B4E">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2261.71</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1702A4EB">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lang w:val="en-US" w:eastAsia="zh-CN"/>
              </w:rPr>
            </w:pPr>
            <w:r>
              <w:rPr>
                <w:rFonts w:hint="default" w:ascii="Times New Roman Regular" w:hAnsi="Times New Roman Regular" w:cs="Times New Roman Regular"/>
                <w:color w:val="000000"/>
                <w:kern w:val="0"/>
                <w:sz w:val="18"/>
                <w:szCs w:val="18"/>
                <w:lang w:val="en-US" w:eastAsia="zh-CN"/>
              </w:rPr>
              <w:t>1794.62</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2AEB2C4E">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lang w:val="en-US" w:eastAsia="zh-CN"/>
              </w:rPr>
            </w:pPr>
            <w:r>
              <w:rPr>
                <w:rFonts w:hint="default" w:ascii="Times New Roman Regular" w:hAnsi="Times New Roman Regular" w:cs="Times New Roman Regular"/>
                <w:color w:val="000000"/>
                <w:kern w:val="0"/>
                <w:sz w:val="18"/>
                <w:szCs w:val="18"/>
                <w:lang w:val="en-US" w:eastAsia="zh-CN"/>
              </w:rPr>
              <w:t>4</w:t>
            </w:r>
            <w:r>
              <w:rPr>
                <w:rFonts w:hint="eastAsia" w:ascii="Times New Roman Regular" w:hAnsi="Times New Roman Regular" w:cs="Times New Roman Regular"/>
                <w:color w:val="000000"/>
                <w:kern w:val="0"/>
                <w:sz w:val="18"/>
                <w:szCs w:val="18"/>
                <w:lang w:val="en-US" w:eastAsia="zh-CN"/>
              </w:rPr>
              <w:t>67.09</w:t>
            </w:r>
          </w:p>
        </w:tc>
      </w:tr>
      <w:tr w14:paraId="0F6A05F4">
        <w:tblPrEx>
          <w:tblCellMar>
            <w:top w:w="0" w:type="dxa"/>
            <w:left w:w="108" w:type="dxa"/>
            <w:bottom w:w="0" w:type="dxa"/>
            <w:right w:w="108" w:type="dxa"/>
          </w:tblCellMar>
        </w:tblPrEx>
        <w:trPr>
          <w:trHeight w:val="296" w:hRule="atLeast"/>
          <w:jc w:val="center"/>
        </w:trPr>
        <w:tc>
          <w:tcPr>
            <w:tcW w:w="1601" w:type="dxa"/>
            <w:gridSpan w:val="3"/>
            <w:tcBorders>
              <w:top w:val="single" w:color="auto" w:sz="4" w:space="0"/>
              <w:left w:val="single" w:color="auto" w:sz="4" w:space="0"/>
              <w:bottom w:val="single" w:color="auto" w:sz="4" w:space="0"/>
              <w:right w:val="single" w:color="auto" w:sz="4" w:space="0"/>
            </w:tcBorders>
            <w:noWrap/>
            <w:vAlign w:val="center"/>
          </w:tcPr>
          <w:p w14:paraId="23DDBAC9">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支出预算</w:t>
            </w:r>
          </w:p>
        </w:tc>
        <w:tc>
          <w:tcPr>
            <w:tcW w:w="2175" w:type="dxa"/>
            <w:gridSpan w:val="2"/>
            <w:tcBorders>
              <w:top w:val="single" w:color="000000" w:sz="4" w:space="0"/>
              <w:left w:val="single" w:color="auto" w:sz="4" w:space="0"/>
              <w:bottom w:val="single" w:color="000000" w:sz="4" w:space="0"/>
              <w:right w:val="single" w:color="000000" w:sz="4" w:space="0"/>
            </w:tcBorders>
            <w:noWrap/>
            <w:vAlign w:val="center"/>
          </w:tcPr>
          <w:p w14:paraId="1573F229">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2261.71</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14:paraId="437CE556">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cs="Times New Roman Regular"/>
                <w:color w:val="000000"/>
                <w:kern w:val="0"/>
                <w:sz w:val="18"/>
                <w:szCs w:val="18"/>
                <w:lang w:val="en-US" w:eastAsia="zh-CN"/>
              </w:rPr>
              <w:t>1794.62</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14:paraId="3BA5CEAF">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cs="Times New Roman Regular"/>
                <w:color w:val="000000"/>
                <w:kern w:val="0"/>
                <w:sz w:val="18"/>
                <w:szCs w:val="18"/>
                <w:lang w:val="en-US" w:eastAsia="zh-CN"/>
              </w:rPr>
              <w:t>4</w:t>
            </w:r>
            <w:r>
              <w:rPr>
                <w:rFonts w:hint="eastAsia" w:ascii="Times New Roman Regular" w:hAnsi="Times New Roman Regular" w:cs="Times New Roman Regular"/>
                <w:color w:val="000000"/>
                <w:kern w:val="0"/>
                <w:sz w:val="18"/>
                <w:szCs w:val="18"/>
                <w:lang w:val="en-US" w:eastAsia="zh-CN"/>
              </w:rPr>
              <w:t>67.09</w:t>
            </w:r>
          </w:p>
        </w:tc>
      </w:tr>
      <w:tr w14:paraId="6867FE73">
        <w:tblPrEx>
          <w:tblCellMar>
            <w:top w:w="0" w:type="dxa"/>
            <w:left w:w="108" w:type="dxa"/>
            <w:bottom w:w="0" w:type="dxa"/>
            <w:right w:w="108" w:type="dxa"/>
          </w:tblCellMar>
        </w:tblPrEx>
        <w:trPr>
          <w:trHeight w:val="296" w:hRule="atLeast"/>
          <w:jc w:val="center"/>
        </w:trPr>
        <w:tc>
          <w:tcPr>
            <w:tcW w:w="1601" w:type="dxa"/>
            <w:gridSpan w:val="3"/>
            <w:tcBorders>
              <w:top w:val="single" w:color="auto" w:sz="4" w:space="0"/>
              <w:left w:val="single" w:color="000000" w:sz="4" w:space="0"/>
              <w:bottom w:val="single" w:color="000000" w:sz="4" w:space="0"/>
              <w:right w:val="single" w:color="000000" w:sz="4" w:space="0"/>
            </w:tcBorders>
            <w:noWrap/>
            <w:vAlign w:val="center"/>
          </w:tcPr>
          <w:p w14:paraId="69FBA096">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年度总体目标</w:t>
            </w:r>
          </w:p>
        </w:tc>
        <w:tc>
          <w:tcPr>
            <w:tcW w:w="8057" w:type="dxa"/>
            <w:gridSpan w:val="7"/>
            <w:tcBorders>
              <w:top w:val="single" w:color="000000" w:sz="4" w:space="0"/>
              <w:left w:val="single" w:color="000000" w:sz="4" w:space="0"/>
              <w:bottom w:val="single" w:color="000000" w:sz="4" w:space="0"/>
              <w:right w:val="single" w:color="000000" w:sz="4" w:space="0"/>
            </w:tcBorders>
            <w:noWrap/>
            <w:vAlign w:val="center"/>
          </w:tcPr>
          <w:p w14:paraId="38DB3D73">
            <w:pPr>
              <w:widowControl/>
              <w:spacing w:line="240" w:lineRule="exact"/>
              <w:ind w:firstLine="360" w:firstLineChars="200"/>
              <w:jc w:val="both"/>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确保司法程序公开、法律适用正确及案件审理公正，以维护司法公正的原则。1.提高裁判质量，减少错误判决率；2.减少审判延期，提高案件审理效率。</w:t>
            </w:r>
          </w:p>
          <w:p w14:paraId="25CC1A9D">
            <w:pPr>
              <w:widowControl/>
              <w:spacing w:line="240" w:lineRule="exact"/>
              <w:jc w:val="both"/>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 xml:space="preserve">    以审判工作现代化助力建设社会主义现代化。目标</w:t>
            </w:r>
            <w:r>
              <w:rPr>
                <w:rFonts w:hint="eastAsia" w:ascii="Times New Roman Regular" w:hAnsi="Times New Roman Regular" w:cs="Times New Roman Regular"/>
                <w:color w:val="000000"/>
                <w:kern w:val="0"/>
                <w:sz w:val="18"/>
                <w:szCs w:val="18"/>
                <w:lang w:eastAsia="zh-CN"/>
              </w:rPr>
              <w:t>：</w:t>
            </w:r>
            <w:r>
              <w:rPr>
                <w:rFonts w:hint="default" w:ascii="Times New Roman Regular" w:hAnsi="Times New Roman Regular" w:eastAsia="仿宋_GB2312" w:cs="Times New Roman Regular"/>
                <w:color w:val="000000"/>
                <w:kern w:val="0"/>
                <w:sz w:val="18"/>
                <w:szCs w:val="18"/>
              </w:rPr>
              <w:t>保障我院针对法律问题提出建议、指导及调解，保障我院</w:t>
            </w:r>
            <w:r>
              <w:rPr>
                <w:rFonts w:hint="eastAsia" w:ascii="Times New Roman Regular" w:hAnsi="Times New Roman Regular" w:cs="Times New Roman Regular"/>
                <w:color w:val="000000"/>
                <w:kern w:val="0"/>
                <w:sz w:val="18"/>
                <w:szCs w:val="18"/>
                <w:lang w:eastAsia="zh-CN"/>
              </w:rPr>
              <w:t>法官</w:t>
            </w:r>
            <w:r>
              <w:rPr>
                <w:rFonts w:hint="default" w:ascii="Times New Roman Regular" w:hAnsi="Times New Roman Regular" w:eastAsia="仿宋_GB2312" w:cs="Times New Roman Regular"/>
                <w:color w:val="000000"/>
                <w:kern w:val="0"/>
                <w:sz w:val="18"/>
                <w:szCs w:val="18"/>
              </w:rPr>
              <w:t>依法审理应由</w:t>
            </w:r>
            <w:r>
              <w:rPr>
                <w:rFonts w:hint="eastAsia" w:ascii="Times New Roman Regular" w:hAnsi="Times New Roman Regular" w:cs="Times New Roman Regular"/>
                <w:color w:val="000000"/>
                <w:kern w:val="0"/>
                <w:sz w:val="18"/>
                <w:szCs w:val="18"/>
                <w:lang w:eastAsia="zh-CN"/>
              </w:rPr>
              <w:t>我院</w:t>
            </w:r>
            <w:r>
              <w:rPr>
                <w:rFonts w:hint="default" w:ascii="Times New Roman Regular" w:hAnsi="Times New Roman Regular" w:eastAsia="仿宋_GB2312" w:cs="Times New Roman Regular"/>
                <w:color w:val="000000"/>
                <w:kern w:val="0"/>
                <w:sz w:val="18"/>
                <w:szCs w:val="18"/>
              </w:rPr>
              <w:t>审理的刑事民事行政执行等案件。保障在职人员47人，临聘人员26人，离退休人员23人的人员经费，以及开展办案审判业务所需的日常经费</w:t>
            </w:r>
            <w:r>
              <w:rPr>
                <w:rFonts w:hint="eastAsia" w:ascii="Times New Roman Regular" w:hAnsi="Times New Roman Regular" w:cs="Times New Roman Regular"/>
                <w:color w:val="000000"/>
                <w:kern w:val="0"/>
                <w:sz w:val="18"/>
                <w:szCs w:val="18"/>
                <w:lang w:eastAsia="zh-CN"/>
              </w:rPr>
              <w:t>：</w:t>
            </w:r>
            <w:r>
              <w:rPr>
                <w:rFonts w:hint="default" w:ascii="Times New Roman Regular" w:hAnsi="Times New Roman Regular" w:eastAsia="仿宋_GB2312" w:cs="Times New Roman Regular"/>
                <w:color w:val="000000"/>
                <w:kern w:val="0"/>
                <w:sz w:val="18"/>
                <w:szCs w:val="18"/>
              </w:rPr>
              <w:t>保障我院</w:t>
            </w:r>
            <w:r>
              <w:rPr>
                <w:rFonts w:hint="eastAsia" w:ascii="Times New Roman Regular" w:hAnsi="Times New Roman Regular" w:cs="Times New Roman Regular"/>
                <w:color w:val="000000"/>
                <w:kern w:val="0"/>
                <w:sz w:val="18"/>
                <w:szCs w:val="18"/>
                <w:lang w:eastAsia="zh-CN"/>
              </w:rPr>
              <w:t>积极参与</w:t>
            </w:r>
            <w:r>
              <w:rPr>
                <w:rFonts w:hint="default" w:ascii="Times New Roman Regular" w:hAnsi="Times New Roman Regular" w:eastAsia="仿宋_GB2312" w:cs="Times New Roman Regular"/>
                <w:color w:val="000000"/>
                <w:kern w:val="0"/>
                <w:sz w:val="18"/>
                <w:szCs w:val="18"/>
              </w:rPr>
              <w:t>社会治安综合治理，通过审判活动宣传活动和其他方式协助本地区社会治安</w:t>
            </w:r>
            <w:r>
              <w:rPr>
                <w:rFonts w:hint="eastAsia" w:ascii="Times New Roman Regular" w:hAnsi="Times New Roman Regular" w:cs="Times New Roman Regular"/>
                <w:color w:val="000000"/>
                <w:kern w:val="0"/>
                <w:sz w:val="18"/>
                <w:szCs w:val="18"/>
                <w:lang w:eastAsia="zh-CN"/>
              </w:rPr>
              <w:t>，</w:t>
            </w:r>
            <w:r>
              <w:rPr>
                <w:rFonts w:hint="default" w:ascii="Times New Roman Regular" w:hAnsi="Times New Roman Regular" w:eastAsia="仿宋_GB2312" w:cs="Times New Roman Regular"/>
                <w:color w:val="000000"/>
                <w:kern w:val="0"/>
                <w:sz w:val="18"/>
                <w:szCs w:val="18"/>
              </w:rPr>
              <w:t>完成受理结案案件300余件，执行标的额及时到位。</w:t>
            </w:r>
          </w:p>
        </w:tc>
      </w:tr>
      <w:tr w14:paraId="48F5C95C">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43C09C3D">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12E471B4">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一级指标</w:t>
            </w:r>
          </w:p>
        </w:tc>
        <w:tc>
          <w:tcPr>
            <w:tcW w:w="677" w:type="dxa"/>
            <w:vMerge w:val="restart"/>
            <w:tcBorders>
              <w:top w:val="single" w:color="000000" w:sz="4" w:space="0"/>
              <w:left w:val="single" w:color="000000" w:sz="4" w:space="0"/>
              <w:bottom w:val="single" w:color="000000" w:sz="4" w:space="0"/>
              <w:right w:val="single" w:color="000000" w:sz="4" w:space="0"/>
            </w:tcBorders>
            <w:noWrap/>
            <w:vAlign w:val="center"/>
          </w:tcPr>
          <w:p w14:paraId="693FA39E">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二级指标</w:t>
            </w:r>
          </w:p>
        </w:tc>
        <w:tc>
          <w:tcPr>
            <w:tcW w:w="1239" w:type="dxa"/>
            <w:vMerge w:val="restart"/>
            <w:tcBorders>
              <w:top w:val="single" w:color="000000" w:sz="4" w:space="0"/>
              <w:left w:val="single" w:color="000000" w:sz="4" w:space="0"/>
              <w:bottom w:val="single" w:color="000000" w:sz="4" w:space="0"/>
              <w:right w:val="single" w:color="000000" w:sz="4" w:space="0"/>
            </w:tcBorders>
            <w:noWrap/>
            <w:vAlign w:val="center"/>
          </w:tcPr>
          <w:p w14:paraId="1D48C07E">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三级指标</w:t>
            </w:r>
          </w:p>
        </w:tc>
        <w:tc>
          <w:tcPr>
            <w:tcW w:w="936" w:type="dxa"/>
            <w:vMerge w:val="restart"/>
            <w:tcBorders>
              <w:top w:val="single" w:color="000000" w:sz="4" w:space="0"/>
              <w:left w:val="single" w:color="000000" w:sz="4" w:space="0"/>
              <w:bottom w:val="single" w:color="000000" w:sz="4" w:space="0"/>
              <w:right w:val="single" w:color="000000" w:sz="4" w:space="0"/>
            </w:tcBorders>
            <w:noWrap/>
            <w:vAlign w:val="center"/>
          </w:tcPr>
          <w:p w14:paraId="4106D0F6">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1807C2B6">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72E8DD66">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指标实际完成值</w:t>
            </w:r>
          </w:p>
        </w:tc>
      </w:tr>
      <w:tr w14:paraId="49874A9A">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EDF2B68">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D50547C">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677" w:type="dxa"/>
            <w:vMerge w:val="continue"/>
            <w:tcBorders>
              <w:top w:val="single" w:color="000000" w:sz="4" w:space="0"/>
              <w:left w:val="single" w:color="000000" w:sz="4" w:space="0"/>
              <w:bottom w:val="single" w:color="000000" w:sz="4" w:space="0"/>
              <w:right w:val="single" w:color="000000" w:sz="4" w:space="0"/>
            </w:tcBorders>
            <w:noWrap/>
            <w:vAlign w:val="center"/>
          </w:tcPr>
          <w:p w14:paraId="2F73E98E">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1239" w:type="dxa"/>
            <w:vMerge w:val="continue"/>
            <w:tcBorders>
              <w:top w:val="single" w:color="000000" w:sz="4" w:space="0"/>
              <w:left w:val="single" w:color="000000" w:sz="4" w:space="0"/>
              <w:bottom w:val="single" w:color="000000" w:sz="4" w:space="0"/>
              <w:right w:val="single" w:color="000000" w:sz="4" w:space="0"/>
            </w:tcBorders>
            <w:noWrap/>
            <w:vAlign w:val="center"/>
          </w:tcPr>
          <w:p w14:paraId="69D24FE7">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936" w:type="dxa"/>
            <w:vMerge w:val="continue"/>
            <w:tcBorders>
              <w:top w:val="single" w:color="000000" w:sz="4" w:space="0"/>
              <w:left w:val="single" w:color="000000" w:sz="4" w:space="0"/>
              <w:bottom w:val="single" w:color="000000" w:sz="4" w:space="0"/>
              <w:right w:val="single" w:color="000000" w:sz="4" w:space="0"/>
            </w:tcBorders>
            <w:noWrap/>
            <w:vAlign w:val="center"/>
          </w:tcPr>
          <w:p w14:paraId="6B21D4E4">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777" w:type="dxa"/>
            <w:tcBorders>
              <w:top w:val="single" w:color="000000" w:sz="4" w:space="0"/>
              <w:left w:val="single" w:color="000000" w:sz="4" w:space="0"/>
              <w:right w:val="single" w:color="000000" w:sz="4" w:space="0"/>
            </w:tcBorders>
            <w:noWrap/>
            <w:vAlign w:val="center"/>
          </w:tcPr>
          <w:p w14:paraId="26AE6581">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三年</w:t>
            </w:r>
          </w:p>
          <w:p w14:paraId="41A0767C">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B1A8F32">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2023年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758BB77A">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2024年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508F26F1">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2025年</w:t>
            </w:r>
          </w:p>
        </w:tc>
        <w:tc>
          <w:tcPr>
            <w:tcW w:w="1931" w:type="dxa"/>
            <w:vMerge w:val="continue"/>
            <w:tcBorders>
              <w:left w:val="single" w:color="000000" w:sz="4" w:space="0"/>
              <w:right w:val="single" w:color="000000" w:sz="4" w:space="0"/>
            </w:tcBorders>
            <w:noWrap/>
            <w:vAlign w:val="center"/>
          </w:tcPr>
          <w:p w14:paraId="742F5871">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r>
      <w:tr w14:paraId="505EF501">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A791425">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2D0F2915">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成本指标</w:t>
            </w:r>
          </w:p>
        </w:tc>
        <w:tc>
          <w:tcPr>
            <w:tcW w:w="677" w:type="dxa"/>
            <w:vMerge w:val="restart"/>
            <w:tcBorders>
              <w:top w:val="single" w:color="000000" w:sz="4" w:space="0"/>
              <w:left w:val="single" w:color="000000" w:sz="4" w:space="0"/>
              <w:bottom w:val="single" w:color="000000" w:sz="4" w:space="0"/>
              <w:right w:val="single" w:color="000000" w:sz="4" w:space="0"/>
            </w:tcBorders>
            <w:noWrap/>
            <w:vAlign w:val="center"/>
          </w:tcPr>
          <w:p w14:paraId="397D0F80">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预算管理</w:t>
            </w:r>
          </w:p>
        </w:tc>
        <w:tc>
          <w:tcPr>
            <w:tcW w:w="1239" w:type="dxa"/>
            <w:tcBorders>
              <w:top w:val="single" w:color="000000" w:sz="4" w:space="0"/>
              <w:left w:val="single" w:color="000000" w:sz="4" w:space="0"/>
              <w:bottom w:val="single" w:color="000000" w:sz="4" w:space="0"/>
              <w:right w:val="single" w:color="000000" w:sz="4" w:space="0"/>
            </w:tcBorders>
            <w:noWrap/>
            <w:vAlign w:val="center"/>
          </w:tcPr>
          <w:p w14:paraId="12B401D9">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财政拨款预算编制偏离度</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04479A83">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≤90.35%</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346BB60E">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90.35%</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24FE2F70">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2CA873B8">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650AF130">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67BEB90">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69.63%</w:t>
            </w:r>
          </w:p>
        </w:tc>
      </w:tr>
      <w:tr w14:paraId="5D53C377">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E371C04">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B0198EE">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677" w:type="dxa"/>
            <w:vMerge w:val="continue"/>
            <w:tcBorders>
              <w:top w:val="single" w:color="000000" w:sz="4" w:space="0"/>
              <w:left w:val="single" w:color="000000" w:sz="4" w:space="0"/>
              <w:bottom w:val="single" w:color="000000" w:sz="4" w:space="0"/>
              <w:right w:val="single" w:color="000000" w:sz="4" w:space="0"/>
            </w:tcBorders>
            <w:noWrap/>
            <w:vAlign w:val="center"/>
          </w:tcPr>
          <w:p w14:paraId="7819343D">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1239" w:type="dxa"/>
            <w:tcBorders>
              <w:top w:val="single" w:color="000000" w:sz="4" w:space="0"/>
              <w:left w:val="single" w:color="000000" w:sz="4" w:space="0"/>
              <w:bottom w:val="single" w:color="000000" w:sz="4" w:space="0"/>
              <w:right w:val="single" w:color="000000" w:sz="4" w:space="0"/>
            </w:tcBorders>
            <w:noWrap/>
            <w:vAlign w:val="center"/>
          </w:tcPr>
          <w:p w14:paraId="3A8A9412">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单位收入统筹度</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453D22F0">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w:t>
            </w:r>
            <w:r>
              <w:rPr>
                <w:rFonts w:hint="default" w:ascii="Times New Roman Regular" w:hAnsi="Times New Roman Regular" w:cs="Times New Roman Regular"/>
                <w:color w:val="000000"/>
                <w:kern w:val="0"/>
                <w:sz w:val="18"/>
                <w:szCs w:val="18"/>
                <w:lang w:val="en-US" w:eastAsia="zh-CN"/>
              </w:rPr>
              <w:t>100</w:t>
            </w:r>
            <w:r>
              <w:rPr>
                <w:rFonts w:hint="default" w:ascii="Times New Roman Regular" w:hAnsi="Times New Roman Regular" w:eastAsia="仿宋_GB2312" w:cs="Times New Roman Regular"/>
                <w:color w:val="000000"/>
                <w:kern w:val="0"/>
                <w:sz w:val="18"/>
                <w:szCs w:val="18"/>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22A3EDAB">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cs="Times New Roman Regular"/>
                <w:color w:val="000000"/>
                <w:kern w:val="0"/>
                <w:sz w:val="18"/>
                <w:szCs w:val="18"/>
                <w:lang w:val="en-US" w:eastAsia="zh-CN"/>
              </w:rPr>
              <w:t>100</w:t>
            </w:r>
            <w:r>
              <w:rPr>
                <w:rFonts w:hint="default" w:ascii="Times New Roman Regular" w:hAnsi="Times New Roman Regular" w:eastAsia="仿宋_GB2312" w:cs="Times New Roman Regular"/>
                <w:color w:val="000000"/>
                <w:kern w:val="0"/>
                <w:sz w:val="18"/>
                <w:szCs w:val="18"/>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0A36201E">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6DDEE18D">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8C7FD66">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79B707A">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lang w:val="en-US" w:eastAsia="zh-CN"/>
              </w:rPr>
            </w:pPr>
            <w:r>
              <w:rPr>
                <w:rFonts w:hint="default" w:ascii="Times New Roman Regular" w:hAnsi="Times New Roman Regular" w:cs="Times New Roman Regular"/>
                <w:color w:val="000000"/>
                <w:kern w:val="0"/>
                <w:sz w:val="18"/>
                <w:szCs w:val="18"/>
                <w:lang w:val="en-US" w:eastAsia="zh-CN"/>
              </w:rPr>
              <w:t>100%</w:t>
            </w:r>
          </w:p>
        </w:tc>
      </w:tr>
      <w:tr w14:paraId="075BD6F6">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EDE10E5">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4745B67">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677" w:type="dxa"/>
            <w:vMerge w:val="continue"/>
            <w:tcBorders>
              <w:top w:val="single" w:color="000000" w:sz="4" w:space="0"/>
              <w:left w:val="single" w:color="000000" w:sz="4" w:space="0"/>
              <w:bottom w:val="single" w:color="000000" w:sz="4" w:space="0"/>
              <w:right w:val="single" w:color="000000" w:sz="4" w:space="0"/>
            </w:tcBorders>
            <w:noWrap/>
            <w:vAlign w:val="center"/>
          </w:tcPr>
          <w:p w14:paraId="235E570D">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1239" w:type="dxa"/>
            <w:tcBorders>
              <w:top w:val="single" w:color="000000" w:sz="4" w:space="0"/>
              <w:left w:val="single" w:color="000000" w:sz="4" w:space="0"/>
              <w:bottom w:val="single" w:color="000000" w:sz="4" w:space="0"/>
              <w:right w:val="single" w:color="000000" w:sz="4" w:space="0"/>
            </w:tcBorders>
            <w:noWrap/>
            <w:vAlign w:val="center"/>
          </w:tcPr>
          <w:p w14:paraId="69C491FA">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预算年终结余率</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2853952D">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≤1.97%</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26059955">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1.97%</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56A9CF39">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FB0B99A">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FFC38B6">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0F639E9">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lang w:val="en-US" w:eastAsia="zh-CN"/>
              </w:rPr>
            </w:pPr>
            <w:r>
              <w:rPr>
                <w:rFonts w:hint="default" w:ascii="Times New Roman Regular" w:hAnsi="Times New Roman Regular" w:cs="Times New Roman Regular"/>
                <w:color w:val="000000"/>
                <w:kern w:val="0"/>
                <w:sz w:val="18"/>
                <w:szCs w:val="18"/>
                <w:lang w:val="en-US" w:eastAsia="zh-CN"/>
              </w:rPr>
              <w:t>0.98%</w:t>
            </w:r>
          </w:p>
        </w:tc>
      </w:tr>
      <w:tr w14:paraId="0CF5A8DD">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4F8243A">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94796B3">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677" w:type="dxa"/>
            <w:vMerge w:val="continue"/>
            <w:tcBorders>
              <w:top w:val="single" w:color="000000" w:sz="4" w:space="0"/>
              <w:left w:val="single" w:color="000000" w:sz="4" w:space="0"/>
              <w:bottom w:val="single" w:color="000000" w:sz="4" w:space="0"/>
              <w:right w:val="single" w:color="000000" w:sz="4" w:space="0"/>
            </w:tcBorders>
            <w:noWrap/>
            <w:vAlign w:val="center"/>
          </w:tcPr>
          <w:p w14:paraId="5E1570FB">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1239" w:type="dxa"/>
            <w:tcBorders>
              <w:top w:val="single" w:color="000000" w:sz="4" w:space="0"/>
              <w:left w:val="single" w:color="000000" w:sz="4" w:space="0"/>
              <w:bottom w:val="single" w:color="000000" w:sz="4" w:space="0"/>
              <w:right w:val="single" w:color="000000" w:sz="4" w:space="0"/>
            </w:tcBorders>
            <w:noWrap/>
            <w:vAlign w:val="center"/>
          </w:tcPr>
          <w:p w14:paraId="0B09F2F3">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一般性支出金额</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2E0277F3">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≤316.09万元</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6C571BA9">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x为上年一般性支出金额</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42F4215">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lang w:val="en-US" w:eastAsia="zh-CN"/>
              </w:rPr>
            </w:pPr>
            <w:r>
              <w:rPr>
                <w:rFonts w:hint="default" w:ascii="Times New Roman Regular" w:hAnsi="Times New Roman Regular" w:eastAsia="仿宋_GB2312" w:cs="Times New Roman Regular"/>
                <w:color w:val="000000"/>
                <w:kern w:val="0"/>
                <w:sz w:val="18"/>
                <w:szCs w:val="18"/>
              </w:rPr>
              <w:t>336.56</w:t>
            </w:r>
            <w:r>
              <w:rPr>
                <w:rFonts w:hint="default" w:ascii="Times New Roman Regular" w:hAnsi="Times New Roman Regular" w:cs="Times New Roman Regular"/>
                <w:color w:val="000000"/>
                <w:kern w:val="0"/>
                <w:sz w:val="18"/>
                <w:szCs w:val="18"/>
                <w:lang w:val="en-US" w:eastAsia="zh-CN"/>
              </w:rPr>
              <w:t>万元</w:t>
            </w:r>
          </w:p>
        </w:tc>
      </w:tr>
      <w:tr w14:paraId="37F77B25">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F8F70F8">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2B5C6BC">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677" w:type="dxa"/>
            <w:tcBorders>
              <w:top w:val="single" w:color="000000" w:sz="4" w:space="0"/>
              <w:left w:val="single" w:color="000000" w:sz="4" w:space="0"/>
              <w:bottom w:val="single" w:color="000000" w:sz="4" w:space="0"/>
              <w:right w:val="single" w:color="000000" w:sz="4" w:space="0"/>
            </w:tcBorders>
            <w:noWrap/>
            <w:vAlign w:val="center"/>
          </w:tcPr>
          <w:p w14:paraId="14C591B0">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财务管理</w:t>
            </w:r>
          </w:p>
        </w:tc>
        <w:tc>
          <w:tcPr>
            <w:tcW w:w="1239" w:type="dxa"/>
            <w:tcBorders>
              <w:top w:val="single" w:color="000000" w:sz="4" w:space="0"/>
              <w:left w:val="single" w:color="000000" w:sz="4" w:space="0"/>
              <w:bottom w:val="single" w:color="000000" w:sz="4" w:space="0"/>
              <w:right w:val="single" w:color="000000" w:sz="4" w:space="0"/>
            </w:tcBorders>
            <w:noWrap/>
            <w:vAlign w:val="center"/>
          </w:tcPr>
          <w:p w14:paraId="5016074E">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财务管理规范</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7457D417">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lang w:eastAsia="zh-CN"/>
              </w:rPr>
            </w:pPr>
            <w:r>
              <w:rPr>
                <w:rFonts w:hint="default" w:ascii="Times New Roman Regular" w:hAnsi="Times New Roman Regular" w:cs="Times New Roman Regular"/>
                <w:color w:val="000000"/>
                <w:kern w:val="0"/>
                <w:sz w:val="18"/>
                <w:szCs w:val="18"/>
                <w:lang w:val="en-US" w:eastAsia="zh-CN"/>
              </w:rPr>
              <w:t>优</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4F6D31B1">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x为“优”“良”“中”或“差”</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3FB928C">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lang w:val="en-US" w:eastAsia="zh-CN"/>
              </w:rPr>
            </w:pPr>
            <w:r>
              <w:rPr>
                <w:rFonts w:hint="default" w:ascii="Times New Roman Regular" w:hAnsi="Times New Roman Regular" w:cs="Times New Roman Regular"/>
                <w:color w:val="000000"/>
                <w:kern w:val="0"/>
                <w:sz w:val="18"/>
                <w:szCs w:val="18"/>
                <w:lang w:val="en-US" w:eastAsia="zh-CN"/>
              </w:rPr>
              <w:t>优</w:t>
            </w:r>
          </w:p>
        </w:tc>
      </w:tr>
      <w:tr w14:paraId="524905F1">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254613E">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697F504">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677" w:type="dxa"/>
            <w:tcBorders>
              <w:top w:val="single" w:color="000000" w:sz="4" w:space="0"/>
              <w:left w:val="single" w:color="000000" w:sz="4" w:space="0"/>
              <w:bottom w:val="single" w:color="000000" w:sz="4" w:space="0"/>
              <w:right w:val="single" w:color="000000" w:sz="4" w:space="0"/>
            </w:tcBorders>
            <w:noWrap/>
            <w:vAlign w:val="center"/>
          </w:tcPr>
          <w:p w14:paraId="4D19814D">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资产管理</w:t>
            </w:r>
          </w:p>
        </w:tc>
        <w:tc>
          <w:tcPr>
            <w:tcW w:w="1239" w:type="dxa"/>
            <w:tcBorders>
              <w:top w:val="single" w:color="000000" w:sz="4" w:space="0"/>
              <w:left w:val="single" w:color="000000" w:sz="4" w:space="0"/>
              <w:bottom w:val="single" w:color="000000" w:sz="4" w:space="0"/>
              <w:right w:val="single" w:color="000000" w:sz="4" w:space="0"/>
            </w:tcBorders>
            <w:noWrap/>
            <w:vAlign w:val="center"/>
          </w:tcPr>
          <w:p w14:paraId="53731BE1">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资产配置预算偏离度</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7B7CBB69">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w:t>
            </w:r>
            <w:r>
              <w:rPr>
                <w:rFonts w:hint="default" w:ascii="Times New Roman Regular" w:hAnsi="Times New Roman Regular" w:cs="Times New Roman Regular"/>
                <w:color w:val="000000"/>
                <w:kern w:val="0"/>
                <w:sz w:val="18"/>
                <w:szCs w:val="18"/>
                <w:lang w:val="en-US" w:eastAsia="zh-CN"/>
              </w:rPr>
              <w:t>15</w:t>
            </w:r>
            <w:r>
              <w:rPr>
                <w:rFonts w:hint="default" w:ascii="Times New Roman Regular" w:hAnsi="Times New Roman Regular" w:eastAsia="仿宋_GB2312" w:cs="Times New Roman Regular"/>
                <w:color w:val="000000"/>
                <w:kern w:val="0"/>
                <w:sz w:val="18"/>
                <w:szCs w:val="18"/>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606DFFFB">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cs="Times New Roman Regular"/>
                <w:color w:val="000000"/>
                <w:kern w:val="0"/>
                <w:sz w:val="18"/>
                <w:szCs w:val="18"/>
                <w:lang w:val="en-US" w:eastAsia="zh-CN"/>
              </w:rPr>
              <w:t>15</w:t>
            </w:r>
            <w:r>
              <w:rPr>
                <w:rFonts w:hint="default" w:ascii="Times New Roman Regular" w:hAnsi="Times New Roman Regular" w:eastAsia="仿宋_GB2312" w:cs="Times New Roman Regular"/>
                <w:color w:val="000000"/>
                <w:kern w:val="0"/>
                <w:sz w:val="18"/>
                <w:szCs w:val="18"/>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4E6B44B0">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77078FDA">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281752B9">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5B48C5D">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cs="Times New Roman Regular"/>
                <w:color w:val="000000"/>
                <w:kern w:val="0"/>
                <w:sz w:val="18"/>
                <w:szCs w:val="18"/>
                <w:lang w:val="en-US" w:eastAsia="zh-CN"/>
              </w:rPr>
              <w:t>0%</w:t>
            </w:r>
          </w:p>
        </w:tc>
      </w:tr>
      <w:tr w14:paraId="7FF35DBD">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AE952BA">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D8E89D5">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677" w:type="dxa"/>
            <w:tcBorders>
              <w:top w:val="single" w:color="000000" w:sz="4" w:space="0"/>
              <w:left w:val="single" w:color="000000" w:sz="4" w:space="0"/>
              <w:bottom w:val="single" w:color="000000" w:sz="4" w:space="0"/>
              <w:right w:val="single" w:color="000000" w:sz="4" w:space="0"/>
            </w:tcBorders>
            <w:noWrap/>
            <w:vAlign w:val="center"/>
          </w:tcPr>
          <w:p w14:paraId="62048600">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采购管理</w:t>
            </w:r>
          </w:p>
        </w:tc>
        <w:tc>
          <w:tcPr>
            <w:tcW w:w="1239" w:type="dxa"/>
            <w:tcBorders>
              <w:top w:val="single" w:color="000000" w:sz="4" w:space="0"/>
              <w:left w:val="single" w:color="000000" w:sz="4" w:space="0"/>
              <w:bottom w:val="single" w:color="000000" w:sz="4" w:space="0"/>
              <w:right w:val="single" w:color="000000" w:sz="4" w:space="0"/>
            </w:tcBorders>
            <w:noWrap/>
            <w:vAlign w:val="center"/>
          </w:tcPr>
          <w:p w14:paraId="7185B2EF">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采购执行率</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6EFF5AAD">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w:t>
            </w:r>
            <w:r>
              <w:rPr>
                <w:rFonts w:hint="default" w:ascii="Times New Roman Regular" w:hAnsi="Times New Roman Regular" w:cs="Times New Roman Regular"/>
                <w:color w:val="000000"/>
                <w:kern w:val="0"/>
                <w:sz w:val="18"/>
                <w:szCs w:val="18"/>
                <w:lang w:val="en-US" w:eastAsia="zh-CN"/>
              </w:rPr>
              <w:t>93</w:t>
            </w:r>
            <w:r>
              <w:rPr>
                <w:rFonts w:hint="default" w:ascii="Times New Roman Regular" w:hAnsi="Times New Roman Regular" w:eastAsia="仿宋_GB2312" w:cs="Times New Roman Regular"/>
                <w:color w:val="000000"/>
                <w:kern w:val="0"/>
                <w:sz w:val="18"/>
                <w:szCs w:val="18"/>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40F776BC">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cs="Times New Roman Regular"/>
                <w:color w:val="000000"/>
                <w:kern w:val="0"/>
                <w:sz w:val="18"/>
                <w:szCs w:val="18"/>
                <w:lang w:val="en-US" w:eastAsia="zh-CN"/>
              </w:rPr>
              <w:t>93</w:t>
            </w:r>
            <w:r>
              <w:rPr>
                <w:rFonts w:hint="default" w:ascii="Times New Roman Regular" w:hAnsi="Times New Roman Regular" w:eastAsia="仿宋_GB2312" w:cs="Times New Roman Regular"/>
                <w:color w:val="000000"/>
                <w:kern w:val="0"/>
                <w:sz w:val="18"/>
                <w:szCs w:val="18"/>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4ED342C5">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2E2FFDA8">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6ADF6A58">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EAC5502">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lang w:val="en-US" w:eastAsia="zh-CN"/>
              </w:rPr>
            </w:pPr>
            <w:r>
              <w:rPr>
                <w:rFonts w:hint="default" w:ascii="Times New Roman Regular" w:hAnsi="Times New Roman Regular" w:cs="Times New Roman Regular"/>
                <w:color w:val="000000"/>
                <w:kern w:val="0"/>
                <w:sz w:val="18"/>
                <w:szCs w:val="18"/>
                <w:lang w:val="en-US" w:eastAsia="zh-CN"/>
              </w:rPr>
              <w:t>100%</w:t>
            </w:r>
          </w:p>
        </w:tc>
      </w:tr>
      <w:tr w14:paraId="36E222E7">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4E32A012">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79BC1AEF">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一级指标</w:t>
            </w:r>
          </w:p>
        </w:tc>
        <w:tc>
          <w:tcPr>
            <w:tcW w:w="677" w:type="dxa"/>
            <w:tcBorders>
              <w:top w:val="single" w:color="000000" w:sz="4" w:space="0"/>
              <w:left w:val="single" w:color="000000" w:sz="4" w:space="0"/>
              <w:bottom w:val="single" w:color="000000" w:sz="4" w:space="0"/>
              <w:right w:val="single" w:color="000000" w:sz="4" w:space="0"/>
            </w:tcBorders>
            <w:noWrap/>
            <w:vAlign w:val="center"/>
          </w:tcPr>
          <w:p w14:paraId="2DC90A37">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二级指标</w:t>
            </w:r>
          </w:p>
        </w:tc>
        <w:tc>
          <w:tcPr>
            <w:tcW w:w="1239" w:type="dxa"/>
            <w:tcBorders>
              <w:top w:val="single" w:color="000000" w:sz="4" w:space="0"/>
              <w:left w:val="single" w:color="000000" w:sz="4" w:space="0"/>
              <w:bottom w:val="single" w:color="000000" w:sz="4" w:space="0"/>
              <w:right w:val="single" w:color="000000" w:sz="4" w:space="0"/>
            </w:tcBorders>
            <w:noWrap/>
            <w:vAlign w:val="center"/>
          </w:tcPr>
          <w:p w14:paraId="6518005C">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三级指标</w:t>
            </w:r>
          </w:p>
        </w:tc>
        <w:tc>
          <w:tcPr>
            <w:tcW w:w="4887" w:type="dxa"/>
            <w:gridSpan w:val="5"/>
            <w:tcBorders>
              <w:top w:val="single" w:color="000000" w:sz="4" w:space="0"/>
              <w:left w:val="single" w:color="000000" w:sz="4" w:space="0"/>
              <w:bottom w:val="single" w:color="000000" w:sz="4" w:space="0"/>
              <w:right w:val="single" w:color="000000" w:sz="4" w:space="0"/>
            </w:tcBorders>
            <w:noWrap/>
            <w:vAlign w:val="center"/>
          </w:tcPr>
          <w:p w14:paraId="5D35C046">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CF07034">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r>
      <w:tr w14:paraId="7AE7E2EB">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545645A">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1B3E6A22">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lang w:val="en-US" w:eastAsia="zh-CN"/>
              </w:rPr>
              <w:t>产出指标</w:t>
            </w:r>
          </w:p>
        </w:tc>
        <w:tc>
          <w:tcPr>
            <w:tcW w:w="677" w:type="dxa"/>
            <w:tcBorders>
              <w:top w:val="single" w:color="000000" w:sz="4" w:space="0"/>
              <w:left w:val="single" w:color="000000" w:sz="4" w:space="0"/>
              <w:bottom w:val="single" w:color="000000" w:sz="4" w:space="0"/>
              <w:right w:val="single" w:color="000000" w:sz="4" w:space="0"/>
            </w:tcBorders>
            <w:noWrap/>
            <w:vAlign w:val="center"/>
          </w:tcPr>
          <w:p w14:paraId="150CA5F3">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lang w:val="en-US" w:eastAsia="zh-CN"/>
              </w:rPr>
              <w:t>时效指标</w:t>
            </w:r>
          </w:p>
        </w:tc>
        <w:tc>
          <w:tcPr>
            <w:tcW w:w="1239" w:type="dxa"/>
            <w:tcBorders>
              <w:top w:val="single" w:color="000000" w:sz="4" w:space="0"/>
              <w:left w:val="single" w:color="000000" w:sz="4" w:space="0"/>
              <w:bottom w:val="single" w:color="000000" w:sz="4" w:space="0"/>
              <w:right w:val="single" w:color="000000" w:sz="4" w:space="0"/>
            </w:tcBorders>
            <w:noWrap/>
            <w:vAlign w:val="center"/>
          </w:tcPr>
          <w:p w14:paraId="75CC93E0">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lang w:val="en-US" w:eastAsia="zh-CN"/>
              </w:rPr>
              <w:t>案件结案及时率</w:t>
            </w:r>
          </w:p>
        </w:tc>
        <w:tc>
          <w:tcPr>
            <w:tcW w:w="4887" w:type="dxa"/>
            <w:gridSpan w:val="5"/>
            <w:tcBorders>
              <w:top w:val="single" w:color="000000" w:sz="4" w:space="0"/>
              <w:left w:val="single" w:color="000000" w:sz="4" w:space="0"/>
              <w:bottom w:val="single" w:color="000000" w:sz="4" w:space="0"/>
              <w:right w:val="single" w:color="000000" w:sz="4" w:space="0"/>
            </w:tcBorders>
            <w:noWrap/>
            <w:vAlign w:val="center"/>
          </w:tcPr>
          <w:p w14:paraId="64B60637">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3EDE69C">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lang w:val="en-US" w:eastAsia="zh-CN"/>
              </w:rPr>
            </w:pPr>
            <w:r>
              <w:rPr>
                <w:rFonts w:hint="default" w:ascii="Times New Roman Regular" w:hAnsi="Times New Roman Regular" w:cs="Times New Roman Regular"/>
                <w:color w:val="000000"/>
                <w:kern w:val="0"/>
                <w:sz w:val="18"/>
                <w:szCs w:val="18"/>
                <w:lang w:val="en-US" w:eastAsia="zh-CN"/>
              </w:rPr>
              <w:t>100%</w:t>
            </w:r>
          </w:p>
        </w:tc>
      </w:tr>
      <w:tr w14:paraId="655756FC">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58017B8">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360463F4">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lang w:val="en-US" w:eastAsia="zh-CN"/>
              </w:rPr>
              <w:t>产出指标</w:t>
            </w:r>
          </w:p>
        </w:tc>
        <w:tc>
          <w:tcPr>
            <w:tcW w:w="677" w:type="dxa"/>
            <w:tcBorders>
              <w:top w:val="single" w:color="000000" w:sz="4" w:space="0"/>
              <w:left w:val="single" w:color="000000" w:sz="4" w:space="0"/>
              <w:bottom w:val="single" w:color="000000" w:sz="4" w:space="0"/>
              <w:right w:val="single" w:color="000000" w:sz="4" w:space="0"/>
            </w:tcBorders>
            <w:noWrap/>
            <w:vAlign w:val="center"/>
          </w:tcPr>
          <w:p w14:paraId="3B6F5091">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lang w:val="en-US" w:eastAsia="zh-CN"/>
              </w:rPr>
              <w:t>数量指标</w:t>
            </w:r>
          </w:p>
        </w:tc>
        <w:tc>
          <w:tcPr>
            <w:tcW w:w="1239" w:type="dxa"/>
            <w:tcBorders>
              <w:top w:val="single" w:color="000000" w:sz="4" w:space="0"/>
              <w:left w:val="single" w:color="000000" w:sz="4" w:space="0"/>
              <w:bottom w:val="single" w:color="000000" w:sz="4" w:space="0"/>
              <w:right w:val="single" w:color="000000" w:sz="4" w:space="0"/>
            </w:tcBorders>
            <w:noWrap/>
            <w:vAlign w:val="center"/>
          </w:tcPr>
          <w:p w14:paraId="47777C55">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lang w:val="en-US" w:eastAsia="zh-CN"/>
              </w:rPr>
              <w:t>受理案数</w:t>
            </w:r>
          </w:p>
        </w:tc>
        <w:tc>
          <w:tcPr>
            <w:tcW w:w="4887" w:type="dxa"/>
            <w:gridSpan w:val="5"/>
            <w:tcBorders>
              <w:top w:val="single" w:color="000000" w:sz="4" w:space="0"/>
              <w:left w:val="single" w:color="000000" w:sz="4" w:space="0"/>
              <w:bottom w:val="single" w:color="000000" w:sz="4" w:space="0"/>
              <w:right w:val="single" w:color="000000" w:sz="4" w:space="0"/>
            </w:tcBorders>
            <w:noWrap/>
            <w:vAlign w:val="center"/>
          </w:tcPr>
          <w:p w14:paraId="44FA3AF7">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lang w:val="en-US" w:eastAsia="zh-CN"/>
              </w:rPr>
              <w:t>≥300个</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440DCB4">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lang w:val="en-US" w:eastAsia="zh-CN"/>
              </w:rPr>
            </w:pPr>
            <w:r>
              <w:rPr>
                <w:rFonts w:hint="default" w:ascii="Times New Roman Regular" w:hAnsi="Times New Roman Regular" w:cs="Times New Roman Regular"/>
                <w:color w:val="000000"/>
                <w:kern w:val="0"/>
                <w:sz w:val="18"/>
                <w:szCs w:val="18"/>
                <w:lang w:val="en-US" w:eastAsia="zh-CN"/>
              </w:rPr>
              <w:t>444个</w:t>
            </w:r>
          </w:p>
        </w:tc>
      </w:tr>
      <w:tr w14:paraId="24B62C8F">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07B2852">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1A84CFEB">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lang w:val="en-US" w:eastAsia="zh-CN"/>
              </w:rPr>
              <w:t>产出指标</w:t>
            </w:r>
          </w:p>
        </w:tc>
        <w:tc>
          <w:tcPr>
            <w:tcW w:w="677" w:type="dxa"/>
            <w:tcBorders>
              <w:top w:val="single" w:color="000000" w:sz="4" w:space="0"/>
              <w:left w:val="single" w:color="000000" w:sz="4" w:space="0"/>
              <w:bottom w:val="single" w:color="000000" w:sz="4" w:space="0"/>
              <w:right w:val="single" w:color="000000" w:sz="4" w:space="0"/>
            </w:tcBorders>
            <w:noWrap/>
            <w:vAlign w:val="center"/>
          </w:tcPr>
          <w:p w14:paraId="67E199C5">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lang w:val="en-US" w:eastAsia="zh-CN"/>
              </w:rPr>
              <w:t>质量指标</w:t>
            </w:r>
          </w:p>
        </w:tc>
        <w:tc>
          <w:tcPr>
            <w:tcW w:w="1239" w:type="dxa"/>
            <w:tcBorders>
              <w:top w:val="single" w:color="000000" w:sz="4" w:space="0"/>
              <w:left w:val="single" w:color="000000" w:sz="4" w:space="0"/>
              <w:bottom w:val="single" w:color="000000" w:sz="4" w:space="0"/>
              <w:right w:val="single" w:color="000000" w:sz="4" w:space="0"/>
            </w:tcBorders>
            <w:noWrap/>
            <w:vAlign w:val="center"/>
          </w:tcPr>
          <w:p w14:paraId="6A0E91AD">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lang w:val="en-US" w:eastAsia="zh-CN"/>
              </w:rPr>
              <w:t>均衡结案率</w:t>
            </w:r>
          </w:p>
        </w:tc>
        <w:tc>
          <w:tcPr>
            <w:tcW w:w="4887" w:type="dxa"/>
            <w:gridSpan w:val="5"/>
            <w:tcBorders>
              <w:top w:val="single" w:color="000000" w:sz="4" w:space="0"/>
              <w:left w:val="single" w:color="000000" w:sz="4" w:space="0"/>
              <w:bottom w:val="single" w:color="000000" w:sz="4" w:space="0"/>
              <w:right w:val="single" w:color="000000" w:sz="4" w:space="0"/>
            </w:tcBorders>
            <w:noWrap/>
            <w:vAlign w:val="center"/>
          </w:tcPr>
          <w:p w14:paraId="011110CE">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lang w:val="en-US" w:eastAsia="zh-CN"/>
              </w:rPr>
              <w:t>≥80%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C566663">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rPr>
              <w:t>97.78%</w:t>
            </w:r>
          </w:p>
        </w:tc>
      </w:tr>
      <w:tr w14:paraId="144E5F8D">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C571B0D">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56A70D7E">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lang w:val="en-US" w:eastAsia="zh-CN"/>
              </w:rPr>
              <w:t>效益指标</w:t>
            </w:r>
          </w:p>
        </w:tc>
        <w:tc>
          <w:tcPr>
            <w:tcW w:w="677" w:type="dxa"/>
            <w:tcBorders>
              <w:top w:val="single" w:color="000000" w:sz="4" w:space="0"/>
              <w:left w:val="single" w:color="000000" w:sz="4" w:space="0"/>
              <w:bottom w:val="single" w:color="000000" w:sz="4" w:space="0"/>
              <w:right w:val="single" w:color="000000" w:sz="4" w:space="0"/>
            </w:tcBorders>
            <w:noWrap/>
            <w:vAlign w:val="center"/>
          </w:tcPr>
          <w:p w14:paraId="43D91D78">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lang w:val="en-US" w:eastAsia="zh-CN"/>
              </w:rPr>
              <w:t>社会效益指标</w:t>
            </w:r>
          </w:p>
        </w:tc>
        <w:tc>
          <w:tcPr>
            <w:tcW w:w="1239" w:type="dxa"/>
            <w:tcBorders>
              <w:top w:val="single" w:color="000000" w:sz="4" w:space="0"/>
              <w:left w:val="single" w:color="000000" w:sz="4" w:space="0"/>
              <w:bottom w:val="single" w:color="000000" w:sz="4" w:space="0"/>
              <w:right w:val="single" w:color="000000" w:sz="4" w:space="0"/>
            </w:tcBorders>
            <w:noWrap/>
            <w:vAlign w:val="center"/>
          </w:tcPr>
          <w:p w14:paraId="07A9C9EE">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lang w:val="en-US" w:eastAsia="zh-CN"/>
              </w:rPr>
              <w:t>保障司法审判公平公正</w:t>
            </w:r>
          </w:p>
        </w:tc>
        <w:tc>
          <w:tcPr>
            <w:tcW w:w="4887" w:type="dxa"/>
            <w:gridSpan w:val="5"/>
            <w:tcBorders>
              <w:top w:val="single" w:color="000000" w:sz="4" w:space="0"/>
              <w:left w:val="single" w:color="000000" w:sz="4" w:space="0"/>
              <w:bottom w:val="single" w:color="000000" w:sz="4" w:space="0"/>
              <w:right w:val="single" w:color="000000" w:sz="4" w:space="0"/>
            </w:tcBorders>
            <w:noWrap/>
            <w:vAlign w:val="center"/>
          </w:tcPr>
          <w:p w14:paraId="5FE92B24">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lang w:val="en-US" w:eastAsia="zh-CN"/>
              </w:rPr>
              <w:t>定性有效保障</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2E4E502">
            <w:pPr>
              <w:widowControl/>
              <w:spacing w:line="240" w:lineRule="exact"/>
              <w:jc w:val="center"/>
              <w:textAlignment w:val="center"/>
              <w:rPr>
                <w:rFonts w:hint="default" w:ascii="Times New Roman Regular" w:hAnsi="Times New Roman Regular" w:eastAsia="仿宋_GB2312" w:cs="Times New Roman Regular"/>
                <w:color w:val="000000"/>
                <w:kern w:val="0"/>
                <w:sz w:val="18"/>
                <w:szCs w:val="18"/>
              </w:rPr>
            </w:pPr>
            <w:r>
              <w:rPr>
                <w:rFonts w:hint="default" w:ascii="Times New Roman Regular" w:hAnsi="Times New Roman Regular" w:eastAsia="仿宋_GB2312" w:cs="Times New Roman Regular"/>
                <w:color w:val="000000"/>
                <w:kern w:val="0"/>
                <w:sz w:val="18"/>
                <w:szCs w:val="18"/>
                <w:lang w:val="en-US" w:eastAsia="zh-CN"/>
              </w:rPr>
              <w:t>有效保障</w:t>
            </w:r>
          </w:p>
        </w:tc>
      </w:tr>
    </w:tbl>
    <w:p w14:paraId="7539D716">
      <w:pPr>
        <w:pStyle w:val="14"/>
        <w:ind w:left="0" w:leftChars="0" w:firstLine="0" w:firstLineChars="0"/>
        <w:rPr>
          <w:rFonts w:hint="default" w:ascii="Times New Roman Regular" w:hAnsi="Times New Roman Regular" w:eastAsia="黑体" w:cs="Times New Roman Regular"/>
          <w:sz w:val="24"/>
          <w:szCs w:val="24"/>
        </w:rPr>
      </w:pPr>
    </w:p>
    <w:p w14:paraId="149430FB">
      <w:pPr>
        <w:pStyle w:val="14"/>
        <w:ind w:left="0" w:leftChars="0" w:firstLine="0" w:firstLineChars="0"/>
        <w:rPr>
          <w:rFonts w:hint="eastAsia" w:ascii="仿宋_GB2312" w:eastAsia="仿宋_GB2312"/>
          <w:sz w:val="32"/>
          <w:szCs w:val="32"/>
        </w:rPr>
      </w:pPr>
    </w:p>
    <w:p w14:paraId="1CBBB507">
      <w:pPr>
        <w:pStyle w:val="14"/>
      </w:pPr>
    </w:p>
    <w:p w14:paraId="77DE6ED2">
      <w:pPr>
        <w:pStyle w:val="3"/>
        <w:ind w:firstLine="883" w:firstLineChars="200"/>
        <w:jc w:val="center"/>
        <w:rPr>
          <w:rFonts w:ascii="黑体" w:hAnsi="黑体" w:eastAsia="黑体"/>
        </w:rPr>
      </w:pPr>
      <w:bookmarkStart w:id="99" w:name="_Toc1287199098_WPSOffice_Level1"/>
      <w:bookmarkStart w:id="100" w:name="_Toc1419780537_WPSOffice_Level1"/>
      <w:bookmarkStart w:id="101" w:name="_Toc24418"/>
      <w:bookmarkStart w:id="115" w:name="_GoBack"/>
      <w:bookmarkEnd w:id="115"/>
      <w:r>
        <w:rPr>
          <w:rFonts w:hint="eastAsia" w:ascii="黑体" w:hAnsi="黑体" w:eastAsia="黑体"/>
        </w:rPr>
        <w:t>第五部分 附表</w:t>
      </w:r>
      <w:bookmarkEnd w:id="99"/>
      <w:bookmarkEnd w:id="100"/>
      <w:bookmarkEnd w:id="101"/>
    </w:p>
    <w:p w14:paraId="6F35F3A8">
      <w:pPr>
        <w:ind w:firstLine="640" w:firstLineChars="200"/>
        <w:rPr>
          <w:rFonts w:ascii="仿宋" w:hAnsi="仿宋" w:eastAsia="仿宋"/>
          <w:sz w:val="32"/>
          <w:szCs w:val="32"/>
        </w:rPr>
      </w:pPr>
      <w:bookmarkStart w:id="102" w:name="_Toc1977637792_WPSOffice_Level2"/>
      <w:r>
        <w:rPr>
          <w:rFonts w:hint="eastAsia" w:ascii="仿宋" w:hAnsi="仿宋" w:eastAsia="仿宋"/>
          <w:sz w:val="32"/>
          <w:szCs w:val="32"/>
        </w:rPr>
        <w:t>一、收入支出决算总表</w:t>
      </w:r>
      <w:bookmarkEnd w:id="102"/>
    </w:p>
    <w:p w14:paraId="14E9D2B2">
      <w:pPr>
        <w:ind w:firstLine="640" w:firstLineChars="200"/>
        <w:rPr>
          <w:rFonts w:ascii="仿宋" w:hAnsi="仿宋" w:eastAsia="仿宋"/>
          <w:sz w:val="32"/>
          <w:szCs w:val="32"/>
        </w:rPr>
      </w:pPr>
      <w:bookmarkStart w:id="103" w:name="_Toc237341464_WPSOffice_Level2"/>
      <w:r>
        <w:rPr>
          <w:rFonts w:hint="eastAsia" w:ascii="仿宋" w:hAnsi="仿宋" w:eastAsia="仿宋"/>
          <w:sz w:val="32"/>
          <w:szCs w:val="32"/>
        </w:rPr>
        <w:t>二、收入决算表</w:t>
      </w:r>
      <w:bookmarkEnd w:id="103"/>
    </w:p>
    <w:p w14:paraId="319BBC1F">
      <w:pPr>
        <w:ind w:firstLine="640" w:firstLineChars="200"/>
        <w:rPr>
          <w:rFonts w:ascii="仿宋" w:hAnsi="仿宋" w:eastAsia="仿宋"/>
          <w:sz w:val="32"/>
          <w:szCs w:val="32"/>
        </w:rPr>
      </w:pPr>
      <w:bookmarkStart w:id="104" w:name="_Toc379802590_WPSOffice_Level2"/>
      <w:r>
        <w:rPr>
          <w:rFonts w:hint="eastAsia" w:ascii="仿宋" w:hAnsi="仿宋" w:eastAsia="仿宋"/>
          <w:sz w:val="32"/>
          <w:szCs w:val="32"/>
        </w:rPr>
        <w:t>三、支出决算表</w:t>
      </w:r>
      <w:bookmarkEnd w:id="104"/>
    </w:p>
    <w:p w14:paraId="2F9B46DF">
      <w:pPr>
        <w:ind w:firstLine="640" w:firstLineChars="200"/>
        <w:rPr>
          <w:rFonts w:ascii="仿宋" w:hAnsi="仿宋" w:eastAsia="仿宋"/>
          <w:sz w:val="32"/>
          <w:szCs w:val="32"/>
        </w:rPr>
      </w:pPr>
      <w:bookmarkStart w:id="105" w:name="_Toc1440614943_WPSOffice_Level2"/>
      <w:r>
        <w:rPr>
          <w:rFonts w:hint="eastAsia" w:ascii="仿宋" w:hAnsi="仿宋" w:eastAsia="仿宋"/>
          <w:sz w:val="32"/>
          <w:szCs w:val="32"/>
        </w:rPr>
        <w:t>四、财政拨款收入支出决算总表</w:t>
      </w:r>
      <w:bookmarkEnd w:id="105"/>
    </w:p>
    <w:p w14:paraId="5F0EDF64">
      <w:pPr>
        <w:ind w:firstLine="640" w:firstLineChars="200"/>
        <w:rPr>
          <w:rFonts w:ascii="仿宋" w:hAnsi="仿宋" w:eastAsia="仿宋"/>
          <w:sz w:val="32"/>
          <w:szCs w:val="32"/>
        </w:rPr>
      </w:pPr>
      <w:bookmarkStart w:id="106" w:name="_Toc1944882244_WPSOffice_Level2"/>
      <w:r>
        <w:rPr>
          <w:rFonts w:hint="eastAsia" w:ascii="仿宋" w:hAnsi="仿宋" w:eastAsia="仿宋"/>
          <w:sz w:val="32"/>
          <w:szCs w:val="32"/>
        </w:rPr>
        <w:t>五、财政拨款支出决算明细表</w:t>
      </w:r>
      <w:bookmarkEnd w:id="106"/>
    </w:p>
    <w:p w14:paraId="170E73BC">
      <w:pPr>
        <w:ind w:firstLine="640" w:firstLineChars="200"/>
        <w:rPr>
          <w:rFonts w:ascii="仿宋" w:hAnsi="仿宋" w:eastAsia="仿宋"/>
          <w:sz w:val="32"/>
          <w:szCs w:val="32"/>
        </w:rPr>
      </w:pPr>
      <w:bookmarkStart w:id="107" w:name="_Toc452773136_WPSOffice_Level2"/>
      <w:r>
        <w:rPr>
          <w:rFonts w:hint="eastAsia" w:ascii="仿宋" w:hAnsi="仿宋" w:eastAsia="仿宋"/>
          <w:sz w:val="32"/>
          <w:szCs w:val="32"/>
        </w:rPr>
        <w:t>六、一般公共预算财政拨款支出决算表</w:t>
      </w:r>
      <w:bookmarkEnd w:id="107"/>
    </w:p>
    <w:p w14:paraId="23C9AF3E">
      <w:pPr>
        <w:ind w:firstLine="640" w:firstLineChars="200"/>
        <w:rPr>
          <w:rFonts w:ascii="仿宋" w:hAnsi="仿宋" w:eastAsia="仿宋"/>
          <w:sz w:val="32"/>
          <w:szCs w:val="32"/>
        </w:rPr>
      </w:pPr>
      <w:bookmarkStart w:id="108" w:name="_Toc921175558_WPSOffice_Level2"/>
      <w:r>
        <w:rPr>
          <w:rFonts w:hint="eastAsia" w:ascii="仿宋" w:hAnsi="仿宋" w:eastAsia="仿宋"/>
          <w:sz w:val="32"/>
          <w:szCs w:val="32"/>
        </w:rPr>
        <w:t>七、一般公共预算财政拨款支出决算明细表</w:t>
      </w:r>
      <w:bookmarkEnd w:id="108"/>
    </w:p>
    <w:p w14:paraId="51666D48">
      <w:pPr>
        <w:ind w:firstLine="640" w:firstLineChars="200"/>
        <w:rPr>
          <w:rFonts w:ascii="仿宋" w:hAnsi="仿宋" w:eastAsia="仿宋"/>
          <w:sz w:val="32"/>
          <w:szCs w:val="32"/>
        </w:rPr>
      </w:pPr>
      <w:bookmarkStart w:id="109" w:name="_Toc2104226633_WPSOffice_Level2"/>
      <w:r>
        <w:rPr>
          <w:rFonts w:hint="eastAsia" w:ascii="仿宋" w:hAnsi="仿宋" w:eastAsia="仿宋"/>
          <w:sz w:val="32"/>
          <w:szCs w:val="32"/>
        </w:rPr>
        <w:t>八、一般公共预算财政拨款基本支出决算表</w:t>
      </w:r>
      <w:bookmarkEnd w:id="109"/>
    </w:p>
    <w:p w14:paraId="2194CFDB">
      <w:pPr>
        <w:ind w:firstLine="640" w:firstLineChars="200"/>
        <w:rPr>
          <w:rFonts w:ascii="仿宋" w:hAnsi="仿宋" w:eastAsia="仿宋"/>
          <w:sz w:val="32"/>
          <w:szCs w:val="32"/>
        </w:rPr>
      </w:pPr>
      <w:bookmarkStart w:id="110" w:name="_Toc734676255_WPSOffice_Level2"/>
      <w:r>
        <w:rPr>
          <w:rFonts w:hint="eastAsia" w:ascii="仿宋" w:hAnsi="仿宋" w:eastAsia="仿宋"/>
          <w:sz w:val="32"/>
          <w:szCs w:val="32"/>
        </w:rPr>
        <w:t>九、一般公共预算财政拨款项目支出决算表</w:t>
      </w:r>
      <w:bookmarkEnd w:id="110"/>
    </w:p>
    <w:p w14:paraId="689E7B25">
      <w:pPr>
        <w:ind w:firstLine="640" w:firstLineChars="200"/>
        <w:rPr>
          <w:rFonts w:ascii="仿宋" w:hAnsi="仿宋" w:eastAsia="仿宋"/>
          <w:sz w:val="32"/>
          <w:szCs w:val="32"/>
        </w:rPr>
      </w:pPr>
      <w:bookmarkStart w:id="111" w:name="_Toc1175830543_WPSOffice_Level2"/>
      <w:r>
        <w:rPr>
          <w:rFonts w:hint="eastAsia" w:ascii="仿宋" w:hAnsi="仿宋" w:eastAsia="仿宋"/>
          <w:sz w:val="32"/>
          <w:szCs w:val="32"/>
        </w:rPr>
        <w:t>十、政府性基金预算财政拨款收入支出决算表</w:t>
      </w:r>
      <w:bookmarkEnd w:id="111"/>
    </w:p>
    <w:p w14:paraId="495AD018">
      <w:pPr>
        <w:ind w:firstLine="640" w:firstLineChars="200"/>
        <w:rPr>
          <w:rFonts w:ascii="仿宋" w:hAnsi="仿宋" w:eastAsia="仿宋"/>
          <w:sz w:val="32"/>
          <w:szCs w:val="32"/>
        </w:rPr>
      </w:pPr>
      <w:bookmarkStart w:id="112" w:name="_Toc2084071701_WPSOffice_Level2"/>
      <w:r>
        <w:rPr>
          <w:rFonts w:hint="eastAsia" w:ascii="仿宋" w:hAnsi="仿宋" w:eastAsia="仿宋"/>
          <w:sz w:val="32"/>
          <w:szCs w:val="32"/>
        </w:rPr>
        <w:t>十一、国有资本经营预算财政拨款收入支出决算表</w:t>
      </w:r>
      <w:bookmarkEnd w:id="112"/>
    </w:p>
    <w:p w14:paraId="1E730FA7">
      <w:pPr>
        <w:ind w:firstLine="640" w:firstLineChars="200"/>
        <w:rPr>
          <w:rFonts w:ascii="仿宋" w:hAnsi="仿宋" w:eastAsia="仿宋"/>
          <w:sz w:val="32"/>
          <w:szCs w:val="32"/>
        </w:rPr>
      </w:pPr>
      <w:bookmarkStart w:id="113" w:name="_Toc581898634_WPSOffice_Level2"/>
      <w:r>
        <w:rPr>
          <w:rFonts w:hint="eastAsia" w:ascii="仿宋" w:hAnsi="仿宋" w:eastAsia="仿宋"/>
          <w:sz w:val="32"/>
          <w:szCs w:val="32"/>
        </w:rPr>
        <w:t>十二、国有资本经营预算财政拨款支出决算表</w:t>
      </w:r>
      <w:bookmarkEnd w:id="113"/>
    </w:p>
    <w:p w14:paraId="281090A4">
      <w:pPr>
        <w:ind w:firstLine="640" w:firstLineChars="200"/>
        <w:rPr>
          <w:rFonts w:ascii="仿宋" w:hAnsi="仿宋" w:eastAsia="仿宋"/>
          <w:sz w:val="32"/>
          <w:szCs w:val="32"/>
        </w:rPr>
      </w:pPr>
      <w:bookmarkStart w:id="114" w:name="_Toc516077599_WPSOffice_Level2"/>
      <w:r>
        <w:rPr>
          <w:rFonts w:hint="eastAsia" w:ascii="仿宋" w:hAnsi="仿宋" w:eastAsia="仿宋"/>
          <w:sz w:val="32"/>
          <w:szCs w:val="32"/>
        </w:rPr>
        <w:t>十三、财政拨款“三公”经费支出决算表</w:t>
      </w:r>
      <w:bookmarkEnd w:id="114"/>
    </w:p>
    <w:p w14:paraId="5BF3110E"/>
    <w:sectPr>
      <w:headerReference r:id="rId3" w:type="default"/>
      <w:footerReference r:id="rId4" w:type="default"/>
      <w:pgSz w:w="11906" w:h="16838"/>
      <w:pgMar w:top="1440" w:right="1689" w:bottom="1440" w:left="1689"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5BA5A08-F98F-46F1-8C9D-9BA352165D6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embedRegular r:id="rId2" w:fontKey="{121B8148-1411-4B1F-ACE5-7AFDC1418219}"/>
  </w:font>
  <w:font w:name="Cambria">
    <w:altName w:val="DejaVu Math TeX Gyre"/>
    <w:panose1 w:val="02040503050406030204"/>
    <w:charset w:val="00"/>
    <w:family w:val="roman"/>
    <w:pitch w:val="default"/>
    <w:sig w:usb0="00000000" w:usb1="00000000" w:usb2="00000000" w:usb3="00000000" w:csb0="2000019F" w:csb1="00000000"/>
    <w:embedRegular r:id="rId3" w:fontKey="{EF3C4A22-DFDE-49E6-9E3C-D49ED95F9706}"/>
  </w:font>
  <w:font w:name="楷体_GB2312">
    <w:panose1 w:val="02010609030101010101"/>
    <w:charset w:val="86"/>
    <w:family w:val="modern"/>
    <w:pitch w:val="default"/>
    <w:sig w:usb0="00000001" w:usb1="080E0000" w:usb2="00000000" w:usb3="00000000" w:csb0="00040000" w:csb1="00000000"/>
    <w:embedRegular r:id="rId4" w:fontKey="{9845C215-6BBF-4D14-B211-1FB64229CE0E}"/>
  </w:font>
  <w:font w:name="仿宋_GB2312">
    <w:panose1 w:val="02010609030101010101"/>
    <w:charset w:val="86"/>
    <w:family w:val="modern"/>
    <w:pitch w:val="default"/>
    <w:sig w:usb0="00000001" w:usb1="080E0000" w:usb2="00000000" w:usb3="00000000" w:csb0="00040000" w:csb1="00000000"/>
    <w:embedRegular r:id="rId5" w:fontKey="{F40DC614-2C1A-4793-808B-682631A12155}"/>
  </w:font>
  <w:font w:name="仿宋">
    <w:panose1 w:val="02010609060101010101"/>
    <w:charset w:val="86"/>
    <w:family w:val="modern"/>
    <w:pitch w:val="default"/>
    <w:sig w:usb0="800002BF" w:usb1="38CF7CFA" w:usb2="00000016" w:usb3="00000000" w:csb0="00040001" w:csb1="00000000"/>
    <w:embedRegular r:id="rId6" w:fontKey="{64B0F802-0BB8-4BF0-A4A6-08E8CB7EEE90}"/>
  </w:font>
  <w:font w:name="Liberation Sans">
    <w:altName w:val="Segoe Print"/>
    <w:panose1 w:val="020B0604020202020204"/>
    <w:charset w:val="00"/>
    <w:family w:val="swiss"/>
    <w:pitch w:val="default"/>
    <w:sig w:usb0="00000000" w:usb1="00000000" w:usb2="00000000" w:usb3="00000000" w:csb0="6000009F" w:csb1="DFD70000"/>
  </w:font>
  <w:font w:name="Noto Sans CJK SC Regular">
    <w:altName w:val="宋体"/>
    <w:panose1 w:val="020B0500000000000000"/>
    <w:charset w:val="86"/>
    <w:family w:val="auto"/>
    <w:pitch w:val="default"/>
    <w:sig w:usb0="00000000" w:usb1="00000000" w:usb2="00000016" w:usb3="00000000" w:csb0="602E0107" w:csb1="00000000"/>
  </w:font>
  <w:font w:name="??">
    <w:altName w:val="方正公文小标宋"/>
    <w:panose1 w:val="00000000000000000000"/>
    <w:charset w:val="00"/>
    <w:family w:val="roman"/>
    <w:pitch w:val="default"/>
    <w:sig w:usb0="00000000" w:usb1="00000000" w:usb2="00000000" w:usb3="00000000" w:csb0="00040001" w:csb1="00000000"/>
  </w:font>
  <w:font w:name="方正小标宋简体">
    <w:panose1 w:val="02000000000000000000"/>
    <w:charset w:val="86"/>
    <w:family w:val="script"/>
    <w:pitch w:val="default"/>
    <w:sig w:usb0="00000001" w:usb1="08000000" w:usb2="00000000" w:usb3="00000000" w:csb0="00040000" w:csb1="00000000"/>
    <w:embedRegular r:id="rId7" w:fontKey="{89F376F4-8BF9-4255-961E-C0DF7755D0F7}"/>
  </w:font>
  <w:font w:name="Times New Roman Regular">
    <w:altName w:val="Times New Roman"/>
    <w:panose1 w:val="02020503050405090304"/>
    <w:charset w:val="00"/>
    <w:family w:val="auto"/>
    <w:pitch w:val="default"/>
    <w:sig w:usb0="00000000" w:usb1="00000000" w:usb2="00000001" w:usb3="00000000" w:csb0="400001BF" w:csb1="DFF70000"/>
    <w:embedRegular r:id="rId8" w:fontKey="{2B42AF45-4311-4151-97DC-96CDB60C4808}"/>
  </w:font>
  <w:font w:name="Segoe UI">
    <w:panose1 w:val="020B0502040204020203"/>
    <w:charset w:val="00"/>
    <w:family w:val="auto"/>
    <w:pitch w:val="default"/>
    <w:sig w:usb0="E4002EFF" w:usb1="C000E47F" w:usb2="00000009" w:usb3="00000000" w:csb0="200001FF" w:csb1="00000000"/>
  </w:font>
  <w:font w:name="DejaVu Math TeX Gyre">
    <w:panose1 w:val="02000503000000000000"/>
    <w:charset w:val="00"/>
    <w:family w:val="auto"/>
    <w:pitch w:val="default"/>
    <w:sig w:usb0="A10000EF" w:usb1="4201F9EE" w:usb2="02000000" w:usb3="00000000" w:csb0="60000193" w:csb1="0DD4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 w:name="方正公文小标宋">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C5E71">
    <w:pPr>
      <w:pStyle w:val="9"/>
      <w:jc w:val="center"/>
    </w:pPr>
    <w:r>
      <w:fldChar w:fldCharType="begin"/>
    </w:r>
    <w:r>
      <w:instrText xml:space="preserve">PAGE   \* MERGEFORMAT</w:instrText>
    </w:r>
    <w:r>
      <w:fldChar w:fldCharType="separate"/>
    </w:r>
    <w:r>
      <w:rPr>
        <w:lang w:val="zh-CN"/>
      </w:rPr>
      <w:t>23</w:t>
    </w:r>
    <w:r>
      <w:fldChar w:fldCharType="end"/>
    </w:r>
  </w:p>
  <w:p w14:paraId="286BC171">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9B829">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8E0D83"/>
    <w:multiLevelType w:val="singleLevel"/>
    <w:tmpl w:val="C88E0D83"/>
    <w:lvl w:ilvl="0" w:tentative="0">
      <w:start w:val="3"/>
      <w:numFmt w:val="decimal"/>
      <w:suff w:val="nothing"/>
      <w:lvlText w:val="（%1）"/>
      <w:lvlJc w:val="left"/>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7CEF50BF"/>
    <w:multiLevelType w:val="singleLevel"/>
    <w:tmpl w:val="7CEF50BF"/>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
  <w:displayHorizontalDrawingGridEvery w:val="1"/>
  <w:displayVerticalDrawingGridEvery w:val="1"/>
  <w:doNotUseMarginsForDrawingGridOrigin w:val="1"/>
  <w:drawingGridHorizontalOrigin w:val="0"/>
  <w:drawingGridVerticalOrigin w:val="0"/>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I0YWEzZTk2YjBmZTIxZWFjZDhkYmQzMjcyNGQzM2IifQ=="/>
  </w:docVars>
  <w:rsids>
    <w:rsidRoot w:val="00000000"/>
    <w:rsid w:val="0DA639AF"/>
    <w:rsid w:val="0EC21FC9"/>
    <w:rsid w:val="17FFDBDB"/>
    <w:rsid w:val="1FC57DA2"/>
    <w:rsid w:val="316B5A2E"/>
    <w:rsid w:val="34DE0DEA"/>
    <w:rsid w:val="352B031E"/>
    <w:rsid w:val="3557675E"/>
    <w:rsid w:val="39F3C3B4"/>
    <w:rsid w:val="3DF5157A"/>
    <w:rsid w:val="46E06BB4"/>
    <w:rsid w:val="481F1F40"/>
    <w:rsid w:val="4CFD9627"/>
    <w:rsid w:val="4EFD6E91"/>
    <w:rsid w:val="51467BBD"/>
    <w:rsid w:val="57144872"/>
    <w:rsid w:val="6BF61D7F"/>
    <w:rsid w:val="6EF71E4E"/>
    <w:rsid w:val="7C2FB154"/>
    <w:rsid w:val="7C8301BE"/>
    <w:rsid w:val="7EEB42FA"/>
    <w:rsid w:val="7EEFF4AB"/>
    <w:rsid w:val="7F2658F4"/>
    <w:rsid w:val="7FA54210"/>
    <w:rsid w:val="9DD0FA4C"/>
    <w:rsid w:val="B7DFB19A"/>
    <w:rsid w:val="BF1F3A44"/>
    <w:rsid w:val="C657D7F4"/>
    <w:rsid w:val="C8DF9864"/>
    <w:rsid w:val="D2F3DCB8"/>
    <w:rsid w:val="D7FC87C0"/>
    <w:rsid w:val="D7FF11C5"/>
    <w:rsid w:val="E7B7943D"/>
    <w:rsid w:val="EEEF8679"/>
    <w:rsid w:val="EFFF3BE1"/>
    <w:rsid w:val="F7771F90"/>
    <w:rsid w:val="F7BF8C96"/>
    <w:rsid w:val="F9AFFC57"/>
    <w:rsid w:val="FABF14D1"/>
    <w:rsid w:val="FCF76865"/>
    <w:rsid w:val="FD7FD240"/>
    <w:rsid w:val="FDADD050"/>
    <w:rsid w:val="FDDF9479"/>
    <w:rsid w:val="FDFF66A2"/>
    <w:rsid w:val="FEB71AB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3">
    <w:name w:val="heading 1"/>
    <w:basedOn w:val="1"/>
    <w:next w:val="1"/>
    <w:link w:val="24"/>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3"/>
    <w:unhideWhenUsed/>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5">
    <w:name w:val="heading 3"/>
    <w:basedOn w:val="1"/>
    <w:next w:val="1"/>
    <w:unhideWhenUsed/>
    <w:qFormat/>
    <w:uiPriority w:val="0"/>
    <w:pPr>
      <w:keepNext/>
      <w:keepLines/>
      <w:spacing w:line="578" w:lineRule="exact"/>
      <w:outlineLvl w:val="2"/>
    </w:pPr>
    <w:rPr>
      <w:rFonts w:eastAsia="楷体_GB2312"/>
    </w:rPr>
  </w:style>
  <w:style w:type="character" w:default="1" w:styleId="19">
    <w:name w:val="Default Paragraph Font"/>
    <w:qFormat/>
    <w:uiPriority w:val="0"/>
  </w:style>
  <w:style w:type="table" w:default="1" w:styleId="17">
    <w:name w:val="Normal Table"/>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caption"/>
    <w:basedOn w:val="1"/>
    <w:qFormat/>
    <w:uiPriority w:val="0"/>
    <w:pPr>
      <w:widowControl w:val="0"/>
      <w:suppressLineNumbers/>
      <w:suppressAutoHyphens/>
      <w:spacing w:before="120" w:after="120"/>
    </w:pPr>
    <w:rPr>
      <w:i/>
      <w:iCs/>
      <w:sz w:val="24"/>
      <w:szCs w:val="24"/>
    </w:rPr>
  </w:style>
  <w:style w:type="paragraph" w:styleId="7">
    <w:name w:val="Body Text"/>
    <w:basedOn w:val="1"/>
    <w:qFormat/>
    <w:uiPriority w:val="0"/>
    <w:pPr>
      <w:spacing w:before="0" w:after="140" w:line="276" w:lineRule="auto"/>
    </w:pPr>
  </w:style>
  <w:style w:type="paragraph" w:styleId="8">
    <w:name w:val="Body Text Indent"/>
    <w:basedOn w:val="1"/>
    <w:qFormat/>
    <w:uiPriority w:val="0"/>
    <w:pPr>
      <w:spacing w:after="120"/>
      <w:ind w:left="200" w:leftChars="200"/>
    </w:pPr>
    <w:rPr>
      <w:rFonts w:ascii="仿宋_GB2312"/>
      <w:szCs w:val="32"/>
    </w:rPr>
  </w:style>
  <w:style w:type="paragraph" w:styleId="9">
    <w:name w:val="footer"/>
    <w:basedOn w:val="1"/>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List"/>
    <w:basedOn w:val="7"/>
    <w:qFormat/>
    <w:uiPriority w:val="0"/>
  </w:style>
  <w:style w:type="paragraph" w:styleId="13">
    <w:name w:val="footnote text"/>
    <w:basedOn w:val="1"/>
    <w:next w:val="14"/>
    <w:semiHidden/>
    <w:qFormat/>
    <w:uiPriority w:val="0"/>
    <w:pPr>
      <w:snapToGrid w:val="0"/>
      <w:jc w:val="left"/>
    </w:pPr>
    <w:rPr>
      <w:sz w:val="18"/>
      <w:szCs w:val="18"/>
    </w:rPr>
  </w:style>
  <w:style w:type="paragraph" w:styleId="14">
    <w:name w:val="Body Text First Indent 2"/>
    <w:basedOn w:val="8"/>
    <w:unhideWhenUsed/>
    <w:qFormat/>
    <w:uiPriority w:val="99"/>
    <w:pPr>
      <w:ind w:firstLine="420" w:firstLineChars="200"/>
    </w:p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rPr>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99"/>
    <w:rPr>
      <w:b/>
    </w:rPr>
  </w:style>
  <w:style w:type="character" w:styleId="21">
    <w:name w:val="Hyperlink"/>
    <w:basedOn w:val="19"/>
    <w:unhideWhenUsed/>
    <w:qFormat/>
    <w:uiPriority w:val="99"/>
    <w:rPr>
      <w:color w:val="0000FF"/>
      <w:u w:val="single"/>
    </w:rPr>
  </w:style>
  <w:style w:type="character" w:customStyle="1" w:styleId="22">
    <w:name w:val="标题 1 字符"/>
    <w:basedOn w:val="19"/>
    <w:link w:val="3"/>
    <w:qFormat/>
    <w:uiPriority w:val="9"/>
    <w:rPr>
      <w:b/>
      <w:bCs/>
      <w:kern w:val="44"/>
      <w:sz w:val="44"/>
      <w:szCs w:val="44"/>
    </w:rPr>
  </w:style>
  <w:style w:type="character" w:customStyle="1" w:styleId="23">
    <w:name w:val="标题 2 字符"/>
    <w:basedOn w:val="19"/>
    <w:link w:val="4"/>
    <w:qFormat/>
    <w:uiPriority w:val="9"/>
    <w:rPr>
      <w:rFonts w:ascii="Cambria" w:hAnsi="Cambria" w:eastAsia="宋体" w:cs="Times New Roman"/>
      <w:b/>
      <w:bCs/>
      <w:sz w:val="32"/>
      <w:szCs w:val="32"/>
    </w:rPr>
  </w:style>
  <w:style w:type="character" w:customStyle="1" w:styleId="24">
    <w:name w:val="标题 1 Char"/>
    <w:basedOn w:val="19"/>
    <w:link w:val="3"/>
    <w:qFormat/>
    <w:uiPriority w:val="9"/>
    <w:rPr>
      <w:rFonts w:ascii="Times New Roman" w:hAnsi="Times New Roman"/>
      <w:b/>
      <w:bCs/>
      <w:kern w:val="44"/>
      <w:sz w:val="44"/>
      <w:szCs w:val="44"/>
    </w:rPr>
  </w:style>
  <w:style w:type="character" w:customStyle="1" w:styleId="25">
    <w:name w:val="默认段落字体1"/>
    <w:qFormat/>
    <w:uiPriority w:val="0"/>
  </w:style>
  <w:style w:type="paragraph" w:styleId="26">
    <w:name w:val="List Paragraph"/>
    <w:basedOn w:val="1"/>
    <w:qFormat/>
    <w:uiPriority w:val="34"/>
    <w:pPr>
      <w:ind w:firstLine="420" w:firstLineChars="200"/>
    </w:pPr>
  </w:style>
  <w:style w:type="paragraph" w:customStyle="1" w:styleId="27">
    <w:name w:val="Heading"/>
    <w:basedOn w:val="1"/>
    <w:next w:val="7"/>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28">
    <w:name w:val="WPSOffice手动目录 2"/>
    <w:qFormat/>
    <w:uiPriority w:val="0"/>
    <w:pPr>
      <w:ind w:leftChars="200"/>
    </w:pPr>
    <w:rPr>
      <w:rFonts w:ascii="Times New Roman" w:hAnsi="Times New Roman" w:eastAsia="宋体" w:cs="Times New Roman"/>
      <w:sz w:val="20"/>
      <w:szCs w:val="20"/>
    </w:rPr>
  </w:style>
  <w:style w:type="paragraph" w:customStyle="1" w:styleId="29">
    <w:name w:val="WPSOffice手动目录 1"/>
    <w:qFormat/>
    <w:uiPriority w:val="0"/>
    <w:pPr>
      <w:ind w:leftChars="0"/>
    </w:pPr>
    <w:rPr>
      <w:rFonts w:ascii="Times New Roman" w:hAnsi="Times New Roman" w:eastAsia="宋体" w:cs="Times New Roman"/>
      <w:sz w:val="20"/>
      <w:szCs w:val="20"/>
    </w:rPr>
  </w:style>
  <w:style w:type="paragraph" w:customStyle="1" w:styleId="30">
    <w:name w:val="Index"/>
    <w:basedOn w:val="1"/>
    <w:qFormat/>
    <w:uiPriority w:val="0"/>
    <w:pPr>
      <w:widowControl w:val="0"/>
      <w:suppressLineNumbers/>
      <w:suppressAutoHyphens/>
    </w:pPr>
  </w:style>
  <w:style w:type="paragraph" w:customStyle="1" w:styleId="31">
    <w:name w:val="四号正文"/>
    <w:basedOn w:val="1"/>
    <w:qFormat/>
    <w:uiPriority w:val="0"/>
    <w:pPr>
      <w:spacing w:line="360" w:lineRule="auto"/>
    </w:pPr>
    <w:rPr>
      <w:rFonts w:ascii="??" w:hAnsi="??"/>
      <w:color w:val="000000"/>
      <w:kern w:val="0"/>
      <w:sz w:val="28"/>
      <w:szCs w:val="21"/>
      <w:lang w:val="zh-CN"/>
    </w:rPr>
  </w:style>
  <w:style w:type="paragraph" w:customStyle="1" w:styleId="32">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32</Pages>
  <Words>6654</Words>
  <Characters>7580</Characters>
  <TotalTime>7</TotalTime>
  <ScaleCrop>false</ScaleCrop>
  <LinksUpToDate>false</LinksUpToDate>
  <CharactersWithSpaces>7631</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2018-11-30T01:47:00Z</dcterms:created>
  <dc:creator>user</dc:creator>
  <cp:lastModifiedBy>不会说话的年轻人</cp:lastModifiedBy>
  <cp:lastPrinted>2026-09-18T07:53:56Z</cp:lastPrinted>
  <dcterms:modified xsi:type="dcterms:W3CDTF">2026-09-18T07:55:56Z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FA24D613541D4918897A523FBF8C08EB_13</vt:lpwstr>
  </property>
  <property fmtid="{D5CDD505-2E9C-101B-9397-08002B2CF9AE}" pid="4" name="KSOTemplateDocerSaveRecord">
    <vt:lpwstr>eyJoZGlkIjoiOTJkNTUwOTVmNjZlMWUyZTljZjliOTk1OWZjNThkM2YiLCJ1c2VySWQiOiIzMjc2OTY1MzQifQ==</vt:lpwstr>
  </property>
</Properties>
</file>