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39689">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06267"/>
      <w:bookmarkStart w:id="2" w:name="_Toc15377193"/>
      <w:bookmarkStart w:id="3" w:name="_Toc15378441"/>
      <w:bookmarkStart w:id="4" w:name="_Toc15396597"/>
      <w:bookmarkStart w:id="5" w:name="_Toc15377425"/>
    </w:p>
    <w:p w14:paraId="30F1EED1">
      <w:pPr>
        <w:pStyle w:val="6"/>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6"/>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6"/>
        <w:rPr>
          <w:rFonts w:hint="eastAsia" w:ascii="Times New Roman" w:hAnsi="Times New Roman" w:eastAsia="方正小标宋简体" w:cs="Times New Roman"/>
          <w:color w:val="auto"/>
          <w:kern w:val="2"/>
          <w:sz w:val="72"/>
          <w:szCs w:val="72"/>
          <w:highlight w:val="none"/>
          <w:lang w:val="en-US" w:eastAsia="zh-CN" w:bidi="ar-SA"/>
        </w:rPr>
      </w:pPr>
    </w:p>
    <w:p w14:paraId="6EC73352">
      <w:pPr>
        <w:pStyle w:val="6"/>
        <w:spacing w:before="93"/>
        <w:jc w:val="center"/>
        <w:rPr>
          <w:rFonts w:hint="eastAsia" w:ascii="Times New Roman" w:eastAsia="方正小标宋简体"/>
          <w:color w:val="auto"/>
          <w:kern w:val="2"/>
          <w:sz w:val="44"/>
          <w:szCs w:val="44"/>
          <w:lang w:eastAsia="zh-CN"/>
        </w:rPr>
      </w:pPr>
      <w:r>
        <w:rPr>
          <w:rFonts w:hint="eastAsia" w:ascii="Times New Roman" w:eastAsia="方正小标宋简体"/>
          <w:color w:val="auto"/>
          <w:kern w:val="2"/>
          <w:sz w:val="44"/>
          <w:szCs w:val="44"/>
        </w:rPr>
        <w:t>202</w:t>
      </w:r>
      <w:r>
        <w:rPr>
          <w:rFonts w:hint="eastAsia" w:ascii="Times New Roman" w:eastAsia="方正小标宋简体"/>
          <w:color w:val="auto"/>
          <w:kern w:val="2"/>
          <w:sz w:val="44"/>
          <w:szCs w:val="44"/>
          <w:lang w:val="en-US" w:eastAsia="zh-CN"/>
        </w:rPr>
        <w:t>5</w:t>
      </w:r>
      <w:r>
        <w:rPr>
          <w:rFonts w:hint="eastAsia" w:ascii="Times New Roman" w:eastAsia="方正小标宋简体"/>
          <w:color w:val="auto"/>
          <w:kern w:val="2"/>
          <w:sz w:val="44"/>
          <w:szCs w:val="44"/>
        </w:rPr>
        <w:t>年度</w:t>
      </w:r>
      <w:r>
        <w:rPr>
          <w:rFonts w:hint="eastAsia" w:ascii="Times New Roman" w:eastAsia="方正小标宋简体"/>
          <w:color w:val="auto"/>
          <w:kern w:val="2"/>
          <w:sz w:val="44"/>
          <w:szCs w:val="44"/>
          <w:lang w:eastAsia="zh-CN"/>
        </w:rPr>
        <w:t>阿坝州生态保护和发展研究院</w:t>
      </w:r>
    </w:p>
    <w:p w14:paraId="1D9E0601">
      <w:pPr>
        <w:pStyle w:val="6"/>
        <w:spacing w:before="93"/>
        <w:jc w:val="center"/>
        <w:rPr>
          <w:rFonts w:ascii="Times New Roman" w:eastAsia="方正小标宋简体"/>
          <w:color w:val="auto"/>
          <w:kern w:val="2"/>
          <w:sz w:val="44"/>
          <w:szCs w:val="44"/>
        </w:rPr>
      </w:pPr>
      <w:r>
        <w:rPr>
          <w:rFonts w:hint="eastAsia" w:ascii="Times New Roman" w:eastAsia="方正小标宋简体"/>
          <w:color w:val="auto"/>
          <w:kern w:val="2"/>
          <w:sz w:val="44"/>
          <w:szCs w:val="44"/>
        </w:rPr>
        <w:t>决算公开</w:t>
      </w:r>
    </w:p>
    <w:p w14:paraId="292A6B03">
      <w:pPr>
        <w:pStyle w:val="22"/>
        <w:rPr>
          <w:rFonts w:ascii="Times New Roman" w:hAnsi="Times New Roman"/>
          <w:color w:val="auto"/>
        </w:rPr>
      </w:pPr>
    </w:p>
    <w:p w14:paraId="4EDF7204">
      <w:pPr>
        <w:rPr>
          <w:rFonts w:ascii="Times New Roman" w:hAnsi="Times New Roman"/>
          <w:color w:val="auto"/>
        </w:rPr>
      </w:pPr>
    </w:p>
    <w:p w14:paraId="68619081">
      <w:pPr>
        <w:ind w:firstLine="320" w:firstLineChars="100"/>
        <w:rPr>
          <w:rFonts w:hint="eastAsia" w:ascii="仿宋" w:hAnsi="仿宋" w:eastAsia="仿宋" w:cs="仿宋"/>
          <w:color w:val="auto"/>
          <w:sz w:val="32"/>
          <w:szCs w:val="32"/>
          <w:lang w:eastAsia="zh-CN"/>
        </w:rPr>
      </w:pPr>
    </w:p>
    <w:p w14:paraId="3C7D76CA">
      <w:pPr>
        <w:ind w:firstLine="320" w:firstLineChars="100"/>
        <w:rPr>
          <w:rFonts w:hint="eastAsia" w:ascii="仿宋" w:hAnsi="仿宋" w:eastAsia="仿宋" w:cs="仿宋"/>
          <w:color w:val="auto"/>
          <w:sz w:val="32"/>
          <w:szCs w:val="32"/>
          <w:lang w:eastAsia="zh-CN"/>
        </w:rPr>
      </w:pPr>
    </w:p>
    <w:p w14:paraId="4C89C97A">
      <w:pPr>
        <w:ind w:firstLine="320" w:firstLineChars="100"/>
        <w:rPr>
          <w:rFonts w:hint="eastAsia" w:ascii="仿宋" w:hAnsi="仿宋" w:eastAsia="仿宋" w:cs="仿宋"/>
          <w:color w:val="auto"/>
          <w:sz w:val="32"/>
          <w:szCs w:val="32"/>
          <w:lang w:eastAsia="zh-CN"/>
        </w:rPr>
      </w:pPr>
    </w:p>
    <w:p w14:paraId="4EEFFEFB">
      <w:pPr>
        <w:ind w:firstLine="960" w:firstLineChars="300"/>
        <w:rPr>
          <w:rFonts w:hint="eastAsia" w:ascii="宋体" w:hAnsi="宋体" w:eastAsia="宋体" w:cs="宋体"/>
          <w:color w:val="auto"/>
          <w:sz w:val="32"/>
          <w:szCs w:val="32"/>
          <w:lang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97" w:name="_GoBack"/>
      <w:bookmarkEnd w:id="97"/>
      <w:r>
        <w:rPr>
          <w:rFonts w:hint="eastAsia" w:ascii="宋体" w:hAnsi="宋体" w:eastAsia="宋体" w:cs="宋体"/>
          <w:color w:val="auto"/>
          <w:sz w:val="32"/>
          <w:szCs w:val="32"/>
          <w:lang w:eastAsia="zh-CN"/>
        </w:rPr>
        <w:t>已保密审查、内容审定，同意对外公开</w:t>
      </w:r>
    </w:p>
    <w:p w14:paraId="4BDDC6CA">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6448F64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sdt>
      <w:sdtPr>
        <w:rPr>
          <w:rFonts w:ascii="宋体" w:hAnsi="宋体" w:eastAsia="宋体" w:cs="Times New Roman"/>
          <w:color w:val="auto"/>
          <w:kern w:val="2"/>
          <w:sz w:val="21"/>
          <w:szCs w:val="24"/>
          <w:lang w:val="en-US" w:eastAsia="zh-CN" w:bidi="ar-SA"/>
        </w:rPr>
        <w:id w:val="147450888"/>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0E1BAB29">
          <w:pPr>
            <w:spacing w:before="0" w:beforeLines="0" w:after="0" w:afterLines="0" w:line="240" w:lineRule="auto"/>
            <w:ind w:left="0" w:leftChars="0" w:right="0" w:rightChars="0" w:firstLine="0" w:firstLineChars="0"/>
            <w:jc w:val="center"/>
            <w:rPr>
              <w:color w:val="auto"/>
            </w:rPr>
          </w:pPr>
          <w:r>
            <w:rPr>
              <w:rFonts w:ascii="宋体" w:hAnsi="宋体" w:eastAsia="宋体"/>
              <w:color w:val="auto"/>
              <w:sz w:val="21"/>
            </w:rPr>
            <w:t>目录</w:t>
          </w:r>
        </w:p>
        <w:p w14:paraId="62EE384E">
          <w:pPr>
            <w:pStyle w:val="13"/>
            <w:tabs>
              <w:tab w:val="right" w:leader="dot" w:pos="8306"/>
              <w:tab w:val="clear" w:pos="8296"/>
            </w:tabs>
            <w:rPr>
              <w:color w:val="auto"/>
            </w:rPr>
          </w:pPr>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_Toc6355 </w:instrText>
          </w:r>
          <w:r>
            <w:rPr>
              <w:color w:val="auto"/>
            </w:rPr>
            <w:fldChar w:fldCharType="separate"/>
          </w:r>
          <w:r>
            <w:rPr>
              <w:rFonts w:hint="eastAsia" w:ascii="Times New Roman" w:hAnsi="Times New Roman" w:eastAsia="方正小标宋简体" w:cs="方正小标宋简体"/>
              <w:color w:val="auto"/>
              <w:highlight w:val="none"/>
            </w:rPr>
            <w:t>第一部分</w:t>
          </w:r>
          <w:r>
            <w:rPr>
              <w:rFonts w:hint="eastAsia" w:ascii="Times New Roman" w:hAnsi="Times New Roman" w:eastAsia="方正小标宋简体" w:cs="方正小标宋简体"/>
              <w:color w:val="auto"/>
              <w:highlight w:val="none"/>
              <w:lang w:val="en-US" w:eastAsia="zh-CN"/>
            </w:rPr>
            <w:t xml:space="preserve"> </w:t>
          </w:r>
          <w:r>
            <w:rPr>
              <w:rFonts w:hint="eastAsia" w:ascii="Times New Roman" w:hAnsi="Times New Roman" w:eastAsia="方正小标宋简体" w:cs="方正小标宋简体"/>
              <w:color w:val="auto"/>
              <w:highlight w:val="none"/>
            </w:rPr>
            <w:t xml:space="preserve"> </w:t>
          </w:r>
          <w:r>
            <w:rPr>
              <w:rFonts w:hint="eastAsia" w:ascii="Times New Roman" w:hAnsi="Times New Roman" w:eastAsia="方正小标宋简体" w:cs="方正小标宋简体"/>
              <w:bCs w:val="0"/>
              <w:color w:val="auto"/>
              <w:highlight w:val="none"/>
            </w:rPr>
            <w:t>部门概况</w:t>
          </w:r>
          <w:r>
            <w:rPr>
              <w:color w:val="auto"/>
            </w:rPr>
            <w:tab/>
          </w:r>
          <w:r>
            <w:rPr>
              <w:color w:val="auto"/>
            </w:rPr>
            <w:fldChar w:fldCharType="begin"/>
          </w:r>
          <w:r>
            <w:rPr>
              <w:color w:val="auto"/>
            </w:rPr>
            <w:instrText xml:space="preserve"> PAGEREF _Toc6355 \h </w:instrText>
          </w:r>
          <w:r>
            <w:rPr>
              <w:color w:val="auto"/>
            </w:rPr>
            <w:fldChar w:fldCharType="separate"/>
          </w:r>
          <w:r>
            <w:rPr>
              <w:color w:val="auto"/>
            </w:rPr>
            <w:t>2</w:t>
          </w:r>
          <w:r>
            <w:rPr>
              <w:color w:val="auto"/>
            </w:rPr>
            <w:fldChar w:fldCharType="end"/>
          </w:r>
          <w:r>
            <w:rPr>
              <w:color w:val="auto"/>
            </w:rPr>
            <w:fldChar w:fldCharType="end"/>
          </w:r>
        </w:p>
        <w:p w14:paraId="22643DA9">
          <w:pPr>
            <w:pStyle w:val="15"/>
            <w:tabs>
              <w:tab w:val="right" w:leader="dot" w:pos="8306"/>
              <w:tab w:val="clear" w:pos="8296"/>
            </w:tabs>
            <w:rPr>
              <w:color w:val="auto"/>
            </w:rPr>
          </w:pPr>
          <w:r>
            <w:rPr>
              <w:color w:val="auto"/>
            </w:rPr>
            <w:fldChar w:fldCharType="begin"/>
          </w:r>
          <w:r>
            <w:rPr>
              <w:color w:val="auto"/>
            </w:rPr>
            <w:instrText xml:space="preserve"> HYPERLINK \l _Toc22688 </w:instrText>
          </w:r>
          <w:r>
            <w:rPr>
              <w:color w:val="auto"/>
            </w:rPr>
            <w:fldChar w:fldCharType="separate"/>
          </w:r>
          <w:r>
            <w:rPr>
              <w:rFonts w:hint="eastAsia" w:ascii="Times New Roman" w:hAnsi="Times New Roman" w:eastAsia="黑体"/>
              <w:color w:val="auto"/>
              <w:highlight w:val="none"/>
              <w:lang w:eastAsia="zh-CN"/>
            </w:rPr>
            <w:t>一、部门职责</w:t>
          </w:r>
          <w:r>
            <w:rPr>
              <w:color w:val="auto"/>
            </w:rPr>
            <w:tab/>
          </w:r>
          <w:r>
            <w:rPr>
              <w:color w:val="auto"/>
            </w:rPr>
            <w:fldChar w:fldCharType="begin"/>
          </w:r>
          <w:r>
            <w:rPr>
              <w:color w:val="auto"/>
            </w:rPr>
            <w:instrText xml:space="preserve"> PAGEREF _Toc22688 \h </w:instrText>
          </w:r>
          <w:r>
            <w:rPr>
              <w:color w:val="auto"/>
            </w:rPr>
            <w:fldChar w:fldCharType="separate"/>
          </w:r>
          <w:r>
            <w:rPr>
              <w:color w:val="auto"/>
            </w:rPr>
            <w:t>2</w:t>
          </w:r>
          <w:r>
            <w:rPr>
              <w:color w:val="auto"/>
            </w:rPr>
            <w:fldChar w:fldCharType="end"/>
          </w:r>
          <w:r>
            <w:rPr>
              <w:color w:val="auto"/>
            </w:rPr>
            <w:fldChar w:fldCharType="end"/>
          </w:r>
        </w:p>
        <w:p w14:paraId="7E95EA2A">
          <w:pPr>
            <w:pStyle w:val="15"/>
            <w:tabs>
              <w:tab w:val="right" w:leader="dot" w:pos="8306"/>
              <w:tab w:val="clear" w:pos="8296"/>
            </w:tabs>
            <w:rPr>
              <w:color w:val="auto"/>
            </w:rPr>
          </w:pPr>
          <w:r>
            <w:rPr>
              <w:color w:val="auto"/>
            </w:rPr>
            <w:fldChar w:fldCharType="begin"/>
          </w:r>
          <w:r>
            <w:rPr>
              <w:color w:val="auto"/>
            </w:rPr>
            <w:instrText xml:space="preserve"> HYPERLINK \l _Toc25023 </w:instrText>
          </w:r>
          <w:r>
            <w:rPr>
              <w:color w:val="auto"/>
            </w:rPr>
            <w:fldChar w:fldCharType="separate"/>
          </w:r>
          <w:r>
            <w:rPr>
              <w:rFonts w:hint="eastAsia" w:ascii="Times New Roman" w:hAnsi="Times New Roman" w:eastAsia="黑体"/>
              <w:color w:val="auto"/>
              <w:highlight w:val="none"/>
            </w:rPr>
            <w:t>二、机</w:t>
          </w:r>
          <w:r>
            <w:rPr>
              <w:rFonts w:hint="eastAsia" w:ascii="Times New Roman" w:hAnsi="Times New Roman" w:eastAsia="黑体"/>
              <w:bCs w:val="0"/>
              <w:color w:val="auto"/>
              <w:highlight w:val="none"/>
            </w:rPr>
            <w:t>构设置</w:t>
          </w:r>
          <w:r>
            <w:rPr>
              <w:color w:val="auto"/>
            </w:rPr>
            <w:tab/>
          </w:r>
          <w:r>
            <w:rPr>
              <w:color w:val="auto"/>
            </w:rPr>
            <w:fldChar w:fldCharType="begin"/>
          </w:r>
          <w:r>
            <w:rPr>
              <w:color w:val="auto"/>
            </w:rPr>
            <w:instrText xml:space="preserve"> PAGEREF _Toc25023 \h </w:instrText>
          </w:r>
          <w:r>
            <w:rPr>
              <w:color w:val="auto"/>
            </w:rPr>
            <w:fldChar w:fldCharType="separate"/>
          </w:r>
          <w:r>
            <w:rPr>
              <w:color w:val="auto"/>
            </w:rPr>
            <w:t>2</w:t>
          </w:r>
          <w:r>
            <w:rPr>
              <w:color w:val="auto"/>
            </w:rPr>
            <w:fldChar w:fldCharType="end"/>
          </w:r>
          <w:r>
            <w:rPr>
              <w:color w:val="auto"/>
            </w:rPr>
            <w:fldChar w:fldCharType="end"/>
          </w:r>
        </w:p>
        <w:p w14:paraId="0A710927">
          <w:pPr>
            <w:pStyle w:val="13"/>
            <w:tabs>
              <w:tab w:val="right" w:leader="dot" w:pos="8306"/>
              <w:tab w:val="clear" w:pos="8296"/>
            </w:tabs>
            <w:rPr>
              <w:color w:val="auto"/>
            </w:rPr>
          </w:pPr>
          <w:r>
            <w:rPr>
              <w:color w:val="auto"/>
            </w:rPr>
            <w:fldChar w:fldCharType="begin"/>
          </w:r>
          <w:r>
            <w:rPr>
              <w:color w:val="auto"/>
            </w:rPr>
            <w:instrText xml:space="preserve"> HYPERLINK \l _Toc32643 </w:instrText>
          </w:r>
          <w:r>
            <w:rPr>
              <w:color w:val="auto"/>
            </w:rPr>
            <w:fldChar w:fldCharType="separate"/>
          </w:r>
          <w:r>
            <w:rPr>
              <w:rFonts w:hint="eastAsia" w:ascii="Times New Roman" w:hAnsi="Times New Roman" w:eastAsia="方正小标宋简体" w:cs="方正小标宋简体"/>
              <w:color w:val="auto"/>
              <w:highlight w:val="none"/>
            </w:rPr>
            <w:t>第二部分</w:t>
          </w:r>
          <w:r>
            <w:rPr>
              <w:rFonts w:hint="eastAsia" w:ascii="Times New Roman" w:hAnsi="Times New Roman" w:eastAsia="方正小标宋简体" w:cs="方正小标宋简体"/>
              <w:color w:val="auto"/>
              <w:highlight w:val="none"/>
              <w:lang w:val="en-US" w:eastAsia="zh-CN"/>
            </w:rPr>
            <w:t xml:space="preserve"> 2025年度</w:t>
          </w:r>
          <w:r>
            <w:rPr>
              <w:rFonts w:hint="eastAsia" w:ascii="Times New Roman" w:hAnsi="Times New Roman" w:eastAsia="方正小标宋简体" w:cs="方正小标宋简体"/>
              <w:color w:val="auto"/>
              <w:highlight w:val="none"/>
            </w:rPr>
            <w:t>部门决算情况说明</w:t>
          </w:r>
          <w:r>
            <w:rPr>
              <w:color w:val="auto"/>
            </w:rPr>
            <w:tab/>
          </w:r>
          <w:r>
            <w:rPr>
              <w:color w:val="auto"/>
            </w:rPr>
            <w:fldChar w:fldCharType="begin"/>
          </w:r>
          <w:r>
            <w:rPr>
              <w:color w:val="auto"/>
            </w:rPr>
            <w:instrText xml:space="preserve"> PAGEREF _Toc32643 \h </w:instrText>
          </w:r>
          <w:r>
            <w:rPr>
              <w:color w:val="auto"/>
            </w:rPr>
            <w:fldChar w:fldCharType="separate"/>
          </w:r>
          <w:r>
            <w:rPr>
              <w:color w:val="auto"/>
            </w:rPr>
            <w:t>4</w:t>
          </w:r>
          <w:r>
            <w:rPr>
              <w:color w:val="auto"/>
            </w:rPr>
            <w:fldChar w:fldCharType="end"/>
          </w:r>
          <w:r>
            <w:rPr>
              <w:color w:val="auto"/>
            </w:rPr>
            <w:fldChar w:fldCharType="end"/>
          </w:r>
        </w:p>
        <w:p w14:paraId="4C3AA98B">
          <w:pPr>
            <w:pStyle w:val="15"/>
            <w:tabs>
              <w:tab w:val="right" w:leader="dot" w:pos="8306"/>
              <w:tab w:val="clear" w:pos="8296"/>
            </w:tabs>
            <w:rPr>
              <w:color w:val="auto"/>
            </w:rPr>
          </w:pPr>
          <w:r>
            <w:rPr>
              <w:color w:val="auto"/>
            </w:rPr>
            <w:fldChar w:fldCharType="begin"/>
          </w:r>
          <w:r>
            <w:rPr>
              <w:color w:val="auto"/>
            </w:rPr>
            <w:instrText xml:space="preserve"> HYPERLINK \l _Toc706 </w:instrText>
          </w:r>
          <w:r>
            <w:rPr>
              <w:color w:val="auto"/>
            </w:rPr>
            <w:fldChar w:fldCharType="separate"/>
          </w:r>
          <w:r>
            <w:rPr>
              <w:rFonts w:hint="eastAsia" w:ascii="Times New Roman" w:hAnsi="Times New Roman" w:eastAsia="黑体"/>
              <w:color w:val="auto"/>
              <w:szCs w:val="32"/>
              <w:highlight w:val="none"/>
              <w:lang w:eastAsia="zh-CN"/>
            </w:rPr>
            <w:t>一、</w:t>
          </w:r>
          <w:r>
            <w:rPr>
              <w:rFonts w:hint="eastAsia" w:ascii="Times New Roman" w:hAnsi="Times New Roman" w:eastAsia="黑体"/>
              <w:color w:val="auto"/>
              <w:szCs w:val="32"/>
              <w:highlight w:val="none"/>
            </w:rPr>
            <w:t>收</w:t>
          </w:r>
          <w:r>
            <w:rPr>
              <w:rFonts w:hint="eastAsia" w:ascii="Times New Roman" w:hAnsi="Times New Roman" w:eastAsia="黑体"/>
              <w:color w:val="auto"/>
              <w:highlight w:val="none"/>
            </w:rPr>
            <w:t>入支出决算总体情况说明</w:t>
          </w:r>
          <w:r>
            <w:rPr>
              <w:color w:val="auto"/>
            </w:rPr>
            <w:tab/>
          </w:r>
          <w:r>
            <w:rPr>
              <w:color w:val="auto"/>
            </w:rPr>
            <w:fldChar w:fldCharType="begin"/>
          </w:r>
          <w:r>
            <w:rPr>
              <w:color w:val="auto"/>
            </w:rPr>
            <w:instrText xml:space="preserve"> PAGEREF _Toc706 \h </w:instrText>
          </w:r>
          <w:r>
            <w:rPr>
              <w:color w:val="auto"/>
            </w:rPr>
            <w:fldChar w:fldCharType="separate"/>
          </w:r>
          <w:r>
            <w:rPr>
              <w:color w:val="auto"/>
            </w:rPr>
            <w:t>4</w:t>
          </w:r>
          <w:r>
            <w:rPr>
              <w:color w:val="auto"/>
            </w:rPr>
            <w:fldChar w:fldCharType="end"/>
          </w:r>
          <w:r>
            <w:rPr>
              <w:color w:val="auto"/>
            </w:rPr>
            <w:fldChar w:fldCharType="end"/>
          </w:r>
        </w:p>
        <w:p w14:paraId="462E1FCE">
          <w:pPr>
            <w:pStyle w:val="15"/>
            <w:tabs>
              <w:tab w:val="right" w:leader="dot" w:pos="8306"/>
              <w:tab w:val="clear" w:pos="8296"/>
            </w:tabs>
            <w:rPr>
              <w:color w:val="auto"/>
            </w:rPr>
          </w:pPr>
          <w:r>
            <w:rPr>
              <w:color w:val="auto"/>
            </w:rPr>
            <w:fldChar w:fldCharType="begin"/>
          </w:r>
          <w:r>
            <w:rPr>
              <w:color w:val="auto"/>
            </w:rPr>
            <w:instrText xml:space="preserve"> HYPERLINK \l _Toc248 </w:instrText>
          </w:r>
          <w:r>
            <w:rPr>
              <w:color w:val="auto"/>
            </w:rPr>
            <w:fldChar w:fldCharType="separate"/>
          </w:r>
          <w:r>
            <w:rPr>
              <w:rFonts w:hint="eastAsia" w:ascii="Times New Roman" w:hAnsi="Times New Roman" w:eastAsia="黑体"/>
              <w:color w:val="auto"/>
              <w:szCs w:val="32"/>
              <w:highlight w:val="none"/>
              <w:lang w:eastAsia="zh-CN"/>
            </w:rPr>
            <w:t>二、收入决算情况说明</w:t>
          </w:r>
          <w:r>
            <w:rPr>
              <w:color w:val="auto"/>
            </w:rPr>
            <w:tab/>
          </w:r>
          <w:r>
            <w:rPr>
              <w:color w:val="auto"/>
            </w:rPr>
            <w:fldChar w:fldCharType="begin"/>
          </w:r>
          <w:r>
            <w:rPr>
              <w:color w:val="auto"/>
            </w:rPr>
            <w:instrText xml:space="preserve"> PAGEREF _Toc248 \h </w:instrText>
          </w:r>
          <w:r>
            <w:rPr>
              <w:color w:val="auto"/>
            </w:rPr>
            <w:fldChar w:fldCharType="separate"/>
          </w:r>
          <w:r>
            <w:rPr>
              <w:color w:val="auto"/>
            </w:rPr>
            <w:t>4</w:t>
          </w:r>
          <w:r>
            <w:rPr>
              <w:color w:val="auto"/>
            </w:rPr>
            <w:fldChar w:fldCharType="end"/>
          </w:r>
          <w:r>
            <w:rPr>
              <w:color w:val="auto"/>
            </w:rPr>
            <w:fldChar w:fldCharType="end"/>
          </w:r>
        </w:p>
        <w:p w14:paraId="5492EF2D">
          <w:pPr>
            <w:pStyle w:val="15"/>
            <w:tabs>
              <w:tab w:val="right" w:leader="dot" w:pos="8306"/>
              <w:tab w:val="clear" w:pos="8296"/>
            </w:tabs>
            <w:rPr>
              <w:color w:val="auto"/>
            </w:rPr>
          </w:pPr>
          <w:r>
            <w:rPr>
              <w:color w:val="auto"/>
            </w:rPr>
            <w:fldChar w:fldCharType="begin"/>
          </w:r>
          <w:r>
            <w:rPr>
              <w:color w:val="auto"/>
            </w:rPr>
            <w:instrText xml:space="preserve"> HYPERLINK \l _Toc23296 </w:instrText>
          </w:r>
          <w:r>
            <w:rPr>
              <w:color w:val="auto"/>
            </w:rPr>
            <w:fldChar w:fldCharType="separate"/>
          </w:r>
          <w:r>
            <w:rPr>
              <w:rFonts w:hint="eastAsia" w:ascii="Times New Roman" w:hAnsi="Times New Roman" w:eastAsia="黑体"/>
              <w:color w:val="auto"/>
              <w:szCs w:val="32"/>
              <w:highlight w:val="none"/>
              <w:lang w:eastAsia="zh-CN"/>
            </w:rPr>
            <w:t>三、</w:t>
          </w:r>
          <w:r>
            <w:rPr>
              <w:rFonts w:hint="eastAsia" w:ascii="Times New Roman" w:hAnsi="Times New Roman" w:eastAsia="黑体"/>
              <w:color w:val="auto"/>
              <w:szCs w:val="32"/>
              <w:highlight w:val="none"/>
            </w:rPr>
            <w:t>支</w:t>
          </w:r>
          <w:r>
            <w:rPr>
              <w:rFonts w:hint="eastAsia" w:ascii="Times New Roman" w:hAnsi="Times New Roman" w:eastAsia="黑体"/>
              <w:color w:val="auto"/>
              <w:highlight w:val="none"/>
            </w:rPr>
            <w:t>出决算情况说明</w:t>
          </w:r>
          <w:r>
            <w:rPr>
              <w:color w:val="auto"/>
            </w:rPr>
            <w:tab/>
          </w:r>
          <w:r>
            <w:rPr>
              <w:color w:val="auto"/>
            </w:rPr>
            <w:fldChar w:fldCharType="begin"/>
          </w:r>
          <w:r>
            <w:rPr>
              <w:color w:val="auto"/>
            </w:rPr>
            <w:instrText xml:space="preserve"> PAGEREF _Toc23296 \h </w:instrText>
          </w:r>
          <w:r>
            <w:rPr>
              <w:color w:val="auto"/>
            </w:rPr>
            <w:fldChar w:fldCharType="separate"/>
          </w:r>
          <w:r>
            <w:rPr>
              <w:color w:val="auto"/>
            </w:rPr>
            <w:t>5</w:t>
          </w:r>
          <w:r>
            <w:rPr>
              <w:color w:val="auto"/>
            </w:rPr>
            <w:fldChar w:fldCharType="end"/>
          </w:r>
          <w:r>
            <w:rPr>
              <w:color w:val="auto"/>
            </w:rPr>
            <w:fldChar w:fldCharType="end"/>
          </w:r>
        </w:p>
        <w:p w14:paraId="5943C354">
          <w:pPr>
            <w:pStyle w:val="15"/>
            <w:tabs>
              <w:tab w:val="right" w:leader="dot" w:pos="8306"/>
              <w:tab w:val="clear" w:pos="8296"/>
            </w:tabs>
            <w:rPr>
              <w:color w:val="auto"/>
            </w:rPr>
          </w:pPr>
          <w:r>
            <w:rPr>
              <w:color w:val="auto"/>
            </w:rPr>
            <w:fldChar w:fldCharType="begin"/>
          </w:r>
          <w:r>
            <w:rPr>
              <w:color w:val="auto"/>
            </w:rPr>
            <w:instrText xml:space="preserve"> HYPERLINK \l _Toc8461 </w:instrText>
          </w:r>
          <w:r>
            <w:rPr>
              <w:color w:val="auto"/>
            </w:rPr>
            <w:fldChar w:fldCharType="separate"/>
          </w:r>
          <w:r>
            <w:rPr>
              <w:rFonts w:hint="eastAsia" w:ascii="Times New Roman" w:hAnsi="Times New Roman" w:eastAsia="黑体"/>
              <w:color w:val="auto"/>
              <w:szCs w:val="32"/>
              <w:highlight w:val="none"/>
            </w:rPr>
            <w:t>四、财</w:t>
          </w:r>
          <w:r>
            <w:rPr>
              <w:rFonts w:hint="eastAsia" w:ascii="Times New Roman" w:hAnsi="Times New Roman" w:eastAsia="黑体"/>
              <w:color w:val="auto"/>
              <w:highlight w:val="none"/>
            </w:rPr>
            <w:t>政拨款收入支出决算总体情况说明</w:t>
          </w:r>
          <w:r>
            <w:rPr>
              <w:color w:val="auto"/>
            </w:rPr>
            <w:tab/>
          </w:r>
          <w:r>
            <w:rPr>
              <w:color w:val="auto"/>
            </w:rPr>
            <w:fldChar w:fldCharType="begin"/>
          </w:r>
          <w:r>
            <w:rPr>
              <w:color w:val="auto"/>
            </w:rPr>
            <w:instrText xml:space="preserve"> PAGEREF _Toc8461 \h </w:instrText>
          </w:r>
          <w:r>
            <w:rPr>
              <w:color w:val="auto"/>
            </w:rPr>
            <w:fldChar w:fldCharType="separate"/>
          </w:r>
          <w:r>
            <w:rPr>
              <w:color w:val="auto"/>
            </w:rPr>
            <w:t>6</w:t>
          </w:r>
          <w:r>
            <w:rPr>
              <w:color w:val="auto"/>
            </w:rPr>
            <w:fldChar w:fldCharType="end"/>
          </w:r>
          <w:r>
            <w:rPr>
              <w:color w:val="auto"/>
            </w:rPr>
            <w:fldChar w:fldCharType="end"/>
          </w:r>
        </w:p>
        <w:p w14:paraId="5913FCF1">
          <w:pPr>
            <w:pStyle w:val="15"/>
            <w:tabs>
              <w:tab w:val="right" w:leader="dot" w:pos="8306"/>
              <w:tab w:val="clear" w:pos="8296"/>
            </w:tabs>
            <w:rPr>
              <w:color w:val="auto"/>
            </w:rPr>
          </w:pPr>
          <w:r>
            <w:rPr>
              <w:color w:val="auto"/>
            </w:rPr>
            <w:fldChar w:fldCharType="begin"/>
          </w:r>
          <w:r>
            <w:rPr>
              <w:color w:val="auto"/>
            </w:rPr>
            <w:instrText xml:space="preserve"> HYPERLINK \l _Toc2474 </w:instrText>
          </w:r>
          <w:r>
            <w:rPr>
              <w:color w:val="auto"/>
            </w:rPr>
            <w:fldChar w:fldCharType="separate"/>
          </w:r>
          <w:r>
            <w:rPr>
              <w:rFonts w:hint="eastAsia" w:ascii="Times New Roman" w:hAnsi="Times New Roman" w:eastAsia="黑体"/>
              <w:color w:val="auto"/>
              <w:szCs w:val="32"/>
              <w:highlight w:val="none"/>
            </w:rPr>
            <w:t>五、一</w:t>
          </w:r>
          <w:r>
            <w:rPr>
              <w:rFonts w:hint="eastAsia" w:ascii="Times New Roman" w:hAnsi="Times New Roman" w:eastAsia="黑体"/>
              <w:color w:val="auto"/>
              <w:highlight w:val="none"/>
            </w:rPr>
            <w:t>般公共预算财政拨款支出决算情况说明</w:t>
          </w:r>
          <w:r>
            <w:rPr>
              <w:color w:val="auto"/>
            </w:rPr>
            <w:tab/>
          </w:r>
          <w:r>
            <w:rPr>
              <w:color w:val="auto"/>
            </w:rPr>
            <w:fldChar w:fldCharType="begin"/>
          </w:r>
          <w:r>
            <w:rPr>
              <w:color w:val="auto"/>
            </w:rPr>
            <w:instrText xml:space="preserve"> PAGEREF _Toc2474 \h </w:instrText>
          </w:r>
          <w:r>
            <w:rPr>
              <w:color w:val="auto"/>
            </w:rPr>
            <w:fldChar w:fldCharType="separate"/>
          </w:r>
          <w:r>
            <w:rPr>
              <w:color w:val="auto"/>
            </w:rPr>
            <w:t>7</w:t>
          </w:r>
          <w:r>
            <w:rPr>
              <w:color w:val="auto"/>
            </w:rPr>
            <w:fldChar w:fldCharType="end"/>
          </w:r>
          <w:r>
            <w:rPr>
              <w:color w:val="auto"/>
            </w:rPr>
            <w:fldChar w:fldCharType="end"/>
          </w:r>
        </w:p>
        <w:p w14:paraId="1C9CC425">
          <w:pPr>
            <w:pStyle w:val="15"/>
            <w:tabs>
              <w:tab w:val="right" w:leader="dot" w:pos="8306"/>
              <w:tab w:val="clear" w:pos="8296"/>
            </w:tabs>
            <w:rPr>
              <w:color w:val="auto"/>
            </w:rPr>
          </w:pPr>
          <w:r>
            <w:rPr>
              <w:color w:val="auto"/>
            </w:rPr>
            <w:fldChar w:fldCharType="begin"/>
          </w:r>
          <w:r>
            <w:rPr>
              <w:color w:val="auto"/>
            </w:rPr>
            <w:instrText xml:space="preserve"> HYPERLINK \l _Toc14838 </w:instrText>
          </w:r>
          <w:r>
            <w:rPr>
              <w:color w:val="auto"/>
            </w:rPr>
            <w:fldChar w:fldCharType="separate"/>
          </w:r>
          <w:r>
            <w:rPr>
              <w:rFonts w:hint="eastAsia" w:ascii="Times New Roman" w:hAnsi="Times New Roman" w:eastAsia="黑体"/>
              <w:color w:val="auto"/>
              <w:szCs w:val="32"/>
              <w:highlight w:val="none"/>
            </w:rPr>
            <w:t>六、一</w:t>
          </w:r>
          <w:r>
            <w:rPr>
              <w:rFonts w:hint="eastAsia" w:ascii="Times New Roman" w:hAnsi="Times New Roman" w:eastAsia="黑体"/>
              <w:color w:val="auto"/>
              <w:highlight w:val="none"/>
            </w:rPr>
            <w:t>般公共预算财政拨款基本支出决算情况说明</w:t>
          </w:r>
          <w:r>
            <w:rPr>
              <w:color w:val="auto"/>
            </w:rPr>
            <w:tab/>
          </w:r>
          <w:r>
            <w:rPr>
              <w:color w:val="auto"/>
            </w:rPr>
            <w:fldChar w:fldCharType="begin"/>
          </w:r>
          <w:r>
            <w:rPr>
              <w:color w:val="auto"/>
            </w:rPr>
            <w:instrText xml:space="preserve"> PAGEREF _Toc14838 \h </w:instrText>
          </w:r>
          <w:r>
            <w:rPr>
              <w:color w:val="auto"/>
            </w:rPr>
            <w:fldChar w:fldCharType="separate"/>
          </w:r>
          <w:r>
            <w:rPr>
              <w:color w:val="auto"/>
            </w:rPr>
            <w:t>10</w:t>
          </w:r>
          <w:r>
            <w:rPr>
              <w:color w:val="auto"/>
            </w:rPr>
            <w:fldChar w:fldCharType="end"/>
          </w:r>
          <w:r>
            <w:rPr>
              <w:color w:val="auto"/>
            </w:rPr>
            <w:fldChar w:fldCharType="end"/>
          </w:r>
        </w:p>
        <w:p w14:paraId="2626936C">
          <w:pPr>
            <w:pStyle w:val="15"/>
            <w:tabs>
              <w:tab w:val="right" w:leader="dot" w:pos="8306"/>
              <w:tab w:val="clear" w:pos="8296"/>
            </w:tabs>
            <w:rPr>
              <w:color w:val="auto"/>
            </w:rPr>
          </w:pPr>
          <w:r>
            <w:rPr>
              <w:color w:val="auto"/>
            </w:rPr>
            <w:fldChar w:fldCharType="begin"/>
          </w:r>
          <w:r>
            <w:rPr>
              <w:color w:val="auto"/>
            </w:rPr>
            <w:instrText xml:space="preserve"> HYPERLINK \l _Toc23381 </w:instrText>
          </w:r>
          <w:r>
            <w:rPr>
              <w:color w:val="auto"/>
            </w:rPr>
            <w:fldChar w:fldCharType="separate"/>
          </w:r>
          <w:r>
            <w:rPr>
              <w:rFonts w:hint="eastAsia" w:ascii="Times New Roman" w:hAnsi="Times New Roman" w:eastAsia="黑体"/>
              <w:color w:val="auto"/>
              <w:szCs w:val="32"/>
              <w:highlight w:val="none"/>
            </w:rPr>
            <w:t>七、</w:t>
          </w:r>
          <w:r>
            <w:rPr>
              <w:rFonts w:hint="eastAsia" w:ascii="Times New Roman" w:hAnsi="Times New Roman" w:eastAsia="黑体"/>
              <w:color w:val="auto"/>
              <w:highlight w:val="none"/>
            </w:rPr>
            <w:t>财政拨款“三公”经费支出决算情况说明</w:t>
          </w:r>
          <w:r>
            <w:rPr>
              <w:color w:val="auto"/>
            </w:rPr>
            <w:tab/>
          </w:r>
          <w:r>
            <w:rPr>
              <w:color w:val="auto"/>
            </w:rPr>
            <w:fldChar w:fldCharType="begin"/>
          </w:r>
          <w:r>
            <w:rPr>
              <w:color w:val="auto"/>
            </w:rPr>
            <w:instrText xml:space="preserve"> PAGEREF _Toc23381 \h </w:instrText>
          </w:r>
          <w:r>
            <w:rPr>
              <w:color w:val="auto"/>
            </w:rPr>
            <w:fldChar w:fldCharType="separate"/>
          </w:r>
          <w:r>
            <w:rPr>
              <w:color w:val="auto"/>
            </w:rPr>
            <w:t>11</w:t>
          </w:r>
          <w:r>
            <w:rPr>
              <w:color w:val="auto"/>
            </w:rPr>
            <w:fldChar w:fldCharType="end"/>
          </w:r>
          <w:r>
            <w:rPr>
              <w:color w:val="auto"/>
            </w:rPr>
            <w:fldChar w:fldCharType="end"/>
          </w:r>
        </w:p>
        <w:p w14:paraId="2ABE532B">
          <w:pPr>
            <w:pStyle w:val="15"/>
            <w:tabs>
              <w:tab w:val="right" w:leader="dot" w:pos="8306"/>
              <w:tab w:val="clear" w:pos="8296"/>
            </w:tabs>
            <w:rPr>
              <w:color w:val="auto"/>
            </w:rPr>
          </w:pPr>
          <w:r>
            <w:rPr>
              <w:color w:val="auto"/>
            </w:rPr>
            <w:fldChar w:fldCharType="begin"/>
          </w:r>
          <w:r>
            <w:rPr>
              <w:color w:val="auto"/>
            </w:rPr>
            <w:instrText xml:space="preserve"> HYPERLINK \l _Toc20064 </w:instrText>
          </w:r>
          <w:r>
            <w:rPr>
              <w:color w:val="auto"/>
            </w:rPr>
            <w:fldChar w:fldCharType="separate"/>
          </w:r>
          <w:r>
            <w:rPr>
              <w:rFonts w:hint="eastAsia" w:ascii="Times New Roman" w:hAnsi="Times New Roman" w:eastAsia="黑体"/>
              <w:color w:val="auto"/>
              <w:szCs w:val="32"/>
              <w:highlight w:val="none"/>
            </w:rPr>
            <w:t>八、</w:t>
          </w:r>
          <w:r>
            <w:rPr>
              <w:rFonts w:hint="eastAsia" w:ascii="Times New Roman" w:hAnsi="Times New Roman" w:eastAsia="黑体"/>
              <w:color w:val="auto"/>
              <w:highlight w:val="none"/>
            </w:rPr>
            <w:t>政府性基金预算支出决算情况说明</w:t>
          </w:r>
          <w:r>
            <w:rPr>
              <w:color w:val="auto"/>
            </w:rPr>
            <w:tab/>
          </w:r>
          <w:r>
            <w:rPr>
              <w:color w:val="auto"/>
            </w:rPr>
            <w:fldChar w:fldCharType="begin"/>
          </w:r>
          <w:r>
            <w:rPr>
              <w:color w:val="auto"/>
            </w:rPr>
            <w:instrText xml:space="preserve"> PAGEREF _Toc20064 \h </w:instrText>
          </w:r>
          <w:r>
            <w:rPr>
              <w:color w:val="auto"/>
            </w:rPr>
            <w:fldChar w:fldCharType="separate"/>
          </w:r>
          <w:r>
            <w:rPr>
              <w:color w:val="auto"/>
            </w:rPr>
            <w:t>13</w:t>
          </w:r>
          <w:r>
            <w:rPr>
              <w:color w:val="auto"/>
            </w:rPr>
            <w:fldChar w:fldCharType="end"/>
          </w:r>
          <w:r>
            <w:rPr>
              <w:color w:val="auto"/>
            </w:rPr>
            <w:fldChar w:fldCharType="end"/>
          </w:r>
        </w:p>
        <w:p w14:paraId="31AB058C">
          <w:pPr>
            <w:pStyle w:val="15"/>
            <w:tabs>
              <w:tab w:val="right" w:leader="dot" w:pos="8306"/>
              <w:tab w:val="clear" w:pos="8296"/>
            </w:tabs>
            <w:rPr>
              <w:color w:val="auto"/>
            </w:rPr>
          </w:pPr>
          <w:r>
            <w:rPr>
              <w:color w:val="auto"/>
            </w:rPr>
            <w:fldChar w:fldCharType="begin"/>
          </w:r>
          <w:r>
            <w:rPr>
              <w:color w:val="auto"/>
            </w:rPr>
            <w:instrText xml:space="preserve"> HYPERLINK \l _Toc26105 </w:instrText>
          </w:r>
          <w:r>
            <w:rPr>
              <w:color w:val="auto"/>
            </w:rPr>
            <w:fldChar w:fldCharType="separate"/>
          </w:r>
          <w:r>
            <w:rPr>
              <w:rFonts w:hint="eastAsia" w:ascii="Times New Roman" w:hAnsi="Times New Roman" w:eastAsia="黑体"/>
              <w:color w:val="auto"/>
              <w:highlight w:val="none"/>
              <w:lang w:eastAsia="zh-CN"/>
            </w:rPr>
            <w:t>九、</w:t>
          </w:r>
          <w:r>
            <w:rPr>
              <w:rFonts w:hint="eastAsia" w:ascii="Times New Roman" w:hAnsi="Times New Roman" w:eastAsia="黑体"/>
              <w:color w:val="auto"/>
              <w:highlight w:val="none"/>
            </w:rPr>
            <w:t>国有资本经营预算支出决算情况说明</w:t>
          </w:r>
          <w:r>
            <w:rPr>
              <w:color w:val="auto"/>
            </w:rPr>
            <w:tab/>
          </w:r>
          <w:r>
            <w:rPr>
              <w:color w:val="auto"/>
            </w:rPr>
            <w:fldChar w:fldCharType="begin"/>
          </w:r>
          <w:r>
            <w:rPr>
              <w:color w:val="auto"/>
            </w:rPr>
            <w:instrText xml:space="preserve"> PAGEREF _Toc26105 \h </w:instrText>
          </w:r>
          <w:r>
            <w:rPr>
              <w:color w:val="auto"/>
            </w:rPr>
            <w:fldChar w:fldCharType="separate"/>
          </w:r>
          <w:r>
            <w:rPr>
              <w:color w:val="auto"/>
            </w:rPr>
            <w:t>13</w:t>
          </w:r>
          <w:r>
            <w:rPr>
              <w:color w:val="auto"/>
            </w:rPr>
            <w:fldChar w:fldCharType="end"/>
          </w:r>
          <w:r>
            <w:rPr>
              <w:color w:val="auto"/>
            </w:rPr>
            <w:fldChar w:fldCharType="end"/>
          </w:r>
        </w:p>
        <w:p w14:paraId="30B0670F">
          <w:pPr>
            <w:pStyle w:val="15"/>
            <w:tabs>
              <w:tab w:val="right" w:leader="dot" w:pos="8306"/>
              <w:tab w:val="clear" w:pos="8296"/>
            </w:tabs>
            <w:rPr>
              <w:color w:val="auto"/>
            </w:rPr>
          </w:pPr>
          <w:r>
            <w:rPr>
              <w:color w:val="auto"/>
            </w:rPr>
            <w:fldChar w:fldCharType="begin"/>
          </w:r>
          <w:r>
            <w:rPr>
              <w:color w:val="auto"/>
            </w:rPr>
            <w:instrText xml:space="preserve"> HYPERLINK \l _Toc10866 </w:instrText>
          </w:r>
          <w:r>
            <w:rPr>
              <w:color w:val="auto"/>
            </w:rPr>
            <w:fldChar w:fldCharType="separate"/>
          </w:r>
          <w:r>
            <w:rPr>
              <w:rFonts w:hint="eastAsia" w:ascii="Times New Roman" w:hAnsi="Times New Roman" w:eastAsia="黑体"/>
              <w:color w:val="auto"/>
              <w:highlight w:val="none"/>
              <w:lang w:eastAsia="zh-CN"/>
            </w:rPr>
            <w:t>十、</w:t>
          </w:r>
          <w:r>
            <w:rPr>
              <w:rFonts w:hint="eastAsia" w:ascii="Times New Roman" w:hAnsi="Times New Roman" w:eastAsia="黑体"/>
              <w:color w:val="auto"/>
              <w:highlight w:val="none"/>
            </w:rPr>
            <w:t>其他重要事项的情况说明</w:t>
          </w:r>
          <w:r>
            <w:rPr>
              <w:color w:val="auto"/>
            </w:rPr>
            <w:tab/>
          </w:r>
          <w:r>
            <w:rPr>
              <w:color w:val="auto"/>
            </w:rPr>
            <w:fldChar w:fldCharType="begin"/>
          </w:r>
          <w:r>
            <w:rPr>
              <w:color w:val="auto"/>
            </w:rPr>
            <w:instrText xml:space="preserve"> PAGEREF _Toc10866 \h </w:instrText>
          </w:r>
          <w:r>
            <w:rPr>
              <w:color w:val="auto"/>
            </w:rPr>
            <w:fldChar w:fldCharType="separate"/>
          </w:r>
          <w:r>
            <w:rPr>
              <w:color w:val="auto"/>
            </w:rPr>
            <w:t>13</w:t>
          </w:r>
          <w:r>
            <w:rPr>
              <w:color w:val="auto"/>
            </w:rPr>
            <w:fldChar w:fldCharType="end"/>
          </w:r>
          <w:r>
            <w:rPr>
              <w:color w:val="auto"/>
            </w:rPr>
            <w:fldChar w:fldCharType="end"/>
          </w:r>
        </w:p>
        <w:p w14:paraId="4422F52F">
          <w:pPr>
            <w:pStyle w:val="13"/>
            <w:tabs>
              <w:tab w:val="right" w:leader="dot" w:pos="8306"/>
              <w:tab w:val="clear" w:pos="8296"/>
            </w:tabs>
            <w:rPr>
              <w:color w:val="auto"/>
            </w:rPr>
          </w:pPr>
          <w:r>
            <w:rPr>
              <w:color w:val="auto"/>
            </w:rPr>
            <w:fldChar w:fldCharType="begin"/>
          </w:r>
          <w:r>
            <w:rPr>
              <w:color w:val="auto"/>
            </w:rPr>
            <w:instrText xml:space="preserve"> HYPERLINK \l _Toc25318 </w:instrText>
          </w:r>
          <w:r>
            <w:rPr>
              <w:color w:val="auto"/>
            </w:rPr>
            <w:fldChar w:fldCharType="separate"/>
          </w:r>
          <w:r>
            <w:rPr>
              <w:rFonts w:hint="eastAsia" w:ascii="Times New Roman" w:hAnsi="Times New Roman" w:eastAsia="黑体"/>
              <w:color w:val="auto"/>
              <w:szCs w:val="44"/>
              <w:highlight w:val="none"/>
            </w:rPr>
            <w:t>第</w:t>
          </w:r>
          <w:r>
            <w:rPr>
              <w:rFonts w:hint="eastAsia" w:eastAsia="黑体"/>
              <w:color w:val="auto"/>
              <w:szCs w:val="44"/>
              <w:highlight w:val="none"/>
              <w:lang w:eastAsia="zh-CN"/>
            </w:rPr>
            <w:t>三</w:t>
          </w:r>
          <w:r>
            <w:rPr>
              <w:rFonts w:hint="eastAsia" w:ascii="Times New Roman" w:hAnsi="Times New Roman" w:eastAsia="黑体"/>
              <w:color w:val="auto"/>
              <w:szCs w:val="44"/>
              <w:highlight w:val="none"/>
            </w:rPr>
            <w:t>部分</w:t>
          </w:r>
          <w:r>
            <w:rPr>
              <w:rFonts w:hint="eastAsia" w:ascii="Times New Roman" w:hAnsi="Times New Roman" w:eastAsia="黑体"/>
              <w:color w:val="auto"/>
              <w:szCs w:val="44"/>
              <w:highlight w:val="none"/>
              <w:lang w:val="en-US" w:eastAsia="zh-CN"/>
            </w:rPr>
            <w:t xml:space="preserve"> </w:t>
          </w:r>
          <w:r>
            <w:rPr>
              <w:rFonts w:hint="eastAsia" w:eastAsia="黑体"/>
              <w:color w:val="auto"/>
              <w:szCs w:val="44"/>
              <w:highlight w:val="none"/>
              <w:lang w:val="en-US" w:eastAsia="zh-CN"/>
            </w:rPr>
            <w:t xml:space="preserve"> </w:t>
          </w:r>
          <w:r>
            <w:rPr>
              <w:rFonts w:hint="eastAsia" w:ascii="Times New Roman" w:hAnsi="Times New Roman" w:eastAsia="黑体"/>
              <w:color w:val="auto"/>
              <w:szCs w:val="44"/>
              <w:highlight w:val="none"/>
            </w:rPr>
            <w:t>名词解释</w:t>
          </w:r>
          <w:r>
            <w:rPr>
              <w:color w:val="auto"/>
            </w:rPr>
            <w:tab/>
          </w:r>
          <w:r>
            <w:rPr>
              <w:color w:val="auto"/>
            </w:rPr>
            <w:fldChar w:fldCharType="begin"/>
          </w:r>
          <w:r>
            <w:rPr>
              <w:color w:val="auto"/>
            </w:rPr>
            <w:instrText xml:space="preserve"> PAGEREF _Toc25318 \h </w:instrText>
          </w:r>
          <w:r>
            <w:rPr>
              <w:color w:val="auto"/>
            </w:rPr>
            <w:fldChar w:fldCharType="separate"/>
          </w:r>
          <w:r>
            <w:rPr>
              <w:color w:val="auto"/>
            </w:rPr>
            <w:t>15</w:t>
          </w:r>
          <w:r>
            <w:rPr>
              <w:color w:val="auto"/>
            </w:rPr>
            <w:fldChar w:fldCharType="end"/>
          </w:r>
          <w:r>
            <w:rPr>
              <w:color w:val="auto"/>
            </w:rPr>
            <w:fldChar w:fldCharType="end"/>
          </w:r>
        </w:p>
        <w:p w14:paraId="6E7A5F71">
          <w:pPr>
            <w:pStyle w:val="13"/>
            <w:tabs>
              <w:tab w:val="right" w:leader="dot" w:pos="8306"/>
              <w:tab w:val="clear" w:pos="8296"/>
            </w:tabs>
            <w:rPr>
              <w:color w:val="auto"/>
            </w:rPr>
          </w:pPr>
          <w:r>
            <w:rPr>
              <w:color w:val="auto"/>
            </w:rPr>
            <w:fldChar w:fldCharType="begin"/>
          </w:r>
          <w:r>
            <w:rPr>
              <w:color w:val="auto"/>
            </w:rPr>
            <w:instrText xml:space="preserve"> HYPERLINK \l _Toc28898 </w:instrText>
          </w:r>
          <w:r>
            <w:rPr>
              <w:color w:val="auto"/>
            </w:rPr>
            <w:fldChar w:fldCharType="separate"/>
          </w:r>
          <w:r>
            <w:rPr>
              <w:rFonts w:hint="eastAsia" w:ascii="Times New Roman" w:hAnsi="Times New Roman" w:eastAsia="黑体" w:cs="Times New Roman"/>
              <w:color w:val="auto"/>
              <w:szCs w:val="44"/>
              <w:highlight w:val="none"/>
            </w:rPr>
            <w:t>第四部分</w:t>
          </w:r>
          <w:r>
            <w:rPr>
              <w:rFonts w:hint="eastAsia" w:ascii="Times New Roman" w:hAnsi="Times New Roman" w:eastAsia="黑体" w:cs="Times New Roman"/>
              <w:color w:val="auto"/>
              <w:szCs w:val="44"/>
              <w:highlight w:val="none"/>
              <w:lang w:val="en-US" w:eastAsia="zh-CN"/>
            </w:rPr>
            <w:t xml:space="preserve"> </w:t>
          </w:r>
          <w:r>
            <w:rPr>
              <w:rFonts w:hint="eastAsia" w:ascii="Times New Roman" w:hAnsi="Times New Roman" w:eastAsia="黑体" w:cs="Times New Roman"/>
              <w:color w:val="auto"/>
              <w:szCs w:val="44"/>
              <w:highlight w:val="none"/>
            </w:rPr>
            <w:t xml:space="preserve"> 附件</w:t>
          </w:r>
          <w:r>
            <w:rPr>
              <w:color w:val="auto"/>
            </w:rPr>
            <w:tab/>
          </w:r>
          <w:r>
            <w:rPr>
              <w:color w:val="auto"/>
            </w:rPr>
            <w:fldChar w:fldCharType="begin"/>
          </w:r>
          <w:r>
            <w:rPr>
              <w:color w:val="auto"/>
            </w:rPr>
            <w:instrText xml:space="preserve"> PAGEREF _Toc28898 \h </w:instrText>
          </w:r>
          <w:r>
            <w:rPr>
              <w:color w:val="auto"/>
            </w:rPr>
            <w:fldChar w:fldCharType="separate"/>
          </w:r>
          <w:r>
            <w:rPr>
              <w:color w:val="auto"/>
            </w:rPr>
            <w:t>20</w:t>
          </w:r>
          <w:r>
            <w:rPr>
              <w:color w:val="auto"/>
            </w:rPr>
            <w:fldChar w:fldCharType="end"/>
          </w:r>
          <w:r>
            <w:rPr>
              <w:color w:val="auto"/>
            </w:rPr>
            <w:fldChar w:fldCharType="end"/>
          </w:r>
        </w:p>
        <w:p w14:paraId="29D5717A">
          <w:pPr>
            <w:pStyle w:val="13"/>
            <w:tabs>
              <w:tab w:val="right" w:leader="dot" w:pos="8306"/>
              <w:tab w:val="clear" w:pos="8296"/>
            </w:tabs>
            <w:rPr>
              <w:color w:val="auto"/>
            </w:rPr>
          </w:pPr>
          <w:r>
            <w:rPr>
              <w:color w:val="auto"/>
            </w:rPr>
            <w:fldChar w:fldCharType="begin"/>
          </w:r>
          <w:r>
            <w:rPr>
              <w:color w:val="auto"/>
            </w:rPr>
            <w:instrText xml:space="preserve"> HYPERLINK \l _Toc1560 </w:instrText>
          </w:r>
          <w:r>
            <w:rPr>
              <w:color w:val="auto"/>
            </w:rPr>
            <w:fldChar w:fldCharType="separate"/>
          </w:r>
          <w:r>
            <w:rPr>
              <w:rFonts w:hint="eastAsia" w:ascii="Times New Roman" w:hAnsi="Times New Roman" w:eastAsia="黑体" w:cs="黑体"/>
              <w:color w:val="auto"/>
              <w:szCs w:val="32"/>
              <w:highlight w:val="none"/>
            </w:rPr>
            <w:t>附件</w:t>
          </w:r>
          <w:r>
            <w:rPr>
              <w:rFonts w:hint="eastAsia" w:ascii="Times New Roman" w:hAnsi="Times New Roman" w:eastAsia="黑体" w:cs="黑体"/>
              <w:color w:val="auto"/>
              <w:szCs w:val="32"/>
              <w:highlight w:val="none"/>
              <w:lang w:val="en-US" w:eastAsia="zh-CN"/>
            </w:rPr>
            <w:t>1</w:t>
          </w:r>
          <w:r>
            <w:rPr>
              <w:color w:val="auto"/>
            </w:rPr>
            <w:tab/>
          </w:r>
          <w:r>
            <w:rPr>
              <w:color w:val="auto"/>
            </w:rPr>
            <w:fldChar w:fldCharType="begin"/>
          </w:r>
          <w:r>
            <w:rPr>
              <w:color w:val="auto"/>
            </w:rPr>
            <w:instrText xml:space="preserve"> PAGEREF _Toc1560 \h </w:instrText>
          </w:r>
          <w:r>
            <w:rPr>
              <w:color w:val="auto"/>
            </w:rPr>
            <w:fldChar w:fldCharType="separate"/>
          </w:r>
          <w:r>
            <w:rPr>
              <w:color w:val="auto"/>
            </w:rPr>
            <w:t>20</w:t>
          </w:r>
          <w:r>
            <w:rPr>
              <w:color w:val="auto"/>
            </w:rPr>
            <w:fldChar w:fldCharType="end"/>
          </w:r>
          <w:r>
            <w:rPr>
              <w:color w:val="auto"/>
            </w:rPr>
            <w:fldChar w:fldCharType="end"/>
          </w:r>
        </w:p>
        <w:p w14:paraId="2CF3D4E6">
          <w:pPr>
            <w:pStyle w:val="13"/>
            <w:tabs>
              <w:tab w:val="right" w:leader="dot" w:pos="8306"/>
              <w:tab w:val="clear" w:pos="8296"/>
            </w:tabs>
            <w:rPr>
              <w:color w:val="auto"/>
            </w:rPr>
          </w:pPr>
          <w:r>
            <w:rPr>
              <w:color w:val="auto"/>
            </w:rPr>
            <w:fldChar w:fldCharType="begin"/>
          </w:r>
          <w:r>
            <w:rPr>
              <w:color w:val="auto"/>
            </w:rPr>
            <w:instrText xml:space="preserve"> HYPERLINK \l _Toc6505 </w:instrText>
          </w:r>
          <w:r>
            <w:rPr>
              <w:color w:val="auto"/>
            </w:rPr>
            <w:fldChar w:fldCharType="separate"/>
          </w:r>
          <w:r>
            <w:rPr>
              <w:rFonts w:hint="eastAsia" w:ascii="Times New Roman" w:hAnsi="Times New Roman" w:eastAsia="黑体" w:cs="黑体"/>
              <w:color w:val="auto"/>
              <w:szCs w:val="32"/>
              <w:highlight w:val="none"/>
              <w:lang w:val="zh-CN"/>
            </w:rPr>
            <w:t>附件</w:t>
          </w:r>
          <w:r>
            <w:rPr>
              <w:rFonts w:hint="eastAsia" w:ascii="Times New Roman" w:hAnsi="Times New Roman" w:eastAsia="黑体" w:cs="黑体"/>
              <w:color w:val="auto"/>
              <w:szCs w:val="32"/>
              <w:highlight w:val="none"/>
              <w:lang w:val="en-US" w:eastAsia="zh-CN"/>
            </w:rPr>
            <w:t>2</w:t>
          </w:r>
          <w:r>
            <w:rPr>
              <w:color w:val="auto"/>
            </w:rPr>
            <w:tab/>
          </w:r>
          <w:r>
            <w:rPr>
              <w:color w:val="auto"/>
            </w:rPr>
            <w:fldChar w:fldCharType="begin"/>
          </w:r>
          <w:r>
            <w:rPr>
              <w:color w:val="auto"/>
            </w:rPr>
            <w:instrText xml:space="preserve"> PAGEREF _Toc6505 \h </w:instrText>
          </w:r>
          <w:r>
            <w:rPr>
              <w:color w:val="auto"/>
            </w:rPr>
            <w:fldChar w:fldCharType="separate"/>
          </w:r>
          <w:r>
            <w:rPr>
              <w:color w:val="auto"/>
            </w:rPr>
            <w:t>36</w:t>
          </w:r>
          <w:r>
            <w:rPr>
              <w:color w:val="auto"/>
            </w:rPr>
            <w:fldChar w:fldCharType="end"/>
          </w:r>
          <w:r>
            <w:rPr>
              <w:color w:val="auto"/>
            </w:rPr>
            <w:fldChar w:fldCharType="end"/>
          </w:r>
        </w:p>
        <w:p w14:paraId="2B2555D2">
          <w:pPr>
            <w:pStyle w:val="13"/>
            <w:tabs>
              <w:tab w:val="right" w:leader="dot" w:pos="8306"/>
              <w:tab w:val="clear" w:pos="8296"/>
            </w:tabs>
            <w:rPr>
              <w:color w:val="auto"/>
            </w:rPr>
          </w:pPr>
          <w:r>
            <w:rPr>
              <w:color w:val="auto"/>
            </w:rPr>
            <w:fldChar w:fldCharType="begin"/>
          </w:r>
          <w:r>
            <w:rPr>
              <w:color w:val="auto"/>
            </w:rPr>
            <w:instrText xml:space="preserve"> HYPERLINK \l _Toc30027 </w:instrText>
          </w:r>
          <w:r>
            <w:rPr>
              <w:color w:val="auto"/>
            </w:rPr>
            <w:fldChar w:fldCharType="separate"/>
          </w:r>
          <w:r>
            <w:rPr>
              <w:rFonts w:hint="eastAsia" w:ascii="Times New Roman" w:hAnsi="Times New Roman" w:eastAsia="黑体" w:cs="Times New Roman"/>
              <w:color w:val="auto"/>
              <w:szCs w:val="44"/>
              <w:highlight w:val="none"/>
            </w:rPr>
            <w:t>第五部分 附表</w:t>
          </w:r>
          <w:r>
            <w:rPr>
              <w:color w:val="auto"/>
            </w:rPr>
            <w:tab/>
          </w:r>
          <w:r>
            <w:rPr>
              <w:color w:val="auto"/>
            </w:rPr>
            <w:fldChar w:fldCharType="begin"/>
          </w:r>
          <w:r>
            <w:rPr>
              <w:color w:val="auto"/>
            </w:rPr>
            <w:instrText xml:space="preserve"> PAGEREF _Toc30027 \h </w:instrText>
          </w:r>
          <w:r>
            <w:rPr>
              <w:color w:val="auto"/>
            </w:rPr>
            <w:fldChar w:fldCharType="separate"/>
          </w:r>
          <w:r>
            <w:rPr>
              <w:color w:val="auto"/>
            </w:rPr>
            <w:t>69</w:t>
          </w:r>
          <w:r>
            <w:rPr>
              <w:color w:val="auto"/>
            </w:rPr>
            <w:fldChar w:fldCharType="end"/>
          </w:r>
          <w:r>
            <w:rPr>
              <w:color w:val="auto"/>
            </w:rPr>
            <w:fldChar w:fldCharType="end"/>
          </w:r>
        </w:p>
        <w:p w14:paraId="3C071AF3">
          <w:pPr>
            <w:rPr>
              <w:rFonts w:hint="eastAsia" w:ascii="Times New Roman" w:hAnsi="Times New Roman" w:eastAsia="方正小标宋简体" w:cs="方正小标宋简体"/>
              <w:b w:val="0"/>
              <w:color w:val="auto"/>
              <w:highlight w:val="none"/>
            </w:rPr>
          </w:pPr>
          <w:r>
            <w:rPr>
              <w:color w:val="auto"/>
            </w:rPr>
            <w:fldChar w:fldCharType="end"/>
          </w:r>
        </w:p>
      </w:sdtContent>
    </w:sdt>
    <w:p w14:paraId="5E7063D0">
      <w:pPr>
        <w:pStyle w:val="2"/>
        <w:jc w:val="center"/>
        <w:rPr>
          <w:rStyle w:val="31"/>
          <w:rFonts w:hint="eastAsia" w:ascii="Times New Roman" w:hAnsi="Times New Roman" w:eastAsia="方正小标宋简体" w:cs="方正小标宋简体"/>
          <w:b/>
          <w:bCs w:val="0"/>
          <w:color w:val="auto"/>
          <w:highlight w:val="none"/>
        </w:rPr>
      </w:pPr>
      <w:bookmarkStart w:id="6" w:name="_Toc635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p>
    <w:p w14:paraId="5285AB89">
      <w:pPr>
        <w:pStyle w:val="8"/>
        <w:rPr>
          <w:color w:val="auto"/>
        </w:rPr>
      </w:pPr>
    </w:p>
    <w:p w14:paraId="3E79FC6C">
      <w:pPr>
        <w:pStyle w:val="3"/>
        <w:numPr>
          <w:ilvl w:val="0"/>
          <w:numId w:val="0"/>
        </w:numPr>
        <w:ind w:firstLine="640" w:firstLineChars="200"/>
        <w:rPr>
          <w:rFonts w:hint="eastAsia" w:ascii="Times New Roman" w:hAnsi="Times New Roman" w:eastAsia="黑体"/>
          <w:b w:val="0"/>
          <w:color w:val="auto"/>
          <w:highlight w:val="none"/>
          <w:lang w:eastAsia="zh-CN"/>
        </w:rPr>
      </w:pPr>
      <w:bookmarkStart w:id="7" w:name="_Toc22688"/>
      <w:r>
        <w:rPr>
          <w:rFonts w:hint="eastAsia" w:ascii="Times New Roman" w:hAnsi="Times New Roman" w:eastAsia="黑体"/>
          <w:b w:val="0"/>
          <w:color w:val="auto"/>
          <w:highlight w:val="none"/>
          <w:lang w:eastAsia="zh-CN"/>
        </w:rPr>
        <w:t>一、部门职责</w:t>
      </w:r>
      <w:bookmarkEnd w:id="7"/>
    </w:p>
    <w:p w14:paraId="6E5C599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eastAsia="zh-CN"/>
        </w:rPr>
        <w:t>阿坝</w:t>
      </w:r>
      <w:r>
        <w:rPr>
          <w:rFonts w:hint="eastAsia" w:ascii="仿宋_GB2312" w:hAnsi="仿宋" w:eastAsia="仿宋_GB2312"/>
          <w:color w:val="auto"/>
          <w:sz w:val="32"/>
          <w:szCs w:val="32"/>
        </w:rPr>
        <w:t>州生态</w:t>
      </w:r>
      <w:r>
        <w:rPr>
          <w:rFonts w:hint="eastAsia" w:ascii="仿宋_GB2312" w:hAnsi="仿宋" w:eastAsia="仿宋_GB2312"/>
          <w:color w:val="auto"/>
          <w:sz w:val="32"/>
          <w:szCs w:val="32"/>
          <w:lang w:eastAsia="zh-CN"/>
        </w:rPr>
        <w:t>保护和发展</w:t>
      </w:r>
      <w:r>
        <w:rPr>
          <w:rFonts w:hint="eastAsia" w:ascii="仿宋_GB2312" w:hAnsi="仿宋" w:eastAsia="仿宋_GB2312"/>
          <w:color w:val="auto"/>
          <w:sz w:val="32"/>
          <w:szCs w:val="32"/>
        </w:rPr>
        <w:t>研究院贯彻落实中央和省委、州委关于生态文明建设工作的决策部署，在履行职责过程中坚持和加强党的全面领导。主要职责是：</w:t>
      </w:r>
    </w:p>
    <w:p w14:paraId="5488B492">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开展生态保护、生态修复、生态治理、生态产业等领域的应用基础研究与关键技术攻关，为切实筑牢长江黄河上游生态屏障提供科技支撑。</w:t>
      </w:r>
    </w:p>
    <w:p w14:paraId="7A8F8F60">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研发、引进、集成并示范推广先进实用技术与模式，推进科技成果转化，开展技术培训和科普宣传，促进科技创新与产业深度融合。</w:t>
      </w:r>
    </w:p>
    <w:p w14:paraId="60776928">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rPr>
        <w:t>开展生态保护政策、法规、规划与标准研究，为州委、州政府科学决策提供理论支撑和智力服务。</w:t>
      </w:r>
    </w:p>
    <w:p w14:paraId="4845E84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color w:val="auto"/>
          <w:lang w:eastAsia="zh-CN"/>
        </w:rPr>
      </w:pP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rPr>
        <w:t>依托重点实验室、高分辨率数据应用中心、专家工作站等核心科研平台，与国内外高校、科研院所开展合作与交流，引育领军人才，建设高水平科研团队，提升对外合作交流水平和影响力。</w:t>
      </w:r>
    </w:p>
    <w:p w14:paraId="74A5CECB">
      <w:pPr>
        <w:pStyle w:val="3"/>
        <w:ind w:firstLine="640" w:firstLineChars="200"/>
        <w:rPr>
          <w:rStyle w:val="32"/>
          <w:rFonts w:ascii="Times New Roman" w:hAnsi="Times New Roman"/>
          <w:b w:val="0"/>
          <w:bCs w:val="0"/>
          <w:color w:val="auto"/>
          <w:highlight w:val="none"/>
        </w:rPr>
      </w:pPr>
      <w:bookmarkStart w:id="8" w:name="_Toc25023"/>
      <w:bookmarkStart w:id="9" w:name="_Toc15396601"/>
      <w:bookmarkStart w:id="10"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bookmarkEnd w:id="10"/>
    </w:p>
    <w:p w14:paraId="10C3E77C">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rPr>
        <w:t>阿坝州生态保护</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发展研究院组建于</w:t>
      </w:r>
      <w:r>
        <w:rPr>
          <w:rFonts w:hint="eastAsia" w:ascii="仿宋_GB2312" w:hAnsi="仿宋_GB2312" w:eastAsia="仿宋_GB2312" w:cs="仿宋_GB2312"/>
          <w:color w:val="auto"/>
          <w:sz w:val="32"/>
          <w:szCs w:val="32"/>
          <w:lang w:val="en-US" w:eastAsia="zh-CN"/>
        </w:rPr>
        <w:t>2025年3月，为</w:t>
      </w:r>
      <w:r>
        <w:rPr>
          <w:rFonts w:hint="eastAsia" w:ascii="仿宋_GB2312" w:hAnsi="仿宋_GB2312" w:eastAsia="仿宋_GB2312" w:cs="仿宋_GB2312"/>
          <w:color w:val="auto"/>
          <w:sz w:val="32"/>
          <w:szCs w:val="32"/>
        </w:rPr>
        <w:t>阿坝州</w:t>
      </w:r>
      <w:r>
        <w:rPr>
          <w:rFonts w:hint="eastAsia" w:ascii="仿宋_GB2312" w:hAnsi="仿宋_GB2312" w:eastAsia="仿宋_GB2312" w:cs="仿宋_GB2312"/>
          <w:color w:val="auto"/>
          <w:sz w:val="32"/>
          <w:szCs w:val="32"/>
          <w:lang w:eastAsia="zh-CN"/>
        </w:rPr>
        <w:t>人民政府</w:t>
      </w:r>
      <w:r>
        <w:rPr>
          <w:rFonts w:hint="eastAsia" w:ascii="仿宋_GB2312" w:hAnsi="仿宋_GB2312" w:eastAsia="仿宋_GB2312" w:cs="仿宋_GB2312"/>
          <w:color w:val="auto"/>
          <w:sz w:val="32"/>
          <w:szCs w:val="32"/>
        </w:rPr>
        <w:t>管理的正县级公益一类事业单位，</w:t>
      </w:r>
      <w:r>
        <w:rPr>
          <w:rFonts w:hint="eastAsia" w:ascii="仿宋_GB2312" w:hAnsi="仿宋_GB2312" w:eastAsia="仿宋_GB2312" w:cs="仿宋_GB2312"/>
          <w:color w:val="auto"/>
          <w:sz w:val="32"/>
          <w:szCs w:val="32"/>
          <w:lang w:eastAsia="zh-CN"/>
        </w:rPr>
        <w:t>内</w:t>
      </w:r>
      <w:r>
        <w:rPr>
          <w:rFonts w:hint="eastAsia" w:ascii="仿宋_GB2312" w:hAnsi="仿宋_GB2312" w:eastAsia="仿宋_GB2312" w:cs="仿宋_GB2312"/>
          <w:color w:val="auto"/>
          <w:sz w:val="32"/>
          <w:szCs w:val="32"/>
        </w:rPr>
        <w:t>设</w:t>
      </w:r>
      <w:r>
        <w:rPr>
          <w:rFonts w:hint="eastAsia" w:ascii="仿宋_GB2312" w:hAnsi="仿宋_GB2312" w:eastAsia="仿宋_GB2312" w:cs="仿宋_GB2312"/>
          <w:color w:val="auto"/>
          <w:sz w:val="32"/>
          <w:szCs w:val="32"/>
          <w:lang w:eastAsia="zh-CN"/>
        </w:rPr>
        <w:t>党政综合</w:t>
      </w:r>
      <w:r>
        <w:rPr>
          <w:rFonts w:hint="eastAsia" w:ascii="仿宋_GB2312" w:hAnsi="仿宋_GB2312" w:eastAsia="仿宋_GB2312" w:cs="仿宋_GB2312"/>
          <w:color w:val="auto"/>
          <w:sz w:val="32"/>
          <w:szCs w:val="32"/>
        </w:rPr>
        <w:t>办公室、</w:t>
      </w:r>
      <w:r>
        <w:rPr>
          <w:rFonts w:hint="eastAsia" w:ascii="仿宋_GB2312" w:hAnsi="仿宋_GB2312" w:eastAsia="仿宋_GB2312" w:cs="仿宋_GB2312"/>
          <w:color w:val="auto"/>
          <w:sz w:val="32"/>
          <w:szCs w:val="32"/>
          <w:lang w:eastAsia="zh-CN"/>
        </w:rPr>
        <w:t>财务管理科</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科技管理</w:t>
      </w:r>
      <w:r>
        <w:rPr>
          <w:rFonts w:hint="eastAsia" w:ascii="仿宋_GB2312" w:hAnsi="仿宋_GB2312" w:eastAsia="仿宋_GB2312" w:cs="仿宋_GB2312"/>
          <w:color w:val="auto"/>
          <w:sz w:val="32"/>
          <w:szCs w:val="32"/>
        </w:rPr>
        <w:t>科、</w:t>
      </w:r>
      <w:r>
        <w:rPr>
          <w:rFonts w:hint="eastAsia" w:ascii="仿宋_GB2312" w:hAnsi="仿宋_GB2312" w:eastAsia="仿宋_GB2312" w:cs="仿宋_GB2312"/>
          <w:color w:val="auto"/>
          <w:sz w:val="32"/>
          <w:szCs w:val="32"/>
          <w:lang w:eastAsia="zh-CN"/>
        </w:rPr>
        <w:t>地理科学和信息研究所、资源和产业经济发展研究所、生态环境研究所</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个内设机构,无下属单位。</w:t>
      </w:r>
    </w:p>
    <w:p w14:paraId="19686F46">
      <w:pPr>
        <w:pStyle w:val="2"/>
        <w:jc w:val="both"/>
        <w:rPr>
          <w:rFonts w:hint="eastAsia" w:ascii="Times New Roman" w:hAnsi="Times New Roman" w:eastAsia="方正小标宋简体" w:cs="方正小标宋简体"/>
          <w:b w:val="0"/>
          <w:color w:val="auto"/>
          <w:highlight w:val="none"/>
        </w:rPr>
      </w:pPr>
      <w:bookmarkStart w:id="11" w:name="_Toc15377204"/>
      <w:bookmarkStart w:id="12" w:name="_Toc15396602"/>
    </w:p>
    <w:p w14:paraId="0E1F0E91">
      <w:pPr>
        <w:rPr>
          <w:rFonts w:hint="eastAsia" w:ascii="Times New Roman" w:hAnsi="Times New Roman" w:eastAsia="方正小标宋简体" w:cs="方正小标宋简体"/>
          <w:b w:val="0"/>
          <w:color w:val="auto"/>
          <w:highlight w:val="none"/>
        </w:rPr>
      </w:pPr>
    </w:p>
    <w:p w14:paraId="01B130CB">
      <w:pPr>
        <w:rPr>
          <w:rFonts w:hint="eastAsia" w:ascii="Times New Roman" w:hAnsi="Times New Roman" w:eastAsia="方正小标宋简体" w:cs="方正小标宋简体"/>
          <w:b w:val="0"/>
          <w:color w:val="auto"/>
          <w:highlight w:val="none"/>
        </w:rPr>
      </w:pPr>
    </w:p>
    <w:p w14:paraId="375CE60A">
      <w:pPr>
        <w:rPr>
          <w:rFonts w:hint="eastAsia" w:ascii="Times New Roman" w:hAnsi="Times New Roman" w:eastAsia="方正小标宋简体" w:cs="方正小标宋简体"/>
          <w:b w:val="0"/>
          <w:color w:val="auto"/>
          <w:highlight w:val="none"/>
        </w:rPr>
      </w:pPr>
    </w:p>
    <w:p w14:paraId="2D440614">
      <w:pPr>
        <w:rPr>
          <w:rFonts w:hint="eastAsia" w:ascii="Times New Roman" w:hAnsi="Times New Roman" w:eastAsia="方正小标宋简体" w:cs="方正小标宋简体"/>
          <w:b w:val="0"/>
          <w:color w:val="auto"/>
          <w:highlight w:val="none"/>
        </w:rPr>
      </w:pPr>
    </w:p>
    <w:p w14:paraId="7D9F8550">
      <w:pPr>
        <w:rPr>
          <w:rFonts w:hint="eastAsia" w:ascii="Times New Roman" w:hAnsi="Times New Roman" w:eastAsia="方正小标宋简体" w:cs="方正小标宋简体"/>
          <w:b w:val="0"/>
          <w:color w:val="auto"/>
          <w:highlight w:val="none"/>
        </w:rPr>
      </w:pPr>
    </w:p>
    <w:p w14:paraId="3AA1CA68">
      <w:pPr>
        <w:rPr>
          <w:rFonts w:hint="eastAsia" w:ascii="Times New Roman" w:hAnsi="Times New Roman" w:eastAsia="方正小标宋简体" w:cs="方正小标宋简体"/>
          <w:b w:val="0"/>
          <w:color w:val="auto"/>
          <w:highlight w:val="none"/>
        </w:rPr>
      </w:pPr>
    </w:p>
    <w:p w14:paraId="7530FE67">
      <w:pPr>
        <w:rPr>
          <w:rFonts w:hint="eastAsia" w:ascii="Times New Roman" w:hAnsi="Times New Roman" w:eastAsia="方正小标宋简体" w:cs="方正小标宋简体"/>
          <w:b w:val="0"/>
          <w:color w:val="auto"/>
          <w:highlight w:val="none"/>
        </w:rPr>
      </w:pPr>
    </w:p>
    <w:p w14:paraId="324722F2">
      <w:pPr>
        <w:rPr>
          <w:rFonts w:hint="eastAsia" w:ascii="Times New Roman" w:hAnsi="Times New Roman" w:eastAsia="方正小标宋简体" w:cs="方正小标宋简体"/>
          <w:b w:val="0"/>
          <w:color w:val="auto"/>
          <w:highlight w:val="none"/>
        </w:rPr>
      </w:pPr>
    </w:p>
    <w:p w14:paraId="6BFED508">
      <w:pPr>
        <w:rPr>
          <w:rFonts w:hint="eastAsia" w:ascii="Times New Roman" w:hAnsi="Times New Roman" w:eastAsia="方正小标宋简体" w:cs="方正小标宋简体"/>
          <w:b w:val="0"/>
          <w:color w:val="auto"/>
          <w:highlight w:val="none"/>
        </w:rPr>
      </w:pPr>
    </w:p>
    <w:p w14:paraId="42EF4CDE">
      <w:pPr>
        <w:rPr>
          <w:rFonts w:hint="eastAsia" w:ascii="Times New Roman" w:hAnsi="Times New Roman" w:eastAsia="方正小标宋简体" w:cs="方正小标宋简体"/>
          <w:b w:val="0"/>
          <w:color w:val="auto"/>
          <w:highlight w:val="none"/>
        </w:rPr>
      </w:pPr>
    </w:p>
    <w:p w14:paraId="6E685310">
      <w:pPr>
        <w:rPr>
          <w:rFonts w:hint="eastAsia" w:ascii="Times New Roman" w:hAnsi="Times New Roman" w:eastAsia="方正小标宋简体" w:cs="方正小标宋简体"/>
          <w:b w:val="0"/>
          <w:color w:val="auto"/>
          <w:highlight w:val="none"/>
        </w:rPr>
      </w:pPr>
    </w:p>
    <w:p w14:paraId="6C14CAB3">
      <w:pPr>
        <w:rPr>
          <w:rFonts w:hint="eastAsia" w:ascii="Times New Roman" w:hAnsi="Times New Roman" w:eastAsia="方正小标宋简体" w:cs="方正小标宋简体"/>
          <w:b w:val="0"/>
          <w:color w:val="auto"/>
          <w:highlight w:val="none"/>
        </w:rPr>
      </w:pPr>
    </w:p>
    <w:p w14:paraId="3BAA4586">
      <w:pPr>
        <w:rPr>
          <w:rFonts w:hint="eastAsia" w:ascii="Times New Roman" w:hAnsi="Times New Roman" w:eastAsia="方正小标宋简体" w:cs="方正小标宋简体"/>
          <w:b w:val="0"/>
          <w:color w:val="auto"/>
          <w:highlight w:val="none"/>
        </w:rPr>
      </w:pPr>
    </w:p>
    <w:p w14:paraId="54160EE8">
      <w:pPr>
        <w:rPr>
          <w:rFonts w:hint="eastAsia" w:ascii="Times New Roman" w:hAnsi="Times New Roman" w:eastAsia="方正小标宋简体" w:cs="方正小标宋简体"/>
          <w:b w:val="0"/>
          <w:color w:val="auto"/>
          <w:highlight w:val="none"/>
        </w:rPr>
      </w:pPr>
    </w:p>
    <w:p w14:paraId="6C481850">
      <w:pPr>
        <w:rPr>
          <w:rFonts w:hint="eastAsia" w:ascii="Times New Roman" w:hAnsi="Times New Roman" w:eastAsia="方正小标宋简体" w:cs="方正小标宋简体"/>
          <w:b w:val="0"/>
          <w:color w:val="auto"/>
          <w:highlight w:val="none"/>
        </w:rPr>
      </w:pPr>
    </w:p>
    <w:p w14:paraId="324C9639">
      <w:pPr>
        <w:rPr>
          <w:rFonts w:hint="eastAsia" w:ascii="Times New Roman" w:hAnsi="Times New Roman" w:eastAsia="方正小标宋简体" w:cs="方正小标宋简体"/>
          <w:b w:val="0"/>
          <w:color w:val="auto"/>
          <w:highlight w:val="none"/>
        </w:rPr>
      </w:pPr>
    </w:p>
    <w:p w14:paraId="0467A1EA">
      <w:pPr>
        <w:rPr>
          <w:rFonts w:hint="eastAsia" w:ascii="Times New Roman" w:hAnsi="Times New Roman" w:eastAsia="方正小标宋简体" w:cs="方正小标宋简体"/>
          <w:b w:val="0"/>
          <w:color w:val="auto"/>
          <w:highlight w:val="none"/>
        </w:rPr>
      </w:pPr>
    </w:p>
    <w:p w14:paraId="3077593B">
      <w:pPr>
        <w:rPr>
          <w:rFonts w:hint="eastAsia" w:ascii="Times New Roman" w:hAnsi="Times New Roman" w:eastAsia="方正小标宋简体" w:cs="方正小标宋简体"/>
          <w:b w:val="0"/>
          <w:color w:val="auto"/>
          <w:highlight w:val="none"/>
        </w:rPr>
      </w:pPr>
    </w:p>
    <w:p w14:paraId="13F8737C">
      <w:pPr>
        <w:rPr>
          <w:rFonts w:hint="eastAsia" w:ascii="Times New Roman" w:hAnsi="Times New Roman" w:eastAsia="方正小标宋简体" w:cs="方正小标宋简体"/>
          <w:b w:val="0"/>
          <w:color w:val="auto"/>
          <w:highlight w:val="none"/>
        </w:rPr>
      </w:pPr>
    </w:p>
    <w:p w14:paraId="64089FBD">
      <w:pPr>
        <w:rPr>
          <w:rFonts w:hint="eastAsia" w:ascii="Times New Roman" w:hAnsi="Times New Roman" w:eastAsia="方正小标宋简体" w:cs="方正小标宋简体"/>
          <w:b w:val="0"/>
          <w:color w:val="auto"/>
          <w:highlight w:val="none"/>
        </w:rPr>
      </w:pPr>
    </w:p>
    <w:p w14:paraId="693AB1D4">
      <w:pPr>
        <w:rPr>
          <w:rFonts w:hint="eastAsia" w:ascii="Times New Roman" w:hAnsi="Times New Roman" w:eastAsia="方正小标宋简体" w:cs="方正小标宋简体"/>
          <w:b w:val="0"/>
          <w:color w:val="auto"/>
          <w:highlight w:val="none"/>
        </w:rPr>
      </w:pPr>
    </w:p>
    <w:p w14:paraId="60E986FE">
      <w:pPr>
        <w:rPr>
          <w:rFonts w:hint="eastAsia" w:ascii="Times New Roman" w:hAnsi="Times New Roman" w:eastAsia="方正小标宋简体" w:cs="方正小标宋简体"/>
          <w:b w:val="0"/>
          <w:color w:val="auto"/>
          <w:highlight w:val="none"/>
        </w:rPr>
      </w:pPr>
    </w:p>
    <w:p w14:paraId="65C9B5B3">
      <w:pPr>
        <w:rPr>
          <w:rFonts w:hint="eastAsia" w:ascii="Times New Roman" w:hAnsi="Times New Roman" w:eastAsia="方正小标宋简体" w:cs="方正小标宋简体"/>
          <w:b w:val="0"/>
          <w:color w:val="auto"/>
          <w:highlight w:val="none"/>
        </w:rPr>
      </w:pPr>
    </w:p>
    <w:p w14:paraId="1C1BC97F">
      <w:pPr>
        <w:pStyle w:val="2"/>
        <w:jc w:val="both"/>
        <w:rPr>
          <w:rFonts w:hint="eastAsia" w:ascii="Times New Roman" w:hAnsi="Times New Roman" w:eastAsia="方正小标宋简体" w:cs="方正小标宋简体"/>
          <w:b w:val="0"/>
          <w:color w:val="auto"/>
          <w:highlight w:val="none"/>
        </w:rPr>
      </w:pPr>
    </w:p>
    <w:p w14:paraId="01FB81D6">
      <w:pPr>
        <w:pStyle w:val="2"/>
        <w:jc w:val="center"/>
        <w:rPr>
          <w:rFonts w:hint="eastAsia" w:ascii="Times New Roman" w:hAnsi="Times New Roman" w:eastAsia="方正小标宋简体" w:cs="方正小标宋简体"/>
          <w:b w:val="0"/>
          <w:color w:val="auto"/>
          <w:highlight w:val="none"/>
        </w:rPr>
      </w:pPr>
    </w:p>
    <w:p w14:paraId="60536CE4">
      <w:pPr>
        <w:pStyle w:val="2"/>
        <w:jc w:val="center"/>
        <w:rPr>
          <w:rFonts w:ascii="Times New Roman" w:hAnsi="Times New Roman"/>
          <w:color w:val="auto"/>
          <w:highlight w:val="none"/>
        </w:rPr>
      </w:pPr>
      <w:bookmarkStart w:id="13" w:name="_Toc32643"/>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2025年度</w:t>
      </w:r>
      <w:r>
        <w:rPr>
          <w:rFonts w:hint="eastAsia" w:ascii="Times New Roman" w:hAnsi="Times New Roman" w:eastAsia="方正小标宋简体" w:cs="方正小标宋简体"/>
          <w:b w:val="0"/>
          <w:color w:val="auto"/>
          <w:highlight w:val="none"/>
        </w:rPr>
        <w:t>部门决算情况说明</w:t>
      </w:r>
      <w:bookmarkEnd w:id="11"/>
      <w:bookmarkEnd w:id="12"/>
      <w:bookmarkEnd w:id="13"/>
    </w:p>
    <w:p w14:paraId="032582E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4" w:name="_Toc15396603"/>
      <w:bookmarkStart w:id="15" w:name="_Toc15377205"/>
      <w:bookmarkStart w:id="16" w:name="_Toc70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4"/>
      <w:bookmarkEnd w:id="15"/>
      <w:bookmarkEnd w:id="16"/>
    </w:p>
    <w:p w14:paraId="6DB63589">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1938.85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1246.27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179.95</w:t>
      </w:r>
      <w:r>
        <w:rPr>
          <w:rFonts w:hint="eastAsia" w:ascii="Times New Roman" w:hAnsi="Times New Roman" w:eastAsia="仿宋_GB2312" w:cs="仿宋_GB2312"/>
          <w:color w:val="auto"/>
          <w:sz w:val="32"/>
          <w:szCs w:val="32"/>
          <w:highlight w:val="none"/>
        </w:rPr>
        <w:t>%。主要变动原因</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lang w:val="en-US" w:eastAsia="zh-CN"/>
        </w:rPr>
        <w:t>2025年机构改革，</w:t>
      </w:r>
      <w:r>
        <w:rPr>
          <w:rFonts w:hint="eastAsia" w:ascii="仿宋" w:hAnsi="仿宋" w:eastAsia="仿宋" w:cs="仿宋"/>
          <w:color w:val="auto"/>
          <w:sz w:val="32"/>
          <w:szCs w:val="32"/>
          <w:shd w:val="clear" w:color="auto" w:fill="FFFFFF"/>
        </w:rPr>
        <w:t>根据阿编发〔2025〕5号文件要求</w:t>
      </w:r>
      <w:r>
        <w:rPr>
          <w:rFonts w:hint="eastAsia" w:ascii="仿宋" w:hAnsi="仿宋" w:eastAsia="仿宋" w:cs="仿宋"/>
          <w:color w:val="auto"/>
          <w:sz w:val="32"/>
          <w:szCs w:val="32"/>
          <w:shd w:val="clear" w:color="auto" w:fill="FFFFFF"/>
          <w:lang w:val="en-US" w:eastAsia="zh-CN"/>
        </w:rPr>
        <w:t>，州林业和草原科学技术研究所、州工业经济研究所、州自然资源与科技信息研究所合并到州生态保护与发展研究院，更名为州生态保护和发展研究院</w:t>
      </w:r>
      <w:r>
        <w:rPr>
          <w:rFonts w:hint="eastAsia" w:ascii="仿宋" w:hAnsi="仿宋" w:eastAsia="仿宋" w:cs="仿宋"/>
          <w:color w:val="auto"/>
          <w:sz w:val="32"/>
          <w:szCs w:val="32"/>
          <w:shd w:val="clear" w:color="auto" w:fill="FFFFFF"/>
          <w:lang w:eastAsia="zh-CN"/>
        </w:rPr>
        <w:t>，并做合并账务处理和决算。</w:t>
      </w:r>
    </w:p>
    <w:p w14:paraId="7FA8A3A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 w:hAnsi="仿宋" w:eastAsia="仿宋" w:cs="仿宋"/>
          <w:color w:val="auto"/>
          <w:sz w:val="32"/>
          <w:szCs w:val="32"/>
        </w:rPr>
        <w:pict>
          <v:shape id="Object 2" o:spid="_x0000_s1026" o:spt="75" type="#_x0000_t75" style="position:absolute;left:0pt;margin-left:69.35pt;margin-top:11.85pt;height:157.5pt;width:230.25pt;mso-wrap-distance-bottom:0pt;mso-wrap-distance-left:9pt;mso-wrap-distance-right:9pt;mso-wrap-distance-top:0pt;z-index:251659264;mso-width-relative:page;mso-height-relative:page;" o:ole="t" filled="f" o:preferrelative="t" stroked="f" coordsize="21600,21600">
            <v:path/>
            <v:fill on="f" focussize="0,0"/>
            <v:stroke on="f"/>
            <v:imagedata r:id="rId9" o:title=""/>
            <o:lock v:ext="edit" aspectratio="f"/>
            <w10:wrap type="square"/>
          </v:shape>
          <o:OLEObject Type="Embed" ProgID="Excel.Sheet.8" ShapeID="Object 2" DrawAspect="Content" ObjectID="_1468075725" r:id="rId8">
            <o:LockedField>false</o:LockedField>
          </o:OLEObject>
        </w:pict>
      </w:r>
    </w:p>
    <w:p w14:paraId="3C829BD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6CB21B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15459C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0C7948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04E2CE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textAlignment w:val="auto"/>
        <w:outlineLvl w:val="1"/>
        <w:rPr>
          <w:rFonts w:hint="eastAsia" w:ascii="Times New Roman" w:hAnsi="Times New Roman" w:eastAsia="仿宋_GB2312" w:cs="仿宋_GB2312"/>
          <w:color w:val="auto"/>
          <w:sz w:val="24"/>
          <w:szCs w:val="24"/>
          <w:highlight w:val="none"/>
        </w:rPr>
      </w:pPr>
    </w:p>
    <w:p w14:paraId="0347A7BC">
      <w:pPr>
        <w:pStyle w:val="6"/>
        <w:bidi w:val="0"/>
        <w:ind w:left="0" w:leftChars="0" w:right="0" w:rightChars="0" w:firstLine="0" w:firstLineChars="0"/>
        <w:jc w:val="center"/>
        <w:rPr>
          <w:rFonts w:hint="eastAsia"/>
          <w:color w:val="auto"/>
          <w:sz w:val="24"/>
          <w:szCs w:val="24"/>
        </w:rPr>
      </w:pPr>
      <w:r>
        <w:rPr>
          <w:rFonts w:hint="eastAsia"/>
          <w:color w:val="auto"/>
          <w:sz w:val="24"/>
          <w:szCs w:val="24"/>
        </w:rPr>
        <w:t>（图1：</w:t>
      </w:r>
      <w:r>
        <w:rPr>
          <w:rFonts w:hint="eastAsia"/>
          <w:color w:val="auto"/>
          <w:sz w:val="24"/>
          <w:szCs w:val="24"/>
          <w:lang w:eastAsia="zh-CN"/>
        </w:rPr>
        <w:t>收入</w:t>
      </w:r>
      <w:r>
        <w:rPr>
          <w:rFonts w:hint="eastAsia"/>
          <w:color w:val="auto"/>
          <w:sz w:val="24"/>
          <w:szCs w:val="24"/>
        </w:rPr>
        <w:t>、</w:t>
      </w:r>
      <w:r>
        <w:rPr>
          <w:rFonts w:hint="eastAsia"/>
          <w:color w:val="auto"/>
          <w:sz w:val="24"/>
          <w:szCs w:val="24"/>
          <w:lang w:eastAsia="zh-CN"/>
        </w:rPr>
        <w:t>支出</w:t>
      </w:r>
      <w:r>
        <w:rPr>
          <w:rFonts w:hint="eastAsia"/>
          <w:color w:val="auto"/>
          <w:sz w:val="24"/>
          <w:szCs w:val="24"/>
        </w:rPr>
        <w:t>决算总计变动情况图）</w:t>
      </w:r>
    </w:p>
    <w:p w14:paraId="2913116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bookmarkStart w:id="19" w:name="_Toc248"/>
      <w:r>
        <w:rPr>
          <w:rFonts w:hint="eastAsia" w:ascii="Times New Roman" w:hAnsi="Times New Roman" w:eastAsia="黑体"/>
          <w:color w:val="auto"/>
          <w:sz w:val="32"/>
          <w:szCs w:val="32"/>
          <w:highlight w:val="none"/>
          <w:lang w:eastAsia="zh-CN"/>
        </w:rPr>
        <w:t>二、收入决算情况说明</w:t>
      </w:r>
      <w:bookmarkEnd w:id="17"/>
      <w:bookmarkEnd w:id="18"/>
      <w:bookmarkEnd w:id="19"/>
    </w:p>
    <w:p w14:paraId="14A8D4BC">
      <w:pPr>
        <w:pStyle w:val="6"/>
        <w:bidi w:val="0"/>
        <w:ind w:firstLine="640" w:firstLineChars="200"/>
        <w:rPr>
          <w:rFonts w:hint="eastAsia"/>
          <w:color w:val="auto"/>
          <w:sz w:val="32"/>
          <w:szCs w:val="32"/>
          <w:lang w:eastAsia="zh-CN"/>
        </w:rPr>
      </w:pPr>
      <w:r>
        <w:rPr>
          <w:rFonts w:hint="eastAsia"/>
          <w:color w:val="auto"/>
          <w:sz w:val="32"/>
          <w:szCs w:val="32"/>
          <w:lang w:val="en-US" w:eastAsia="zh-CN"/>
        </w:rPr>
        <w:t>2025年度本年收入合计1904.99万元，其中：一般公共预算财政拨款收入1904.99万元，占100%；政府性基金预算财政拨款收入0万元，占0%；国有资本经营预算财政拨款收入0万元，占0%；上级补助收入0万元，占0%；事业收入0万元，占0%；经营收入0万元，占0%；附属单位上缴收入0万</w:t>
      </w:r>
      <w:r>
        <w:rPr>
          <w:rFonts w:hint="eastAsia"/>
          <w:color w:val="auto"/>
          <w:sz w:val="32"/>
          <w:szCs w:val="32"/>
          <w:lang w:eastAsia="zh-CN"/>
        </w:rPr>
        <w:t>元，占</w:t>
      </w:r>
      <w:r>
        <w:rPr>
          <w:rFonts w:hint="eastAsia"/>
          <w:color w:val="auto"/>
          <w:sz w:val="32"/>
          <w:szCs w:val="32"/>
          <w:lang w:val="en-US" w:eastAsia="zh-CN"/>
        </w:rPr>
        <w:t>0</w:t>
      </w:r>
      <w:r>
        <w:rPr>
          <w:rFonts w:hint="eastAsia"/>
          <w:color w:val="auto"/>
          <w:sz w:val="32"/>
          <w:szCs w:val="32"/>
          <w:lang w:eastAsia="zh-CN"/>
        </w:rPr>
        <w:t>%；其他收入</w:t>
      </w:r>
      <w:r>
        <w:rPr>
          <w:rFonts w:hint="eastAsia"/>
          <w:color w:val="auto"/>
          <w:sz w:val="32"/>
          <w:szCs w:val="32"/>
          <w:lang w:val="en-US" w:eastAsia="zh-CN"/>
        </w:rPr>
        <w:t>0</w:t>
      </w:r>
      <w:r>
        <w:rPr>
          <w:rFonts w:hint="eastAsia"/>
          <w:color w:val="auto"/>
          <w:sz w:val="32"/>
          <w:szCs w:val="32"/>
          <w:lang w:eastAsia="zh-CN"/>
        </w:rPr>
        <w:t>万元，占</w:t>
      </w:r>
      <w:r>
        <w:rPr>
          <w:rFonts w:hint="eastAsia"/>
          <w:color w:val="auto"/>
          <w:sz w:val="32"/>
          <w:szCs w:val="32"/>
          <w:lang w:val="en-US" w:eastAsia="zh-CN"/>
        </w:rPr>
        <w:t>0</w:t>
      </w:r>
      <w:r>
        <w:rPr>
          <w:rFonts w:hint="eastAsia"/>
          <w:color w:val="auto"/>
          <w:sz w:val="32"/>
          <w:szCs w:val="32"/>
          <w:lang w:eastAsia="zh-CN"/>
        </w:rPr>
        <w:t>%。</w:t>
      </w:r>
    </w:p>
    <w:p w14:paraId="646105B3">
      <w:pPr>
        <w:pStyle w:val="6"/>
        <w:bidi w:val="0"/>
        <w:rPr>
          <w:rFonts w:hint="eastAsia"/>
          <w:color w:val="auto"/>
          <w:lang w:eastAsia="zh-CN"/>
        </w:rPr>
      </w:pPr>
    </w:p>
    <w:p w14:paraId="58286248">
      <w:pPr>
        <w:ind w:firstLine="1760" w:firstLineChars="550"/>
        <w:rPr>
          <w:rFonts w:hint="eastAsia" w:eastAsia="仿宋_GB2312" w:cs="仿宋_GB2312"/>
          <w:color w:val="auto"/>
          <w:sz w:val="32"/>
          <w:szCs w:val="32"/>
        </w:rPr>
      </w:pPr>
      <w:r>
        <w:rPr>
          <w:rFonts w:hint="eastAsia" w:ascii="仿宋" w:hAnsi="仿宋" w:eastAsia="仿宋" w:cs="仿宋"/>
          <w:color w:val="auto"/>
          <w:sz w:val="32"/>
          <w:szCs w:val="32"/>
          <w:lang w:eastAsia="zh-CN"/>
        </w:rPr>
        <w:object>
          <v:shape id="_x0000_i1025" o:spt="75" type="#_x0000_t75" style="height:171.4pt;width:258pt;" o:ole="t" filled="f" o:preferrelative="t" stroked="f" coordsize="21600,21600">
            <v:path/>
            <v:fill on="f" focussize="0,0"/>
            <v:stroke on="f"/>
            <v:imagedata r:id="rId11" o:title=""/>
            <o:lock v:ext="edit" aspectratio="f"/>
            <w10:wrap type="none"/>
            <w10:anchorlock/>
          </v:shape>
          <o:OLEObject Type="Embed" ProgID="excel.sheet.8" ShapeID="_x0000_i1025" DrawAspect="Content" ObjectID="_1468075726" r:id="rId10">
            <o:LockedField>false</o:LockedField>
          </o:OLEObject>
        </w:object>
      </w:r>
    </w:p>
    <w:p w14:paraId="0C843D73">
      <w:pPr>
        <w:ind w:left="0" w:leftChars="0" w:right="0" w:rightChars="0" w:firstLine="2640" w:firstLineChars="1100"/>
        <w:jc w:val="both"/>
        <w:rPr>
          <w:rFonts w:hint="eastAsia" w:ascii="Times New Roman" w:hAnsi="Times New Roman" w:eastAsia="仿宋_GB2312" w:cs="仿宋_GB2312"/>
          <w:color w:val="auto"/>
          <w:sz w:val="32"/>
          <w:szCs w:val="32"/>
          <w:highlight w:val="none"/>
          <w:lang w:eastAsia="zh-CN"/>
        </w:rPr>
      </w:pPr>
      <w:r>
        <w:rPr>
          <w:rFonts w:hint="eastAsia" w:ascii="仿宋" w:hAnsi="仿宋" w:eastAsia="仿宋" w:cs="仿宋"/>
          <w:color w:val="auto"/>
          <w:sz w:val="24"/>
          <w:szCs w:val="24"/>
        </w:rPr>
        <w:t>（图2：收入决算结构图）</w:t>
      </w:r>
    </w:p>
    <w:p w14:paraId="6BFFDF1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0" w:name="_Toc15396605"/>
      <w:bookmarkStart w:id="21" w:name="_Toc15377207"/>
      <w:bookmarkStart w:id="22" w:name="_Toc23296"/>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0"/>
      <w:bookmarkEnd w:id="21"/>
      <w:bookmarkEnd w:id="22"/>
    </w:p>
    <w:p w14:paraId="759B4AE4">
      <w:pPr>
        <w:pStyle w:val="6"/>
        <w:bidi w:val="0"/>
        <w:ind w:firstLine="640" w:firstLineChars="200"/>
        <w:rPr>
          <w:rFonts w:hint="eastAsia"/>
          <w:color w:val="auto"/>
          <w:sz w:val="32"/>
          <w:szCs w:val="32"/>
          <w:lang w:eastAsia="zh-CN"/>
        </w:rPr>
      </w:pPr>
      <w:r>
        <w:rPr>
          <w:rFonts w:hint="eastAsia"/>
          <w:color w:val="auto"/>
          <w:sz w:val="32"/>
          <w:szCs w:val="32"/>
          <w:lang w:eastAsia="zh-CN"/>
        </w:rPr>
        <w:t>2025年度本年支出合计</w:t>
      </w:r>
      <w:r>
        <w:rPr>
          <w:rFonts w:hint="eastAsia"/>
          <w:color w:val="auto"/>
          <w:sz w:val="32"/>
          <w:szCs w:val="32"/>
          <w:lang w:val="en-US" w:eastAsia="zh-CN"/>
        </w:rPr>
        <w:t>1923.42</w:t>
      </w:r>
      <w:r>
        <w:rPr>
          <w:rFonts w:hint="eastAsia"/>
          <w:color w:val="auto"/>
          <w:sz w:val="32"/>
          <w:szCs w:val="32"/>
          <w:lang w:eastAsia="zh-CN"/>
        </w:rPr>
        <w:t>万元，其中：基本支出</w:t>
      </w:r>
      <w:r>
        <w:rPr>
          <w:rFonts w:hint="eastAsia"/>
          <w:color w:val="auto"/>
          <w:sz w:val="32"/>
          <w:szCs w:val="32"/>
          <w:lang w:val="en-US" w:eastAsia="zh-CN"/>
        </w:rPr>
        <w:t>1467.33</w:t>
      </w:r>
      <w:r>
        <w:rPr>
          <w:rFonts w:hint="eastAsia"/>
          <w:color w:val="auto"/>
          <w:sz w:val="32"/>
          <w:szCs w:val="32"/>
          <w:lang w:eastAsia="zh-CN"/>
        </w:rPr>
        <w:t>万元，占</w:t>
      </w:r>
      <w:r>
        <w:rPr>
          <w:rFonts w:hint="eastAsia"/>
          <w:color w:val="auto"/>
          <w:sz w:val="32"/>
          <w:szCs w:val="32"/>
          <w:lang w:val="en-US" w:eastAsia="zh-CN"/>
        </w:rPr>
        <w:t>76.29</w:t>
      </w:r>
      <w:r>
        <w:rPr>
          <w:rFonts w:hint="eastAsia"/>
          <w:color w:val="auto"/>
          <w:sz w:val="32"/>
          <w:szCs w:val="32"/>
          <w:lang w:eastAsia="zh-CN"/>
        </w:rPr>
        <w:t>%；项目支出</w:t>
      </w:r>
      <w:r>
        <w:rPr>
          <w:rFonts w:hint="eastAsia"/>
          <w:color w:val="auto"/>
          <w:sz w:val="32"/>
          <w:szCs w:val="32"/>
          <w:lang w:val="en-US" w:eastAsia="zh-CN"/>
        </w:rPr>
        <w:t>456.09</w:t>
      </w:r>
      <w:r>
        <w:rPr>
          <w:rFonts w:hint="eastAsia"/>
          <w:color w:val="auto"/>
          <w:sz w:val="32"/>
          <w:szCs w:val="32"/>
          <w:lang w:eastAsia="zh-CN"/>
        </w:rPr>
        <w:t>万元，占</w:t>
      </w:r>
      <w:r>
        <w:rPr>
          <w:rFonts w:hint="eastAsia"/>
          <w:color w:val="auto"/>
          <w:sz w:val="32"/>
          <w:szCs w:val="32"/>
          <w:lang w:val="en-US" w:eastAsia="zh-CN"/>
        </w:rPr>
        <w:t>23.71</w:t>
      </w:r>
      <w:r>
        <w:rPr>
          <w:rFonts w:hint="eastAsia"/>
          <w:color w:val="auto"/>
          <w:sz w:val="32"/>
          <w:szCs w:val="32"/>
          <w:lang w:eastAsia="zh-CN"/>
        </w:rPr>
        <w:t>%；上缴上级支出</w:t>
      </w:r>
      <w:r>
        <w:rPr>
          <w:rFonts w:hint="eastAsia"/>
          <w:color w:val="auto"/>
          <w:sz w:val="32"/>
          <w:szCs w:val="32"/>
          <w:lang w:val="en-US" w:eastAsia="zh-CN"/>
        </w:rPr>
        <w:t>0</w:t>
      </w:r>
      <w:r>
        <w:rPr>
          <w:rFonts w:hint="eastAsia"/>
          <w:color w:val="auto"/>
          <w:sz w:val="32"/>
          <w:szCs w:val="32"/>
          <w:lang w:eastAsia="zh-CN"/>
        </w:rPr>
        <w:t>万元，占</w:t>
      </w:r>
      <w:r>
        <w:rPr>
          <w:rFonts w:hint="eastAsia"/>
          <w:color w:val="auto"/>
          <w:sz w:val="32"/>
          <w:szCs w:val="32"/>
          <w:lang w:val="en-US" w:eastAsia="zh-CN"/>
        </w:rPr>
        <w:t>0</w:t>
      </w:r>
      <w:r>
        <w:rPr>
          <w:rFonts w:hint="eastAsia"/>
          <w:color w:val="auto"/>
          <w:sz w:val="32"/>
          <w:szCs w:val="32"/>
          <w:lang w:eastAsia="zh-CN"/>
        </w:rPr>
        <w:t>%；经营支出</w:t>
      </w:r>
      <w:r>
        <w:rPr>
          <w:rFonts w:hint="eastAsia"/>
          <w:color w:val="auto"/>
          <w:sz w:val="32"/>
          <w:szCs w:val="32"/>
          <w:lang w:val="en-US" w:eastAsia="zh-CN"/>
        </w:rPr>
        <w:t>0</w:t>
      </w:r>
      <w:r>
        <w:rPr>
          <w:rFonts w:hint="eastAsia"/>
          <w:color w:val="auto"/>
          <w:sz w:val="32"/>
          <w:szCs w:val="32"/>
          <w:lang w:eastAsia="zh-CN"/>
        </w:rPr>
        <w:t>万元，占</w:t>
      </w:r>
      <w:r>
        <w:rPr>
          <w:rFonts w:hint="eastAsia"/>
          <w:color w:val="auto"/>
          <w:sz w:val="32"/>
          <w:szCs w:val="32"/>
          <w:lang w:val="en-US" w:eastAsia="zh-CN"/>
        </w:rPr>
        <w:t>0</w:t>
      </w:r>
      <w:r>
        <w:rPr>
          <w:rFonts w:hint="eastAsia"/>
          <w:color w:val="auto"/>
          <w:sz w:val="32"/>
          <w:szCs w:val="32"/>
          <w:lang w:eastAsia="zh-CN"/>
        </w:rPr>
        <w:t>%；对附属单位补助支出</w:t>
      </w:r>
      <w:r>
        <w:rPr>
          <w:rFonts w:hint="eastAsia"/>
          <w:color w:val="auto"/>
          <w:sz w:val="32"/>
          <w:szCs w:val="32"/>
          <w:lang w:val="en-US" w:eastAsia="zh-CN"/>
        </w:rPr>
        <w:t>0</w:t>
      </w:r>
      <w:r>
        <w:rPr>
          <w:rFonts w:hint="eastAsia"/>
          <w:color w:val="auto"/>
          <w:sz w:val="32"/>
          <w:szCs w:val="32"/>
          <w:lang w:eastAsia="zh-CN"/>
        </w:rPr>
        <w:t>万元，占</w:t>
      </w:r>
      <w:r>
        <w:rPr>
          <w:rFonts w:hint="eastAsia"/>
          <w:color w:val="auto"/>
          <w:sz w:val="32"/>
          <w:szCs w:val="32"/>
          <w:lang w:val="en-US" w:eastAsia="zh-CN"/>
        </w:rPr>
        <w:t>0</w:t>
      </w:r>
      <w:r>
        <w:rPr>
          <w:rFonts w:hint="eastAsia"/>
          <w:color w:val="auto"/>
          <w:sz w:val="32"/>
          <w:szCs w:val="32"/>
          <w:lang w:eastAsia="zh-CN"/>
        </w:rPr>
        <w:t>%。</w:t>
      </w:r>
    </w:p>
    <w:p w14:paraId="40801351">
      <w:pPr>
        <w:pStyle w:val="22"/>
        <w:jc w:val="center"/>
        <w:rPr>
          <w:rFonts w:hint="eastAsia" w:ascii="仿宋" w:eastAsia="仿宋"/>
          <w:color w:val="auto"/>
          <w:sz w:val="32"/>
          <w:szCs w:val="32"/>
          <w:lang w:eastAsia="zh-CN"/>
        </w:rPr>
      </w:pPr>
      <w:r>
        <w:rPr>
          <w:rFonts w:hint="eastAsia" w:ascii="仿宋" w:eastAsia="仿宋"/>
          <w:color w:val="auto"/>
          <w:sz w:val="32"/>
          <w:szCs w:val="32"/>
          <w:lang w:eastAsia="zh-CN"/>
        </w:rPr>
        <w:object>
          <v:shape id="_x0000_i1026" o:spt="75" type="#_x0000_t75" style="height:185.55pt;width:301.6pt;" o:ole="t" filled="f" o:preferrelative="t" stroked="f" coordsize="21600,21600" o:gfxdata="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">
            <v:path/>
            <v:fill on="f" focussize="0,0"/>
            <v:stroke on="f"/>
            <v:imagedata r:id="rId13" o:title=""/>
            <o:lock v:ext="edit" aspectratio="t"/>
            <w10:wrap type="none"/>
            <w10:anchorlock/>
          </v:shape>
          <o:OLEObject Type="Embed" ProgID="excel.sheet.8" ShapeID="_x0000_i1026" DrawAspect="Content" ObjectID="_1468075727" r:id="rId12">
            <o:LockedField>false</o:LockedField>
          </o:OLEObject>
        </w:object>
      </w:r>
    </w:p>
    <w:p w14:paraId="4C70C1EE">
      <w:pPr>
        <w:jc w:val="center"/>
        <w:rPr>
          <w:rFonts w:hint="eastAsia" w:ascii="仿宋" w:hAnsi="仿宋" w:eastAsia="仿宋" w:cs="仿宋"/>
          <w:color w:val="auto"/>
          <w:sz w:val="24"/>
          <w:szCs w:val="24"/>
          <w:highlight w:val="none"/>
        </w:rPr>
      </w:pPr>
      <w:bookmarkStart w:id="23" w:name="_Toc5231"/>
      <w:r>
        <w:rPr>
          <w:rFonts w:hint="eastAsia" w:ascii="仿宋" w:hAnsi="仿宋" w:eastAsia="仿宋" w:cs="仿宋"/>
          <w:color w:val="auto"/>
          <w:sz w:val="24"/>
          <w:szCs w:val="24"/>
          <w:highlight w:val="none"/>
        </w:rPr>
        <w:t>（图3：支出决算结构图）</w:t>
      </w:r>
      <w:bookmarkEnd w:id="23"/>
    </w:p>
    <w:p w14:paraId="461ACCA4">
      <w:pPr>
        <w:jc w:val="center"/>
        <w:rPr>
          <w:rFonts w:hint="eastAsia" w:ascii="仿宋" w:hAnsi="仿宋" w:eastAsia="仿宋" w:cs="仿宋"/>
          <w:color w:val="auto"/>
          <w:sz w:val="24"/>
          <w:szCs w:val="24"/>
          <w:highlight w:val="none"/>
          <w:lang w:eastAsia="zh-CN"/>
        </w:rPr>
      </w:pPr>
    </w:p>
    <w:p w14:paraId="466ACD89">
      <w:pPr>
        <w:spacing w:line="600" w:lineRule="exact"/>
        <w:ind w:firstLine="640" w:firstLineChars="200"/>
        <w:outlineLvl w:val="1"/>
        <w:rPr>
          <w:rStyle w:val="32"/>
          <w:rFonts w:ascii="Times New Roman" w:hAnsi="Times New Roman" w:eastAsia="黑体"/>
          <w:b w:val="0"/>
          <w:color w:val="auto"/>
          <w:highlight w:val="none"/>
        </w:rPr>
      </w:pPr>
      <w:bookmarkStart w:id="24" w:name="_Toc15377208"/>
      <w:bookmarkStart w:id="25" w:name="_Toc15396606"/>
      <w:bookmarkStart w:id="26" w:name="_Toc8461"/>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4"/>
      <w:bookmarkEnd w:id="25"/>
      <w:bookmarkEnd w:id="26"/>
    </w:p>
    <w:p w14:paraId="17C738EC">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1904.99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1229.44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180.74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s="仿宋"/>
          <w:color w:val="auto"/>
          <w:sz w:val="32"/>
          <w:szCs w:val="32"/>
          <w:shd w:val="clear" w:color="auto" w:fill="FFFFFF"/>
          <w:lang w:val="en-US" w:eastAsia="zh-CN"/>
        </w:rPr>
        <w:t>2025年机构改革，</w:t>
      </w:r>
      <w:r>
        <w:rPr>
          <w:rFonts w:hint="eastAsia" w:ascii="仿宋" w:hAnsi="仿宋" w:eastAsia="仿宋" w:cs="仿宋"/>
          <w:color w:val="auto"/>
          <w:sz w:val="32"/>
          <w:szCs w:val="32"/>
          <w:shd w:val="clear" w:color="auto" w:fill="FFFFFF"/>
        </w:rPr>
        <w:t>根据阿编发〔2025〕5号文件要求</w:t>
      </w:r>
      <w:r>
        <w:rPr>
          <w:rFonts w:hint="eastAsia" w:ascii="仿宋" w:hAnsi="仿宋" w:eastAsia="仿宋" w:cs="仿宋"/>
          <w:color w:val="auto"/>
          <w:sz w:val="32"/>
          <w:szCs w:val="32"/>
          <w:shd w:val="clear" w:color="auto" w:fill="FFFFFF"/>
          <w:lang w:val="en-US" w:eastAsia="zh-CN"/>
        </w:rPr>
        <w:t>，州林业和草原科学技术研究所、州工业经济研究所、州自然资源与科技信息研究所合并到州生态保护与发展研究院，更名为阿坝州生态保护和发展研究院</w:t>
      </w:r>
      <w:r>
        <w:rPr>
          <w:rFonts w:hint="eastAsia" w:ascii="仿宋" w:hAnsi="仿宋" w:eastAsia="仿宋" w:cs="仿宋"/>
          <w:color w:val="auto"/>
          <w:sz w:val="32"/>
          <w:szCs w:val="32"/>
          <w:shd w:val="clear" w:color="auto" w:fill="FFFFFF"/>
          <w:lang w:eastAsia="zh-CN"/>
        </w:rPr>
        <w:t>，并做合并账务处理和决算。</w:t>
      </w:r>
    </w:p>
    <w:p w14:paraId="2C9610D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rPr>
        <w:pict>
          <v:shape id="图表 3" o:spid="_x0000_s1027" o:spt="75" type="#_x0000_t75" style="position:absolute;left:0pt;margin-left:60.15pt;margin-top:23.3pt;height:176.55pt;width:253.55pt;mso-wrap-distance-bottom:0pt;mso-wrap-distance-left:9pt;mso-wrap-distance-right:9pt;mso-wrap-distance-top:0pt;z-index:251660288;mso-width-relative:page;mso-height-relative:page;" o:ole="t" filled="f" o:preferrelative="t" stroked="f" coordsize="21600,21600">
            <v:path/>
            <v:fill on="f" focussize="0,0"/>
            <v:stroke on="f"/>
            <v:imagedata r:id="rId15" o:title=""/>
            <o:lock v:ext="edit" aspectratio="f"/>
            <w10:wrap type="square"/>
          </v:shape>
          <o:OLEObject Type="Embed" ProgID="Excel.Sheet.8" ShapeID="图表 3" DrawAspect="Content" ObjectID="_1468075728" r:id="rId14">
            <o:LockedField>false</o:LockedField>
          </o:OLEObject>
        </w:pict>
      </w:r>
    </w:p>
    <w:p w14:paraId="439E9A0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9DECA2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21C78E1E">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14:paraId="78DFA54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007B06F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C686374">
      <w:pPr>
        <w:spacing w:line="600" w:lineRule="exact"/>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 xml:space="preserve">   </w:t>
      </w:r>
    </w:p>
    <w:p w14:paraId="30C96D2A">
      <w:pPr>
        <w:spacing w:line="600" w:lineRule="exact"/>
        <w:ind w:firstLine="1200" w:firstLineChars="5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24"/>
          <w:szCs w:val="24"/>
        </w:rPr>
        <w:t>（图4：财政拨款收、支决算总计变动情况）</w:t>
      </w:r>
    </w:p>
    <w:p w14:paraId="6083FCA9">
      <w:pPr>
        <w:spacing w:line="600" w:lineRule="exact"/>
        <w:ind w:firstLine="640" w:firstLineChars="200"/>
        <w:outlineLvl w:val="1"/>
        <w:rPr>
          <w:rStyle w:val="32"/>
          <w:rFonts w:ascii="Times New Roman" w:hAnsi="Times New Roman" w:eastAsia="黑体"/>
          <w:b w:val="0"/>
          <w:color w:val="auto"/>
          <w:highlight w:val="none"/>
        </w:rPr>
      </w:pPr>
      <w:bookmarkStart w:id="27" w:name="_Toc15396607"/>
      <w:bookmarkStart w:id="28" w:name="_Toc15377209"/>
      <w:bookmarkStart w:id="29" w:name="_Toc2474"/>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7"/>
      <w:bookmarkEnd w:id="28"/>
      <w:bookmarkEnd w:id="29"/>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642416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1904.99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99.04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1299.44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180.74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2025年机构改革，</w:t>
      </w:r>
      <w:r>
        <w:rPr>
          <w:rFonts w:hint="eastAsia" w:ascii="仿宋" w:hAnsi="仿宋" w:eastAsia="仿宋" w:cs="仿宋"/>
          <w:color w:val="auto"/>
          <w:sz w:val="32"/>
          <w:szCs w:val="32"/>
          <w:shd w:val="clear" w:color="auto" w:fill="FFFFFF"/>
        </w:rPr>
        <w:t>根据阿编发〔2025〕5号文件要求</w:t>
      </w:r>
      <w:r>
        <w:rPr>
          <w:rFonts w:hint="eastAsia" w:ascii="仿宋" w:hAnsi="仿宋" w:eastAsia="仿宋" w:cs="仿宋"/>
          <w:color w:val="auto"/>
          <w:sz w:val="32"/>
          <w:szCs w:val="32"/>
          <w:shd w:val="clear" w:color="auto" w:fill="FFFFFF"/>
          <w:lang w:val="en-US" w:eastAsia="zh-CN"/>
        </w:rPr>
        <w:t>，</w:t>
      </w:r>
      <w:r>
        <w:rPr>
          <w:rFonts w:hint="eastAsia" w:eastAsia="仿宋_GB2312" w:cs="仿宋_GB2312"/>
          <w:color w:val="auto"/>
          <w:kern w:val="2"/>
          <w:sz w:val="32"/>
          <w:szCs w:val="32"/>
          <w:highlight w:val="none"/>
          <w:lang w:val="en-US" w:eastAsia="zh-CN" w:bidi="ar-SA"/>
        </w:rPr>
        <w:t>四家单位合并为</w:t>
      </w:r>
      <w:r>
        <w:rPr>
          <w:rFonts w:hint="eastAsia" w:ascii="仿宋" w:hAnsi="仿宋" w:eastAsia="仿宋" w:cs="仿宋"/>
          <w:color w:val="auto"/>
          <w:sz w:val="32"/>
          <w:szCs w:val="32"/>
          <w:shd w:val="clear" w:color="auto" w:fill="FFFFFF"/>
          <w:lang w:val="en-US" w:eastAsia="zh-CN"/>
        </w:rPr>
        <w:t>州生态保护和发展研究院</w:t>
      </w:r>
      <w:r>
        <w:rPr>
          <w:rFonts w:hint="eastAsia" w:ascii="仿宋" w:hAnsi="仿宋" w:eastAsia="仿宋" w:cs="仿宋"/>
          <w:color w:val="auto"/>
          <w:sz w:val="32"/>
          <w:szCs w:val="32"/>
          <w:shd w:val="clear" w:color="auto" w:fill="FFFFFF"/>
          <w:lang w:eastAsia="zh-CN"/>
        </w:rPr>
        <w:t>，并做合并账务处理和决算。</w:t>
      </w:r>
    </w:p>
    <w:p w14:paraId="083021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A9CB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D76D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rPr>
        <w:pict>
          <v:shape id="对象 1" o:spid="_x0000_s1028" o:spt="75" type="#_x0000_t75" style="position:absolute;left:0pt;margin-left:46.95pt;margin-top:-11.05pt;height:165.3pt;width:248.5pt;mso-wrap-distance-bottom:0pt;mso-wrap-distance-left:9pt;mso-wrap-distance-right:9pt;mso-wrap-distance-top:0pt;z-index:251661312;mso-width-relative:page;mso-height-relative:page;" o:ole="t" filled="f" o:preferrelative="t" stroked="f" coordsize="21600,21600">
            <v:path/>
            <v:fill on="f" focussize="0,0"/>
            <v:stroke on="f"/>
            <v:imagedata r:id="rId17" o:title=""/>
            <o:lock v:ext="edit" aspectratio="t"/>
            <w10:wrap type="square"/>
          </v:shape>
          <o:OLEObject Type="Embed" ProgID="Excel.Sheet.8" ShapeID="对象 1" DrawAspect="Content" ObjectID="_1468075729" r:id="rId16">
            <o:LockedField>false</o:LockedField>
          </o:OLEObject>
        </w:pict>
      </w:r>
    </w:p>
    <w:p w14:paraId="5A198D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8CF27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9B6F04">
      <w:pPr>
        <w:spacing w:line="600" w:lineRule="exact"/>
        <w:ind w:right="0" w:rightChars="0"/>
        <w:jc w:val="both"/>
        <w:rPr>
          <w:rFonts w:hint="eastAsia" w:ascii="仿宋" w:hAnsi="仿宋" w:eastAsia="仿宋" w:cs="仿宋"/>
          <w:color w:val="auto"/>
          <w:sz w:val="24"/>
          <w:szCs w:val="24"/>
        </w:rPr>
      </w:pPr>
    </w:p>
    <w:p w14:paraId="35673404">
      <w:pPr>
        <w:spacing w:line="600" w:lineRule="exact"/>
        <w:ind w:right="0" w:rightChars="0"/>
        <w:jc w:val="both"/>
        <w:rPr>
          <w:rFonts w:hint="eastAsia" w:ascii="仿宋" w:hAnsi="仿宋" w:eastAsia="仿宋" w:cs="仿宋"/>
          <w:color w:val="auto"/>
          <w:sz w:val="24"/>
          <w:szCs w:val="24"/>
        </w:rPr>
      </w:pPr>
    </w:p>
    <w:p w14:paraId="748CCC84">
      <w:pPr>
        <w:spacing w:line="600" w:lineRule="exact"/>
        <w:ind w:right="0" w:rightChars="0"/>
        <w:jc w:val="both"/>
        <w:rPr>
          <w:rFonts w:hint="eastAsia" w:ascii="仿宋" w:hAnsi="仿宋" w:eastAsia="仿宋" w:cs="仿宋"/>
          <w:color w:val="auto"/>
          <w:sz w:val="24"/>
          <w:szCs w:val="24"/>
        </w:rPr>
      </w:pPr>
    </w:p>
    <w:p w14:paraId="19C0E616">
      <w:pPr>
        <w:spacing w:line="600" w:lineRule="exact"/>
        <w:ind w:right="0" w:rightChars="0" w:firstLine="1440" w:firstLineChars="6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24"/>
          <w:szCs w:val="24"/>
        </w:rPr>
        <w:t>（图5：一般公共预算财政拨款支出决算变动情况）</w:t>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396F12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1904.99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122.62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6.44</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984.8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183.81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69.07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3.62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农林水支出358.08万元，占18.79%；资源勘探工业信息等支出94.44万元，占4.96%；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92.17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4.84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77B691C">
      <w:pPr>
        <w:pStyle w:val="22"/>
        <w:ind w:firstLine="1606" w:firstLineChars="500"/>
        <w:rPr>
          <w:rFonts w:hint="eastAsia"/>
          <w:color w:val="auto"/>
          <w:lang w:eastAsia="zh-CN"/>
        </w:rPr>
      </w:pPr>
      <w:r>
        <w:rPr>
          <w:rFonts w:hint="eastAsia" w:ascii="仿宋" w:eastAsia="仿宋"/>
          <w:color w:val="auto"/>
          <w:sz w:val="32"/>
          <w:szCs w:val="32"/>
          <w:lang w:eastAsia="zh-CN"/>
        </w:rPr>
        <w:object>
          <v:shape id="_x0000_i1027" o:spt="75" type="#_x0000_t75" style="height:187.55pt;width:232.4pt;" o:ole="t" filled="f" o:preferrelative="t" stroked="f" coordsize="21600,21600" o:gfxdata="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&#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">
            <v:path/>
            <v:fill on="f" focussize="0,0"/>
            <v:stroke on="f"/>
            <v:imagedata r:id="rId19" o:title=""/>
            <o:lock v:ext="edit" aspectratio="f"/>
            <w10:wrap type="none"/>
            <w10:anchorlock/>
          </v:shape>
          <o:OLEObject Type="Embed" ProgID="excel.sheet.8" ShapeID="_x0000_i1027" DrawAspect="Content" ObjectID="_1468075730" r:id="rId18">
            <o:LockedField>false</o:LockedField>
          </o:OLEObject>
        </w:object>
      </w:r>
    </w:p>
    <w:p w14:paraId="22724E86">
      <w:pPr>
        <w:spacing w:line="600" w:lineRule="exact"/>
        <w:ind w:left="0" w:leftChars="0" w:right="0" w:righ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（图6：一般公共预算财政拨款支出决算结构）</w:t>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8460"/>
      <w:bookmarkStart w:id="34" w:name="_Toc15377213"/>
      <w:bookmarkStart w:id="3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1904.99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0E760F15">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）事业运行（50）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122.62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087C2B14">
      <w:pPr>
        <w:ind w:firstLine="640" w:firstLineChars="200"/>
        <w:rPr>
          <w:rFonts w:hint="eastAsia" w:ascii="仿宋_GB2312" w:hAnsi="仿宋_GB2312" w:eastAsia="仿宋_GB2312" w:cs="仿宋_GB2312"/>
          <w:color w:val="auto"/>
          <w:sz w:val="32"/>
          <w:szCs w:val="32"/>
          <w:lang w:eastAsia="zh-CN"/>
        </w:rPr>
      </w:pPr>
      <w:r>
        <w:rPr>
          <w:rFonts w:hint="eastAsia"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sz w:val="32"/>
          <w:szCs w:val="32"/>
        </w:rPr>
        <w:t>科学技术</w:t>
      </w:r>
      <w:r>
        <w:rPr>
          <w:rFonts w:hint="eastAsia" w:ascii="仿宋_GB2312" w:hAnsi="仿宋_GB2312" w:eastAsia="仿宋_GB2312" w:cs="仿宋_GB2312"/>
          <w:color w:val="auto"/>
          <w:sz w:val="32"/>
          <w:szCs w:val="32"/>
          <w:lang w:eastAsia="zh-CN"/>
        </w:rPr>
        <w:t>支出</w:t>
      </w:r>
      <w:r>
        <w:rPr>
          <w:rFonts w:hint="eastAsia" w:ascii="仿宋_GB2312" w:hAnsi="仿宋_GB2312" w:eastAsia="仿宋_GB2312" w:cs="仿宋_GB2312"/>
          <w:color w:val="auto"/>
          <w:sz w:val="32"/>
          <w:szCs w:val="32"/>
        </w:rPr>
        <w:t>（206）应用研究（03）机构运行（01）: 支出决算为</w:t>
      </w:r>
      <w:r>
        <w:rPr>
          <w:rFonts w:hint="eastAsia" w:ascii="仿宋_GB2312" w:hAnsi="仿宋_GB2312" w:eastAsia="仿宋_GB2312" w:cs="仿宋_GB2312"/>
          <w:color w:val="auto"/>
          <w:sz w:val="32"/>
          <w:szCs w:val="32"/>
          <w:lang w:val="en-US" w:eastAsia="zh-CN"/>
        </w:rPr>
        <w:t>750.52</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%，决算数等于预算数</w:t>
      </w:r>
      <w:r>
        <w:rPr>
          <w:rFonts w:hint="eastAsia" w:ascii="仿宋_GB2312" w:hAnsi="仿宋_GB2312" w:eastAsia="仿宋_GB2312" w:cs="仿宋_GB2312"/>
          <w:color w:val="auto"/>
          <w:sz w:val="32"/>
          <w:szCs w:val="32"/>
          <w:lang w:eastAsia="zh-CN"/>
        </w:rPr>
        <w:t>。</w:t>
      </w:r>
    </w:p>
    <w:p w14:paraId="02D203CD">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sz w:val="32"/>
          <w:szCs w:val="32"/>
        </w:rPr>
        <w:t>科学技术支出（206）应用研究（03）社会公益研究（02）:支出决算为</w:t>
      </w:r>
      <w:r>
        <w:rPr>
          <w:rFonts w:hint="eastAsia" w:ascii="仿宋_GB2312" w:hAnsi="仿宋_GB2312" w:eastAsia="仿宋_GB2312" w:cs="仿宋_GB2312"/>
          <w:color w:val="auto"/>
          <w:sz w:val="32"/>
          <w:szCs w:val="32"/>
          <w:lang w:val="en-US" w:eastAsia="zh-CN"/>
        </w:rPr>
        <w:t>169.10</w:t>
      </w:r>
      <w:r>
        <w:rPr>
          <w:rFonts w:hint="eastAsia" w:ascii="仿宋_GB2312" w:hAnsi="仿宋_GB2312" w:eastAsia="仿宋_GB2312" w:cs="仿宋_GB2312"/>
          <w:color w:val="auto"/>
          <w:sz w:val="32"/>
          <w:szCs w:val="32"/>
        </w:rPr>
        <w:t>万元，完成预算100%。</w:t>
      </w:r>
    </w:p>
    <w:p w14:paraId="5CDC1E72">
      <w:pPr>
        <w:ind w:firstLine="640" w:firstLineChars="200"/>
        <w:rPr>
          <w:rFonts w:hint="eastAsia" w:ascii="仿宋_GB2312" w:hAnsi="仿宋_GB2312" w:eastAsia="仿宋_GB2312" w:cs="仿宋_GB2312"/>
          <w:color w:val="auto"/>
          <w:sz w:val="32"/>
          <w:szCs w:val="32"/>
          <w:lang w:eastAsia="zh-CN"/>
        </w:rPr>
      </w:pPr>
      <w:r>
        <w:rPr>
          <w:rFonts w:hint="eastAsia" w:eastAsia="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sz w:val="32"/>
          <w:szCs w:val="32"/>
        </w:rPr>
        <w:t>科学技术支出（206）应用研究（03）其他应用研究支出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35.47</w:t>
      </w:r>
      <w:r>
        <w:rPr>
          <w:rFonts w:hint="eastAsia" w:ascii="仿宋_GB2312" w:hAnsi="仿宋_GB2312" w:eastAsia="仿宋_GB2312" w:cs="仿宋_GB2312"/>
          <w:color w:val="auto"/>
          <w:sz w:val="32"/>
          <w:szCs w:val="32"/>
        </w:rPr>
        <w:t>万元，完成预算100%。</w:t>
      </w:r>
    </w:p>
    <w:p w14:paraId="030BF7D6">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sz w:val="32"/>
          <w:szCs w:val="32"/>
        </w:rPr>
        <w:t>科学技术支出（206）技术研究与开发（04）应用技术研究与开发（99）:支出决算为</w:t>
      </w:r>
      <w:r>
        <w:rPr>
          <w:rFonts w:hint="eastAsia" w:ascii="仿宋_GB2312" w:hAnsi="仿宋_GB2312" w:eastAsia="仿宋_GB2312" w:cs="仿宋_GB2312"/>
          <w:color w:val="auto"/>
          <w:sz w:val="32"/>
          <w:szCs w:val="32"/>
          <w:lang w:val="en-US" w:eastAsia="zh-CN"/>
        </w:rPr>
        <w:t>9.14</w:t>
      </w:r>
      <w:r>
        <w:rPr>
          <w:rFonts w:hint="eastAsia" w:ascii="仿宋_GB2312" w:hAnsi="仿宋_GB2312" w:eastAsia="仿宋_GB2312" w:cs="仿宋_GB2312"/>
          <w:color w:val="auto"/>
          <w:sz w:val="32"/>
          <w:szCs w:val="32"/>
        </w:rPr>
        <w:t>万元，完成预算100%。</w:t>
      </w:r>
    </w:p>
    <w:p w14:paraId="522E2FBA">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6.</w:t>
      </w:r>
      <w:r>
        <w:rPr>
          <w:rFonts w:hint="eastAsia" w:ascii="仿宋_GB2312" w:hAnsi="仿宋_GB2312" w:eastAsia="仿宋_GB2312" w:cs="仿宋_GB2312"/>
          <w:color w:val="auto"/>
          <w:sz w:val="32"/>
          <w:szCs w:val="32"/>
        </w:rPr>
        <w:t>科学技术支出（206）</w:t>
      </w:r>
      <w:r>
        <w:rPr>
          <w:rFonts w:hint="eastAsia" w:ascii="仿宋_GB2312" w:hAnsi="仿宋_GB2312" w:eastAsia="仿宋_GB2312" w:cs="仿宋_GB2312"/>
          <w:color w:val="auto"/>
          <w:sz w:val="32"/>
          <w:szCs w:val="32"/>
          <w:lang w:eastAsia="zh-CN"/>
        </w:rPr>
        <w:t>科技重大项目</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重点研发计划</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02</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7.90</w:t>
      </w:r>
      <w:r>
        <w:rPr>
          <w:rFonts w:hint="eastAsia" w:ascii="仿宋_GB2312" w:hAnsi="仿宋_GB2312" w:eastAsia="仿宋_GB2312" w:cs="仿宋_GB2312"/>
          <w:color w:val="auto"/>
          <w:sz w:val="32"/>
          <w:szCs w:val="32"/>
        </w:rPr>
        <w:t>万元，完成预算100%。</w:t>
      </w:r>
    </w:p>
    <w:p w14:paraId="75316F0E">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7.</w:t>
      </w:r>
      <w:r>
        <w:rPr>
          <w:rFonts w:hint="eastAsia" w:ascii="仿宋_GB2312" w:hAnsi="仿宋_GB2312" w:eastAsia="仿宋_GB2312" w:cs="仿宋_GB2312"/>
          <w:color w:val="auto"/>
          <w:sz w:val="32"/>
          <w:szCs w:val="32"/>
        </w:rPr>
        <w:t>科学技术支出（206</w:t>
      </w:r>
      <w:r>
        <w:rPr>
          <w:rFonts w:hint="eastAsia" w:ascii="仿宋_GB2312" w:hAnsi="仿宋_GB2312" w:eastAsia="仿宋_GB2312" w:cs="仿宋_GB2312"/>
          <w:color w:val="auto"/>
          <w:sz w:val="32"/>
          <w:szCs w:val="32"/>
          <w:lang w:eastAsia="zh-CN"/>
        </w:rPr>
        <w:t>）其他科学技术支出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其他科学技术支出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12.68</w:t>
      </w:r>
      <w:r>
        <w:rPr>
          <w:rFonts w:hint="eastAsia" w:ascii="仿宋_GB2312" w:hAnsi="仿宋_GB2312" w:eastAsia="仿宋_GB2312" w:cs="仿宋_GB2312"/>
          <w:color w:val="auto"/>
          <w:sz w:val="32"/>
          <w:szCs w:val="32"/>
        </w:rPr>
        <w:t>万元，完成预算100%。</w:t>
      </w:r>
    </w:p>
    <w:p w14:paraId="393BED9D">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8.</w:t>
      </w:r>
      <w:r>
        <w:rPr>
          <w:rFonts w:hint="eastAsia" w:ascii="仿宋_GB2312" w:hAnsi="仿宋_GB2312" w:eastAsia="仿宋_GB2312" w:cs="仿宋_GB2312"/>
          <w:color w:val="auto"/>
          <w:sz w:val="32"/>
          <w:szCs w:val="32"/>
        </w:rPr>
        <w:t>社会保障和就业支出（208）行政事业单位离退休（05）机关事业单位基本养老保险缴费支出（05）:支出决算为</w:t>
      </w:r>
      <w:r>
        <w:rPr>
          <w:rFonts w:hint="eastAsia" w:ascii="仿宋_GB2312" w:hAnsi="仿宋_GB2312" w:eastAsia="仿宋_GB2312" w:cs="仿宋_GB2312"/>
          <w:color w:val="auto"/>
          <w:sz w:val="32"/>
          <w:szCs w:val="32"/>
          <w:lang w:val="en-US" w:eastAsia="zh-CN"/>
        </w:rPr>
        <w:t>111.79</w:t>
      </w:r>
      <w:r>
        <w:rPr>
          <w:rFonts w:hint="eastAsia" w:ascii="仿宋_GB2312" w:hAnsi="仿宋_GB2312" w:eastAsia="仿宋_GB2312" w:cs="仿宋_GB2312"/>
          <w:color w:val="auto"/>
          <w:sz w:val="32"/>
          <w:szCs w:val="32"/>
        </w:rPr>
        <w:t>万元，完成预算100%。</w:t>
      </w:r>
    </w:p>
    <w:p w14:paraId="262F72E3">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9.</w:t>
      </w:r>
      <w:r>
        <w:rPr>
          <w:rFonts w:hint="eastAsia" w:ascii="仿宋_GB2312" w:hAnsi="仿宋_GB2312" w:eastAsia="仿宋_GB2312" w:cs="仿宋_GB2312"/>
          <w:color w:val="auto"/>
          <w:sz w:val="32"/>
          <w:szCs w:val="32"/>
        </w:rPr>
        <w:t>社会保障和就业支出（208）行政事业单位离退休（05）机关事业单位职业年金缴费支出（06）:支出决算为</w:t>
      </w:r>
      <w:r>
        <w:rPr>
          <w:rFonts w:hint="eastAsia" w:ascii="仿宋_GB2312" w:hAnsi="仿宋_GB2312" w:eastAsia="仿宋_GB2312" w:cs="仿宋_GB2312"/>
          <w:color w:val="auto"/>
          <w:sz w:val="32"/>
          <w:szCs w:val="32"/>
          <w:lang w:val="en-US" w:eastAsia="zh-CN"/>
        </w:rPr>
        <w:t>55.90</w:t>
      </w:r>
      <w:r>
        <w:rPr>
          <w:rFonts w:hint="eastAsia" w:ascii="仿宋_GB2312" w:hAnsi="仿宋_GB2312" w:eastAsia="仿宋_GB2312" w:cs="仿宋_GB2312"/>
          <w:color w:val="auto"/>
          <w:sz w:val="32"/>
          <w:szCs w:val="32"/>
        </w:rPr>
        <w:t>万元，完成预算100%。</w:t>
      </w:r>
    </w:p>
    <w:p w14:paraId="0241CBFE">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sz w:val="32"/>
          <w:szCs w:val="32"/>
        </w:rPr>
        <w:t>社会保障和就业支出（208）行政事业单位离退休（05）其他行政事业单位养老支出（</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16.12</w:t>
      </w:r>
      <w:r>
        <w:rPr>
          <w:rFonts w:hint="eastAsia" w:ascii="仿宋_GB2312" w:hAnsi="仿宋_GB2312" w:eastAsia="仿宋_GB2312" w:cs="仿宋_GB2312"/>
          <w:color w:val="auto"/>
          <w:sz w:val="32"/>
          <w:szCs w:val="32"/>
        </w:rPr>
        <w:t>万元，完成预算100%。</w:t>
      </w:r>
    </w:p>
    <w:p w14:paraId="52056461">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11.</w:t>
      </w:r>
      <w:r>
        <w:rPr>
          <w:rFonts w:hint="eastAsia" w:ascii="仿宋_GB2312" w:hAnsi="仿宋_GB2312" w:eastAsia="仿宋_GB2312" w:cs="仿宋_GB2312"/>
          <w:color w:val="auto"/>
          <w:sz w:val="32"/>
          <w:szCs w:val="32"/>
        </w:rPr>
        <w:t>卫生健康支出（210）行政事业单位医疗（11）事业单位医疗（02）：支出决算为</w:t>
      </w:r>
      <w:r>
        <w:rPr>
          <w:rFonts w:hint="eastAsia" w:ascii="仿宋_GB2312" w:hAnsi="仿宋_GB2312" w:eastAsia="仿宋_GB2312" w:cs="仿宋_GB2312"/>
          <w:color w:val="auto"/>
          <w:sz w:val="32"/>
          <w:szCs w:val="32"/>
          <w:lang w:val="en-US" w:eastAsia="zh-CN"/>
        </w:rPr>
        <w:t>52.02</w:t>
      </w:r>
      <w:r>
        <w:rPr>
          <w:rFonts w:hint="eastAsia" w:ascii="仿宋_GB2312" w:hAnsi="仿宋_GB2312" w:eastAsia="仿宋_GB2312" w:cs="仿宋_GB2312"/>
          <w:color w:val="auto"/>
          <w:sz w:val="32"/>
          <w:szCs w:val="32"/>
        </w:rPr>
        <w:t>万元，完成预算100%。</w:t>
      </w:r>
    </w:p>
    <w:p w14:paraId="57861093">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12.</w:t>
      </w:r>
      <w:r>
        <w:rPr>
          <w:rFonts w:hint="eastAsia" w:ascii="仿宋_GB2312" w:hAnsi="仿宋_GB2312" w:eastAsia="仿宋_GB2312" w:cs="仿宋_GB2312"/>
          <w:color w:val="auto"/>
          <w:sz w:val="32"/>
          <w:szCs w:val="32"/>
        </w:rPr>
        <w:t>卫生健康支出（210）行政事业单位医疗（11）其他行政事业单位医疗支出（99）：支出决算为</w:t>
      </w:r>
      <w:r>
        <w:rPr>
          <w:rFonts w:hint="eastAsia" w:ascii="仿宋_GB2312" w:hAnsi="仿宋_GB2312" w:eastAsia="仿宋_GB2312" w:cs="仿宋_GB2312"/>
          <w:color w:val="auto"/>
          <w:sz w:val="32"/>
          <w:szCs w:val="32"/>
          <w:lang w:val="en-US" w:eastAsia="zh-CN"/>
        </w:rPr>
        <w:t>17.06</w:t>
      </w:r>
      <w:r>
        <w:rPr>
          <w:rFonts w:hint="eastAsia" w:ascii="仿宋_GB2312" w:hAnsi="仿宋_GB2312" w:eastAsia="仿宋_GB2312" w:cs="仿宋_GB2312"/>
          <w:color w:val="auto"/>
          <w:sz w:val="32"/>
          <w:szCs w:val="32"/>
        </w:rPr>
        <w:t>万元，完成预算100%。</w:t>
      </w:r>
    </w:p>
    <w:p w14:paraId="08A40255">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13.</w:t>
      </w:r>
      <w:r>
        <w:rPr>
          <w:rFonts w:hint="eastAsia" w:ascii="仿宋_GB2312" w:hAnsi="仿宋_GB2312" w:eastAsia="仿宋_GB2312" w:cs="仿宋_GB2312"/>
          <w:color w:val="auto"/>
          <w:sz w:val="32"/>
          <w:szCs w:val="32"/>
          <w:lang w:val="en-US" w:eastAsia="zh-CN"/>
        </w:rPr>
        <w:t>农林水支出（213）林业和草原（02）事业机构（04）</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249.14</w:t>
      </w:r>
      <w:r>
        <w:rPr>
          <w:rFonts w:hint="eastAsia" w:ascii="仿宋_GB2312" w:hAnsi="仿宋_GB2312" w:eastAsia="仿宋_GB2312" w:cs="仿宋_GB2312"/>
          <w:color w:val="auto"/>
          <w:sz w:val="32"/>
          <w:szCs w:val="32"/>
        </w:rPr>
        <w:t>万元，完成预算100%。</w:t>
      </w:r>
    </w:p>
    <w:p w14:paraId="4E7CC6BB">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14.</w:t>
      </w:r>
      <w:r>
        <w:rPr>
          <w:rFonts w:hint="eastAsia" w:ascii="仿宋_GB2312" w:hAnsi="仿宋_GB2312" w:eastAsia="仿宋_GB2312" w:cs="仿宋_GB2312"/>
          <w:color w:val="auto"/>
          <w:sz w:val="32"/>
          <w:szCs w:val="32"/>
          <w:lang w:val="en-US" w:eastAsia="zh-CN"/>
        </w:rPr>
        <w:t>农林水支出（213）林业和草原（02）技术推广与转化（06）</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44.15</w:t>
      </w:r>
      <w:r>
        <w:rPr>
          <w:rFonts w:hint="eastAsia" w:ascii="仿宋_GB2312" w:hAnsi="仿宋_GB2312" w:eastAsia="仿宋_GB2312" w:cs="仿宋_GB2312"/>
          <w:color w:val="auto"/>
          <w:sz w:val="32"/>
          <w:szCs w:val="32"/>
        </w:rPr>
        <w:t>万元，完成预算100%。</w:t>
      </w:r>
    </w:p>
    <w:p w14:paraId="665154FB">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15.</w:t>
      </w:r>
      <w:r>
        <w:rPr>
          <w:rFonts w:hint="eastAsia" w:ascii="仿宋_GB2312" w:hAnsi="仿宋_GB2312" w:eastAsia="仿宋_GB2312" w:cs="仿宋_GB2312"/>
          <w:color w:val="auto"/>
          <w:sz w:val="32"/>
          <w:szCs w:val="32"/>
          <w:lang w:val="en-US" w:eastAsia="zh-CN"/>
        </w:rPr>
        <w:t>农林水支出（213）林业和草原（02）其他林业和草原支出（99）</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64.79</w:t>
      </w:r>
      <w:r>
        <w:rPr>
          <w:rFonts w:hint="eastAsia" w:ascii="仿宋_GB2312" w:hAnsi="仿宋_GB2312" w:eastAsia="仿宋_GB2312" w:cs="仿宋_GB2312"/>
          <w:color w:val="auto"/>
          <w:sz w:val="32"/>
          <w:szCs w:val="32"/>
        </w:rPr>
        <w:t>万元，完成预算100%。</w:t>
      </w:r>
    </w:p>
    <w:p w14:paraId="4703B47C">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16.</w:t>
      </w:r>
      <w:r>
        <w:rPr>
          <w:rFonts w:hint="eastAsia" w:ascii="仿宋_GB2312" w:hAnsi="仿宋_GB2312" w:eastAsia="仿宋_GB2312" w:cs="仿宋_GB2312"/>
          <w:color w:val="auto"/>
          <w:sz w:val="32"/>
          <w:szCs w:val="32"/>
        </w:rPr>
        <w:t>资源勘探工业信息等支出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215</w:t>
      </w:r>
      <w:r>
        <w:rPr>
          <w:rFonts w:hint="eastAsia" w:ascii="仿宋_GB2312" w:hAnsi="仿宋_GB2312" w:eastAsia="仿宋_GB2312" w:cs="仿宋_GB2312"/>
          <w:color w:val="auto"/>
          <w:sz w:val="32"/>
          <w:szCs w:val="32"/>
          <w:lang w:eastAsia="zh-CN"/>
        </w:rPr>
        <w:t>）工业和信息产业（</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）产业发展（</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18.16</w:t>
      </w:r>
      <w:r>
        <w:rPr>
          <w:rFonts w:hint="eastAsia" w:ascii="仿宋_GB2312" w:hAnsi="仿宋_GB2312" w:eastAsia="仿宋_GB2312" w:cs="仿宋_GB2312"/>
          <w:color w:val="auto"/>
          <w:sz w:val="32"/>
          <w:szCs w:val="32"/>
        </w:rPr>
        <w:t>万元，完成预算100%。</w:t>
      </w:r>
    </w:p>
    <w:p w14:paraId="17FC0BC8">
      <w:pPr>
        <w:ind w:firstLine="640" w:firstLineChars="200"/>
        <w:rPr>
          <w:rFonts w:hint="eastAsia" w:ascii="仿宋_GB2312" w:hAnsi="仿宋_GB2312" w:eastAsia="仿宋_GB2312" w:cs="仿宋_GB2312"/>
          <w:color w:val="auto"/>
          <w:sz w:val="32"/>
          <w:szCs w:val="32"/>
          <w:lang w:eastAsia="zh-CN"/>
        </w:rPr>
      </w:pPr>
      <w:r>
        <w:rPr>
          <w:rFonts w:hint="eastAsia" w:eastAsia="仿宋_GB2312" w:cs="仿宋_GB2312"/>
          <w:color w:val="auto"/>
          <w:kern w:val="2"/>
          <w:sz w:val="32"/>
          <w:szCs w:val="32"/>
          <w:highlight w:val="none"/>
          <w:lang w:val="en-US" w:eastAsia="zh-CN" w:bidi="ar-SA"/>
        </w:rPr>
        <w:t>17.</w:t>
      </w:r>
      <w:r>
        <w:rPr>
          <w:rFonts w:hint="eastAsia" w:ascii="仿宋_GB2312" w:hAnsi="仿宋_GB2312" w:eastAsia="仿宋_GB2312" w:cs="仿宋_GB2312"/>
          <w:color w:val="auto"/>
          <w:sz w:val="32"/>
          <w:szCs w:val="32"/>
        </w:rPr>
        <w:t>资源勘探工业信息等支出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215</w:t>
      </w:r>
      <w:r>
        <w:rPr>
          <w:rFonts w:hint="eastAsia" w:ascii="仿宋_GB2312" w:hAnsi="仿宋_GB2312" w:eastAsia="仿宋_GB2312" w:cs="仿宋_GB2312"/>
          <w:color w:val="auto"/>
          <w:sz w:val="32"/>
          <w:szCs w:val="32"/>
          <w:lang w:eastAsia="zh-CN"/>
        </w:rPr>
        <w:t>）工业和信息产业（</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）其他工业和信息产业支出（</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76.29</w:t>
      </w:r>
      <w:r>
        <w:rPr>
          <w:rFonts w:hint="eastAsia" w:ascii="仿宋_GB2312" w:hAnsi="仿宋_GB2312" w:eastAsia="仿宋_GB2312" w:cs="仿宋_GB2312"/>
          <w:color w:val="auto"/>
          <w:sz w:val="32"/>
          <w:szCs w:val="32"/>
        </w:rPr>
        <w:t>万元，完成预算100%。</w:t>
      </w:r>
    </w:p>
    <w:p w14:paraId="72DA43C4">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仿宋_GB2312" w:hAnsi="仿宋_GB2312" w:eastAsia="仿宋_GB2312" w:cs="仿宋_GB2312"/>
          <w:color w:val="auto"/>
          <w:sz w:val="32"/>
          <w:szCs w:val="32"/>
        </w:rPr>
        <w:t>住房保障支出（221）住房改革支出（02）住房公积金（01）:支出决算为</w:t>
      </w:r>
      <w:r>
        <w:rPr>
          <w:rFonts w:hint="eastAsia" w:ascii="仿宋_GB2312" w:hAnsi="仿宋_GB2312" w:eastAsia="仿宋_GB2312" w:cs="仿宋_GB2312"/>
          <w:color w:val="auto"/>
          <w:sz w:val="32"/>
          <w:szCs w:val="32"/>
          <w:lang w:val="en-US" w:eastAsia="zh-CN"/>
        </w:rPr>
        <w:t>92.17</w:t>
      </w:r>
      <w:r>
        <w:rPr>
          <w:rFonts w:hint="eastAsia" w:ascii="仿宋_GB2312" w:hAnsi="仿宋_GB2312" w:eastAsia="仿宋_GB2312" w:cs="仿宋_GB2312"/>
          <w:color w:val="auto"/>
          <w:sz w:val="32"/>
          <w:szCs w:val="32"/>
        </w:rPr>
        <w:t>万元，完成预算100%。 </w:t>
      </w:r>
    </w:p>
    <w:p w14:paraId="35EF764D">
      <w:pPr>
        <w:tabs>
          <w:tab w:val="right" w:pos="8306"/>
        </w:tabs>
        <w:spacing w:line="600" w:lineRule="exact"/>
        <w:ind w:firstLine="640"/>
        <w:outlineLvl w:val="1"/>
        <w:rPr>
          <w:rStyle w:val="32"/>
          <w:rFonts w:ascii="Times New Roman" w:hAnsi="Times New Roman"/>
          <w:color w:val="auto"/>
          <w:highlight w:val="none"/>
        </w:rPr>
      </w:pPr>
      <w:bookmarkStart w:id="36" w:name="_Toc15396608"/>
      <w:bookmarkStart w:id="37" w:name="_Toc15377214"/>
      <w:bookmarkStart w:id="38" w:name="_Toc1483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6"/>
      <w:bookmarkEnd w:id="37"/>
      <w:bookmarkEnd w:id="38"/>
      <w:r>
        <w:rPr>
          <w:rStyle w:val="32"/>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1467.33</w:t>
      </w:r>
      <w:r>
        <w:rPr>
          <w:rFonts w:hint="eastAsia" w:ascii="Times New Roman" w:hAnsi="Times New Roman" w:eastAsia="仿宋_GB2312" w:cs="仿宋_GB2312"/>
          <w:color w:val="auto"/>
          <w:kern w:val="2"/>
          <w:sz w:val="32"/>
          <w:szCs w:val="32"/>
          <w:highlight w:val="none"/>
          <w:lang w:val="en-US" w:eastAsia="zh-CN" w:bidi="ar-SA"/>
        </w:rPr>
        <w:t>万元，其中：</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1344.32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万元，主要包括：基本工资、津贴补贴、奖金、伙食补助费、绩效工资、机关事业单位基本养老保险缴费、职业年金缴费、其他社会保障缴费、其他工资福利支出、抚恤金、生活补助、奖励金、住房公积金。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123.01</w:t>
      </w:r>
      <w:r>
        <w:rPr>
          <w:rFonts w:hint="eastAsia" w:ascii="Times New Roman" w:hAnsi="Times New Roman" w:eastAsia="仿宋_GB2312" w:cs="仿宋_GB2312"/>
          <w:color w:val="auto"/>
          <w:kern w:val="2"/>
          <w:sz w:val="32"/>
          <w:szCs w:val="32"/>
          <w:highlight w:val="none"/>
          <w:lang w:val="en-US" w:eastAsia="zh-CN" w:bidi="ar-SA"/>
        </w:rPr>
        <w:t>万元，主要包括：办公费、印刷费、手续费、水费、电费、邮电费、物业管理费、差旅费、维修（护）费、租赁费、培训费、公务接待费、劳务费、委托业务费、福利费、公务用车运行维护费、其他交通费、其他商品和服务支出、办公设备购置、</w:t>
      </w:r>
      <w:r>
        <w:rPr>
          <w:rFonts w:hint="eastAsia" w:eastAsia="仿宋_GB2312" w:cs="仿宋_GB2312"/>
          <w:color w:val="auto"/>
          <w:kern w:val="2"/>
          <w:sz w:val="32"/>
          <w:szCs w:val="32"/>
          <w:highlight w:val="none"/>
          <w:lang w:val="en-US" w:eastAsia="zh-CN" w:bidi="ar-SA"/>
        </w:rPr>
        <w:t>公务用车购置</w:t>
      </w:r>
      <w:r>
        <w:rPr>
          <w:rFonts w:hint="eastAsia" w:ascii="Times New Roman" w:hAnsi="Times New Roman" w:eastAsia="仿宋_GB2312" w:cs="仿宋_GB2312"/>
          <w:color w:val="auto"/>
          <w:kern w:val="2"/>
          <w:sz w:val="32"/>
          <w:szCs w:val="32"/>
          <w:highlight w:val="none"/>
          <w:lang w:val="en-US" w:eastAsia="zh-CN" w:bidi="ar-SA"/>
        </w:rPr>
        <w:t>。</w:t>
      </w:r>
    </w:p>
    <w:p w14:paraId="75A1DDF0">
      <w:pPr>
        <w:spacing w:line="600" w:lineRule="exact"/>
        <w:ind w:firstLine="640"/>
        <w:outlineLvl w:val="1"/>
        <w:rPr>
          <w:rStyle w:val="32"/>
          <w:rFonts w:ascii="Times New Roman" w:hAnsi="Times New Roman" w:eastAsia="黑体"/>
          <w:b w:val="0"/>
          <w:color w:val="auto"/>
          <w:highlight w:val="none"/>
        </w:rPr>
      </w:pPr>
      <w:bookmarkStart w:id="39" w:name="_Toc15396609"/>
      <w:bookmarkStart w:id="40" w:name="_Toc15377215"/>
      <w:bookmarkStart w:id="41" w:name="_Toc23381"/>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9"/>
      <w:bookmarkEnd w:id="40"/>
      <w:bookmarkEnd w:id="41"/>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7C6FF75B">
      <w:pPr>
        <w:spacing w:line="600" w:lineRule="exact"/>
        <w:ind w:firstLine="640"/>
        <w:rPr>
          <w:rFonts w:eastAsia="仿宋_GB2312" w:cs="仿宋_GB2312"/>
          <w:b/>
          <w:bCs/>
          <w:color w:val="auto"/>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36.81</w:t>
      </w:r>
      <w:r>
        <w:rPr>
          <w:rFonts w:hint="eastAsia" w:ascii="Times New Roman" w:hAnsi="Times New Roman" w:eastAsia="仿宋_GB2312" w:cs="仿宋_GB2312"/>
          <w:color w:val="auto"/>
          <w:kern w:val="2"/>
          <w:sz w:val="32"/>
          <w:szCs w:val="32"/>
          <w:highlight w:val="none"/>
          <w:lang w:val="en-US" w:eastAsia="zh-CN" w:bidi="ar-SA"/>
        </w:rPr>
        <w:t>万元，完成</w:t>
      </w:r>
      <w:r>
        <w:rPr>
          <w:rFonts w:hint="eastAsia" w:eastAsia="仿宋_GB2312" w:cs="仿宋_GB2312"/>
          <w:color w:val="auto"/>
          <w:kern w:val="2"/>
          <w:sz w:val="32"/>
          <w:szCs w:val="32"/>
          <w:highlight w:val="none"/>
          <w:lang w:val="en-US" w:eastAsia="zh-CN" w:bidi="ar-SA"/>
        </w:rPr>
        <w:t>调整</w:t>
      </w:r>
      <w:r>
        <w:rPr>
          <w:rFonts w:hint="eastAsia" w:ascii="Times New Roman" w:hAnsi="Times New Roman" w:eastAsia="仿宋_GB2312" w:cs="仿宋_GB2312"/>
          <w:color w:val="auto"/>
          <w:kern w:val="2"/>
          <w:sz w:val="32"/>
          <w:szCs w:val="32"/>
          <w:highlight w:val="none"/>
          <w:lang w:val="en-US" w:eastAsia="zh-CN" w:bidi="ar-SA"/>
        </w:rPr>
        <w:t>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26.73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265.18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增长原因是2025年机构改革，</w:t>
      </w:r>
      <w:r>
        <w:rPr>
          <w:rFonts w:hint="eastAsia" w:ascii="仿宋" w:hAnsi="仿宋" w:eastAsia="仿宋" w:cs="仿宋"/>
          <w:color w:val="auto"/>
          <w:sz w:val="32"/>
          <w:szCs w:val="32"/>
          <w:shd w:val="clear" w:color="auto" w:fill="FFFFFF"/>
        </w:rPr>
        <w:t>根据阿编发〔2025〕5号文件要求</w:t>
      </w:r>
      <w:r>
        <w:rPr>
          <w:rFonts w:hint="eastAsia" w:ascii="仿宋" w:hAnsi="仿宋" w:eastAsia="仿宋" w:cs="仿宋"/>
          <w:color w:val="auto"/>
          <w:sz w:val="32"/>
          <w:szCs w:val="32"/>
          <w:shd w:val="clear" w:color="auto" w:fill="FFFFFF"/>
          <w:lang w:val="en-US" w:eastAsia="zh-CN"/>
        </w:rPr>
        <w:t>，</w:t>
      </w:r>
      <w:r>
        <w:rPr>
          <w:rFonts w:hint="eastAsia" w:eastAsia="仿宋_GB2312" w:cs="仿宋_GB2312"/>
          <w:color w:val="auto"/>
          <w:kern w:val="2"/>
          <w:sz w:val="32"/>
          <w:szCs w:val="32"/>
          <w:highlight w:val="none"/>
          <w:lang w:val="en-US" w:eastAsia="zh-CN" w:bidi="ar-SA"/>
        </w:rPr>
        <w:t>四家单位合并为</w:t>
      </w:r>
      <w:r>
        <w:rPr>
          <w:rFonts w:hint="eastAsia" w:ascii="仿宋" w:hAnsi="仿宋" w:eastAsia="仿宋" w:cs="仿宋"/>
          <w:color w:val="auto"/>
          <w:sz w:val="32"/>
          <w:szCs w:val="32"/>
          <w:shd w:val="clear" w:color="auto" w:fill="FFFFFF"/>
          <w:lang w:val="en-US" w:eastAsia="zh-CN"/>
        </w:rPr>
        <w:t>州生态保护和发展研究院</w:t>
      </w:r>
      <w:r>
        <w:rPr>
          <w:rFonts w:hint="eastAsia" w:ascii="仿宋" w:hAnsi="仿宋" w:eastAsia="仿宋" w:cs="仿宋"/>
          <w:color w:val="auto"/>
          <w:sz w:val="32"/>
          <w:szCs w:val="32"/>
          <w:shd w:val="clear" w:color="auto" w:fill="FFFFFF"/>
          <w:lang w:eastAsia="zh-CN"/>
        </w:rPr>
        <w:t>，并做合并账务处理和决算</w:t>
      </w:r>
      <w:r>
        <w:rPr>
          <w:rFonts w:hint="eastAsia" w:eastAsia="仿宋_GB2312" w:cs="仿宋_GB2312"/>
          <w:color w:val="auto"/>
          <w:kern w:val="2"/>
          <w:sz w:val="32"/>
          <w:szCs w:val="32"/>
          <w:highlight w:val="none"/>
          <w:lang w:val="en-US" w:eastAsia="zh-CN" w:bidi="ar-SA"/>
        </w:rPr>
        <w:t>，公车运行维护费增加5.04万元</w:t>
      </w:r>
      <w:r>
        <w:rPr>
          <w:rFonts w:hint="eastAsia" w:ascii="仿宋" w:hAnsi="仿宋" w:eastAsia="仿宋" w:cs="仿宋"/>
          <w:color w:val="auto"/>
          <w:sz w:val="32"/>
          <w:szCs w:val="32"/>
          <w:shd w:val="clear" w:color="auto" w:fill="FFFFFF"/>
          <w:lang w:eastAsia="zh-CN"/>
        </w:rPr>
        <w:t>。加上</w:t>
      </w:r>
      <w:r>
        <w:rPr>
          <w:rFonts w:hint="eastAsia" w:eastAsia="仿宋_GB2312" w:cs="仿宋_GB2312"/>
          <w:color w:val="auto"/>
          <w:kern w:val="2"/>
          <w:sz w:val="32"/>
          <w:szCs w:val="32"/>
          <w:highlight w:val="none"/>
          <w:lang w:val="en-US" w:eastAsia="zh-CN" w:bidi="ar-SA"/>
        </w:rPr>
        <w:t>新购公车一辆，增加车辆购置费21.65万元。</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3EF548D0">
      <w:pPr>
        <w:spacing w:line="600" w:lineRule="exact"/>
        <w:ind w:firstLine="640"/>
        <w:rPr>
          <w:color w:val="auto"/>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36.74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99.81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%。具体情况如下：</w:t>
      </w:r>
    </w:p>
    <w:p w14:paraId="793F7A0B">
      <w:pPr>
        <w:ind w:firstLine="1760" w:firstLineChars="550"/>
        <w:rPr>
          <w:rFonts w:hint="eastAsia" w:ascii="仿宋" w:hAnsi="仿宋" w:eastAsia="仿宋" w:cs="仿宋"/>
          <w:color w:val="auto"/>
          <w:sz w:val="24"/>
          <w:szCs w:val="24"/>
        </w:rPr>
      </w:pPr>
      <w:r>
        <w:rPr>
          <w:rFonts w:hint="eastAsia" w:ascii="仿宋" w:hAnsi="仿宋" w:eastAsia="仿宋" w:cs="仿宋"/>
          <w:color w:val="auto"/>
          <w:sz w:val="32"/>
          <w:szCs w:val="32"/>
          <w:lang w:eastAsia="zh-CN"/>
        </w:rPr>
        <w:object>
          <v:shape id="_x0000_i1028" o:spt="75" type="#_x0000_t75" style="height:171.5pt;width:258pt;" o:ole="t" filled="f" o:preferrelative="t" stroked="f" coordsize="21600,21600">
            <v:path/>
            <v:fill on="f" focussize="0,0"/>
            <v:stroke on="f"/>
            <v:imagedata r:id="rId21" o:title=""/>
            <o:lock v:ext="edit" aspectratio="f"/>
            <w10:wrap type="none"/>
            <w10:anchorlock/>
          </v:shape>
          <o:OLEObject Type="Embed" ProgID="excel.sheet.8" ShapeID="_x0000_i1028" DrawAspect="Content" ObjectID="_1468075731" r:id="rId20">
            <o:LockedField>false</o:LockedField>
          </o:OLEObject>
        </w:object>
      </w:r>
    </w:p>
    <w:p w14:paraId="3273DD0E">
      <w:pPr>
        <w:spacing w:line="600" w:lineRule="exact"/>
        <w:ind w:firstLine="2164" w:firstLineChars="902"/>
        <w:rPr>
          <w:rFonts w:hint="eastAsia" w:ascii="仿宋" w:hAnsi="仿宋" w:eastAsia="仿宋" w:cs="仿宋"/>
          <w:color w:val="auto"/>
          <w:sz w:val="24"/>
          <w:szCs w:val="24"/>
        </w:rPr>
      </w:pPr>
      <w:r>
        <w:rPr>
          <w:rFonts w:hint="eastAsia" w:ascii="仿宋" w:hAnsi="仿宋" w:eastAsia="仿宋" w:cs="仿宋"/>
          <w:color w:val="auto"/>
          <w:sz w:val="24"/>
          <w:szCs w:val="24"/>
        </w:rPr>
        <w:t>（图7：“三公”经费财政拨款支出结构）</w:t>
      </w:r>
    </w:p>
    <w:p w14:paraId="381A1062">
      <w:pPr>
        <w:ind w:firstLine="643" w:firstLineChars="200"/>
        <w:rPr>
          <w:rFonts w:hint="eastAsia" w:ascii="仿宋_GB2312" w:hAnsi="仿宋_GB2312" w:eastAsia="仿宋_GB2312" w:cs="仿宋_GB2312"/>
          <w:color w:val="auto"/>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ascii="仿宋_GB2312" w:hAnsi="仿宋_GB2312" w:eastAsia="仿宋_GB2312" w:cs="仿宋_GB2312"/>
          <w:color w:val="auto"/>
          <w:sz w:val="32"/>
          <w:szCs w:val="32"/>
        </w:rPr>
        <w:t>因公出国（境）支出决算</w:t>
      </w:r>
      <w:r>
        <w:rPr>
          <w:rFonts w:hint="eastAsia" w:ascii="仿宋_GB2312" w:hAnsi="仿宋_GB2312" w:eastAsia="仿宋_GB2312" w:cs="仿宋_GB2312"/>
          <w:color w:val="auto"/>
          <w:sz w:val="32"/>
          <w:szCs w:val="32"/>
          <w:lang w:eastAsia="zh-CN"/>
        </w:rPr>
        <w:t>与202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一致。</w:t>
      </w:r>
    </w:p>
    <w:p w14:paraId="14664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36.74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26.66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264.48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是2025年机构改革，</w:t>
      </w:r>
      <w:r>
        <w:rPr>
          <w:rFonts w:hint="eastAsia" w:ascii="仿宋" w:hAnsi="仿宋" w:eastAsia="仿宋" w:cs="仿宋"/>
          <w:color w:val="auto"/>
          <w:sz w:val="32"/>
          <w:szCs w:val="32"/>
          <w:shd w:val="clear" w:color="auto" w:fill="FFFFFF"/>
        </w:rPr>
        <w:t>根据阿编发〔2025〕5号文件要求</w:t>
      </w:r>
      <w:r>
        <w:rPr>
          <w:rFonts w:hint="eastAsia" w:ascii="仿宋" w:hAnsi="仿宋" w:eastAsia="仿宋" w:cs="仿宋"/>
          <w:color w:val="auto"/>
          <w:sz w:val="32"/>
          <w:szCs w:val="32"/>
          <w:shd w:val="clear" w:color="auto" w:fill="FFFFFF"/>
          <w:lang w:val="en-US" w:eastAsia="zh-CN"/>
        </w:rPr>
        <w:t>，</w:t>
      </w:r>
      <w:r>
        <w:rPr>
          <w:rFonts w:hint="eastAsia" w:eastAsia="仿宋_GB2312" w:cs="仿宋_GB2312"/>
          <w:color w:val="auto"/>
          <w:kern w:val="2"/>
          <w:sz w:val="32"/>
          <w:szCs w:val="32"/>
          <w:highlight w:val="none"/>
          <w:lang w:val="en-US" w:eastAsia="zh-CN" w:bidi="ar-SA"/>
        </w:rPr>
        <w:t>四家单位合并为</w:t>
      </w:r>
      <w:r>
        <w:rPr>
          <w:rFonts w:hint="eastAsia" w:ascii="仿宋" w:hAnsi="仿宋" w:eastAsia="仿宋" w:cs="仿宋"/>
          <w:color w:val="auto"/>
          <w:sz w:val="32"/>
          <w:szCs w:val="32"/>
          <w:shd w:val="clear" w:color="auto" w:fill="FFFFFF"/>
          <w:lang w:val="en-US" w:eastAsia="zh-CN"/>
        </w:rPr>
        <w:t>州生态保护和发展研究院</w:t>
      </w:r>
      <w:r>
        <w:rPr>
          <w:rFonts w:hint="eastAsia" w:ascii="仿宋" w:hAnsi="仿宋" w:eastAsia="仿宋" w:cs="仿宋"/>
          <w:color w:val="auto"/>
          <w:sz w:val="32"/>
          <w:szCs w:val="32"/>
          <w:shd w:val="clear" w:color="auto" w:fill="FFFFFF"/>
          <w:lang w:eastAsia="zh-CN"/>
        </w:rPr>
        <w:t>，并做合并账务处理和决算，</w:t>
      </w:r>
      <w:r>
        <w:rPr>
          <w:rFonts w:hint="eastAsia" w:eastAsia="仿宋_GB2312" w:cs="仿宋_GB2312"/>
          <w:color w:val="auto"/>
          <w:kern w:val="2"/>
          <w:sz w:val="32"/>
          <w:szCs w:val="32"/>
          <w:highlight w:val="none"/>
          <w:lang w:val="en-US" w:eastAsia="zh-CN" w:bidi="ar-SA"/>
        </w:rPr>
        <w:t>公车运行维护费调增5.04万元。加上新购公车一辆，增加车辆购置费21.65万元，</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21.65</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21.65</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公务出行</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46033BE">
      <w:pPr>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15.09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sz w:val="32"/>
          <w:szCs w:val="32"/>
        </w:rPr>
        <w:t>主要用于主要用于单位公务出差、实施项目等所需的公务用车燃料费、维修费、过路过桥费、保险费等支出。</w:t>
      </w:r>
    </w:p>
    <w:p w14:paraId="0C92BEF1">
      <w:pPr>
        <w:ind w:firstLine="643" w:firstLineChars="200"/>
        <w:rPr>
          <w:rFonts w:hint="eastAsia" w:ascii="仿宋_GB2312" w:hAnsi="仿宋_GB2312" w:eastAsia="仿宋_GB2312" w:cs="仿宋_GB2312"/>
          <w:color w:val="auto"/>
          <w:sz w:val="32"/>
          <w:szCs w:val="32"/>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0.07</w:t>
      </w:r>
      <w:r>
        <w:rPr>
          <w:rFonts w:hint="eastAsia" w:ascii="Times New Roman" w:hAnsi="Times New Roman" w:eastAsia="仿宋_GB2312" w:cs="仿宋_GB2312"/>
          <w:b/>
          <w:bCs/>
          <w:color w:val="auto"/>
          <w:kern w:val="2"/>
          <w:sz w:val="32"/>
          <w:szCs w:val="32"/>
          <w:highlight w:val="none"/>
          <w:lang w:val="en-US" w:eastAsia="zh-CN" w:bidi="ar-SA"/>
        </w:rPr>
        <w:t>万元，完成</w:t>
      </w:r>
      <w:r>
        <w:rPr>
          <w:rFonts w:hint="eastAsia" w:eastAsia="仿宋_GB2312" w:cs="仿宋_GB2312"/>
          <w:b/>
          <w:bCs/>
          <w:color w:val="auto"/>
          <w:kern w:val="2"/>
          <w:sz w:val="32"/>
          <w:szCs w:val="32"/>
          <w:highlight w:val="none"/>
          <w:lang w:val="en-US" w:eastAsia="zh-CN" w:bidi="ar-SA"/>
        </w:rPr>
        <w:t>调整</w:t>
      </w:r>
      <w:r>
        <w:rPr>
          <w:rFonts w:hint="eastAsia" w:ascii="Times New Roman" w:hAnsi="Times New Roman" w:eastAsia="仿宋_GB2312" w:cs="仿宋_GB2312"/>
          <w:b/>
          <w:bCs/>
          <w:color w:val="auto"/>
          <w:kern w:val="2"/>
          <w:sz w:val="32"/>
          <w:szCs w:val="32"/>
          <w:highlight w:val="none"/>
          <w:lang w:val="en-US" w:eastAsia="zh-CN" w:bidi="ar-SA"/>
        </w:rPr>
        <w:t>预算</w:t>
      </w:r>
      <w:r>
        <w:rPr>
          <w:rFonts w:hint="eastAsia" w:eastAsia="仿宋_GB2312" w:cs="仿宋_GB2312"/>
          <w:b/>
          <w:bCs/>
          <w:color w:val="auto"/>
          <w:kern w:val="2"/>
          <w:sz w:val="32"/>
          <w:szCs w:val="32"/>
          <w:highlight w:val="none"/>
          <w:lang w:val="en-US" w:eastAsia="zh-CN" w:bidi="ar-SA"/>
        </w:rPr>
        <w:t>数100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lang w:val="en-US" w:eastAsia="zh-CN"/>
        </w:rPr>
        <w:t>公务接待费支出决算比上年度增加0.07万元。主要原因是：2024年度本单位未发生公务接待支出；本年因科研工作需要，开展科研项目对接、学术考察交流等活动，实际发生公务接待2批次、9人次（不包括陪同人员），共支出0.07万元，在年初预算以内列支。</w:t>
      </w:r>
    </w:p>
    <w:p w14:paraId="56F677E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其中：国内公务接待支出0.07万元，主要用于科研合作交流、项目对接考察等公务活动开支的用餐费。具体内容包括：接待成都信息工程大学开展调研、项目合作研讨1批次，5人次（不包括陪同人员），接待中科院成都生物所专家参加阿坝州人才发展大会1 批次，4人次（不包括陪同人员），共计9人次（不包括陪同人员），总计支出0.07万元。</w:t>
      </w:r>
    </w:p>
    <w:p w14:paraId="6A6631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5DA8B58">
      <w:pPr>
        <w:spacing w:line="600" w:lineRule="exact"/>
        <w:ind w:firstLine="640"/>
        <w:outlineLvl w:val="1"/>
        <w:rPr>
          <w:rStyle w:val="32"/>
          <w:rFonts w:ascii="Times New Roman" w:hAnsi="Times New Roman" w:eastAsia="黑体"/>
          <w:color w:val="auto"/>
          <w:highlight w:val="none"/>
        </w:rPr>
      </w:pPr>
      <w:bookmarkStart w:id="44" w:name="_Toc15396610"/>
      <w:bookmarkStart w:id="45" w:name="_Toc15377218"/>
      <w:bookmarkStart w:id="46" w:name="_Toc20064"/>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4"/>
      <w:bookmarkEnd w:id="45"/>
      <w:bookmarkEnd w:id="46"/>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与上年持平。</w:t>
      </w:r>
    </w:p>
    <w:p w14:paraId="6EDF50E5">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7" w:name="_Toc15377219"/>
      <w:bookmarkStart w:id="48" w:name="_Toc15396611"/>
      <w:bookmarkStart w:id="49" w:name="_Toc26105"/>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7"/>
      <w:bookmarkEnd w:id="48"/>
      <w:bookmarkEnd w:id="49"/>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与上年持平。</w:t>
      </w:r>
    </w:p>
    <w:p w14:paraId="7603ABEE">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0" w:name="_Toc15377221"/>
      <w:bookmarkStart w:id="51" w:name="_Toc15396612"/>
      <w:bookmarkStart w:id="52" w:name="_Toc10866"/>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0"/>
      <w:bookmarkEnd w:id="51"/>
      <w:bookmarkEnd w:id="52"/>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22"/>
      <w:r>
        <w:rPr>
          <w:rFonts w:hint="eastAsia" w:ascii="Times New Roman" w:hAnsi="Times New Roman" w:eastAsia="楷体_GB2312" w:cs="楷体_GB2312"/>
          <w:b/>
          <w:color w:val="auto"/>
          <w:sz w:val="32"/>
          <w:szCs w:val="32"/>
          <w:highlight w:val="none"/>
        </w:rPr>
        <w:t>（一）机关运行经费支出情况</w:t>
      </w:r>
      <w:bookmarkEnd w:id="53"/>
    </w:p>
    <w:p w14:paraId="69DB6791">
      <w:pPr>
        <w:spacing w:line="600" w:lineRule="exact"/>
        <w:ind w:firstLine="640" w:firstLineChars="200"/>
        <w:outlineLvl w:val="2"/>
        <w:rPr>
          <w:rFonts w:hint="eastAsia" w:ascii="仿宋_GB2312" w:hAnsi="仿宋_GB2312" w:eastAsia="仿宋_GB2312" w:cs="仿宋_GB2312"/>
          <w:color w:val="auto"/>
          <w:sz w:val="32"/>
          <w:szCs w:val="32"/>
          <w:lang w:eastAsia="zh-CN"/>
        </w:rPr>
      </w:pPr>
      <w:bookmarkStart w:id="54" w:name="_Toc15377223"/>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度</w:t>
      </w:r>
      <w:r>
        <w:rPr>
          <w:rFonts w:hint="eastAsia" w:ascii="仿宋_GB2312" w:hAnsi="仿宋_GB2312" w:eastAsia="仿宋_GB2312" w:cs="仿宋_GB2312"/>
          <w:color w:val="auto"/>
          <w:sz w:val="32"/>
          <w:szCs w:val="32"/>
        </w:rPr>
        <w:t>，阿坝州生态保护</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发展研究院机关运行经费支出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度</w:t>
      </w:r>
      <w:r>
        <w:rPr>
          <w:rFonts w:hint="eastAsia" w:ascii="仿宋_GB2312" w:hAnsi="仿宋_GB2312" w:eastAsia="仿宋_GB2312" w:cs="仿宋_GB2312"/>
          <w:color w:val="auto"/>
          <w:sz w:val="32"/>
          <w:szCs w:val="32"/>
        </w:rPr>
        <w:t>决算数持平</w:t>
      </w:r>
      <w:r>
        <w:rPr>
          <w:rFonts w:hint="eastAsia" w:ascii="仿宋_GB2312" w:hAnsi="仿宋_GB2312" w:eastAsia="仿宋_GB2312" w:cs="仿宋_GB2312"/>
          <w:color w:val="auto"/>
          <w:sz w:val="32"/>
          <w:szCs w:val="32"/>
          <w:lang w:eastAsia="zh-CN"/>
        </w:rPr>
        <w:t>。</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54"/>
    </w:p>
    <w:p w14:paraId="5F74DD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rPr>
        <w:t>阿坝州生态保护</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发展研究院政府采购支出总额</w:t>
      </w:r>
      <w:r>
        <w:rPr>
          <w:rFonts w:hint="eastAsia" w:ascii="仿宋_GB2312" w:hAnsi="仿宋_GB2312" w:eastAsia="仿宋_GB2312" w:cs="仿宋_GB2312"/>
          <w:color w:val="auto"/>
          <w:sz w:val="32"/>
          <w:szCs w:val="32"/>
          <w:lang w:val="en-US" w:eastAsia="zh-CN"/>
        </w:rPr>
        <w:t>22.65</w:t>
      </w:r>
      <w:r>
        <w:rPr>
          <w:rFonts w:hint="eastAsia" w:ascii="仿宋_GB2312" w:hAnsi="仿宋_GB2312" w:eastAsia="仿宋_GB2312" w:cs="仿宋_GB2312"/>
          <w:color w:val="auto"/>
          <w:sz w:val="32"/>
          <w:szCs w:val="32"/>
        </w:rPr>
        <w:t>万元，其中：政府采购货物支出</w:t>
      </w:r>
      <w:r>
        <w:rPr>
          <w:rFonts w:hint="eastAsia" w:ascii="仿宋_GB2312" w:hAnsi="仿宋_GB2312" w:eastAsia="仿宋_GB2312" w:cs="仿宋_GB2312"/>
          <w:color w:val="auto"/>
          <w:sz w:val="32"/>
          <w:szCs w:val="32"/>
          <w:lang w:val="en-US" w:eastAsia="zh-CN"/>
        </w:rPr>
        <w:t>19.88</w:t>
      </w:r>
      <w:r>
        <w:rPr>
          <w:rFonts w:hint="eastAsia" w:ascii="仿宋_GB2312" w:hAnsi="仿宋_GB2312" w:eastAsia="仿宋_GB2312" w:cs="仿宋_GB2312"/>
          <w:color w:val="auto"/>
          <w:sz w:val="32"/>
          <w:szCs w:val="32"/>
        </w:rPr>
        <w:t>万元、政府采购工程支出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万元、政府采购服务支出</w:t>
      </w:r>
      <w:r>
        <w:rPr>
          <w:rFonts w:hint="eastAsia" w:ascii="仿宋_GB2312" w:hAnsi="仿宋_GB2312" w:eastAsia="仿宋_GB2312" w:cs="仿宋_GB2312"/>
          <w:color w:val="auto"/>
          <w:sz w:val="32"/>
          <w:szCs w:val="32"/>
          <w:lang w:val="en-US" w:eastAsia="zh-CN"/>
        </w:rPr>
        <w:t>2.77</w:t>
      </w:r>
      <w:r>
        <w:rPr>
          <w:rFonts w:hint="eastAsia" w:ascii="仿宋_GB2312" w:hAnsi="仿宋_GB2312" w:eastAsia="仿宋_GB2312" w:cs="仿宋_GB2312"/>
          <w:color w:val="auto"/>
          <w:sz w:val="32"/>
          <w:szCs w:val="32"/>
        </w:rPr>
        <w:t>万元。主要用于</w:t>
      </w:r>
      <w:r>
        <w:rPr>
          <w:rFonts w:hint="eastAsia" w:ascii="仿宋_GB2312" w:hAnsi="仿宋_GB2312" w:eastAsia="仿宋_GB2312" w:cs="仿宋_GB2312"/>
          <w:color w:val="auto"/>
          <w:sz w:val="32"/>
          <w:szCs w:val="32"/>
          <w:lang w:eastAsia="zh-CN"/>
        </w:rPr>
        <w:t>购置公车、公车保险及车辆维修维护等</w:t>
      </w:r>
      <w:r>
        <w:rPr>
          <w:rFonts w:hint="eastAsia" w:ascii="仿宋_GB2312" w:hAnsi="仿宋_GB2312" w:eastAsia="仿宋_GB2312" w:cs="仿宋_GB2312"/>
          <w:color w:val="auto"/>
          <w:sz w:val="32"/>
          <w:szCs w:val="32"/>
        </w:rPr>
        <w:t>。授予中小企业合同金额</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万元，占政府采购支出总额的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%，其中：授予小微企业合同金额</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万元，占政府采购支出总额的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4"/>
      <w:r>
        <w:rPr>
          <w:rFonts w:hint="eastAsia" w:ascii="Times New Roman" w:hAnsi="Times New Roman" w:eastAsia="楷体_GB2312" w:cs="楷体_GB2312"/>
          <w:b/>
          <w:color w:val="auto"/>
          <w:sz w:val="32"/>
          <w:szCs w:val="32"/>
          <w:highlight w:val="none"/>
        </w:rPr>
        <w:t>（三）国有资产占有使用情况</w:t>
      </w:r>
      <w:bookmarkEnd w:id="55"/>
    </w:p>
    <w:p w14:paraId="78C34B7F">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年12月31日阿坝州生态保护</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发展研究院共有车辆</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辆，其中：主要领导干部用车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辆，其他用车主要是用于</w:t>
      </w:r>
      <w:r>
        <w:rPr>
          <w:rFonts w:hint="eastAsia" w:ascii="仿宋_GB2312" w:hAnsi="仿宋_GB2312" w:eastAsia="仿宋_GB2312" w:cs="仿宋_GB2312"/>
          <w:color w:val="auto"/>
          <w:sz w:val="32"/>
          <w:szCs w:val="32"/>
          <w:lang w:eastAsia="zh-CN"/>
        </w:rPr>
        <w:t>单位日常及项目出差等工作运行</w:t>
      </w:r>
      <w:r>
        <w:rPr>
          <w:rFonts w:hint="eastAsia" w:ascii="仿宋_GB2312" w:hAnsi="仿宋_GB2312" w:eastAsia="仿宋_GB2312" w:cs="仿宋_GB2312"/>
          <w:color w:val="auto"/>
          <w:sz w:val="32"/>
          <w:szCs w:val="32"/>
        </w:rPr>
        <w:t>。单价100万元以上设备（不含车辆）0台（套）。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440F04E">
      <w:pPr>
        <w:pStyle w:val="37"/>
        <w:keepNext w:val="0"/>
        <w:keepLines w:val="0"/>
        <w:pageBreakBefore w:val="0"/>
        <w:widowControl w:val="0"/>
        <w:kinsoku/>
        <w:wordWrap/>
        <w:overflowPunct/>
        <w:topLinePunct w:val="0"/>
        <w:autoSpaceDE/>
        <w:autoSpaceDN/>
        <w:bidi w:val="0"/>
        <w:spacing w:line="578" w:lineRule="exact"/>
        <w:ind w:left="0" w:leftChars="0"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根据预算绩效管理要求，阿坝州生态保护</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发展研究院在202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年度预算编制阶段，组织对</w:t>
      </w:r>
      <w:r>
        <w:rPr>
          <w:rFonts w:hint="eastAsia" w:ascii="仿宋" w:hAnsi="仿宋" w:eastAsia="仿宋" w:cs="仿宋"/>
          <w:color w:val="auto"/>
          <w:sz w:val="32"/>
          <w:szCs w:val="32"/>
          <w:lang w:val="en-US" w:eastAsia="zh-CN"/>
        </w:rPr>
        <w:t>阿坝州松材线虫病监测体系建设及健康经营技术研究与示范项目、若尔盖国家公园湿地时空格局演变研究与多维决策应用系统研发示范项目等15个项目开展了预算事前绩效评估，对15个项目</w:t>
      </w:r>
      <w:r>
        <w:rPr>
          <w:rFonts w:hint="eastAsia" w:ascii="仿宋" w:hAnsi="仿宋" w:eastAsia="仿宋" w:cs="仿宋"/>
          <w:color w:val="auto"/>
          <w:sz w:val="32"/>
          <w:szCs w:val="32"/>
        </w:rPr>
        <w:t>编制了绩效目标</w:t>
      </w:r>
      <w:r>
        <w:rPr>
          <w:rFonts w:hint="eastAsia" w:ascii="仿宋" w:hAnsi="仿宋" w:eastAsia="仿宋" w:cs="仿宋"/>
          <w:color w:val="auto"/>
          <w:sz w:val="32"/>
          <w:szCs w:val="32"/>
          <w:lang w:eastAsia="zh-CN"/>
        </w:rPr>
        <w:t>。</w:t>
      </w:r>
    </w:p>
    <w:p w14:paraId="0EA425A1">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阿坝州生态保护和发展研究院</w:t>
      </w:r>
      <w:r>
        <w:rPr>
          <w:rFonts w:hint="default" w:ascii="仿宋_GB2312" w:hAnsi="仿宋_GB2312" w:eastAsia="仿宋_GB2312" w:cs="仿宋_GB2312"/>
          <w:color w:val="auto"/>
          <w:sz w:val="32"/>
          <w:szCs w:val="32"/>
          <w:lang w:val="en-US" w:eastAsia="zh-CN"/>
        </w:rPr>
        <w:t>在履职效能、预算执行方面符合相关规定，手续齐全，资料完整，支出及时</w:t>
      </w:r>
      <w:r>
        <w:rPr>
          <w:rFonts w:hint="eastAsia" w:ascii="仿宋_GB2312" w:hAnsi="仿宋_GB2312" w:eastAsia="仿宋_GB2312" w:cs="仿宋_GB2312"/>
          <w:color w:val="auto"/>
          <w:sz w:val="32"/>
          <w:szCs w:val="32"/>
          <w:lang w:val="en-US" w:eastAsia="zh-CN"/>
        </w:rPr>
        <w:t>。单位</w:t>
      </w:r>
      <w:r>
        <w:rPr>
          <w:rFonts w:hint="default" w:ascii="仿宋_GB2312" w:hAnsi="仿宋_GB2312" w:eastAsia="仿宋_GB2312" w:cs="仿宋_GB2312"/>
          <w:color w:val="auto"/>
          <w:sz w:val="32"/>
          <w:szCs w:val="32"/>
          <w:lang w:val="en-US" w:eastAsia="zh-CN"/>
        </w:rPr>
        <w:t>财务管理制度健全，监督管理制度完备，重视预算执行进度，严控"三公"经费支出，政府采购管理规范，资金使用效率良好。预算管理、财务管理、资产管理、项目决策等方面均达到较好水平，有效保障机构顺利运转，圆满完成2025年各项工作，产生了较好的社会效益。</w:t>
      </w:r>
      <w:r>
        <w:rPr>
          <w:rFonts w:hint="eastAsia" w:ascii="仿宋_GB2312" w:hAnsi="仿宋_GB2312" w:eastAsia="仿宋_GB2312" w:cs="仿宋_GB2312"/>
          <w:color w:val="auto"/>
          <w:sz w:val="32"/>
          <w:szCs w:val="32"/>
          <w:lang w:val="en-US" w:eastAsia="zh-CN"/>
        </w:rPr>
        <w:t>部门预算</w:t>
      </w:r>
      <w:r>
        <w:rPr>
          <w:rFonts w:hint="default" w:ascii="仿宋_GB2312" w:hAnsi="仿宋_GB2312" w:eastAsia="仿宋_GB2312" w:cs="仿宋_GB2312"/>
          <w:color w:val="auto"/>
          <w:sz w:val="32"/>
          <w:szCs w:val="32"/>
          <w:lang w:val="en-US" w:eastAsia="zh-CN"/>
        </w:rPr>
        <w:t>绩效评价得分情况：总体绩效得分55.04分，项目绩效得分34.2分，总分89.24分。</w:t>
      </w:r>
    </w:p>
    <w:p w14:paraId="1DE5FC85">
      <w:pPr>
        <w:ind w:firstLine="640" w:firstLineChars="200"/>
        <w:rPr>
          <w:rFonts w:eastAsia="仿宋_GB2312" w:cs="仿宋_GB2312"/>
          <w:color w:val="auto"/>
          <w:sz w:val="32"/>
          <w:szCs w:val="32"/>
        </w:rPr>
      </w:pPr>
      <w:r>
        <w:rPr>
          <w:rFonts w:hint="eastAsia" w:ascii="仿宋_GB2312" w:hAnsi="仿宋_GB2312" w:eastAsia="仿宋_GB2312" w:cs="仿宋_GB2312"/>
          <w:color w:val="auto"/>
          <w:sz w:val="32"/>
          <w:szCs w:val="32"/>
          <w:lang w:eastAsia="zh-CN"/>
        </w:rPr>
        <w:t>专项预</w:t>
      </w:r>
      <w:r>
        <w:rPr>
          <w:rFonts w:hint="eastAsia" w:ascii="仿宋_GB2312" w:hAnsi="仿宋_GB2312" w:eastAsia="仿宋_GB2312" w:cs="仿宋_GB2312"/>
          <w:color w:val="auto"/>
          <w:sz w:val="32"/>
          <w:szCs w:val="32"/>
          <w:lang w:val="en-US" w:eastAsia="zh-CN"/>
        </w:rPr>
        <w:t>算项目绩效自评得分及绩效自评综述详见第四部分附件。</w:t>
      </w:r>
    </w:p>
    <w:p w14:paraId="7127C812">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56" w:name="_Toc15396613"/>
      <w:bookmarkStart w:id="57" w:name="_Toc15377225"/>
    </w:p>
    <w:p w14:paraId="1DF353F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8BABEE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8" w:name="_Toc2531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6"/>
      <w:bookmarkEnd w:id="57"/>
      <w:bookmarkEnd w:id="58"/>
    </w:p>
    <w:p w14:paraId="38C013ED">
      <w:pPr>
        <w:spacing w:line="600" w:lineRule="exact"/>
        <w:jc w:val="left"/>
        <w:rPr>
          <w:rFonts w:ascii="Times New Roman" w:hAnsi="Times New Roman"/>
          <w:b/>
          <w:color w:val="auto"/>
          <w:sz w:val="44"/>
          <w:szCs w:val="44"/>
          <w:highlight w:val="none"/>
        </w:rPr>
      </w:pPr>
    </w:p>
    <w:p w14:paraId="680E396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1.财政拨款收入：指单位从同级财政部门取得的财政预算资金。</w:t>
      </w:r>
    </w:p>
    <w:p w14:paraId="569EA5D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63B85B5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6F435E1D">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4.其他收入：指单位取得的除上述收入以外的各项收入。</w:t>
      </w:r>
      <w:r>
        <w:rPr>
          <w:rFonts w:hint="eastAsia" w:ascii="仿宋_GB2312" w:hAnsi="仿宋_GB2312" w:eastAsia="仿宋_GB2312" w:cs="仿宋_GB2312"/>
          <w:color w:val="auto"/>
          <w:sz w:val="32"/>
          <w:szCs w:val="32"/>
          <w:lang w:eastAsia="zh-CN"/>
        </w:rPr>
        <w:t>主要为财政代管资金。</w:t>
      </w:r>
    </w:p>
    <w:p w14:paraId="60A0009B">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5.使用非财政拨款结余：指事业单位使用以前年度积累的非财政拨款结余弥补当年收支差额的金额。</w:t>
      </w:r>
    </w:p>
    <w:p w14:paraId="373A792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6.年初结转和结余：指以前年度尚未完成、结转到本年按有关规定继续使用的资金。</w:t>
      </w:r>
    </w:p>
    <w:p w14:paraId="72C82F83">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7C14D71C">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年末结转和结余：指单位按有关规定结转到下年或以后年度继续使用的资金。</w:t>
      </w:r>
    </w:p>
    <w:p w14:paraId="78F66D2B">
      <w:pPr>
        <w:spacing w:line="60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9.一般公共服务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）事业运行（50）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反映事业单位基本支出。</w:t>
      </w:r>
    </w:p>
    <w:p w14:paraId="3F807054">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科学技术（206）应用研究（03）机构运行（01）: 指反映应用研究机构的基本支出。</w:t>
      </w:r>
    </w:p>
    <w:p w14:paraId="3D500026">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科学技术支出（206）应用研究（03）社会公益研究（02）:指反映从事卫生、劳动保护、计划生育、环境科学、农业等社会公益专项科研方面的支出。</w:t>
      </w:r>
    </w:p>
    <w:p w14:paraId="212E3778">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科学技术支出（206）技术研究与开发（04）应用技术研究与开发（99）:指反映其他科学技术支出中除以上各项外用于科技方面的支出。</w:t>
      </w:r>
    </w:p>
    <w:p w14:paraId="2B8D5856">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科学技术支出（206）科技条件与服务（</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rPr>
        <w:t>）其他科技条件与服务支出（99）:</w:t>
      </w:r>
      <w:r>
        <w:rPr>
          <w:rFonts w:hint="eastAsia" w:ascii="仿宋_GB2312" w:hAnsi="仿宋_GB2312" w:eastAsia="仿宋_GB2312" w:cs="仿宋_GB2312"/>
          <w:color w:val="auto"/>
          <w:sz w:val="32"/>
          <w:szCs w:val="32"/>
          <w:lang w:eastAsia="zh-CN"/>
        </w:rPr>
        <w:t>指反映面源污染培训项目有关经费支出。</w:t>
      </w:r>
    </w:p>
    <w:p w14:paraId="0C488C06">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科学技术支出（206）</w:t>
      </w:r>
      <w:r>
        <w:rPr>
          <w:rFonts w:hint="eastAsia" w:ascii="仿宋_GB2312" w:hAnsi="仿宋_GB2312" w:eastAsia="仿宋_GB2312" w:cs="仿宋_GB2312"/>
          <w:color w:val="auto"/>
          <w:sz w:val="32"/>
          <w:szCs w:val="32"/>
          <w:lang w:eastAsia="zh-CN"/>
        </w:rPr>
        <w:t>科技重大项目</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重点研发计划</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指反映用于重点研发计划的有关经费支出</w:t>
      </w:r>
      <w:r>
        <w:rPr>
          <w:rFonts w:hint="eastAsia" w:ascii="仿宋_GB2312" w:hAnsi="仿宋_GB2312" w:eastAsia="仿宋_GB2312" w:cs="仿宋_GB2312"/>
          <w:color w:val="auto"/>
          <w:sz w:val="32"/>
          <w:szCs w:val="32"/>
        </w:rPr>
        <w:t>。</w:t>
      </w:r>
    </w:p>
    <w:p w14:paraId="473369E3">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科学技术支出（206</w:t>
      </w:r>
      <w:r>
        <w:rPr>
          <w:rFonts w:hint="eastAsia" w:ascii="仿宋_GB2312" w:hAnsi="仿宋_GB2312" w:eastAsia="仿宋_GB2312" w:cs="仿宋_GB2312"/>
          <w:color w:val="auto"/>
          <w:sz w:val="32"/>
          <w:szCs w:val="32"/>
          <w:lang w:eastAsia="zh-CN"/>
        </w:rPr>
        <w:t>）其他科学技术支出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其他科学技术支出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指反映其他用于科技方面的支出。</w:t>
      </w:r>
    </w:p>
    <w:p w14:paraId="3069C8E8">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社会保障和就业支出（208）行政事业单位离退休（05）机关事业单位基本养老保险缴费支出（05）:指反映各级财政部门对机关事业单位基本养老保险基金收老保险基金的补助支缺口的补助。</w:t>
      </w:r>
    </w:p>
    <w:p w14:paraId="5084E6F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 xml:space="preserve"> 社会保障和就业支出（208）行政事业单位离退休（05）机关事业单位职业年金缴费支出（06）:指反映机关事业单位实施养老保险制度由单位实际缴纳的缴费支出职业年金支出。</w:t>
      </w:r>
    </w:p>
    <w:p w14:paraId="5BB078ED">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rPr>
        <w:t>. 卫生健康支出（210）行政事业单位医疗（11）事业单位医疗（02）：行政事业单位医疗方面的支出</w:t>
      </w:r>
      <w:r>
        <w:rPr>
          <w:rFonts w:hint="eastAsia" w:ascii="仿宋_GB2312" w:hAnsi="仿宋_GB2312" w:eastAsia="仿宋_GB2312" w:cs="仿宋_GB2312"/>
          <w:color w:val="auto"/>
          <w:sz w:val="32"/>
          <w:szCs w:val="32"/>
          <w:lang w:eastAsia="zh-CN"/>
        </w:rPr>
        <w:t>。</w:t>
      </w:r>
    </w:p>
    <w:p w14:paraId="302FC9F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.卫生健康支出（</w:t>
      </w:r>
      <w:r>
        <w:rPr>
          <w:rFonts w:hint="eastAsia" w:ascii="仿宋_GB2312" w:hAnsi="仿宋_GB2312" w:eastAsia="仿宋_GB2312" w:cs="仿宋_GB2312"/>
          <w:color w:val="auto"/>
          <w:sz w:val="32"/>
          <w:szCs w:val="32"/>
          <w:lang w:val="en-US" w:eastAsia="zh-CN"/>
        </w:rPr>
        <w:t>210</w:t>
      </w:r>
      <w:r>
        <w:rPr>
          <w:rFonts w:hint="eastAsia" w:ascii="仿宋_GB2312" w:hAnsi="仿宋_GB2312" w:eastAsia="仿宋_GB2312" w:cs="仿宋_GB2312"/>
          <w:color w:val="auto"/>
          <w:sz w:val="32"/>
          <w:szCs w:val="32"/>
        </w:rPr>
        <w:t>）行政事业单位医疗（</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）其他行政事业单位医疗（</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）：指反映除上述项目以外的其他用于行政事业单位医疗方面的支出。</w:t>
      </w:r>
    </w:p>
    <w:p w14:paraId="01C897A5">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20.</w:t>
      </w:r>
      <w:r>
        <w:rPr>
          <w:rFonts w:hint="eastAsia" w:ascii="仿宋_GB2312" w:hAnsi="仿宋_GB2312" w:eastAsia="仿宋_GB2312" w:cs="仿宋_GB2312"/>
          <w:color w:val="auto"/>
          <w:sz w:val="32"/>
          <w:szCs w:val="32"/>
          <w:lang w:val="en-US" w:eastAsia="zh-CN"/>
        </w:rPr>
        <w:t>农林水支出（213）林业和草原（02）事业机构（04）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反映事业单位的基本支出</w:t>
      </w:r>
      <w:r>
        <w:rPr>
          <w:rFonts w:hint="eastAsia" w:ascii="仿宋_GB2312" w:hAnsi="仿宋_GB2312" w:eastAsia="仿宋_GB2312" w:cs="仿宋_GB2312"/>
          <w:color w:val="auto"/>
          <w:sz w:val="32"/>
          <w:szCs w:val="32"/>
        </w:rPr>
        <w:t>。</w:t>
      </w:r>
    </w:p>
    <w:p w14:paraId="66580846">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21.</w:t>
      </w:r>
      <w:r>
        <w:rPr>
          <w:rFonts w:hint="eastAsia" w:ascii="仿宋_GB2312" w:hAnsi="仿宋_GB2312" w:eastAsia="仿宋_GB2312" w:cs="仿宋_GB2312"/>
          <w:color w:val="auto"/>
          <w:sz w:val="32"/>
          <w:szCs w:val="32"/>
          <w:lang w:val="en-US" w:eastAsia="zh-CN"/>
        </w:rPr>
        <w:t>农林水支出（213）林业和草原（02）技术推广与转化（06）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反映良种繁育、新技术引进、区域化实验、示范、技术推广、成果转化、科学普及等方面支出</w:t>
      </w:r>
      <w:r>
        <w:rPr>
          <w:rFonts w:hint="eastAsia" w:ascii="仿宋_GB2312" w:hAnsi="仿宋_GB2312" w:eastAsia="仿宋_GB2312" w:cs="仿宋_GB2312"/>
          <w:color w:val="auto"/>
          <w:sz w:val="32"/>
          <w:szCs w:val="32"/>
        </w:rPr>
        <w:t>。</w:t>
      </w:r>
    </w:p>
    <w:p w14:paraId="01987F1A">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22.</w:t>
      </w:r>
      <w:r>
        <w:rPr>
          <w:rFonts w:hint="eastAsia" w:ascii="仿宋_GB2312" w:hAnsi="仿宋_GB2312" w:eastAsia="仿宋_GB2312" w:cs="仿宋_GB2312"/>
          <w:color w:val="auto"/>
          <w:sz w:val="32"/>
          <w:szCs w:val="32"/>
          <w:lang w:val="en-US" w:eastAsia="zh-CN"/>
        </w:rPr>
        <w:t>农林水支出（213）林业和草原（02）其他林业和草原支出（99）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反映其他用于林业和草原方面的支出</w:t>
      </w:r>
      <w:r>
        <w:rPr>
          <w:rFonts w:hint="eastAsia" w:ascii="仿宋_GB2312" w:hAnsi="仿宋_GB2312" w:eastAsia="仿宋_GB2312" w:cs="仿宋_GB2312"/>
          <w:color w:val="auto"/>
          <w:sz w:val="32"/>
          <w:szCs w:val="32"/>
        </w:rPr>
        <w:t>。</w:t>
      </w:r>
    </w:p>
    <w:p w14:paraId="10AA204B">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23.</w:t>
      </w:r>
      <w:r>
        <w:rPr>
          <w:rFonts w:hint="eastAsia" w:ascii="仿宋_GB2312" w:hAnsi="仿宋_GB2312" w:eastAsia="仿宋_GB2312" w:cs="仿宋_GB2312"/>
          <w:color w:val="auto"/>
          <w:sz w:val="32"/>
          <w:szCs w:val="32"/>
        </w:rPr>
        <w:t>资源勘探工业信息等支出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215</w:t>
      </w:r>
      <w:r>
        <w:rPr>
          <w:rFonts w:hint="eastAsia" w:ascii="仿宋_GB2312" w:hAnsi="仿宋_GB2312" w:eastAsia="仿宋_GB2312" w:cs="仿宋_GB2312"/>
          <w:color w:val="auto"/>
          <w:sz w:val="32"/>
          <w:szCs w:val="32"/>
          <w:lang w:eastAsia="zh-CN"/>
        </w:rPr>
        <w:t>）工业和信息产业（</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）产业发展（</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lang w:eastAsia="zh-CN"/>
        </w:rPr>
        <w:t>）：反映工业和信息化产业发展的支出</w:t>
      </w:r>
      <w:r>
        <w:rPr>
          <w:rFonts w:hint="eastAsia" w:ascii="仿宋_GB2312" w:hAnsi="仿宋_GB2312" w:eastAsia="仿宋_GB2312" w:cs="仿宋_GB2312"/>
          <w:color w:val="auto"/>
          <w:sz w:val="32"/>
          <w:szCs w:val="32"/>
        </w:rPr>
        <w:t>。</w:t>
      </w:r>
    </w:p>
    <w:p w14:paraId="4D638D77">
      <w:pPr>
        <w:ind w:firstLine="640" w:firstLineChars="200"/>
        <w:rPr>
          <w:rFonts w:hint="eastAsia" w:ascii="仿宋_GB2312" w:hAnsi="仿宋_GB2312" w:eastAsia="仿宋_GB2312" w:cs="仿宋_GB2312"/>
          <w:color w:val="auto"/>
          <w:sz w:val="32"/>
          <w:szCs w:val="32"/>
        </w:rPr>
      </w:pPr>
      <w:r>
        <w:rPr>
          <w:rFonts w:hint="eastAsia" w:eastAsia="仿宋_GB2312" w:cs="仿宋_GB2312"/>
          <w:color w:val="auto"/>
          <w:kern w:val="2"/>
          <w:sz w:val="32"/>
          <w:szCs w:val="32"/>
          <w:highlight w:val="none"/>
          <w:lang w:val="en-US" w:eastAsia="zh-CN" w:bidi="ar-SA"/>
        </w:rPr>
        <w:t>24.</w:t>
      </w:r>
      <w:r>
        <w:rPr>
          <w:rFonts w:hint="eastAsia" w:ascii="仿宋_GB2312" w:hAnsi="仿宋_GB2312" w:eastAsia="仿宋_GB2312" w:cs="仿宋_GB2312"/>
          <w:color w:val="auto"/>
          <w:sz w:val="32"/>
          <w:szCs w:val="32"/>
        </w:rPr>
        <w:t>资源勘探工业信息等支出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215</w:t>
      </w:r>
      <w:r>
        <w:rPr>
          <w:rFonts w:hint="eastAsia" w:ascii="仿宋_GB2312" w:hAnsi="仿宋_GB2312" w:eastAsia="仿宋_GB2312" w:cs="仿宋_GB2312"/>
          <w:color w:val="auto"/>
          <w:sz w:val="32"/>
          <w:szCs w:val="32"/>
          <w:lang w:eastAsia="zh-CN"/>
        </w:rPr>
        <w:t>）工业和信息产业（</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）其他工业和信息产业支出（</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）：反映其他用于工业和信息化产业方面的支出</w:t>
      </w:r>
      <w:r>
        <w:rPr>
          <w:rFonts w:hint="eastAsia" w:ascii="仿宋_GB2312" w:hAnsi="仿宋_GB2312" w:eastAsia="仿宋_GB2312" w:cs="仿宋_GB2312"/>
          <w:color w:val="auto"/>
          <w:sz w:val="32"/>
          <w:szCs w:val="32"/>
        </w:rPr>
        <w:t>。</w:t>
      </w:r>
    </w:p>
    <w:p w14:paraId="2FA1C89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.住房保障（</w:t>
      </w:r>
      <w:r>
        <w:rPr>
          <w:rFonts w:hint="eastAsia" w:ascii="仿宋_GB2312" w:hAnsi="仿宋_GB2312" w:eastAsia="仿宋_GB2312" w:cs="仿宋_GB2312"/>
          <w:color w:val="auto"/>
          <w:sz w:val="32"/>
          <w:szCs w:val="32"/>
          <w:lang w:val="en-US" w:eastAsia="zh-CN"/>
        </w:rPr>
        <w:t>221</w:t>
      </w:r>
      <w:r>
        <w:rPr>
          <w:rFonts w:hint="eastAsia" w:ascii="仿宋_GB2312" w:hAnsi="仿宋_GB2312" w:eastAsia="仿宋_GB2312" w:cs="仿宋_GB2312"/>
          <w:color w:val="auto"/>
          <w:sz w:val="32"/>
          <w:szCs w:val="32"/>
        </w:rPr>
        <w:t>）住房改革支出（</w:t>
      </w:r>
      <w:r>
        <w:rPr>
          <w:rFonts w:hint="eastAsia" w:ascii="仿宋_GB2312" w:hAnsi="仿宋_GB2312" w:eastAsia="仿宋_GB2312" w:cs="仿宋_GB2312"/>
          <w:color w:val="auto"/>
          <w:sz w:val="32"/>
          <w:szCs w:val="32"/>
          <w:lang w:val="en-US" w:eastAsia="zh-CN"/>
        </w:rPr>
        <w:t>02</w:t>
      </w:r>
      <w:r>
        <w:rPr>
          <w:rFonts w:hint="eastAsia" w:ascii="仿宋_GB2312" w:hAnsi="仿宋_GB2312" w:eastAsia="仿宋_GB2312" w:cs="仿宋_GB2312"/>
          <w:color w:val="auto"/>
          <w:sz w:val="32"/>
          <w:szCs w:val="32"/>
        </w:rPr>
        <w:t>）住房公积金（</w:t>
      </w:r>
      <w:r>
        <w:rPr>
          <w:rFonts w:hint="eastAsia" w:ascii="仿宋_GB2312" w:hAnsi="仿宋_GB2312" w:eastAsia="仿宋_GB2312" w:cs="仿宋_GB2312"/>
          <w:color w:val="auto"/>
          <w:sz w:val="32"/>
          <w:szCs w:val="32"/>
          <w:lang w:val="en-US" w:eastAsia="zh-CN"/>
        </w:rPr>
        <w:t>01</w:t>
      </w:r>
      <w:r>
        <w:rPr>
          <w:rFonts w:hint="eastAsia" w:ascii="仿宋_GB2312" w:hAnsi="仿宋_GB2312" w:eastAsia="仿宋_GB2312" w:cs="仿宋_GB2312"/>
          <w:color w:val="auto"/>
          <w:sz w:val="32"/>
          <w:szCs w:val="32"/>
        </w:rPr>
        <w:t>）：指反映行政事业单位按人力资源和社会保障部、财政部规定的基本工资和津贴补贴以及规定比例为职工缴纳的住房公积金。</w:t>
      </w:r>
    </w:p>
    <w:p w14:paraId="3C84A634">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lang w:eastAsia="zh-CN"/>
        </w:rPr>
        <w:t>其他支出（</w:t>
      </w:r>
      <w:r>
        <w:rPr>
          <w:rFonts w:hint="eastAsia" w:ascii="仿宋_GB2312" w:hAnsi="仿宋_GB2312" w:eastAsia="仿宋_GB2312" w:cs="仿宋_GB2312"/>
          <w:color w:val="auto"/>
          <w:sz w:val="32"/>
          <w:szCs w:val="32"/>
          <w:lang w:val="en-US" w:eastAsia="zh-CN"/>
        </w:rPr>
        <w:t>229</w:t>
      </w:r>
      <w:r>
        <w:rPr>
          <w:rFonts w:hint="eastAsia" w:ascii="仿宋_GB2312" w:hAnsi="仿宋_GB2312" w:eastAsia="仿宋_GB2312" w:cs="仿宋_GB2312"/>
          <w:color w:val="auto"/>
          <w:sz w:val="32"/>
          <w:szCs w:val="32"/>
          <w:lang w:eastAsia="zh-CN"/>
        </w:rPr>
        <w:t>）其他支出（</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）其他支出（</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lang w:eastAsia="zh-CN"/>
        </w:rPr>
        <w:t>）：指反应除上述以外其他不能划分到具体功能科目中的支出项目。</w:t>
      </w:r>
    </w:p>
    <w:p w14:paraId="37B0B59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（上述9-</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条名词解释参照《202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年政府收支分类科目》书列示。）</w:t>
      </w:r>
    </w:p>
    <w:p w14:paraId="7FA99DC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.基本支出：指为保障机构正常运转、完成日常工作任务而发生的人员支出和公用支出。</w:t>
      </w:r>
    </w:p>
    <w:p w14:paraId="20727DD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 xml:space="preserve">.项目支出：指在基本支出之外为完成特定行政任务和事业发展目标所发生的支出。 </w:t>
      </w:r>
    </w:p>
    <w:p w14:paraId="6786A25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.经营支出：指事业单位在专业业务活动及其辅助活动之外开展非独立核算经营活动发生的支出。</w:t>
      </w:r>
    </w:p>
    <w:p w14:paraId="6082B35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2E256BD">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31</w:t>
      </w:r>
      <w:r>
        <w:rPr>
          <w:rFonts w:hint="eastAsia" w:ascii="仿宋_GB2312" w:hAnsi="仿宋_GB2312"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9693B1">
      <w:pPr>
        <w:spacing w:line="600" w:lineRule="exact"/>
        <w:jc w:val="center"/>
        <w:rPr>
          <w:rFonts w:hint="eastAsia" w:ascii="Times New Roman" w:hAnsi="Times New Roman" w:eastAsia="黑体"/>
          <w:color w:val="auto"/>
          <w:sz w:val="44"/>
          <w:szCs w:val="44"/>
          <w:highlight w:val="none"/>
        </w:rPr>
      </w:pPr>
      <w:bookmarkStart w:id="59" w:name="_Toc15396614"/>
      <w:bookmarkStart w:id="60" w:name="_Toc15377226"/>
    </w:p>
    <w:p w14:paraId="06386EF3">
      <w:pPr>
        <w:spacing w:line="600" w:lineRule="exact"/>
        <w:jc w:val="center"/>
        <w:rPr>
          <w:rFonts w:hint="eastAsia" w:ascii="Times New Roman" w:hAnsi="Times New Roman" w:eastAsia="黑体"/>
          <w:color w:val="auto"/>
          <w:sz w:val="44"/>
          <w:szCs w:val="44"/>
          <w:highlight w:val="none"/>
        </w:rPr>
      </w:pPr>
    </w:p>
    <w:p w14:paraId="5AF6609F">
      <w:pPr>
        <w:spacing w:line="600" w:lineRule="exact"/>
        <w:jc w:val="center"/>
        <w:rPr>
          <w:rFonts w:hint="eastAsia" w:ascii="Times New Roman" w:hAnsi="Times New Roman" w:eastAsia="黑体"/>
          <w:color w:val="auto"/>
          <w:sz w:val="44"/>
          <w:szCs w:val="44"/>
          <w:highlight w:val="none"/>
        </w:rPr>
      </w:pPr>
    </w:p>
    <w:p w14:paraId="58C9B974">
      <w:pPr>
        <w:spacing w:line="600" w:lineRule="exact"/>
        <w:jc w:val="center"/>
        <w:rPr>
          <w:rFonts w:hint="eastAsia" w:ascii="Times New Roman" w:hAnsi="Times New Roman" w:eastAsia="黑体"/>
          <w:color w:val="auto"/>
          <w:sz w:val="44"/>
          <w:szCs w:val="44"/>
          <w:highlight w:val="none"/>
        </w:rPr>
      </w:pPr>
    </w:p>
    <w:p w14:paraId="33FCC5CB">
      <w:pPr>
        <w:spacing w:line="600" w:lineRule="exact"/>
        <w:jc w:val="center"/>
        <w:rPr>
          <w:rFonts w:hint="eastAsia" w:ascii="Times New Roman" w:hAnsi="Times New Roman" w:eastAsia="黑体"/>
          <w:color w:val="auto"/>
          <w:sz w:val="44"/>
          <w:szCs w:val="44"/>
          <w:highlight w:val="none"/>
        </w:rPr>
      </w:pPr>
    </w:p>
    <w:p w14:paraId="389BBE15">
      <w:pPr>
        <w:spacing w:line="600" w:lineRule="exact"/>
        <w:jc w:val="center"/>
        <w:rPr>
          <w:rFonts w:hint="eastAsia" w:ascii="Times New Roman" w:hAnsi="Times New Roman" w:eastAsia="黑体"/>
          <w:color w:val="auto"/>
          <w:sz w:val="44"/>
          <w:szCs w:val="44"/>
          <w:highlight w:val="none"/>
        </w:rPr>
      </w:pPr>
    </w:p>
    <w:p w14:paraId="0570AE37">
      <w:pPr>
        <w:spacing w:line="600" w:lineRule="exact"/>
        <w:jc w:val="center"/>
        <w:rPr>
          <w:rFonts w:hint="eastAsia" w:ascii="Times New Roman" w:hAnsi="Times New Roman" w:eastAsia="黑体"/>
          <w:color w:val="auto"/>
          <w:sz w:val="44"/>
          <w:szCs w:val="44"/>
          <w:highlight w:val="none"/>
        </w:rPr>
      </w:pPr>
    </w:p>
    <w:p w14:paraId="5FB3AABC">
      <w:pPr>
        <w:spacing w:line="600" w:lineRule="exact"/>
        <w:jc w:val="center"/>
        <w:rPr>
          <w:rFonts w:hint="eastAsia" w:ascii="Times New Roman" w:hAnsi="Times New Roman" w:eastAsia="黑体"/>
          <w:color w:val="auto"/>
          <w:sz w:val="44"/>
          <w:szCs w:val="44"/>
          <w:highlight w:val="none"/>
        </w:rPr>
      </w:pPr>
    </w:p>
    <w:p w14:paraId="556A5E6B">
      <w:pPr>
        <w:spacing w:line="600" w:lineRule="exact"/>
        <w:jc w:val="center"/>
        <w:rPr>
          <w:rFonts w:hint="eastAsia" w:ascii="Times New Roman" w:hAnsi="Times New Roman" w:eastAsia="黑体"/>
          <w:color w:val="auto"/>
          <w:sz w:val="44"/>
          <w:szCs w:val="44"/>
          <w:highlight w:val="none"/>
        </w:rPr>
      </w:pPr>
    </w:p>
    <w:p w14:paraId="75C34A4E">
      <w:pPr>
        <w:spacing w:line="600" w:lineRule="exact"/>
        <w:ind w:firstLine="1760" w:firstLineChars="400"/>
        <w:jc w:val="both"/>
        <w:rPr>
          <w:rFonts w:hint="eastAsia" w:ascii="Times New Roman" w:hAnsi="Times New Roman" w:eastAsia="黑体"/>
          <w:color w:val="auto"/>
          <w:sz w:val="44"/>
          <w:szCs w:val="44"/>
          <w:highlight w:val="none"/>
        </w:rPr>
      </w:pPr>
    </w:p>
    <w:p w14:paraId="6A6E8467">
      <w:pPr>
        <w:spacing w:line="600" w:lineRule="exact"/>
        <w:ind w:firstLine="1760" w:firstLineChars="400"/>
        <w:jc w:val="both"/>
        <w:rPr>
          <w:rFonts w:hint="eastAsia" w:ascii="Times New Roman" w:hAnsi="Times New Roman" w:eastAsia="黑体"/>
          <w:color w:val="auto"/>
          <w:sz w:val="44"/>
          <w:szCs w:val="44"/>
          <w:highlight w:val="none"/>
        </w:rPr>
      </w:pPr>
    </w:p>
    <w:p w14:paraId="5C9DE380">
      <w:pPr>
        <w:spacing w:line="600" w:lineRule="exact"/>
        <w:ind w:firstLine="1760" w:firstLineChars="400"/>
        <w:jc w:val="both"/>
        <w:rPr>
          <w:rFonts w:hint="eastAsia" w:ascii="Times New Roman" w:hAnsi="Times New Roman" w:eastAsia="黑体"/>
          <w:color w:val="auto"/>
          <w:sz w:val="44"/>
          <w:szCs w:val="44"/>
          <w:highlight w:val="none"/>
        </w:rPr>
      </w:pPr>
    </w:p>
    <w:p w14:paraId="77EBE46D">
      <w:pPr>
        <w:numPr>
          <w:ilvl w:val="0"/>
          <w:numId w:val="0"/>
        </w:numPr>
        <w:spacing w:line="600" w:lineRule="exact"/>
        <w:jc w:val="both"/>
        <w:outlineLvl w:val="0"/>
        <w:rPr>
          <w:rFonts w:hint="eastAsia" w:ascii="Times New Roman" w:hAnsi="Times New Roman" w:eastAsia="黑体" w:cs="Times New Roman"/>
          <w:color w:val="auto"/>
          <w:sz w:val="44"/>
          <w:szCs w:val="44"/>
          <w:highlight w:val="none"/>
        </w:rPr>
      </w:pPr>
    </w:p>
    <w:p w14:paraId="5917CFF6">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p>
    <w:p w14:paraId="49627055">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p>
    <w:p w14:paraId="0D07BE49">
      <w:pPr>
        <w:numPr>
          <w:ilvl w:val="0"/>
          <w:numId w:val="0"/>
        </w:numPr>
        <w:spacing w:line="600" w:lineRule="exact"/>
        <w:jc w:val="center"/>
        <w:outlineLvl w:val="0"/>
        <w:rPr>
          <w:rFonts w:hint="eastAsia" w:ascii="Times New Roman" w:hAnsi="Times New Roman" w:eastAsia="黑体" w:cs="Times New Roman"/>
          <w:color w:val="auto"/>
          <w:sz w:val="44"/>
          <w:szCs w:val="44"/>
          <w:highlight w:val="none"/>
          <w:lang w:eastAsia="zh-CN"/>
        </w:rPr>
      </w:pPr>
      <w:bookmarkStart w:id="61" w:name="_Toc28898"/>
      <w:r>
        <w:rPr>
          <w:rFonts w:hint="eastAsia" w:ascii="Times New Roman" w:hAnsi="Times New Roman" w:eastAsia="黑体" w:cs="Times New Roman"/>
          <w:color w:val="auto"/>
          <w:sz w:val="44"/>
          <w:szCs w:val="44"/>
          <w:highlight w:val="none"/>
        </w:rPr>
        <w:t>第四部分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附件</w:t>
      </w:r>
      <w:bookmarkEnd w:id="59"/>
      <w:bookmarkEnd w:id="61"/>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rPr>
      </w:pPr>
    </w:p>
    <w:p w14:paraId="471B8B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2" w:name="_Toc1560"/>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2"/>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36"/>
          <w:szCs w:val="36"/>
          <w:highlight w:val="none"/>
          <w:shd w:val="clear" w:color="auto" w:fill="FFFFFF"/>
        </w:rPr>
      </w:pPr>
    </w:p>
    <w:p w14:paraId="1F49886F">
      <w:pPr>
        <w:widowControl/>
        <w:spacing w:line="578" w:lineRule="exact"/>
        <w:contextualSpacing/>
        <w:jc w:val="center"/>
        <w:rPr>
          <w:rFonts w:hint="eastAsia" w:ascii="黑体" w:hAnsi="黑体" w:eastAsia="黑体" w:cs="黑体"/>
          <w:bCs/>
          <w:color w:val="auto"/>
          <w:sz w:val="36"/>
          <w:szCs w:val="36"/>
          <w:shd w:val="clear" w:color="auto" w:fill="FFFFFF"/>
        </w:rPr>
      </w:pPr>
      <w:r>
        <w:rPr>
          <w:rFonts w:hint="eastAsia" w:ascii="黑体" w:hAnsi="黑体" w:eastAsia="黑体" w:cs="黑体"/>
          <w:bCs/>
          <w:color w:val="auto"/>
          <w:sz w:val="36"/>
          <w:szCs w:val="36"/>
          <w:shd w:val="clear" w:color="auto" w:fill="FFFFFF"/>
        </w:rPr>
        <w:t>阿坝州生态保护和发展研究院</w:t>
      </w:r>
    </w:p>
    <w:p w14:paraId="66345D38">
      <w:pPr>
        <w:widowControl/>
        <w:spacing w:line="578" w:lineRule="exact"/>
        <w:contextualSpacing/>
        <w:jc w:val="center"/>
        <w:rPr>
          <w:rFonts w:hint="eastAsia" w:ascii="黑体" w:hAnsi="黑体" w:eastAsia="黑体" w:cs="黑体"/>
          <w:bCs/>
          <w:color w:val="auto"/>
          <w:sz w:val="36"/>
          <w:szCs w:val="36"/>
          <w:shd w:val="clear" w:color="auto" w:fill="FFFFFF"/>
        </w:rPr>
      </w:pPr>
      <w:r>
        <w:rPr>
          <w:rFonts w:hint="eastAsia" w:ascii="黑体" w:hAnsi="黑体" w:eastAsia="黑体" w:cs="黑体"/>
          <w:bCs/>
          <w:color w:val="auto"/>
          <w:sz w:val="36"/>
          <w:szCs w:val="36"/>
          <w:shd w:val="clear" w:color="auto" w:fill="FFFFFF"/>
        </w:rPr>
        <w:t>预算绩效自评报告</w:t>
      </w:r>
    </w:p>
    <w:p w14:paraId="7EDFA2B0">
      <w:pPr>
        <w:widowControl/>
        <w:adjustRightInd w:val="0"/>
        <w:snapToGrid w:val="0"/>
        <w:spacing w:line="578" w:lineRule="exact"/>
        <w:ind w:firstLine="640" w:firstLineChars="200"/>
        <w:contextualSpacing/>
        <w:jc w:val="left"/>
        <w:rPr>
          <w:rFonts w:hint="eastAsia" w:eastAsia="黑体"/>
          <w:color w:val="auto"/>
          <w:kern w:val="0"/>
          <w:sz w:val="32"/>
          <w:szCs w:val="32"/>
          <w:shd w:val="clear" w:color="auto" w:fill="FFFFFF"/>
          <w:lang w:val="zh-CN"/>
        </w:rPr>
      </w:pPr>
    </w:p>
    <w:p w14:paraId="6328D566">
      <w:pPr>
        <w:widowControl/>
        <w:adjustRightInd w:val="0"/>
        <w:snapToGrid w:val="0"/>
        <w:spacing w:line="578" w:lineRule="exact"/>
        <w:ind w:firstLine="640" w:firstLineChars="200"/>
        <w:contextualSpacing/>
        <w:jc w:val="left"/>
        <w:rPr>
          <w:color w:val="auto"/>
          <w:sz w:val="32"/>
          <w:szCs w:val="32"/>
        </w:rPr>
      </w:pPr>
      <w:r>
        <w:rPr>
          <w:rFonts w:hint="eastAsia" w:eastAsia="黑体"/>
          <w:color w:val="auto"/>
          <w:kern w:val="0"/>
          <w:sz w:val="32"/>
          <w:szCs w:val="32"/>
          <w:shd w:val="clear" w:color="auto" w:fill="FFFFFF"/>
          <w:lang w:val="zh-CN"/>
        </w:rPr>
        <w:t>一、部门（单位）基本情况</w:t>
      </w:r>
    </w:p>
    <w:p w14:paraId="10641D27">
      <w:pPr>
        <w:pStyle w:val="30"/>
        <w:ind w:firstLine="640"/>
        <w:jc w:val="left"/>
        <w:rPr>
          <w:color w:val="auto"/>
          <w:sz w:val="32"/>
          <w:szCs w:val="32"/>
        </w:rPr>
      </w:pPr>
      <w:r>
        <w:rPr>
          <w:rFonts w:hint="eastAsia" w:eastAsia="楷体_GB2312"/>
          <w:b/>
          <w:bCs/>
          <w:color w:val="auto"/>
          <w:kern w:val="0"/>
          <w:sz w:val="32"/>
          <w:szCs w:val="32"/>
          <w:shd w:val="clear" w:color="auto" w:fill="FFFFFF"/>
          <w:lang w:val="zh-CN"/>
        </w:rPr>
        <w:t>（一）机构组成。</w:t>
      </w:r>
      <w:r>
        <w:rPr>
          <w:rFonts w:hint="eastAsia" w:ascii="仿宋" w:hAnsi="仿宋" w:eastAsia="仿宋" w:cs="仿宋"/>
          <w:color w:val="auto"/>
          <w:sz w:val="32"/>
          <w:szCs w:val="32"/>
        </w:rPr>
        <w:t>设党政综合办公室、财务管理科、科技管理科、地理科学和信息研究所、资源和产业经济发展研究所、生态环境研究所6个内设机构,无下属单位。</w:t>
      </w:r>
    </w:p>
    <w:p w14:paraId="614E0EC1">
      <w:pPr>
        <w:widowControl/>
        <w:adjustRightInd w:val="0"/>
        <w:snapToGrid w:val="0"/>
        <w:spacing w:line="578" w:lineRule="exact"/>
        <w:ind w:firstLine="643" w:firstLineChars="200"/>
        <w:contextualSpacing/>
        <w:jc w:val="left"/>
        <w:rPr>
          <w:color w:val="auto"/>
          <w:sz w:val="32"/>
          <w:szCs w:val="32"/>
        </w:rPr>
      </w:pPr>
      <w:r>
        <w:rPr>
          <w:rFonts w:hint="eastAsia" w:eastAsia="楷体_GB2312"/>
          <w:b/>
          <w:bCs/>
          <w:color w:val="auto"/>
          <w:kern w:val="0"/>
          <w:sz w:val="32"/>
          <w:szCs w:val="32"/>
          <w:shd w:val="clear" w:color="auto" w:fill="FFFFFF"/>
          <w:lang w:val="zh-CN"/>
        </w:rPr>
        <w:t>（二）机构职能。</w:t>
      </w:r>
    </w:p>
    <w:p w14:paraId="56BBB29D">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州生态研究院贯彻落实中央和省委、州委关于生态文明建设工作的决策部署，在履行职责过程中坚持和加强党的全面领导。主要职责是：</w:t>
      </w:r>
    </w:p>
    <w:p w14:paraId="4B477A83">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开展生态保护、生态修复、生态治理、生态产业等领域的应用基础研究与关键技术攻关，为切实筑牢长江黄河上游生态屏障提供科技支撑。</w:t>
      </w:r>
    </w:p>
    <w:p w14:paraId="2B92B4D0">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研发、引进、集成并示范推广先进实用技术与模式，推进科技成果转化，开展技术培训和科普宣传，促进科技创新与产业深度融合。</w:t>
      </w:r>
    </w:p>
    <w:p w14:paraId="60917186">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开展生态保护政策、法规、规划与标准研究，为州委、州政府科学决策提供理论支撑和智力服务。</w:t>
      </w:r>
    </w:p>
    <w:p w14:paraId="2CD0126C">
      <w:pPr>
        <w:ind w:firstLine="640" w:firstLineChars="200"/>
        <w:rPr>
          <w:rFonts w:hint="eastAsia" w:ascii="仿宋" w:hAnsi="仿宋" w:eastAsia="仿宋" w:cs="仿宋"/>
          <w:color w:val="auto"/>
          <w:sz w:val="32"/>
          <w:szCs w:val="32"/>
          <w:lang w:val="zh-CN"/>
        </w:rPr>
      </w:pPr>
      <w:r>
        <w:rPr>
          <w:rFonts w:hint="eastAsia" w:ascii="仿宋" w:hAnsi="仿宋" w:eastAsia="仿宋" w:cs="仿宋"/>
          <w:color w:val="auto"/>
          <w:sz w:val="32"/>
          <w:szCs w:val="32"/>
        </w:rPr>
        <w:t>4</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依托重点实验室、高分辨率数据应用中心、专家工作站等核心科研平台，与国内外高校、科研院所开展合作与交流，引育领军人才，建设高水平科研团队，提升对外合作交流水平和影响力。</w:t>
      </w:r>
    </w:p>
    <w:p w14:paraId="5CFFFC59">
      <w:pPr>
        <w:widowControl/>
        <w:spacing w:line="578" w:lineRule="exact"/>
        <w:ind w:firstLine="643" w:firstLineChars="200"/>
        <w:contextualSpacing/>
        <w:jc w:val="left"/>
        <w:rPr>
          <w:color w:val="auto"/>
          <w:sz w:val="32"/>
          <w:szCs w:val="32"/>
        </w:rPr>
      </w:pPr>
      <w:r>
        <w:rPr>
          <w:rFonts w:hint="eastAsia" w:eastAsia="楷体_GB2312"/>
          <w:b/>
          <w:bCs/>
          <w:color w:val="auto"/>
          <w:kern w:val="0"/>
          <w:sz w:val="32"/>
          <w:szCs w:val="32"/>
          <w:shd w:val="clear" w:color="auto" w:fill="FFFFFF"/>
          <w:lang w:val="zh-CN"/>
        </w:rPr>
        <w:t>（三）人员概况。</w:t>
      </w:r>
    </w:p>
    <w:p w14:paraId="1C851251">
      <w:pPr>
        <w:snapToGrid w:val="0"/>
        <w:spacing w:line="560" w:lineRule="exact"/>
        <w:ind w:firstLine="640" w:firstLineChars="200"/>
        <w:rPr>
          <w:color w:val="auto"/>
          <w:sz w:val="32"/>
          <w:szCs w:val="32"/>
        </w:rPr>
      </w:pPr>
      <w:r>
        <w:rPr>
          <w:rFonts w:hint="eastAsia" w:ascii="仿宋" w:hAnsi="仿宋" w:eastAsia="仿宋" w:cs="仿宋"/>
          <w:color w:val="auto"/>
          <w:sz w:val="32"/>
          <w:szCs w:val="32"/>
          <w:shd w:val="clear" w:color="auto" w:fill="FFFFFF"/>
        </w:rPr>
        <w:t>本单位本年度年末实有人数为</w:t>
      </w:r>
      <w:r>
        <w:rPr>
          <w:rFonts w:ascii="仿宋" w:hAnsi="仿宋" w:eastAsia="仿宋" w:cs="仿宋"/>
          <w:color w:val="auto"/>
          <w:sz w:val="32"/>
          <w:szCs w:val="32"/>
          <w:shd w:val="clear" w:color="auto" w:fill="FFFFFF"/>
        </w:rPr>
        <w:t>51</w:t>
      </w:r>
      <w:r>
        <w:rPr>
          <w:rFonts w:hint="eastAsia" w:ascii="仿宋" w:hAnsi="仿宋" w:eastAsia="仿宋" w:cs="仿宋"/>
          <w:color w:val="auto"/>
          <w:sz w:val="32"/>
          <w:szCs w:val="32"/>
          <w:shd w:val="clear" w:color="auto" w:fill="FFFFFF"/>
        </w:rPr>
        <w:t>人，比上年增加</w:t>
      </w:r>
      <w:r>
        <w:rPr>
          <w:rFonts w:ascii="仿宋" w:hAnsi="仿宋" w:eastAsia="仿宋" w:cs="仿宋"/>
          <w:color w:val="auto"/>
          <w:sz w:val="32"/>
          <w:szCs w:val="32"/>
          <w:shd w:val="clear" w:color="auto" w:fill="FFFFFF"/>
        </w:rPr>
        <w:t>32</w:t>
      </w:r>
      <w:r>
        <w:rPr>
          <w:rFonts w:hint="eastAsia" w:ascii="仿宋" w:hAnsi="仿宋" w:eastAsia="仿宋" w:cs="仿宋"/>
          <w:color w:val="auto"/>
          <w:sz w:val="32"/>
          <w:szCs w:val="32"/>
          <w:shd w:val="clear" w:color="auto" w:fill="FFFFFF"/>
        </w:rPr>
        <w:t>人；年末实有离退休人数为</w:t>
      </w:r>
      <w:r>
        <w:rPr>
          <w:rFonts w:ascii="仿宋" w:hAnsi="仿宋" w:eastAsia="仿宋" w:cs="仿宋"/>
          <w:color w:val="auto"/>
          <w:sz w:val="32"/>
          <w:szCs w:val="32"/>
          <w:shd w:val="clear" w:color="auto" w:fill="FFFFFF"/>
        </w:rPr>
        <w:t>45</w:t>
      </w:r>
      <w:r>
        <w:rPr>
          <w:rFonts w:hint="eastAsia" w:ascii="仿宋" w:hAnsi="仿宋" w:eastAsia="仿宋" w:cs="仿宋"/>
          <w:color w:val="auto"/>
          <w:sz w:val="32"/>
          <w:szCs w:val="32"/>
          <w:shd w:val="clear" w:color="auto" w:fill="FFFFFF"/>
        </w:rPr>
        <w:t>人，比上年增加</w:t>
      </w:r>
      <w:r>
        <w:rPr>
          <w:rFonts w:ascii="仿宋" w:hAnsi="仿宋" w:eastAsia="仿宋" w:cs="仿宋"/>
          <w:color w:val="auto"/>
          <w:sz w:val="32"/>
          <w:szCs w:val="32"/>
          <w:shd w:val="clear" w:color="auto" w:fill="FFFFFF"/>
        </w:rPr>
        <w:t>39</w:t>
      </w:r>
      <w:r>
        <w:rPr>
          <w:rFonts w:hint="eastAsia" w:ascii="仿宋" w:hAnsi="仿宋" w:eastAsia="仿宋" w:cs="仿宋"/>
          <w:color w:val="auto"/>
          <w:sz w:val="32"/>
          <w:szCs w:val="32"/>
          <w:shd w:val="clear" w:color="auto" w:fill="FFFFFF"/>
        </w:rPr>
        <w:t>人；年末实有其他人数为</w:t>
      </w:r>
      <w:r>
        <w:rPr>
          <w:rFonts w:ascii="仿宋" w:hAnsi="仿宋" w:eastAsia="仿宋" w:cs="仿宋"/>
          <w:color w:val="auto"/>
          <w:sz w:val="32"/>
          <w:szCs w:val="32"/>
          <w:shd w:val="clear" w:color="auto" w:fill="FFFFFF"/>
        </w:rPr>
        <w:t>3</w:t>
      </w:r>
      <w:r>
        <w:rPr>
          <w:rFonts w:hint="eastAsia" w:ascii="仿宋" w:hAnsi="仿宋" w:eastAsia="仿宋" w:cs="仿宋"/>
          <w:color w:val="auto"/>
          <w:sz w:val="32"/>
          <w:szCs w:val="32"/>
          <w:shd w:val="clear" w:color="auto" w:fill="FFFFFF"/>
        </w:rPr>
        <w:t>人，比上年增加</w:t>
      </w:r>
      <w:r>
        <w:rPr>
          <w:rFonts w:ascii="仿宋" w:hAnsi="仿宋" w:eastAsia="仿宋" w:cs="仿宋"/>
          <w:color w:val="auto"/>
          <w:sz w:val="32"/>
          <w:szCs w:val="32"/>
          <w:shd w:val="clear" w:color="auto" w:fill="FFFFFF"/>
        </w:rPr>
        <w:t>3</w:t>
      </w:r>
      <w:r>
        <w:rPr>
          <w:rFonts w:hint="eastAsia" w:ascii="仿宋" w:hAnsi="仿宋" w:eastAsia="仿宋" w:cs="仿宋"/>
          <w:color w:val="auto"/>
          <w:sz w:val="32"/>
          <w:szCs w:val="32"/>
          <w:shd w:val="clear" w:color="auto" w:fill="FFFFFF"/>
        </w:rPr>
        <w:t>人。变动原因：</w:t>
      </w:r>
      <w:r>
        <w:rPr>
          <w:rFonts w:ascii="仿宋" w:hAnsi="仿宋" w:eastAsia="仿宋" w:cs="仿宋"/>
          <w:color w:val="auto"/>
          <w:sz w:val="32"/>
          <w:szCs w:val="32"/>
          <w:shd w:val="clear" w:color="auto" w:fill="FFFFFF"/>
        </w:rPr>
        <w:t>2025</w:t>
      </w:r>
      <w:r>
        <w:rPr>
          <w:rFonts w:hint="eastAsia" w:ascii="仿宋" w:hAnsi="仿宋" w:eastAsia="仿宋" w:cs="仿宋"/>
          <w:color w:val="auto"/>
          <w:sz w:val="32"/>
          <w:szCs w:val="32"/>
          <w:shd w:val="clear" w:color="auto" w:fill="FFFFFF"/>
        </w:rPr>
        <w:t>年根据阿编发〔2025〕5号文件要求，州林业和草原科学技术研究所、州工业经济研究所、州自然资源与科技信息研究所合并到州生态保护与发展研究院，并更名为州生态保护和发展研究院。</w:t>
      </w:r>
    </w:p>
    <w:p w14:paraId="132385B7">
      <w:pPr>
        <w:widowControl/>
        <w:adjustRightInd w:val="0"/>
        <w:snapToGrid w:val="0"/>
        <w:spacing w:line="578" w:lineRule="exact"/>
        <w:ind w:firstLine="640" w:firstLineChars="200"/>
        <w:contextualSpacing/>
        <w:jc w:val="left"/>
        <w:rPr>
          <w:rFonts w:eastAsia="黑体"/>
          <w:color w:val="auto"/>
          <w:kern w:val="0"/>
          <w:sz w:val="32"/>
          <w:szCs w:val="32"/>
          <w:shd w:val="clear" w:color="auto" w:fill="FFFFFF"/>
        </w:rPr>
      </w:pPr>
      <w:r>
        <w:rPr>
          <w:rFonts w:hint="eastAsia" w:eastAsia="黑体"/>
          <w:color w:val="auto"/>
          <w:kern w:val="0"/>
          <w:sz w:val="32"/>
          <w:szCs w:val="32"/>
          <w:shd w:val="clear" w:color="auto" w:fill="FFFFFF"/>
        </w:rPr>
        <w:t>二、部门资金收支情况</w:t>
      </w:r>
    </w:p>
    <w:p w14:paraId="5785679B">
      <w:pPr>
        <w:snapToGrid w:val="0"/>
        <w:spacing w:line="560" w:lineRule="exact"/>
        <w:ind w:firstLine="643" w:firstLineChars="200"/>
        <w:rPr>
          <w:rFonts w:ascii="仿宋" w:hAnsi="仿宋" w:eastAsia="仿宋" w:cs="仿宋"/>
          <w:color w:val="auto"/>
          <w:sz w:val="32"/>
          <w:szCs w:val="32"/>
          <w:shd w:val="clear" w:color="auto" w:fill="FFFFFF"/>
        </w:rPr>
      </w:pPr>
      <w:r>
        <w:rPr>
          <w:rFonts w:hint="eastAsia" w:eastAsia="楷体_GB2312"/>
          <w:b/>
          <w:bCs/>
          <w:color w:val="auto"/>
          <w:kern w:val="0"/>
          <w:sz w:val="32"/>
          <w:szCs w:val="32"/>
          <w:shd w:val="clear" w:color="auto" w:fill="FFFFFF"/>
          <w:lang w:val="zh-CN"/>
        </w:rPr>
        <w:t>（一）收入情况。</w:t>
      </w:r>
      <w:r>
        <w:rPr>
          <w:rFonts w:hint="eastAsia" w:ascii="仿宋" w:hAnsi="仿宋" w:eastAsia="仿宋" w:cs="仿宋"/>
          <w:color w:val="auto"/>
          <w:sz w:val="32"/>
          <w:szCs w:val="32"/>
          <w:shd w:val="clear" w:color="auto" w:fill="FFFFFF"/>
        </w:rPr>
        <w:t>阿坝州生态保护和发展研究院</w:t>
      </w:r>
      <w:r>
        <w:rPr>
          <w:rFonts w:ascii="仿宋" w:hAnsi="仿宋" w:eastAsia="仿宋" w:cs="仿宋"/>
          <w:color w:val="auto"/>
          <w:sz w:val="32"/>
          <w:szCs w:val="32"/>
          <w:shd w:val="clear" w:color="auto" w:fill="FFFFFF"/>
        </w:rPr>
        <w:t>2025</w:t>
      </w:r>
      <w:r>
        <w:rPr>
          <w:rFonts w:hint="eastAsia" w:ascii="仿宋" w:hAnsi="仿宋" w:eastAsia="仿宋" w:cs="仿宋"/>
          <w:color w:val="auto"/>
          <w:sz w:val="32"/>
          <w:szCs w:val="32"/>
          <w:shd w:val="clear" w:color="auto" w:fill="FFFFFF"/>
        </w:rPr>
        <w:t>年年初预算收入</w:t>
      </w:r>
      <w:r>
        <w:rPr>
          <w:rFonts w:ascii="仿宋" w:hAnsi="仿宋" w:eastAsia="仿宋" w:cs="仿宋"/>
          <w:color w:val="auto"/>
          <w:sz w:val="32"/>
          <w:szCs w:val="32"/>
          <w:shd w:val="clear" w:color="auto" w:fill="FFFFFF"/>
        </w:rPr>
        <w:t>2067.62</w:t>
      </w:r>
      <w:r>
        <w:rPr>
          <w:rFonts w:hint="eastAsia" w:ascii="仿宋" w:hAnsi="仿宋" w:eastAsia="仿宋" w:cs="仿宋"/>
          <w:color w:val="auto"/>
          <w:sz w:val="32"/>
          <w:szCs w:val="32"/>
          <w:shd w:val="clear" w:color="auto" w:fill="FFFFFF"/>
        </w:rPr>
        <w:t>万元、决算报表收入</w:t>
      </w:r>
      <w:r>
        <w:rPr>
          <w:rFonts w:ascii="仿宋" w:hAnsi="仿宋" w:eastAsia="仿宋" w:cs="仿宋"/>
          <w:color w:val="auto"/>
          <w:sz w:val="32"/>
          <w:szCs w:val="32"/>
          <w:shd w:val="clear" w:color="auto" w:fill="FFFFFF"/>
        </w:rPr>
        <w:t>1938.85</w:t>
      </w:r>
      <w:r>
        <w:rPr>
          <w:rFonts w:hint="eastAsia" w:ascii="仿宋" w:hAnsi="仿宋" w:eastAsia="仿宋" w:cs="仿宋"/>
          <w:color w:val="auto"/>
          <w:sz w:val="32"/>
          <w:szCs w:val="32"/>
          <w:shd w:val="clear" w:color="auto" w:fill="FFFFFF"/>
        </w:rPr>
        <w:t>万元。</w:t>
      </w:r>
    </w:p>
    <w:p w14:paraId="627A2BF2">
      <w:pPr>
        <w:snapToGrid w:val="0"/>
        <w:spacing w:line="560" w:lineRule="exact"/>
        <w:ind w:firstLine="643" w:firstLineChars="200"/>
        <w:rPr>
          <w:rFonts w:hint="eastAsia" w:ascii="仿宋" w:hAnsi="仿宋" w:eastAsia="仿宋" w:cs="仿宋"/>
          <w:color w:val="auto"/>
          <w:sz w:val="32"/>
          <w:szCs w:val="32"/>
        </w:rPr>
      </w:pPr>
      <w:r>
        <w:rPr>
          <w:rFonts w:hint="eastAsia" w:eastAsia="楷体_GB2312"/>
          <w:b/>
          <w:bCs/>
          <w:color w:val="auto"/>
          <w:kern w:val="0"/>
          <w:sz w:val="32"/>
          <w:szCs w:val="32"/>
          <w:shd w:val="clear" w:color="auto" w:fill="FFFFFF"/>
          <w:lang w:val="zh-CN"/>
        </w:rPr>
        <w:t>（二）支出情况。</w:t>
      </w:r>
      <w:r>
        <w:rPr>
          <w:rFonts w:hint="eastAsia" w:ascii="仿宋" w:hAnsi="仿宋" w:eastAsia="仿宋" w:cs="仿宋"/>
          <w:color w:val="auto"/>
          <w:sz w:val="32"/>
          <w:szCs w:val="32"/>
          <w:shd w:val="clear" w:color="auto" w:fill="FFFFFF"/>
        </w:rPr>
        <w:t>阿坝州生态保护和发展研究院</w:t>
      </w:r>
      <w:r>
        <w:rPr>
          <w:color w:val="auto"/>
          <w:sz w:val="32"/>
          <w:szCs w:val="32"/>
        </w:rPr>
        <w:t>2025</w:t>
      </w:r>
      <w:r>
        <w:rPr>
          <w:rFonts w:hint="eastAsia" w:ascii="仿宋" w:hAnsi="仿宋" w:eastAsia="仿宋" w:cs="仿宋"/>
          <w:color w:val="auto"/>
          <w:sz w:val="32"/>
          <w:szCs w:val="32"/>
        </w:rPr>
        <w:t>年年初预算支出</w:t>
      </w:r>
      <w:r>
        <w:rPr>
          <w:rFonts w:hint="eastAsia" w:ascii="仿宋" w:hAnsi="仿宋" w:eastAsia="仿宋" w:cs="仿宋"/>
          <w:color w:val="auto"/>
          <w:sz w:val="32"/>
          <w:szCs w:val="32"/>
          <w:shd w:val="clear" w:color="auto" w:fill="FFFFFF"/>
        </w:rPr>
        <w:t>2067.62万元</w:t>
      </w:r>
      <w:r>
        <w:rPr>
          <w:rFonts w:hint="eastAsia" w:ascii="仿宋" w:hAnsi="仿宋" w:eastAsia="仿宋" w:cs="仿宋"/>
          <w:color w:val="auto"/>
          <w:sz w:val="32"/>
          <w:szCs w:val="32"/>
        </w:rPr>
        <w:t>、决算报表支出</w:t>
      </w:r>
      <w:r>
        <w:rPr>
          <w:rFonts w:hint="eastAsia" w:ascii="仿宋" w:hAnsi="仿宋" w:eastAsia="仿宋" w:cs="仿宋"/>
          <w:color w:val="auto"/>
          <w:sz w:val="32"/>
          <w:szCs w:val="32"/>
          <w:shd w:val="clear" w:color="auto" w:fill="FFFFFF"/>
        </w:rPr>
        <w:t>1938.85万元</w:t>
      </w:r>
      <w:r>
        <w:rPr>
          <w:rFonts w:hint="eastAsia" w:ascii="仿宋" w:hAnsi="仿宋" w:eastAsia="仿宋" w:cs="仿宋"/>
          <w:color w:val="auto"/>
          <w:sz w:val="32"/>
          <w:szCs w:val="32"/>
        </w:rPr>
        <w:t>，主要包括完成的任务、达成的效果如下：</w:t>
      </w:r>
    </w:p>
    <w:p w14:paraId="36370B10">
      <w:pPr>
        <w:tabs>
          <w:tab w:val="left" w:pos="0"/>
        </w:tabs>
        <w:suppressAutoHyphens/>
        <w:spacing w:line="56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1.机构改革深化攻坚彰显新气象</w:t>
      </w:r>
    </w:p>
    <w:p w14:paraId="2653369C">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明确单位职能职责。组织院所相关负责同志赴省环科院、省农科院等科研院所考察学习，拟定单位职能职责和内设机构，经州委编委批复后迅速推动实施。</w:t>
      </w:r>
    </w:p>
    <w:p w14:paraId="30562901">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理顺人、财、事管理。系统梳理并修订完善人事、财务、科研等三大类27项制度。全面完成资产清理、财务合并、人员转隶、科室设置、岗位聘任、职称竞聘等工作。完成2026年财政预算编制。协调解决公租房5套，理顺职工食堂管理，保障了干部职工住房及就餐需求。</w:t>
      </w:r>
    </w:p>
    <w:p w14:paraId="497E7936">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三是</w:t>
      </w:r>
      <w:r>
        <w:rPr>
          <w:rFonts w:hint="eastAsia" w:ascii="仿宋" w:hAnsi="仿宋" w:eastAsia="仿宋" w:cs="仿宋"/>
          <w:color w:val="auto"/>
          <w:sz w:val="32"/>
          <w:szCs w:val="32"/>
        </w:rPr>
        <w:t>启动名誉院长引进工作。牵头草拟了《阿坝州科研院所名誉院长引进管理办法（试行）》，并按程序送审。</w:t>
      </w:r>
    </w:p>
    <w:p w14:paraId="296A7E5A">
      <w:pPr>
        <w:suppressAutoHyphens/>
        <w:spacing w:line="560" w:lineRule="exact"/>
        <w:ind w:firstLine="640" w:firstLineChars="200"/>
        <w:jc w:val="left"/>
        <w:rPr>
          <w:rFonts w:ascii="楷体_GB2312" w:eastAsia="楷体_GB2312" w:cs="楷体_GB2312"/>
          <w:color w:val="auto"/>
          <w:sz w:val="32"/>
          <w:szCs w:val="32"/>
        </w:rPr>
      </w:pPr>
      <w:r>
        <w:rPr>
          <w:rFonts w:ascii="楷体_GB2312" w:eastAsia="楷体_GB2312" w:cs="楷体_GB2312"/>
          <w:color w:val="auto"/>
          <w:sz w:val="32"/>
          <w:szCs w:val="32"/>
        </w:rPr>
        <w:t>2.</w:t>
      </w:r>
      <w:r>
        <w:rPr>
          <w:rFonts w:hint="eastAsia" w:ascii="楷体_GB2312" w:eastAsia="楷体_GB2312" w:cs="楷体_GB2312"/>
          <w:color w:val="auto"/>
          <w:sz w:val="32"/>
          <w:szCs w:val="32"/>
        </w:rPr>
        <w:t>科研工作创新突破实现新跨越</w:t>
      </w:r>
    </w:p>
    <w:p w14:paraId="60BE3E92">
      <w:pPr>
        <w:snapToGrid w:val="0"/>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项目申报量质齐升。拟投入2亿元的“建设黄河上游生物多样性与生态安全综合观测研究平台”项目已通过省科技厅评审，拟纳入省“十五五”科技创新规划。全年组织申报各级各类科研项目20项，成功立项11项（</w:t>
      </w:r>
      <w:bookmarkStart w:id="63" w:name="OLE_LINK1"/>
      <w:r>
        <w:rPr>
          <w:rFonts w:hint="eastAsia" w:ascii="仿宋" w:hAnsi="仿宋" w:eastAsia="仿宋" w:cs="仿宋"/>
          <w:color w:val="auto"/>
          <w:sz w:val="32"/>
          <w:szCs w:val="32"/>
        </w:rPr>
        <w:t>省级项目2项、州级4项</w:t>
      </w:r>
      <w:bookmarkEnd w:id="63"/>
      <w:r>
        <w:rPr>
          <w:rFonts w:hint="eastAsia" w:ascii="仿宋" w:hAnsi="仿宋" w:eastAsia="仿宋" w:cs="仿宋"/>
          <w:color w:val="auto"/>
          <w:sz w:val="32"/>
          <w:szCs w:val="32"/>
        </w:rPr>
        <w:t>、自主研发5项），获批资金584万元。</w:t>
      </w:r>
    </w:p>
    <w:p w14:paraId="7546D4E1">
      <w:pPr>
        <w:pStyle w:val="5"/>
        <w:spacing w:line="56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二是项目实施成效凸显。全年推进15项省州级项目，形成一批可推广的生态与产业成果。</w:t>
      </w:r>
    </w:p>
    <w:p w14:paraId="1A6CFD78">
      <w:pPr>
        <w:suppressAutoHyphens/>
        <w:spacing w:line="560" w:lineRule="exact"/>
        <w:ind w:firstLine="640" w:firstLineChars="200"/>
        <w:jc w:val="left"/>
        <w:rPr>
          <w:rFonts w:ascii="楷体_GB2312" w:eastAsia="楷体_GB2312" w:cs="楷体_GB2312"/>
          <w:color w:val="auto"/>
          <w:sz w:val="32"/>
          <w:szCs w:val="32"/>
        </w:rPr>
      </w:pPr>
      <w:r>
        <w:rPr>
          <w:rFonts w:ascii="楷体_GB2312" w:eastAsia="楷体_GB2312" w:cs="楷体_GB2312"/>
          <w:color w:val="auto"/>
          <w:sz w:val="32"/>
          <w:szCs w:val="32"/>
        </w:rPr>
        <w:t>3.</w:t>
      </w:r>
      <w:r>
        <w:rPr>
          <w:rFonts w:hint="eastAsia" w:ascii="楷体_GB2312" w:eastAsia="楷体_GB2312" w:cs="楷体_GB2312"/>
          <w:color w:val="auto"/>
          <w:sz w:val="32"/>
          <w:szCs w:val="32"/>
        </w:rPr>
        <w:t>平台建设提质增效迈上新台阶</w:t>
      </w:r>
    </w:p>
    <w:p w14:paraId="4CA7DEC2">
      <w:pPr>
        <w:suppressAutoHyphens/>
        <w:spacing w:line="560" w:lineRule="exact"/>
        <w:ind w:firstLine="643" w:firstLineChars="200"/>
        <w:jc w:val="left"/>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四川黄河实验室建设有力推进。完成阿坝、红原、若尔盖、汶川四个工作站挂牌并初步运行。第一届管理委员会及学术委员会第二次会议成功召开，西南民族大学纳入共建体系。</w:t>
      </w:r>
      <w:r>
        <w:rPr>
          <w:rFonts w:hint="eastAsia" w:ascii="仿宋" w:hAnsi="仿宋" w:eastAsia="仿宋" w:cs="仿宋"/>
          <w:snapToGrid w:val="0"/>
          <w:color w:val="auto"/>
          <w:kern w:val="0"/>
          <w:sz w:val="32"/>
          <w:szCs w:val="32"/>
        </w:rPr>
        <w:t>起草《中国科学院成都生物研究所 阿坝州人民政府人才协同支撑四川黄河流域生态保护与创新发展合作协议》，并在全州人才发展大会上签订。</w:t>
      </w:r>
    </w:p>
    <w:p w14:paraId="1CE4297E">
      <w:pPr>
        <w:pStyle w:val="39"/>
        <w:wordWrap/>
        <w:spacing w:line="560" w:lineRule="exact"/>
        <w:ind w:firstLine="643" w:firstLineChars="200"/>
        <w:jc w:val="left"/>
        <w:rPr>
          <w:rFonts w:hint="eastAsia" w:ascii="仿宋" w:hAnsi="仿宋" w:eastAsia="仿宋" w:cs="仿宋"/>
          <w:color w:val="auto"/>
          <w:sz w:val="32"/>
          <w:szCs w:val="32"/>
        </w:rPr>
      </w:pP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高分四川中心阿坝分中心效能显著。深化与高分西藏中心、成都理工大学合作，重点推进若尔盖湿地公园多维管理决策平台和长征文化数据平台建设；在黑水、松潘举办推广会，开展应用培训200余人次。</w:t>
      </w:r>
    </w:p>
    <w:p w14:paraId="295648D9">
      <w:pPr>
        <w:suppressAutoHyphens/>
        <w:spacing w:line="560" w:lineRule="exact"/>
        <w:ind w:firstLine="588" w:firstLineChars="183"/>
        <w:rPr>
          <w:rFonts w:hint="eastAsia" w:ascii="仿宋" w:hAnsi="仿宋" w:eastAsia="仿宋" w:cs="仿宋"/>
          <w:color w:val="auto"/>
          <w:sz w:val="32"/>
          <w:szCs w:val="32"/>
        </w:rPr>
      </w:pPr>
      <w:r>
        <w:rPr>
          <w:rFonts w:hint="eastAsia" w:ascii="仿宋" w:hAnsi="仿宋" w:eastAsia="仿宋" w:cs="仿宋"/>
          <w:b/>
          <w:bCs/>
          <w:color w:val="auto"/>
          <w:sz w:val="32"/>
          <w:szCs w:val="32"/>
        </w:rPr>
        <w:t>三是</w:t>
      </w:r>
      <w:r>
        <w:rPr>
          <w:rFonts w:hint="eastAsia" w:ascii="仿宋" w:hAnsi="仿宋" w:eastAsia="仿宋" w:cs="仿宋"/>
          <w:color w:val="auto"/>
          <w:sz w:val="32"/>
          <w:szCs w:val="32"/>
        </w:rPr>
        <w:t>四川林产品检验监测中心阿坝站高效运行。全面完成“四川省食用林产品质量安全监测项目”2025年省级监测任务500批次，覆盖全州12个县市的核桃、花椒、林草中药材及产地土壤。积极开展科普宣传，发放资料200余份。联合州林草局举办全州食用林产品质量安全监管培训班，培训40余人，有效提升了全州食用林产品质量安全监管能力。</w:t>
      </w:r>
    </w:p>
    <w:p w14:paraId="09DE5590">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四是</w:t>
      </w:r>
      <w:r>
        <w:rPr>
          <w:rFonts w:hint="eastAsia" w:ascii="仿宋" w:hAnsi="仿宋" w:eastAsia="仿宋" w:cs="仿宋"/>
          <w:color w:val="auto"/>
          <w:sz w:val="32"/>
          <w:szCs w:val="32"/>
        </w:rPr>
        <w:t>专家工作站作用进一步加强。召开年度工作会议暨技术研讨会，围绕重点项目的关键技术难题，组织专家深入研讨和实地考察调研。我院一名生态环境领域教授级高工被州委州政府聘为全州首批“阿坝典范建设”智库专家。</w:t>
      </w:r>
    </w:p>
    <w:p w14:paraId="4F003FA1">
      <w:pPr>
        <w:suppressAutoHyphens/>
        <w:spacing w:line="56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4.企业服务精准施策激发新动能</w:t>
      </w:r>
    </w:p>
    <w:p w14:paraId="6E31FFA5">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科技企业孵化工作扎实推进。创建省级科技型企业孵化器取得重要进展，已顺利通过初审。围绕孵化载体提质增效，完成对110家在孵及已毕业企业的全面调研，形成专项分析报告。全年新增入孵企业8家，顺利完成运营管理服务单位交接，并通过评审为17家入孵企业争取种子资金支持，助力企业初期成长。</w:t>
      </w:r>
    </w:p>
    <w:p w14:paraId="13239458">
      <w:pPr>
        <w:suppressAutoHyphens/>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产业服务与资源对接成效明显。围绕绿色载能企业资金周转难题，协助州经济和信息化局完成8批次电力能源专项资金电子承兑汇票质押借款工作，总额达19938.32万元，有效缓解企业短期资金压力。</w:t>
      </w:r>
    </w:p>
    <w:p w14:paraId="6DF5351E">
      <w:pPr>
        <w:suppressAutoHyphens/>
        <w:spacing w:line="560" w:lineRule="exact"/>
        <w:ind w:firstLine="643" w:firstLineChars="200"/>
        <w:jc w:val="left"/>
        <w:rPr>
          <w:rFonts w:hint="eastAsia" w:ascii="仿宋" w:hAnsi="仿宋" w:eastAsia="仿宋" w:cs="仿宋"/>
          <w:color w:val="auto"/>
          <w:sz w:val="32"/>
          <w:szCs w:val="32"/>
        </w:rPr>
      </w:pPr>
      <w:r>
        <w:rPr>
          <w:rFonts w:hint="eastAsia" w:ascii="仿宋" w:hAnsi="仿宋" w:eastAsia="仿宋" w:cs="仿宋"/>
          <w:b/>
          <w:bCs/>
          <w:color w:val="auto"/>
          <w:sz w:val="32"/>
          <w:szCs w:val="32"/>
        </w:rPr>
        <w:t>三是</w:t>
      </w:r>
      <w:r>
        <w:rPr>
          <w:rFonts w:hint="eastAsia" w:ascii="仿宋" w:hAnsi="仿宋" w:eastAsia="仿宋" w:cs="仿宋"/>
          <w:color w:val="auto"/>
          <w:sz w:val="32"/>
          <w:szCs w:val="32"/>
        </w:rPr>
        <w:t>技术转移平台建设取得突破。“四川川大科技园阿坝州技术转移分中心”正式挂牌成立。目前已围绕阿坝州产业基础与四川大学技术储备开展深入对接，为构建产学研用协同机制、推动科技成果就地转化奠定了坚实基础。</w:t>
      </w:r>
    </w:p>
    <w:p w14:paraId="1573CB20">
      <w:pPr>
        <w:suppressAutoHyphens/>
        <w:spacing w:line="560" w:lineRule="exact"/>
        <w:ind w:firstLine="640" w:firstLineChars="200"/>
        <w:jc w:val="left"/>
        <w:rPr>
          <w:rFonts w:ascii="楷体_GB2312" w:eastAsia="楷体_GB2312" w:cs="楷体_GB2312"/>
          <w:color w:val="auto"/>
          <w:sz w:val="32"/>
          <w:szCs w:val="32"/>
        </w:rPr>
      </w:pPr>
      <w:r>
        <w:rPr>
          <w:rFonts w:ascii="楷体_GB2312" w:eastAsia="楷体_GB2312" w:cs="楷体_GB2312"/>
          <w:color w:val="auto"/>
          <w:sz w:val="32"/>
          <w:szCs w:val="32"/>
        </w:rPr>
        <w:t>5.</w:t>
      </w:r>
      <w:r>
        <w:rPr>
          <w:rFonts w:hint="eastAsia" w:ascii="楷体_GB2312" w:eastAsia="楷体_GB2312" w:cs="楷体_GB2312"/>
          <w:color w:val="auto"/>
          <w:sz w:val="32"/>
          <w:szCs w:val="32"/>
        </w:rPr>
        <w:t>基层党建强基铸魂焕发新活力</w:t>
      </w:r>
    </w:p>
    <w:p w14:paraId="0205A429">
      <w:pPr>
        <w:snapToGrid w:val="0"/>
        <w:spacing w:line="560" w:lineRule="exact"/>
        <w:ind w:firstLine="643" w:firstLineChars="200"/>
        <w:rPr>
          <w:color w:val="auto"/>
          <w:sz w:val="32"/>
          <w:szCs w:val="32"/>
          <w:lang w:val="zh-CN"/>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深化理论武装铸魂。</w:t>
      </w: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扛牢意识形态责任。</w:t>
      </w:r>
      <w:r>
        <w:rPr>
          <w:rFonts w:hint="eastAsia" w:ascii="仿宋" w:hAnsi="仿宋" w:eastAsia="仿宋" w:cs="仿宋"/>
          <w:b/>
          <w:bCs/>
          <w:color w:val="auto"/>
          <w:sz w:val="32"/>
          <w:szCs w:val="32"/>
        </w:rPr>
        <w:t>三是</w:t>
      </w:r>
      <w:r>
        <w:rPr>
          <w:rFonts w:hint="eastAsia" w:ascii="仿宋" w:hAnsi="仿宋" w:eastAsia="仿宋" w:cs="仿宋"/>
          <w:color w:val="auto"/>
          <w:sz w:val="32"/>
          <w:szCs w:val="32"/>
        </w:rPr>
        <w:t>持续强化正风肃纪。</w:t>
      </w:r>
      <w:r>
        <w:rPr>
          <w:rFonts w:hint="eastAsia" w:ascii="仿宋" w:hAnsi="仿宋" w:eastAsia="仿宋" w:cs="仿宋"/>
          <w:b/>
          <w:bCs/>
          <w:color w:val="auto"/>
          <w:sz w:val="32"/>
          <w:szCs w:val="32"/>
        </w:rPr>
        <w:t>四是</w:t>
      </w:r>
      <w:r>
        <w:rPr>
          <w:rFonts w:hint="eastAsia" w:ascii="仿宋" w:hAnsi="仿宋" w:eastAsia="仿宋" w:cs="仿宋"/>
          <w:color w:val="auto"/>
          <w:sz w:val="32"/>
          <w:szCs w:val="32"/>
        </w:rPr>
        <w:t>狠抓支部党建工作。</w:t>
      </w:r>
      <w:r>
        <w:rPr>
          <w:rFonts w:hint="eastAsia" w:ascii="仿宋" w:hAnsi="仿宋" w:eastAsia="仿宋" w:cs="仿宋"/>
          <w:b/>
          <w:bCs/>
          <w:color w:val="auto"/>
          <w:sz w:val="32"/>
          <w:szCs w:val="32"/>
        </w:rPr>
        <w:t>五是</w:t>
      </w:r>
      <w:r>
        <w:rPr>
          <w:rFonts w:hint="eastAsia" w:ascii="仿宋" w:hAnsi="仿宋" w:eastAsia="仿宋" w:cs="仿宋"/>
          <w:color w:val="auto"/>
          <w:sz w:val="32"/>
          <w:szCs w:val="32"/>
        </w:rPr>
        <w:t>深度推进党建赋能</w:t>
      </w:r>
      <w:r>
        <w:rPr>
          <w:rFonts w:hint="eastAsia" w:ascii="仿宋_GB2312" w:cs="仿宋_GB2312"/>
          <w:color w:val="auto"/>
          <w:sz w:val="32"/>
          <w:szCs w:val="32"/>
        </w:rPr>
        <w:t>。</w:t>
      </w:r>
    </w:p>
    <w:p w14:paraId="74934D98">
      <w:pPr>
        <w:widowControl/>
        <w:adjustRightInd w:val="0"/>
        <w:snapToGrid w:val="0"/>
        <w:spacing w:line="578" w:lineRule="exact"/>
        <w:ind w:firstLine="643" w:firstLineChars="200"/>
        <w:contextualSpacing/>
        <w:jc w:val="left"/>
        <w:rPr>
          <w:rFonts w:hint="eastAsia" w:ascii="仿宋" w:hAnsi="仿宋" w:eastAsia="仿宋" w:cs="仿宋"/>
          <w:color w:val="auto"/>
          <w:kern w:val="0"/>
          <w:sz w:val="32"/>
          <w:szCs w:val="32"/>
          <w:shd w:val="clear" w:color="auto" w:fill="FFFFFF"/>
          <w:lang w:val="zh-CN"/>
        </w:rPr>
      </w:pPr>
      <w:r>
        <w:rPr>
          <w:rFonts w:hint="eastAsia" w:eastAsia="楷体_GB2312"/>
          <w:b/>
          <w:bCs/>
          <w:color w:val="auto"/>
          <w:kern w:val="0"/>
          <w:sz w:val="32"/>
          <w:szCs w:val="32"/>
          <w:shd w:val="clear" w:color="auto" w:fill="FFFFFF"/>
          <w:lang w:val="zh-CN"/>
        </w:rPr>
        <w:t>（三）</w:t>
      </w:r>
      <w:r>
        <w:rPr>
          <w:rFonts w:hint="eastAsia" w:eastAsia="楷体_GB2312"/>
          <w:b/>
          <w:color w:val="auto"/>
          <w:sz w:val="32"/>
          <w:szCs w:val="32"/>
        </w:rPr>
        <w:t>结余分配和结转结余情况。</w:t>
      </w:r>
      <w:r>
        <w:rPr>
          <w:rFonts w:hint="eastAsia" w:ascii="仿宋" w:hAnsi="仿宋" w:eastAsia="仿宋" w:cs="仿宋"/>
          <w:color w:val="auto"/>
          <w:sz w:val="32"/>
          <w:szCs w:val="32"/>
          <w:shd w:val="clear" w:color="auto" w:fill="FFFFFF"/>
        </w:rPr>
        <w:t>阿坝州生态保护和发展研究院</w:t>
      </w:r>
      <w:r>
        <w:rPr>
          <w:rFonts w:hint="eastAsia" w:ascii="仿宋" w:hAnsi="仿宋" w:eastAsia="仿宋" w:cs="仿宋"/>
          <w:color w:val="auto"/>
          <w:sz w:val="32"/>
          <w:szCs w:val="32"/>
        </w:rPr>
        <w:t>2025年决算报表</w:t>
      </w:r>
      <w:r>
        <w:rPr>
          <w:rFonts w:hint="eastAsia" w:ascii="仿宋" w:hAnsi="仿宋" w:eastAsia="仿宋" w:cs="仿宋"/>
          <w:color w:val="auto"/>
          <w:kern w:val="0"/>
          <w:sz w:val="32"/>
          <w:szCs w:val="32"/>
          <w:shd w:val="clear" w:color="auto" w:fill="FFFFFF"/>
        </w:rPr>
        <w:t>结转15.43万元。</w:t>
      </w:r>
    </w:p>
    <w:p w14:paraId="2D6B46B2">
      <w:pPr>
        <w:widowControl/>
        <w:adjustRightInd w:val="0"/>
        <w:snapToGrid w:val="0"/>
        <w:spacing w:line="578" w:lineRule="exact"/>
        <w:ind w:firstLine="640" w:firstLineChars="200"/>
        <w:contextualSpacing/>
        <w:jc w:val="left"/>
        <w:rPr>
          <w:rFonts w:eastAsia="黑体"/>
          <w:color w:val="auto"/>
          <w:kern w:val="0"/>
          <w:sz w:val="32"/>
          <w:szCs w:val="32"/>
          <w:shd w:val="clear" w:color="auto" w:fill="FFFFFF"/>
        </w:rPr>
      </w:pPr>
      <w:r>
        <w:rPr>
          <w:rFonts w:hint="eastAsia" w:eastAsia="黑体"/>
          <w:color w:val="auto"/>
          <w:kern w:val="0"/>
          <w:sz w:val="32"/>
          <w:szCs w:val="32"/>
          <w:shd w:val="clear" w:color="auto" w:fill="FFFFFF"/>
        </w:rPr>
        <w:t>三、部门预算绩效分析</w:t>
      </w:r>
    </w:p>
    <w:p w14:paraId="447E22C4">
      <w:pPr>
        <w:widowControl/>
        <w:adjustRightInd w:val="0"/>
        <w:snapToGrid w:val="0"/>
        <w:spacing w:line="578" w:lineRule="exact"/>
        <w:ind w:firstLine="643" w:firstLineChars="200"/>
        <w:contextualSpacing/>
        <w:jc w:val="left"/>
        <w:rPr>
          <w:rFonts w:hint="eastAsia" w:ascii="仿宋" w:hAnsi="仿宋" w:eastAsia="仿宋" w:cs="仿宋"/>
          <w:color w:val="auto"/>
          <w:kern w:val="0"/>
          <w:sz w:val="32"/>
          <w:szCs w:val="32"/>
          <w:shd w:val="clear" w:color="auto" w:fill="FFFFFF"/>
          <w:lang w:val="zh-CN"/>
        </w:rPr>
      </w:pPr>
      <w:r>
        <w:rPr>
          <w:rFonts w:hint="eastAsia" w:eastAsia="楷体_GB2312"/>
          <w:b/>
          <w:bCs/>
          <w:color w:val="auto"/>
          <w:kern w:val="0"/>
          <w:sz w:val="32"/>
          <w:szCs w:val="32"/>
          <w:shd w:val="clear" w:color="auto" w:fill="FFFFFF"/>
          <w:lang w:val="zh-CN"/>
        </w:rPr>
        <w:t>（一）部门预算总体绩效分析，得分</w:t>
      </w:r>
      <w:r>
        <w:rPr>
          <w:rFonts w:eastAsia="黑体"/>
          <w:color w:val="auto"/>
          <w:kern w:val="0"/>
          <w:sz w:val="32"/>
          <w:szCs w:val="32"/>
          <w:shd w:val="clear" w:color="auto" w:fill="FFFFFF"/>
        </w:rPr>
        <w:t>55.04</w:t>
      </w:r>
      <w:r>
        <w:rPr>
          <w:rFonts w:hint="eastAsia" w:eastAsia="黑体"/>
          <w:color w:val="auto"/>
          <w:kern w:val="0"/>
          <w:sz w:val="32"/>
          <w:szCs w:val="32"/>
          <w:shd w:val="clear" w:color="auto" w:fill="FFFFFF"/>
        </w:rPr>
        <w:t>分</w:t>
      </w:r>
      <w:r>
        <w:rPr>
          <w:rFonts w:hint="eastAsia" w:eastAsia="楷体_GB2312"/>
          <w:b/>
          <w:bCs/>
          <w:color w:val="auto"/>
          <w:kern w:val="0"/>
          <w:sz w:val="32"/>
          <w:szCs w:val="32"/>
          <w:shd w:val="clear" w:color="auto" w:fill="FFFFFF"/>
          <w:lang w:val="zh-CN"/>
        </w:rPr>
        <w:t>。</w:t>
      </w:r>
      <w:r>
        <w:rPr>
          <w:rFonts w:hint="eastAsia" w:ascii="仿宋" w:hAnsi="仿宋" w:eastAsia="仿宋" w:cs="仿宋"/>
          <w:color w:val="auto"/>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3F18770F">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w:t>
      </w:r>
      <w:r>
        <w:rPr>
          <w:rFonts w:hint="eastAsia" w:ascii="仿宋" w:hAnsi="仿宋" w:eastAsia="仿宋" w:cs="仿宋"/>
          <w:color w:val="auto"/>
          <w:kern w:val="0"/>
          <w:sz w:val="32"/>
          <w:szCs w:val="32"/>
          <w:shd w:val="clear" w:color="auto" w:fill="FFFFFF"/>
          <w:lang w:val="zh-CN"/>
        </w:rPr>
        <w:t>履职效能。部门整体绩效目标中选定3—5个核心职能目标，对职能目标完成效果情况绩效分析。得分</w:t>
      </w:r>
      <w:r>
        <w:rPr>
          <w:rFonts w:hint="eastAsia" w:ascii="仿宋" w:hAnsi="仿宋" w:eastAsia="仿宋" w:cs="仿宋"/>
          <w:color w:val="auto"/>
          <w:kern w:val="0"/>
          <w:sz w:val="32"/>
          <w:szCs w:val="32"/>
          <w:shd w:val="clear" w:color="auto" w:fill="FFFFFF"/>
        </w:rPr>
        <w:t>12分</w:t>
      </w:r>
    </w:p>
    <w:p w14:paraId="0BDC7C03">
      <w:pPr>
        <w:suppressAutoHyphens/>
        <w:spacing w:line="560" w:lineRule="exact"/>
        <w:ind w:firstLine="640" w:firstLineChars="200"/>
        <w:jc w:val="left"/>
        <w:rPr>
          <w:rFonts w:ascii="楷体_GB2312" w:eastAsia="楷体_GB2312" w:cs="楷体_GB2312"/>
          <w:color w:val="auto"/>
          <w:sz w:val="32"/>
          <w:szCs w:val="32"/>
        </w:rPr>
      </w:pPr>
      <w:r>
        <w:rPr>
          <w:rFonts w:hint="eastAsia" w:ascii="楷体_GB2312" w:eastAsia="楷体_GB2312" w:cs="楷体_GB2312"/>
          <w:color w:val="auto"/>
          <w:sz w:val="32"/>
          <w:szCs w:val="32"/>
        </w:rPr>
        <w:t>（</w:t>
      </w:r>
      <w:r>
        <w:rPr>
          <w:rFonts w:ascii="楷体_GB2312" w:eastAsia="楷体_GB2312" w:cs="楷体_GB2312"/>
          <w:color w:val="auto"/>
          <w:sz w:val="32"/>
          <w:szCs w:val="32"/>
        </w:rPr>
        <w:t>1</w:t>
      </w:r>
      <w:r>
        <w:rPr>
          <w:rFonts w:hint="eastAsia" w:ascii="楷体_GB2312" w:eastAsia="楷体_GB2312" w:cs="楷体_GB2312"/>
          <w:color w:val="auto"/>
          <w:sz w:val="32"/>
          <w:szCs w:val="32"/>
        </w:rPr>
        <w:t>）科研工作创新突破实现新跨越</w:t>
      </w:r>
    </w:p>
    <w:p w14:paraId="680D6D78">
      <w:pPr>
        <w:snapToGrid w:val="0"/>
        <w:spacing w:line="560" w:lineRule="exact"/>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项目申报量质齐升。拟投入2亿元的“建设黄河上游生物多样性与生态安全综合观测研究平台”项目已通过省科技厅评审，拟纳入省“十五五”科技创新规划。全年组织申报各级各类科研项目20项，成功立项11项（省级项目2项、州级4项、自主研发5项），获批资金584万元。二是项目实施成效凸显。全年推进15项省州级项目，形成一批可推广的生态与产业成果。</w:t>
      </w:r>
    </w:p>
    <w:p w14:paraId="64F6A6AE">
      <w:pPr>
        <w:suppressAutoHyphens/>
        <w:spacing w:line="560" w:lineRule="exact"/>
        <w:ind w:firstLine="640" w:firstLineChars="200"/>
        <w:jc w:val="left"/>
        <w:rPr>
          <w:rFonts w:ascii="楷体_GB2312" w:eastAsia="楷体_GB2312" w:cs="楷体_GB2312"/>
          <w:color w:val="auto"/>
          <w:sz w:val="32"/>
          <w:szCs w:val="32"/>
        </w:rPr>
      </w:pPr>
      <w:r>
        <w:rPr>
          <w:rFonts w:hint="eastAsia" w:ascii="楷体_GB2312" w:eastAsia="楷体_GB2312" w:cs="楷体_GB2312"/>
          <w:color w:val="auto"/>
          <w:sz w:val="32"/>
          <w:szCs w:val="32"/>
        </w:rPr>
        <w:t>（</w:t>
      </w:r>
      <w:r>
        <w:rPr>
          <w:rFonts w:ascii="楷体_GB2312" w:eastAsia="楷体_GB2312" w:cs="楷体_GB2312"/>
          <w:color w:val="auto"/>
          <w:sz w:val="32"/>
          <w:szCs w:val="32"/>
        </w:rPr>
        <w:t>2</w:t>
      </w:r>
      <w:r>
        <w:rPr>
          <w:rFonts w:hint="eastAsia" w:ascii="楷体_GB2312" w:eastAsia="楷体_GB2312" w:cs="楷体_GB2312"/>
          <w:color w:val="auto"/>
          <w:sz w:val="32"/>
          <w:szCs w:val="32"/>
        </w:rPr>
        <w:t>）平台建设提质增效迈上新台阶</w:t>
      </w:r>
    </w:p>
    <w:p w14:paraId="7324D455">
      <w:pPr>
        <w:suppressAutoHyphens/>
        <w:spacing w:line="560" w:lineRule="exact"/>
        <w:ind w:firstLine="643" w:firstLineChars="200"/>
        <w:jc w:val="left"/>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四川黄河实验室建设有力推进。完成阿坝、红原、若尔盖、汶川四个工作站挂牌并初步运行。第一届管理委员会及学术委员会第二次会议成功召开，西南民族大学纳入共建体系。</w:t>
      </w:r>
      <w:r>
        <w:rPr>
          <w:rFonts w:hint="eastAsia" w:ascii="仿宋" w:hAnsi="仿宋" w:eastAsia="仿宋" w:cs="仿宋"/>
          <w:snapToGrid w:val="0"/>
          <w:color w:val="auto"/>
          <w:kern w:val="0"/>
          <w:sz w:val="32"/>
          <w:szCs w:val="32"/>
        </w:rPr>
        <w:t>起草《中国科学院成都生物研究所 阿坝州人民政府人才协同支撑四川黄河流域生态保护与创新发展合作协议》，并在全州人才发展大会上签订。</w:t>
      </w: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高分四川中心阿坝分中心效能显著。深化与高分西藏中心、成都理工大学合作，重点推进若尔盖湿地公园多维管理决策平台和长征文化数据平台建设；在黑水、松潘举办推广会，开展应用培训200余人次。</w:t>
      </w:r>
      <w:r>
        <w:rPr>
          <w:rFonts w:hint="eastAsia" w:ascii="仿宋" w:hAnsi="仿宋" w:eastAsia="仿宋" w:cs="仿宋"/>
          <w:b/>
          <w:bCs/>
          <w:color w:val="auto"/>
          <w:sz w:val="32"/>
          <w:szCs w:val="32"/>
        </w:rPr>
        <w:t>三是</w:t>
      </w:r>
      <w:r>
        <w:rPr>
          <w:rFonts w:hint="eastAsia" w:ascii="仿宋" w:hAnsi="仿宋" w:eastAsia="仿宋" w:cs="仿宋"/>
          <w:color w:val="auto"/>
          <w:sz w:val="32"/>
          <w:szCs w:val="32"/>
        </w:rPr>
        <w:t>四川林产品检验监测中心阿坝站高效运行。全面完成“四川省食用林产品质量安全监测项目”2025年省级监测任务500批次，覆盖全州12个县市的核桃、花椒、林草中药材及产地土壤。积极开展科普宣传，发放资料200余份。联合州林草局举办全州食用林产品质量安全监管培训班，培训40余人，有效提升了全州食用林产品质量安全监管能力。</w:t>
      </w:r>
      <w:r>
        <w:rPr>
          <w:rFonts w:hint="eastAsia" w:ascii="仿宋" w:hAnsi="仿宋" w:eastAsia="仿宋" w:cs="仿宋"/>
          <w:b/>
          <w:bCs/>
          <w:color w:val="auto"/>
          <w:sz w:val="32"/>
          <w:szCs w:val="32"/>
        </w:rPr>
        <w:t>四是</w:t>
      </w:r>
      <w:r>
        <w:rPr>
          <w:rFonts w:hint="eastAsia" w:ascii="仿宋" w:hAnsi="仿宋" w:eastAsia="仿宋" w:cs="仿宋"/>
          <w:color w:val="auto"/>
          <w:sz w:val="32"/>
          <w:szCs w:val="32"/>
        </w:rPr>
        <w:t>专家工作站作用进一步加强。召开年度工作会议暨技术研讨会，围绕重点项目的关键技术难题，组织专家深入研讨和实地考察调研。我院一名生态环境领域教授级高工被州委州政府聘为全州首批“阿坝典范建设”智库专家。</w:t>
      </w:r>
    </w:p>
    <w:p w14:paraId="2E4B9F85">
      <w:pPr>
        <w:suppressAutoHyphens/>
        <w:spacing w:line="560" w:lineRule="exact"/>
        <w:ind w:firstLine="640" w:firstLineChars="200"/>
        <w:jc w:val="left"/>
        <w:rPr>
          <w:rFonts w:ascii="楷体_GB2312" w:eastAsia="楷体_GB2312" w:cs="楷体_GB2312"/>
          <w:color w:val="auto"/>
          <w:sz w:val="32"/>
          <w:szCs w:val="32"/>
        </w:rPr>
      </w:pPr>
      <w:r>
        <w:rPr>
          <w:rFonts w:hint="eastAsia" w:ascii="楷体_GB2312" w:eastAsia="楷体_GB2312" w:cs="楷体_GB2312"/>
          <w:color w:val="auto"/>
          <w:sz w:val="32"/>
          <w:szCs w:val="32"/>
        </w:rPr>
        <w:t>（</w:t>
      </w:r>
      <w:r>
        <w:rPr>
          <w:rFonts w:ascii="楷体_GB2312" w:eastAsia="楷体_GB2312" w:cs="楷体_GB2312"/>
          <w:color w:val="auto"/>
          <w:sz w:val="32"/>
          <w:szCs w:val="32"/>
        </w:rPr>
        <w:t>3</w:t>
      </w:r>
      <w:r>
        <w:rPr>
          <w:rFonts w:hint="eastAsia" w:ascii="楷体_GB2312" w:eastAsia="楷体_GB2312" w:cs="楷体_GB2312"/>
          <w:color w:val="auto"/>
          <w:sz w:val="32"/>
          <w:szCs w:val="32"/>
        </w:rPr>
        <w:t>）企业服务精准施策激发新动能</w:t>
      </w:r>
    </w:p>
    <w:p w14:paraId="60088DCC">
      <w:pPr>
        <w:suppressAutoHyphens/>
        <w:spacing w:line="560" w:lineRule="exact"/>
        <w:ind w:firstLine="643" w:firstLineChars="200"/>
        <w:rPr>
          <w:rFonts w:hint="eastAsia" w:ascii="仿宋" w:hAnsi="仿宋" w:eastAsia="仿宋" w:cs="仿宋"/>
          <w:color w:val="auto"/>
          <w:kern w:val="0"/>
          <w:sz w:val="32"/>
          <w:szCs w:val="32"/>
          <w:shd w:val="clear" w:color="auto" w:fill="FFFFFF"/>
          <w:lang w:val="zh-CN"/>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科技企业孵化工作扎实推进。创建省级科技型企业孵化器取得重要进展，已顺利通过初审。围绕孵化载体提质增效，完成对110家在孵及已毕业企业的全面调研，形成专项分析报告。全年新增入孵企业8家，顺利完成运营管理服务单位交接，并通过评审为17家入孵企业争取种子资金支持，助力企业初期成长。</w:t>
      </w: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产业服务与资源对接成效明显。围绕绿色载能企业资金周转难题，协助州经济和信息化局完成8批次电力能源专项资金电子承兑汇票质押借款工作，总额达19938.32万元，有效缓解企业短期资金压力。</w:t>
      </w:r>
    </w:p>
    <w:p w14:paraId="7571FD6C">
      <w:pPr>
        <w:numPr>
          <w:ilvl w:val="0"/>
          <w:numId w:val="0"/>
        </w:num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en-US" w:eastAsia="zh-CN"/>
        </w:rPr>
        <w:t>2.</w:t>
      </w:r>
      <w:r>
        <w:rPr>
          <w:rFonts w:hint="eastAsia" w:ascii="仿宋" w:hAnsi="仿宋" w:eastAsia="仿宋" w:cs="仿宋"/>
          <w:color w:val="auto"/>
          <w:kern w:val="0"/>
          <w:sz w:val="32"/>
          <w:szCs w:val="32"/>
          <w:shd w:val="clear" w:color="auto" w:fill="FFFFFF"/>
          <w:lang w:val="zh-CN"/>
        </w:rPr>
        <w:t>预算管理，得分</w:t>
      </w:r>
      <w:r>
        <w:rPr>
          <w:rFonts w:hint="eastAsia" w:ascii="仿宋" w:hAnsi="仿宋" w:eastAsia="仿宋" w:cs="仿宋"/>
          <w:color w:val="auto"/>
          <w:kern w:val="0"/>
          <w:sz w:val="32"/>
          <w:szCs w:val="32"/>
          <w:shd w:val="clear" w:color="auto" w:fill="FFFFFF"/>
        </w:rPr>
        <w:t>20.44分。</w:t>
      </w:r>
      <w:r>
        <w:rPr>
          <w:rFonts w:hint="eastAsia" w:ascii="仿宋" w:hAnsi="仿宋" w:eastAsia="仿宋" w:cs="仿宋"/>
          <w:color w:val="auto"/>
          <w:kern w:val="0"/>
          <w:sz w:val="32"/>
          <w:szCs w:val="32"/>
          <w:shd w:val="clear" w:color="auto" w:fill="FFFFFF"/>
          <w:lang w:val="zh-CN"/>
        </w:rPr>
        <w:t>围绕预算编制质量、单位收入统筹、支出执行管理、预算年终结余、严控一般性支出、预决算公开进行绩效分析。</w:t>
      </w:r>
    </w:p>
    <w:p w14:paraId="1973A604">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预算编制质量：单位严格按要求编制年初部门预算，年初预算编制科学准确。得分</w:t>
      </w:r>
      <w:r>
        <w:rPr>
          <w:rFonts w:hint="eastAsia" w:ascii="仿宋" w:hAnsi="仿宋" w:eastAsia="仿宋" w:cs="仿宋"/>
          <w:color w:val="auto"/>
          <w:kern w:val="0"/>
          <w:sz w:val="32"/>
          <w:szCs w:val="32"/>
          <w:shd w:val="clear" w:color="auto" w:fill="FFFFFF"/>
        </w:rPr>
        <w:t>7.69分。</w:t>
      </w:r>
    </w:p>
    <w:p w14:paraId="04EA05B3">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单位收入统筹：全部收入纳入统筹，得分</w:t>
      </w:r>
      <w:r>
        <w:rPr>
          <w:rFonts w:hint="eastAsia" w:ascii="仿宋" w:hAnsi="仿宋" w:eastAsia="仿宋" w:cs="仿宋"/>
          <w:color w:val="auto"/>
          <w:kern w:val="0"/>
          <w:sz w:val="32"/>
          <w:szCs w:val="32"/>
          <w:shd w:val="clear" w:color="auto" w:fill="FFFFFF"/>
        </w:rPr>
        <w:t>4分。</w:t>
      </w:r>
    </w:p>
    <w:p w14:paraId="60279544">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支出执行进度：得分</w:t>
      </w:r>
      <w:r>
        <w:rPr>
          <w:rFonts w:hint="eastAsia" w:ascii="仿宋" w:hAnsi="仿宋" w:eastAsia="仿宋" w:cs="仿宋"/>
          <w:color w:val="auto"/>
          <w:kern w:val="0"/>
          <w:sz w:val="32"/>
          <w:szCs w:val="32"/>
          <w:shd w:val="clear" w:color="auto" w:fill="FFFFFF"/>
        </w:rPr>
        <w:t>4.8分，1至6月预算执行进度67.53%、1至10月预算执行进度85.33%。</w:t>
      </w:r>
    </w:p>
    <w:p w14:paraId="39BCCC07">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预算年终结余：部门整体预算结余率为</w:t>
      </w:r>
      <w:r>
        <w:rPr>
          <w:rFonts w:hint="eastAsia" w:ascii="仿宋" w:hAnsi="仿宋" w:eastAsia="仿宋" w:cs="仿宋"/>
          <w:color w:val="auto"/>
          <w:kern w:val="0"/>
          <w:sz w:val="32"/>
          <w:szCs w:val="32"/>
          <w:shd w:val="clear" w:color="auto" w:fill="FFFFFF"/>
        </w:rPr>
        <w:t>32.5%，</w:t>
      </w:r>
      <w:r>
        <w:rPr>
          <w:rFonts w:hint="eastAsia" w:ascii="仿宋" w:hAnsi="仿宋" w:eastAsia="仿宋" w:cs="仿宋"/>
          <w:color w:val="auto"/>
          <w:kern w:val="0"/>
          <w:sz w:val="32"/>
          <w:szCs w:val="32"/>
          <w:shd w:val="clear" w:color="auto" w:fill="FFFFFF"/>
          <w:lang w:val="zh-CN"/>
        </w:rPr>
        <w:t>得分</w:t>
      </w:r>
      <w:r>
        <w:rPr>
          <w:rFonts w:hint="eastAsia" w:ascii="仿宋" w:hAnsi="仿宋" w:eastAsia="仿宋" w:cs="仿宋"/>
          <w:color w:val="auto"/>
          <w:kern w:val="0"/>
          <w:sz w:val="32"/>
          <w:szCs w:val="32"/>
          <w:shd w:val="clear" w:color="auto" w:fill="FFFFFF"/>
        </w:rPr>
        <w:t>1.35分。</w:t>
      </w:r>
    </w:p>
    <w:p w14:paraId="4B939656">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严控一般性支出：厉行节约，合理压减，得分</w:t>
      </w:r>
      <w:r>
        <w:rPr>
          <w:rFonts w:hint="eastAsia" w:ascii="仿宋" w:hAnsi="仿宋" w:eastAsia="仿宋" w:cs="仿宋"/>
          <w:color w:val="auto"/>
          <w:kern w:val="0"/>
          <w:sz w:val="32"/>
          <w:szCs w:val="32"/>
          <w:shd w:val="clear" w:color="auto" w:fill="FFFFFF"/>
        </w:rPr>
        <w:t>2.6分。</w:t>
      </w:r>
    </w:p>
    <w:p w14:paraId="0548CC24">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rPr>
        <w:t>3.</w:t>
      </w:r>
      <w:r>
        <w:rPr>
          <w:rFonts w:hint="eastAsia" w:ascii="仿宋" w:hAnsi="仿宋" w:eastAsia="仿宋" w:cs="仿宋"/>
          <w:color w:val="auto"/>
          <w:kern w:val="0"/>
          <w:sz w:val="32"/>
          <w:szCs w:val="32"/>
          <w:shd w:val="clear" w:color="auto" w:fill="FFFFFF"/>
          <w:lang w:val="zh-CN"/>
        </w:rPr>
        <w:t>财务管理，得分</w:t>
      </w:r>
      <w:r>
        <w:rPr>
          <w:rFonts w:hint="eastAsia" w:ascii="仿宋" w:hAnsi="仿宋" w:eastAsia="仿宋" w:cs="仿宋"/>
          <w:color w:val="auto"/>
          <w:kern w:val="0"/>
          <w:sz w:val="32"/>
          <w:szCs w:val="32"/>
          <w:shd w:val="clear" w:color="auto" w:fill="FFFFFF"/>
        </w:rPr>
        <w:t>10分。</w:t>
      </w:r>
    </w:p>
    <w:p w14:paraId="59D7A98E">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单位已制定财务管理制度并得到落实，得分</w:t>
      </w:r>
      <w:r>
        <w:rPr>
          <w:rFonts w:hint="eastAsia" w:ascii="仿宋" w:hAnsi="仿宋" w:eastAsia="仿宋" w:cs="仿宋"/>
          <w:color w:val="auto"/>
          <w:kern w:val="0"/>
          <w:sz w:val="32"/>
          <w:szCs w:val="32"/>
          <w:shd w:val="clear" w:color="auto" w:fill="FFFFFF"/>
        </w:rPr>
        <w:t>4分</w:t>
      </w:r>
      <w:r>
        <w:rPr>
          <w:rFonts w:hint="eastAsia" w:ascii="仿宋" w:hAnsi="仿宋" w:eastAsia="仿宋" w:cs="仿宋"/>
          <w:color w:val="auto"/>
          <w:kern w:val="0"/>
          <w:sz w:val="32"/>
          <w:szCs w:val="32"/>
          <w:shd w:val="clear" w:color="auto" w:fill="FFFFFF"/>
          <w:lang w:val="zh-CN"/>
        </w:rPr>
        <w:t>；财务岗位设置合理设置财务工作岗位，明确职责权限，并严格实行不相容岗位分离，得分</w:t>
      </w:r>
      <w:r>
        <w:rPr>
          <w:rFonts w:hint="eastAsia" w:ascii="仿宋" w:hAnsi="仿宋" w:eastAsia="仿宋" w:cs="仿宋"/>
          <w:color w:val="auto"/>
          <w:kern w:val="0"/>
          <w:sz w:val="32"/>
          <w:szCs w:val="32"/>
          <w:shd w:val="clear" w:color="auto" w:fill="FFFFFF"/>
        </w:rPr>
        <w:t>2分</w:t>
      </w:r>
      <w:r>
        <w:rPr>
          <w:rFonts w:hint="eastAsia" w:ascii="仿宋" w:hAnsi="仿宋" w:eastAsia="仿宋" w:cs="仿宋"/>
          <w:color w:val="auto"/>
          <w:kern w:val="0"/>
          <w:sz w:val="32"/>
          <w:szCs w:val="32"/>
          <w:shd w:val="clear" w:color="auto" w:fill="FFFFFF"/>
          <w:lang w:val="zh-CN"/>
        </w:rPr>
        <w:t>；资金使用规范，符合相关财务管理制度规定，得分</w:t>
      </w:r>
      <w:r>
        <w:rPr>
          <w:rFonts w:hint="eastAsia" w:ascii="仿宋" w:hAnsi="仿宋" w:eastAsia="仿宋" w:cs="仿宋"/>
          <w:color w:val="auto"/>
          <w:kern w:val="0"/>
          <w:sz w:val="32"/>
          <w:szCs w:val="32"/>
          <w:shd w:val="clear" w:color="auto" w:fill="FFFFFF"/>
        </w:rPr>
        <w:t>4分</w:t>
      </w:r>
      <w:r>
        <w:rPr>
          <w:rFonts w:hint="eastAsia" w:ascii="仿宋" w:hAnsi="仿宋" w:eastAsia="仿宋" w:cs="仿宋"/>
          <w:color w:val="auto"/>
          <w:kern w:val="0"/>
          <w:sz w:val="32"/>
          <w:szCs w:val="32"/>
          <w:shd w:val="clear" w:color="auto" w:fill="FFFFFF"/>
          <w:lang w:val="zh-CN"/>
        </w:rPr>
        <w:t>。</w:t>
      </w:r>
    </w:p>
    <w:p w14:paraId="4C7B7CE0">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4.</w:t>
      </w:r>
      <w:r>
        <w:rPr>
          <w:rFonts w:hint="eastAsia" w:ascii="仿宋" w:hAnsi="仿宋" w:eastAsia="仿宋" w:cs="仿宋"/>
          <w:color w:val="auto"/>
          <w:kern w:val="0"/>
          <w:sz w:val="32"/>
          <w:szCs w:val="32"/>
          <w:shd w:val="clear" w:color="auto" w:fill="FFFFFF"/>
          <w:lang w:val="zh-CN"/>
        </w:rPr>
        <w:t>资产管理，得分</w:t>
      </w:r>
      <w:r>
        <w:rPr>
          <w:rFonts w:hint="eastAsia" w:ascii="仿宋" w:hAnsi="仿宋" w:eastAsia="仿宋" w:cs="仿宋"/>
          <w:color w:val="auto"/>
          <w:kern w:val="0"/>
          <w:sz w:val="32"/>
          <w:szCs w:val="32"/>
          <w:shd w:val="clear" w:color="auto" w:fill="FFFFFF"/>
        </w:rPr>
        <w:t>6.6</w:t>
      </w:r>
    </w:p>
    <w:p w14:paraId="3CE64E40">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围绕人均资产变化率：得分</w:t>
      </w:r>
      <w:r>
        <w:rPr>
          <w:rFonts w:hint="eastAsia" w:ascii="仿宋" w:hAnsi="仿宋" w:eastAsia="仿宋" w:cs="仿宋"/>
          <w:color w:val="auto"/>
          <w:kern w:val="0"/>
          <w:sz w:val="32"/>
          <w:szCs w:val="32"/>
          <w:shd w:val="clear" w:color="auto" w:fill="FFFFFF"/>
        </w:rPr>
        <w:t>0.9分。</w:t>
      </w:r>
    </w:p>
    <w:p w14:paraId="5B8083ED">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资产利用率：合理利用单位资产提高利用率及使用效果，得分</w:t>
      </w:r>
      <w:r>
        <w:rPr>
          <w:rFonts w:hint="eastAsia" w:ascii="仿宋" w:hAnsi="仿宋" w:eastAsia="仿宋" w:cs="仿宋"/>
          <w:color w:val="auto"/>
          <w:kern w:val="0"/>
          <w:sz w:val="32"/>
          <w:szCs w:val="32"/>
          <w:shd w:val="clear" w:color="auto" w:fill="FFFFFF"/>
        </w:rPr>
        <w:t>2.7分。</w:t>
      </w:r>
    </w:p>
    <w:p w14:paraId="2364E7A3">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资产盘活率：我单位两年均无闲置资产，得分</w:t>
      </w:r>
      <w:r>
        <w:rPr>
          <w:rFonts w:hint="eastAsia" w:ascii="仿宋" w:hAnsi="仿宋" w:eastAsia="仿宋" w:cs="仿宋"/>
          <w:color w:val="auto"/>
          <w:kern w:val="0"/>
          <w:sz w:val="32"/>
          <w:szCs w:val="32"/>
          <w:shd w:val="clear" w:color="auto" w:fill="FFFFFF"/>
        </w:rPr>
        <w:t>3分</w:t>
      </w:r>
      <w:r>
        <w:rPr>
          <w:rFonts w:hint="eastAsia" w:ascii="仿宋" w:hAnsi="仿宋" w:eastAsia="仿宋" w:cs="仿宋"/>
          <w:color w:val="auto"/>
          <w:kern w:val="0"/>
          <w:sz w:val="32"/>
          <w:szCs w:val="32"/>
          <w:shd w:val="clear" w:color="auto" w:fill="FFFFFF"/>
          <w:lang w:val="zh-CN"/>
        </w:rPr>
        <w:t>。</w:t>
      </w:r>
    </w:p>
    <w:p w14:paraId="67C8541B">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rPr>
        <w:t>5.</w:t>
      </w:r>
      <w:r>
        <w:rPr>
          <w:rFonts w:hint="eastAsia" w:ascii="仿宋" w:hAnsi="仿宋" w:eastAsia="仿宋" w:cs="仿宋"/>
          <w:color w:val="auto"/>
          <w:kern w:val="0"/>
          <w:sz w:val="32"/>
          <w:szCs w:val="32"/>
          <w:shd w:val="clear" w:color="auto" w:fill="FFFFFF"/>
          <w:lang w:val="zh-CN"/>
        </w:rPr>
        <w:t>采购管理，得分</w:t>
      </w:r>
      <w:r>
        <w:rPr>
          <w:rFonts w:hint="eastAsia" w:ascii="仿宋" w:hAnsi="仿宋" w:eastAsia="仿宋" w:cs="仿宋"/>
          <w:color w:val="auto"/>
          <w:kern w:val="0"/>
          <w:sz w:val="32"/>
          <w:szCs w:val="32"/>
          <w:shd w:val="clear" w:color="auto" w:fill="FFFFFF"/>
        </w:rPr>
        <w:t>6分</w:t>
      </w:r>
      <w:r>
        <w:rPr>
          <w:rFonts w:hint="eastAsia" w:ascii="仿宋" w:hAnsi="仿宋" w:eastAsia="仿宋" w:cs="仿宋"/>
          <w:color w:val="auto"/>
          <w:kern w:val="0"/>
          <w:sz w:val="32"/>
          <w:szCs w:val="32"/>
          <w:shd w:val="clear" w:color="auto" w:fill="FFFFFF"/>
          <w:lang w:val="zh-CN"/>
        </w:rPr>
        <w:t>。</w:t>
      </w:r>
    </w:p>
    <w:p w14:paraId="173B4D70">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围绕支持中小企业发展：单位严格执行政府采购促进中小企业发展相关管理办法得分</w:t>
      </w:r>
      <w:r>
        <w:rPr>
          <w:rFonts w:hint="eastAsia" w:ascii="仿宋" w:hAnsi="仿宋" w:eastAsia="仿宋" w:cs="仿宋"/>
          <w:color w:val="auto"/>
          <w:kern w:val="0"/>
          <w:sz w:val="32"/>
          <w:szCs w:val="32"/>
          <w:shd w:val="clear" w:color="auto" w:fill="FFFFFF"/>
        </w:rPr>
        <w:t>3分。</w:t>
      </w:r>
    </w:p>
    <w:p w14:paraId="6C5AAB7D">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采购执行率进行绩效分析：部门政府采购项目资金支付笔录情况得分</w:t>
      </w:r>
      <w:r>
        <w:rPr>
          <w:rFonts w:hint="eastAsia" w:ascii="仿宋" w:hAnsi="仿宋" w:eastAsia="仿宋" w:cs="仿宋"/>
          <w:color w:val="auto"/>
          <w:kern w:val="0"/>
          <w:sz w:val="32"/>
          <w:szCs w:val="32"/>
          <w:shd w:val="clear" w:color="auto" w:fill="FFFFFF"/>
        </w:rPr>
        <w:t>3分</w:t>
      </w:r>
      <w:r>
        <w:rPr>
          <w:rFonts w:hint="eastAsia" w:ascii="仿宋" w:hAnsi="仿宋" w:eastAsia="仿宋" w:cs="仿宋"/>
          <w:color w:val="auto"/>
          <w:kern w:val="0"/>
          <w:sz w:val="32"/>
          <w:szCs w:val="32"/>
          <w:shd w:val="clear" w:color="auto" w:fill="FFFFFF"/>
          <w:lang w:val="zh-CN"/>
        </w:rPr>
        <w:t>。</w:t>
      </w:r>
    </w:p>
    <w:p w14:paraId="3BC38C76">
      <w:pPr>
        <w:widowControl/>
        <w:adjustRightInd w:val="0"/>
        <w:snapToGrid w:val="0"/>
        <w:spacing w:line="578" w:lineRule="exact"/>
        <w:ind w:firstLine="643" w:firstLineChars="200"/>
        <w:contextualSpacing/>
        <w:jc w:val="left"/>
        <w:rPr>
          <w:color w:val="auto"/>
          <w:kern w:val="0"/>
          <w:sz w:val="32"/>
          <w:szCs w:val="32"/>
          <w:shd w:val="clear" w:color="auto" w:fill="FFFFFF"/>
        </w:rPr>
      </w:pPr>
      <w:r>
        <w:rPr>
          <w:rFonts w:hint="eastAsia" w:eastAsia="楷体_GB2312"/>
          <w:b/>
          <w:bCs/>
          <w:color w:val="auto"/>
          <w:kern w:val="0"/>
          <w:sz w:val="32"/>
          <w:szCs w:val="32"/>
          <w:shd w:val="clear" w:color="auto" w:fill="FFFFFF"/>
          <w:lang w:val="zh-CN"/>
        </w:rPr>
        <w:t>（二）部门预算项目绩效分析，得分</w:t>
      </w:r>
      <w:r>
        <w:rPr>
          <w:rFonts w:eastAsia="楷体_GB2312"/>
          <w:b/>
          <w:bCs/>
          <w:color w:val="auto"/>
          <w:kern w:val="0"/>
          <w:sz w:val="32"/>
          <w:szCs w:val="32"/>
          <w:shd w:val="clear" w:color="auto" w:fill="FFFFFF"/>
        </w:rPr>
        <w:t>34.2</w:t>
      </w:r>
      <w:r>
        <w:rPr>
          <w:rFonts w:hint="eastAsia" w:eastAsia="楷体_GB2312"/>
          <w:b/>
          <w:bCs/>
          <w:color w:val="auto"/>
          <w:kern w:val="0"/>
          <w:sz w:val="32"/>
          <w:szCs w:val="32"/>
          <w:shd w:val="clear" w:color="auto" w:fill="FFFFFF"/>
        </w:rPr>
        <w:t>分</w:t>
      </w:r>
      <w:r>
        <w:rPr>
          <w:rFonts w:hint="eastAsia" w:eastAsia="楷体_GB2312"/>
          <w:b/>
          <w:bCs/>
          <w:color w:val="auto"/>
          <w:kern w:val="0"/>
          <w:sz w:val="32"/>
          <w:szCs w:val="32"/>
          <w:shd w:val="clear" w:color="auto" w:fill="FFFFFF"/>
          <w:lang w:val="zh-CN"/>
        </w:rPr>
        <w:t>。</w:t>
      </w:r>
    </w:p>
    <w:p w14:paraId="5C2C8FB1">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rPr>
        <w:t>常年项目绩效分析。</w:t>
      </w:r>
      <w:r>
        <w:rPr>
          <w:rFonts w:hint="eastAsia" w:ascii="仿宋" w:hAnsi="仿宋" w:eastAsia="仿宋" w:cs="仿宋"/>
          <w:color w:val="auto"/>
          <w:kern w:val="0"/>
          <w:sz w:val="32"/>
          <w:szCs w:val="32"/>
          <w:shd w:val="clear" w:color="auto" w:fill="FFFFFF"/>
          <w:lang w:val="zh-CN"/>
        </w:rPr>
        <w:t>该类项目总数</w:t>
      </w:r>
      <w:r>
        <w:rPr>
          <w:rFonts w:hint="eastAsia" w:ascii="仿宋" w:hAnsi="仿宋" w:eastAsia="仿宋" w:cs="仿宋"/>
          <w:color w:val="auto"/>
          <w:kern w:val="0"/>
          <w:sz w:val="32"/>
          <w:szCs w:val="32"/>
          <w:shd w:val="clear" w:color="auto" w:fill="FFFFFF"/>
        </w:rPr>
        <w:t>13</w:t>
      </w:r>
      <w:r>
        <w:rPr>
          <w:rFonts w:hint="eastAsia" w:ascii="仿宋" w:hAnsi="仿宋" w:eastAsia="仿宋" w:cs="仿宋"/>
          <w:color w:val="auto"/>
          <w:kern w:val="0"/>
          <w:sz w:val="32"/>
          <w:szCs w:val="32"/>
          <w:shd w:val="clear" w:color="auto" w:fill="FFFFFF"/>
          <w:lang w:val="zh-CN"/>
        </w:rPr>
        <w:t>个，涉及预算总金额</w:t>
      </w:r>
      <w:r>
        <w:rPr>
          <w:rFonts w:hint="eastAsia" w:ascii="仿宋" w:hAnsi="仿宋" w:eastAsia="仿宋" w:cs="仿宋"/>
          <w:color w:val="auto"/>
          <w:kern w:val="0"/>
          <w:sz w:val="32"/>
          <w:szCs w:val="32"/>
          <w:shd w:val="clear" w:color="auto" w:fill="FFFFFF"/>
        </w:rPr>
        <w:t>188.8</w:t>
      </w:r>
      <w:r>
        <w:rPr>
          <w:rFonts w:hint="eastAsia" w:ascii="仿宋" w:hAnsi="仿宋" w:eastAsia="仿宋" w:cs="仿宋"/>
          <w:color w:val="auto"/>
          <w:kern w:val="0"/>
          <w:sz w:val="32"/>
          <w:szCs w:val="32"/>
          <w:shd w:val="clear" w:color="auto" w:fill="FFFFFF"/>
          <w:lang w:val="zh-CN"/>
        </w:rPr>
        <w:t>万元，1—1</w:t>
      </w:r>
      <w:r>
        <w:rPr>
          <w:rFonts w:hint="eastAsia" w:ascii="仿宋" w:hAnsi="仿宋" w:eastAsia="仿宋" w:cs="仿宋"/>
          <w:color w:val="auto"/>
          <w:kern w:val="0"/>
          <w:sz w:val="32"/>
          <w:szCs w:val="32"/>
          <w:shd w:val="clear" w:color="auto" w:fill="FFFFFF"/>
        </w:rPr>
        <w:t>2</w:t>
      </w:r>
      <w:r>
        <w:rPr>
          <w:rFonts w:hint="eastAsia" w:ascii="仿宋" w:hAnsi="仿宋" w:eastAsia="仿宋" w:cs="仿宋"/>
          <w:color w:val="auto"/>
          <w:kern w:val="0"/>
          <w:sz w:val="32"/>
          <w:szCs w:val="32"/>
          <w:shd w:val="clear" w:color="auto" w:fill="FFFFFF"/>
          <w:lang w:val="zh-CN"/>
        </w:rPr>
        <w:t>月预算执行总体进度为</w:t>
      </w:r>
      <w:r>
        <w:rPr>
          <w:rFonts w:hint="eastAsia" w:ascii="仿宋" w:hAnsi="仿宋" w:eastAsia="仿宋" w:cs="仿宋"/>
          <w:color w:val="auto"/>
          <w:kern w:val="0"/>
          <w:sz w:val="32"/>
          <w:szCs w:val="32"/>
          <w:shd w:val="clear" w:color="auto" w:fill="FFFFFF"/>
        </w:rPr>
        <w:t>93.42</w:t>
      </w:r>
      <w:r>
        <w:rPr>
          <w:rFonts w:hint="eastAsia" w:ascii="仿宋" w:hAnsi="仿宋" w:eastAsia="仿宋" w:cs="仿宋"/>
          <w:color w:val="auto"/>
          <w:kern w:val="0"/>
          <w:sz w:val="32"/>
          <w:szCs w:val="32"/>
          <w:shd w:val="clear" w:color="auto" w:fill="FFFFFF"/>
          <w:lang w:val="zh-CN"/>
        </w:rPr>
        <w:t>%，其中：预算结余率大于</w:t>
      </w:r>
      <w:r>
        <w:rPr>
          <w:rFonts w:hint="eastAsia" w:ascii="仿宋" w:hAnsi="仿宋" w:eastAsia="仿宋" w:cs="仿宋"/>
          <w:color w:val="auto"/>
          <w:kern w:val="0"/>
          <w:sz w:val="32"/>
          <w:szCs w:val="32"/>
          <w:shd w:val="clear" w:color="auto" w:fill="FFFFFF"/>
        </w:rPr>
        <w:t>10%</w:t>
      </w:r>
      <w:r>
        <w:rPr>
          <w:rFonts w:hint="eastAsia" w:ascii="仿宋" w:hAnsi="仿宋" w:eastAsia="仿宋" w:cs="仿宋"/>
          <w:color w:val="auto"/>
          <w:kern w:val="0"/>
          <w:sz w:val="32"/>
          <w:szCs w:val="32"/>
          <w:shd w:val="clear" w:color="auto" w:fill="FFFFFF"/>
          <w:lang w:val="zh-CN"/>
        </w:rPr>
        <w:t>的项目共计</w:t>
      </w:r>
      <w:r>
        <w:rPr>
          <w:rFonts w:hint="eastAsia" w:ascii="仿宋" w:hAnsi="仿宋" w:eastAsia="仿宋" w:cs="仿宋"/>
          <w:color w:val="auto"/>
          <w:kern w:val="0"/>
          <w:sz w:val="32"/>
          <w:szCs w:val="32"/>
          <w:shd w:val="clear" w:color="auto" w:fill="FFFFFF"/>
        </w:rPr>
        <w:t>3</w:t>
      </w:r>
      <w:r>
        <w:rPr>
          <w:rFonts w:hint="eastAsia" w:ascii="仿宋" w:hAnsi="仿宋" w:eastAsia="仿宋" w:cs="仿宋"/>
          <w:color w:val="auto"/>
          <w:kern w:val="0"/>
          <w:sz w:val="32"/>
          <w:szCs w:val="32"/>
          <w:shd w:val="clear" w:color="auto" w:fill="FFFFFF"/>
          <w:lang w:val="zh-CN"/>
        </w:rPr>
        <w:t>个。</w:t>
      </w:r>
    </w:p>
    <w:p w14:paraId="0EF57378">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rPr>
        <w:t>阶段（含一次性）项目绩效分析。</w:t>
      </w:r>
      <w:r>
        <w:rPr>
          <w:rFonts w:hint="eastAsia" w:ascii="仿宋" w:hAnsi="仿宋" w:eastAsia="仿宋" w:cs="仿宋"/>
          <w:color w:val="auto"/>
          <w:kern w:val="0"/>
          <w:sz w:val="32"/>
          <w:szCs w:val="32"/>
          <w:shd w:val="clear" w:color="auto" w:fill="FFFFFF"/>
          <w:lang w:val="zh-CN"/>
        </w:rPr>
        <w:t>该类项目总数</w:t>
      </w:r>
      <w:r>
        <w:rPr>
          <w:rFonts w:hint="eastAsia" w:ascii="仿宋" w:hAnsi="仿宋" w:eastAsia="仿宋" w:cs="仿宋"/>
          <w:color w:val="auto"/>
          <w:kern w:val="0"/>
          <w:sz w:val="32"/>
          <w:szCs w:val="32"/>
          <w:shd w:val="clear" w:color="auto" w:fill="FFFFFF"/>
        </w:rPr>
        <w:t>1</w:t>
      </w:r>
      <w:r>
        <w:rPr>
          <w:rFonts w:hint="eastAsia" w:ascii="仿宋" w:hAnsi="仿宋" w:eastAsia="仿宋" w:cs="仿宋"/>
          <w:color w:val="auto"/>
          <w:kern w:val="0"/>
          <w:sz w:val="32"/>
          <w:szCs w:val="32"/>
          <w:shd w:val="clear" w:color="auto" w:fill="FFFFFF"/>
          <w:lang w:val="zh-CN"/>
        </w:rPr>
        <w:t>个，涉及预算总金额</w:t>
      </w:r>
      <w:r>
        <w:rPr>
          <w:rFonts w:hint="eastAsia" w:ascii="仿宋" w:hAnsi="仿宋" w:eastAsia="仿宋" w:cs="仿宋"/>
          <w:color w:val="auto"/>
          <w:kern w:val="0"/>
          <w:sz w:val="32"/>
          <w:szCs w:val="32"/>
          <w:shd w:val="clear" w:color="auto" w:fill="FFFFFF"/>
        </w:rPr>
        <w:t>20</w:t>
      </w:r>
      <w:r>
        <w:rPr>
          <w:rFonts w:hint="eastAsia" w:ascii="仿宋" w:hAnsi="仿宋" w:eastAsia="仿宋" w:cs="仿宋"/>
          <w:color w:val="auto"/>
          <w:kern w:val="0"/>
          <w:sz w:val="32"/>
          <w:szCs w:val="32"/>
          <w:shd w:val="clear" w:color="auto" w:fill="FFFFFF"/>
          <w:lang w:val="zh-CN"/>
        </w:rPr>
        <w:t>万元，1—1</w:t>
      </w:r>
      <w:r>
        <w:rPr>
          <w:rFonts w:hint="eastAsia" w:ascii="仿宋" w:hAnsi="仿宋" w:eastAsia="仿宋" w:cs="仿宋"/>
          <w:color w:val="auto"/>
          <w:kern w:val="0"/>
          <w:sz w:val="32"/>
          <w:szCs w:val="32"/>
          <w:shd w:val="clear" w:color="auto" w:fill="FFFFFF"/>
        </w:rPr>
        <w:t>2</w:t>
      </w:r>
      <w:r>
        <w:rPr>
          <w:rFonts w:hint="eastAsia" w:ascii="仿宋" w:hAnsi="仿宋" w:eastAsia="仿宋" w:cs="仿宋"/>
          <w:color w:val="auto"/>
          <w:kern w:val="0"/>
          <w:sz w:val="32"/>
          <w:szCs w:val="32"/>
          <w:shd w:val="clear" w:color="auto" w:fill="FFFFFF"/>
          <w:lang w:val="zh-CN"/>
        </w:rPr>
        <w:t>月预算执行总体进度为</w:t>
      </w:r>
      <w:r>
        <w:rPr>
          <w:rFonts w:hint="eastAsia" w:ascii="仿宋" w:hAnsi="仿宋" w:eastAsia="仿宋" w:cs="仿宋"/>
          <w:color w:val="auto"/>
          <w:kern w:val="0"/>
          <w:sz w:val="32"/>
          <w:szCs w:val="32"/>
          <w:shd w:val="clear" w:color="auto" w:fill="FFFFFF"/>
        </w:rPr>
        <w:t>99.4</w:t>
      </w:r>
      <w:r>
        <w:rPr>
          <w:rFonts w:hint="eastAsia" w:ascii="仿宋" w:hAnsi="仿宋" w:eastAsia="仿宋" w:cs="仿宋"/>
          <w:color w:val="auto"/>
          <w:kern w:val="0"/>
          <w:sz w:val="32"/>
          <w:szCs w:val="32"/>
          <w:shd w:val="clear" w:color="auto" w:fill="FFFFFF"/>
          <w:lang w:val="zh-CN"/>
        </w:rPr>
        <w:t>%，其中：预算结余率大于</w:t>
      </w:r>
      <w:r>
        <w:rPr>
          <w:rFonts w:hint="eastAsia" w:ascii="仿宋" w:hAnsi="仿宋" w:eastAsia="仿宋" w:cs="仿宋"/>
          <w:color w:val="auto"/>
          <w:kern w:val="0"/>
          <w:sz w:val="32"/>
          <w:szCs w:val="32"/>
          <w:shd w:val="clear" w:color="auto" w:fill="FFFFFF"/>
        </w:rPr>
        <w:t>10%</w:t>
      </w:r>
      <w:r>
        <w:rPr>
          <w:rFonts w:hint="eastAsia" w:ascii="仿宋" w:hAnsi="仿宋" w:eastAsia="仿宋" w:cs="仿宋"/>
          <w:color w:val="auto"/>
          <w:kern w:val="0"/>
          <w:sz w:val="32"/>
          <w:szCs w:val="32"/>
          <w:shd w:val="clear" w:color="auto" w:fill="FFFFFF"/>
          <w:lang w:val="zh-CN"/>
        </w:rPr>
        <w:t>的项目共计</w:t>
      </w:r>
      <w:r>
        <w:rPr>
          <w:rFonts w:hint="eastAsia" w:ascii="仿宋" w:hAnsi="仿宋" w:eastAsia="仿宋" w:cs="仿宋"/>
          <w:color w:val="auto"/>
          <w:kern w:val="0"/>
          <w:sz w:val="32"/>
          <w:szCs w:val="32"/>
          <w:shd w:val="clear" w:color="auto" w:fill="FFFFFF"/>
        </w:rPr>
        <w:t>0</w:t>
      </w:r>
      <w:r>
        <w:rPr>
          <w:rFonts w:hint="eastAsia" w:ascii="仿宋" w:hAnsi="仿宋" w:eastAsia="仿宋" w:cs="仿宋"/>
          <w:color w:val="auto"/>
          <w:kern w:val="0"/>
          <w:sz w:val="32"/>
          <w:szCs w:val="32"/>
          <w:shd w:val="clear" w:color="auto" w:fill="FFFFFF"/>
          <w:lang w:val="zh-CN"/>
        </w:rPr>
        <w:t>个。</w:t>
      </w:r>
    </w:p>
    <w:p w14:paraId="45DB3722">
      <w:pPr>
        <w:numPr>
          <w:ilvl w:val="0"/>
          <w:numId w:val="0"/>
        </w:num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en-US" w:eastAsia="zh-CN"/>
        </w:rPr>
        <w:t>1.</w:t>
      </w:r>
      <w:r>
        <w:rPr>
          <w:rFonts w:hint="eastAsia" w:ascii="仿宋" w:hAnsi="仿宋" w:eastAsia="仿宋" w:cs="仿宋"/>
          <w:color w:val="auto"/>
          <w:kern w:val="0"/>
          <w:sz w:val="32"/>
          <w:szCs w:val="32"/>
          <w:shd w:val="clear" w:color="auto" w:fill="FFFFFF"/>
          <w:lang w:val="zh-CN"/>
        </w:rPr>
        <w:t>项目决策</w:t>
      </w:r>
      <w:r>
        <w:rPr>
          <w:rFonts w:hint="eastAsia" w:ascii="仿宋" w:hAnsi="仿宋" w:eastAsia="仿宋" w:cs="仿宋"/>
          <w:color w:val="auto"/>
          <w:kern w:val="0"/>
          <w:sz w:val="32"/>
          <w:szCs w:val="32"/>
          <w:shd w:val="clear" w:color="auto" w:fill="FFFFFF"/>
        </w:rPr>
        <w:t>,</w:t>
      </w:r>
      <w:r>
        <w:rPr>
          <w:rFonts w:hint="eastAsia" w:ascii="仿宋" w:hAnsi="仿宋" w:eastAsia="仿宋" w:cs="仿宋"/>
          <w:color w:val="auto"/>
          <w:kern w:val="0"/>
          <w:sz w:val="32"/>
          <w:szCs w:val="32"/>
          <w:shd w:val="clear" w:color="auto" w:fill="FFFFFF"/>
          <w:lang w:val="zh-CN"/>
        </w:rPr>
        <w:t>得分</w:t>
      </w:r>
      <w:r>
        <w:rPr>
          <w:rFonts w:hint="eastAsia" w:ascii="仿宋" w:hAnsi="仿宋" w:eastAsia="仿宋" w:cs="仿宋"/>
          <w:color w:val="auto"/>
          <w:kern w:val="0"/>
          <w:sz w:val="32"/>
          <w:szCs w:val="32"/>
          <w:shd w:val="clear" w:color="auto" w:fill="FFFFFF"/>
        </w:rPr>
        <w:t>12分</w:t>
      </w:r>
      <w:r>
        <w:rPr>
          <w:rFonts w:hint="eastAsia" w:ascii="仿宋" w:hAnsi="仿宋" w:eastAsia="仿宋" w:cs="仿宋"/>
          <w:color w:val="auto"/>
          <w:kern w:val="0"/>
          <w:sz w:val="32"/>
          <w:szCs w:val="32"/>
          <w:shd w:val="clear" w:color="auto" w:fill="FFFFFF"/>
          <w:lang w:val="zh-CN"/>
        </w:rPr>
        <w:t>。</w:t>
      </w:r>
    </w:p>
    <w:p w14:paraId="2A833509">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决策程序：部门预算项目设立按规定履行评估论证、申报程序，得分</w:t>
      </w:r>
      <w:r>
        <w:rPr>
          <w:rFonts w:hint="eastAsia" w:ascii="仿宋" w:hAnsi="仿宋" w:eastAsia="仿宋" w:cs="仿宋"/>
          <w:color w:val="auto"/>
          <w:kern w:val="0"/>
          <w:sz w:val="32"/>
          <w:szCs w:val="32"/>
          <w:shd w:val="clear" w:color="auto" w:fill="FFFFFF"/>
        </w:rPr>
        <w:t>4分。</w:t>
      </w:r>
    </w:p>
    <w:p w14:paraId="123322E9">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目标设置：绩效目标设置科学合理、规范完整、量化细化、预算匹配，得分</w:t>
      </w:r>
      <w:r>
        <w:rPr>
          <w:rFonts w:hint="eastAsia" w:ascii="仿宋" w:hAnsi="仿宋" w:eastAsia="仿宋" w:cs="仿宋"/>
          <w:color w:val="auto"/>
          <w:kern w:val="0"/>
          <w:sz w:val="32"/>
          <w:szCs w:val="32"/>
          <w:shd w:val="clear" w:color="auto" w:fill="FFFFFF"/>
        </w:rPr>
        <w:t>4分。</w:t>
      </w:r>
    </w:p>
    <w:p w14:paraId="2B18F318">
      <w:pPr>
        <w:adjustRightInd w:val="0"/>
        <w:snapToGrid w:val="0"/>
        <w:spacing w:line="578" w:lineRule="exact"/>
        <w:ind w:firstLine="640" w:firstLine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项目入库：部门预算项目在规定时间完成项目入库，得分</w:t>
      </w:r>
      <w:r>
        <w:rPr>
          <w:rFonts w:hint="eastAsia" w:ascii="仿宋" w:hAnsi="仿宋" w:eastAsia="仿宋" w:cs="仿宋"/>
          <w:color w:val="auto"/>
          <w:kern w:val="0"/>
          <w:sz w:val="32"/>
          <w:szCs w:val="32"/>
          <w:shd w:val="clear" w:color="auto" w:fill="FFFFFF"/>
        </w:rPr>
        <w:t>4分。</w:t>
      </w:r>
    </w:p>
    <w:p w14:paraId="75338CAE">
      <w:pPr>
        <w:numPr>
          <w:ilvl w:val="0"/>
          <w:numId w:val="1"/>
        </w:numPr>
        <w:adjustRightInd w:val="0"/>
        <w:snapToGrid w:val="0"/>
        <w:spacing w:line="578" w:lineRule="exact"/>
        <w:ind w:firstLine="640" w:firstLineChars="200"/>
        <w:contextualSpacing/>
        <w:jc w:val="left"/>
        <w:rPr>
          <w:color w:val="auto"/>
          <w:kern w:val="0"/>
          <w:sz w:val="32"/>
          <w:szCs w:val="32"/>
          <w:shd w:val="clear" w:color="auto" w:fill="FFFFFF"/>
          <w:lang w:val="zh-CN"/>
        </w:rPr>
      </w:pPr>
      <w:r>
        <w:rPr>
          <w:rFonts w:hint="eastAsia" w:eastAsia="楷体_GB2312"/>
          <w:color w:val="auto"/>
          <w:kern w:val="0"/>
          <w:sz w:val="32"/>
          <w:szCs w:val="32"/>
          <w:shd w:val="clear" w:color="auto" w:fill="FFFFFF"/>
        </w:rPr>
        <w:t>项目执行，</w:t>
      </w:r>
      <w:r>
        <w:rPr>
          <w:rFonts w:eastAsia="楷体_GB2312"/>
          <w:color w:val="auto"/>
          <w:kern w:val="0"/>
          <w:sz w:val="32"/>
          <w:szCs w:val="32"/>
          <w:shd w:val="clear" w:color="auto" w:fill="FFFFFF"/>
        </w:rPr>
        <w:t>,</w:t>
      </w:r>
      <w:r>
        <w:rPr>
          <w:rFonts w:hint="eastAsia"/>
          <w:color w:val="auto"/>
          <w:kern w:val="0"/>
          <w:sz w:val="32"/>
          <w:szCs w:val="32"/>
          <w:shd w:val="clear" w:color="auto" w:fill="FFFFFF"/>
          <w:lang w:val="zh-CN"/>
        </w:rPr>
        <w:t>得分</w:t>
      </w:r>
      <w:r>
        <w:rPr>
          <w:color w:val="auto"/>
          <w:kern w:val="0"/>
          <w:sz w:val="32"/>
          <w:szCs w:val="32"/>
          <w:shd w:val="clear" w:color="auto" w:fill="FFFFFF"/>
        </w:rPr>
        <w:t>11.54</w:t>
      </w:r>
      <w:r>
        <w:rPr>
          <w:rFonts w:hint="eastAsia"/>
          <w:color w:val="auto"/>
          <w:kern w:val="0"/>
          <w:sz w:val="32"/>
          <w:szCs w:val="32"/>
          <w:shd w:val="clear" w:color="auto" w:fill="FFFFFF"/>
        </w:rPr>
        <w:t>分</w:t>
      </w:r>
      <w:r>
        <w:rPr>
          <w:rFonts w:hint="eastAsia"/>
          <w:color w:val="auto"/>
          <w:kern w:val="0"/>
          <w:sz w:val="32"/>
          <w:szCs w:val="32"/>
          <w:shd w:val="clear" w:color="auto" w:fill="FFFFFF"/>
          <w:lang w:val="zh-CN"/>
        </w:rPr>
        <w:t>。</w:t>
      </w:r>
    </w:p>
    <w:p w14:paraId="0174E70A">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执行同向：部门预算项目实际列支内容与绩效目标设置方向相符，得分</w:t>
      </w:r>
      <w:r>
        <w:rPr>
          <w:rFonts w:hint="eastAsia" w:ascii="仿宋" w:hAnsi="仿宋" w:eastAsia="仿宋" w:cs="仿宋"/>
          <w:color w:val="auto"/>
          <w:kern w:val="0"/>
          <w:sz w:val="32"/>
          <w:szCs w:val="32"/>
          <w:shd w:val="clear" w:color="auto" w:fill="FFFFFF"/>
        </w:rPr>
        <w:t>4分。</w:t>
      </w:r>
    </w:p>
    <w:p w14:paraId="46A42DAD">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项目调整：部门预算项目采取对应调整措施，配得分</w:t>
      </w:r>
      <w:r>
        <w:rPr>
          <w:rFonts w:hint="eastAsia" w:ascii="仿宋" w:hAnsi="仿宋" w:eastAsia="仿宋" w:cs="仿宋"/>
          <w:color w:val="auto"/>
          <w:kern w:val="0"/>
          <w:sz w:val="32"/>
          <w:szCs w:val="32"/>
          <w:shd w:val="clear" w:color="auto" w:fill="FFFFFF"/>
        </w:rPr>
        <w:t>4分。</w:t>
      </w:r>
    </w:p>
    <w:p w14:paraId="0667C093">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执行结果：部门预算项目执行情况得分</w:t>
      </w:r>
      <w:r>
        <w:rPr>
          <w:rFonts w:hint="eastAsia" w:ascii="仿宋" w:hAnsi="仿宋" w:eastAsia="仿宋" w:cs="仿宋"/>
          <w:color w:val="auto"/>
          <w:kern w:val="0"/>
          <w:sz w:val="32"/>
          <w:szCs w:val="32"/>
          <w:shd w:val="clear" w:color="auto" w:fill="FFFFFF"/>
        </w:rPr>
        <w:t>3.54分。</w:t>
      </w:r>
    </w:p>
    <w:p w14:paraId="7B8E01D3">
      <w:pPr>
        <w:adjustRightInd w:val="0"/>
        <w:snapToGrid w:val="0"/>
        <w:spacing w:line="578" w:lineRule="exact"/>
        <w:ind w:firstLine="640" w:firstLineChars="200"/>
        <w:contextualSpacing/>
        <w:jc w:val="left"/>
        <w:rPr>
          <w:color w:val="auto"/>
          <w:kern w:val="0"/>
          <w:sz w:val="32"/>
          <w:szCs w:val="32"/>
          <w:shd w:val="clear" w:color="auto" w:fill="FFFFFF"/>
          <w:lang w:val="zh-CN"/>
        </w:rPr>
      </w:pPr>
      <w:r>
        <w:rPr>
          <w:rFonts w:eastAsia="楷体_GB2312"/>
          <w:color w:val="auto"/>
          <w:kern w:val="0"/>
          <w:sz w:val="32"/>
          <w:szCs w:val="32"/>
          <w:shd w:val="clear" w:color="auto" w:fill="FFFFFF"/>
        </w:rPr>
        <w:t>3.</w:t>
      </w:r>
      <w:r>
        <w:rPr>
          <w:rFonts w:hint="eastAsia" w:eastAsia="楷体_GB2312"/>
          <w:color w:val="auto"/>
          <w:kern w:val="0"/>
          <w:sz w:val="32"/>
          <w:szCs w:val="32"/>
          <w:shd w:val="clear" w:color="auto" w:fill="FFFFFF"/>
          <w:lang w:val="zh-CN"/>
        </w:rPr>
        <w:t>目标实现</w:t>
      </w:r>
      <w:r>
        <w:rPr>
          <w:rFonts w:eastAsia="楷体_GB2312"/>
          <w:color w:val="auto"/>
          <w:kern w:val="0"/>
          <w:sz w:val="32"/>
          <w:szCs w:val="32"/>
          <w:shd w:val="clear" w:color="auto" w:fill="FFFFFF"/>
        </w:rPr>
        <w:t>,</w:t>
      </w:r>
      <w:r>
        <w:rPr>
          <w:rFonts w:hint="eastAsia"/>
          <w:color w:val="auto"/>
          <w:kern w:val="0"/>
          <w:sz w:val="32"/>
          <w:szCs w:val="32"/>
          <w:shd w:val="clear" w:color="auto" w:fill="FFFFFF"/>
          <w:lang w:val="zh-CN"/>
        </w:rPr>
        <w:t>得分</w:t>
      </w:r>
      <w:r>
        <w:rPr>
          <w:color w:val="auto"/>
          <w:kern w:val="0"/>
          <w:sz w:val="32"/>
          <w:szCs w:val="32"/>
          <w:shd w:val="clear" w:color="auto" w:fill="FFFFFF"/>
        </w:rPr>
        <w:t>10.66</w:t>
      </w:r>
      <w:r>
        <w:rPr>
          <w:rFonts w:hint="eastAsia"/>
          <w:color w:val="auto"/>
          <w:kern w:val="0"/>
          <w:sz w:val="32"/>
          <w:szCs w:val="32"/>
          <w:shd w:val="clear" w:color="auto" w:fill="FFFFFF"/>
        </w:rPr>
        <w:t>分</w:t>
      </w:r>
      <w:r>
        <w:rPr>
          <w:rFonts w:hint="eastAsia"/>
          <w:color w:val="auto"/>
          <w:kern w:val="0"/>
          <w:sz w:val="32"/>
          <w:szCs w:val="32"/>
          <w:shd w:val="clear" w:color="auto" w:fill="FFFFFF"/>
          <w:lang w:val="zh-CN"/>
        </w:rPr>
        <w:t>。</w:t>
      </w:r>
    </w:p>
    <w:p w14:paraId="1FE07AAA">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shd w:val="clear" w:color="auto" w:fill="FFFFFF"/>
          <w:lang w:val="zh-CN"/>
        </w:rPr>
        <w:t>目标完成：部门预算阶段项目均完成绩效目标，得分</w:t>
      </w:r>
      <w:r>
        <w:rPr>
          <w:rFonts w:hint="eastAsia" w:ascii="仿宋" w:hAnsi="仿宋" w:eastAsia="仿宋" w:cs="仿宋"/>
          <w:color w:val="auto"/>
          <w:kern w:val="0"/>
          <w:sz w:val="32"/>
          <w:szCs w:val="32"/>
          <w:shd w:val="clear" w:color="auto" w:fill="FFFFFF"/>
        </w:rPr>
        <w:t>4分。</w:t>
      </w:r>
    </w:p>
    <w:p w14:paraId="535CE4DC">
      <w:pPr>
        <w:adjustRightInd w:val="0"/>
        <w:snapToGrid w:val="0"/>
        <w:spacing w:line="578" w:lineRule="exact"/>
        <w:ind w:left="420" w:leftChars="200"/>
        <w:contextualSpacing/>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lang w:val="zh-CN"/>
        </w:rPr>
        <w:t>目标偏离：部门预算项目绩效目标数量指标实现程度与预期目标的偏离度在30%内，得分</w:t>
      </w:r>
      <w:r>
        <w:rPr>
          <w:rFonts w:hint="eastAsia" w:ascii="仿宋" w:hAnsi="仿宋" w:eastAsia="仿宋" w:cs="仿宋"/>
          <w:color w:val="auto"/>
          <w:kern w:val="0"/>
          <w:sz w:val="32"/>
          <w:szCs w:val="32"/>
          <w:shd w:val="clear" w:color="auto" w:fill="FFFFFF"/>
        </w:rPr>
        <w:t>3.66分。</w:t>
      </w:r>
    </w:p>
    <w:p w14:paraId="3BCCA7F0">
      <w:pPr>
        <w:adjustRightInd w:val="0"/>
        <w:snapToGrid w:val="0"/>
        <w:spacing w:line="578" w:lineRule="exact"/>
        <w:ind w:left="420" w:leftChars="200"/>
        <w:contextualSpacing/>
        <w:jc w:val="left"/>
        <w:rPr>
          <w:rFonts w:hint="eastAsia" w:ascii="仿宋" w:hAnsi="仿宋" w:eastAsia="仿宋" w:cs="仿宋"/>
          <w:color w:val="auto"/>
          <w:sz w:val="32"/>
          <w:szCs w:val="32"/>
        </w:rPr>
      </w:pPr>
      <w:r>
        <w:rPr>
          <w:rFonts w:hint="eastAsia" w:ascii="仿宋" w:hAnsi="仿宋" w:eastAsia="仿宋" w:cs="仿宋"/>
          <w:color w:val="auto"/>
          <w:kern w:val="0"/>
          <w:sz w:val="32"/>
          <w:szCs w:val="32"/>
          <w:shd w:val="clear" w:color="auto" w:fill="FFFFFF"/>
          <w:lang w:val="zh-CN"/>
        </w:rPr>
        <w:t>实现效果：部门预算阶段项目均完成绩效目标效益指标，得分</w:t>
      </w:r>
      <w:r>
        <w:rPr>
          <w:rFonts w:hint="eastAsia" w:ascii="仿宋" w:hAnsi="仿宋" w:eastAsia="仿宋" w:cs="仿宋"/>
          <w:color w:val="auto"/>
          <w:kern w:val="0"/>
          <w:sz w:val="32"/>
          <w:szCs w:val="32"/>
          <w:shd w:val="clear" w:color="auto" w:fill="FFFFFF"/>
        </w:rPr>
        <w:t>3分。</w:t>
      </w:r>
    </w:p>
    <w:p w14:paraId="45626B4F">
      <w:pPr>
        <w:numPr>
          <w:ilvl w:val="0"/>
          <w:numId w:val="2"/>
        </w:numPr>
        <w:snapToGrid w:val="0"/>
        <w:spacing w:line="578" w:lineRule="exact"/>
        <w:ind w:firstLine="643" w:firstLineChars="200"/>
        <w:jc w:val="left"/>
        <w:rPr>
          <w:color w:val="auto"/>
          <w:kern w:val="0"/>
          <w:sz w:val="32"/>
          <w:szCs w:val="32"/>
          <w:shd w:val="clear" w:color="auto" w:fill="FFFFFF"/>
          <w:lang w:val="zh-CN"/>
        </w:rPr>
      </w:pPr>
      <w:r>
        <w:rPr>
          <w:rFonts w:hint="eastAsia" w:eastAsia="楷体_GB2312"/>
          <w:b/>
          <w:bCs/>
          <w:color w:val="auto"/>
          <w:sz w:val="32"/>
          <w:szCs w:val="32"/>
          <w:lang w:val="zh-CN"/>
        </w:rPr>
        <w:t>绩效结果应用情况。</w:t>
      </w:r>
    </w:p>
    <w:p w14:paraId="6328B497">
      <w:pPr>
        <w:snapToGrid w:val="0"/>
        <w:spacing w:line="578" w:lineRule="exact"/>
        <w:ind w:firstLine="640" w:firstLineChars="200"/>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sz w:val="32"/>
          <w:szCs w:val="32"/>
        </w:rPr>
        <w:t>对单位的日常工作实行绩效考核，部门绩效目标等报告按时按质予以完成并及时向社会公布，并针对自评表中查找出的问题，给予针对性的整改。</w:t>
      </w:r>
    </w:p>
    <w:p w14:paraId="2AFB1E00">
      <w:pPr>
        <w:widowControl/>
        <w:adjustRightInd w:val="0"/>
        <w:snapToGrid w:val="0"/>
        <w:spacing w:line="578" w:lineRule="exact"/>
        <w:ind w:firstLine="640" w:firstLineChars="200"/>
        <w:contextualSpacing/>
        <w:jc w:val="left"/>
        <w:rPr>
          <w:rFonts w:eastAsia="黑体"/>
          <w:color w:val="auto"/>
          <w:kern w:val="0"/>
          <w:sz w:val="32"/>
          <w:szCs w:val="32"/>
          <w:shd w:val="clear" w:color="auto" w:fill="FFFFFF"/>
        </w:rPr>
      </w:pPr>
      <w:r>
        <w:rPr>
          <w:rFonts w:hint="eastAsia" w:eastAsia="黑体"/>
          <w:color w:val="auto"/>
          <w:kern w:val="0"/>
          <w:sz w:val="32"/>
          <w:szCs w:val="32"/>
          <w:shd w:val="clear" w:color="auto" w:fill="FFFFFF"/>
        </w:rPr>
        <w:t>四、评价结论及建议</w:t>
      </w:r>
    </w:p>
    <w:p w14:paraId="2E1DBACC">
      <w:pPr>
        <w:widowControl/>
        <w:adjustRightInd w:val="0"/>
        <w:snapToGrid w:val="0"/>
        <w:spacing w:line="578" w:lineRule="exact"/>
        <w:ind w:firstLine="643" w:firstLineChars="200"/>
        <w:contextualSpacing/>
        <w:jc w:val="left"/>
        <w:rPr>
          <w:rFonts w:eastAsia="楷体_GB2312"/>
          <w:b/>
          <w:bCs/>
          <w:color w:val="auto"/>
          <w:kern w:val="0"/>
          <w:sz w:val="32"/>
          <w:szCs w:val="32"/>
          <w:shd w:val="clear" w:color="auto" w:fill="FFFFFF"/>
          <w:lang w:val="zh-CN"/>
        </w:rPr>
      </w:pPr>
      <w:r>
        <w:rPr>
          <w:rFonts w:hint="eastAsia" w:eastAsia="楷体_GB2312"/>
          <w:b/>
          <w:bCs/>
          <w:color w:val="auto"/>
          <w:kern w:val="0"/>
          <w:sz w:val="32"/>
          <w:szCs w:val="32"/>
          <w:shd w:val="clear" w:color="auto" w:fill="FFFFFF"/>
          <w:lang w:val="zh-CN"/>
        </w:rPr>
        <w:t>（一）评价结论。</w:t>
      </w:r>
    </w:p>
    <w:p w14:paraId="44BE6933">
      <w:pPr>
        <w:snapToGrid w:val="0"/>
        <w:spacing w:line="578"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阿坝州生态保护和发展研究院</w:t>
      </w:r>
      <w:r>
        <w:rPr>
          <w:rFonts w:hint="eastAsia" w:ascii="仿宋" w:hAnsi="仿宋" w:eastAsia="仿宋" w:cs="仿宋"/>
          <w:color w:val="auto"/>
          <w:sz w:val="32"/>
          <w:szCs w:val="32"/>
          <w:lang w:val="en-US" w:eastAsia="zh-CN"/>
        </w:rPr>
        <w:t>在履职效能、预算执行方面符合相关规定，手续齐全，资料完整，支出及时。单位财务管理制度健全，监督管理制度完备，重视预算执行进度，严控"三公"经费支出，政府采购管理规范，资金使用效率良好。预算管理、财务管理、资产管理、项目决策等方面均达到较好水平，有效保障机构顺利运转，圆满完成2025年各项工作，产生了较好的社会效益。部门预算绩效评价得分情况：总体绩效得分55.04分，项目绩效得分34.2分，总分89.24分。</w:t>
      </w:r>
    </w:p>
    <w:p w14:paraId="21691325">
      <w:pPr>
        <w:widowControl/>
        <w:adjustRightInd w:val="0"/>
        <w:snapToGrid w:val="0"/>
        <w:spacing w:line="578" w:lineRule="exact"/>
        <w:ind w:firstLine="643" w:firstLineChars="200"/>
        <w:contextualSpacing/>
        <w:jc w:val="left"/>
        <w:rPr>
          <w:rFonts w:eastAsia="楷体_GB2312"/>
          <w:b/>
          <w:bCs/>
          <w:color w:val="auto"/>
          <w:kern w:val="0"/>
          <w:sz w:val="32"/>
          <w:szCs w:val="32"/>
          <w:shd w:val="clear" w:color="auto" w:fill="FFFFFF"/>
          <w:lang w:val="zh-CN"/>
        </w:rPr>
      </w:pPr>
      <w:r>
        <w:rPr>
          <w:rFonts w:hint="eastAsia" w:eastAsia="楷体_GB2312"/>
          <w:b/>
          <w:bCs/>
          <w:color w:val="auto"/>
          <w:kern w:val="0"/>
          <w:sz w:val="32"/>
          <w:szCs w:val="32"/>
          <w:shd w:val="clear" w:color="auto" w:fill="FFFFFF"/>
          <w:lang w:val="zh-CN"/>
        </w:rPr>
        <w:t>（二）存在问题。</w:t>
      </w:r>
    </w:p>
    <w:p w14:paraId="6963317A">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一是预算编制精准度不足。部分项目前期论证不充分，预算测算与实际执行存在偏差，年度中调整频次偏高，影响资金统筹效率。</w:t>
      </w:r>
    </w:p>
    <w:p w14:paraId="713ED5FD">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二是预算执行均衡性有待提升。受项目实施周期，流程审批及外部条件影响，部分资金前慢后快，执行进度不均衡，资金使用效益未能最大化。</w:t>
      </w:r>
    </w:p>
    <w:p w14:paraId="63BBE1D3">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三是绩效管理深度不够。绩效目标设定偏宏观，量化指标偏少；事中监控与动态纠偏机制不够健全，绩效评价结果与预算安排，项目管理衔接不够紧密。</w:t>
      </w:r>
    </w:p>
    <w:p w14:paraId="756D61DF">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四是内控与资产管理仍有短板。固定资产全生命周期管理不够细化，部分资产台账更新不及时；费用报销审核与过程监督需进一步从严。</w:t>
      </w:r>
    </w:p>
    <w:p w14:paraId="27FB4495">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五是协同与履职效能有待加强。跨科室协同推进重点工作不够顺畅，部分任务分解，督办，闭环管理不到位，影响整体履职成效。</w:t>
      </w:r>
    </w:p>
    <w:p w14:paraId="3AC83D5D">
      <w:pPr>
        <w:widowControl/>
        <w:numPr>
          <w:ilvl w:val="0"/>
          <w:numId w:val="2"/>
        </w:numPr>
        <w:adjustRightInd w:val="0"/>
        <w:snapToGrid w:val="0"/>
        <w:spacing w:line="578" w:lineRule="exact"/>
        <w:ind w:firstLine="643" w:firstLineChars="200"/>
        <w:contextualSpacing/>
        <w:jc w:val="left"/>
        <w:rPr>
          <w:rFonts w:eastAsia="楷体_GB2312"/>
          <w:b/>
          <w:bCs/>
          <w:color w:val="auto"/>
          <w:kern w:val="0"/>
          <w:sz w:val="32"/>
          <w:szCs w:val="32"/>
          <w:shd w:val="clear" w:color="auto" w:fill="FFFFFF"/>
          <w:lang w:val="zh-CN"/>
        </w:rPr>
      </w:pPr>
      <w:r>
        <w:rPr>
          <w:rFonts w:hint="eastAsia" w:eastAsia="楷体_GB2312"/>
          <w:b/>
          <w:bCs/>
          <w:color w:val="auto"/>
          <w:kern w:val="0"/>
          <w:sz w:val="32"/>
          <w:szCs w:val="32"/>
          <w:shd w:val="clear" w:color="auto" w:fill="FFFFFF"/>
          <w:lang w:val="zh-CN"/>
        </w:rPr>
        <w:t>改进建议。</w:t>
      </w:r>
      <w:bookmarkStart w:id="64" w:name="_Hlk110546638"/>
    </w:p>
    <w:p w14:paraId="30D540C2">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一是做精做细预算编制。强化年度工作计划与预算对接，</w:t>
      </w:r>
    </w:p>
    <w:p w14:paraId="6F158EE3">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做实项目可行性论证与成本测算，推行"零基预算"与滚动</w:t>
      </w:r>
    </w:p>
    <w:p w14:paraId="2475B403">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现算结合，提升预算相学性与约束力。</w:t>
      </w:r>
      <w:r>
        <w:rPr>
          <w:rFonts w:hint="eastAsia" w:ascii="仿宋" w:hAnsi="仿宋" w:eastAsia="仿宋" w:cs="仿宋"/>
          <w:color w:val="auto"/>
          <w:kern w:val="0"/>
          <w:sz w:val="32"/>
          <w:szCs w:val="32"/>
          <w:lang w:val="zh-CN"/>
        </w:rPr>
        <w:tab/>
      </w:r>
      <w:r>
        <w:rPr>
          <w:rFonts w:hint="eastAsia" w:ascii="仿宋" w:hAnsi="仿宋" w:eastAsia="仿宋" w:cs="仿宋"/>
          <w:color w:val="auto"/>
          <w:kern w:val="0"/>
          <w:sz w:val="32"/>
          <w:szCs w:val="32"/>
          <w:lang w:val="zh-CN"/>
        </w:rPr>
        <w:tab/>
      </w:r>
      <w:r>
        <w:rPr>
          <w:rFonts w:hint="eastAsia" w:ascii="仿宋" w:hAnsi="仿宋" w:eastAsia="仿宋" w:cs="仿宋"/>
          <w:color w:val="auto"/>
          <w:kern w:val="0"/>
          <w:sz w:val="32"/>
          <w:szCs w:val="32"/>
          <w:lang w:val="zh-CN"/>
        </w:rPr>
        <w:tab/>
      </w:r>
    </w:p>
    <w:p w14:paraId="1752B9A5">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二是加快预算执行进度。建立月度执行台账与预警机制，压实项目责任主体，优化审批流程，提前做好采购，验收与支付准备，确保均衡支出，高效落地。</w:t>
      </w:r>
    </w:p>
    <w:p w14:paraId="20A44FD3">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三是健全全流程绩效管理。细化量化绩效指标，完善"目标监控-评价应用"闭环；强化事中跟踪与偏差整改，将评价结果作为下年度预算与项目安排重要依据。</w:t>
      </w:r>
    </w:p>
    <w:p w14:paraId="59A481DA">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四是从严内控与资产管理。完善财务管理制度，强化报销审核，合同管理与资金监管；规范资产入账，使用，处置全流程，定期盘点对账，确保账实相符。</w:t>
      </w:r>
    </w:p>
    <w:p w14:paraId="06660D0F">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五是强化协同与督办落实。健全重点工作清单化管理，节点化推进，常态化督办机制，明确责任分工与时限要求，提升部门整体执行力与履职质效。</w:t>
      </w:r>
    </w:p>
    <w:p w14:paraId="291B92C7">
      <w:pPr>
        <w:widowControl/>
        <w:adjustRightInd w:val="0"/>
        <w:snapToGrid w:val="0"/>
        <w:spacing w:line="578" w:lineRule="exact"/>
        <w:ind w:firstLine="640" w:firstLineChars="200"/>
        <w:contextualSpacing/>
        <w:jc w:val="left"/>
        <w:rPr>
          <w:rFonts w:hint="eastAsia" w:ascii="仿宋" w:hAnsi="仿宋" w:eastAsia="仿宋" w:cs="仿宋"/>
          <w:color w:val="auto"/>
          <w:kern w:val="0"/>
          <w:sz w:val="32"/>
          <w:szCs w:val="32"/>
          <w:lang w:val="zh-CN"/>
        </w:rPr>
      </w:pPr>
    </w:p>
    <w:p w14:paraId="5C8ADE0E">
      <w:pPr>
        <w:widowControl/>
        <w:adjustRightInd w:val="0"/>
        <w:snapToGrid w:val="0"/>
        <w:spacing w:line="578" w:lineRule="exact"/>
        <w:ind w:left="420" w:leftChars="200"/>
        <w:contextualSpacing/>
        <w:jc w:val="left"/>
        <w:rPr>
          <w:rFonts w:hint="eastAsia" w:ascii="仿宋" w:hAnsi="仿宋" w:eastAsia="仿宋" w:cs="仿宋"/>
          <w:b/>
          <w:bCs/>
          <w:color w:val="auto"/>
          <w:kern w:val="0"/>
          <w:sz w:val="32"/>
          <w:szCs w:val="32"/>
          <w:shd w:val="clear" w:color="auto" w:fill="FFFFFF"/>
          <w:lang w:val="zh-CN"/>
        </w:rPr>
      </w:pPr>
    </w:p>
    <w:bookmarkEnd w:id="64"/>
    <w:p w14:paraId="62C8E237">
      <w:pPr>
        <w:spacing w:line="578" w:lineRule="exact"/>
        <w:contextualSpacing/>
        <w:jc w:val="left"/>
        <w:rPr>
          <w:rFonts w:hint="eastAsia" w:ascii="仿宋" w:hAnsi="仿宋" w:eastAsia="仿宋" w:cs="仿宋"/>
          <w:color w:val="auto"/>
          <w:sz w:val="32"/>
          <w:szCs w:val="32"/>
        </w:rPr>
      </w:pPr>
    </w:p>
    <w:p w14:paraId="50554AC9">
      <w:pPr>
        <w:spacing w:line="578"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kern w:val="0"/>
          <w:sz w:val="32"/>
          <w:szCs w:val="32"/>
          <w:shd w:val="clear" w:color="auto" w:fill="FFFFFF"/>
        </w:rPr>
        <w:t>附表：1.</w:t>
      </w:r>
      <w:r>
        <w:rPr>
          <w:rFonts w:hint="eastAsia" w:ascii="仿宋" w:hAnsi="仿宋" w:eastAsia="仿宋" w:cs="仿宋"/>
          <w:color w:val="auto"/>
          <w:sz w:val="32"/>
          <w:szCs w:val="32"/>
        </w:rPr>
        <w:t>部门预算绩效自评打分表</w:t>
      </w:r>
    </w:p>
    <w:p w14:paraId="1075F746">
      <w:pPr>
        <w:spacing w:line="578" w:lineRule="exact"/>
        <w:ind w:firstLine="1600" w:firstLineChars="500"/>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sz w:val="32"/>
          <w:szCs w:val="32"/>
        </w:rPr>
        <w:t>2.</w:t>
      </w:r>
      <w:r>
        <w:rPr>
          <w:rFonts w:hint="eastAsia" w:ascii="仿宋" w:hAnsi="仿宋" w:eastAsia="仿宋" w:cs="仿宋"/>
          <w:color w:val="auto"/>
          <w:kern w:val="0"/>
          <w:sz w:val="32"/>
          <w:szCs w:val="32"/>
          <w:shd w:val="clear" w:color="auto" w:fill="FFFFFF"/>
        </w:rPr>
        <w:t>部门整体支出绩效目标完成情况自评表</w:t>
      </w:r>
    </w:p>
    <w:p w14:paraId="2A268793">
      <w:pPr>
        <w:spacing w:line="578" w:lineRule="exact"/>
        <w:ind w:firstLine="1600" w:firstLineChars="500"/>
        <w:jc w:val="left"/>
        <w:rPr>
          <w:rFonts w:hint="eastAsia" w:ascii="仿宋" w:hAnsi="仿宋" w:eastAsia="仿宋" w:cs="仿宋"/>
          <w:color w:val="auto"/>
          <w:sz w:val="32"/>
          <w:szCs w:val="32"/>
        </w:rPr>
      </w:pPr>
      <w:r>
        <w:rPr>
          <w:rFonts w:hint="eastAsia" w:ascii="仿宋" w:hAnsi="仿宋" w:eastAsia="仿宋" w:cs="仿宋"/>
          <w:color w:val="auto"/>
          <w:kern w:val="0"/>
          <w:sz w:val="32"/>
          <w:szCs w:val="32"/>
          <w:shd w:val="clear" w:color="auto" w:fill="FFFFFF"/>
        </w:rPr>
        <w:t>3.</w:t>
      </w:r>
      <w:r>
        <w:rPr>
          <w:rFonts w:hint="eastAsia" w:ascii="仿宋" w:hAnsi="仿宋" w:eastAsia="仿宋" w:cs="仿宋"/>
          <w:color w:val="auto"/>
          <w:sz w:val="32"/>
          <w:szCs w:val="32"/>
        </w:rPr>
        <w:t>部门预算项目支出绩效评价表（2025年度）</w:t>
      </w:r>
    </w:p>
    <w:p w14:paraId="3CE461DD">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color w:val="auto"/>
          <w:sz w:val="32"/>
          <w:szCs w:val="32"/>
          <w:highlight w:val="yellow"/>
          <w:lang w:val="zh-CN" w:eastAsia="zh-CN"/>
        </w:rPr>
      </w:pPr>
    </w:p>
    <w:p w14:paraId="2816DDA3">
      <w:pPr>
        <w:pStyle w:val="6"/>
        <w:rPr>
          <w:rFonts w:hint="eastAsia" w:ascii="Times New Roman" w:hAnsi="Times New Roman" w:cs="宋体"/>
          <w:color w:val="auto"/>
          <w:kern w:val="0"/>
          <w:sz w:val="32"/>
          <w:szCs w:val="32"/>
          <w:highlight w:val="yellow"/>
          <w:shd w:val="clear" w:color="auto" w:fill="FFFFFF"/>
          <w:lang w:val="zh-CN"/>
        </w:rPr>
      </w:pPr>
    </w:p>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1F795FFB">
      <w:pPr>
        <w:rPr>
          <w:rFonts w:hint="eastAsia" w:ascii="Times New Roman" w:hAnsi="Times New Roman" w:eastAsia="黑体" w:cs="黑体"/>
          <w:color w:val="auto"/>
          <w:kern w:val="0"/>
          <w:sz w:val="28"/>
          <w:szCs w:val="28"/>
          <w:highlight w:val="none"/>
          <w:shd w:val="clear" w:color="auto" w:fill="FFFFFF"/>
          <w:lang w:val="en-US" w:eastAsia="zh-CN"/>
        </w:rPr>
      </w:pPr>
      <w:r>
        <w:rPr>
          <w:rFonts w:hint="eastAsia" w:eastAsia="黑体" w:cs="黑体"/>
          <w:color w:val="auto"/>
          <w:kern w:val="0"/>
          <w:sz w:val="28"/>
          <w:szCs w:val="28"/>
          <w:highlight w:val="none"/>
          <w:shd w:val="clear" w:color="auto" w:fill="FFFFFF"/>
          <w:lang w:val="zh-CN"/>
        </w:rPr>
        <w:t>附表</w:t>
      </w:r>
      <w:r>
        <w:rPr>
          <w:rFonts w:hint="eastAsia" w:eastAsia="黑体" w:cs="黑体"/>
          <w:color w:val="auto"/>
          <w:kern w:val="0"/>
          <w:sz w:val="28"/>
          <w:szCs w:val="28"/>
          <w:highlight w:val="none"/>
          <w:shd w:val="clear" w:color="auto" w:fill="FFFFFF"/>
          <w:lang w:val="en-US" w:eastAsia="zh-CN"/>
        </w:rPr>
        <w:t>1</w:t>
      </w:r>
    </w:p>
    <w:p w14:paraId="462BA15E">
      <w:pPr>
        <w:widowControl/>
        <w:spacing w:line="600" w:lineRule="exact"/>
        <w:jc w:val="center"/>
        <w:textAlignment w:val="center"/>
        <w:rPr>
          <w:rFonts w:eastAsia="方正小标宋简体"/>
          <w:color w:val="auto"/>
          <w:kern w:val="0"/>
          <w:sz w:val="44"/>
          <w:szCs w:val="44"/>
        </w:rPr>
      </w:pPr>
      <w:r>
        <w:rPr>
          <w:rFonts w:hint="eastAsia" w:eastAsia="方正小标宋简体"/>
          <w:color w:val="auto"/>
          <w:kern w:val="0"/>
          <w:sz w:val="44"/>
          <w:szCs w:val="44"/>
        </w:rPr>
        <w:t>部门预算绩效自评打分表</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882"/>
        <w:gridCol w:w="326"/>
      </w:tblGrid>
      <w:tr w14:paraId="3EE22125">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vAlign w:val="center"/>
          </w:tcPr>
          <w:p w14:paraId="2173FE1A">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vAlign w:val="center"/>
          </w:tcPr>
          <w:p w14:paraId="5FA2BBD1">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指标解释</w:t>
            </w:r>
          </w:p>
        </w:tc>
        <w:tc>
          <w:tcPr>
            <w:tcW w:w="882" w:type="dxa"/>
            <w:vMerge w:val="restart"/>
            <w:tcBorders>
              <w:top w:val="single" w:color="000000" w:sz="4" w:space="0"/>
              <w:left w:val="single" w:color="000000" w:sz="4" w:space="0"/>
              <w:right w:val="single" w:color="000000" w:sz="4" w:space="0"/>
            </w:tcBorders>
            <w:vAlign w:val="center"/>
          </w:tcPr>
          <w:p w14:paraId="5F87BCA8">
            <w:pPr>
              <w:widowControl/>
              <w:spacing w:line="240" w:lineRule="exact"/>
              <w:jc w:val="center"/>
              <w:textAlignment w:val="center"/>
              <w:rPr>
                <w:rFonts w:ascii="黑体" w:hAnsi="宋体" w:eastAsia="黑体" w:cs="黑体"/>
                <w:color w:val="auto"/>
                <w:kern w:val="0"/>
                <w:sz w:val="21"/>
                <w:szCs w:val="21"/>
              </w:rPr>
            </w:pPr>
            <w:r>
              <w:rPr>
                <w:rFonts w:hint="eastAsia" w:ascii="黑体" w:hAnsi="宋体" w:eastAsia="黑体" w:cs="黑体"/>
                <w:color w:val="auto"/>
                <w:kern w:val="0"/>
                <w:sz w:val="21"/>
                <w:szCs w:val="21"/>
              </w:rPr>
              <w:t>自评得分</w:t>
            </w:r>
          </w:p>
        </w:tc>
        <w:tc>
          <w:tcPr>
            <w:tcW w:w="326" w:type="dxa"/>
            <w:vMerge w:val="restart"/>
            <w:tcBorders>
              <w:top w:val="single" w:color="000000" w:sz="4" w:space="0"/>
              <w:left w:val="single" w:color="000000" w:sz="4" w:space="0"/>
              <w:right w:val="single" w:color="000000" w:sz="4" w:space="0"/>
            </w:tcBorders>
            <w:vAlign w:val="center"/>
          </w:tcPr>
          <w:p w14:paraId="40E6C6AE">
            <w:pPr>
              <w:widowControl/>
              <w:spacing w:line="240" w:lineRule="exact"/>
              <w:jc w:val="center"/>
              <w:textAlignment w:val="center"/>
              <w:rPr>
                <w:rFonts w:ascii="黑体" w:hAnsi="宋体" w:eastAsia="黑体" w:cs="黑体"/>
                <w:color w:val="auto"/>
                <w:kern w:val="0"/>
                <w:sz w:val="21"/>
                <w:szCs w:val="21"/>
              </w:rPr>
            </w:pPr>
            <w:r>
              <w:rPr>
                <w:rFonts w:hint="eastAsia" w:ascii="黑体" w:hAnsi="宋体" w:eastAsia="黑体" w:cs="黑体"/>
                <w:color w:val="auto"/>
                <w:kern w:val="0"/>
                <w:sz w:val="21"/>
                <w:szCs w:val="21"/>
              </w:rPr>
              <w:t>备注</w:t>
            </w:r>
          </w:p>
        </w:tc>
      </w:tr>
      <w:tr w14:paraId="59AA2629">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vAlign w:val="center"/>
          </w:tcPr>
          <w:p w14:paraId="02D58478">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一级指标</w:t>
            </w:r>
          </w:p>
        </w:tc>
        <w:tc>
          <w:tcPr>
            <w:tcW w:w="1201" w:type="dxa"/>
            <w:tcBorders>
              <w:top w:val="single" w:color="000000" w:sz="4" w:space="0"/>
              <w:left w:val="single" w:color="000000" w:sz="4" w:space="0"/>
              <w:bottom w:val="single" w:color="000000" w:sz="4" w:space="0"/>
              <w:right w:val="single" w:color="000000" w:sz="4" w:space="0"/>
            </w:tcBorders>
            <w:vAlign w:val="center"/>
          </w:tcPr>
          <w:p w14:paraId="1B926074">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二级指标</w:t>
            </w:r>
          </w:p>
        </w:tc>
        <w:tc>
          <w:tcPr>
            <w:tcW w:w="1929" w:type="dxa"/>
            <w:tcBorders>
              <w:top w:val="single" w:color="000000" w:sz="4" w:space="0"/>
              <w:left w:val="single" w:color="000000" w:sz="4" w:space="0"/>
              <w:bottom w:val="single" w:color="000000" w:sz="4" w:space="0"/>
              <w:right w:val="single" w:color="000000" w:sz="4" w:space="0"/>
            </w:tcBorders>
            <w:vAlign w:val="center"/>
          </w:tcPr>
          <w:p w14:paraId="5D8BA307">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三级指标</w:t>
            </w:r>
          </w:p>
        </w:tc>
        <w:tc>
          <w:tcPr>
            <w:tcW w:w="717" w:type="dxa"/>
            <w:tcBorders>
              <w:top w:val="single" w:color="000000" w:sz="4" w:space="0"/>
              <w:left w:val="single" w:color="000000" w:sz="4" w:space="0"/>
              <w:bottom w:val="single" w:color="000000" w:sz="4" w:space="0"/>
              <w:right w:val="single" w:color="000000" w:sz="4" w:space="0"/>
            </w:tcBorders>
            <w:vAlign w:val="center"/>
          </w:tcPr>
          <w:p w14:paraId="34FBA455">
            <w:pPr>
              <w:widowControl/>
              <w:spacing w:line="240" w:lineRule="exact"/>
              <w:jc w:val="center"/>
              <w:textAlignment w:val="center"/>
              <w:rPr>
                <w:rFonts w:ascii="黑体" w:hAnsi="宋体" w:eastAsia="黑体" w:cs="黑体"/>
                <w:color w:val="auto"/>
                <w:sz w:val="21"/>
                <w:szCs w:val="21"/>
              </w:rPr>
            </w:pPr>
            <w:r>
              <w:rPr>
                <w:rFonts w:hint="eastAsia" w:ascii="黑体" w:hAnsi="宋体" w:eastAsia="黑体" w:cs="黑体"/>
                <w:color w:val="auto"/>
                <w:kern w:val="0"/>
                <w:sz w:val="21"/>
                <w:szCs w:val="21"/>
              </w:rPr>
              <w:t>指标</w:t>
            </w:r>
            <w:r>
              <w:rPr>
                <w:rFonts w:ascii="黑体" w:hAnsi="宋体" w:eastAsia="黑体" w:cs="黑体"/>
                <w:color w:val="auto"/>
                <w:kern w:val="0"/>
                <w:sz w:val="21"/>
                <w:szCs w:val="21"/>
              </w:rPr>
              <w:br w:type="textWrapping"/>
            </w:r>
            <w:r>
              <w:rPr>
                <w:rFonts w:hint="eastAsia" w:ascii="黑体" w:hAnsi="宋体" w:eastAsia="黑体" w:cs="黑体"/>
                <w:color w:val="auto"/>
                <w:kern w:val="0"/>
                <w:sz w:val="21"/>
                <w:szCs w:val="21"/>
              </w:rPr>
              <w:t>分值</w:t>
            </w:r>
          </w:p>
        </w:tc>
        <w:tc>
          <w:tcPr>
            <w:tcW w:w="4760" w:type="dxa"/>
            <w:vMerge w:val="continue"/>
            <w:tcBorders>
              <w:top w:val="single" w:color="000000" w:sz="4" w:space="0"/>
              <w:left w:val="single" w:color="000000" w:sz="4" w:space="0"/>
              <w:bottom w:val="single" w:color="000000" w:sz="4" w:space="0"/>
              <w:right w:val="single" w:color="000000" w:sz="4" w:space="0"/>
            </w:tcBorders>
            <w:vAlign w:val="center"/>
          </w:tcPr>
          <w:p w14:paraId="326A0D2E">
            <w:pPr>
              <w:widowControl/>
              <w:spacing w:line="240" w:lineRule="exact"/>
              <w:jc w:val="center"/>
              <w:rPr>
                <w:rFonts w:ascii="黑体" w:hAnsi="宋体" w:eastAsia="黑体" w:cs="黑体"/>
                <w:color w:val="auto"/>
                <w:sz w:val="21"/>
                <w:szCs w:val="21"/>
              </w:rPr>
            </w:pPr>
          </w:p>
        </w:tc>
        <w:tc>
          <w:tcPr>
            <w:tcW w:w="882" w:type="dxa"/>
            <w:vMerge w:val="continue"/>
            <w:tcBorders>
              <w:left w:val="single" w:color="000000" w:sz="4" w:space="0"/>
              <w:bottom w:val="single" w:color="000000" w:sz="4" w:space="0"/>
              <w:right w:val="single" w:color="000000" w:sz="4" w:space="0"/>
            </w:tcBorders>
            <w:vAlign w:val="center"/>
          </w:tcPr>
          <w:p w14:paraId="46EE7CCA">
            <w:pPr>
              <w:widowControl/>
              <w:spacing w:line="240" w:lineRule="exact"/>
              <w:jc w:val="center"/>
              <w:rPr>
                <w:rFonts w:ascii="黑体" w:hAnsi="宋体" w:eastAsia="黑体" w:cs="黑体"/>
                <w:color w:val="auto"/>
                <w:sz w:val="21"/>
                <w:szCs w:val="21"/>
              </w:rPr>
            </w:pPr>
          </w:p>
        </w:tc>
        <w:tc>
          <w:tcPr>
            <w:tcW w:w="326" w:type="dxa"/>
            <w:vMerge w:val="continue"/>
            <w:tcBorders>
              <w:left w:val="single" w:color="000000" w:sz="4" w:space="0"/>
              <w:bottom w:val="single" w:color="000000" w:sz="4" w:space="0"/>
              <w:right w:val="single" w:color="000000" w:sz="4" w:space="0"/>
            </w:tcBorders>
            <w:vAlign w:val="center"/>
          </w:tcPr>
          <w:p w14:paraId="6110E6B7">
            <w:pPr>
              <w:widowControl/>
              <w:spacing w:line="240" w:lineRule="exact"/>
              <w:jc w:val="center"/>
              <w:rPr>
                <w:rFonts w:ascii="黑体" w:hAnsi="宋体" w:eastAsia="黑体" w:cs="黑体"/>
                <w:color w:val="auto"/>
                <w:sz w:val="21"/>
                <w:szCs w:val="21"/>
              </w:rPr>
            </w:pPr>
          </w:p>
        </w:tc>
      </w:tr>
      <w:tr w14:paraId="170EB5A2">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vAlign w:val="center"/>
          </w:tcPr>
          <w:p w14:paraId="1A23535F">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总体绩效（</w:t>
            </w:r>
            <w:r>
              <w:rPr>
                <w:rFonts w:ascii="宋体" w:hAnsi="宋体" w:eastAsia="宋体" w:cs="宋体"/>
                <w:b/>
                <w:color w:val="auto"/>
                <w:kern w:val="0"/>
                <w:sz w:val="21"/>
                <w:szCs w:val="21"/>
              </w:rPr>
              <w:t>65</w:t>
            </w:r>
            <w:r>
              <w:rPr>
                <w:rFonts w:hint="eastAsia" w:ascii="宋体" w:hAnsi="宋体" w:eastAsia="宋体" w:cs="宋体"/>
                <w:b/>
                <w:color w:val="auto"/>
                <w:kern w:val="0"/>
                <w:sz w:val="21"/>
                <w:szCs w:val="21"/>
              </w:rPr>
              <w:t>分）</w:t>
            </w:r>
          </w:p>
        </w:tc>
        <w:tc>
          <w:tcPr>
            <w:tcW w:w="1201" w:type="dxa"/>
            <w:tcBorders>
              <w:top w:val="single" w:color="000000" w:sz="4" w:space="0"/>
              <w:left w:val="single" w:color="000000" w:sz="4" w:space="0"/>
              <w:bottom w:val="single" w:color="000000" w:sz="4" w:space="0"/>
              <w:right w:val="single" w:color="000000" w:sz="4" w:space="0"/>
            </w:tcBorders>
            <w:vAlign w:val="center"/>
          </w:tcPr>
          <w:p w14:paraId="484F2B95">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履职效能</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15</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0E038824">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XX</w:t>
            </w:r>
            <w:r>
              <w:rPr>
                <w:rFonts w:hint="eastAsia" w:ascii="宋体" w:hAnsi="宋体" w:eastAsia="宋体" w:cs="宋体"/>
                <w:color w:val="auto"/>
                <w:kern w:val="0"/>
                <w:sz w:val="21"/>
                <w:szCs w:val="21"/>
              </w:rPr>
              <w:t>履职效果</w:t>
            </w:r>
          </w:p>
        </w:tc>
        <w:tc>
          <w:tcPr>
            <w:tcW w:w="717" w:type="dxa"/>
            <w:tcBorders>
              <w:top w:val="nil"/>
              <w:left w:val="single" w:color="000000" w:sz="4" w:space="0"/>
              <w:bottom w:val="single" w:color="000000" w:sz="4" w:space="0"/>
              <w:right w:val="single" w:color="000000" w:sz="4" w:space="0"/>
            </w:tcBorders>
            <w:vAlign w:val="center"/>
          </w:tcPr>
          <w:p w14:paraId="38C3458D">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15</w:t>
            </w:r>
          </w:p>
        </w:tc>
        <w:tc>
          <w:tcPr>
            <w:tcW w:w="4760" w:type="dxa"/>
            <w:tcBorders>
              <w:top w:val="single" w:color="000000" w:sz="4" w:space="0"/>
              <w:left w:val="single" w:color="000000" w:sz="4" w:space="0"/>
              <w:bottom w:val="single" w:color="000000" w:sz="4" w:space="0"/>
              <w:right w:val="single" w:color="000000" w:sz="4" w:space="0"/>
            </w:tcBorders>
            <w:vAlign w:val="center"/>
          </w:tcPr>
          <w:p w14:paraId="49201ECD">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部门整体绩效目标中选定</w:t>
            </w:r>
            <w:r>
              <w:rPr>
                <w:rFonts w:ascii="宋体" w:hAnsi="宋体" w:eastAsia="宋体" w:cs="宋体"/>
                <w:color w:val="auto"/>
                <w:kern w:val="0"/>
                <w:sz w:val="21"/>
                <w:szCs w:val="21"/>
              </w:rPr>
              <w:t>3-5</w:t>
            </w:r>
            <w:r>
              <w:rPr>
                <w:rFonts w:hint="eastAsia" w:ascii="宋体" w:hAnsi="宋体" w:eastAsia="宋体" w:cs="宋体"/>
                <w:color w:val="auto"/>
                <w:kern w:val="0"/>
                <w:sz w:val="21"/>
                <w:szCs w:val="21"/>
              </w:rPr>
              <w:t>个核心职能目标，反映该项职能目标完成效果情况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70B50231">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12</w:t>
            </w:r>
          </w:p>
        </w:tc>
        <w:tc>
          <w:tcPr>
            <w:tcW w:w="326" w:type="dxa"/>
            <w:tcBorders>
              <w:top w:val="single" w:color="000000" w:sz="4" w:space="0"/>
              <w:left w:val="single" w:color="000000" w:sz="4" w:space="0"/>
              <w:bottom w:val="single" w:color="000000" w:sz="4" w:space="0"/>
              <w:right w:val="single" w:color="000000" w:sz="4" w:space="0"/>
            </w:tcBorders>
            <w:vAlign w:val="center"/>
          </w:tcPr>
          <w:p w14:paraId="638D87CE">
            <w:pPr>
              <w:widowControl/>
              <w:spacing w:line="240" w:lineRule="exact"/>
              <w:jc w:val="left"/>
              <w:textAlignment w:val="center"/>
              <w:rPr>
                <w:rFonts w:ascii="宋体" w:hAnsi="宋体" w:eastAsia="宋体" w:cs="宋体"/>
                <w:color w:val="auto"/>
                <w:kern w:val="0"/>
                <w:sz w:val="21"/>
                <w:szCs w:val="21"/>
              </w:rPr>
            </w:pPr>
          </w:p>
        </w:tc>
      </w:tr>
      <w:tr w14:paraId="2163F92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vAlign w:val="center"/>
          </w:tcPr>
          <w:p w14:paraId="78EAD514">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right w:val="single" w:color="000000" w:sz="4" w:space="0"/>
            </w:tcBorders>
            <w:vAlign w:val="center"/>
          </w:tcPr>
          <w:p w14:paraId="3DCF64B1">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预算管理</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25</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73FD1B05">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预算编制质量</w:t>
            </w:r>
          </w:p>
        </w:tc>
        <w:tc>
          <w:tcPr>
            <w:tcW w:w="717" w:type="dxa"/>
            <w:tcBorders>
              <w:top w:val="single" w:color="000000" w:sz="4" w:space="0"/>
              <w:left w:val="single" w:color="000000" w:sz="4" w:space="0"/>
              <w:bottom w:val="single" w:color="000000" w:sz="4" w:space="0"/>
              <w:right w:val="single" w:color="000000" w:sz="4" w:space="0"/>
            </w:tcBorders>
            <w:vAlign w:val="center"/>
          </w:tcPr>
          <w:p w14:paraId="0D12212A">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8</w:t>
            </w:r>
          </w:p>
        </w:tc>
        <w:tc>
          <w:tcPr>
            <w:tcW w:w="4760" w:type="dxa"/>
            <w:tcBorders>
              <w:top w:val="single" w:color="000000" w:sz="4" w:space="0"/>
              <w:left w:val="single" w:color="000000" w:sz="4" w:space="0"/>
              <w:bottom w:val="single" w:color="000000" w:sz="4" w:space="0"/>
              <w:right w:val="single" w:color="000000" w:sz="4" w:space="0"/>
            </w:tcBorders>
            <w:vAlign w:val="center"/>
          </w:tcPr>
          <w:p w14:paraId="511F9C69">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部门是否严格按要求编制年初部门预算，年初预算编制的科学性和准确性</w:t>
            </w:r>
          </w:p>
        </w:tc>
        <w:tc>
          <w:tcPr>
            <w:tcW w:w="882" w:type="dxa"/>
            <w:tcBorders>
              <w:top w:val="single" w:color="000000" w:sz="4" w:space="0"/>
              <w:left w:val="single" w:color="000000" w:sz="4" w:space="0"/>
              <w:bottom w:val="single" w:color="000000" w:sz="4" w:space="0"/>
              <w:right w:val="single" w:color="000000" w:sz="4" w:space="0"/>
            </w:tcBorders>
            <w:vAlign w:val="center"/>
          </w:tcPr>
          <w:p w14:paraId="2B5796E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7.69</w:t>
            </w:r>
          </w:p>
        </w:tc>
        <w:tc>
          <w:tcPr>
            <w:tcW w:w="326" w:type="dxa"/>
            <w:tcBorders>
              <w:top w:val="single" w:color="000000" w:sz="4" w:space="0"/>
              <w:left w:val="single" w:color="000000" w:sz="4" w:space="0"/>
              <w:bottom w:val="single" w:color="000000" w:sz="4" w:space="0"/>
              <w:right w:val="single" w:color="000000" w:sz="4" w:space="0"/>
            </w:tcBorders>
            <w:vAlign w:val="center"/>
          </w:tcPr>
          <w:p w14:paraId="0FBBFE28">
            <w:pPr>
              <w:widowControl/>
              <w:spacing w:line="240" w:lineRule="exact"/>
              <w:jc w:val="left"/>
              <w:textAlignment w:val="center"/>
              <w:rPr>
                <w:rFonts w:ascii="宋体" w:hAnsi="宋体" w:eastAsia="宋体" w:cs="宋体"/>
                <w:color w:val="auto"/>
                <w:kern w:val="0"/>
                <w:sz w:val="21"/>
                <w:szCs w:val="21"/>
              </w:rPr>
            </w:pPr>
          </w:p>
        </w:tc>
      </w:tr>
      <w:tr w14:paraId="4B8705E5">
        <w:tblPrEx>
          <w:tblCellMar>
            <w:top w:w="0" w:type="dxa"/>
            <w:left w:w="108" w:type="dxa"/>
            <w:bottom w:w="0" w:type="dxa"/>
            <w:right w:w="108" w:type="dxa"/>
          </w:tblCellMar>
        </w:tblPrEx>
        <w:trPr>
          <w:trHeight w:val="400" w:hRule="atLeast"/>
          <w:jc w:val="center"/>
        </w:trPr>
        <w:tc>
          <w:tcPr>
            <w:tcW w:w="1097" w:type="dxa"/>
            <w:vMerge w:val="continue"/>
            <w:tcBorders>
              <w:left w:val="single" w:color="000000" w:sz="4" w:space="0"/>
              <w:right w:val="single" w:color="000000" w:sz="4" w:space="0"/>
            </w:tcBorders>
            <w:vAlign w:val="center"/>
          </w:tcPr>
          <w:p w14:paraId="23BFFC46">
            <w:pPr>
              <w:widowControl/>
              <w:spacing w:line="240" w:lineRule="exact"/>
              <w:jc w:val="center"/>
              <w:rPr>
                <w:rFonts w:ascii="宋体" w:hAnsi="宋体" w:eastAsia="宋体" w:cs="宋体"/>
                <w:b/>
                <w:color w:val="auto"/>
                <w:sz w:val="21"/>
                <w:szCs w:val="21"/>
              </w:rPr>
            </w:pPr>
          </w:p>
        </w:tc>
        <w:tc>
          <w:tcPr>
            <w:tcW w:w="1201" w:type="dxa"/>
            <w:vMerge w:val="continue"/>
            <w:tcBorders>
              <w:left w:val="single" w:color="000000" w:sz="4" w:space="0"/>
              <w:right w:val="single" w:color="000000" w:sz="4" w:space="0"/>
            </w:tcBorders>
            <w:vAlign w:val="center"/>
          </w:tcPr>
          <w:p w14:paraId="7D6EBB44">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3CD51186">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单位收入统筹</w:t>
            </w:r>
          </w:p>
        </w:tc>
        <w:tc>
          <w:tcPr>
            <w:tcW w:w="717" w:type="dxa"/>
            <w:tcBorders>
              <w:top w:val="single" w:color="000000" w:sz="4" w:space="0"/>
              <w:left w:val="single" w:color="000000" w:sz="4" w:space="0"/>
              <w:bottom w:val="single" w:color="000000" w:sz="4" w:space="0"/>
              <w:right w:val="single" w:color="000000" w:sz="4" w:space="0"/>
            </w:tcBorders>
            <w:vAlign w:val="center"/>
          </w:tcPr>
          <w:p w14:paraId="21100A89">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4DF67B28">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部门统筹自有收入努力程度</w:t>
            </w:r>
          </w:p>
        </w:tc>
        <w:tc>
          <w:tcPr>
            <w:tcW w:w="882" w:type="dxa"/>
            <w:tcBorders>
              <w:top w:val="single" w:color="000000" w:sz="4" w:space="0"/>
              <w:left w:val="single" w:color="000000" w:sz="4" w:space="0"/>
              <w:bottom w:val="single" w:color="000000" w:sz="4" w:space="0"/>
              <w:right w:val="single" w:color="000000" w:sz="4" w:space="0"/>
            </w:tcBorders>
            <w:vAlign w:val="center"/>
          </w:tcPr>
          <w:p w14:paraId="404E12C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0EE71996">
            <w:pPr>
              <w:widowControl/>
              <w:spacing w:line="240" w:lineRule="exact"/>
              <w:jc w:val="left"/>
              <w:textAlignment w:val="center"/>
              <w:rPr>
                <w:rFonts w:ascii="宋体" w:hAnsi="宋体" w:eastAsia="宋体" w:cs="宋体"/>
                <w:color w:val="auto"/>
                <w:kern w:val="0"/>
                <w:sz w:val="21"/>
                <w:szCs w:val="21"/>
              </w:rPr>
            </w:pPr>
          </w:p>
        </w:tc>
      </w:tr>
      <w:tr w14:paraId="705E9D64">
        <w:tblPrEx>
          <w:tblCellMar>
            <w:top w:w="0" w:type="dxa"/>
            <w:left w:w="108" w:type="dxa"/>
            <w:bottom w:w="0" w:type="dxa"/>
            <w:right w:w="108" w:type="dxa"/>
          </w:tblCellMar>
        </w:tblPrEx>
        <w:trPr>
          <w:trHeight w:val="355" w:hRule="atLeast"/>
          <w:jc w:val="center"/>
        </w:trPr>
        <w:tc>
          <w:tcPr>
            <w:tcW w:w="1097" w:type="dxa"/>
            <w:vMerge w:val="continue"/>
            <w:tcBorders>
              <w:left w:val="single" w:color="000000" w:sz="4" w:space="0"/>
              <w:right w:val="single" w:color="000000" w:sz="4" w:space="0"/>
            </w:tcBorders>
            <w:vAlign w:val="center"/>
          </w:tcPr>
          <w:p w14:paraId="5AB2802A">
            <w:pPr>
              <w:widowControl/>
              <w:spacing w:line="240" w:lineRule="exact"/>
              <w:jc w:val="center"/>
              <w:rPr>
                <w:rFonts w:ascii="宋体" w:hAnsi="宋体" w:eastAsia="宋体" w:cs="宋体"/>
                <w:b/>
                <w:color w:val="auto"/>
                <w:sz w:val="21"/>
                <w:szCs w:val="21"/>
              </w:rPr>
            </w:pPr>
          </w:p>
        </w:tc>
        <w:tc>
          <w:tcPr>
            <w:tcW w:w="1201" w:type="dxa"/>
            <w:vMerge w:val="continue"/>
            <w:tcBorders>
              <w:left w:val="single" w:color="000000" w:sz="4" w:space="0"/>
              <w:right w:val="single" w:color="000000" w:sz="4" w:space="0"/>
            </w:tcBorders>
            <w:vAlign w:val="center"/>
          </w:tcPr>
          <w:p w14:paraId="6F3DDE44">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4F90FB70">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支出执行管理</w:t>
            </w:r>
          </w:p>
        </w:tc>
        <w:tc>
          <w:tcPr>
            <w:tcW w:w="717" w:type="dxa"/>
            <w:tcBorders>
              <w:top w:val="single" w:color="000000" w:sz="4" w:space="0"/>
              <w:left w:val="single" w:color="000000" w:sz="4" w:space="0"/>
              <w:bottom w:val="single" w:color="000000" w:sz="4" w:space="0"/>
              <w:right w:val="single" w:color="000000" w:sz="4" w:space="0"/>
            </w:tcBorders>
            <w:vAlign w:val="center"/>
          </w:tcPr>
          <w:p w14:paraId="5C5DCAB4">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6</w:t>
            </w:r>
          </w:p>
        </w:tc>
        <w:tc>
          <w:tcPr>
            <w:tcW w:w="4760" w:type="dxa"/>
            <w:tcBorders>
              <w:top w:val="single" w:color="000000" w:sz="4" w:space="0"/>
              <w:left w:val="single" w:color="000000" w:sz="4" w:space="0"/>
              <w:bottom w:val="single" w:color="000000" w:sz="4" w:space="0"/>
              <w:right w:val="single" w:color="000000" w:sz="4" w:space="0"/>
            </w:tcBorders>
            <w:vAlign w:val="center"/>
          </w:tcPr>
          <w:p w14:paraId="2A1790A4">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w:t>
            </w:r>
            <w:r>
              <w:rPr>
                <w:rFonts w:ascii="宋体" w:hAnsi="宋体" w:eastAsia="宋体" w:cs="宋体"/>
                <w:color w:val="auto"/>
                <w:kern w:val="0"/>
                <w:sz w:val="21"/>
                <w:szCs w:val="21"/>
              </w:rPr>
              <w:t>1</w:t>
            </w:r>
            <w:r>
              <w:rPr>
                <w:rFonts w:hint="eastAsia" w:ascii="宋体" w:hAnsi="宋体" w:eastAsia="宋体" w:cs="宋体"/>
                <w:color w:val="auto"/>
                <w:kern w:val="0"/>
                <w:sz w:val="21"/>
                <w:szCs w:val="21"/>
              </w:rPr>
              <w:t>至</w:t>
            </w:r>
            <w:r>
              <w:rPr>
                <w:rFonts w:ascii="宋体" w:hAnsi="宋体" w:eastAsia="宋体" w:cs="宋体"/>
                <w:color w:val="auto"/>
                <w:kern w:val="0"/>
                <w:sz w:val="21"/>
                <w:szCs w:val="21"/>
              </w:rPr>
              <w:t>6</w:t>
            </w:r>
            <w:r>
              <w:rPr>
                <w:rFonts w:hint="eastAsia" w:ascii="宋体" w:hAnsi="宋体" w:eastAsia="宋体" w:cs="宋体"/>
                <w:color w:val="auto"/>
                <w:kern w:val="0"/>
                <w:sz w:val="21"/>
                <w:szCs w:val="21"/>
              </w:rPr>
              <w:t>月、</w:t>
            </w:r>
            <w:r>
              <w:rPr>
                <w:rFonts w:ascii="宋体" w:hAnsi="宋体" w:eastAsia="宋体" w:cs="宋体"/>
                <w:color w:val="auto"/>
                <w:kern w:val="0"/>
                <w:sz w:val="21"/>
                <w:szCs w:val="21"/>
              </w:rPr>
              <w:t>1</w:t>
            </w:r>
            <w:r>
              <w:rPr>
                <w:rFonts w:hint="eastAsia" w:ascii="宋体" w:hAnsi="宋体" w:eastAsia="宋体" w:cs="宋体"/>
                <w:color w:val="auto"/>
                <w:kern w:val="0"/>
                <w:sz w:val="21"/>
                <w:szCs w:val="21"/>
              </w:rPr>
              <w:t>至</w:t>
            </w:r>
            <w:r>
              <w:rPr>
                <w:rFonts w:ascii="宋体" w:hAnsi="宋体" w:eastAsia="宋体" w:cs="宋体"/>
                <w:color w:val="auto"/>
                <w:kern w:val="0"/>
                <w:sz w:val="21"/>
                <w:szCs w:val="21"/>
              </w:rPr>
              <w:t>10</w:t>
            </w:r>
            <w:r>
              <w:rPr>
                <w:rFonts w:hint="eastAsia" w:ascii="宋体" w:hAnsi="宋体" w:eastAsia="宋体" w:cs="宋体"/>
                <w:color w:val="auto"/>
                <w:kern w:val="0"/>
                <w:sz w:val="21"/>
                <w:szCs w:val="21"/>
              </w:rPr>
              <w:t>月预算执行情况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5C697826">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4.8</w:t>
            </w:r>
          </w:p>
        </w:tc>
        <w:tc>
          <w:tcPr>
            <w:tcW w:w="326" w:type="dxa"/>
            <w:tcBorders>
              <w:top w:val="single" w:color="000000" w:sz="4" w:space="0"/>
              <w:left w:val="single" w:color="000000" w:sz="4" w:space="0"/>
              <w:bottom w:val="single" w:color="000000" w:sz="4" w:space="0"/>
              <w:right w:val="single" w:color="000000" w:sz="4" w:space="0"/>
            </w:tcBorders>
            <w:vAlign w:val="center"/>
          </w:tcPr>
          <w:p w14:paraId="619E2DE0">
            <w:pPr>
              <w:widowControl/>
              <w:spacing w:line="240" w:lineRule="exact"/>
              <w:jc w:val="left"/>
              <w:textAlignment w:val="center"/>
              <w:rPr>
                <w:rFonts w:ascii="宋体" w:hAnsi="宋体" w:eastAsia="宋体" w:cs="宋体"/>
                <w:color w:val="auto"/>
                <w:kern w:val="0"/>
                <w:sz w:val="21"/>
                <w:szCs w:val="21"/>
              </w:rPr>
            </w:pPr>
          </w:p>
        </w:tc>
      </w:tr>
      <w:tr w14:paraId="3F45707C">
        <w:tblPrEx>
          <w:tblCellMar>
            <w:top w:w="0" w:type="dxa"/>
            <w:left w:w="108" w:type="dxa"/>
            <w:bottom w:w="0" w:type="dxa"/>
            <w:right w:w="108" w:type="dxa"/>
          </w:tblCellMar>
        </w:tblPrEx>
        <w:trPr>
          <w:trHeight w:val="430" w:hRule="atLeast"/>
          <w:jc w:val="center"/>
        </w:trPr>
        <w:tc>
          <w:tcPr>
            <w:tcW w:w="1097" w:type="dxa"/>
            <w:vMerge w:val="continue"/>
            <w:tcBorders>
              <w:left w:val="single" w:color="000000" w:sz="4" w:space="0"/>
              <w:right w:val="single" w:color="000000" w:sz="4" w:space="0"/>
            </w:tcBorders>
            <w:vAlign w:val="center"/>
          </w:tcPr>
          <w:p w14:paraId="64B079A0">
            <w:pPr>
              <w:widowControl/>
              <w:spacing w:line="240" w:lineRule="exact"/>
              <w:jc w:val="center"/>
              <w:rPr>
                <w:rFonts w:ascii="宋体" w:hAnsi="宋体" w:eastAsia="宋体" w:cs="宋体"/>
                <w:b/>
                <w:color w:val="auto"/>
                <w:sz w:val="21"/>
                <w:szCs w:val="21"/>
              </w:rPr>
            </w:pPr>
          </w:p>
        </w:tc>
        <w:tc>
          <w:tcPr>
            <w:tcW w:w="1201" w:type="dxa"/>
            <w:vMerge w:val="continue"/>
            <w:tcBorders>
              <w:left w:val="single" w:color="000000" w:sz="4" w:space="0"/>
              <w:right w:val="single" w:color="000000" w:sz="4" w:space="0"/>
            </w:tcBorders>
            <w:vAlign w:val="center"/>
          </w:tcPr>
          <w:p w14:paraId="2000A112">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7E88E540">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预算年终结余</w:t>
            </w:r>
          </w:p>
        </w:tc>
        <w:tc>
          <w:tcPr>
            <w:tcW w:w="717" w:type="dxa"/>
            <w:tcBorders>
              <w:top w:val="single" w:color="000000" w:sz="4" w:space="0"/>
              <w:left w:val="single" w:color="000000" w:sz="4" w:space="0"/>
              <w:bottom w:val="single" w:color="000000" w:sz="4" w:space="0"/>
              <w:right w:val="single" w:color="000000" w:sz="4" w:space="0"/>
            </w:tcBorders>
            <w:vAlign w:val="center"/>
          </w:tcPr>
          <w:p w14:paraId="08528D59">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2</w:t>
            </w:r>
          </w:p>
        </w:tc>
        <w:tc>
          <w:tcPr>
            <w:tcW w:w="4760" w:type="dxa"/>
            <w:tcBorders>
              <w:top w:val="single" w:color="000000" w:sz="4" w:space="0"/>
              <w:left w:val="single" w:color="000000" w:sz="4" w:space="0"/>
              <w:bottom w:val="single" w:color="000000" w:sz="4" w:space="0"/>
              <w:right w:val="single" w:color="000000" w:sz="4" w:space="0"/>
            </w:tcBorders>
            <w:vAlign w:val="center"/>
          </w:tcPr>
          <w:p w14:paraId="2B89D7A7">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部门整体年终预算结余情况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1FEDC9F0">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1.35</w:t>
            </w:r>
          </w:p>
        </w:tc>
        <w:tc>
          <w:tcPr>
            <w:tcW w:w="326" w:type="dxa"/>
            <w:tcBorders>
              <w:top w:val="single" w:color="000000" w:sz="4" w:space="0"/>
              <w:left w:val="single" w:color="000000" w:sz="4" w:space="0"/>
              <w:bottom w:val="single" w:color="000000" w:sz="4" w:space="0"/>
              <w:right w:val="single" w:color="000000" w:sz="4" w:space="0"/>
            </w:tcBorders>
            <w:vAlign w:val="center"/>
          </w:tcPr>
          <w:p w14:paraId="1217469E">
            <w:pPr>
              <w:widowControl/>
              <w:spacing w:line="240" w:lineRule="exact"/>
              <w:jc w:val="left"/>
              <w:textAlignment w:val="center"/>
              <w:rPr>
                <w:rFonts w:ascii="宋体" w:hAnsi="宋体" w:eastAsia="宋体" w:cs="宋体"/>
                <w:color w:val="auto"/>
                <w:kern w:val="0"/>
                <w:sz w:val="21"/>
                <w:szCs w:val="21"/>
              </w:rPr>
            </w:pPr>
          </w:p>
        </w:tc>
      </w:tr>
      <w:tr w14:paraId="7C9814CB">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vAlign w:val="center"/>
          </w:tcPr>
          <w:p w14:paraId="30AFD1A1">
            <w:pPr>
              <w:widowControl/>
              <w:spacing w:line="240" w:lineRule="exact"/>
              <w:jc w:val="center"/>
              <w:rPr>
                <w:rFonts w:ascii="宋体" w:hAnsi="宋体" w:eastAsia="宋体" w:cs="宋体"/>
                <w:b/>
                <w:color w:val="auto"/>
                <w:sz w:val="21"/>
                <w:szCs w:val="21"/>
              </w:rPr>
            </w:pPr>
          </w:p>
        </w:tc>
        <w:tc>
          <w:tcPr>
            <w:tcW w:w="1201" w:type="dxa"/>
            <w:vMerge w:val="continue"/>
            <w:tcBorders>
              <w:left w:val="single" w:color="000000" w:sz="4" w:space="0"/>
              <w:right w:val="single" w:color="000000" w:sz="4" w:space="0"/>
            </w:tcBorders>
            <w:vAlign w:val="center"/>
          </w:tcPr>
          <w:p w14:paraId="7BD7C44D">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4459D412">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严控一般性支出</w:t>
            </w:r>
          </w:p>
        </w:tc>
        <w:tc>
          <w:tcPr>
            <w:tcW w:w="717" w:type="dxa"/>
            <w:tcBorders>
              <w:top w:val="single" w:color="000000" w:sz="4" w:space="0"/>
              <w:left w:val="single" w:color="000000" w:sz="4" w:space="0"/>
              <w:bottom w:val="single" w:color="000000" w:sz="4" w:space="0"/>
              <w:right w:val="single" w:color="000000" w:sz="4" w:space="0"/>
            </w:tcBorders>
            <w:vAlign w:val="center"/>
          </w:tcPr>
          <w:p w14:paraId="3AB3177A">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5</w:t>
            </w:r>
          </w:p>
        </w:tc>
        <w:tc>
          <w:tcPr>
            <w:tcW w:w="4760" w:type="dxa"/>
            <w:tcBorders>
              <w:top w:val="single" w:color="000000" w:sz="4" w:space="0"/>
              <w:left w:val="single" w:color="000000" w:sz="4" w:space="0"/>
              <w:bottom w:val="single" w:color="000000" w:sz="4" w:space="0"/>
              <w:right w:val="single" w:color="000000" w:sz="4" w:space="0"/>
            </w:tcBorders>
            <w:vAlign w:val="center"/>
          </w:tcPr>
          <w:p w14:paraId="7F77A85E">
            <w:pPr>
              <w:widowControl/>
              <w:spacing w:line="240" w:lineRule="exact"/>
              <w:jc w:val="left"/>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部门严控“三公”经费、会议、培训、差旅、办节办展、办公设备购置、信息化建设和运维、课题经费、竞赛活动、规划编制一般性支出情况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34325CE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2.6</w:t>
            </w:r>
          </w:p>
        </w:tc>
        <w:tc>
          <w:tcPr>
            <w:tcW w:w="326" w:type="dxa"/>
            <w:tcBorders>
              <w:top w:val="single" w:color="000000" w:sz="4" w:space="0"/>
              <w:left w:val="single" w:color="000000" w:sz="4" w:space="0"/>
              <w:bottom w:val="single" w:color="000000" w:sz="4" w:space="0"/>
              <w:right w:val="single" w:color="000000" w:sz="4" w:space="0"/>
            </w:tcBorders>
            <w:vAlign w:val="center"/>
          </w:tcPr>
          <w:p w14:paraId="1DAE027B">
            <w:pPr>
              <w:widowControl/>
              <w:spacing w:line="240" w:lineRule="exact"/>
              <w:jc w:val="left"/>
              <w:textAlignment w:val="center"/>
              <w:rPr>
                <w:rFonts w:ascii="宋体" w:hAnsi="宋体" w:eastAsia="宋体" w:cs="宋体"/>
                <w:color w:val="auto"/>
                <w:kern w:val="0"/>
                <w:sz w:val="21"/>
                <w:szCs w:val="21"/>
              </w:rPr>
            </w:pPr>
          </w:p>
        </w:tc>
      </w:tr>
      <w:tr w14:paraId="511420A5">
        <w:tblPrEx>
          <w:tblCellMar>
            <w:top w:w="0" w:type="dxa"/>
            <w:left w:w="108" w:type="dxa"/>
            <w:bottom w:w="0" w:type="dxa"/>
            <w:right w:w="108" w:type="dxa"/>
          </w:tblCellMar>
        </w:tblPrEx>
        <w:trPr>
          <w:trHeight w:val="370" w:hRule="atLeast"/>
          <w:jc w:val="center"/>
        </w:trPr>
        <w:tc>
          <w:tcPr>
            <w:tcW w:w="1097" w:type="dxa"/>
            <w:vMerge w:val="continue"/>
            <w:tcBorders>
              <w:left w:val="single" w:color="000000" w:sz="4" w:space="0"/>
              <w:right w:val="single" w:color="000000" w:sz="4" w:space="0"/>
            </w:tcBorders>
            <w:vAlign w:val="center"/>
          </w:tcPr>
          <w:p w14:paraId="71400769">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vAlign w:val="center"/>
          </w:tcPr>
          <w:p w14:paraId="42B62D16">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财务管理</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10</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1B55857C">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财务管理制度</w:t>
            </w:r>
          </w:p>
        </w:tc>
        <w:tc>
          <w:tcPr>
            <w:tcW w:w="717" w:type="dxa"/>
            <w:tcBorders>
              <w:top w:val="single" w:color="000000" w:sz="4" w:space="0"/>
              <w:left w:val="single" w:color="000000" w:sz="4" w:space="0"/>
              <w:bottom w:val="single" w:color="000000" w:sz="4" w:space="0"/>
              <w:right w:val="single" w:color="000000" w:sz="4" w:space="0"/>
            </w:tcBorders>
            <w:vAlign w:val="center"/>
          </w:tcPr>
          <w:p w14:paraId="1A7CBA9A">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20FD0CBC">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部门财务管理制度建立情况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0EC39328">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35F4A7C7">
            <w:pPr>
              <w:widowControl/>
              <w:spacing w:line="240" w:lineRule="exact"/>
              <w:jc w:val="left"/>
              <w:textAlignment w:val="center"/>
              <w:rPr>
                <w:rFonts w:ascii="宋体" w:hAnsi="宋体" w:eastAsia="宋体" w:cs="宋体"/>
                <w:color w:val="auto"/>
                <w:kern w:val="0"/>
                <w:sz w:val="21"/>
                <w:szCs w:val="21"/>
              </w:rPr>
            </w:pPr>
          </w:p>
        </w:tc>
      </w:tr>
      <w:tr w14:paraId="35C56FA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vAlign w:val="center"/>
          </w:tcPr>
          <w:p w14:paraId="3465DB42">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0B0D5DF6">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140C8514">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财务岗位设置</w:t>
            </w:r>
          </w:p>
        </w:tc>
        <w:tc>
          <w:tcPr>
            <w:tcW w:w="717" w:type="dxa"/>
            <w:tcBorders>
              <w:top w:val="single" w:color="000000" w:sz="4" w:space="0"/>
              <w:left w:val="single" w:color="000000" w:sz="4" w:space="0"/>
              <w:bottom w:val="single" w:color="000000" w:sz="4" w:space="0"/>
              <w:right w:val="single" w:color="000000" w:sz="4" w:space="0"/>
            </w:tcBorders>
            <w:vAlign w:val="center"/>
          </w:tcPr>
          <w:p w14:paraId="39F9DCCF">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2</w:t>
            </w:r>
          </w:p>
        </w:tc>
        <w:tc>
          <w:tcPr>
            <w:tcW w:w="4760" w:type="dxa"/>
            <w:tcBorders>
              <w:top w:val="single" w:color="000000" w:sz="4" w:space="0"/>
              <w:left w:val="single" w:color="000000" w:sz="4" w:space="0"/>
              <w:bottom w:val="single" w:color="000000" w:sz="4" w:space="0"/>
              <w:right w:val="single" w:color="000000" w:sz="4" w:space="0"/>
            </w:tcBorders>
            <w:vAlign w:val="center"/>
          </w:tcPr>
          <w:p w14:paraId="57E0132D">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部门财务岗位设置是否符合相关财务管理制度要求</w:t>
            </w:r>
          </w:p>
        </w:tc>
        <w:tc>
          <w:tcPr>
            <w:tcW w:w="882" w:type="dxa"/>
            <w:tcBorders>
              <w:top w:val="single" w:color="000000" w:sz="4" w:space="0"/>
              <w:left w:val="single" w:color="000000" w:sz="4" w:space="0"/>
              <w:bottom w:val="single" w:color="000000" w:sz="4" w:space="0"/>
              <w:right w:val="single" w:color="000000" w:sz="4" w:space="0"/>
            </w:tcBorders>
            <w:vAlign w:val="center"/>
          </w:tcPr>
          <w:p w14:paraId="03844A3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w:t>
            </w:r>
          </w:p>
        </w:tc>
        <w:tc>
          <w:tcPr>
            <w:tcW w:w="326" w:type="dxa"/>
            <w:tcBorders>
              <w:top w:val="single" w:color="000000" w:sz="4" w:space="0"/>
              <w:left w:val="single" w:color="000000" w:sz="4" w:space="0"/>
              <w:bottom w:val="single" w:color="000000" w:sz="4" w:space="0"/>
              <w:right w:val="single" w:color="000000" w:sz="4" w:space="0"/>
            </w:tcBorders>
            <w:vAlign w:val="center"/>
          </w:tcPr>
          <w:p w14:paraId="36877355">
            <w:pPr>
              <w:widowControl/>
              <w:spacing w:line="240" w:lineRule="exact"/>
              <w:jc w:val="left"/>
              <w:textAlignment w:val="center"/>
              <w:rPr>
                <w:rFonts w:ascii="宋体" w:hAnsi="宋体" w:eastAsia="宋体" w:cs="宋体"/>
                <w:color w:val="auto"/>
                <w:kern w:val="0"/>
                <w:sz w:val="21"/>
                <w:szCs w:val="21"/>
              </w:rPr>
            </w:pPr>
          </w:p>
        </w:tc>
      </w:tr>
      <w:tr w14:paraId="4E022FC5">
        <w:tblPrEx>
          <w:tblCellMar>
            <w:top w:w="0" w:type="dxa"/>
            <w:left w:w="108" w:type="dxa"/>
            <w:bottom w:w="0" w:type="dxa"/>
            <w:right w:w="108" w:type="dxa"/>
          </w:tblCellMar>
        </w:tblPrEx>
        <w:trPr>
          <w:trHeight w:val="415" w:hRule="atLeast"/>
          <w:jc w:val="center"/>
        </w:trPr>
        <w:tc>
          <w:tcPr>
            <w:tcW w:w="1097" w:type="dxa"/>
            <w:vMerge w:val="continue"/>
            <w:tcBorders>
              <w:left w:val="single" w:color="000000" w:sz="4" w:space="0"/>
              <w:right w:val="single" w:color="000000" w:sz="4" w:space="0"/>
            </w:tcBorders>
            <w:vAlign w:val="center"/>
          </w:tcPr>
          <w:p w14:paraId="00439E79">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5EB51DA9">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3D89E254">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资金使用规范</w:t>
            </w:r>
          </w:p>
        </w:tc>
        <w:tc>
          <w:tcPr>
            <w:tcW w:w="717" w:type="dxa"/>
            <w:tcBorders>
              <w:top w:val="single" w:color="000000" w:sz="4" w:space="0"/>
              <w:left w:val="single" w:color="000000" w:sz="4" w:space="0"/>
              <w:bottom w:val="single" w:color="000000" w:sz="4" w:space="0"/>
              <w:right w:val="single" w:color="000000" w:sz="4" w:space="0"/>
            </w:tcBorders>
            <w:vAlign w:val="center"/>
          </w:tcPr>
          <w:p w14:paraId="399FC8D6">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258A0E7F">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部门资金使用是否符合相关财务管理制度规定</w:t>
            </w:r>
          </w:p>
        </w:tc>
        <w:tc>
          <w:tcPr>
            <w:tcW w:w="882" w:type="dxa"/>
            <w:tcBorders>
              <w:top w:val="single" w:color="000000" w:sz="4" w:space="0"/>
              <w:left w:val="single" w:color="000000" w:sz="4" w:space="0"/>
              <w:bottom w:val="single" w:color="000000" w:sz="4" w:space="0"/>
              <w:right w:val="single" w:color="000000" w:sz="4" w:space="0"/>
            </w:tcBorders>
            <w:vAlign w:val="center"/>
          </w:tcPr>
          <w:p w14:paraId="12DDE72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2FEABE8B">
            <w:pPr>
              <w:widowControl/>
              <w:spacing w:line="240" w:lineRule="exact"/>
              <w:jc w:val="left"/>
              <w:textAlignment w:val="center"/>
              <w:rPr>
                <w:rFonts w:ascii="宋体" w:hAnsi="宋体" w:eastAsia="宋体" w:cs="宋体"/>
                <w:color w:val="auto"/>
                <w:kern w:val="0"/>
                <w:sz w:val="21"/>
                <w:szCs w:val="21"/>
              </w:rPr>
            </w:pPr>
          </w:p>
        </w:tc>
      </w:tr>
      <w:tr w14:paraId="5FCDB060">
        <w:tblPrEx>
          <w:tblCellMar>
            <w:top w:w="0" w:type="dxa"/>
            <w:left w:w="108" w:type="dxa"/>
            <w:bottom w:w="0" w:type="dxa"/>
            <w:right w:w="108" w:type="dxa"/>
          </w:tblCellMar>
        </w:tblPrEx>
        <w:trPr>
          <w:trHeight w:val="430" w:hRule="atLeast"/>
          <w:jc w:val="center"/>
        </w:trPr>
        <w:tc>
          <w:tcPr>
            <w:tcW w:w="1097" w:type="dxa"/>
            <w:vMerge w:val="continue"/>
            <w:tcBorders>
              <w:left w:val="single" w:color="000000" w:sz="4" w:space="0"/>
              <w:right w:val="single" w:color="000000" w:sz="4" w:space="0"/>
            </w:tcBorders>
            <w:vAlign w:val="center"/>
          </w:tcPr>
          <w:p w14:paraId="04439E5D">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vAlign w:val="center"/>
          </w:tcPr>
          <w:p w14:paraId="1BF51437">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资产管理</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9</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591D3A9B">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人均资产变化率</w:t>
            </w:r>
          </w:p>
        </w:tc>
        <w:tc>
          <w:tcPr>
            <w:tcW w:w="717" w:type="dxa"/>
            <w:tcBorders>
              <w:top w:val="single" w:color="000000" w:sz="4" w:space="0"/>
              <w:left w:val="single" w:color="000000" w:sz="4" w:space="0"/>
              <w:bottom w:val="single" w:color="000000" w:sz="4" w:space="0"/>
              <w:right w:val="single" w:color="000000" w:sz="4" w:space="0"/>
            </w:tcBorders>
            <w:vAlign w:val="center"/>
          </w:tcPr>
          <w:p w14:paraId="604E0C9B">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17BA3E6C">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部门人均资产变化情况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1BFA2D94">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0.9</w:t>
            </w:r>
          </w:p>
        </w:tc>
        <w:tc>
          <w:tcPr>
            <w:tcW w:w="326" w:type="dxa"/>
            <w:tcBorders>
              <w:top w:val="single" w:color="000000" w:sz="4" w:space="0"/>
              <w:left w:val="single" w:color="000000" w:sz="4" w:space="0"/>
              <w:bottom w:val="single" w:color="000000" w:sz="4" w:space="0"/>
              <w:right w:val="single" w:color="000000" w:sz="4" w:space="0"/>
            </w:tcBorders>
            <w:vAlign w:val="center"/>
          </w:tcPr>
          <w:p w14:paraId="202B33D5">
            <w:pPr>
              <w:widowControl/>
              <w:spacing w:line="240" w:lineRule="exact"/>
              <w:jc w:val="left"/>
              <w:textAlignment w:val="center"/>
              <w:rPr>
                <w:rFonts w:ascii="宋体" w:hAnsi="宋体" w:eastAsia="宋体" w:cs="宋体"/>
                <w:color w:val="auto"/>
                <w:kern w:val="0"/>
                <w:sz w:val="21"/>
                <w:szCs w:val="21"/>
              </w:rPr>
            </w:pPr>
          </w:p>
        </w:tc>
      </w:tr>
      <w:tr w14:paraId="42D0CA56">
        <w:tblPrEx>
          <w:tblCellMar>
            <w:top w:w="0" w:type="dxa"/>
            <w:left w:w="108" w:type="dxa"/>
            <w:bottom w:w="0" w:type="dxa"/>
            <w:right w:w="108" w:type="dxa"/>
          </w:tblCellMar>
        </w:tblPrEx>
        <w:trPr>
          <w:trHeight w:val="445" w:hRule="atLeast"/>
          <w:jc w:val="center"/>
        </w:trPr>
        <w:tc>
          <w:tcPr>
            <w:tcW w:w="1097" w:type="dxa"/>
            <w:vMerge w:val="continue"/>
            <w:tcBorders>
              <w:left w:val="single" w:color="000000" w:sz="4" w:space="0"/>
              <w:right w:val="single" w:color="000000" w:sz="4" w:space="0"/>
            </w:tcBorders>
            <w:vAlign w:val="center"/>
          </w:tcPr>
          <w:p w14:paraId="5ACEC1EE">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67423D7D">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121BE804">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资产利用率</w:t>
            </w:r>
          </w:p>
        </w:tc>
        <w:tc>
          <w:tcPr>
            <w:tcW w:w="717" w:type="dxa"/>
            <w:tcBorders>
              <w:top w:val="single" w:color="000000" w:sz="4" w:space="0"/>
              <w:left w:val="single" w:color="000000" w:sz="4" w:space="0"/>
              <w:bottom w:val="single" w:color="000000" w:sz="4" w:space="0"/>
              <w:right w:val="single" w:color="000000" w:sz="4" w:space="0"/>
            </w:tcBorders>
            <w:vAlign w:val="center"/>
          </w:tcPr>
          <w:p w14:paraId="1E24A5DD">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4C0C9CA1">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部门资产超最低使用年限情况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1A77286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2.7</w:t>
            </w:r>
          </w:p>
        </w:tc>
        <w:tc>
          <w:tcPr>
            <w:tcW w:w="326" w:type="dxa"/>
            <w:tcBorders>
              <w:top w:val="single" w:color="000000" w:sz="4" w:space="0"/>
              <w:left w:val="single" w:color="000000" w:sz="4" w:space="0"/>
              <w:bottom w:val="single" w:color="000000" w:sz="4" w:space="0"/>
              <w:right w:val="single" w:color="000000" w:sz="4" w:space="0"/>
            </w:tcBorders>
            <w:vAlign w:val="center"/>
          </w:tcPr>
          <w:p w14:paraId="5D8092BE">
            <w:pPr>
              <w:widowControl/>
              <w:spacing w:line="240" w:lineRule="exact"/>
              <w:jc w:val="left"/>
              <w:textAlignment w:val="center"/>
              <w:rPr>
                <w:rFonts w:ascii="宋体" w:hAnsi="宋体" w:eastAsia="宋体" w:cs="宋体"/>
                <w:color w:val="auto"/>
                <w:kern w:val="0"/>
                <w:sz w:val="21"/>
                <w:szCs w:val="21"/>
              </w:rPr>
            </w:pPr>
          </w:p>
        </w:tc>
      </w:tr>
      <w:tr w14:paraId="7581FA5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vAlign w:val="center"/>
          </w:tcPr>
          <w:p w14:paraId="66E98F91">
            <w:pPr>
              <w:widowControl/>
              <w:spacing w:line="240" w:lineRule="exact"/>
              <w:jc w:val="center"/>
              <w:textAlignment w:val="center"/>
              <w:rPr>
                <w:rFonts w:ascii="宋体" w:hAnsi="宋体" w:eastAsia="宋体" w:cs="宋体"/>
                <w:b/>
                <w:color w:val="auto"/>
                <w:sz w:val="21"/>
                <w:szCs w:val="21"/>
              </w:rPr>
            </w:pPr>
          </w:p>
        </w:tc>
        <w:tc>
          <w:tcPr>
            <w:tcW w:w="1201" w:type="dxa"/>
            <w:tcBorders>
              <w:top w:val="single" w:color="000000" w:sz="4" w:space="0"/>
              <w:left w:val="single" w:color="000000" w:sz="4" w:space="0"/>
              <w:bottom w:val="single" w:color="000000" w:sz="4" w:space="0"/>
              <w:right w:val="single" w:color="000000" w:sz="4" w:space="0"/>
            </w:tcBorders>
            <w:vAlign w:val="center"/>
          </w:tcPr>
          <w:p w14:paraId="6253F900">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资产管理</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9</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0C99CE54">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资产盘活率</w:t>
            </w:r>
          </w:p>
        </w:tc>
        <w:tc>
          <w:tcPr>
            <w:tcW w:w="717" w:type="dxa"/>
            <w:tcBorders>
              <w:top w:val="single" w:color="000000" w:sz="4" w:space="0"/>
              <w:left w:val="single" w:color="000000" w:sz="4" w:space="0"/>
              <w:bottom w:val="single" w:color="000000" w:sz="4" w:space="0"/>
              <w:right w:val="single" w:color="000000" w:sz="4" w:space="0"/>
            </w:tcBorders>
            <w:vAlign w:val="center"/>
          </w:tcPr>
          <w:p w14:paraId="28790977">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0F24B19B">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部门闲置一年以上的资产盘活情况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6E21375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w:t>
            </w:r>
          </w:p>
        </w:tc>
        <w:tc>
          <w:tcPr>
            <w:tcW w:w="326" w:type="dxa"/>
            <w:tcBorders>
              <w:top w:val="single" w:color="000000" w:sz="4" w:space="0"/>
              <w:left w:val="single" w:color="000000" w:sz="4" w:space="0"/>
              <w:bottom w:val="single" w:color="000000" w:sz="4" w:space="0"/>
              <w:right w:val="single" w:color="000000" w:sz="4" w:space="0"/>
            </w:tcBorders>
            <w:vAlign w:val="center"/>
          </w:tcPr>
          <w:p w14:paraId="44F31102">
            <w:pPr>
              <w:widowControl/>
              <w:spacing w:line="240" w:lineRule="exact"/>
              <w:jc w:val="left"/>
              <w:textAlignment w:val="center"/>
              <w:rPr>
                <w:rFonts w:ascii="宋体" w:hAnsi="宋体" w:eastAsia="宋体" w:cs="宋体"/>
                <w:color w:val="auto"/>
                <w:kern w:val="0"/>
                <w:sz w:val="21"/>
                <w:szCs w:val="21"/>
              </w:rPr>
            </w:pPr>
          </w:p>
        </w:tc>
      </w:tr>
      <w:tr w14:paraId="5805516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vAlign w:val="center"/>
          </w:tcPr>
          <w:p w14:paraId="19AEC4A2">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vAlign w:val="center"/>
          </w:tcPr>
          <w:p w14:paraId="238C1081">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采购管理</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6</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0ED4F1ED">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支持中小企业发展</w:t>
            </w:r>
          </w:p>
        </w:tc>
        <w:tc>
          <w:tcPr>
            <w:tcW w:w="717" w:type="dxa"/>
            <w:tcBorders>
              <w:top w:val="single" w:color="000000" w:sz="4" w:space="0"/>
              <w:left w:val="single" w:color="000000" w:sz="4" w:space="0"/>
              <w:bottom w:val="single" w:color="000000" w:sz="4" w:space="0"/>
              <w:right w:val="single" w:color="000000" w:sz="4" w:space="0"/>
            </w:tcBorders>
            <w:vAlign w:val="center"/>
          </w:tcPr>
          <w:p w14:paraId="5B4BA577">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06275877">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部门是否严格执行政府采购促进中小企业发展相关管理办法</w:t>
            </w:r>
          </w:p>
        </w:tc>
        <w:tc>
          <w:tcPr>
            <w:tcW w:w="882" w:type="dxa"/>
            <w:tcBorders>
              <w:top w:val="single" w:color="000000" w:sz="4" w:space="0"/>
              <w:left w:val="single" w:color="000000" w:sz="4" w:space="0"/>
              <w:bottom w:val="single" w:color="000000" w:sz="4" w:space="0"/>
              <w:right w:val="single" w:color="000000" w:sz="4" w:space="0"/>
            </w:tcBorders>
            <w:vAlign w:val="center"/>
          </w:tcPr>
          <w:p w14:paraId="333EA2F7">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w:t>
            </w:r>
          </w:p>
        </w:tc>
        <w:tc>
          <w:tcPr>
            <w:tcW w:w="326" w:type="dxa"/>
            <w:tcBorders>
              <w:top w:val="single" w:color="000000" w:sz="4" w:space="0"/>
              <w:left w:val="single" w:color="000000" w:sz="4" w:space="0"/>
              <w:bottom w:val="single" w:color="000000" w:sz="4" w:space="0"/>
              <w:right w:val="single" w:color="000000" w:sz="4" w:space="0"/>
            </w:tcBorders>
            <w:vAlign w:val="center"/>
          </w:tcPr>
          <w:p w14:paraId="1163F4DB">
            <w:pPr>
              <w:widowControl/>
              <w:spacing w:line="240" w:lineRule="exact"/>
              <w:jc w:val="left"/>
              <w:textAlignment w:val="center"/>
              <w:rPr>
                <w:rFonts w:ascii="宋体" w:hAnsi="宋体" w:eastAsia="宋体" w:cs="宋体"/>
                <w:color w:val="auto"/>
                <w:kern w:val="0"/>
                <w:sz w:val="21"/>
                <w:szCs w:val="21"/>
              </w:rPr>
            </w:pPr>
          </w:p>
        </w:tc>
      </w:tr>
      <w:tr w14:paraId="66CE2E11">
        <w:tblPrEx>
          <w:tblCellMar>
            <w:top w:w="0" w:type="dxa"/>
            <w:left w:w="108" w:type="dxa"/>
            <w:bottom w:w="0" w:type="dxa"/>
            <w:right w:w="108" w:type="dxa"/>
          </w:tblCellMar>
        </w:tblPrEx>
        <w:trPr>
          <w:trHeight w:val="525" w:hRule="atLeast"/>
          <w:jc w:val="center"/>
        </w:trPr>
        <w:tc>
          <w:tcPr>
            <w:tcW w:w="1097" w:type="dxa"/>
            <w:vMerge w:val="continue"/>
            <w:tcBorders>
              <w:left w:val="single" w:color="000000" w:sz="4" w:space="0"/>
              <w:bottom w:val="single" w:color="000000" w:sz="4" w:space="0"/>
              <w:right w:val="single" w:color="000000" w:sz="4" w:space="0"/>
            </w:tcBorders>
            <w:vAlign w:val="center"/>
          </w:tcPr>
          <w:p w14:paraId="12462242">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7811D14B">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5F612CD9">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采购执行率</w:t>
            </w:r>
          </w:p>
        </w:tc>
        <w:tc>
          <w:tcPr>
            <w:tcW w:w="717" w:type="dxa"/>
            <w:tcBorders>
              <w:top w:val="single" w:color="000000" w:sz="4" w:space="0"/>
              <w:left w:val="single" w:color="000000" w:sz="4" w:space="0"/>
              <w:bottom w:val="single" w:color="000000" w:sz="4" w:space="0"/>
              <w:right w:val="single" w:color="000000" w:sz="4" w:space="0"/>
            </w:tcBorders>
            <w:vAlign w:val="center"/>
          </w:tcPr>
          <w:p w14:paraId="07AA1B7B">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4BBECD2C">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部门政府采购项目资金支付比例情况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213640D5">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w:t>
            </w:r>
          </w:p>
        </w:tc>
        <w:tc>
          <w:tcPr>
            <w:tcW w:w="326" w:type="dxa"/>
            <w:tcBorders>
              <w:top w:val="single" w:color="000000" w:sz="4" w:space="0"/>
              <w:left w:val="single" w:color="000000" w:sz="4" w:space="0"/>
              <w:bottom w:val="single" w:color="000000" w:sz="4" w:space="0"/>
              <w:right w:val="single" w:color="000000" w:sz="4" w:space="0"/>
            </w:tcBorders>
            <w:vAlign w:val="center"/>
          </w:tcPr>
          <w:p w14:paraId="3E7AD917">
            <w:pPr>
              <w:widowControl/>
              <w:spacing w:line="240" w:lineRule="exact"/>
              <w:jc w:val="left"/>
              <w:textAlignment w:val="center"/>
              <w:rPr>
                <w:rFonts w:ascii="宋体" w:hAnsi="宋体" w:eastAsia="宋体" w:cs="宋体"/>
                <w:color w:val="auto"/>
                <w:kern w:val="0"/>
                <w:sz w:val="21"/>
                <w:szCs w:val="21"/>
              </w:rPr>
            </w:pPr>
          </w:p>
        </w:tc>
      </w:tr>
      <w:tr w14:paraId="16EF64A1">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vAlign w:val="center"/>
          </w:tcPr>
          <w:p w14:paraId="25F94C94">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项目绩效（</w:t>
            </w:r>
            <w:r>
              <w:rPr>
                <w:rFonts w:ascii="宋体" w:hAnsi="宋体" w:eastAsia="宋体" w:cs="宋体"/>
                <w:b/>
                <w:color w:val="auto"/>
                <w:kern w:val="0"/>
                <w:sz w:val="21"/>
                <w:szCs w:val="21"/>
              </w:rPr>
              <w:t>35</w:t>
            </w:r>
            <w:r>
              <w:rPr>
                <w:rFonts w:hint="eastAsia" w:ascii="宋体" w:hAnsi="宋体" w:eastAsia="宋体" w:cs="宋体"/>
                <w:b/>
                <w:color w:val="auto"/>
                <w:kern w:val="0"/>
                <w:sz w:val="21"/>
                <w:szCs w:val="21"/>
              </w:rPr>
              <w:t>分）</w:t>
            </w:r>
          </w:p>
        </w:tc>
        <w:tc>
          <w:tcPr>
            <w:tcW w:w="1201" w:type="dxa"/>
            <w:vMerge w:val="restart"/>
            <w:tcBorders>
              <w:top w:val="single" w:color="000000" w:sz="4" w:space="0"/>
              <w:left w:val="single" w:color="000000" w:sz="4" w:space="0"/>
              <w:bottom w:val="nil"/>
              <w:right w:val="single" w:color="000000" w:sz="4" w:space="0"/>
            </w:tcBorders>
            <w:vAlign w:val="center"/>
          </w:tcPr>
          <w:p w14:paraId="430640C9">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项目决策</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12</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7FCC587F">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决策程序</w:t>
            </w:r>
          </w:p>
        </w:tc>
        <w:tc>
          <w:tcPr>
            <w:tcW w:w="717" w:type="dxa"/>
            <w:tcBorders>
              <w:top w:val="single" w:color="000000" w:sz="4" w:space="0"/>
              <w:left w:val="single" w:color="000000" w:sz="4" w:space="0"/>
              <w:bottom w:val="single" w:color="000000" w:sz="4" w:space="0"/>
              <w:right w:val="single" w:color="000000" w:sz="4" w:space="0"/>
            </w:tcBorders>
            <w:vAlign w:val="center"/>
          </w:tcPr>
          <w:p w14:paraId="5AFA6095">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6F4D6B66">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部门预算项目设立是否按规定履行评估论证、申报程序</w:t>
            </w:r>
          </w:p>
        </w:tc>
        <w:tc>
          <w:tcPr>
            <w:tcW w:w="882" w:type="dxa"/>
            <w:tcBorders>
              <w:top w:val="single" w:color="000000" w:sz="4" w:space="0"/>
              <w:left w:val="single" w:color="000000" w:sz="4" w:space="0"/>
              <w:bottom w:val="single" w:color="000000" w:sz="4" w:space="0"/>
              <w:right w:val="single" w:color="000000" w:sz="4" w:space="0"/>
            </w:tcBorders>
            <w:vAlign w:val="center"/>
          </w:tcPr>
          <w:p w14:paraId="60739D00">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2A0FD264">
            <w:pPr>
              <w:widowControl/>
              <w:spacing w:line="240" w:lineRule="exact"/>
              <w:jc w:val="left"/>
              <w:textAlignment w:val="center"/>
              <w:rPr>
                <w:rFonts w:ascii="宋体" w:hAnsi="宋体" w:eastAsia="宋体" w:cs="宋体"/>
                <w:color w:val="auto"/>
                <w:kern w:val="0"/>
                <w:sz w:val="21"/>
                <w:szCs w:val="21"/>
              </w:rPr>
            </w:pPr>
          </w:p>
        </w:tc>
      </w:tr>
      <w:tr w14:paraId="37A2317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58D57111">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nil"/>
              <w:right w:val="single" w:color="000000" w:sz="4" w:space="0"/>
            </w:tcBorders>
            <w:vAlign w:val="center"/>
          </w:tcPr>
          <w:p w14:paraId="67030E25">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318F9452">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目标设置</w:t>
            </w:r>
          </w:p>
        </w:tc>
        <w:tc>
          <w:tcPr>
            <w:tcW w:w="717" w:type="dxa"/>
            <w:tcBorders>
              <w:top w:val="single" w:color="000000" w:sz="4" w:space="0"/>
              <w:left w:val="single" w:color="000000" w:sz="4" w:space="0"/>
              <w:bottom w:val="single" w:color="000000" w:sz="4" w:space="0"/>
              <w:right w:val="single" w:color="000000" w:sz="4" w:space="0"/>
            </w:tcBorders>
            <w:vAlign w:val="center"/>
          </w:tcPr>
          <w:p w14:paraId="032D14FD">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165F51DD">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部门预算项目绩效目标与计划期内的任务量、预算安排的资金量匹配情况，绩效目标设置是否科学合理、规范完整、量化细化、预算匹配</w:t>
            </w:r>
          </w:p>
        </w:tc>
        <w:tc>
          <w:tcPr>
            <w:tcW w:w="882" w:type="dxa"/>
            <w:tcBorders>
              <w:top w:val="single" w:color="000000" w:sz="4" w:space="0"/>
              <w:left w:val="single" w:color="000000" w:sz="4" w:space="0"/>
              <w:bottom w:val="single" w:color="000000" w:sz="4" w:space="0"/>
              <w:right w:val="single" w:color="000000" w:sz="4" w:space="0"/>
            </w:tcBorders>
            <w:vAlign w:val="center"/>
          </w:tcPr>
          <w:p w14:paraId="74E53AF1">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7BF00362">
            <w:pPr>
              <w:widowControl/>
              <w:spacing w:line="240" w:lineRule="exact"/>
              <w:jc w:val="left"/>
              <w:textAlignment w:val="center"/>
              <w:rPr>
                <w:rFonts w:ascii="宋体" w:hAnsi="宋体" w:eastAsia="宋体" w:cs="宋体"/>
                <w:color w:val="auto"/>
                <w:kern w:val="0"/>
                <w:sz w:val="21"/>
                <w:szCs w:val="21"/>
              </w:rPr>
            </w:pPr>
          </w:p>
        </w:tc>
      </w:tr>
      <w:tr w14:paraId="3DEE35A7">
        <w:tblPrEx>
          <w:tblCellMar>
            <w:top w:w="0" w:type="dxa"/>
            <w:left w:w="108" w:type="dxa"/>
            <w:bottom w:w="0" w:type="dxa"/>
            <w:right w:w="108" w:type="dxa"/>
          </w:tblCellMar>
        </w:tblPrEx>
        <w:trPr>
          <w:trHeight w:val="40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2CC0C4CF">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nil"/>
              <w:right w:val="single" w:color="000000" w:sz="4" w:space="0"/>
            </w:tcBorders>
            <w:vAlign w:val="center"/>
          </w:tcPr>
          <w:p w14:paraId="0088A709">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2521448F">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项目入库</w:t>
            </w:r>
          </w:p>
        </w:tc>
        <w:tc>
          <w:tcPr>
            <w:tcW w:w="717" w:type="dxa"/>
            <w:tcBorders>
              <w:top w:val="single" w:color="000000" w:sz="4" w:space="0"/>
              <w:left w:val="single" w:color="000000" w:sz="4" w:space="0"/>
              <w:bottom w:val="single" w:color="000000" w:sz="4" w:space="0"/>
              <w:right w:val="single" w:color="000000" w:sz="4" w:space="0"/>
            </w:tcBorders>
            <w:vAlign w:val="center"/>
          </w:tcPr>
          <w:p w14:paraId="56CA6859">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43591766">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部门预算项目是否在规定时间完成项目入库</w:t>
            </w:r>
          </w:p>
        </w:tc>
        <w:tc>
          <w:tcPr>
            <w:tcW w:w="882" w:type="dxa"/>
            <w:tcBorders>
              <w:top w:val="single" w:color="000000" w:sz="4" w:space="0"/>
              <w:left w:val="single" w:color="000000" w:sz="4" w:space="0"/>
              <w:bottom w:val="single" w:color="000000" w:sz="4" w:space="0"/>
              <w:right w:val="single" w:color="000000" w:sz="4" w:space="0"/>
            </w:tcBorders>
            <w:vAlign w:val="center"/>
          </w:tcPr>
          <w:p w14:paraId="7B0626A0">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624E1062">
            <w:pPr>
              <w:widowControl/>
              <w:spacing w:line="240" w:lineRule="exact"/>
              <w:jc w:val="left"/>
              <w:textAlignment w:val="center"/>
              <w:rPr>
                <w:rFonts w:ascii="宋体" w:hAnsi="宋体" w:eastAsia="宋体" w:cs="宋体"/>
                <w:color w:val="auto"/>
                <w:kern w:val="0"/>
                <w:sz w:val="21"/>
                <w:szCs w:val="21"/>
              </w:rPr>
            </w:pPr>
          </w:p>
        </w:tc>
      </w:tr>
      <w:tr w14:paraId="2394E90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088F7665">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bottom w:val="nil"/>
              <w:right w:val="single" w:color="000000" w:sz="4" w:space="0"/>
            </w:tcBorders>
            <w:vAlign w:val="center"/>
          </w:tcPr>
          <w:p w14:paraId="057C9139">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项目执行</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12</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6B5A84CC">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执行同向</w:t>
            </w:r>
          </w:p>
        </w:tc>
        <w:tc>
          <w:tcPr>
            <w:tcW w:w="717" w:type="dxa"/>
            <w:tcBorders>
              <w:top w:val="single" w:color="000000" w:sz="4" w:space="0"/>
              <w:left w:val="single" w:color="000000" w:sz="4" w:space="0"/>
              <w:bottom w:val="single" w:color="000000" w:sz="4" w:space="0"/>
              <w:right w:val="single" w:color="000000" w:sz="4" w:space="0"/>
            </w:tcBorders>
            <w:vAlign w:val="center"/>
          </w:tcPr>
          <w:p w14:paraId="2952C849">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67CD7FF9">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部门预算项目实际列支内容是否与绩效目标设置方向相符</w:t>
            </w:r>
          </w:p>
        </w:tc>
        <w:tc>
          <w:tcPr>
            <w:tcW w:w="882" w:type="dxa"/>
            <w:tcBorders>
              <w:top w:val="single" w:color="000000" w:sz="4" w:space="0"/>
              <w:left w:val="single" w:color="000000" w:sz="4" w:space="0"/>
              <w:bottom w:val="single" w:color="000000" w:sz="4" w:space="0"/>
              <w:right w:val="single" w:color="000000" w:sz="4" w:space="0"/>
            </w:tcBorders>
            <w:vAlign w:val="center"/>
          </w:tcPr>
          <w:p w14:paraId="2E19C06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30DCE49E">
            <w:pPr>
              <w:widowControl/>
              <w:spacing w:line="240" w:lineRule="exact"/>
              <w:jc w:val="left"/>
              <w:textAlignment w:val="center"/>
              <w:rPr>
                <w:rFonts w:ascii="宋体" w:hAnsi="宋体" w:eastAsia="宋体" w:cs="宋体"/>
                <w:color w:val="auto"/>
                <w:kern w:val="0"/>
                <w:sz w:val="21"/>
                <w:szCs w:val="21"/>
              </w:rPr>
            </w:pPr>
          </w:p>
        </w:tc>
      </w:tr>
      <w:tr w14:paraId="14394DAF">
        <w:tblPrEx>
          <w:tblCellMar>
            <w:top w:w="0" w:type="dxa"/>
            <w:left w:w="108" w:type="dxa"/>
            <w:bottom w:w="0" w:type="dxa"/>
            <w:right w:w="108" w:type="dxa"/>
          </w:tblCellMar>
        </w:tblPrEx>
        <w:trPr>
          <w:trHeight w:val="34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4902C213">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nil"/>
              <w:right w:val="single" w:color="000000" w:sz="4" w:space="0"/>
            </w:tcBorders>
            <w:vAlign w:val="center"/>
          </w:tcPr>
          <w:p w14:paraId="17E322B9">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nil"/>
              <w:right w:val="single" w:color="000000" w:sz="4" w:space="0"/>
            </w:tcBorders>
            <w:vAlign w:val="center"/>
          </w:tcPr>
          <w:p w14:paraId="5A2F6264">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项目调整</w:t>
            </w:r>
          </w:p>
        </w:tc>
        <w:tc>
          <w:tcPr>
            <w:tcW w:w="717" w:type="dxa"/>
            <w:tcBorders>
              <w:top w:val="single" w:color="000000" w:sz="4" w:space="0"/>
              <w:left w:val="single" w:color="000000" w:sz="4" w:space="0"/>
              <w:bottom w:val="single" w:color="000000" w:sz="4" w:space="0"/>
              <w:right w:val="single" w:color="000000" w:sz="4" w:space="0"/>
            </w:tcBorders>
            <w:vAlign w:val="center"/>
          </w:tcPr>
          <w:p w14:paraId="4B6970E7">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0A90A205">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部门预算项目是否采取对应调整措施</w:t>
            </w:r>
          </w:p>
        </w:tc>
        <w:tc>
          <w:tcPr>
            <w:tcW w:w="882" w:type="dxa"/>
            <w:tcBorders>
              <w:top w:val="single" w:color="000000" w:sz="4" w:space="0"/>
              <w:left w:val="single" w:color="000000" w:sz="4" w:space="0"/>
              <w:bottom w:val="single" w:color="000000" w:sz="4" w:space="0"/>
              <w:right w:val="single" w:color="000000" w:sz="4" w:space="0"/>
            </w:tcBorders>
            <w:vAlign w:val="center"/>
          </w:tcPr>
          <w:p w14:paraId="4E92FD5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50EFD3D5">
            <w:pPr>
              <w:widowControl/>
              <w:spacing w:line="240" w:lineRule="exact"/>
              <w:jc w:val="left"/>
              <w:textAlignment w:val="center"/>
              <w:rPr>
                <w:rFonts w:ascii="宋体" w:hAnsi="宋体" w:eastAsia="宋体" w:cs="宋体"/>
                <w:color w:val="auto"/>
                <w:kern w:val="0"/>
                <w:sz w:val="21"/>
                <w:szCs w:val="21"/>
              </w:rPr>
            </w:pPr>
          </w:p>
        </w:tc>
      </w:tr>
      <w:tr w14:paraId="2B3CDC5B">
        <w:tblPrEx>
          <w:tblCellMar>
            <w:top w:w="0" w:type="dxa"/>
            <w:left w:w="108" w:type="dxa"/>
            <w:bottom w:w="0" w:type="dxa"/>
            <w:right w:w="108" w:type="dxa"/>
          </w:tblCellMar>
        </w:tblPrEx>
        <w:trPr>
          <w:trHeight w:val="37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03F2EA05">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nil"/>
              <w:right w:val="single" w:color="000000" w:sz="4" w:space="0"/>
            </w:tcBorders>
            <w:vAlign w:val="center"/>
          </w:tcPr>
          <w:p w14:paraId="64CBB8FA">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7C553A31">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执行结果</w:t>
            </w:r>
          </w:p>
        </w:tc>
        <w:tc>
          <w:tcPr>
            <w:tcW w:w="717" w:type="dxa"/>
            <w:tcBorders>
              <w:top w:val="single" w:color="000000" w:sz="4" w:space="0"/>
              <w:left w:val="single" w:color="000000" w:sz="4" w:space="0"/>
              <w:bottom w:val="single" w:color="000000" w:sz="4" w:space="0"/>
              <w:right w:val="single" w:color="000000" w:sz="4" w:space="0"/>
            </w:tcBorders>
            <w:vAlign w:val="center"/>
          </w:tcPr>
          <w:p w14:paraId="6FD68BDE">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36095A51">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部门预算项目预算执行情况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32B41361">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3.54</w:t>
            </w:r>
          </w:p>
        </w:tc>
        <w:tc>
          <w:tcPr>
            <w:tcW w:w="326" w:type="dxa"/>
            <w:tcBorders>
              <w:top w:val="single" w:color="000000" w:sz="4" w:space="0"/>
              <w:left w:val="single" w:color="000000" w:sz="4" w:space="0"/>
              <w:bottom w:val="single" w:color="000000" w:sz="4" w:space="0"/>
              <w:right w:val="single" w:color="000000" w:sz="4" w:space="0"/>
            </w:tcBorders>
            <w:vAlign w:val="center"/>
          </w:tcPr>
          <w:p w14:paraId="5A783626">
            <w:pPr>
              <w:widowControl/>
              <w:spacing w:line="240" w:lineRule="exact"/>
              <w:jc w:val="left"/>
              <w:textAlignment w:val="center"/>
              <w:rPr>
                <w:rFonts w:ascii="宋体" w:hAnsi="宋体" w:eastAsia="宋体" w:cs="宋体"/>
                <w:color w:val="auto"/>
                <w:kern w:val="0"/>
                <w:sz w:val="21"/>
                <w:szCs w:val="21"/>
              </w:rPr>
            </w:pPr>
          </w:p>
        </w:tc>
      </w:tr>
      <w:tr w14:paraId="4FB8F2E8">
        <w:tblPrEx>
          <w:tblCellMar>
            <w:top w:w="0" w:type="dxa"/>
            <w:left w:w="108" w:type="dxa"/>
            <w:bottom w:w="0" w:type="dxa"/>
            <w:right w:w="108" w:type="dxa"/>
          </w:tblCellMar>
        </w:tblPrEx>
        <w:trPr>
          <w:trHeight w:val="30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5EC77AEC">
            <w:pPr>
              <w:widowControl/>
              <w:spacing w:line="240" w:lineRule="exact"/>
              <w:jc w:val="center"/>
              <w:rPr>
                <w:rFonts w:ascii="宋体" w:hAnsi="宋体" w:eastAsia="宋体" w:cs="宋体"/>
                <w:b/>
                <w:color w:val="auto"/>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vAlign w:val="center"/>
          </w:tcPr>
          <w:p w14:paraId="3DF4A145">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目标实现</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11</w:t>
            </w:r>
            <w:r>
              <w:rPr>
                <w:rFonts w:hint="eastAsia" w:ascii="宋体" w:hAnsi="宋体" w:eastAsia="宋体" w:cs="宋体"/>
                <w:b/>
                <w:color w:val="auto"/>
                <w:kern w:val="0"/>
                <w:sz w:val="21"/>
                <w:szCs w:val="21"/>
              </w:rPr>
              <w:t>分）</w:t>
            </w:r>
          </w:p>
        </w:tc>
        <w:tc>
          <w:tcPr>
            <w:tcW w:w="1929" w:type="dxa"/>
            <w:tcBorders>
              <w:top w:val="single" w:color="000000" w:sz="4" w:space="0"/>
              <w:left w:val="single" w:color="000000" w:sz="4" w:space="0"/>
              <w:bottom w:val="single" w:color="000000" w:sz="4" w:space="0"/>
              <w:right w:val="single" w:color="000000" w:sz="4" w:space="0"/>
            </w:tcBorders>
            <w:vAlign w:val="center"/>
          </w:tcPr>
          <w:p w14:paraId="479EBC28">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目标完成</w:t>
            </w:r>
          </w:p>
        </w:tc>
        <w:tc>
          <w:tcPr>
            <w:tcW w:w="717" w:type="dxa"/>
            <w:tcBorders>
              <w:top w:val="single" w:color="000000" w:sz="4" w:space="0"/>
              <w:left w:val="single" w:color="000000" w:sz="4" w:space="0"/>
              <w:bottom w:val="single" w:color="000000" w:sz="4" w:space="0"/>
              <w:right w:val="single" w:color="000000" w:sz="4" w:space="0"/>
            </w:tcBorders>
            <w:vAlign w:val="center"/>
          </w:tcPr>
          <w:p w14:paraId="7853623B">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22641E00">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部门预算项目绩效目标数量指标完成情况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5C9E8ACC">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4</w:t>
            </w:r>
          </w:p>
        </w:tc>
        <w:tc>
          <w:tcPr>
            <w:tcW w:w="326" w:type="dxa"/>
            <w:tcBorders>
              <w:top w:val="single" w:color="000000" w:sz="4" w:space="0"/>
              <w:left w:val="single" w:color="000000" w:sz="4" w:space="0"/>
              <w:bottom w:val="single" w:color="000000" w:sz="4" w:space="0"/>
              <w:right w:val="single" w:color="000000" w:sz="4" w:space="0"/>
            </w:tcBorders>
            <w:vAlign w:val="center"/>
          </w:tcPr>
          <w:p w14:paraId="62AD8762">
            <w:pPr>
              <w:widowControl/>
              <w:spacing w:line="240" w:lineRule="exact"/>
              <w:jc w:val="left"/>
              <w:textAlignment w:val="center"/>
              <w:rPr>
                <w:rFonts w:ascii="宋体" w:hAnsi="宋体" w:eastAsia="宋体" w:cs="宋体"/>
                <w:color w:val="auto"/>
                <w:kern w:val="0"/>
                <w:sz w:val="21"/>
                <w:szCs w:val="21"/>
              </w:rPr>
            </w:pPr>
          </w:p>
        </w:tc>
      </w:tr>
      <w:tr w14:paraId="6FBCEE1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1E75DA71">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5EA2799A">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4E4D0D18">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目标偏离</w:t>
            </w:r>
          </w:p>
        </w:tc>
        <w:tc>
          <w:tcPr>
            <w:tcW w:w="717" w:type="dxa"/>
            <w:tcBorders>
              <w:top w:val="single" w:color="000000" w:sz="4" w:space="0"/>
              <w:left w:val="single" w:color="000000" w:sz="4" w:space="0"/>
              <w:bottom w:val="single" w:color="000000" w:sz="4" w:space="0"/>
              <w:right w:val="single" w:color="000000" w:sz="4" w:space="0"/>
            </w:tcBorders>
            <w:vAlign w:val="center"/>
          </w:tcPr>
          <w:p w14:paraId="1931EEEC">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vAlign w:val="center"/>
          </w:tcPr>
          <w:p w14:paraId="6F8FAF2C">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部门预算项目绩效目标数量指标实现程度与预期目标的偏离情况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1EC6B99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3.66</w:t>
            </w:r>
          </w:p>
        </w:tc>
        <w:tc>
          <w:tcPr>
            <w:tcW w:w="326" w:type="dxa"/>
            <w:tcBorders>
              <w:top w:val="single" w:color="000000" w:sz="4" w:space="0"/>
              <w:left w:val="single" w:color="000000" w:sz="4" w:space="0"/>
              <w:bottom w:val="single" w:color="000000" w:sz="4" w:space="0"/>
              <w:right w:val="single" w:color="000000" w:sz="4" w:space="0"/>
            </w:tcBorders>
            <w:vAlign w:val="center"/>
          </w:tcPr>
          <w:p w14:paraId="7466F46C">
            <w:pPr>
              <w:widowControl/>
              <w:spacing w:line="240" w:lineRule="exact"/>
              <w:jc w:val="left"/>
              <w:textAlignment w:val="center"/>
              <w:rPr>
                <w:rFonts w:ascii="宋体" w:hAnsi="宋体" w:eastAsia="宋体" w:cs="宋体"/>
                <w:color w:val="auto"/>
                <w:kern w:val="0"/>
                <w:sz w:val="21"/>
                <w:szCs w:val="21"/>
              </w:rPr>
            </w:pPr>
          </w:p>
        </w:tc>
      </w:tr>
      <w:tr w14:paraId="039C552D">
        <w:tblPrEx>
          <w:tblCellMar>
            <w:top w:w="0" w:type="dxa"/>
            <w:left w:w="108" w:type="dxa"/>
            <w:bottom w:w="0" w:type="dxa"/>
            <w:right w:w="108" w:type="dxa"/>
          </w:tblCellMar>
        </w:tblPrEx>
        <w:trPr>
          <w:trHeight w:val="39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5A51D38B">
            <w:pPr>
              <w:widowControl/>
              <w:spacing w:line="240" w:lineRule="exact"/>
              <w:jc w:val="center"/>
              <w:rPr>
                <w:rFonts w:ascii="宋体" w:hAnsi="宋体" w:eastAsia="宋体" w:cs="宋体"/>
                <w:b/>
                <w:color w:val="auto"/>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vAlign w:val="center"/>
          </w:tcPr>
          <w:p w14:paraId="29C7B8B7">
            <w:pPr>
              <w:widowControl/>
              <w:spacing w:line="240" w:lineRule="exact"/>
              <w:jc w:val="center"/>
              <w:rPr>
                <w:rFonts w:ascii="宋体" w:hAnsi="宋体" w:eastAsia="宋体" w:cs="宋体"/>
                <w:b/>
                <w:color w:val="auto"/>
                <w:sz w:val="21"/>
                <w:szCs w:val="21"/>
              </w:rPr>
            </w:pPr>
          </w:p>
        </w:tc>
        <w:tc>
          <w:tcPr>
            <w:tcW w:w="1929" w:type="dxa"/>
            <w:tcBorders>
              <w:top w:val="single" w:color="000000" w:sz="4" w:space="0"/>
              <w:left w:val="single" w:color="000000" w:sz="4" w:space="0"/>
              <w:bottom w:val="single" w:color="000000" w:sz="4" w:space="0"/>
              <w:right w:val="single" w:color="000000" w:sz="4" w:space="0"/>
            </w:tcBorders>
            <w:vAlign w:val="center"/>
          </w:tcPr>
          <w:p w14:paraId="333E167A">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实现效果</w:t>
            </w:r>
          </w:p>
        </w:tc>
        <w:tc>
          <w:tcPr>
            <w:tcW w:w="717" w:type="dxa"/>
            <w:tcBorders>
              <w:top w:val="single" w:color="000000" w:sz="4" w:space="0"/>
              <w:left w:val="single" w:color="000000" w:sz="4" w:space="0"/>
              <w:bottom w:val="single" w:color="000000" w:sz="4" w:space="0"/>
              <w:right w:val="single" w:color="000000" w:sz="4" w:space="0"/>
            </w:tcBorders>
            <w:vAlign w:val="center"/>
          </w:tcPr>
          <w:p w14:paraId="16E74C51">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vAlign w:val="center"/>
          </w:tcPr>
          <w:p w14:paraId="74CF6B15">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部门预算项目绩效目标效益指标实施效果</w:t>
            </w:r>
          </w:p>
        </w:tc>
        <w:tc>
          <w:tcPr>
            <w:tcW w:w="882" w:type="dxa"/>
            <w:tcBorders>
              <w:top w:val="single" w:color="000000" w:sz="4" w:space="0"/>
              <w:left w:val="single" w:color="000000" w:sz="4" w:space="0"/>
              <w:bottom w:val="single" w:color="000000" w:sz="4" w:space="0"/>
              <w:right w:val="single" w:color="000000" w:sz="4" w:space="0"/>
            </w:tcBorders>
            <w:vAlign w:val="center"/>
          </w:tcPr>
          <w:p w14:paraId="4407AC84">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w:t>
            </w:r>
          </w:p>
        </w:tc>
        <w:tc>
          <w:tcPr>
            <w:tcW w:w="326" w:type="dxa"/>
            <w:tcBorders>
              <w:top w:val="single" w:color="000000" w:sz="4" w:space="0"/>
              <w:left w:val="single" w:color="000000" w:sz="4" w:space="0"/>
              <w:bottom w:val="single" w:color="000000" w:sz="4" w:space="0"/>
              <w:right w:val="single" w:color="000000" w:sz="4" w:space="0"/>
            </w:tcBorders>
            <w:vAlign w:val="center"/>
          </w:tcPr>
          <w:p w14:paraId="575366F2">
            <w:pPr>
              <w:widowControl/>
              <w:spacing w:line="240" w:lineRule="exact"/>
              <w:jc w:val="left"/>
              <w:textAlignment w:val="center"/>
              <w:rPr>
                <w:rFonts w:ascii="宋体" w:hAnsi="宋体" w:eastAsia="宋体" w:cs="宋体"/>
                <w:color w:val="auto"/>
                <w:kern w:val="0"/>
                <w:sz w:val="21"/>
                <w:szCs w:val="21"/>
              </w:rPr>
            </w:pPr>
          </w:p>
        </w:tc>
      </w:tr>
      <w:tr w14:paraId="3E452FC4">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0457A78B">
            <w:pPr>
              <w:widowControl/>
              <w:spacing w:line="240" w:lineRule="exact"/>
              <w:jc w:val="center"/>
              <w:textAlignment w:val="center"/>
              <w:rPr>
                <w:rFonts w:ascii="宋体" w:hAnsi="宋体" w:eastAsia="宋体" w:cs="宋体"/>
                <w:b/>
                <w:color w:val="auto"/>
                <w:sz w:val="21"/>
                <w:szCs w:val="21"/>
              </w:rPr>
            </w:pPr>
            <w:r>
              <w:rPr>
                <w:rFonts w:hint="eastAsia" w:ascii="宋体" w:hAnsi="宋体" w:eastAsia="宋体" w:cs="宋体"/>
                <w:b/>
                <w:color w:val="auto"/>
                <w:kern w:val="0"/>
                <w:sz w:val="21"/>
                <w:szCs w:val="21"/>
              </w:rPr>
              <w:t>扣分项</w:t>
            </w:r>
            <w:r>
              <w:rPr>
                <w:rFonts w:ascii="宋体" w:hAnsi="宋体" w:eastAsia="宋体" w:cs="宋体"/>
                <w:b/>
                <w:color w:val="auto"/>
                <w:kern w:val="0"/>
                <w:sz w:val="21"/>
                <w:szCs w:val="21"/>
              </w:rPr>
              <w:br w:type="textWrapping"/>
            </w:r>
            <w:r>
              <w:rPr>
                <w:rFonts w:hint="eastAsia" w:ascii="宋体" w:hAnsi="宋体" w:eastAsia="宋体" w:cs="宋体"/>
                <w:b/>
                <w:color w:val="auto"/>
                <w:kern w:val="0"/>
                <w:sz w:val="21"/>
                <w:szCs w:val="21"/>
              </w:rPr>
              <w:t>（</w:t>
            </w:r>
            <w:r>
              <w:rPr>
                <w:rFonts w:ascii="宋体" w:hAnsi="宋体" w:eastAsia="宋体" w:cs="宋体"/>
                <w:b/>
                <w:color w:val="auto"/>
                <w:kern w:val="0"/>
                <w:sz w:val="21"/>
                <w:szCs w:val="21"/>
              </w:rPr>
              <w:t>10</w:t>
            </w:r>
            <w:r>
              <w:rPr>
                <w:rFonts w:hint="eastAsia" w:ascii="宋体" w:hAnsi="宋体" w:eastAsia="宋体" w:cs="宋体"/>
                <w:b/>
                <w:color w:val="auto"/>
                <w:kern w:val="0"/>
                <w:sz w:val="21"/>
                <w:szCs w:val="21"/>
              </w:rPr>
              <w:t>分）</w:t>
            </w:r>
          </w:p>
        </w:tc>
        <w:tc>
          <w:tcPr>
            <w:tcW w:w="3130" w:type="dxa"/>
            <w:gridSpan w:val="2"/>
            <w:tcBorders>
              <w:top w:val="single" w:color="000000" w:sz="4" w:space="0"/>
              <w:left w:val="single" w:color="000000" w:sz="4" w:space="0"/>
              <w:bottom w:val="single" w:color="000000" w:sz="4" w:space="0"/>
              <w:right w:val="single" w:color="000000" w:sz="4" w:space="0"/>
            </w:tcBorders>
            <w:vAlign w:val="center"/>
          </w:tcPr>
          <w:p w14:paraId="6DAB9197">
            <w:pPr>
              <w:widowControl/>
              <w:spacing w:line="240" w:lineRule="exact"/>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被评价部门配合度</w:t>
            </w:r>
          </w:p>
        </w:tc>
        <w:tc>
          <w:tcPr>
            <w:tcW w:w="717" w:type="dxa"/>
            <w:tcBorders>
              <w:top w:val="single" w:color="000000" w:sz="4" w:space="0"/>
              <w:left w:val="single" w:color="000000" w:sz="4" w:space="0"/>
              <w:bottom w:val="single" w:color="000000" w:sz="4" w:space="0"/>
              <w:right w:val="single" w:color="000000" w:sz="4" w:space="0"/>
            </w:tcBorders>
            <w:vAlign w:val="center"/>
          </w:tcPr>
          <w:p w14:paraId="28D642D3">
            <w:pPr>
              <w:widowControl/>
              <w:spacing w:line="240" w:lineRule="exact"/>
              <w:jc w:val="center"/>
              <w:textAlignment w:val="center"/>
              <w:rPr>
                <w:rFonts w:ascii="宋体" w:hAnsi="宋体" w:eastAsia="宋体" w:cs="宋体"/>
                <w:color w:val="auto"/>
                <w:sz w:val="21"/>
                <w:szCs w:val="21"/>
              </w:rPr>
            </w:pPr>
            <w:r>
              <w:rPr>
                <w:rFonts w:ascii="宋体" w:hAnsi="宋体" w:eastAsia="宋体" w:cs="宋体"/>
                <w:color w:val="auto"/>
                <w:kern w:val="0"/>
                <w:sz w:val="21"/>
                <w:szCs w:val="21"/>
              </w:rPr>
              <w:t>-</w:t>
            </w:r>
          </w:p>
        </w:tc>
        <w:tc>
          <w:tcPr>
            <w:tcW w:w="4760" w:type="dxa"/>
            <w:tcBorders>
              <w:top w:val="single" w:color="000000" w:sz="4" w:space="0"/>
              <w:left w:val="single" w:color="000000" w:sz="4" w:space="0"/>
              <w:bottom w:val="single" w:color="000000" w:sz="4" w:space="0"/>
              <w:right w:val="single" w:color="000000" w:sz="4" w:space="0"/>
            </w:tcBorders>
            <w:vAlign w:val="center"/>
          </w:tcPr>
          <w:p w14:paraId="1EC4643B">
            <w:pPr>
              <w:widowControl/>
              <w:spacing w:line="240" w:lineRule="exact"/>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rPr>
              <w:t>被评价对象工作配合情况</w:t>
            </w:r>
          </w:p>
        </w:tc>
        <w:tc>
          <w:tcPr>
            <w:tcW w:w="882" w:type="dxa"/>
            <w:tcBorders>
              <w:top w:val="single" w:color="000000" w:sz="4" w:space="0"/>
              <w:left w:val="single" w:color="000000" w:sz="4" w:space="0"/>
              <w:bottom w:val="single" w:color="000000" w:sz="4" w:space="0"/>
              <w:right w:val="single" w:color="000000" w:sz="4" w:space="0"/>
            </w:tcBorders>
            <w:vAlign w:val="center"/>
          </w:tcPr>
          <w:p w14:paraId="0B1616DB">
            <w:pPr>
              <w:widowControl/>
              <w:spacing w:line="240" w:lineRule="exact"/>
              <w:jc w:val="center"/>
              <w:textAlignment w:val="center"/>
              <w:rPr>
                <w:rFonts w:ascii="宋体" w:hAnsi="宋体" w:eastAsia="宋体" w:cs="宋体"/>
                <w:color w:val="auto"/>
                <w:kern w:val="0"/>
                <w:sz w:val="21"/>
                <w:szCs w:val="21"/>
              </w:rPr>
            </w:pPr>
          </w:p>
        </w:tc>
        <w:tc>
          <w:tcPr>
            <w:tcW w:w="326" w:type="dxa"/>
            <w:tcBorders>
              <w:top w:val="single" w:color="000000" w:sz="4" w:space="0"/>
              <w:left w:val="single" w:color="000000" w:sz="4" w:space="0"/>
              <w:bottom w:val="single" w:color="000000" w:sz="4" w:space="0"/>
              <w:right w:val="single" w:color="000000" w:sz="4" w:space="0"/>
            </w:tcBorders>
            <w:vAlign w:val="center"/>
          </w:tcPr>
          <w:p w14:paraId="137BE56B">
            <w:pPr>
              <w:widowControl/>
              <w:spacing w:line="240" w:lineRule="exact"/>
              <w:jc w:val="left"/>
              <w:textAlignment w:val="center"/>
              <w:rPr>
                <w:rFonts w:ascii="宋体" w:hAnsi="宋体" w:eastAsia="宋体" w:cs="宋体"/>
                <w:color w:val="auto"/>
                <w:kern w:val="0"/>
                <w:sz w:val="21"/>
                <w:szCs w:val="21"/>
              </w:rPr>
            </w:pPr>
          </w:p>
        </w:tc>
      </w:tr>
      <w:tr w14:paraId="7B90FAF6">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7AE3DD3A">
            <w:pPr>
              <w:widowControl/>
              <w:spacing w:line="240" w:lineRule="exact"/>
              <w:jc w:val="center"/>
              <w:textAlignment w:val="center"/>
              <w:rPr>
                <w:rFonts w:hint="eastAsia" w:ascii="宋体" w:hAnsi="宋体" w:eastAsia="宋体" w:cs="宋体"/>
                <w:b/>
                <w:color w:val="auto"/>
                <w:kern w:val="0"/>
                <w:sz w:val="21"/>
                <w:szCs w:val="21"/>
                <w:lang w:eastAsia="zh-CN"/>
              </w:rPr>
            </w:pPr>
            <w:r>
              <w:rPr>
                <w:rFonts w:hint="eastAsia" w:ascii="宋体" w:hAnsi="宋体" w:cs="宋体"/>
                <w:b/>
                <w:color w:val="auto"/>
                <w:kern w:val="0"/>
                <w:sz w:val="21"/>
                <w:szCs w:val="21"/>
                <w:lang w:eastAsia="zh-CN"/>
              </w:rPr>
              <w:t>总分数</w:t>
            </w:r>
          </w:p>
        </w:tc>
        <w:tc>
          <w:tcPr>
            <w:tcW w:w="3130" w:type="dxa"/>
            <w:gridSpan w:val="2"/>
            <w:tcBorders>
              <w:top w:val="single" w:color="000000" w:sz="4" w:space="0"/>
              <w:left w:val="single" w:color="000000" w:sz="4" w:space="0"/>
              <w:bottom w:val="single" w:color="000000" w:sz="4" w:space="0"/>
              <w:right w:val="single" w:color="000000" w:sz="4" w:space="0"/>
            </w:tcBorders>
            <w:vAlign w:val="center"/>
          </w:tcPr>
          <w:p w14:paraId="54E9F487">
            <w:pPr>
              <w:widowControl/>
              <w:spacing w:line="240" w:lineRule="exact"/>
              <w:jc w:val="center"/>
              <w:textAlignment w:val="center"/>
              <w:rPr>
                <w:rFonts w:hint="eastAsia" w:ascii="宋体" w:hAnsi="宋体" w:eastAsia="宋体" w:cs="宋体"/>
                <w:color w:val="auto"/>
                <w:kern w:val="0"/>
                <w:sz w:val="21"/>
                <w:szCs w:val="21"/>
              </w:rPr>
            </w:pPr>
          </w:p>
        </w:tc>
        <w:tc>
          <w:tcPr>
            <w:tcW w:w="717" w:type="dxa"/>
            <w:tcBorders>
              <w:top w:val="single" w:color="000000" w:sz="4" w:space="0"/>
              <w:left w:val="single" w:color="000000" w:sz="4" w:space="0"/>
              <w:bottom w:val="single" w:color="000000" w:sz="4" w:space="0"/>
              <w:right w:val="single" w:color="000000" w:sz="4" w:space="0"/>
            </w:tcBorders>
            <w:vAlign w:val="center"/>
          </w:tcPr>
          <w:p w14:paraId="073D665C">
            <w:pPr>
              <w:widowControl/>
              <w:spacing w:line="240" w:lineRule="exact"/>
              <w:jc w:val="center"/>
              <w:textAlignment w:val="center"/>
              <w:rPr>
                <w:rFonts w:ascii="宋体" w:hAnsi="宋体" w:eastAsia="宋体" w:cs="宋体"/>
                <w:color w:val="auto"/>
                <w:kern w:val="0"/>
                <w:sz w:val="21"/>
                <w:szCs w:val="21"/>
              </w:rPr>
            </w:pPr>
          </w:p>
        </w:tc>
        <w:tc>
          <w:tcPr>
            <w:tcW w:w="4760" w:type="dxa"/>
            <w:tcBorders>
              <w:top w:val="single" w:color="000000" w:sz="4" w:space="0"/>
              <w:left w:val="single" w:color="000000" w:sz="4" w:space="0"/>
              <w:bottom w:val="single" w:color="000000" w:sz="4" w:space="0"/>
              <w:right w:val="single" w:color="000000" w:sz="4" w:space="0"/>
            </w:tcBorders>
            <w:vAlign w:val="center"/>
          </w:tcPr>
          <w:p w14:paraId="5B5E85F4">
            <w:pPr>
              <w:widowControl/>
              <w:spacing w:line="240" w:lineRule="exact"/>
              <w:jc w:val="left"/>
              <w:textAlignment w:val="center"/>
              <w:rPr>
                <w:rFonts w:hint="eastAsia" w:ascii="宋体" w:hAnsi="宋体" w:eastAsia="宋体" w:cs="宋体"/>
                <w:color w:val="auto"/>
                <w:kern w:val="0"/>
                <w:sz w:val="21"/>
                <w:szCs w:val="21"/>
              </w:rPr>
            </w:pPr>
          </w:p>
        </w:tc>
        <w:tc>
          <w:tcPr>
            <w:tcW w:w="882" w:type="dxa"/>
            <w:tcBorders>
              <w:top w:val="single" w:color="000000" w:sz="4" w:space="0"/>
              <w:left w:val="single" w:color="000000" w:sz="4" w:space="0"/>
              <w:bottom w:val="single" w:color="000000" w:sz="4" w:space="0"/>
              <w:right w:val="single" w:color="000000" w:sz="4" w:space="0"/>
            </w:tcBorders>
            <w:vAlign w:val="center"/>
          </w:tcPr>
          <w:p w14:paraId="0CC65534">
            <w:pPr>
              <w:widowControl/>
              <w:spacing w:line="240" w:lineRule="exact"/>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89.24</w:t>
            </w:r>
          </w:p>
        </w:tc>
        <w:tc>
          <w:tcPr>
            <w:tcW w:w="326" w:type="dxa"/>
            <w:tcBorders>
              <w:top w:val="single" w:color="000000" w:sz="4" w:space="0"/>
              <w:left w:val="single" w:color="000000" w:sz="4" w:space="0"/>
              <w:bottom w:val="single" w:color="000000" w:sz="4" w:space="0"/>
              <w:right w:val="single" w:color="000000" w:sz="4" w:space="0"/>
            </w:tcBorders>
            <w:vAlign w:val="center"/>
          </w:tcPr>
          <w:p w14:paraId="718DE805">
            <w:pPr>
              <w:widowControl/>
              <w:spacing w:line="240" w:lineRule="exact"/>
              <w:jc w:val="left"/>
              <w:textAlignment w:val="center"/>
              <w:rPr>
                <w:rFonts w:ascii="宋体" w:hAnsi="宋体" w:eastAsia="宋体" w:cs="宋体"/>
                <w:color w:val="auto"/>
                <w:kern w:val="0"/>
                <w:sz w:val="21"/>
                <w:szCs w:val="21"/>
              </w:rPr>
            </w:pPr>
          </w:p>
        </w:tc>
      </w:tr>
    </w:tbl>
    <w:p w14:paraId="428FC04A">
      <w:pPr>
        <w:pStyle w:val="22"/>
        <w:spacing w:line="20" w:lineRule="exact"/>
        <w:rPr>
          <w:color w:val="auto"/>
        </w:rPr>
      </w:pPr>
    </w:p>
    <w:p w14:paraId="0EC0B6DC">
      <w:pPr>
        <w:spacing w:line="20" w:lineRule="exact"/>
        <w:rPr>
          <w:rFonts w:eastAsia="黑体"/>
          <w:color w:val="auto"/>
        </w:rPr>
      </w:pPr>
      <w:r>
        <w:rPr>
          <w:rFonts w:eastAsia="黑体"/>
          <w:color w:val="auto"/>
        </w:rPr>
        <w:br w:type="page"/>
      </w:r>
    </w:p>
    <w:p w14:paraId="68054385">
      <w:pPr>
        <w:rPr>
          <w:rFonts w:hint="eastAsia" w:eastAsia="黑体" w:cs="黑体"/>
          <w:color w:val="auto"/>
          <w:kern w:val="0"/>
          <w:sz w:val="28"/>
          <w:szCs w:val="28"/>
          <w:highlight w:val="none"/>
          <w:shd w:val="clear" w:color="auto" w:fill="FFFFFF"/>
          <w:lang w:val="zh-CN"/>
        </w:rPr>
      </w:pPr>
      <w:r>
        <w:rPr>
          <w:rFonts w:hint="eastAsia" w:eastAsia="黑体" w:cs="黑体"/>
          <w:color w:val="auto"/>
          <w:kern w:val="0"/>
          <w:sz w:val="28"/>
          <w:szCs w:val="28"/>
          <w:highlight w:val="none"/>
          <w:shd w:val="clear" w:color="auto" w:fill="FFFFFF"/>
          <w:lang w:val="zh-CN"/>
        </w:rPr>
        <w:t>附表2</w:t>
      </w:r>
    </w:p>
    <w:p w14:paraId="2A19EC27">
      <w:pPr>
        <w:widowControl/>
        <w:spacing w:line="578" w:lineRule="exact"/>
        <w:jc w:val="center"/>
        <w:textAlignment w:val="center"/>
        <w:rPr>
          <w:rFonts w:hint="eastAsia" w:eastAsia="方正小标宋简体"/>
          <w:color w:val="auto"/>
          <w:kern w:val="0"/>
          <w:sz w:val="44"/>
          <w:szCs w:val="44"/>
        </w:rPr>
      </w:pPr>
      <w:r>
        <w:rPr>
          <w:rFonts w:hint="eastAsia" w:eastAsia="方正小标宋简体"/>
          <w:color w:val="auto"/>
          <w:kern w:val="0"/>
          <w:sz w:val="44"/>
          <w:szCs w:val="44"/>
        </w:rPr>
        <w:t>部门整体支出绩效目标完成情况自评表</w:t>
      </w:r>
    </w:p>
    <w:p w14:paraId="7913A5F3">
      <w:pPr>
        <w:widowControl/>
        <w:spacing w:line="578" w:lineRule="exact"/>
        <w:jc w:val="center"/>
        <w:textAlignment w:val="center"/>
        <w:rPr>
          <w:rFonts w:hint="eastAsia" w:eastAsia="方正小标宋简体"/>
          <w:color w:val="auto"/>
          <w:kern w:val="0"/>
          <w:sz w:val="44"/>
          <w:szCs w:val="44"/>
        </w:rPr>
      </w:pPr>
    </w:p>
    <w:tbl>
      <w:tblPr>
        <w:tblStyle w:val="16"/>
        <w:tblW w:w="9658" w:type="dxa"/>
        <w:jc w:val="center"/>
        <w:tblLayout w:type="fixed"/>
        <w:tblCellMar>
          <w:top w:w="0" w:type="dxa"/>
          <w:left w:w="108" w:type="dxa"/>
          <w:bottom w:w="0" w:type="dxa"/>
          <w:right w:w="108" w:type="dxa"/>
        </w:tblCellMar>
      </w:tblPr>
      <w:tblGrid>
        <w:gridCol w:w="331"/>
        <w:gridCol w:w="593"/>
        <w:gridCol w:w="803"/>
        <w:gridCol w:w="1059"/>
        <w:gridCol w:w="1080"/>
        <w:gridCol w:w="795"/>
        <w:gridCol w:w="910"/>
        <w:gridCol w:w="1045"/>
        <w:gridCol w:w="1111"/>
        <w:gridCol w:w="1931"/>
      </w:tblGrid>
      <w:tr w14:paraId="4C74651D">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3CEE6D51">
            <w:pPr>
              <w:rPr>
                <w:rFonts w:ascii="宋体" w:hAnsi="宋体" w:eastAsia="宋体" w:cs="宋体"/>
                <w:color w:val="auto"/>
                <w:kern w:val="0"/>
                <w:sz w:val="21"/>
                <w:szCs w:val="21"/>
              </w:rPr>
            </w:pPr>
            <w:r>
              <w:rPr>
                <w:rFonts w:eastAsia="黑体"/>
                <w:color w:val="auto"/>
                <w:sz w:val="21"/>
                <w:szCs w:val="21"/>
              </w:rPr>
              <w:br w:type="page"/>
            </w:r>
            <w:r>
              <w:rPr>
                <w:rFonts w:hint="eastAsia" w:ascii="宋体" w:hAnsi="宋体" w:eastAsia="宋体" w:cs="宋体"/>
                <w:color w:val="auto"/>
                <w:kern w:val="0"/>
                <w:sz w:val="21"/>
                <w:szCs w:val="21"/>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375BD4F">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阿坝州生态保护和发展研究院</w:t>
            </w:r>
          </w:p>
        </w:tc>
      </w:tr>
      <w:tr w14:paraId="6C95D1B5">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04C481F">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年度部门整体预算</w:t>
            </w:r>
          </w:p>
        </w:tc>
        <w:tc>
          <w:tcPr>
            <w:tcW w:w="2139" w:type="dxa"/>
            <w:gridSpan w:val="2"/>
            <w:tcBorders>
              <w:top w:val="single" w:color="000000" w:sz="4" w:space="0"/>
              <w:left w:val="single" w:color="auto" w:sz="4" w:space="0"/>
              <w:bottom w:val="single" w:color="000000" w:sz="4" w:space="0"/>
              <w:right w:val="single" w:color="auto" w:sz="4" w:space="0"/>
            </w:tcBorders>
            <w:noWrap/>
            <w:vAlign w:val="center"/>
          </w:tcPr>
          <w:p w14:paraId="3A4989B7">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资金总额</w:t>
            </w:r>
          </w:p>
        </w:tc>
        <w:tc>
          <w:tcPr>
            <w:tcW w:w="1705" w:type="dxa"/>
            <w:gridSpan w:val="2"/>
            <w:tcBorders>
              <w:top w:val="single" w:color="auto" w:sz="4" w:space="0"/>
              <w:left w:val="single" w:color="auto" w:sz="4" w:space="0"/>
              <w:bottom w:val="single" w:color="auto" w:sz="4" w:space="0"/>
              <w:right w:val="single" w:color="auto" w:sz="4" w:space="0"/>
            </w:tcBorders>
            <w:noWrap/>
            <w:vAlign w:val="center"/>
          </w:tcPr>
          <w:p w14:paraId="75688071">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B615C81">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其他资金</w:t>
            </w:r>
          </w:p>
        </w:tc>
      </w:tr>
      <w:tr w14:paraId="739F05C1">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184E49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收入预算</w:t>
            </w:r>
          </w:p>
        </w:tc>
        <w:tc>
          <w:tcPr>
            <w:tcW w:w="2139" w:type="dxa"/>
            <w:gridSpan w:val="2"/>
            <w:tcBorders>
              <w:top w:val="single" w:color="000000" w:sz="4" w:space="0"/>
              <w:left w:val="single" w:color="auto" w:sz="4" w:space="0"/>
              <w:bottom w:val="single" w:color="000000" w:sz="4" w:space="0"/>
              <w:right w:val="single" w:color="auto" w:sz="4" w:space="0"/>
            </w:tcBorders>
            <w:noWrap/>
            <w:vAlign w:val="center"/>
          </w:tcPr>
          <w:p w14:paraId="38635B7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1938.85</w:t>
            </w:r>
          </w:p>
        </w:tc>
        <w:tc>
          <w:tcPr>
            <w:tcW w:w="1705" w:type="dxa"/>
            <w:gridSpan w:val="2"/>
            <w:tcBorders>
              <w:top w:val="single" w:color="auto" w:sz="4" w:space="0"/>
              <w:left w:val="single" w:color="auto" w:sz="4" w:space="0"/>
              <w:bottom w:val="single" w:color="auto" w:sz="4" w:space="0"/>
              <w:right w:val="single" w:color="auto" w:sz="4" w:space="0"/>
            </w:tcBorders>
            <w:noWrap/>
            <w:vAlign w:val="center"/>
          </w:tcPr>
          <w:p w14:paraId="4561DB1F">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1938.85</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3CFB5709">
            <w:pPr>
              <w:widowControl/>
              <w:spacing w:line="240" w:lineRule="exact"/>
              <w:textAlignment w:val="center"/>
              <w:rPr>
                <w:rFonts w:ascii="宋体" w:hAnsi="宋体" w:eastAsia="宋体" w:cs="宋体"/>
                <w:color w:val="auto"/>
                <w:kern w:val="0"/>
                <w:sz w:val="21"/>
                <w:szCs w:val="21"/>
              </w:rPr>
            </w:pPr>
          </w:p>
        </w:tc>
      </w:tr>
      <w:tr w14:paraId="55603E7D">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CFDF82D">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支出预算</w:t>
            </w:r>
          </w:p>
        </w:tc>
        <w:tc>
          <w:tcPr>
            <w:tcW w:w="2139" w:type="dxa"/>
            <w:gridSpan w:val="2"/>
            <w:tcBorders>
              <w:top w:val="single" w:color="000000" w:sz="4" w:space="0"/>
              <w:left w:val="single" w:color="auto" w:sz="4" w:space="0"/>
              <w:bottom w:val="single" w:color="000000" w:sz="4" w:space="0"/>
              <w:right w:val="single" w:color="000000" w:sz="4" w:space="0"/>
            </w:tcBorders>
            <w:noWrap/>
            <w:vAlign w:val="center"/>
          </w:tcPr>
          <w:p w14:paraId="1B7D8415">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1938.85</w:t>
            </w:r>
          </w:p>
        </w:tc>
        <w:tc>
          <w:tcPr>
            <w:tcW w:w="1705" w:type="dxa"/>
            <w:gridSpan w:val="2"/>
            <w:tcBorders>
              <w:top w:val="single" w:color="auto" w:sz="4" w:space="0"/>
              <w:left w:val="single" w:color="000000" w:sz="4" w:space="0"/>
              <w:bottom w:val="single" w:color="000000" w:sz="4" w:space="0"/>
              <w:right w:val="single" w:color="000000" w:sz="4" w:space="0"/>
            </w:tcBorders>
            <w:noWrap/>
            <w:vAlign w:val="center"/>
          </w:tcPr>
          <w:p w14:paraId="03083331">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1938.85</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6513FCE4">
            <w:pPr>
              <w:widowControl/>
              <w:spacing w:line="240" w:lineRule="exact"/>
              <w:jc w:val="center"/>
              <w:textAlignment w:val="center"/>
              <w:rPr>
                <w:rFonts w:ascii="宋体" w:hAnsi="宋体" w:eastAsia="宋体" w:cs="宋体"/>
                <w:color w:val="auto"/>
                <w:kern w:val="0"/>
                <w:sz w:val="21"/>
                <w:szCs w:val="21"/>
              </w:rPr>
            </w:pPr>
          </w:p>
        </w:tc>
      </w:tr>
      <w:tr w14:paraId="45B0A38C">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7C47F8D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3A3679F">
            <w:pPr>
              <w:widowControl/>
              <w:spacing w:line="240" w:lineRule="exact"/>
              <w:jc w:val="left"/>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rPr>
              <w:t>、开展生态保护、生态修复、生态治理、生态产业等领域的应用基础研究与关键技术攻关，为切实筑牢长江黄河上游生态屏障提供科技支撑。</w:t>
            </w:r>
          </w:p>
          <w:p w14:paraId="0948AF71">
            <w:pPr>
              <w:widowControl/>
              <w:spacing w:line="240" w:lineRule="exact"/>
              <w:jc w:val="left"/>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rPr>
              <w:t>、研发、引进、集成并示范推广先进实用技术与模式，推进科技成果转化，开展技术培训和科普宣传，促进科技创新与产业深度融合。</w:t>
            </w:r>
          </w:p>
          <w:p w14:paraId="509ED1EC">
            <w:pPr>
              <w:widowControl/>
              <w:spacing w:line="240" w:lineRule="exact"/>
              <w:jc w:val="left"/>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w:t>
            </w:r>
            <w:r>
              <w:rPr>
                <w:rFonts w:hint="eastAsia" w:ascii="宋体" w:hAnsi="宋体" w:eastAsia="宋体" w:cs="宋体"/>
                <w:color w:val="auto"/>
                <w:kern w:val="0"/>
                <w:sz w:val="21"/>
                <w:szCs w:val="21"/>
              </w:rPr>
              <w:t>、开展生态保护政策、法规、规划与标准研究，为州委、州政府科学决策提供理论支撑和智力服务。</w:t>
            </w:r>
          </w:p>
          <w:p w14:paraId="04F77C52">
            <w:pPr>
              <w:widowControl/>
              <w:spacing w:line="240" w:lineRule="exact"/>
              <w:jc w:val="left"/>
              <w:textAlignment w:val="center"/>
              <w:rPr>
                <w:rFonts w:ascii="宋体" w:hAnsi="宋体" w:eastAsia="宋体" w:cs="宋体"/>
                <w:color w:val="auto"/>
                <w:kern w:val="0"/>
                <w:sz w:val="21"/>
                <w:szCs w:val="21"/>
                <w:lang w:val="zh-CN"/>
              </w:rPr>
            </w:pPr>
            <w:r>
              <w:rPr>
                <w:rFonts w:ascii="宋体" w:hAnsi="宋体" w:eastAsia="宋体" w:cs="宋体"/>
                <w:color w:val="auto"/>
                <w:kern w:val="0"/>
                <w:sz w:val="21"/>
                <w:szCs w:val="21"/>
              </w:rPr>
              <w:t>4</w:t>
            </w:r>
            <w:r>
              <w:rPr>
                <w:rFonts w:hint="eastAsia" w:ascii="宋体" w:hAnsi="宋体" w:eastAsia="宋体" w:cs="宋体"/>
                <w:color w:val="auto"/>
                <w:kern w:val="0"/>
                <w:sz w:val="21"/>
                <w:szCs w:val="21"/>
              </w:rPr>
              <w:t>、依托重点实验室、高分辨率数据应用中心、专家工作站等核心科研平台，与国内外高校、科研院所开展合作与交流，引育领军人才，建设高水平科研团队，提升对外合作交流水平和影响力。</w:t>
            </w:r>
          </w:p>
          <w:p w14:paraId="5AD13805">
            <w:pPr>
              <w:widowControl/>
              <w:spacing w:line="240" w:lineRule="exact"/>
              <w:jc w:val="center"/>
              <w:textAlignment w:val="center"/>
              <w:rPr>
                <w:rFonts w:ascii="宋体" w:hAnsi="宋体" w:eastAsia="宋体" w:cs="宋体"/>
                <w:color w:val="auto"/>
                <w:kern w:val="0"/>
                <w:sz w:val="21"/>
                <w:szCs w:val="21"/>
              </w:rPr>
            </w:pPr>
          </w:p>
        </w:tc>
      </w:tr>
      <w:tr w14:paraId="41950370">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40A693C">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4C2DC06">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402B687">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二级指标</w:t>
            </w:r>
          </w:p>
        </w:tc>
        <w:tc>
          <w:tcPr>
            <w:tcW w:w="1059" w:type="dxa"/>
            <w:vMerge w:val="restart"/>
            <w:tcBorders>
              <w:top w:val="single" w:color="000000" w:sz="4" w:space="0"/>
              <w:left w:val="single" w:color="000000" w:sz="4" w:space="0"/>
              <w:bottom w:val="single" w:color="000000" w:sz="4" w:space="0"/>
              <w:right w:val="single" w:color="000000" w:sz="4" w:space="0"/>
            </w:tcBorders>
            <w:noWrap/>
            <w:vAlign w:val="center"/>
          </w:tcPr>
          <w:p w14:paraId="64BFA8E0">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三级指标</w:t>
            </w:r>
          </w:p>
        </w:tc>
        <w:tc>
          <w:tcPr>
            <w:tcW w:w="1080" w:type="dxa"/>
            <w:vMerge w:val="restart"/>
            <w:tcBorders>
              <w:top w:val="single" w:color="000000" w:sz="4" w:space="0"/>
              <w:left w:val="single" w:color="000000" w:sz="4" w:space="0"/>
              <w:bottom w:val="single" w:color="000000" w:sz="4" w:space="0"/>
              <w:right w:val="single" w:color="000000" w:sz="4" w:space="0"/>
            </w:tcBorders>
            <w:noWrap/>
            <w:vAlign w:val="center"/>
          </w:tcPr>
          <w:p w14:paraId="1B1398D6">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指标值</w:t>
            </w:r>
          </w:p>
        </w:tc>
        <w:tc>
          <w:tcPr>
            <w:tcW w:w="3861" w:type="dxa"/>
            <w:gridSpan w:val="4"/>
            <w:tcBorders>
              <w:top w:val="single" w:color="000000" w:sz="4" w:space="0"/>
              <w:left w:val="single" w:color="000000" w:sz="4" w:space="0"/>
              <w:bottom w:val="single" w:color="000000" w:sz="4" w:space="0"/>
              <w:right w:val="single" w:color="000000" w:sz="4" w:space="0"/>
            </w:tcBorders>
            <w:noWrap/>
            <w:vAlign w:val="center"/>
          </w:tcPr>
          <w:p w14:paraId="63E1B83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536EC40D">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指标实际完成值</w:t>
            </w:r>
          </w:p>
        </w:tc>
      </w:tr>
      <w:tr w14:paraId="3DB53D4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8442273">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789073E">
            <w:pPr>
              <w:widowControl/>
              <w:spacing w:line="240" w:lineRule="exact"/>
              <w:jc w:val="center"/>
              <w:textAlignment w:val="center"/>
              <w:rPr>
                <w:rFonts w:ascii="宋体" w:hAnsi="宋体" w:eastAsia="宋体" w:cs="宋体"/>
                <w:color w:val="auto"/>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287E59E">
            <w:pPr>
              <w:widowControl/>
              <w:spacing w:line="240" w:lineRule="exact"/>
              <w:jc w:val="center"/>
              <w:textAlignment w:val="center"/>
              <w:rPr>
                <w:rFonts w:ascii="宋体" w:hAnsi="宋体" w:eastAsia="宋体" w:cs="宋体"/>
                <w:color w:val="auto"/>
                <w:kern w:val="0"/>
                <w:sz w:val="21"/>
                <w:szCs w:val="21"/>
              </w:rPr>
            </w:pPr>
          </w:p>
        </w:tc>
        <w:tc>
          <w:tcPr>
            <w:tcW w:w="1059" w:type="dxa"/>
            <w:vMerge w:val="continue"/>
            <w:tcBorders>
              <w:top w:val="single" w:color="000000" w:sz="4" w:space="0"/>
              <w:left w:val="single" w:color="000000" w:sz="4" w:space="0"/>
              <w:bottom w:val="single" w:color="000000" w:sz="4" w:space="0"/>
              <w:right w:val="single" w:color="000000" w:sz="4" w:space="0"/>
            </w:tcBorders>
            <w:noWrap/>
            <w:vAlign w:val="center"/>
          </w:tcPr>
          <w:p w14:paraId="399F99CC">
            <w:pPr>
              <w:widowControl/>
              <w:spacing w:line="240" w:lineRule="exact"/>
              <w:jc w:val="center"/>
              <w:textAlignment w:val="center"/>
              <w:rPr>
                <w:rFonts w:ascii="宋体" w:hAnsi="宋体" w:eastAsia="宋体" w:cs="宋体"/>
                <w:color w:val="auto"/>
                <w:kern w:val="0"/>
                <w:sz w:val="21"/>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noWrap/>
            <w:vAlign w:val="center"/>
          </w:tcPr>
          <w:p w14:paraId="00CC5969">
            <w:pPr>
              <w:widowControl/>
              <w:spacing w:line="240" w:lineRule="exact"/>
              <w:jc w:val="center"/>
              <w:textAlignment w:val="center"/>
              <w:rPr>
                <w:rFonts w:ascii="宋体" w:hAnsi="宋体" w:eastAsia="宋体" w:cs="宋体"/>
                <w:color w:val="auto"/>
                <w:kern w:val="0"/>
                <w:sz w:val="21"/>
                <w:szCs w:val="21"/>
              </w:rPr>
            </w:pPr>
          </w:p>
        </w:tc>
        <w:tc>
          <w:tcPr>
            <w:tcW w:w="795" w:type="dxa"/>
            <w:tcBorders>
              <w:top w:val="single" w:color="000000" w:sz="4" w:space="0"/>
              <w:left w:val="single" w:color="000000" w:sz="4" w:space="0"/>
              <w:right w:val="single" w:color="000000" w:sz="4" w:space="0"/>
            </w:tcBorders>
            <w:noWrap/>
            <w:vAlign w:val="center"/>
          </w:tcPr>
          <w:p w14:paraId="65B0B0E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三年</w:t>
            </w:r>
          </w:p>
          <w:p w14:paraId="1FE89CC7">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均值</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DEC19F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2023</w:t>
            </w:r>
            <w:r>
              <w:rPr>
                <w:rFonts w:hint="eastAsia" w:ascii="宋体" w:hAnsi="宋体" w:eastAsia="宋体" w:cs="宋体"/>
                <w:color w:val="auto"/>
                <w:kern w:val="0"/>
                <w:sz w:val="21"/>
                <w:szCs w:val="21"/>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D9036D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2024</w:t>
            </w:r>
            <w:r>
              <w:rPr>
                <w:rFonts w:hint="eastAsia" w:ascii="宋体" w:hAnsi="宋体" w:eastAsia="宋体" w:cs="宋体"/>
                <w:color w:val="auto"/>
                <w:kern w:val="0"/>
                <w:sz w:val="21"/>
                <w:szCs w:val="21"/>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C5C6382">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2025</w:t>
            </w:r>
            <w:r>
              <w:rPr>
                <w:rFonts w:hint="eastAsia" w:ascii="宋体" w:hAnsi="宋体" w:eastAsia="宋体" w:cs="宋体"/>
                <w:color w:val="auto"/>
                <w:kern w:val="0"/>
                <w:sz w:val="21"/>
                <w:szCs w:val="21"/>
              </w:rPr>
              <w:t>年</w:t>
            </w:r>
          </w:p>
        </w:tc>
        <w:tc>
          <w:tcPr>
            <w:tcW w:w="1931" w:type="dxa"/>
            <w:vMerge w:val="continue"/>
            <w:tcBorders>
              <w:left w:val="single" w:color="000000" w:sz="4" w:space="0"/>
              <w:right w:val="single" w:color="000000" w:sz="4" w:space="0"/>
            </w:tcBorders>
            <w:noWrap/>
            <w:vAlign w:val="center"/>
          </w:tcPr>
          <w:p w14:paraId="63E0049E">
            <w:pPr>
              <w:widowControl/>
              <w:spacing w:line="240" w:lineRule="exact"/>
              <w:jc w:val="center"/>
              <w:textAlignment w:val="center"/>
              <w:rPr>
                <w:rFonts w:ascii="宋体" w:hAnsi="宋体" w:eastAsia="宋体" w:cs="宋体"/>
                <w:color w:val="auto"/>
                <w:kern w:val="0"/>
                <w:sz w:val="21"/>
                <w:szCs w:val="21"/>
              </w:rPr>
            </w:pPr>
          </w:p>
        </w:tc>
      </w:tr>
      <w:tr w14:paraId="0296B98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B9D54A8">
            <w:pPr>
              <w:widowControl/>
              <w:spacing w:line="240" w:lineRule="exact"/>
              <w:jc w:val="center"/>
              <w:textAlignment w:val="center"/>
              <w:rPr>
                <w:rFonts w:ascii="宋体" w:hAnsi="宋体" w:eastAsia="宋体" w:cs="宋体"/>
                <w:color w:val="auto"/>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A2C083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6DFB879">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预算管理</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C32D63F">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财政拨款预算编制偏离度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76DF24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7.87%</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9D24AF4">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13.42</w:t>
            </w:r>
            <w:r>
              <w:rPr>
                <w:rFonts w:ascii="宋体" w:hAnsi="宋体" w:eastAsia="宋体" w:cs="宋体"/>
                <w:color w:val="auto"/>
                <w:kern w:val="0"/>
                <w:sz w:val="21"/>
                <w:szCs w:val="21"/>
              </w:rPr>
              <w:t>%</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BEAED77">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7%</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A7AD95F">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25.38%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88415D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7.87%</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D64CADE">
            <w:pPr>
              <w:widowControl/>
              <w:spacing w:line="240" w:lineRule="exact"/>
              <w:jc w:val="both"/>
              <w:textAlignment w:val="center"/>
              <w:rPr>
                <w:rFonts w:ascii="宋体" w:hAnsi="宋体" w:eastAsia="宋体" w:cs="宋体"/>
                <w:color w:val="auto"/>
                <w:kern w:val="0"/>
                <w:sz w:val="21"/>
                <w:szCs w:val="21"/>
              </w:rPr>
            </w:pPr>
          </w:p>
        </w:tc>
      </w:tr>
      <w:tr w14:paraId="0185F54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F8E42CB">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F957D28">
            <w:pPr>
              <w:widowControl/>
              <w:spacing w:line="240" w:lineRule="exact"/>
              <w:jc w:val="center"/>
              <w:textAlignment w:val="center"/>
              <w:rPr>
                <w:rFonts w:ascii="宋体" w:hAnsi="宋体" w:eastAsia="宋体" w:cs="宋体"/>
                <w:color w:val="auto"/>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74B2078">
            <w:pPr>
              <w:widowControl/>
              <w:spacing w:line="240" w:lineRule="exact"/>
              <w:jc w:val="center"/>
              <w:textAlignment w:val="center"/>
              <w:rPr>
                <w:rFonts w:ascii="宋体" w:hAnsi="宋体" w:eastAsia="宋体" w:cs="宋体"/>
                <w:color w:val="auto"/>
                <w:kern w:val="0"/>
                <w:sz w:val="21"/>
                <w:szCs w:val="21"/>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2A8A20D">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单位收入统筹度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9B5B036">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04827C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100%</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F6A7B46">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44E43A">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AB5A5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BB6BB6">
            <w:pPr>
              <w:widowControl/>
              <w:spacing w:line="240" w:lineRule="exact"/>
              <w:jc w:val="center"/>
              <w:textAlignment w:val="center"/>
              <w:rPr>
                <w:rFonts w:ascii="宋体" w:hAnsi="宋体" w:eastAsia="宋体" w:cs="宋体"/>
                <w:color w:val="auto"/>
                <w:kern w:val="0"/>
                <w:sz w:val="21"/>
                <w:szCs w:val="21"/>
              </w:rPr>
            </w:pPr>
          </w:p>
        </w:tc>
      </w:tr>
      <w:tr w14:paraId="004E0F4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CDBEAE6">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C3EA0F4">
            <w:pPr>
              <w:widowControl/>
              <w:spacing w:line="240" w:lineRule="exact"/>
              <w:jc w:val="center"/>
              <w:textAlignment w:val="center"/>
              <w:rPr>
                <w:rFonts w:ascii="宋体" w:hAnsi="宋体" w:eastAsia="宋体" w:cs="宋体"/>
                <w:color w:val="auto"/>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7B8C880">
            <w:pPr>
              <w:widowControl/>
              <w:spacing w:line="240" w:lineRule="exact"/>
              <w:jc w:val="center"/>
              <w:textAlignment w:val="center"/>
              <w:rPr>
                <w:rFonts w:ascii="宋体" w:hAnsi="宋体" w:eastAsia="宋体" w:cs="宋体"/>
                <w:color w:val="auto"/>
                <w:kern w:val="0"/>
                <w:sz w:val="21"/>
                <w:szCs w:val="21"/>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28F4AA9">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预算年终结余率</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F0D355">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32.5%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D66A4E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11.41</w:t>
            </w:r>
            <w:r>
              <w:rPr>
                <w:rFonts w:ascii="宋体" w:hAnsi="宋体" w:eastAsia="宋体" w:cs="宋体"/>
                <w:color w:val="auto"/>
                <w:kern w:val="0"/>
                <w:sz w:val="21"/>
                <w:szCs w:val="21"/>
              </w:rPr>
              <w:t>%</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CC3495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0.14%</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20C856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1.6%</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5CF2D74">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32.5%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44BAF11">
            <w:pPr>
              <w:widowControl/>
              <w:spacing w:line="240" w:lineRule="exact"/>
              <w:jc w:val="center"/>
              <w:textAlignment w:val="center"/>
              <w:rPr>
                <w:rFonts w:ascii="宋体" w:hAnsi="宋体" w:eastAsia="宋体" w:cs="宋体"/>
                <w:color w:val="auto"/>
                <w:kern w:val="0"/>
                <w:sz w:val="21"/>
                <w:szCs w:val="21"/>
              </w:rPr>
            </w:pPr>
          </w:p>
        </w:tc>
      </w:tr>
      <w:tr w14:paraId="2ABC541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CDC2379">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5F91F6E">
            <w:pPr>
              <w:widowControl/>
              <w:spacing w:line="240" w:lineRule="exact"/>
              <w:jc w:val="center"/>
              <w:textAlignment w:val="center"/>
              <w:rPr>
                <w:rFonts w:ascii="宋体" w:hAnsi="宋体" w:eastAsia="宋体" w:cs="宋体"/>
                <w:color w:val="auto"/>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04853E3">
            <w:pPr>
              <w:widowControl/>
              <w:spacing w:line="240" w:lineRule="exact"/>
              <w:jc w:val="center"/>
              <w:textAlignment w:val="center"/>
              <w:rPr>
                <w:rFonts w:ascii="宋体" w:hAnsi="宋体" w:eastAsia="宋体" w:cs="宋体"/>
                <w:color w:val="auto"/>
                <w:kern w:val="0"/>
                <w:sz w:val="21"/>
                <w:szCs w:val="21"/>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4CB60F5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一般性支出金额</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EDB5573">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2138.28</w:t>
            </w:r>
            <w:r>
              <w:rPr>
                <w:rFonts w:hint="eastAsia" w:ascii="宋体" w:hAnsi="宋体" w:eastAsia="宋体" w:cs="宋体"/>
                <w:color w:val="auto"/>
                <w:kern w:val="0"/>
                <w:sz w:val="21"/>
                <w:szCs w:val="21"/>
              </w:rPr>
              <w:t>万元</w:t>
            </w:r>
          </w:p>
        </w:tc>
        <w:tc>
          <w:tcPr>
            <w:tcW w:w="3861" w:type="dxa"/>
            <w:gridSpan w:val="4"/>
            <w:tcBorders>
              <w:top w:val="single" w:color="000000" w:sz="4" w:space="0"/>
              <w:left w:val="single" w:color="000000" w:sz="4" w:space="0"/>
              <w:bottom w:val="single" w:color="000000" w:sz="4" w:space="0"/>
              <w:right w:val="single" w:color="000000" w:sz="4" w:space="0"/>
            </w:tcBorders>
            <w:noWrap/>
            <w:vAlign w:val="center"/>
          </w:tcPr>
          <w:p w14:paraId="7E7342D4">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2025年</w:t>
            </w:r>
            <w:r>
              <w:rPr>
                <w:rFonts w:ascii="宋体" w:hAnsi="宋体" w:eastAsia="宋体" w:cs="宋体"/>
                <w:color w:val="auto"/>
                <w:kern w:val="0"/>
                <w:sz w:val="21"/>
                <w:szCs w:val="21"/>
              </w:rPr>
              <w:t>1904.99</w:t>
            </w:r>
            <w:r>
              <w:rPr>
                <w:rFonts w:hint="eastAsia" w:ascii="宋体" w:hAnsi="宋体" w:eastAsia="宋体" w:cs="宋体"/>
                <w:color w:val="auto"/>
                <w:kern w:val="0"/>
                <w:sz w:val="21"/>
                <w:szCs w:val="21"/>
              </w:rPr>
              <w:t>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B5397B">
            <w:pPr>
              <w:widowControl/>
              <w:spacing w:line="240" w:lineRule="exact"/>
              <w:jc w:val="center"/>
              <w:textAlignment w:val="center"/>
              <w:rPr>
                <w:rFonts w:ascii="宋体" w:hAnsi="宋体" w:eastAsia="宋体" w:cs="宋体"/>
                <w:color w:val="auto"/>
                <w:kern w:val="0"/>
                <w:sz w:val="21"/>
                <w:szCs w:val="21"/>
              </w:rPr>
            </w:pPr>
          </w:p>
        </w:tc>
      </w:tr>
      <w:tr w14:paraId="61AF8A8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5F8A7E">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270F8CA">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AB4AC5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财务管理</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389E4AC">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财务管理规范</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C56C85F">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良</w:t>
            </w:r>
          </w:p>
        </w:tc>
        <w:tc>
          <w:tcPr>
            <w:tcW w:w="3861" w:type="dxa"/>
            <w:gridSpan w:val="4"/>
            <w:tcBorders>
              <w:top w:val="single" w:color="000000" w:sz="4" w:space="0"/>
              <w:left w:val="single" w:color="000000" w:sz="4" w:space="0"/>
              <w:bottom w:val="single" w:color="000000" w:sz="4" w:space="0"/>
              <w:right w:val="single" w:color="000000" w:sz="4" w:space="0"/>
            </w:tcBorders>
            <w:noWrap/>
            <w:vAlign w:val="center"/>
          </w:tcPr>
          <w:p w14:paraId="599D3451">
            <w:pPr>
              <w:widowControl/>
              <w:spacing w:line="240" w:lineRule="exact"/>
              <w:jc w:val="center"/>
              <w:textAlignment w:val="center"/>
              <w:rPr>
                <w:rFonts w:ascii="宋体" w:hAnsi="宋体" w:eastAsia="宋体" w:cs="宋体"/>
                <w:color w:val="auto"/>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FA4C98">
            <w:pPr>
              <w:widowControl/>
              <w:spacing w:line="240" w:lineRule="exact"/>
              <w:jc w:val="center"/>
              <w:textAlignment w:val="center"/>
              <w:rPr>
                <w:rFonts w:ascii="宋体" w:hAnsi="宋体" w:eastAsia="宋体" w:cs="宋体"/>
                <w:color w:val="auto"/>
                <w:kern w:val="0"/>
                <w:sz w:val="21"/>
                <w:szCs w:val="21"/>
              </w:rPr>
            </w:pPr>
          </w:p>
        </w:tc>
      </w:tr>
      <w:tr w14:paraId="1625C13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71A605E">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16BE3D1">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DABAB6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资产管理</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497CAD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资产配置预算偏离度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2E25AF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3.5%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76AF925">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3.14</w:t>
            </w:r>
            <w:r>
              <w:rPr>
                <w:rFonts w:ascii="宋体" w:hAnsi="宋体" w:eastAsia="宋体" w:cs="宋体"/>
                <w:color w:val="auto"/>
                <w:kern w:val="0"/>
                <w:sz w:val="21"/>
                <w:szCs w:val="21"/>
              </w:rPr>
              <w:t>%</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8199FFD">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3.25%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3949A7C">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2.68%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C22386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color w:val="auto"/>
                <w:kern w:val="0"/>
                <w:sz w:val="21"/>
                <w:szCs w:val="21"/>
              </w:rPr>
              <w:t>3.5%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D70CB79">
            <w:pPr>
              <w:widowControl/>
              <w:spacing w:line="240" w:lineRule="exact"/>
              <w:jc w:val="center"/>
              <w:textAlignment w:val="center"/>
              <w:rPr>
                <w:rFonts w:ascii="宋体" w:hAnsi="宋体" w:eastAsia="宋体" w:cs="宋体"/>
                <w:color w:val="auto"/>
                <w:kern w:val="0"/>
                <w:sz w:val="21"/>
                <w:szCs w:val="21"/>
              </w:rPr>
            </w:pPr>
          </w:p>
        </w:tc>
      </w:tr>
      <w:tr w14:paraId="296FBEC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8A50DAF">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C2419E8">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F43688">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采购管理</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708A3EC">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采购执行率</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A56A0F2">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CCCAAAB">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5B6F915">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F6DA48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055060C">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r>
              <w:rPr>
                <w:rFonts w:ascii="宋体" w:hAnsi="宋体" w:eastAsia="宋体" w:cs="宋体"/>
                <w:color w:val="auto"/>
                <w:kern w:val="0"/>
                <w:sz w:val="21"/>
                <w:szCs w:val="21"/>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665AA5B">
            <w:pPr>
              <w:widowControl/>
              <w:spacing w:line="240" w:lineRule="exact"/>
              <w:jc w:val="center"/>
              <w:textAlignment w:val="center"/>
              <w:rPr>
                <w:rFonts w:ascii="宋体" w:hAnsi="宋体" w:eastAsia="宋体" w:cs="宋体"/>
                <w:color w:val="auto"/>
                <w:kern w:val="0"/>
                <w:sz w:val="21"/>
                <w:szCs w:val="21"/>
              </w:rPr>
            </w:pPr>
          </w:p>
        </w:tc>
      </w:tr>
      <w:tr w14:paraId="2A2A21DD">
        <w:tblPrEx>
          <w:tblCellMar>
            <w:top w:w="0" w:type="dxa"/>
            <w:left w:w="108" w:type="dxa"/>
            <w:bottom w:w="0" w:type="dxa"/>
            <w:right w:w="108" w:type="dxa"/>
          </w:tblCellMar>
        </w:tblPrEx>
        <w:trPr>
          <w:trHeight w:val="785"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80ECCFD">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B807319">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4142A87">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二级指标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F043CDF">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三级指标</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48902963">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7A66C62">
            <w:pPr>
              <w:widowControl/>
              <w:spacing w:line="240" w:lineRule="exact"/>
              <w:jc w:val="center"/>
              <w:textAlignment w:val="center"/>
              <w:rPr>
                <w:rFonts w:ascii="宋体" w:hAnsi="宋体" w:eastAsia="宋体" w:cs="宋体"/>
                <w:color w:val="auto"/>
                <w:kern w:val="0"/>
                <w:sz w:val="21"/>
                <w:szCs w:val="21"/>
              </w:rPr>
            </w:pPr>
          </w:p>
        </w:tc>
      </w:tr>
      <w:tr w14:paraId="2F306EE3">
        <w:tblPrEx>
          <w:tblCellMar>
            <w:top w:w="0" w:type="dxa"/>
            <w:left w:w="108" w:type="dxa"/>
            <w:bottom w:w="0" w:type="dxa"/>
            <w:right w:w="108" w:type="dxa"/>
          </w:tblCellMar>
        </w:tblPrEx>
        <w:trPr>
          <w:trHeight w:val="8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1482D37">
            <w:pPr>
              <w:widowControl/>
              <w:spacing w:line="240" w:lineRule="exact"/>
              <w:jc w:val="center"/>
              <w:textAlignment w:val="center"/>
              <w:rPr>
                <w:rFonts w:ascii="宋体" w:hAnsi="宋体" w:eastAsia="宋体" w:cs="宋体"/>
                <w:color w:val="auto"/>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4C74805">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842BBC0">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数量指标……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2153CAA">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研发成果点位</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75425073">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≥2个</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91FCF5A">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2个</w:t>
            </w:r>
          </w:p>
        </w:tc>
      </w:tr>
      <w:tr w14:paraId="48F9CF69">
        <w:tblPrEx>
          <w:tblCellMar>
            <w:top w:w="0" w:type="dxa"/>
            <w:left w:w="108" w:type="dxa"/>
            <w:bottom w:w="0" w:type="dxa"/>
            <w:right w:w="108" w:type="dxa"/>
          </w:tblCellMar>
        </w:tblPrEx>
        <w:trPr>
          <w:trHeight w:val="695" w:hRule="exac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690A734">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2E2343B">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B16FDD3">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i w:val="0"/>
                <w:iCs w:val="0"/>
                <w:color w:val="auto"/>
                <w:kern w:val="0"/>
                <w:sz w:val="21"/>
                <w:szCs w:val="21"/>
                <w:u w:val="none"/>
                <w:lang w:val="en-US" w:eastAsia="zh-CN" w:bidi="ar"/>
              </w:rPr>
              <w:t>质量指标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700FF9E">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i w:val="0"/>
                <w:iCs w:val="0"/>
                <w:color w:val="auto"/>
                <w:kern w:val="0"/>
                <w:sz w:val="21"/>
                <w:szCs w:val="21"/>
                <w:u w:val="none"/>
                <w:lang w:val="en-US" w:eastAsia="zh-CN" w:bidi="ar"/>
              </w:rPr>
              <w:t>特色生态农产品品质达标率</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10E8D15A">
            <w:pPr>
              <w:widowControl/>
              <w:spacing w:line="240" w:lineRule="exac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DF1A37">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≥92%</w:t>
            </w:r>
          </w:p>
        </w:tc>
      </w:tr>
      <w:tr w14:paraId="7CAD6229">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3B64EC">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64319CA">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5836BB">
            <w:pPr>
              <w:widowControl/>
              <w:spacing w:line="240" w:lineRule="exact"/>
              <w:jc w:val="center"/>
              <w:textAlignment w:val="center"/>
              <w:rPr>
                <w:rFonts w:ascii="宋体" w:hAnsi="宋体" w:eastAsia="宋体" w:cs="宋体"/>
                <w:color w:val="auto"/>
                <w:kern w:val="0"/>
                <w:sz w:val="21"/>
                <w:szCs w:val="21"/>
              </w:rPr>
            </w:pPr>
            <w:r>
              <w:rPr>
                <w:rFonts w:ascii="宋体" w:hAnsi="宋体" w:eastAsia="宋体" w:cs="宋体"/>
                <w:i w:val="0"/>
                <w:iCs w:val="0"/>
                <w:color w:val="auto"/>
                <w:kern w:val="0"/>
                <w:sz w:val="21"/>
                <w:szCs w:val="21"/>
                <w:u w:val="none"/>
                <w:lang w:val="en-US" w:eastAsia="zh-CN" w:bidi="ar"/>
              </w:rPr>
              <w:t>质量指标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502BD00">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特色生态农产品增产率</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11E219CE">
            <w:pPr>
              <w:widowControl/>
              <w:spacing w:line="240" w:lineRule="exac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AE647A2">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3A958C0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70CFAFB">
            <w:pPr>
              <w:widowControl/>
              <w:spacing w:line="240" w:lineRule="exact"/>
              <w:jc w:val="center"/>
              <w:textAlignment w:val="center"/>
              <w:rPr>
                <w:rFonts w:ascii="宋体" w:hAnsi="宋体" w:eastAsia="宋体" w:cs="宋体"/>
                <w:color w:val="auto"/>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65CE9BE">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747AF9B">
            <w:pPr>
              <w:widowControl/>
              <w:spacing w:line="240" w:lineRule="exact"/>
              <w:jc w:val="both"/>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社会效益指标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5E4363F">
            <w:pPr>
              <w:keepNext w:val="0"/>
              <w:keepLines w:val="0"/>
              <w:widowControl/>
              <w:suppressLineNumbers w:val="0"/>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市场占有率提升比例</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69156C35">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FFF6B0">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78174F6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AD806CD">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AD5111A">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832F77B">
            <w:pPr>
              <w:widowControl/>
              <w:spacing w:line="240" w:lineRule="exact"/>
              <w:jc w:val="both"/>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生态效益指标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7909DF27">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农药、化肥使用量减少比例</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2B1BDF12">
            <w:pPr>
              <w:widowControl/>
              <w:spacing w:line="240" w:lineRule="exac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125E9D5">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0523EE8F">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8913AC">
            <w:pPr>
              <w:widowControl/>
              <w:spacing w:line="240" w:lineRule="exact"/>
              <w:jc w:val="center"/>
              <w:textAlignment w:val="center"/>
              <w:rPr>
                <w:rFonts w:ascii="宋体" w:hAnsi="宋体" w:eastAsia="宋体" w:cs="宋体"/>
                <w:color w:val="auto"/>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D98274A">
            <w:pPr>
              <w:widowControl/>
              <w:spacing w:line="240" w:lineRule="exact"/>
              <w:jc w:val="center"/>
              <w:textAlignment w:val="center"/>
              <w:rPr>
                <w:rFonts w:ascii="宋体" w:hAnsi="宋体" w:eastAsia="宋体" w:cs="宋体"/>
                <w:color w:val="auto"/>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2A137D2">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可持续影响指标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ADD14B8">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黄河及岷江流域生态环境改善程度</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151C0BB0">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好</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9FE33E6">
            <w:pPr>
              <w:widowControl/>
              <w:spacing w:line="24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好</w:t>
            </w:r>
          </w:p>
        </w:tc>
      </w:tr>
      <w:tr w14:paraId="45D65892">
        <w:tblPrEx>
          <w:tblCellMar>
            <w:top w:w="0" w:type="dxa"/>
            <w:left w:w="108" w:type="dxa"/>
            <w:bottom w:w="0" w:type="dxa"/>
            <w:right w:w="108" w:type="dxa"/>
          </w:tblCellMar>
        </w:tblPrEx>
        <w:trPr>
          <w:trHeight w:val="30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35A16B79">
            <w:pPr>
              <w:widowControl/>
              <w:spacing w:line="240" w:lineRule="exact"/>
              <w:jc w:val="center"/>
              <w:textAlignment w:val="center"/>
              <w:rPr>
                <w:rFonts w:ascii="宋体" w:hAnsi="宋体" w:eastAsia="宋体" w:cs="宋体"/>
                <w:color w:val="auto"/>
                <w:kern w:val="0"/>
                <w:sz w:val="21"/>
                <w:szCs w:val="21"/>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3F886E9">
            <w:pPr>
              <w:widowControl/>
              <w:spacing w:line="240" w:lineRule="exact"/>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满意度指标</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6A9D">
            <w:pPr>
              <w:widowControl/>
              <w:spacing w:line="240" w:lineRule="exact"/>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满意度指标</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974D">
            <w:pPr>
              <w:widowControl/>
              <w:spacing w:line="240" w:lineRule="exact"/>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满意度指标</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F32C">
            <w:pPr>
              <w:widowControl/>
              <w:spacing w:line="240" w:lineRule="exac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乘坐电梯人员满意度≥95%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3E1A">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≥95%</w:t>
            </w:r>
          </w:p>
        </w:tc>
      </w:tr>
      <w:tr w14:paraId="3292DAC8">
        <w:tblPrEx>
          <w:tblCellMar>
            <w:top w:w="0" w:type="dxa"/>
            <w:left w:w="108" w:type="dxa"/>
            <w:bottom w:w="0" w:type="dxa"/>
            <w:right w:w="108" w:type="dxa"/>
          </w:tblCellMar>
        </w:tblPrEx>
        <w:trPr>
          <w:trHeight w:val="30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26ADA446">
            <w:pPr>
              <w:widowControl/>
              <w:spacing w:line="240" w:lineRule="exact"/>
              <w:jc w:val="center"/>
              <w:textAlignment w:val="center"/>
              <w:rPr>
                <w:rFonts w:ascii="宋体" w:hAnsi="宋体" w:eastAsia="宋体" w:cs="宋体"/>
                <w:color w:val="auto"/>
                <w:kern w:val="0"/>
                <w:sz w:val="21"/>
                <w:szCs w:val="21"/>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66AE1EF">
            <w:pPr>
              <w:widowControl/>
              <w:spacing w:line="240" w:lineRule="exact"/>
              <w:jc w:val="center"/>
              <w:textAlignment w:val="center"/>
              <w:rPr>
                <w:rFonts w:ascii="宋体" w:hAnsi="宋体" w:eastAsia="宋体" w:cs="宋体"/>
                <w:color w:val="auto"/>
                <w:kern w:val="0"/>
                <w:sz w:val="21"/>
                <w:szCs w:val="21"/>
              </w:rPr>
            </w:pPr>
            <w:r>
              <w:rPr>
                <w:rFonts w:hint="eastAsia"/>
                <w:color w:val="auto"/>
                <w:sz w:val="21"/>
                <w:szCs w:val="21"/>
              </w:rPr>
              <w:t>成本指标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F7533F6">
            <w:pPr>
              <w:widowControl/>
              <w:spacing w:line="24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经济成本指标</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49B416C">
            <w:pPr>
              <w:widowControl/>
              <w:spacing w:line="24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成本控制率</w:t>
            </w:r>
          </w:p>
        </w:tc>
        <w:tc>
          <w:tcPr>
            <w:tcW w:w="4941" w:type="dxa"/>
            <w:gridSpan w:val="5"/>
            <w:tcBorders>
              <w:top w:val="single" w:color="000000" w:sz="4" w:space="0"/>
              <w:left w:val="single" w:color="000000" w:sz="4" w:space="0"/>
              <w:bottom w:val="single" w:color="000000" w:sz="4" w:space="0"/>
              <w:right w:val="single" w:color="000000" w:sz="4" w:space="0"/>
            </w:tcBorders>
            <w:noWrap/>
            <w:vAlign w:val="center"/>
          </w:tcPr>
          <w:p w14:paraId="7BD4BA9C">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96167CB">
            <w:pPr>
              <w:widowControl/>
              <w:spacing w:line="240" w:lineRule="exact"/>
              <w:jc w:val="center"/>
              <w:textAlignment w:val="center"/>
              <w:rPr>
                <w:rFonts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=99%</w:t>
            </w:r>
          </w:p>
        </w:tc>
      </w:tr>
    </w:tbl>
    <w:p w14:paraId="275ED763">
      <w:pPr>
        <w:rPr>
          <w:rFonts w:ascii="宋体" w:hAnsi="宋体" w:eastAsia="宋体" w:cs="宋体"/>
          <w:color w:val="auto"/>
          <w:kern w:val="0"/>
          <w:sz w:val="24"/>
        </w:rPr>
      </w:pPr>
    </w:p>
    <w:p w14:paraId="2B2184B3">
      <w:pPr>
        <w:rPr>
          <w:rFonts w:ascii="宋体" w:hAnsi="宋体" w:eastAsia="宋体" w:cs="宋体"/>
          <w:color w:val="auto"/>
          <w:kern w:val="0"/>
          <w:sz w:val="24"/>
        </w:rPr>
      </w:pPr>
      <w:r>
        <w:rPr>
          <w:rFonts w:ascii="宋体" w:hAnsi="宋体" w:eastAsia="宋体" w:cs="宋体"/>
          <w:color w:val="auto"/>
          <w:kern w:val="0"/>
          <w:sz w:val="24"/>
        </w:rPr>
        <w:br w:type="page"/>
      </w:r>
    </w:p>
    <w:p w14:paraId="5D2F2C6D">
      <w:pPr>
        <w:rPr>
          <w:rFonts w:hint="eastAsia" w:eastAsia="黑体" w:cs="黑体"/>
          <w:color w:val="auto"/>
          <w:kern w:val="0"/>
          <w:sz w:val="28"/>
          <w:szCs w:val="28"/>
          <w:highlight w:val="none"/>
          <w:shd w:val="clear" w:color="auto" w:fill="FFFFFF"/>
          <w:lang w:val="zh-CN"/>
        </w:rPr>
      </w:pPr>
      <w:r>
        <w:rPr>
          <w:rFonts w:hint="eastAsia" w:eastAsia="黑体" w:cs="黑体"/>
          <w:color w:val="auto"/>
          <w:kern w:val="0"/>
          <w:sz w:val="28"/>
          <w:szCs w:val="28"/>
          <w:highlight w:val="none"/>
          <w:shd w:val="clear" w:color="auto" w:fill="FFFFFF"/>
          <w:lang w:val="zh-CN"/>
        </w:rPr>
        <w:t>附表3</w:t>
      </w:r>
    </w:p>
    <w:tbl>
      <w:tblPr>
        <w:tblStyle w:val="16"/>
        <w:tblpPr w:leftFromText="180" w:rightFromText="180" w:vertAnchor="text" w:horzAnchor="page" w:tblpX="1052" w:tblpY="227"/>
        <w:tblOverlap w:val="never"/>
        <w:tblW w:w="10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1311"/>
        <w:gridCol w:w="1144"/>
        <w:gridCol w:w="1452"/>
        <w:gridCol w:w="426"/>
        <w:gridCol w:w="1058"/>
        <w:gridCol w:w="426"/>
        <w:gridCol w:w="951"/>
        <w:gridCol w:w="531"/>
        <w:gridCol w:w="531"/>
        <w:gridCol w:w="1574"/>
      </w:tblGrid>
      <w:tr w14:paraId="2746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100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FC71DA2">
            <w:pPr>
              <w:keepNext w:val="0"/>
              <w:keepLines w:val="0"/>
              <w:widowControl/>
              <w:suppressLineNumbers w:val="0"/>
              <w:jc w:val="center"/>
              <w:textAlignment w:val="center"/>
              <w:rPr>
                <w:rFonts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7C3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C9834">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项目名称</w:t>
            </w:r>
          </w:p>
        </w:tc>
        <w:tc>
          <w:tcPr>
            <w:tcW w:w="80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CFFBEC">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51320026T000014133183-公务用车购置费</w:t>
            </w:r>
          </w:p>
        </w:tc>
      </w:tr>
      <w:tr w14:paraId="5D40A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962F0">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主管部门</w:t>
            </w:r>
          </w:p>
        </w:tc>
        <w:tc>
          <w:tcPr>
            <w:tcW w:w="46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0E6B09">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州生研院部门</w:t>
            </w:r>
          </w:p>
        </w:tc>
        <w:tc>
          <w:tcPr>
            <w:tcW w:w="846" w:type="dxa"/>
            <w:tcBorders>
              <w:top w:val="nil"/>
              <w:left w:val="nil"/>
              <w:bottom w:val="nil"/>
              <w:right w:val="nil"/>
            </w:tcBorders>
            <w:shd w:val="clear" w:color="auto" w:fill="auto"/>
            <w:vAlign w:val="center"/>
          </w:tcPr>
          <w:p w14:paraId="7FA269F8">
            <w:pPr>
              <w:keepNext w:val="0"/>
              <w:keepLines w:val="0"/>
              <w:widowControl/>
              <w:suppressLineNumbers w:val="0"/>
              <w:jc w:val="left"/>
              <w:textAlignment w:val="center"/>
              <w:rPr>
                <w:rFonts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实施单位 （盖章）</w:t>
            </w:r>
          </w:p>
        </w:tc>
        <w:tc>
          <w:tcPr>
            <w:tcW w:w="26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08CF3">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州生研院</w:t>
            </w:r>
          </w:p>
        </w:tc>
      </w:tr>
      <w:tr w14:paraId="1ED1E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5B05F">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项目基本情况</w:t>
            </w:r>
          </w:p>
        </w:tc>
        <w:tc>
          <w:tcPr>
            <w:tcW w:w="1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AD9E5">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1.项目年度目标完成情况</w:t>
            </w:r>
          </w:p>
        </w:tc>
        <w:tc>
          <w:tcPr>
            <w:tcW w:w="46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F5469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项目年度目标</w:t>
            </w:r>
          </w:p>
        </w:tc>
        <w:tc>
          <w:tcPr>
            <w:tcW w:w="34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B30014">
            <w:pPr>
              <w:keepNext w:val="0"/>
              <w:keepLines w:val="0"/>
              <w:widowControl/>
              <w:suppressLineNumbers w:val="0"/>
              <w:jc w:val="center"/>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年度目标完成情况</w:t>
            </w:r>
          </w:p>
        </w:tc>
      </w:tr>
      <w:tr w14:paraId="2656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0B11A">
            <w:pPr>
              <w:rPr>
                <w:rFonts w:hint="eastAsia" w:ascii="宋体" w:hAnsi="宋体" w:eastAsia="宋体" w:cs="宋体"/>
                <w:i w:val="0"/>
                <w:iCs w:val="0"/>
                <w:color w:val="auto"/>
                <w:sz w:val="21"/>
                <w:szCs w:val="21"/>
                <w:u w:val="none"/>
              </w:rPr>
            </w:pPr>
          </w:p>
        </w:tc>
        <w:tc>
          <w:tcPr>
            <w:tcW w:w="1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6DB7D">
            <w:pPr>
              <w:rPr>
                <w:rFonts w:hint="eastAsia" w:ascii="宋体" w:hAnsi="宋体" w:eastAsia="宋体" w:cs="宋体"/>
                <w:i w:val="0"/>
                <w:iCs w:val="0"/>
                <w:color w:val="auto"/>
                <w:sz w:val="21"/>
                <w:szCs w:val="21"/>
                <w:u w:val="none"/>
              </w:rPr>
            </w:pPr>
          </w:p>
        </w:tc>
        <w:tc>
          <w:tcPr>
            <w:tcW w:w="46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736EAC">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 xml:space="preserve"> </w:t>
            </w:r>
            <w:r>
              <w:rPr>
                <w:rFonts w:ascii="宋体" w:hAnsi="宋体" w:eastAsia="宋体" w:cs="宋体"/>
                <w:i w:val="0"/>
                <w:iCs w:val="0"/>
                <w:color w:val="auto"/>
                <w:kern w:val="0"/>
                <w:sz w:val="21"/>
                <w:szCs w:val="21"/>
                <w:u w:val="none"/>
                <w:lang w:val="en-US" w:eastAsia="zh-CN" w:bidi="ar"/>
              </w:rPr>
              <w:br w:type="textWrapping"/>
            </w:r>
            <w:r>
              <w:rPr>
                <w:rFonts w:ascii="宋体" w:hAnsi="宋体" w:eastAsia="宋体" w:cs="宋体"/>
                <w:i w:val="0"/>
                <w:iCs w:val="0"/>
                <w:color w:val="auto"/>
                <w:kern w:val="0"/>
                <w:sz w:val="21"/>
                <w:szCs w:val="21"/>
                <w:u w:val="none"/>
                <w:lang w:val="en-US" w:eastAsia="zh-CN" w:bidi="ar"/>
              </w:rPr>
              <w:t>我单位报废一辆公务用车，经相关部门同意现重新购置。</w:t>
            </w:r>
          </w:p>
        </w:tc>
        <w:tc>
          <w:tcPr>
            <w:tcW w:w="34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1B10DB">
            <w:pPr>
              <w:keepNext w:val="0"/>
              <w:keepLines w:val="0"/>
              <w:widowControl/>
              <w:suppressLineNumbers w:val="0"/>
              <w:jc w:val="left"/>
              <w:textAlignment w:val="center"/>
              <w:rPr>
                <w:rFonts w:hint="default" w:ascii="黑体" w:hAnsi="黑体" w:eastAsia="黑体" w:cs="黑体"/>
                <w:i w:val="0"/>
                <w:iCs w:val="0"/>
                <w:color w:val="auto"/>
                <w:sz w:val="21"/>
                <w:szCs w:val="21"/>
                <w:u w:val="none"/>
                <w:lang w:val="en-US"/>
              </w:rPr>
            </w:pPr>
            <w:r>
              <w:rPr>
                <w:rFonts w:hint="eastAsia" w:ascii="黑体" w:hAnsi="黑体" w:eastAsia="黑体" w:cs="黑体"/>
                <w:i w:val="0"/>
                <w:iCs w:val="0"/>
                <w:color w:val="auto"/>
                <w:kern w:val="0"/>
                <w:sz w:val="21"/>
                <w:szCs w:val="21"/>
                <w:u w:val="none"/>
                <w:lang w:val="en-US" w:eastAsia="zh-CN" w:bidi="ar"/>
              </w:rPr>
              <w:t>完成任务目标100%</w:t>
            </w:r>
          </w:p>
        </w:tc>
      </w:tr>
      <w:tr w14:paraId="2FCB1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EF0F7">
            <w:pP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A6B4">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2.项目实施内容及过程概述</w:t>
            </w:r>
          </w:p>
        </w:tc>
        <w:tc>
          <w:tcPr>
            <w:tcW w:w="80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1208A2">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通过政府采购程序进行采购验收完成采购。</w:t>
            </w:r>
          </w:p>
        </w:tc>
      </w:tr>
      <w:tr w14:paraId="54136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D2DE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预算执行情况（10分）</w:t>
            </w: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609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年度预算数（万元）</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E2CD">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年初预算</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2F32">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调整后预算数</w:t>
            </w: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5B4E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980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450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29B4">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得分</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7B42">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原因</w:t>
            </w:r>
          </w:p>
        </w:tc>
      </w:tr>
      <w:tr w14:paraId="7A42A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B720C">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D72D">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总额</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64D3">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C319">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20.00</w:t>
            </w: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1E31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73F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936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8B3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10</w:t>
            </w:r>
          </w:p>
        </w:tc>
        <w:tc>
          <w:tcPr>
            <w:tcW w:w="1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A5BDA">
            <w:pPr>
              <w:keepNext w:val="0"/>
              <w:keepLines w:val="0"/>
              <w:widowControl/>
              <w:suppressLineNumbers w:val="0"/>
              <w:jc w:val="left"/>
              <w:textAlignment w:val="center"/>
              <w:rPr>
                <w:rFonts w:hint="eastAsia" w:ascii="黑体" w:hAnsi="黑体" w:eastAsia="黑体" w:cs="黑体"/>
                <w:i/>
                <w:iCs/>
                <w:color w:val="auto"/>
                <w:sz w:val="21"/>
                <w:szCs w:val="21"/>
                <w:u w:val="none"/>
              </w:rPr>
            </w:pPr>
          </w:p>
        </w:tc>
      </w:tr>
      <w:tr w14:paraId="5AD2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2DD5">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82E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其中：财政资金</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7755">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093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20.00</w:t>
            </w: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0EC4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EA68">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1C6B">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1A9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C1810">
            <w:pPr>
              <w:rPr>
                <w:rFonts w:hint="eastAsia" w:ascii="黑体" w:hAnsi="黑体" w:eastAsia="黑体" w:cs="黑体"/>
                <w:i/>
                <w:iCs/>
                <w:color w:val="auto"/>
                <w:sz w:val="21"/>
                <w:szCs w:val="21"/>
                <w:u w:val="none"/>
              </w:rPr>
            </w:pPr>
          </w:p>
        </w:tc>
      </w:tr>
      <w:tr w14:paraId="0062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9027B">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6B4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财政专户管理资金</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9FE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2363">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143E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A3B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D36B">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0ADB">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F62AF">
            <w:pPr>
              <w:rPr>
                <w:rFonts w:hint="eastAsia" w:ascii="黑体" w:hAnsi="黑体" w:eastAsia="黑体" w:cs="黑体"/>
                <w:i/>
                <w:iCs/>
                <w:color w:val="auto"/>
                <w:sz w:val="21"/>
                <w:szCs w:val="21"/>
                <w:u w:val="none"/>
              </w:rPr>
            </w:pPr>
          </w:p>
        </w:tc>
      </w:tr>
      <w:tr w14:paraId="57F01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2A950">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C87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单位资金</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2B4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A2B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008D3">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CF0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0EE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0B48">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922D2">
            <w:pPr>
              <w:rPr>
                <w:rFonts w:hint="eastAsia" w:ascii="黑体" w:hAnsi="黑体" w:eastAsia="黑体" w:cs="黑体"/>
                <w:i/>
                <w:iCs/>
                <w:color w:val="auto"/>
                <w:sz w:val="21"/>
                <w:szCs w:val="21"/>
                <w:u w:val="none"/>
              </w:rPr>
            </w:pPr>
          </w:p>
        </w:tc>
      </w:tr>
      <w:tr w14:paraId="3142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35F5A">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A63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其他资金</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239B">
            <w:pPr>
              <w:jc w:val="center"/>
              <w:rPr>
                <w:rFonts w:hint="eastAsia" w:ascii="微软雅黑" w:hAnsi="微软雅黑" w:eastAsia="微软雅黑" w:cs="微软雅黑"/>
                <w:i/>
                <w:iCs/>
                <w:color w:val="auto"/>
                <w:sz w:val="21"/>
                <w:szCs w:val="21"/>
                <w:u w:val="none"/>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A818">
            <w:pPr>
              <w:jc w:val="center"/>
              <w:rPr>
                <w:rFonts w:hint="eastAsia" w:ascii="微软雅黑" w:hAnsi="微软雅黑" w:eastAsia="微软雅黑" w:cs="微软雅黑"/>
                <w:i/>
                <w:iCs/>
                <w:color w:val="auto"/>
                <w:sz w:val="21"/>
                <w:szCs w:val="21"/>
                <w:u w:val="none"/>
              </w:rPr>
            </w:pPr>
          </w:p>
        </w:tc>
        <w:tc>
          <w:tcPr>
            <w:tcW w:w="19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774BC">
            <w:pPr>
              <w:jc w:val="center"/>
              <w:rPr>
                <w:rFonts w:hint="eastAsia" w:ascii="微软雅黑" w:hAnsi="微软雅黑" w:eastAsia="微软雅黑" w:cs="微软雅黑"/>
                <w:i/>
                <w:iCs/>
                <w:color w:val="auto"/>
                <w:sz w:val="21"/>
                <w:szCs w:val="21"/>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CEFC">
            <w:pPr>
              <w:jc w:val="center"/>
              <w:rPr>
                <w:rFonts w:hint="eastAsia" w:ascii="微软雅黑" w:hAnsi="微软雅黑" w:eastAsia="微软雅黑" w:cs="微软雅黑"/>
                <w:i/>
                <w:iCs/>
                <w:color w:val="auto"/>
                <w:sz w:val="21"/>
                <w:szCs w:val="21"/>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5206">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2379">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B67E0">
            <w:pPr>
              <w:rPr>
                <w:rFonts w:hint="eastAsia" w:ascii="黑体" w:hAnsi="黑体" w:eastAsia="黑体" w:cs="黑体"/>
                <w:i/>
                <w:iCs/>
                <w:color w:val="auto"/>
                <w:sz w:val="21"/>
                <w:szCs w:val="21"/>
                <w:u w:val="none"/>
              </w:rPr>
            </w:pPr>
          </w:p>
        </w:tc>
      </w:tr>
      <w:tr w14:paraId="5D404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1"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6CE25">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绩效指标（90分）</w:t>
            </w: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9FB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一级指标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F2E6">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二级指标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ACA3">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919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指标性质</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254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ED7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CCE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6B1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8A5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得分</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BF05">
            <w:pPr>
              <w:keepNext w:val="0"/>
              <w:keepLines w:val="0"/>
              <w:widowControl/>
              <w:suppressLineNumbers w:val="0"/>
              <w:jc w:val="center"/>
              <w:textAlignment w:val="center"/>
              <w:rPr>
                <w:rFonts w:ascii="宋体" w:hAnsi="宋体" w:eastAsia="宋体" w:cs="宋体"/>
                <w:i w:val="0"/>
                <w:iCs w:val="0"/>
                <w:color w:val="auto"/>
                <w:sz w:val="21"/>
                <w:szCs w:val="21"/>
                <w:u w:val="none"/>
              </w:rPr>
            </w:pPr>
          </w:p>
        </w:tc>
      </w:tr>
      <w:tr w14:paraId="229F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4BC83">
            <w:pPr>
              <w:jc w:val="center"/>
              <w:rPr>
                <w:rFonts w:hint="eastAsia" w:ascii="宋体" w:hAnsi="宋体" w:eastAsia="宋体" w:cs="宋体"/>
                <w:i w:val="0"/>
                <w:iCs w:val="0"/>
                <w:color w:val="auto"/>
                <w:sz w:val="21"/>
                <w:szCs w:val="21"/>
                <w:u w:val="none"/>
              </w:rPr>
            </w:pPr>
          </w:p>
        </w:tc>
        <w:tc>
          <w:tcPr>
            <w:tcW w:w="1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45A48">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产出指标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09C5">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数量指标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2F9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购买公务用车1辆</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0F5B">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D95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BD4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7D8D">
            <w:pPr>
              <w:keepNext w:val="0"/>
              <w:keepLines w:val="0"/>
              <w:widowControl/>
              <w:suppressLineNumbers w:val="0"/>
              <w:jc w:val="center"/>
              <w:textAlignment w:val="center"/>
              <w:rPr>
                <w:rFonts w:hint="eastAsia" w:ascii="微软雅黑" w:hAnsi="微软雅黑" w:eastAsia="微软雅黑" w:cs="微软雅黑"/>
                <w:i/>
                <w:iCs/>
                <w:color w:val="auto"/>
                <w:sz w:val="21"/>
                <w:szCs w:val="21"/>
                <w:u w:val="none"/>
              </w:rPr>
            </w:pPr>
            <w:r>
              <w:rPr>
                <w:rFonts w:hint="eastAsia" w:ascii="微软雅黑" w:hAnsi="微软雅黑" w:eastAsia="微软雅黑" w:cs="微软雅黑"/>
                <w:i/>
                <w:iCs/>
                <w:color w:val="auto"/>
                <w:kern w:val="0"/>
                <w:sz w:val="21"/>
                <w:szCs w:val="21"/>
                <w:u w:val="none"/>
                <w:lang w:val="en-US" w:eastAsia="zh-CN" w:bidi="ar"/>
              </w:rPr>
              <w:t>1辆</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267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0AD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6CAD">
            <w:pPr>
              <w:jc w:val="center"/>
              <w:rPr>
                <w:rFonts w:hint="eastAsia" w:ascii="微软雅黑" w:hAnsi="微软雅黑" w:eastAsia="微软雅黑" w:cs="微软雅黑"/>
                <w:i/>
                <w:iCs/>
                <w:color w:val="auto"/>
                <w:sz w:val="21"/>
                <w:szCs w:val="21"/>
                <w:u w:val="none"/>
              </w:rPr>
            </w:pPr>
          </w:p>
        </w:tc>
      </w:tr>
      <w:tr w14:paraId="5740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FFC82">
            <w:pPr>
              <w:jc w:val="center"/>
              <w:rPr>
                <w:rFonts w:hint="eastAsia" w:ascii="宋体" w:hAnsi="宋体" w:eastAsia="宋体" w:cs="宋体"/>
                <w:i w:val="0"/>
                <w:iCs w:val="0"/>
                <w:color w:val="auto"/>
                <w:sz w:val="21"/>
                <w:szCs w:val="21"/>
                <w:u w:val="none"/>
              </w:rPr>
            </w:pPr>
          </w:p>
        </w:tc>
        <w:tc>
          <w:tcPr>
            <w:tcW w:w="1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F4129">
            <w:pPr>
              <w:jc w:val="center"/>
              <w:rPr>
                <w:rFonts w:hint="eastAsia" w:ascii="宋体" w:hAnsi="宋体" w:eastAsia="宋体" w:cs="宋体"/>
                <w:i w:val="0"/>
                <w:iCs w:val="0"/>
                <w:color w:val="auto"/>
                <w:sz w:val="21"/>
                <w:szCs w:val="21"/>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8FDD">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时效指标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6F1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购买车辆时限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A91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定性</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CA3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1CE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2DC7">
            <w:pPr>
              <w:keepNext w:val="0"/>
              <w:keepLines w:val="0"/>
              <w:widowControl/>
              <w:suppressLineNumbers w:val="0"/>
              <w:jc w:val="center"/>
              <w:textAlignment w:val="center"/>
              <w:rPr>
                <w:rFonts w:hint="eastAsia" w:ascii="微软雅黑" w:hAnsi="微软雅黑" w:eastAsia="微软雅黑" w:cs="微软雅黑"/>
                <w:i/>
                <w:iCs/>
                <w:color w:val="auto"/>
                <w:sz w:val="21"/>
                <w:szCs w:val="21"/>
                <w:u w:val="none"/>
              </w:rPr>
            </w:pPr>
            <w:r>
              <w:rPr>
                <w:rFonts w:hint="eastAsia" w:ascii="微软雅黑" w:hAnsi="微软雅黑" w:eastAsia="微软雅黑" w:cs="微软雅黑"/>
                <w:i/>
                <w:iCs/>
                <w:color w:val="auto"/>
                <w:kern w:val="0"/>
                <w:sz w:val="21"/>
                <w:szCs w:val="21"/>
                <w:u w:val="none"/>
                <w:lang w:val="en-US" w:eastAsia="zh-CN" w:bidi="ar"/>
              </w:rPr>
              <w:t>按时完成</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CD8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4841">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20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C7A9">
            <w:pPr>
              <w:jc w:val="center"/>
              <w:rPr>
                <w:rFonts w:hint="eastAsia" w:ascii="微软雅黑" w:hAnsi="微软雅黑" w:eastAsia="微软雅黑" w:cs="微软雅黑"/>
                <w:i/>
                <w:iCs/>
                <w:color w:val="auto"/>
                <w:sz w:val="21"/>
                <w:szCs w:val="21"/>
                <w:u w:val="none"/>
              </w:rPr>
            </w:pPr>
          </w:p>
        </w:tc>
      </w:tr>
      <w:tr w14:paraId="44560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D5B3D">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3550">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效益指标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6D5B">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可持续发展指标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152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使用年限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2A5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定性</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20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E3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43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按照规定使用</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D4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6D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6481">
            <w:pPr>
              <w:jc w:val="center"/>
              <w:rPr>
                <w:rFonts w:hint="eastAsia" w:ascii="宋体" w:hAnsi="宋体" w:eastAsia="宋体" w:cs="宋体"/>
                <w:i w:val="0"/>
                <w:iCs w:val="0"/>
                <w:color w:val="auto"/>
                <w:sz w:val="21"/>
                <w:szCs w:val="21"/>
                <w:u w:val="none"/>
              </w:rPr>
            </w:pPr>
          </w:p>
        </w:tc>
      </w:tr>
      <w:tr w14:paraId="520C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1C93C">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52ED">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满意度指标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89F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服务对象满意度指标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065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服务对象满意度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6E16">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B7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DD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2C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C7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18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65FE">
            <w:pPr>
              <w:jc w:val="center"/>
              <w:rPr>
                <w:rFonts w:hint="eastAsia" w:ascii="宋体" w:hAnsi="宋体" w:eastAsia="宋体" w:cs="宋体"/>
                <w:i w:val="0"/>
                <w:iCs w:val="0"/>
                <w:color w:val="auto"/>
                <w:sz w:val="21"/>
                <w:szCs w:val="21"/>
                <w:u w:val="none"/>
              </w:rPr>
            </w:pPr>
          </w:p>
        </w:tc>
      </w:tr>
      <w:tr w14:paraId="5A00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BD902">
            <w:pPr>
              <w:jc w:val="center"/>
              <w:rPr>
                <w:rFonts w:hint="eastAsia" w:ascii="宋体" w:hAnsi="宋体" w:eastAsia="宋体" w:cs="宋体"/>
                <w:i w:val="0"/>
                <w:iCs w:val="0"/>
                <w:color w:val="auto"/>
                <w:sz w:val="21"/>
                <w:szCs w:val="21"/>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F1E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成本指标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790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经济成本指标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BBA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购买公务用车的总成本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D0365">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DE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2B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F2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20万元</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1C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17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F8CF">
            <w:pPr>
              <w:jc w:val="center"/>
              <w:rPr>
                <w:rFonts w:hint="eastAsia" w:ascii="宋体" w:hAnsi="宋体" w:eastAsia="宋体" w:cs="宋体"/>
                <w:i w:val="0"/>
                <w:iCs w:val="0"/>
                <w:color w:val="auto"/>
                <w:sz w:val="21"/>
                <w:szCs w:val="21"/>
                <w:u w:val="none"/>
              </w:rPr>
            </w:pPr>
          </w:p>
        </w:tc>
      </w:tr>
      <w:tr w14:paraId="0DB5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739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563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A7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6E2D">
            <w:pPr>
              <w:keepNext w:val="0"/>
              <w:keepLines w:val="0"/>
              <w:widowControl/>
              <w:suppressLineNumbers w:val="0"/>
              <w:jc w:val="righ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BBBA">
            <w:pPr>
              <w:rPr>
                <w:rFonts w:hint="eastAsia" w:ascii="宋体" w:hAnsi="宋体" w:eastAsia="宋体" w:cs="宋体"/>
                <w:i w:val="0"/>
                <w:iCs w:val="0"/>
                <w:color w:val="auto"/>
                <w:sz w:val="21"/>
                <w:szCs w:val="21"/>
                <w:u w:val="none"/>
              </w:rPr>
            </w:pPr>
          </w:p>
        </w:tc>
      </w:tr>
      <w:tr w14:paraId="625A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FE9C">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评价结论</w:t>
            </w:r>
          </w:p>
        </w:tc>
        <w:tc>
          <w:tcPr>
            <w:tcW w:w="94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96641B">
            <w:pPr>
              <w:keepNext w:val="0"/>
              <w:keepLines w:val="0"/>
              <w:widowControl/>
              <w:suppressLineNumbers w:val="0"/>
              <w:jc w:val="left"/>
              <w:textAlignment w:val="center"/>
              <w:rPr>
                <w:rFonts w:hint="eastAsia" w:ascii="微软雅黑" w:hAnsi="微软雅黑" w:eastAsia="微软雅黑" w:cs="微软雅黑"/>
                <w:i/>
                <w:iCs/>
                <w:color w:val="auto"/>
                <w:sz w:val="21"/>
                <w:szCs w:val="21"/>
                <w:u w:val="none"/>
              </w:rPr>
            </w:pPr>
            <w:r>
              <w:rPr>
                <w:rFonts w:hint="eastAsia" w:ascii="微软雅黑" w:hAnsi="微软雅黑" w:eastAsia="微软雅黑" w:cs="微软雅黑"/>
                <w:i/>
                <w:iCs/>
                <w:color w:val="auto"/>
                <w:kern w:val="0"/>
                <w:sz w:val="21"/>
                <w:szCs w:val="21"/>
                <w:u w:val="none"/>
                <w:lang w:val="en-US" w:eastAsia="zh-CN" w:bidi="ar"/>
              </w:rPr>
              <w:t>按时完成。</w:t>
            </w:r>
          </w:p>
        </w:tc>
      </w:tr>
      <w:tr w14:paraId="70CF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7C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存在问题</w:t>
            </w:r>
          </w:p>
        </w:tc>
        <w:tc>
          <w:tcPr>
            <w:tcW w:w="94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A3EEFA">
            <w:pPr>
              <w:keepNext w:val="0"/>
              <w:keepLines w:val="0"/>
              <w:widowControl/>
              <w:suppressLineNumbers w:val="0"/>
              <w:jc w:val="left"/>
              <w:textAlignment w:val="center"/>
              <w:rPr>
                <w:rFonts w:hint="eastAsia" w:ascii="微软雅黑" w:hAnsi="微软雅黑" w:eastAsia="微软雅黑" w:cs="微软雅黑"/>
                <w:i/>
                <w:iCs/>
                <w:color w:val="auto"/>
                <w:sz w:val="21"/>
                <w:szCs w:val="21"/>
                <w:u w:val="none"/>
              </w:rPr>
            </w:pPr>
            <w:r>
              <w:rPr>
                <w:rFonts w:hint="eastAsia" w:ascii="微软雅黑" w:hAnsi="微软雅黑" w:eastAsia="微软雅黑" w:cs="微软雅黑"/>
                <w:i/>
                <w:iCs/>
                <w:color w:val="auto"/>
                <w:kern w:val="0"/>
                <w:sz w:val="21"/>
                <w:szCs w:val="21"/>
                <w:u w:val="none"/>
                <w:lang w:val="en-US" w:eastAsia="zh-CN" w:bidi="ar"/>
              </w:rPr>
              <w:t>无。</w:t>
            </w:r>
          </w:p>
        </w:tc>
      </w:tr>
      <w:tr w14:paraId="27D6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EC74">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改进措施</w:t>
            </w:r>
          </w:p>
        </w:tc>
        <w:tc>
          <w:tcPr>
            <w:tcW w:w="94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EF631D">
            <w:pPr>
              <w:keepNext w:val="0"/>
              <w:keepLines w:val="0"/>
              <w:widowControl/>
              <w:suppressLineNumbers w:val="0"/>
              <w:jc w:val="left"/>
              <w:textAlignment w:val="center"/>
              <w:rPr>
                <w:rFonts w:hint="eastAsia" w:ascii="微软雅黑" w:hAnsi="微软雅黑" w:eastAsia="微软雅黑" w:cs="微软雅黑"/>
                <w:i/>
                <w:iCs/>
                <w:color w:val="auto"/>
                <w:sz w:val="21"/>
                <w:szCs w:val="21"/>
                <w:u w:val="none"/>
              </w:rPr>
            </w:pPr>
            <w:r>
              <w:rPr>
                <w:rFonts w:hint="eastAsia" w:ascii="微软雅黑" w:hAnsi="微软雅黑" w:eastAsia="微软雅黑" w:cs="微软雅黑"/>
                <w:i/>
                <w:iCs/>
                <w:color w:val="auto"/>
                <w:kern w:val="0"/>
                <w:sz w:val="21"/>
                <w:szCs w:val="21"/>
                <w:u w:val="none"/>
                <w:lang w:val="en-US" w:eastAsia="zh-CN" w:bidi="ar"/>
              </w:rPr>
              <w:t>无。</w:t>
            </w:r>
          </w:p>
        </w:tc>
      </w:tr>
      <w:tr w14:paraId="4430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50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13736E">
            <w:pPr>
              <w:keepNext w:val="0"/>
              <w:keepLines w:val="0"/>
              <w:widowControl/>
              <w:suppressLineNumbers w:val="0"/>
              <w:jc w:val="left"/>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项目负责人：丁毅</w:t>
            </w:r>
          </w:p>
        </w:tc>
        <w:tc>
          <w:tcPr>
            <w:tcW w:w="499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B4D64B">
            <w:pPr>
              <w:keepNext w:val="0"/>
              <w:keepLines w:val="0"/>
              <w:widowControl/>
              <w:suppressLineNumbers w:val="0"/>
              <w:jc w:val="left"/>
              <w:textAlignment w:val="center"/>
              <w:rPr>
                <w:rFonts w:hint="eastAsia" w:ascii="黑体" w:hAnsi="黑体" w:eastAsia="黑体" w:cs="黑体"/>
                <w:i w:val="0"/>
                <w:iCs w:val="0"/>
                <w:color w:val="auto"/>
                <w:sz w:val="21"/>
                <w:szCs w:val="21"/>
                <w:u w:val="none"/>
              </w:rPr>
            </w:pPr>
            <w:r>
              <w:rPr>
                <w:rFonts w:hint="eastAsia" w:ascii="黑体" w:hAnsi="黑体" w:eastAsia="黑体" w:cs="黑体"/>
                <w:i w:val="0"/>
                <w:iCs w:val="0"/>
                <w:color w:val="auto"/>
                <w:kern w:val="0"/>
                <w:sz w:val="21"/>
                <w:szCs w:val="21"/>
                <w:u w:val="none"/>
                <w:lang w:val="en-US" w:eastAsia="zh-CN" w:bidi="ar"/>
              </w:rPr>
              <w:t>财务负责人：金媛</w:t>
            </w:r>
          </w:p>
        </w:tc>
      </w:tr>
    </w:tbl>
    <w:p w14:paraId="0ED597E1">
      <w:pPr>
        <w:widowControl/>
        <w:spacing w:line="578" w:lineRule="exact"/>
        <w:jc w:val="center"/>
        <w:textAlignment w:val="center"/>
        <w:rPr>
          <w:rFonts w:eastAsia="方正小标宋简体"/>
          <w:color w:val="auto"/>
          <w:kern w:val="0"/>
          <w:sz w:val="44"/>
          <w:szCs w:val="44"/>
        </w:rPr>
      </w:pPr>
    </w:p>
    <w:p w14:paraId="467D06D0">
      <w:pPr>
        <w:rPr>
          <w:rFonts w:hint="eastAsia" w:ascii="Times New Roman" w:hAnsi="Times New Roman" w:eastAsia="黑体" w:cs="黑体"/>
          <w:color w:val="auto"/>
          <w:kern w:val="0"/>
          <w:sz w:val="32"/>
          <w:szCs w:val="32"/>
          <w:highlight w:val="none"/>
          <w:shd w:val="clear" w:color="auto" w:fill="FFFFFF"/>
          <w:lang w:val="zh-CN"/>
        </w:rPr>
      </w:pPr>
    </w:p>
    <w:p w14:paraId="700EF0F6">
      <w:pPr>
        <w:rPr>
          <w:rFonts w:hint="eastAsia" w:ascii="Times New Roman" w:hAnsi="Times New Roman" w:eastAsia="黑体" w:cs="黑体"/>
          <w:color w:val="auto"/>
          <w:kern w:val="0"/>
          <w:sz w:val="32"/>
          <w:szCs w:val="32"/>
          <w:highlight w:val="none"/>
          <w:shd w:val="clear" w:color="auto" w:fill="FFFFFF"/>
          <w:lang w:val="zh-CN"/>
        </w:rPr>
      </w:pPr>
    </w:p>
    <w:p w14:paraId="6411DB55">
      <w:pPr>
        <w:rPr>
          <w:rFonts w:hint="eastAsia" w:ascii="Times New Roman" w:hAnsi="Times New Roman" w:eastAsia="黑体" w:cs="黑体"/>
          <w:color w:val="auto"/>
          <w:kern w:val="0"/>
          <w:sz w:val="32"/>
          <w:szCs w:val="32"/>
          <w:highlight w:val="none"/>
          <w:shd w:val="clear" w:color="auto" w:fill="FFFFFF"/>
          <w:lang w:val="zh-CN"/>
        </w:rPr>
      </w:pPr>
    </w:p>
    <w:p w14:paraId="27E70046">
      <w:pPr>
        <w:rPr>
          <w:rFonts w:hint="eastAsia" w:ascii="Times New Roman" w:hAnsi="Times New Roman" w:eastAsia="黑体" w:cs="黑体"/>
          <w:color w:val="auto"/>
          <w:kern w:val="0"/>
          <w:sz w:val="32"/>
          <w:szCs w:val="32"/>
          <w:highlight w:val="none"/>
          <w:shd w:val="clear" w:color="auto" w:fill="FFFFFF"/>
          <w:lang w:val="zh-CN"/>
        </w:rPr>
      </w:pPr>
    </w:p>
    <w:p w14:paraId="4F678DE0">
      <w:pPr>
        <w:pStyle w:val="6"/>
        <w:rPr>
          <w:rFonts w:hint="eastAsia" w:ascii="Times New Roman" w:hAnsi="Times New Roman" w:eastAsia="黑体" w:cs="黑体"/>
          <w:color w:val="auto"/>
          <w:kern w:val="0"/>
          <w:sz w:val="32"/>
          <w:szCs w:val="32"/>
          <w:highlight w:val="none"/>
          <w:shd w:val="clear" w:color="auto" w:fill="FFFFFF"/>
          <w:lang w:val="zh-CN"/>
        </w:rPr>
      </w:pPr>
    </w:p>
    <w:p w14:paraId="092A52E9">
      <w:pPr>
        <w:pStyle w:val="6"/>
        <w:rPr>
          <w:rFonts w:hint="eastAsia" w:ascii="Times New Roman" w:hAnsi="Times New Roman" w:eastAsia="黑体" w:cs="黑体"/>
          <w:color w:val="auto"/>
          <w:kern w:val="0"/>
          <w:sz w:val="32"/>
          <w:szCs w:val="32"/>
          <w:highlight w:val="none"/>
          <w:shd w:val="clear" w:color="auto" w:fill="FFFFFF"/>
          <w:lang w:val="zh-CN"/>
        </w:rPr>
      </w:pPr>
    </w:p>
    <w:p w14:paraId="05323708">
      <w:pPr>
        <w:pStyle w:val="6"/>
        <w:rPr>
          <w:rFonts w:hint="eastAsia" w:ascii="Times New Roman" w:hAnsi="Times New Roman" w:eastAsia="黑体" w:cs="黑体"/>
          <w:color w:val="auto"/>
          <w:kern w:val="0"/>
          <w:sz w:val="32"/>
          <w:szCs w:val="32"/>
          <w:highlight w:val="none"/>
          <w:shd w:val="clear" w:color="auto" w:fill="FFFFFF"/>
          <w:lang w:val="zh-CN"/>
        </w:rPr>
      </w:pPr>
    </w:p>
    <w:p w14:paraId="1D53D28A">
      <w:pPr>
        <w:pStyle w:val="6"/>
        <w:rPr>
          <w:rFonts w:hint="eastAsia" w:ascii="Times New Roman" w:hAnsi="Times New Roman" w:eastAsia="黑体" w:cs="黑体"/>
          <w:color w:val="auto"/>
          <w:kern w:val="0"/>
          <w:sz w:val="32"/>
          <w:szCs w:val="32"/>
          <w:highlight w:val="none"/>
          <w:shd w:val="clear" w:color="auto" w:fill="FFFFFF"/>
          <w:lang w:val="zh-CN"/>
        </w:rPr>
      </w:pPr>
    </w:p>
    <w:p w14:paraId="36F18685">
      <w:pPr>
        <w:pStyle w:val="6"/>
        <w:rPr>
          <w:rFonts w:hint="eastAsia" w:ascii="Times New Roman" w:hAnsi="Times New Roman" w:eastAsia="黑体" w:cs="黑体"/>
          <w:color w:val="auto"/>
          <w:kern w:val="0"/>
          <w:sz w:val="32"/>
          <w:szCs w:val="32"/>
          <w:highlight w:val="none"/>
          <w:shd w:val="clear" w:color="auto" w:fill="FFFFFF"/>
          <w:lang w:val="zh-CN"/>
        </w:rPr>
      </w:pPr>
    </w:p>
    <w:p w14:paraId="0E05FB18">
      <w:pPr>
        <w:pStyle w:val="6"/>
        <w:rPr>
          <w:rFonts w:hint="eastAsia" w:ascii="Times New Roman" w:hAnsi="Times New Roman" w:eastAsia="黑体" w:cs="黑体"/>
          <w:color w:val="auto"/>
          <w:kern w:val="0"/>
          <w:sz w:val="32"/>
          <w:szCs w:val="32"/>
          <w:highlight w:val="none"/>
          <w:shd w:val="clear" w:color="auto" w:fill="FFFFFF"/>
          <w:lang w:val="zh-CN"/>
        </w:rPr>
      </w:pPr>
    </w:p>
    <w:p w14:paraId="24D8496F">
      <w:pPr>
        <w:pStyle w:val="6"/>
        <w:rPr>
          <w:rFonts w:hint="eastAsia" w:ascii="Times New Roman" w:hAnsi="Times New Roman" w:eastAsia="黑体" w:cs="黑体"/>
          <w:color w:val="auto"/>
          <w:kern w:val="0"/>
          <w:sz w:val="32"/>
          <w:szCs w:val="32"/>
          <w:highlight w:val="none"/>
          <w:shd w:val="clear" w:color="auto" w:fill="FFFFFF"/>
          <w:lang w:val="zh-CN"/>
        </w:rPr>
      </w:pPr>
    </w:p>
    <w:p w14:paraId="0983589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en-US" w:eastAsia="zh-CN"/>
        </w:rPr>
      </w:pPr>
      <w:bookmarkStart w:id="65" w:name="_Toc6505"/>
      <w:r>
        <w:rPr>
          <w:rFonts w:hint="eastAsia" w:ascii="Times New Roman" w:hAnsi="Times New Roman" w:eastAsia="黑体" w:cs="黑体"/>
          <w:color w:val="auto"/>
          <w:sz w:val="32"/>
          <w:szCs w:val="32"/>
          <w:highlight w:val="none"/>
          <w:lang w:val="zh-CN"/>
        </w:rPr>
        <w:t>附件</w:t>
      </w:r>
      <w:r>
        <w:rPr>
          <w:rFonts w:hint="eastAsia" w:ascii="Times New Roman" w:hAnsi="Times New Roman" w:eastAsia="黑体" w:cs="黑体"/>
          <w:color w:val="auto"/>
          <w:sz w:val="32"/>
          <w:szCs w:val="32"/>
          <w:highlight w:val="none"/>
          <w:lang w:val="en-US" w:eastAsia="zh-CN"/>
        </w:rPr>
        <w:t>2</w:t>
      </w:r>
      <w:bookmarkEnd w:id="65"/>
    </w:p>
    <w:p w14:paraId="0A7D0BB0">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269D85B">
      <w:pPr>
        <w:keepNext w:val="0"/>
        <w:keepLines w:val="0"/>
        <w:pageBreakBefore w:val="0"/>
        <w:widowControl/>
        <w:kinsoku/>
        <w:wordWrap/>
        <w:overflowPunct/>
        <w:topLinePunct w:val="0"/>
        <w:autoSpaceDE/>
        <w:autoSpaceDN/>
        <w:bidi w:val="0"/>
        <w:adjustRightInd w:val="0"/>
        <w:snapToGrid w:val="0"/>
        <w:spacing w:line="180" w:lineRule="atLeast"/>
        <w:jc w:val="center"/>
        <w:textAlignment w:val="auto"/>
        <w:rPr>
          <w:rFonts w:hint="eastAsia" w:ascii="黑体" w:hAnsi="黑体" w:eastAsia="黑体" w:cs="黑体"/>
          <w:b/>
          <w:bCs/>
          <w:color w:val="auto"/>
          <w:kern w:val="0"/>
          <w:sz w:val="36"/>
          <w:szCs w:val="36"/>
          <w:lang w:eastAsia="zh-CN"/>
        </w:rPr>
      </w:pPr>
      <w:r>
        <w:rPr>
          <w:rFonts w:hint="eastAsia" w:ascii="黑体" w:hAnsi="黑体" w:eastAsia="黑体" w:cs="黑体"/>
          <w:b/>
          <w:bCs/>
          <w:color w:val="auto"/>
          <w:kern w:val="0"/>
          <w:sz w:val="36"/>
          <w:szCs w:val="36"/>
          <w:lang w:eastAsia="zh-CN"/>
        </w:rPr>
        <w:t>“阿坝州松材线虫病监测体系建设及健康经营技术</w:t>
      </w:r>
    </w:p>
    <w:p w14:paraId="7CCBD369">
      <w:pPr>
        <w:keepNext w:val="0"/>
        <w:keepLines w:val="0"/>
        <w:pageBreakBefore w:val="0"/>
        <w:widowControl/>
        <w:kinsoku/>
        <w:wordWrap/>
        <w:overflowPunct/>
        <w:topLinePunct w:val="0"/>
        <w:autoSpaceDE/>
        <w:autoSpaceDN/>
        <w:bidi w:val="0"/>
        <w:adjustRightInd w:val="0"/>
        <w:snapToGrid w:val="0"/>
        <w:spacing w:line="180" w:lineRule="atLeast"/>
        <w:jc w:val="center"/>
        <w:textAlignment w:val="auto"/>
        <w:rPr>
          <w:rFonts w:hint="eastAsia" w:ascii="黑体" w:hAnsi="黑体" w:eastAsia="黑体" w:cs="黑体"/>
          <w:b/>
          <w:bCs/>
          <w:color w:val="auto"/>
          <w:kern w:val="0"/>
          <w:sz w:val="36"/>
          <w:szCs w:val="36"/>
          <w:lang w:eastAsia="zh-CN"/>
        </w:rPr>
      </w:pPr>
      <w:r>
        <w:rPr>
          <w:rFonts w:hint="eastAsia" w:ascii="黑体" w:hAnsi="黑体" w:eastAsia="黑体" w:cs="黑体"/>
          <w:b/>
          <w:bCs/>
          <w:color w:val="auto"/>
          <w:kern w:val="0"/>
          <w:sz w:val="36"/>
          <w:szCs w:val="36"/>
          <w:lang w:eastAsia="zh-CN"/>
        </w:rPr>
        <w:t>研究与示范”专项预算项目绩效评价报告</w:t>
      </w:r>
    </w:p>
    <w:p w14:paraId="75EB0461">
      <w:pPr>
        <w:pStyle w:val="21"/>
        <w:keepNext w:val="0"/>
        <w:keepLines w:val="0"/>
        <w:pageBreakBefore w:val="0"/>
        <w:kinsoku/>
        <w:wordWrap/>
        <w:overflowPunct/>
        <w:topLinePunct w:val="0"/>
        <w:autoSpaceDE/>
        <w:autoSpaceDN/>
        <w:bidi w:val="0"/>
        <w:spacing w:line="180" w:lineRule="atLeast"/>
        <w:textAlignment w:val="auto"/>
        <w:rPr>
          <w:rFonts w:hint="eastAsia" w:ascii="黑体" w:hAnsi="黑体" w:eastAsia="黑体" w:cs="黑体"/>
          <w:b/>
          <w:bCs/>
          <w:color w:val="auto"/>
        </w:rPr>
      </w:pPr>
    </w:p>
    <w:p w14:paraId="388680A7">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3" w:firstLineChars="200"/>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lang w:eastAsia="zh-CN"/>
        </w:rPr>
        <w:t>一、</w:t>
      </w:r>
      <w:r>
        <w:rPr>
          <w:rFonts w:hint="eastAsia" w:ascii="黑体" w:hAnsi="黑体" w:eastAsia="黑体" w:cs="黑体"/>
          <w:b/>
          <w:bCs/>
          <w:color w:val="auto"/>
          <w:sz w:val="32"/>
          <w:szCs w:val="32"/>
        </w:rPr>
        <w:t>项目概况</w:t>
      </w:r>
    </w:p>
    <w:p w14:paraId="62A951D0">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（一）设立背景及基本情况</w:t>
      </w:r>
    </w:p>
    <w:p w14:paraId="02CF6BDC">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项目编号：</w:t>
      </w:r>
      <w:r>
        <w:rPr>
          <w:rFonts w:hint="eastAsia" w:ascii="Times New Roman" w:hAnsi="Times New Roman" w:eastAsia="仿宋_GB2312" w:cs="Times New Roman"/>
          <w:color w:val="auto"/>
          <w:sz w:val="32"/>
          <w:szCs w:val="32"/>
          <w:lang w:val="en-US" w:eastAsia="zh-CN"/>
        </w:rPr>
        <w:t>2023YFN0029。</w:t>
      </w:r>
      <w:r>
        <w:rPr>
          <w:rFonts w:hint="eastAsia" w:ascii="Times New Roman" w:hAnsi="Times New Roman" w:eastAsia="仿宋_GB2312" w:cs="Times New Roman"/>
          <w:color w:val="auto"/>
          <w:sz w:val="32"/>
          <w:szCs w:val="32"/>
        </w:rPr>
        <w:t>松材线虫病是全球森林生态系统中最具危险性、毁灭性的病害之一</w:t>
      </w:r>
      <w:r>
        <w:rPr>
          <w:rFonts w:hint="eastAsia" w:ascii="Times New Roman" w:hAnsi="Times New Roman" w:eastAsia="仿宋_GB2312" w:cs="Times New Roman"/>
          <w:color w:val="auto"/>
          <w:sz w:val="32"/>
          <w:szCs w:val="32"/>
          <w:lang w:eastAsia="zh-CN"/>
        </w:rPr>
        <w:t>。阿坝州松林资源丰富，生态区位十分重要，时刻面临松材线虫病入侵的严重威胁。本项目应用高光谱无人机遥感监测技术、电力铁塔高清探头智能识别技术、松材线虫病早期诊断技术等先进技术引进和创新，结合地面人工识别和监测技术，建立阿坝州松材线虫病智能识别及立体监测网络，达到实时、动态监测松林的健康情况。通过媒介昆虫生物防治、重点区域松林注射免疫剂，结合河流、道路天然屏障构建生物阻隔带，打造阻止松材线虫入侵的绿色防线。</w:t>
      </w:r>
      <w:r>
        <w:rPr>
          <w:rFonts w:hint="eastAsia" w:ascii="Times New Roman" w:hAnsi="Times New Roman" w:eastAsia="仿宋_GB2312" w:cs="Times New Roman"/>
          <w:color w:val="auto"/>
          <w:sz w:val="32"/>
          <w:szCs w:val="32"/>
          <w:lang w:val="en-US" w:eastAsia="zh-CN"/>
        </w:rPr>
        <w:t xml:space="preserve"> 通过综合运用树种调整、密度控制、种群调控及林相改造更新等技术打造健康稳定的森林生态系统，提升松林的御灾减灾能力。根据阿坝州森林资源特点、海拨分布等因素对全州松材线虫病发生风险进行科学评价，制定科学的防控策略。通过这些技术创新、集成和应用，有效抵御松材线虫病在阿坝州的入侵和危害，保障阿坝州松林的生态安全。项目主要研究内容有以下五个方面：</w:t>
      </w:r>
    </w:p>
    <w:p w14:paraId="2B9EC706">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（1）应用地面智能监测识别技术，建立动态智能监测网络</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rPr>
        <w:t>利用中国铁塔股份有限公司在阿坝州山林里已经建设</w:t>
      </w:r>
      <w:r>
        <w:rPr>
          <w:rFonts w:hint="eastAsia" w:ascii="Times New Roman" w:hAnsi="Times New Roman" w:eastAsia="仿宋_GB2312" w:cs="Times New Roman"/>
          <w:color w:val="auto"/>
          <w:sz w:val="32"/>
          <w:szCs w:val="32"/>
          <w:lang w:val="en-US" w:eastAsia="zh-CN"/>
        </w:rPr>
        <w:t>的</w:t>
      </w:r>
      <w:r>
        <w:rPr>
          <w:rFonts w:hint="eastAsia" w:ascii="Times New Roman" w:hAnsi="Times New Roman" w:eastAsia="仿宋_GB2312" w:cs="Times New Roman"/>
          <w:color w:val="auto"/>
          <w:sz w:val="32"/>
          <w:szCs w:val="32"/>
        </w:rPr>
        <w:t>铁塔资源，</w:t>
      </w:r>
      <w:r>
        <w:rPr>
          <w:rFonts w:hint="eastAsia" w:ascii="Times New Roman" w:hAnsi="Times New Roman" w:eastAsia="仿宋_GB2312" w:cs="Times New Roman"/>
          <w:color w:val="auto"/>
          <w:sz w:val="32"/>
          <w:szCs w:val="32"/>
          <w:lang w:val="en-US" w:eastAsia="zh-CN"/>
        </w:rPr>
        <w:t>借助</w:t>
      </w:r>
      <w:r>
        <w:rPr>
          <w:rFonts w:hint="eastAsia" w:ascii="Times New Roman" w:hAnsi="Times New Roman" w:eastAsia="仿宋_GB2312" w:cs="Times New Roman"/>
          <w:color w:val="auto"/>
          <w:sz w:val="32"/>
          <w:szCs w:val="32"/>
        </w:rPr>
        <w:t>铁塔的高度、电力供应等优势，设计和挂载</w:t>
      </w:r>
      <w:r>
        <w:rPr>
          <w:rFonts w:hint="eastAsia" w:ascii="Times New Roman" w:hAnsi="Times New Roman" w:eastAsia="仿宋_GB2312" w:cs="Times New Roman"/>
          <w:color w:val="auto"/>
          <w:sz w:val="32"/>
          <w:szCs w:val="32"/>
          <w:lang w:eastAsia="zh-CN"/>
        </w:rPr>
        <w:t>监测设备</w:t>
      </w:r>
      <w:r>
        <w:rPr>
          <w:rFonts w:hint="eastAsia" w:ascii="Times New Roman" w:hAnsi="Times New Roman" w:eastAsia="仿宋_GB2312" w:cs="Times New Roman"/>
          <w:color w:val="auto"/>
          <w:sz w:val="32"/>
          <w:szCs w:val="32"/>
        </w:rPr>
        <w:t>，引进和开发智能识别技术，实时获取图像信息，对生长异常的松树和枯死松树进行动态识别并及时发布位置信息，通过人工地面调查确认松材线虫病危害情况，建立动态智能监测网络。</w:t>
      </w:r>
    </w:p>
    <w:p w14:paraId="076CC566">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（2）应用无人机低空遥感监测技术和松材线虫病早期诊断技术，建立松材线虫病早期预警系统</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rPr>
        <w:t>研究松材线虫病在阿坝州寄主松树上不同感病程度、不同发生阶段针叶的光谱变化规律，建立光谱诊断特征模型和特异性诊断指标体系，同时应用高光谱无人机遥感技术、智能巡航技术、大数据分析及深度学习技术的应用及时发现早期感病松树，应用松材线虫病早期诊断技术准确鉴定松材线虫病的入侵和危害情况，建立重要生态区域或高风险区域松材线虫病的早期预警系统。</w:t>
      </w:r>
    </w:p>
    <w:p w14:paraId="5AFA3E31">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（3）</w:t>
      </w:r>
      <w:r>
        <w:rPr>
          <w:rFonts w:hint="eastAsia" w:ascii="Times New Roman" w:hAnsi="Times New Roman" w:eastAsia="仿宋_GB2312" w:cs="Times New Roman"/>
          <w:b/>
          <w:bCs/>
          <w:color w:val="auto"/>
          <w:sz w:val="32"/>
          <w:szCs w:val="32"/>
          <w:lang w:val="en-US" w:eastAsia="zh-CN"/>
        </w:rPr>
        <w:t>采用</w:t>
      </w:r>
      <w:r>
        <w:rPr>
          <w:rFonts w:hint="eastAsia" w:ascii="Times New Roman" w:hAnsi="Times New Roman" w:eastAsia="仿宋_GB2312" w:cs="Times New Roman"/>
          <w:b/>
          <w:bCs/>
          <w:color w:val="auto"/>
          <w:sz w:val="32"/>
          <w:szCs w:val="32"/>
        </w:rPr>
        <w:t>高风险区域松材线虫病阻截技术，科学构建生物阻隔带</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rPr>
        <w:t>阿坝州与广元、绵阳、乐山、雅安等疫区交界的松林为高风险区，通过引进和应用白僵菌防治、花绒寄甲天敌防治等生物防治方法有效降低松墨天牛虫口密度，减少松材线虫病传播和扩散的风险，高风险区域的重要生态区松林通过注射甲维盐等免疫剂防止松材线虫病传入和危害，结合河流、道路天然屏障作用合理构建防止松材线虫病入侵的生物阻隔带。</w:t>
      </w:r>
    </w:p>
    <w:p w14:paraId="352F04FB">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（4）低质低效松林的健康经营技术，提高松林健康水平和抵御松材线虫病能力</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rPr>
        <w:t>对松树密度高、长势较弱的低质低效松林和生态脆弱区松林，特别是对生态功能和生态景观要求较高的松林，通过树种调整、密度控制、种群调控及林相改造更新等技术，降低劣质松树比例，提高乡土树种、彩色树种及珍贵用材树种的比例，人工调整林分结构，促进森林生态系统演替更新，构建健康松林，提高林分对松材线虫病的抵御能力。</w:t>
      </w:r>
    </w:p>
    <w:p w14:paraId="06B8648F">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b/>
          <w:bCs/>
          <w:color w:val="auto"/>
          <w:sz w:val="32"/>
          <w:szCs w:val="32"/>
          <w:lang w:val="en-US" w:eastAsia="zh-CN"/>
        </w:rPr>
        <w:t>5</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b/>
          <w:bCs/>
          <w:color w:val="auto"/>
          <w:sz w:val="32"/>
          <w:szCs w:val="32"/>
        </w:rPr>
        <w:t>阿坝州松材线虫病潜在风险评价分析</w:t>
      </w:r>
      <w:r>
        <w:rPr>
          <w:rFonts w:hint="eastAsia"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rPr>
        <w:t>根据阿坝州松林资源特点及垂直气候带分布特点，从气象、人类活动、媒介昆虫种类、树种特性等因素对不同海拔高度区域松林发生松材线虫病潜在风险进行评价和分析，根据不同风险等级，制定相应的防控策略，分类精准施策，提高最大防控效能。</w:t>
      </w:r>
    </w:p>
    <w:p w14:paraId="63AD24B1">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rPr>
      </w:pPr>
      <w:r>
        <w:rPr>
          <w:rFonts w:hint="eastAsia" w:ascii="楷体_GB2312" w:hAnsi="楷体_GB2312" w:eastAsia="楷体_GB2312" w:cs="楷体_GB2312"/>
          <w:b/>
          <w:bCs/>
          <w:color w:val="auto"/>
          <w:sz w:val="32"/>
          <w:szCs w:val="32"/>
          <w:lang w:eastAsia="zh-CN"/>
        </w:rPr>
        <w:t>（二）实施目的及支持方向</w:t>
      </w:r>
    </w:p>
    <w:p w14:paraId="1CE92AD0">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1.项目资金管理办法制定情况</w:t>
      </w:r>
    </w:p>
    <w:p w14:paraId="1FC98ECF">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（1）成立项目领导小组。</w:t>
      </w:r>
      <w:r>
        <w:rPr>
          <w:rFonts w:hint="eastAsia" w:ascii="Times New Roman" w:hAnsi="Times New Roman" w:eastAsia="仿宋_GB2312" w:cs="Times New Roman"/>
          <w:color w:val="auto"/>
          <w:sz w:val="32"/>
          <w:szCs w:val="32"/>
          <w:lang w:val="en-US" w:eastAsia="zh-CN"/>
        </w:rPr>
        <w:t>为规范项目实施，确保项目的顺利开展和研发成效，项目组与阿坝州林草所签定了项目责任书。成立了“阿坝州松材线虫病监测体系建设及健康经营技术研究与示范”项目领导小组、技术攻关小组、资金管理小组、档案管理小组。</w:t>
      </w:r>
    </w:p>
    <w:p w14:paraId="6BE5D1CA">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（2）制定相关制度。</w:t>
      </w:r>
      <w:r>
        <w:rPr>
          <w:rFonts w:hint="eastAsia" w:ascii="Times New Roman" w:hAnsi="Times New Roman" w:eastAsia="仿宋_GB2312" w:cs="Times New Roman"/>
          <w:color w:val="auto"/>
          <w:sz w:val="32"/>
          <w:szCs w:val="32"/>
          <w:lang w:val="en-US" w:eastAsia="zh-CN"/>
        </w:rPr>
        <w:t>项目组认真学习《四川省科技计划管理办法》、《四川省科技计划项目专项资金管理办法》、《四川省科技计划项目验收管理办法》等文件精神。依据国家、省有关法律、法规及政策，结合本地实地制定了“项目资金管理制度”；“项目实施管理与监督制度”；“项目档案管理制度”等相关规章制度。</w:t>
      </w:r>
    </w:p>
    <w:p w14:paraId="65C75A12">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（3）开展项目自查。</w:t>
      </w:r>
      <w:r>
        <w:rPr>
          <w:rFonts w:hint="eastAsia" w:ascii="Times New Roman" w:hAnsi="Times New Roman" w:eastAsia="仿宋_GB2312" w:cs="Times New Roman"/>
          <w:color w:val="auto"/>
          <w:sz w:val="32"/>
          <w:szCs w:val="32"/>
          <w:lang w:val="en-US" w:eastAsia="zh-CN"/>
        </w:rPr>
        <w:t>项目领导小组组织各研究室主任不定期检查项目实施进度和完成质量。资金管理小组组织财务人员查验经费拨付情况和使用情况，主要检查项目经费在使用过程中是否专款专用、专账核算，是否有挪用、挤占、截留、改变资金用途的现象。各检查小组在检查过程中及时向项目组提出完善和整改意见。</w:t>
      </w:r>
    </w:p>
    <w:p w14:paraId="4F09AFCB">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2.项目实施目的和主要工作任务</w:t>
      </w:r>
    </w:p>
    <w:p w14:paraId="280252C8">
      <w:pPr>
        <w:pStyle w:val="21"/>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项目实施后，通过技术的创新、集成和应用，有效抵御松材线虫病在阿坝州的入侵和危害，保障阿坝州松林的生态安全。</w:t>
      </w:r>
    </w:p>
    <w:p w14:paraId="6D99C23B">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（1）应用高光谱无人机遥感监测技术、电力铁塔高清探头智能识别技术、松材线虫病早期诊断技术等先进技术创新和应用，结合地面人工识别和监测技术，建立阿坝州松材线虫病智能识别及</w:t>
      </w:r>
      <w:r>
        <w:rPr>
          <w:rFonts w:hint="eastAsia" w:ascii="Times New Roman" w:hAnsi="Times New Roman" w:eastAsia="仿宋_GB2312" w:cs="Times New Roman"/>
          <w:color w:val="auto"/>
          <w:sz w:val="32"/>
          <w:szCs w:val="32"/>
          <w:lang w:eastAsia="zh-CN"/>
        </w:rPr>
        <w:t>预警的</w:t>
      </w:r>
      <w:r>
        <w:rPr>
          <w:rFonts w:hint="eastAsia" w:ascii="Times New Roman" w:hAnsi="Times New Roman" w:eastAsia="仿宋_GB2312" w:cs="Times New Roman"/>
          <w:color w:val="auto"/>
          <w:sz w:val="32"/>
          <w:szCs w:val="32"/>
        </w:rPr>
        <w:t>立体监测网络，达到实时、动态监测松林的健康情况，及时有效阻止松材线虫病的入侵，构建松材线虫病防控的第一道防线。</w:t>
      </w:r>
    </w:p>
    <w:p w14:paraId="4BBC9C96">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根据阿坝州部分相邻地区为松材线虫病疫区，松材线虫病传入和扩散风险大的特点，通过生物防治技术控制媒介昆虫种群数量、重点区域注射免疫剂，结合河流、道路天然屏障构建生物阻隔带，防止松材线虫病入侵和危害，构建松材线虫病阻截扑灭第二道防线。</w:t>
      </w:r>
    </w:p>
    <w:p w14:paraId="3462AF0F">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针对部分低质低效松林结构不合理、生态系统脆弱容易遭受松材线虫病等重大森林病虫害危害特点，综合运用树种调整、密度控制、种群调控及林相改造更新等技术打造健康稳定的森林生态系统抵御松材线虫病的危害，构建御灾减灾第三道防线。</w:t>
      </w:r>
    </w:p>
    <w:p w14:paraId="4E911CA8">
      <w:pPr>
        <w:pStyle w:val="21"/>
        <w:keepNext w:val="0"/>
        <w:keepLines w:val="0"/>
        <w:pageBreakBefore w:val="0"/>
        <w:kinsoku/>
        <w:wordWrap/>
        <w:overflowPunct/>
        <w:topLinePunct w:val="0"/>
        <w:autoSpaceDE/>
        <w:autoSpaceDN/>
        <w:bidi w:val="0"/>
        <w:spacing w:line="180" w:lineRule="atLeast"/>
        <w:ind w:firstLine="640" w:firstLineChars="200"/>
        <w:textAlignment w:val="auto"/>
        <w:rPr>
          <w:rFonts w:hint="eastAsia"/>
          <w:color w:val="auto"/>
          <w:sz w:val="32"/>
          <w:szCs w:val="32"/>
          <w:lang w:val="en-US" w:eastAsia="zh-CN"/>
        </w:rPr>
      </w:pPr>
      <w:r>
        <w:rPr>
          <w:rFonts w:hint="eastAsia" w:ascii="Times New Roman" w:hAnsi="Times New Roman" w:eastAsia="仿宋_GB2312" w:cs="Times New Roman"/>
          <w:color w:val="auto"/>
          <w:sz w:val="32"/>
          <w:szCs w:val="32"/>
        </w:rPr>
        <w:t>（4）根据阿坝州松林资源特点及垂直气候带分布特点，从气象、人类活动、媒介昆虫种类、树种特性等因素对不同海拔高度松林发生松材线虫病风险进行评价和分析，制定不同风险等级，制定相应的防控策略。</w:t>
      </w:r>
    </w:p>
    <w:p w14:paraId="19CCF2D1">
      <w:pPr>
        <w:pStyle w:val="21"/>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（三）预算安排及分配管理</w:t>
      </w:r>
    </w:p>
    <w:p w14:paraId="355571B8">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项目经费预算为100.0万元，到位经费100.0万元，全部为财政科技经费。</w:t>
      </w:r>
    </w:p>
    <w:p w14:paraId="40DDB144">
      <w:pPr>
        <w:keepNext w:val="0"/>
        <w:keepLines w:val="0"/>
        <w:pageBreakBefore w:val="0"/>
        <w:numPr>
          <w:ilvl w:val="0"/>
          <w:numId w:val="0"/>
        </w:numPr>
        <w:kinsoku/>
        <w:wordWrap/>
        <w:overflowPunct/>
        <w:topLinePunct w:val="0"/>
        <w:autoSpaceDE/>
        <w:autoSpaceDN/>
        <w:bidi w:val="0"/>
        <w:spacing w:line="180" w:lineRule="atLeast"/>
        <w:ind w:leftChars="0" w:firstLine="640" w:firstLineChars="200"/>
        <w:textAlignment w:val="auto"/>
        <w:rPr>
          <w:rFonts w:hint="eastAsia"/>
          <w:color w:val="auto"/>
          <w:sz w:val="32"/>
          <w:szCs w:val="32"/>
          <w:lang w:val="en-US" w:eastAsia="zh-CN"/>
        </w:rPr>
      </w:pPr>
      <w:r>
        <w:rPr>
          <w:rFonts w:hint="eastAsia" w:ascii="Times New Roman" w:hAnsi="Times New Roman" w:eastAsia="仿宋_GB2312" w:cs="Times New Roman"/>
          <w:color w:val="auto"/>
          <w:sz w:val="32"/>
          <w:szCs w:val="32"/>
          <w:lang w:eastAsia="zh-CN"/>
        </w:rPr>
        <w:t>项目研究的各项经费支出由项目负责人、财务和所领导审批，严格按照</w:t>
      </w:r>
      <w:r>
        <w:rPr>
          <w:rFonts w:hint="eastAsia" w:ascii="Times New Roman" w:hAnsi="Times New Roman" w:eastAsia="仿宋_GB2312" w:cs="Times New Roman"/>
          <w:color w:val="auto"/>
          <w:sz w:val="32"/>
          <w:szCs w:val="32"/>
          <w:lang w:val="en-US" w:eastAsia="zh-CN"/>
        </w:rPr>
        <w:t>《四川省科技计划项目专项资金管理办法》和相关规定开支。项目经费做到独立建账，专款专用，合理开支。项目总经费100.0万元，其中项目承担单位阿坝藏族羌族自治州生态保护和发展研究院60.0万元，项目合作单位浙江省林业科学研究院40.0万元。</w:t>
      </w:r>
      <w:r>
        <w:rPr>
          <w:rFonts w:hint="eastAsia"/>
          <w:color w:val="auto"/>
          <w:sz w:val="32"/>
          <w:szCs w:val="32"/>
          <w:lang w:val="en-US" w:eastAsia="zh-CN"/>
        </w:rPr>
        <w:t xml:space="preserve"> </w:t>
      </w:r>
    </w:p>
    <w:p w14:paraId="59ACAC92">
      <w:pPr>
        <w:pStyle w:val="21"/>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（四）项目绩效目标设置</w:t>
      </w:r>
    </w:p>
    <w:p w14:paraId="2FC6B88E">
      <w:pPr>
        <w:pStyle w:val="21"/>
        <w:keepNext w:val="0"/>
        <w:keepLines w:val="0"/>
        <w:pageBreakBefore w:val="0"/>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eastAsia="仿宋_GB2312" w:cs="Times New Roman"/>
          <w:b/>
          <w:bCs/>
          <w:color w:val="auto"/>
          <w:sz w:val="32"/>
          <w:szCs w:val="32"/>
          <w:lang w:val="en-US" w:eastAsia="zh-CN"/>
        </w:rPr>
        <w:t>1.项目</w:t>
      </w:r>
      <w:r>
        <w:rPr>
          <w:rFonts w:hint="eastAsia" w:ascii="Times New Roman" w:hAnsi="Times New Roman" w:eastAsia="仿宋_GB2312" w:cs="Times New Roman"/>
          <w:b/>
          <w:bCs/>
          <w:color w:val="auto"/>
          <w:sz w:val="32"/>
          <w:szCs w:val="32"/>
          <w:lang w:eastAsia="zh-CN"/>
        </w:rPr>
        <w:t>技术创新目标</w:t>
      </w:r>
    </w:p>
    <w:p w14:paraId="3AA5C64F">
      <w:pPr>
        <w:keepNext w:val="0"/>
        <w:keepLines w:val="0"/>
        <w:pageBreakBefore w:val="0"/>
        <w:widowControl/>
        <w:suppressLineNumbers w:val="0"/>
        <w:kinsoku/>
        <w:wordWrap/>
        <w:overflowPunct/>
        <w:topLinePunct w:val="0"/>
        <w:autoSpaceDE/>
        <w:autoSpaceDN/>
        <w:bidi w:val="0"/>
        <w:spacing w:line="180" w:lineRule="atLeast"/>
        <w:ind w:firstLine="640" w:firstLineChars="200"/>
        <w:jc w:val="left"/>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b/>
          <w:bCs/>
          <w:color w:val="auto"/>
          <w:kern w:val="2"/>
          <w:sz w:val="32"/>
          <w:szCs w:val="32"/>
          <w:lang w:val="en-US" w:eastAsia="zh-CN" w:bidi="ar-SA"/>
        </w:rPr>
        <w:t xml:space="preserve">监测网络体系 </w:t>
      </w:r>
    </w:p>
    <w:p w14:paraId="3DA2DCF0">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在生态区位重要的阿坝州理县、九寨沟建立松材线虫病智能监测网络体系各1套，有效抵制松材线虫病的入侵和发生。</w:t>
      </w:r>
    </w:p>
    <w:p w14:paraId="5337EE1F">
      <w:pPr>
        <w:pStyle w:val="21"/>
        <w:keepNext w:val="0"/>
        <w:keepLines w:val="0"/>
        <w:pageBreakBefore w:val="0"/>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（2）知识产权、论文论著</w:t>
      </w:r>
    </w:p>
    <w:p w14:paraId="6B9214D6">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申请发明专利1项，</w:t>
      </w:r>
      <w:r>
        <w:rPr>
          <w:rFonts w:hint="eastAsia" w:ascii="Times New Roman" w:hAnsi="Times New Roman" w:eastAsia="仿宋_GB2312" w:cs="Times New Roman"/>
          <w:color w:val="auto"/>
          <w:sz w:val="32"/>
          <w:szCs w:val="32"/>
          <w:lang w:eastAsia="zh-CN"/>
        </w:rPr>
        <w:t>公开</w:t>
      </w:r>
      <w:r>
        <w:rPr>
          <w:rFonts w:hint="eastAsia" w:ascii="Times New Roman" w:hAnsi="Times New Roman" w:eastAsia="仿宋_GB2312" w:cs="Times New Roman"/>
          <w:color w:val="auto"/>
          <w:sz w:val="32"/>
          <w:szCs w:val="32"/>
        </w:rPr>
        <w:t>发表论文</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篇。</w:t>
      </w:r>
    </w:p>
    <w:p w14:paraId="284F9593">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kern w:val="2"/>
          <w:sz w:val="32"/>
          <w:szCs w:val="32"/>
          <w:lang w:val="en-US" w:eastAsia="zh-CN" w:bidi="ar-SA"/>
        </w:rPr>
        <w:t xml:space="preserve">2.项目示范应用目标 </w:t>
      </w:r>
    </w:p>
    <w:p w14:paraId="75C809FA">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（1）示范基地及规模</w:t>
      </w:r>
    </w:p>
    <w:p w14:paraId="3E2DC1E0">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通过先进技术引进、转化、集成创新和推广应用，在理县和九寨沟分别建立5公里以上生物阻隔带，建立健康松林生态系统管理示范林50亩</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 xml:space="preserve"> </w:t>
      </w:r>
    </w:p>
    <w:p w14:paraId="69D4FB20">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（2）推广应用目标</w:t>
      </w:r>
    </w:p>
    <w:p w14:paraId="7EF2AD1D">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通过技术交流和培训，在阿坝州建立一支松材线虫病早期诊断和检测专业队伍，检测结果可靠性达95％以上。</w:t>
      </w:r>
    </w:p>
    <w:p w14:paraId="12EE83B8">
      <w:pPr>
        <w:pStyle w:val="21"/>
        <w:keepNext w:val="0"/>
        <w:keepLines w:val="0"/>
        <w:pageBreakBefore w:val="0"/>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3.人才引进及培训</w:t>
      </w:r>
    </w:p>
    <w:p w14:paraId="3BE46C59">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通过项目研究取得的技术成果，举办技术培训2期，培训技术人员100人次以上，发放培训资料400份以上；</w:t>
      </w:r>
      <w:r>
        <w:rPr>
          <w:rFonts w:hint="eastAsia" w:ascii="Times New Roman" w:hAnsi="Times New Roman" w:eastAsia="仿宋_GB2312" w:cs="Times New Roman"/>
          <w:color w:val="auto"/>
          <w:sz w:val="32"/>
          <w:szCs w:val="32"/>
          <w:lang w:eastAsia="zh-CN"/>
        </w:rPr>
        <w:t>通过项目实施、技术交流和培训进行人才培养，完成职称晋升高级</w:t>
      </w:r>
      <w:r>
        <w:rPr>
          <w:rFonts w:hint="eastAsia" w:ascii="Times New Roman" w:hAnsi="Times New Roman" w:eastAsia="仿宋_GB2312" w:cs="Times New Roman"/>
          <w:color w:val="auto"/>
          <w:sz w:val="32"/>
          <w:szCs w:val="32"/>
          <w:lang w:val="en-US" w:eastAsia="zh-CN"/>
        </w:rPr>
        <w:t>2人、中级2人。</w:t>
      </w:r>
    </w:p>
    <w:p w14:paraId="17B05A1A">
      <w:pPr>
        <w:pStyle w:val="21"/>
        <w:keepNext w:val="0"/>
        <w:keepLines w:val="0"/>
        <w:pageBreakBefore w:val="0"/>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4.社会效益目标</w:t>
      </w:r>
    </w:p>
    <w:p w14:paraId="223A64DC">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森林是“钱库、粮库、水库和碳库”，通过本项目的实施能够形成适合阿坝州区域特点的松材线虫病综合防控</w:t>
      </w:r>
      <w:r>
        <w:rPr>
          <w:rFonts w:hint="default" w:ascii="Times New Roman" w:hAnsi="Times New Roman" w:eastAsia="仿宋_GB2312" w:cs="Times New Roman"/>
          <w:color w:val="auto"/>
          <w:sz w:val="32"/>
          <w:szCs w:val="32"/>
          <w:lang w:val="en-US" w:eastAsia="zh-CN"/>
        </w:rPr>
        <w:t xml:space="preserve">技术体系，牢牢构筑松材线虫病的监测预警、阻截扑灭与防御减灾三道防线，根据不同区域风险等级采取相应 的防控措施，达到精准和高效防控，打造抵御松材线虫的坚强“堡垒”，显著提高阿坝州松材线虫病的综合防 控能力和水平，保护松林健康及森林生态安全，减少木材和经济损失，确保“森林是钱库、粮库、水库和碳 库”等经济、生态价值的实现，有力保障社会经济的可持续健康发展，因而经济、社会效益均十分显著。 </w:t>
      </w:r>
    </w:p>
    <w:p w14:paraId="3B4007E3">
      <w:pPr>
        <w:pStyle w:val="21"/>
        <w:keepNext w:val="0"/>
        <w:keepLines w:val="0"/>
        <w:pageBreakBefore w:val="0"/>
        <w:kinsoku/>
        <w:wordWrap/>
        <w:overflowPunct/>
        <w:topLinePunct w:val="0"/>
        <w:autoSpaceDE/>
        <w:autoSpaceDN/>
        <w:bidi w:val="0"/>
        <w:spacing w:line="180" w:lineRule="atLeas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2、项目自评工作开展情况</w:t>
      </w:r>
    </w:p>
    <w:p w14:paraId="3BFE9821">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为规范科技计划项目实施，确保项目的顺利开展和研发成效。根据阿坝州财政局关于开展2026年度州级部门预算绩效自评工作的通知要求，阿坝藏族羌族自治州生态保护和发展研究院资源和产业经济发展研究所组成了由所领导任组长，分管领导任副组长，研究室主任参加考评小组，对照绩效评价体系指标重点对项目组织管理、试验研究及示范基地建设、科技人员培训、知识产权和人才培养等方面逐项进行考评。</w:t>
      </w:r>
    </w:p>
    <w:p w14:paraId="677170BA">
      <w:pPr>
        <w:keepNext w:val="0"/>
        <w:keepLines w:val="0"/>
        <w:pageBreakBefore w:val="0"/>
        <w:numPr>
          <w:ilvl w:val="0"/>
          <w:numId w:val="0"/>
        </w:numPr>
        <w:tabs>
          <w:tab w:val="left" w:pos="5010"/>
        </w:tabs>
        <w:kinsoku/>
        <w:wordWrap/>
        <w:overflowPunct/>
        <w:topLinePunct w:val="0"/>
        <w:autoSpaceDE/>
        <w:autoSpaceDN/>
        <w:bidi w:val="0"/>
        <w:spacing w:line="180" w:lineRule="atLeast"/>
        <w:ind w:leftChars="0" w:firstLine="643" w:firstLineChars="20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二、评价实施</w:t>
      </w:r>
    </w:p>
    <w:p w14:paraId="7D5A185D">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（一）评价目的</w:t>
      </w:r>
    </w:p>
    <w:p w14:paraId="7B241188">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通过项目绩效评价了解和掌握项目资金使用情况和取得的效果，总结项目管理经验，发现项目管理存在的问题，进一步加强和规范项目资金管理，完善资金管理办法。规范科技计划项目实施，确保项目的顺利开展和研发成效。</w:t>
      </w:r>
    </w:p>
    <w:p w14:paraId="46A02589">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（二）预设问题及评价重点</w:t>
      </w:r>
    </w:p>
    <w:p w14:paraId="4DEDC402">
      <w:pPr>
        <w:keepNext w:val="0"/>
        <w:keepLines w:val="0"/>
        <w:pageBreakBefore w:val="0"/>
        <w:numPr>
          <w:ilvl w:val="0"/>
          <w:numId w:val="0"/>
        </w:numPr>
        <w:kinsoku/>
        <w:wordWrap/>
        <w:overflowPunct/>
        <w:topLinePunct w:val="0"/>
        <w:autoSpaceDE/>
        <w:autoSpaceDN/>
        <w:bidi w:val="0"/>
        <w:spacing w:line="180" w:lineRule="atLeast"/>
        <w:ind w:left="160" w:leftChars="0" w:firstLine="64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对照绩效评价体系指标重点对项目组织管理、试验研究及示范基地建设、科技人员培训、知识产权和人才培养等方面逐项进行考评。</w:t>
      </w:r>
    </w:p>
    <w:p w14:paraId="10CE41EE">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（三）评价选点</w:t>
      </w:r>
    </w:p>
    <w:p w14:paraId="6E2C214B">
      <w:pPr>
        <w:keepNext w:val="0"/>
        <w:keepLines w:val="0"/>
        <w:pageBreakBefore w:val="0"/>
        <w:numPr>
          <w:ilvl w:val="0"/>
          <w:numId w:val="0"/>
        </w:numPr>
        <w:kinsoku/>
        <w:wordWrap/>
        <w:overflowPunct/>
        <w:topLinePunct w:val="0"/>
        <w:autoSpaceDE/>
        <w:autoSpaceDN/>
        <w:bidi w:val="0"/>
        <w:spacing w:line="180" w:lineRule="atLeast"/>
        <w:textAlignment w:val="auto"/>
        <w:rPr>
          <w:rFonts w:hint="default" w:ascii="Times New Roman" w:hAnsi="Times New Roman" w:eastAsia="仿宋_GB2312" w:cs="Times New Roman"/>
          <w:color w:val="auto"/>
          <w:sz w:val="32"/>
          <w:szCs w:val="32"/>
          <w:lang w:val="en-US" w:eastAsia="zh-CN"/>
        </w:rPr>
      </w:pPr>
      <w:r>
        <w:rPr>
          <w:rFonts w:hint="eastAsia"/>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项目绩效评价健康松林示范林和生物阻隔带现地勘察抽样点位于理县下孟乡-沙吉村。</w:t>
      </w:r>
    </w:p>
    <w:p w14:paraId="3A9FF2B4">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（四）评价方法</w:t>
      </w:r>
    </w:p>
    <w:p w14:paraId="6BC093A0">
      <w:pPr>
        <w:keepNext w:val="0"/>
        <w:keepLines w:val="0"/>
        <w:pageBreakBefore w:val="0"/>
        <w:numPr>
          <w:ilvl w:val="0"/>
          <w:numId w:val="0"/>
        </w:numPr>
        <w:kinsoku/>
        <w:wordWrap/>
        <w:overflowPunct/>
        <w:topLinePunct w:val="0"/>
        <w:autoSpaceDE/>
        <w:autoSpaceDN/>
        <w:bidi w:val="0"/>
        <w:spacing w:line="180" w:lineRule="atLeast"/>
        <w:ind w:leftChars="100"/>
        <w:textAlignment w:val="auto"/>
        <w:rPr>
          <w:rFonts w:hint="eastAsia" w:ascii="Times New Roman" w:hAnsi="Times New Roman" w:eastAsia="仿宋_GB2312" w:cs="Times New Roman"/>
          <w:color w:val="auto"/>
          <w:sz w:val="32"/>
          <w:szCs w:val="32"/>
          <w:lang w:val="en-US" w:eastAsia="zh-CN"/>
        </w:rPr>
      </w:pPr>
      <w:r>
        <w:rPr>
          <w:rFonts w:hint="eastAsia"/>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根据本项目实际情况和评价重点，主要采用案卷研究法、单位自评和实地勘察相结合的方法开展项目绩效评价工作。</w:t>
      </w:r>
    </w:p>
    <w:p w14:paraId="4C04B042">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（五）评价组织</w:t>
      </w:r>
    </w:p>
    <w:p w14:paraId="36D7C2D8">
      <w:pPr>
        <w:keepNext w:val="0"/>
        <w:keepLines w:val="0"/>
        <w:pageBreakBefore w:val="0"/>
        <w:numPr>
          <w:ilvl w:val="0"/>
          <w:numId w:val="0"/>
        </w:numPr>
        <w:kinsoku/>
        <w:wordWrap/>
        <w:overflowPunct/>
        <w:topLinePunct w:val="0"/>
        <w:autoSpaceDE/>
        <w:autoSpaceDN/>
        <w:bidi w:val="0"/>
        <w:spacing w:line="180" w:lineRule="atLeast"/>
        <w:ind w:leftChars="0" w:firstLine="64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根据阿坝州财政局关于开展2026年度州级部门预算绩效自评工作的通知要求，阿坝藏族羌族自治州生态保护和发展研究院资源和产业经济发展研究所张利任组长，唐小强任副组长，研究室主任参加考评小组。</w:t>
      </w:r>
    </w:p>
    <w:p w14:paraId="379A6B61">
      <w:pPr>
        <w:pStyle w:val="21"/>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三、绩效分析</w:t>
      </w:r>
    </w:p>
    <w:p w14:paraId="37B3E6F4">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根据“阿坝州松材线虫病监测体系建设及健康经营技术研究与示范项目”专项预算绩效评价指标体系，评价小组采用“通用指标”涉及二、三级指标进行逐项分析并评分。自评得分85分。</w:t>
      </w:r>
    </w:p>
    <w:p w14:paraId="4170DC74">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1.项目决策：自评得分18分。</w:t>
      </w:r>
    </w:p>
    <w:p w14:paraId="2F84E89F">
      <w:pPr>
        <w:pStyle w:val="21"/>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eastAsia="仿宋_GB2312" w:cs="Calibri"/>
          <w:color w:val="auto"/>
          <w:sz w:val="32"/>
          <w:szCs w:val="32"/>
          <w:lang w:val="en-US" w:eastAsia="zh-CN"/>
        </w:rPr>
        <w:t>（1）决策程序：</w:t>
      </w:r>
      <w:r>
        <w:rPr>
          <w:rFonts w:hint="eastAsia" w:ascii="Times New Roman" w:hAnsi="Times New Roman" w:eastAsia="仿宋_GB2312" w:cs="Times New Roman"/>
          <w:color w:val="auto"/>
          <w:sz w:val="32"/>
          <w:szCs w:val="32"/>
          <w:lang w:val="en-US" w:eastAsia="zh-CN"/>
        </w:rPr>
        <w:t>项目设立、调整延续等方面符合资金管理基本规范和决策程序要求，自评得分6分。</w:t>
      </w:r>
    </w:p>
    <w:p w14:paraId="26B31D6B">
      <w:pPr>
        <w:keepNext w:val="0"/>
        <w:keepLines w:val="0"/>
        <w:pageBreakBefore w:val="0"/>
        <w:numPr>
          <w:ilvl w:val="0"/>
          <w:numId w:val="0"/>
        </w:numPr>
        <w:kinsoku/>
        <w:wordWrap/>
        <w:overflowPunct/>
        <w:topLinePunct w:val="0"/>
        <w:autoSpaceDE/>
        <w:autoSpaceDN/>
        <w:bidi w:val="0"/>
        <w:spacing w:line="180" w:lineRule="atLeast"/>
        <w:ind w:left="160" w:leftChars="0"/>
        <w:textAlignment w:val="auto"/>
        <w:rPr>
          <w:rFonts w:hint="eastAsia" w:ascii="Calibri" w:hAnsi="Calibri" w:eastAsia="仿宋_GB2312" w:cs="Calibri"/>
          <w:color w:val="auto"/>
          <w:kern w:val="2"/>
          <w:sz w:val="32"/>
          <w:szCs w:val="32"/>
          <w:lang w:val="en-US" w:eastAsia="zh-CN" w:bidi="ar-SA"/>
        </w:rPr>
      </w:pPr>
      <w:r>
        <w:rPr>
          <w:rFonts w:hint="eastAsia"/>
          <w:color w:val="auto"/>
          <w:sz w:val="32"/>
          <w:szCs w:val="32"/>
          <w:lang w:val="en-US" w:eastAsia="zh-CN"/>
        </w:rPr>
        <w:t xml:space="preserve">  </w:t>
      </w:r>
      <w:r>
        <w:rPr>
          <w:rFonts w:hint="eastAsia" w:ascii="Calibri" w:hAnsi="Calibri" w:eastAsia="仿宋_GB2312" w:cs="Calibri"/>
          <w:color w:val="auto"/>
          <w:kern w:val="2"/>
          <w:sz w:val="32"/>
          <w:szCs w:val="32"/>
          <w:lang w:val="en-US" w:eastAsia="zh-CN" w:bidi="ar-SA"/>
        </w:rPr>
        <w:t xml:space="preserve"> （2）规划论证：.项目规划符合中央、省委省政府有关决策部署安排，得1分；充分评估论证项目立项必要性、前瞻性、合理性和可行性，得3分。项目总体绩效目标设置合理性的偏离度≤15%，得2分；总体绩效目标科学合理、规范完整、量化细化、预算匹配。自评总得分6分。</w:t>
      </w:r>
    </w:p>
    <w:p w14:paraId="07A583DD">
      <w:pPr>
        <w:pStyle w:val="21"/>
        <w:keepNext w:val="0"/>
        <w:keepLines w:val="0"/>
        <w:pageBreakBefore w:val="0"/>
        <w:kinsoku/>
        <w:wordWrap/>
        <w:overflowPunct/>
        <w:topLinePunct w:val="0"/>
        <w:autoSpaceDE/>
        <w:autoSpaceDN/>
        <w:bidi w:val="0"/>
        <w:spacing w:line="180" w:lineRule="atLeast"/>
        <w:ind w:firstLine="640"/>
        <w:textAlignment w:val="auto"/>
        <w:rPr>
          <w:rFonts w:hint="eastAsia" w:ascii="Calibri" w:hAnsi="Calibri"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3）资金投向：属于政府支持范围，且符合财政事权支出责任划分规定，得1分；资金投向与项目总体规划、相关行业事业发展相匹配，得1分；是重点项目，体现“集中财力办大事”原则，避免“撒胡椒面”，得3分；未与其他同类项目或部门内部相关项目交叉重复，得1分。</w:t>
      </w:r>
      <w:r>
        <w:rPr>
          <w:rFonts w:hint="eastAsia" w:ascii="Calibri" w:hAnsi="Calibri" w:eastAsia="仿宋_GB2312" w:cs="Calibri"/>
          <w:color w:val="auto"/>
          <w:kern w:val="2"/>
          <w:sz w:val="32"/>
          <w:szCs w:val="32"/>
          <w:lang w:val="en-US" w:eastAsia="zh-CN" w:bidi="ar-SA"/>
        </w:rPr>
        <w:t>自评</w:t>
      </w:r>
      <w:r>
        <w:rPr>
          <w:rFonts w:hint="eastAsia" w:eastAsia="仿宋_GB2312" w:cs="Calibri"/>
          <w:color w:val="auto"/>
          <w:kern w:val="2"/>
          <w:sz w:val="32"/>
          <w:szCs w:val="32"/>
          <w:lang w:val="en-US" w:eastAsia="zh-CN" w:bidi="ar-SA"/>
        </w:rPr>
        <w:t>总</w:t>
      </w:r>
      <w:r>
        <w:rPr>
          <w:rFonts w:hint="eastAsia" w:ascii="Calibri" w:hAnsi="Calibri" w:eastAsia="仿宋_GB2312" w:cs="Calibri"/>
          <w:color w:val="auto"/>
          <w:kern w:val="2"/>
          <w:sz w:val="32"/>
          <w:szCs w:val="32"/>
          <w:lang w:val="en-US" w:eastAsia="zh-CN" w:bidi="ar-SA"/>
        </w:rPr>
        <w:t>得分</w:t>
      </w:r>
      <w:r>
        <w:rPr>
          <w:rFonts w:hint="eastAsia" w:eastAsia="仿宋_GB2312" w:cs="Calibri"/>
          <w:color w:val="auto"/>
          <w:kern w:val="2"/>
          <w:sz w:val="32"/>
          <w:szCs w:val="32"/>
          <w:lang w:val="en-US" w:eastAsia="zh-CN" w:bidi="ar-SA"/>
        </w:rPr>
        <w:t>6</w:t>
      </w:r>
      <w:r>
        <w:rPr>
          <w:rFonts w:hint="eastAsia" w:ascii="Calibri" w:hAnsi="Calibri" w:eastAsia="仿宋_GB2312" w:cs="Calibri"/>
          <w:color w:val="auto"/>
          <w:kern w:val="2"/>
          <w:sz w:val="32"/>
          <w:szCs w:val="32"/>
          <w:lang w:val="en-US" w:eastAsia="zh-CN" w:bidi="ar-SA"/>
        </w:rPr>
        <w:t>分。</w:t>
      </w:r>
    </w:p>
    <w:p w14:paraId="35A704C0">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Calibri" w:hAnsi="Calibri" w:eastAsia="仿宋_GB2312" w:cs="Calibri"/>
          <w:b/>
          <w:bCs/>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2.项目管理：自评得分15分。</w:t>
      </w:r>
    </w:p>
    <w:p w14:paraId="5BD7CABE">
      <w:pPr>
        <w:pStyle w:val="21"/>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Calibri" w:hAnsi="Calibri"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（1）</w:t>
      </w:r>
      <w:r>
        <w:rPr>
          <w:rFonts w:hint="eastAsia" w:ascii="Calibri" w:hAnsi="Calibri" w:eastAsia="仿宋_GB2312" w:cs="Calibri"/>
          <w:color w:val="auto"/>
          <w:kern w:val="2"/>
          <w:sz w:val="32"/>
          <w:szCs w:val="32"/>
          <w:lang w:val="en-US" w:eastAsia="zh-CN" w:bidi="ar-SA"/>
        </w:rPr>
        <w:t>制度办法：项目制度办法是否体系健全、要素完备，自评得分</w:t>
      </w:r>
      <w:r>
        <w:rPr>
          <w:rFonts w:hint="eastAsia" w:eastAsia="仿宋_GB2312" w:cs="Calibri"/>
          <w:color w:val="auto"/>
          <w:kern w:val="2"/>
          <w:sz w:val="32"/>
          <w:szCs w:val="32"/>
          <w:lang w:val="en-US" w:eastAsia="zh-CN" w:bidi="ar-SA"/>
        </w:rPr>
        <w:t>2</w:t>
      </w:r>
      <w:r>
        <w:rPr>
          <w:rFonts w:hint="eastAsia" w:ascii="Calibri" w:hAnsi="Calibri" w:eastAsia="仿宋_GB2312" w:cs="Calibri"/>
          <w:color w:val="auto"/>
          <w:kern w:val="2"/>
          <w:sz w:val="32"/>
          <w:szCs w:val="32"/>
          <w:lang w:val="en-US" w:eastAsia="zh-CN" w:bidi="ar-SA"/>
        </w:rPr>
        <w:t>分。</w:t>
      </w:r>
    </w:p>
    <w:p w14:paraId="5FFAA6B8">
      <w:pPr>
        <w:keepNext w:val="0"/>
        <w:keepLines w:val="0"/>
        <w:pageBreakBefore w:val="0"/>
        <w:kinsoku/>
        <w:wordWrap/>
        <w:overflowPunct/>
        <w:topLinePunct w:val="0"/>
        <w:autoSpaceDE/>
        <w:autoSpaceDN/>
        <w:bidi w:val="0"/>
        <w:spacing w:line="180" w:lineRule="atLeast"/>
        <w:ind w:firstLine="640" w:firstLineChars="200"/>
        <w:textAlignment w:val="auto"/>
        <w:rPr>
          <w:rFonts w:hint="eastAsia" w:ascii="Calibri" w:hAnsi="Calibri" w:eastAsia="仿宋_GB2312" w:cs="Calibri"/>
          <w:color w:val="auto"/>
          <w:kern w:val="2"/>
          <w:sz w:val="32"/>
          <w:szCs w:val="32"/>
          <w:lang w:val="en-US" w:eastAsia="zh-CN" w:bidi="ar-SA"/>
        </w:rPr>
      </w:pPr>
      <w:r>
        <w:rPr>
          <w:rFonts w:hint="eastAsia" w:ascii="Calibri" w:hAnsi="Calibri" w:eastAsia="仿宋_GB2312" w:cs="Calibri"/>
          <w:color w:val="auto"/>
          <w:kern w:val="2"/>
          <w:sz w:val="32"/>
          <w:szCs w:val="32"/>
          <w:lang w:val="en-US" w:eastAsia="zh-CN" w:bidi="ar-SA"/>
        </w:rPr>
        <w:t>（2）分配管理：项目资金分配因素选取、权重设置、区域分布，项目管理、审批符合管理要求。自评得分8分。</w:t>
      </w:r>
    </w:p>
    <w:p w14:paraId="47173BD4">
      <w:pPr>
        <w:pStyle w:val="21"/>
        <w:keepNext w:val="0"/>
        <w:keepLines w:val="0"/>
        <w:pageBreakBefore w:val="0"/>
        <w:kinsoku/>
        <w:wordWrap/>
        <w:overflowPunct/>
        <w:topLinePunct w:val="0"/>
        <w:autoSpaceDE/>
        <w:autoSpaceDN/>
        <w:bidi w:val="0"/>
        <w:spacing w:line="180" w:lineRule="atLeast"/>
        <w:ind w:firstLine="640" w:firstLineChars="200"/>
        <w:textAlignment w:val="auto"/>
        <w:rPr>
          <w:rFonts w:hint="eastAsia"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3）绩效监管：项目是按要求全面完成绩效目标（含事前评估）、绩效评价、以前年度问题整改等预算绩效管理工作，得3分；省级部门对市县主管部门预算绩效管理要求到位，开展了评价、监督、指导等工作，得分2。自评总得分5分。</w:t>
      </w:r>
    </w:p>
    <w:p w14:paraId="1A6FCA7B">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Calibri" w:hAnsi="Calibri" w:eastAsia="仿宋_GB2312" w:cs="Calibri"/>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3.项目实施：自评得分8分。</w:t>
      </w:r>
    </w:p>
    <w:p w14:paraId="605BFEF2">
      <w:pPr>
        <w:keepNext w:val="0"/>
        <w:keepLines w:val="0"/>
        <w:pageBreakBefore w:val="0"/>
        <w:kinsoku/>
        <w:wordWrap/>
        <w:overflowPunct/>
        <w:topLinePunct w:val="0"/>
        <w:autoSpaceDE/>
        <w:autoSpaceDN/>
        <w:bidi w:val="0"/>
        <w:spacing w:line="180" w:lineRule="atLeast"/>
        <w:ind w:firstLine="643" w:firstLineChars="200"/>
        <w:textAlignment w:val="auto"/>
        <w:rPr>
          <w:rFonts w:hint="default" w:ascii="Calibri" w:hAnsi="Calibri" w:eastAsia="仿宋_GB2312" w:cs="Calibri"/>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（1）预算执行：</w:t>
      </w:r>
      <w:r>
        <w:rPr>
          <w:rFonts w:hint="eastAsia" w:ascii="Calibri" w:hAnsi="Calibri" w:eastAsia="仿宋_GB2312" w:cs="Calibri"/>
          <w:color w:val="auto"/>
          <w:kern w:val="2"/>
          <w:sz w:val="32"/>
          <w:szCs w:val="32"/>
          <w:lang w:val="en-US" w:eastAsia="zh-CN" w:bidi="ar-SA"/>
        </w:rPr>
        <w:t>项目资金财政拨付率100%、单位资金使用率93%，自评得分5分。</w:t>
      </w:r>
    </w:p>
    <w:p w14:paraId="7309B0BF">
      <w:pPr>
        <w:keepNext w:val="0"/>
        <w:keepLines w:val="0"/>
        <w:pageBreakBefore w:val="0"/>
        <w:kinsoku/>
        <w:wordWrap/>
        <w:overflowPunct/>
        <w:topLinePunct w:val="0"/>
        <w:autoSpaceDE/>
        <w:autoSpaceDN/>
        <w:bidi w:val="0"/>
        <w:spacing w:line="180" w:lineRule="atLeast"/>
        <w:ind w:firstLine="643" w:firstLineChars="200"/>
        <w:textAlignment w:val="auto"/>
        <w:rPr>
          <w:rFonts w:hint="eastAsia" w:eastAsia="仿宋_GB2312" w:cs="Calibri"/>
          <w:b/>
          <w:bCs/>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（2）资金使用：</w:t>
      </w:r>
      <w:r>
        <w:rPr>
          <w:rFonts w:hint="eastAsia" w:ascii="Calibri" w:hAnsi="Calibri" w:eastAsia="仿宋_GB2312" w:cs="Calibri"/>
          <w:color w:val="auto"/>
          <w:kern w:val="2"/>
          <w:sz w:val="32"/>
          <w:szCs w:val="32"/>
          <w:lang w:val="en-US"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自评得分3分。</w:t>
      </w:r>
    </w:p>
    <w:p w14:paraId="66F2D580">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eastAsia="仿宋_GB2312" w:cs="Calibri"/>
          <w:b/>
          <w:bCs/>
          <w:color w:val="auto"/>
          <w:kern w:val="2"/>
          <w:sz w:val="32"/>
          <w:szCs w:val="32"/>
          <w:lang w:val="en-US" w:eastAsia="zh-CN" w:bidi="ar-SA"/>
        </w:rPr>
      </w:pPr>
      <w:r>
        <w:rPr>
          <w:rFonts w:hint="eastAsia" w:eastAsia="仿宋_GB2312" w:cs="Calibri"/>
          <w:b/>
          <w:bCs/>
          <w:color w:val="auto"/>
          <w:kern w:val="2"/>
          <w:sz w:val="32"/>
          <w:szCs w:val="32"/>
          <w:lang w:val="en-US" w:eastAsia="zh-CN" w:bidi="ar-SA"/>
        </w:rPr>
        <w:t>4.项目结果：自评得分9分。</w:t>
      </w:r>
    </w:p>
    <w:p w14:paraId="240C0E00">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Calibri" w:hAnsi="Calibri" w:eastAsia="仿宋_GB2312" w:cs="Calibri"/>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（1）目标完成：</w:t>
      </w:r>
      <w:r>
        <w:rPr>
          <w:rFonts w:hint="eastAsia" w:ascii="Calibri" w:hAnsi="Calibri" w:eastAsia="仿宋_GB2312" w:cs="Calibri"/>
          <w:color w:val="auto"/>
          <w:kern w:val="2"/>
          <w:sz w:val="32"/>
          <w:szCs w:val="32"/>
          <w:lang w:val="en-US" w:eastAsia="zh-CN" w:bidi="ar-SA"/>
        </w:rPr>
        <w:t>项目完成预期目标，实施结果与绩效目标相匹配，自评得分6分。</w:t>
      </w:r>
    </w:p>
    <w:p w14:paraId="78813418">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eastAsia="仿宋_GB2312" w:cs="Calibri"/>
          <w:color w:val="auto"/>
          <w:kern w:val="2"/>
          <w:sz w:val="32"/>
          <w:szCs w:val="32"/>
          <w:lang w:val="en-US" w:eastAsia="zh-CN" w:bidi="ar-SA"/>
        </w:rPr>
      </w:pPr>
      <w:r>
        <w:rPr>
          <w:rFonts w:hint="eastAsia" w:ascii="Calibri" w:hAnsi="Calibri" w:eastAsia="仿宋_GB2312" w:cs="Calibri"/>
          <w:b/>
          <w:bCs/>
          <w:color w:val="auto"/>
          <w:kern w:val="2"/>
          <w:sz w:val="32"/>
          <w:szCs w:val="32"/>
          <w:lang w:val="en-US" w:eastAsia="zh-CN" w:bidi="ar-SA"/>
        </w:rPr>
        <w:t>（2）完成时效：</w:t>
      </w:r>
      <w:r>
        <w:rPr>
          <w:rFonts w:hint="eastAsia" w:eastAsia="仿宋_GB2312" w:cs="Calibri"/>
          <w:color w:val="auto"/>
          <w:kern w:val="2"/>
          <w:sz w:val="32"/>
          <w:szCs w:val="32"/>
          <w:lang w:val="en-US" w:eastAsia="zh-CN" w:bidi="ar-SA"/>
        </w:rPr>
        <w:t>项目实际完成时间与计划完成时间相同，自评得分3分。</w:t>
      </w:r>
    </w:p>
    <w:p w14:paraId="4A07D37A">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eastAsia="仿宋_GB2312" w:cs="Calibri"/>
          <w:b/>
          <w:bCs/>
          <w:color w:val="auto"/>
          <w:kern w:val="2"/>
          <w:sz w:val="32"/>
          <w:szCs w:val="32"/>
          <w:lang w:val="en-US" w:eastAsia="zh-CN" w:bidi="ar-SA"/>
        </w:rPr>
      </w:pPr>
      <w:r>
        <w:rPr>
          <w:rFonts w:hint="eastAsia" w:eastAsia="仿宋_GB2312" w:cs="Calibri"/>
          <w:b/>
          <w:bCs/>
          <w:color w:val="auto"/>
          <w:kern w:val="2"/>
          <w:sz w:val="32"/>
          <w:szCs w:val="32"/>
          <w:lang w:val="en-US" w:eastAsia="zh-CN" w:bidi="ar-SA"/>
        </w:rPr>
        <w:t>5.民生保障：自评得分25分。</w:t>
      </w:r>
    </w:p>
    <w:p w14:paraId="2BED5D42">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（1）区域均衡：区域均衡情况得到改善、区域间差距缩小，自评得分8分。</w:t>
      </w:r>
    </w:p>
    <w:p w14:paraId="595BBED7">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（2）对象精准性：资金实际支付对象符合管理要求，符合支持对象，自评得分9分。</w:t>
      </w:r>
    </w:p>
    <w:p w14:paraId="4D910BC6">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（3）标准合理性：资金实际补贴标准符合资金管理办法规定的补助标准及时按标准兑现，自评得分4分。</w:t>
      </w:r>
    </w:p>
    <w:p w14:paraId="3CDB9955">
      <w:pPr>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eastAsia="仿宋_GB2312" w:cs="Calibri"/>
          <w:color w:val="auto"/>
          <w:kern w:val="2"/>
          <w:sz w:val="32"/>
          <w:szCs w:val="32"/>
          <w:lang w:val="en-US" w:eastAsia="zh-CN" w:bidi="ar-SA"/>
        </w:rPr>
      </w:pPr>
      <w:r>
        <w:rPr>
          <w:rFonts w:hint="eastAsia" w:eastAsia="仿宋_GB2312" w:cs="Calibri"/>
          <w:color w:val="auto"/>
          <w:kern w:val="2"/>
          <w:sz w:val="32"/>
          <w:szCs w:val="32"/>
          <w:lang w:val="en-US" w:eastAsia="zh-CN" w:bidi="ar-SA"/>
        </w:rPr>
        <w:t>(4)群众满意度：群众满意度调查自评得分4分。</w:t>
      </w:r>
    </w:p>
    <w:p w14:paraId="6EB1E3F9">
      <w:pPr>
        <w:rPr>
          <w:rFonts w:hint="eastAsia" w:ascii="Calibri" w:hAnsi="Calibri" w:eastAsia="仿宋_GB2312" w:cs="Calibri"/>
          <w:b/>
          <w:bCs/>
          <w:color w:val="auto"/>
          <w:kern w:val="2"/>
          <w:sz w:val="32"/>
          <w:szCs w:val="32"/>
          <w:lang w:val="en-US" w:eastAsia="zh-CN" w:bidi="ar-SA"/>
        </w:rPr>
      </w:pPr>
      <w:r>
        <w:rPr>
          <w:rFonts w:hint="eastAsia"/>
          <w:color w:val="auto"/>
          <w:sz w:val="32"/>
          <w:szCs w:val="32"/>
          <w:lang w:val="en-US" w:eastAsia="zh-CN"/>
        </w:rPr>
        <w:t xml:space="preserve">   </w:t>
      </w:r>
      <w:r>
        <w:rPr>
          <w:rFonts w:hint="eastAsia" w:ascii="Calibri" w:hAnsi="Calibri" w:eastAsia="仿宋_GB2312" w:cs="Calibri"/>
          <w:b/>
          <w:bCs/>
          <w:color w:val="auto"/>
          <w:kern w:val="2"/>
          <w:sz w:val="32"/>
          <w:szCs w:val="32"/>
          <w:lang w:val="en-US" w:eastAsia="zh-CN" w:bidi="ar-SA"/>
        </w:rPr>
        <w:t xml:space="preserve"> 6.个性指标：自评得分10分</w:t>
      </w:r>
    </w:p>
    <w:p w14:paraId="6D4F58C8">
      <w:pPr>
        <w:pStyle w:val="21"/>
        <w:rPr>
          <w:rFonts w:hint="eastAsia" w:eastAsia="仿宋_GB2312" w:cs="Calibri" w:asciiTheme="minorHAnsi" w:hAnsiTheme="minorHAnsi"/>
          <w:color w:val="auto"/>
          <w:kern w:val="2"/>
          <w:sz w:val="32"/>
          <w:szCs w:val="32"/>
          <w:lang w:val="en-US" w:eastAsia="zh-CN" w:bidi="ar-SA"/>
        </w:rPr>
      </w:pPr>
      <w:r>
        <w:rPr>
          <w:rFonts w:hint="eastAsia"/>
          <w:color w:val="auto"/>
          <w:sz w:val="32"/>
          <w:szCs w:val="32"/>
          <w:lang w:val="en-US" w:eastAsia="zh-CN"/>
        </w:rPr>
        <w:t xml:space="preserve">  </w:t>
      </w:r>
      <w:r>
        <w:rPr>
          <w:rFonts w:hint="eastAsia" w:eastAsia="仿宋_GB2312" w:cs="Calibri" w:asciiTheme="minorHAnsi" w:hAnsiTheme="minorHAnsi"/>
          <w:color w:val="auto"/>
          <w:kern w:val="2"/>
          <w:sz w:val="32"/>
          <w:szCs w:val="32"/>
          <w:lang w:val="en-US" w:eastAsia="zh-CN" w:bidi="ar-SA"/>
        </w:rPr>
        <w:t xml:space="preserve"> （1）生态环境保护：有效预防森林松材线虫病的发生增加森林生态效益，自评得分6分。</w:t>
      </w:r>
    </w:p>
    <w:p w14:paraId="60C052D3">
      <w:pPr>
        <w:rPr>
          <w:rFonts w:hint="default" w:eastAsia="仿宋_GB2312" w:cs="Calibri" w:asciiTheme="minorHAnsi" w:hAnsiTheme="minorHAnsi"/>
          <w:color w:val="auto"/>
          <w:kern w:val="2"/>
          <w:sz w:val="32"/>
          <w:szCs w:val="32"/>
          <w:lang w:val="en-US" w:eastAsia="zh-CN" w:bidi="ar-SA"/>
        </w:rPr>
      </w:pPr>
      <w:r>
        <w:rPr>
          <w:rFonts w:hint="eastAsia" w:eastAsia="仿宋_GB2312" w:cs="Calibri" w:asciiTheme="minorHAnsi" w:hAnsiTheme="minorHAnsi"/>
          <w:color w:val="auto"/>
          <w:kern w:val="2"/>
          <w:sz w:val="32"/>
          <w:szCs w:val="32"/>
          <w:lang w:val="en-US" w:eastAsia="zh-CN" w:bidi="ar-SA"/>
        </w:rPr>
        <w:t xml:space="preserve">   （2）项目群众受益：项目务工人员是山区群众，增加老百姓收入，自评得分4分。</w:t>
      </w:r>
    </w:p>
    <w:p w14:paraId="13C42680">
      <w:pPr>
        <w:pStyle w:val="21"/>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四、评价结论</w:t>
      </w:r>
    </w:p>
    <w:p w14:paraId="28B045EC">
      <w:pPr>
        <w:keepNext w:val="0"/>
        <w:keepLines w:val="0"/>
        <w:pageBreakBefore w:val="0"/>
        <w:widowControl/>
        <w:suppressLineNumbers w:val="0"/>
        <w:kinsoku/>
        <w:wordWrap/>
        <w:overflowPunct/>
        <w:topLinePunct w:val="0"/>
        <w:autoSpaceDE/>
        <w:autoSpaceDN/>
        <w:bidi w:val="0"/>
        <w:spacing w:line="180" w:lineRule="atLeast"/>
        <w:ind w:firstLine="643" w:firstLineChars="200"/>
        <w:jc w:val="both"/>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（一）项目绩效自评总体结论</w:t>
      </w:r>
    </w:p>
    <w:p w14:paraId="2D46F7EA">
      <w:pPr>
        <w:keepNext w:val="0"/>
        <w:keepLines w:val="0"/>
        <w:pageBreakBefore w:val="0"/>
        <w:widowControl/>
        <w:suppressLineNumbers w:val="0"/>
        <w:kinsoku/>
        <w:wordWrap/>
        <w:overflowPunct/>
        <w:topLinePunct w:val="0"/>
        <w:autoSpaceDE/>
        <w:autoSpaceDN/>
        <w:bidi w:val="0"/>
        <w:spacing w:line="180" w:lineRule="atLeast"/>
        <w:ind w:firstLine="640" w:firstLineChars="200"/>
        <w:jc w:val="both"/>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color w:val="auto"/>
          <w:sz w:val="32"/>
          <w:szCs w:val="32"/>
          <w:lang w:val="en-US" w:eastAsia="zh-CN"/>
        </w:rPr>
        <w:t>根据阿坝州财政局关于开展2026年度州级部门预算绩效自评工作的通知要求，阿坝藏族羌族自治州生态保护和发展研究院资源和产业经济发展研究所成立了专项资金绩效自评小组，对照绩效评价体系重点对项目组织管理、体系改革与建设、健康松林生态系统管理示范基地建设、技术人员培训、知识产权及人才培养等方面逐项进行考评，自评结果得85分。</w:t>
      </w:r>
    </w:p>
    <w:p w14:paraId="00C98695">
      <w:pPr>
        <w:keepNext w:val="0"/>
        <w:keepLines w:val="0"/>
        <w:pageBreakBefore w:val="0"/>
        <w:widowControl/>
        <w:suppressLineNumbers w:val="0"/>
        <w:kinsoku/>
        <w:wordWrap/>
        <w:overflowPunct/>
        <w:topLinePunct w:val="0"/>
        <w:autoSpaceDE/>
        <w:autoSpaceDN/>
        <w:bidi w:val="0"/>
        <w:spacing w:line="180" w:lineRule="atLeast"/>
        <w:ind w:firstLine="643" w:firstLineChars="200"/>
        <w:jc w:val="both"/>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（二）项目实施情况</w:t>
      </w:r>
    </w:p>
    <w:p w14:paraId="517AE503">
      <w:pPr>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1.建立试验示范基地</w:t>
      </w:r>
    </w:p>
    <w:p w14:paraId="0CA1EDEB">
      <w:pPr>
        <w:pStyle w:val="21"/>
        <w:keepNext w:val="0"/>
        <w:keepLines w:val="0"/>
        <w:pageBreakBefore w:val="0"/>
        <w:numPr>
          <w:ilvl w:val="0"/>
          <w:numId w:val="0"/>
        </w:numPr>
        <w:kinsoku/>
        <w:wordWrap/>
        <w:overflowPunct/>
        <w:topLinePunct w:val="0"/>
        <w:autoSpaceDE/>
        <w:autoSpaceDN/>
        <w:bidi w:val="0"/>
        <w:spacing w:line="180" w:lineRule="atLeast"/>
        <w:ind w:leftChars="0" w:firstLine="640"/>
        <w:textAlignment w:val="auto"/>
        <w:rPr>
          <w:rFonts w:hint="eastAsia" w:ascii="Times New Roman" w:hAnsi="Times New Roman" w:eastAsia="仿宋_GB2312" w:cs="Times New Roman"/>
          <w:color w:val="auto"/>
          <w:sz w:val="32"/>
          <w:szCs w:val="32"/>
          <w:lang w:val="en-US" w:eastAsia="zh-CN"/>
        </w:rPr>
      </w:pPr>
      <w:r>
        <w:rPr>
          <w:rFonts w:hint="eastAsia"/>
          <w:color w:val="auto"/>
          <w:sz w:val="32"/>
          <w:szCs w:val="32"/>
          <w:lang w:val="en-US" w:eastAsia="zh-CN"/>
        </w:rPr>
        <w:t>按照</w:t>
      </w:r>
      <w:r>
        <w:rPr>
          <w:rFonts w:hint="eastAsia" w:ascii="Times New Roman" w:hAnsi="Times New Roman" w:eastAsia="仿宋_GB2312" w:cs="Times New Roman"/>
          <w:color w:val="auto"/>
          <w:sz w:val="32"/>
          <w:szCs w:val="32"/>
          <w:lang w:val="en-US" w:eastAsia="zh-CN"/>
        </w:rPr>
        <w:t>健康松林生态系统管理示范林和生物阻隔带建设要求和目的，建立健康松林生态系统管理示范林理县53亩、九寨沟54亩。建立物阻隔带理县5.2公里、九寨沟5.6公里。</w:t>
      </w:r>
    </w:p>
    <w:p w14:paraId="7326CD77">
      <w:pPr>
        <w:keepNext w:val="0"/>
        <w:keepLines w:val="0"/>
        <w:pageBreakBefore w:val="0"/>
        <w:numPr>
          <w:ilvl w:val="0"/>
          <w:numId w:val="0"/>
        </w:numPr>
        <w:kinsoku/>
        <w:wordWrap/>
        <w:overflowPunct/>
        <w:topLinePunct w:val="0"/>
        <w:autoSpaceDE/>
        <w:autoSpaceDN/>
        <w:bidi w:val="0"/>
        <w:spacing w:line="180" w:lineRule="atLeas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2.积极申报专利、发表论文</w:t>
      </w:r>
    </w:p>
    <w:p w14:paraId="40897E86">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（1）专利</w:t>
      </w:r>
    </w:p>
    <w:p w14:paraId="2D817B04">
      <w:pPr>
        <w:keepNext w:val="0"/>
        <w:keepLines w:val="0"/>
        <w:pageBreakBefore w:val="0"/>
        <w:numPr>
          <w:ilvl w:val="0"/>
          <w:numId w:val="0"/>
        </w:numPr>
        <w:tabs>
          <w:tab w:val="left" w:pos="5010"/>
        </w:tabs>
        <w:kinsoku/>
        <w:wordWrap/>
        <w:overflowPunct/>
        <w:topLinePunct w:val="0"/>
        <w:autoSpaceDE/>
        <w:autoSpaceDN/>
        <w:bidi w:val="0"/>
        <w:spacing w:line="180" w:lineRule="atLeas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   目前已授权利发明专利1项，发明专利名称：“基于遥感监测的松材线虫病识别系统及方法”，专利编号:ZL 2024 1 0117356.7。专利授权公告:22024年03月29日。专利权人：阿坝州林业和草原科学技术研究所、浙江省林业科学研究院。</w:t>
      </w:r>
    </w:p>
    <w:p w14:paraId="067007AF">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（2）论文</w:t>
      </w:r>
    </w:p>
    <w:p w14:paraId="1867F69B">
      <w:pPr>
        <w:pStyle w:val="21"/>
        <w:keepNext w:val="0"/>
        <w:keepLines w:val="0"/>
        <w:pageBreakBefore w:val="0"/>
        <w:numPr>
          <w:ilvl w:val="0"/>
          <w:numId w:val="0"/>
        </w:numPr>
        <w:kinsoku/>
        <w:wordWrap/>
        <w:overflowPunct/>
        <w:topLinePunct w:val="0"/>
        <w:autoSpaceDE/>
        <w:autoSpaceDN/>
        <w:bidi w:val="0"/>
        <w:spacing w:line="180" w:lineRule="atLeast"/>
        <w:ind w:leftChars="0" w:firstLine="640"/>
        <w:textAlignment w:val="auto"/>
        <w:rPr>
          <w:rFonts w:hint="eastAsia" w:ascii="Times New Roman" w:hAnsi="Times New Roman" w:eastAsia="仿宋_GB2312" w:cs="Times New Roman"/>
          <w:color w:val="auto"/>
          <w:sz w:val="32"/>
          <w:szCs w:val="32"/>
          <w:lang w:val="en-US" w:eastAsia="zh-CN"/>
        </w:rPr>
      </w:pPr>
      <w:r>
        <w:rPr>
          <w:rFonts w:hint="default" w:ascii="Calibri" w:hAnsi="Calibri" w:eastAsia="仿宋_GB2312" w:cs="Calibri"/>
          <w:color w:val="auto"/>
          <w:sz w:val="32"/>
          <w:szCs w:val="32"/>
          <w:lang w:val="en-US" w:eastAsia="zh-CN"/>
        </w:rPr>
        <w:t>①</w:t>
      </w:r>
      <w:r>
        <w:rPr>
          <w:rFonts w:hint="eastAsia" w:ascii="Times New Roman" w:hAnsi="Times New Roman" w:eastAsia="仿宋_GB2312" w:cs="Times New Roman"/>
          <w:color w:val="auto"/>
          <w:sz w:val="32"/>
          <w:szCs w:val="32"/>
          <w:lang w:val="en-US" w:eastAsia="zh-CN"/>
        </w:rPr>
        <w:t>王盼，徐舟，孟明琴，陈玥，张利，刘建霞，何建社，刘千里，陈友吾.“川西北地区2种典型人工林森林质量评价”，《四川林业科技》2024年，第45卷第2期。</w:t>
      </w:r>
    </w:p>
    <w:p w14:paraId="5473F847">
      <w:pPr>
        <w:ind w:firstLine="64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②</w:t>
      </w:r>
      <w:r>
        <w:rPr>
          <w:rFonts w:hint="eastAsia" w:ascii="Times New Roman" w:hAnsi="Times New Roman" w:eastAsia="仿宋_GB2312" w:cs="Times New Roman"/>
          <w:color w:val="auto"/>
          <w:kern w:val="2"/>
          <w:sz w:val="32"/>
          <w:szCs w:val="32"/>
          <w:lang w:val="en-US" w:eastAsia="zh-CN" w:bidi="ar-SA"/>
        </w:rPr>
        <w:t>王子铜，叶碧欢，史肖肖，李海波，宋其岩，张利，何建设，陈友吾.“松材线虫病潜伏浸染规律初探”《植物检疫》2024年第5期。</w:t>
      </w:r>
    </w:p>
    <w:p w14:paraId="33B99316">
      <w:pPr>
        <w:pStyle w:val="21"/>
        <w:ind w:firstLine="640"/>
        <w:rPr>
          <w:rFonts w:hint="eastAsia"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③</w:t>
      </w:r>
      <w:r>
        <w:rPr>
          <w:rFonts w:hint="eastAsia" w:ascii="Times New Roman" w:hAnsi="Times New Roman" w:eastAsia="仿宋_GB2312" w:cs="Times New Roman"/>
          <w:color w:val="auto"/>
          <w:kern w:val="2"/>
          <w:sz w:val="32"/>
          <w:szCs w:val="32"/>
          <w:lang w:val="en-US" w:eastAsia="zh-CN" w:bidi="ar-SA"/>
        </w:rPr>
        <w:t>陈税，席桂英，杨晓梅，洪海毅，单凤娇，张利，刘建霞.“阿坝州林业有害生物发生防治情况分析”，《四川农业科技》2025年第5期。</w:t>
      </w:r>
    </w:p>
    <w:p w14:paraId="7D838A52">
      <w:pPr>
        <w:pStyle w:val="21"/>
        <w:ind w:firstLine="64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④宋其岩，沈建军，史肖肖，陈友吾，李海波，叶碧欢.“24种植物精油对松材线虫的毒杀效果及山苍子精油复配增效作用研究”，《东北林业大学学报》2025年第5期。</w:t>
      </w:r>
    </w:p>
    <w:p w14:paraId="68BFBEED">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3.技术人员培训</w:t>
      </w:r>
    </w:p>
    <w:p w14:paraId="3C55D1E9">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为进一步提高阿坝州科学防控松材线虫病的技术水平和林草生物安全意识，项目组组织了115人技术人员，分期分批参加了集中培训，2023年12月25日—29日杭州参加松材线虫病早期诊断和综合防控技术培训21人，2024年5月29日—31日在阿坝州理县参加松材线虫病早期诊断和综合防控技术培训94人，发放技术资料560份。</w:t>
      </w:r>
    </w:p>
    <w:p w14:paraId="16D2027D">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4.加强人才培养</w:t>
      </w:r>
    </w:p>
    <w:p w14:paraId="3510AAA8">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通过理论与实践相结合进行人才培养，项目组安排专业技术人员参与到项目研究工作中，从而提高他们实际操作能力。 2023年—2025年项目共培养专业技术人员4名，2人晋升为高级、2人晋升为中级。</w:t>
      </w:r>
    </w:p>
    <w:p w14:paraId="31C2CA3A">
      <w:pPr>
        <w:pStyle w:val="21"/>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5.严格项目管理</w:t>
      </w:r>
    </w:p>
    <w:p w14:paraId="5AF05F34">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阿坝藏族羌族自治州生态保护和发展研究院按照项目计划任务书高标准严要求的开展项目建设。</w:t>
      </w:r>
    </w:p>
    <w:p w14:paraId="332B63F0">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（1）资金管理。在资金使用上实行“单独核算、专款专用”，确保资金使用规范公开，杜绝滞留挪用以及虚报冒领导、铺张浪费。</w:t>
      </w:r>
    </w:p>
    <w:p w14:paraId="41146941">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（2）资料管理。项目开展后，我们十分重视项目资料收集与整理，明确了专门的档案管理员。</w:t>
      </w:r>
    </w:p>
    <w:p w14:paraId="1881B167">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（3）组织管事。自项目开展以来，成立了项目实施工作领导小组，落实了所长总负责，分管所长具体负责，各项工作有专人负责，成立了技术攻关小组、资金管理小组、档案管理小组。</w:t>
      </w:r>
    </w:p>
    <w:p w14:paraId="5425CF39">
      <w:pPr>
        <w:keepNext w:val="0"/>
        <w:keepLines w:val="0"/>
        <w:pageBreakBefore w:val="0"/>
        <w:numPr>
          <w:ilvl w:val="0"/>
          <w:numId w:val="0"/>
        </w:numPr>
        <w:kinsoku/>
        <w:wordWrap/>
        <w:overflowPunct/>
        <w:topLinePunct w:val="0"/>
        <w:autoSpaceDE/>
        <w:autoSpaceDN/>
        <w:bidi w:val="0"/>
        <w:spacing w:line="180" w:lineRule="atLeast"/>
        <w:ind w:firstLine="643" w:firstLineChars="200"/>
        <w:textAlignment w:val="auto"/>
        <w:rPr>
          <w:rFonts w:hint="eastAsia" w:ascii="Times New Roman" w:hAnsi="Times New Roman" w:eastAsia="仿宋_GB2312" w:cs="Times New Roman"/>
          <w:b/>
          <w:bCs/>
          <w:i w:val="0"/>
          <w:iCs w:val="0"/>
          <w:color w:val="auto"/>
          <w:kern w:val="2"/>
          <w:sz w:val="32"/>
          <w:szCs w:val="32"/>
          <w:lang w:val="en-US" w:eastAsia="zh-CN" w:bidi="ar-SA"/>
        </w:rPr>
      </w:pPr>
      <w:r>
        <w:rPr>
          <w:rFonts w:hint="eastAsia" w:ascii="Times New Roman" w:hAnsi="Times New Roman" w:eastAsia="仿宋_GB2312" w:cs="Times New Roman"/>
          <w:b/>
          <w:bCs/>
          <w:i w:val="0"/>
          <w:iCs w:val="0"/>
          <w:color w:val="auto"/>
          <w:kern w:val="2"/>
          <w:sz w:val="32"/>
          <w:szCs w:val="32"/>
          <w:lang w:val="en-US" w:eastAsia="zh-CN" w:bidi="ar-SA"/>
        </w:rPr>
        <w:t>6.加强宣传力度</w:t>
      </w:r>
    </w:p>
    <w:p w14:paraId="1706B006">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（1）通讯“松材线虫病早期诊断和综合防控技术培训班在杭州举办”于2024年1月9日被浙江省林业科学技术研究院网站采用。</w:t>
      </w:r>
    </w:p>
    <w:p w14:paraId="2E292A86">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（2）通讯“阿坝州举办松材线虫病早期诊断和综合防控技术培训会”于2024年5月31日被阿坝藏族羌族州林业和草原局网站采用，2024年6月5日被四川省林业和草原局网站采用。</w:t>
      </w:r>
    </w:p>
    <w:p w14:paraId="3C9B6EC8">
      <w:pPr>
        <w:keepNext w:val="0"/>
        <w:keepLines w:val="0"/>
        <w:pageBreakBefore w:val="0"/>
        <w:numPr>
          <w:ilvl w:val="0"/>
          <w:numId w:val="0"/>
        </w:numPr>
        <w:tabs>
          <w:tab w:val="left" w:pos="5010"/>
        </w:tabs>
        <w:kinsoku/>
        <w:wordWrap/>
        <w:overflowPunct/>
        <w:topLinePunct w:val="0"/>
        <w:autoSpaceDE/>
        <w:autoSpaceDN/>
        <w:bidi w:val="0"/>
        <w:spacing w:line="180" w:lineRule="atLeas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（3）通讯“松材线虫病早期诊断和综合防控技术培训会在四川阿坝州举办”于2024年6月19日被浙江省林业科学技术研究院网站采用。</w:t>
      </w:r>
    </w:p>
    <w:p w14:paraId="095A58EA">
      <w:pPr>
        <w:pStyle w:val="21"/>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五、存在主要问题</w:t>
      </w:r>
    </w:p>
    <w:p w14:paraId="55C3A4AB">
      <w:pPr>
        <w:keepNext w:val="0"/>
        <w:keepLines w:val="0"/>
        <w:pageBreakBefore w:val="0"/>
        <w:kinsoku/>
        <w:wordWrap/>
        <w:overflowPunct/>
        <w:topLinePunct w:val="0"/>
        <w:autoSpaceDE/>
        <w:autoSpaceDN/>
        <w:bidi w:val="0"/>
        <w:spacing w:line="180" w:lineRule="atLeast"/>
        <w:ind w:firstLine="640" w:firstLineChars="200"/>
        <w:textAlignment w:val="auto"/>
        <w:rPr>
          <w:rFonts w:hint="eastAsia" w:ascii="黑体" w:hAnsi="黑体" w:eastAsia="黑体" w:cs="黑体"/>
          <w:b w:val="0"/>
          <w:bCs w:val="0"/>
          <w:color w:val="auto"/>
          <w:sz w:val="32"/>
          <w:szCs w:val="32"/>
          <w:lang w:val="en-US" w:eastAsia="zh-CN"/>
        </w:rPr>
      </w:pPr>
      <w:r>
        <w:rPr>
          <w:rFonts w:hint="eastAsia" w:ascii="Times New Roman" w:hAnsi="Times New Roman" w:eastAsia="仿宋_GB2312" w:cs="Times New Roman"/>
          <w:color w:val="auto"/>
          <w:sz w:val="32"/>
          <w:szCs w:val="32"/>
          <w:lang w:val="en-US" w:eastAsia="zh-CN"/>
        </w:rPr>
        <w:t>项目组按项目实施方案有序推进各项试验研究工作，由于项目计划2026年进行省级验收，还有少量经费未使用，计划在验收过程中使用。</w:t>
      </w:r>
    </w:p>
    <w:p w14:paraId="7C172EA6">
      <w:pPr>
        <w:pStyle w:val="21"/>
        <w:keepNext w:val="0"/>
        <w:keepLines w:val="0"/>
        <w:pageBreakBefore w:val="0"/>
        <w:numPr>
          <w:ilvl w:val="0"/>
          <w:numId w:val="0"/>
        </w:numPr>
        <w:kinsoku/>
        <w:wordWrap/>
        <w:overflowPunct/>
        <w:topLinePunct w:val="0"/>
        <w:autoSpaceDE/>
        <w:autoSpaceDN/>
        <w:bidi w:val="0"/>
        <w:spacing w:line="180" w:lineRule="atLeast"/>
        <w:ind w:firstLine="640" w:firstLineChars="200"/>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六、改进建议</w:t>
      </w:r>
    </w:p>
    <w:p w14:paraId="63681EA7">
      <w:pPr>
        <w:pStyle w:val="21"/>
        <w:keepNext w:val="0"/>
        <w:keepLines w:val="0"/>
        <w:pageBreakBefore w:val="0"/>
        <w:kinsoku/>
        <w:wordWrap/>
        <w:overflowPunct/>
        <w:topLinePunct w:val="0"/>
        <w:autoSpaceDE/>
        <w:autoSpaceDN/>
        <w:bidi w:val="0"/>
        <w:spacing w:line="180" w:lineRule="atLeast"/>
        <w:ind w:firstLine="64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项目组坚决克服困难，认真撰写科技报告，完善验收各种资料，确保省级验收顺利通过。</w:t>
      </w:r>
    </w:p>
    <w:p w14:paraId="6C8AB6A6">
      <w:pPr>
        <w:rPr>
          <w:rFonts w:hint="eastAsia" w:ascii="仿宋" w:hAnsi="仿宋" w:eastAsia="仿宋" w:cs="仿宋"/>
          <w:color w:val="auto"/>
          <w:sz w:val="32"/>
          <w:szCs w:val="32"/>
          <w:lang w:val="en-US" w:eastAsia="zh-CN"/>
        </w:rPr>
      </w:pPr>
    </w:p>
    <w:p w14:paraId="6F5807D6">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附表：1.专项预算绩效自评打分表</w:t>
      </w:r>
    </w:p>
    <w:p w14:paraId="30FD7BF1">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highlight w:val="none"/>
          <w:shd w:val="clear" w:color="auto" w:fill="FFFFFF"/>
          <w:lang w:val="en-US" w:eastAsia="zh-CN"/>
        </w:rPr>
        <w:t>2.专项预算绩效自评实地踏勘点位清单表</w:t>
      </w:r>
    </w:p>
    <w:p w14:paraId="01EBE785">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3、专项预算项目绩效目标完成情况自评表</w:t>
      </w:r>
    </w:p>
    <w:p w14:paraId="662A373C">
      <w:pPr>
        <w:ind w:firstLine="640"/>
        <w:rPr>
          <w:rFonts w:hint="default" w:ascii="Times New Roman" w:hAnsi="Times New Roman" w:eastAsia="仿宋_GB2312" w:cs="Times New Roman"/>
          <w:color w:val="auto"/>
          <w:kern w:val="2"/>
          <w:sz w:val="32"/>
          <w:szCs w:val="32"/>
          <w:lang w:val="en-US" w:eastAsia="zh-CN" w:bidi="ar-SA"/>
        </w:rPr>
      </w:pPr>
    </w:p>
    <w:p w14:paraId="78DBB202">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8F50AEF">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p w14:paraId="2F394871">
      <w:pPr>
        <w:pStyle w:val="21"/>
        <w:rPr>
          <w:rFonts w:hint="default"/>
          <w:color w:val="auto"/>
          <w:sz w:val="21"/>
          <w:szCs w:val="21"/>
          <w:lang w:val="en-US" w:eastAsia="zh-CN"/>
        </w:rPr>
      </w:pP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511E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354E8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862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16298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kern w:val="0"/>
                <w:sz w:val="21"/>
                <w:szCs w:val="21"/>
                <w:u w:val="none"/>
                <w:lang w:val="en-US" w:eastAsia="zh-CN" w:bidi="ar"/>
              </w:rPr>
            </w:pPr>
            <w:r>
              <w:rPr>
                <w:rFonts w:hint="eastAsia" w:ascii="黑体" w:hAnsi="宋体" w:eastAsia="黑体" w:cs="黑体"/>
                <w:i w:val="0"/>
                <w:color w:val="auto"/>
                <w:kern w:val="0"/>
                <w:sz w:val="21"/>
                <w:szCs w:val="21"/>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577F2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kern w:val="0"/>
                <w:sz w:val="21"/>
                <w:szCs w:val="21"/>
                <w:u w:val="none"/>
                <w:lang w:val="en-US" w:eastAsia="zh-CN" w:bidi="ar"/>
              </w:rPr>
            </w:pPr>
            <w:r>
              <w:rPr>
                <w:rFonts w:hint="eastAsia" w:ascii="黑体" w:hAnsi="宋体" w:eastAsia="黑体" w:cs="黑体"/>
                <w:i w:val="0"/>
                <w:color w:val="auto"/>
                <w:kern w:val="0"/>
                <w:sz w:val="21"/>
                <w:szCs w:val="21"/>
                <w:u w:val="none"/>
                <w:lang w:val="en-US" w:eastAsia="zh-CN" w:bidi="ar"/>
              </w:rPr>
              <w:t>备注</w:t>
            </w:r>
          </w:p>
        </w:tc>
      </w:tr>
      <w:tr w14:paraId="7591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3709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2FC63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C279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79F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指标</w:t>
            </w:r>
            <w:r>
              <w:rPr>
                <w:rFonts w:hint="eastAsia" w:ascii="黑体" w:hAnsi="宋体" w:eastAsia="黑体" w:cs="黑体"/>
                <w:i w:val="0"/>
                <w:color w:val="auto"/>
                <w:kern w:val="0"/>
                <w:sz w:val="21"/>
                <w:szCs w:val="21"/>
                <w:u w:val="none"/>
                <w:lang w:val="en-US" w:eastAsia="zh-CN" w:bidi="ar"/>
              </w:rPr>
              <w:br w:type="textWrapping"/>
            </w:r>
            <w:r>
              <w:rPr>
                <w:rFonts w:hint="eastAsia" w:ascii="黑体" w:hAnsi="宋体" w:eastAsia="黑体" w:cs="黑体"/>
                <w:i w:val="0"/>
                <w:color w:val="auto"/>
                <w:kern w:val="0"/>
                <w:sz w:val="21"/>
                <w:szCs w:val="21"/>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14FE6">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sz w:val="21"/>
                <w:szCs w:val="21"/>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5687EB7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sz w:val="21"/>
                <w:szCs w:val="21"/>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5D8B932E">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sz w:val="21"/>
                <w:szCs w:val="21"/>
                <w:u w:val="none"/>
              </w:rPr>
            </w:pPr>
          </w:p>
        </w:tc>
      </w:tr>
      <w:tr w14:paraId="45661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61E8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通用指标</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573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项目决策</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3A406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319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1964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2969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6B76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0F80E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E89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8A8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74D2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2DCB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D888F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5371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ED843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15734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3E0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082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5A4C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FD04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D5C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E8357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D58D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746B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AD0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5728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项目管理</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1425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3F75A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EF0AB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63CB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1459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31DB0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7FF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7C42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53AC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B5D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4C78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A93A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C289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30F6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E11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0EE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3BD40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0C590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CD1D0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625A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4ED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05DF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569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59B4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项目实施</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B7F7B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76E5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13D9F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8B88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30C2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103F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9BB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B97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E692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7C6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D9F46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1DDB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B3BA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E614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905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9C85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项目结果</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C7C8B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3F565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F67EE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DAC4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40D1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4A47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A57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772F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4783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9321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5AC7D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DBE4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B2B2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4DC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C856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专用指标</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0A48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产业发展</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A7A0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FE9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6738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BA960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08F9A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6CF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F13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5BFB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81B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6E53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55459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854E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B3F8C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4BDE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EC4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B69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4A61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8099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2337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55A2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9F1D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42BC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AA3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EFA0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民生保障</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E6E90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119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66006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B81F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0DED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79340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5A8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0320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E83E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55A9B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D83E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29202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9</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FAC40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101F3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C2D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931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5131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CDCEC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371F3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45A4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BB61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76C7A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C19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F3C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46A6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545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D151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3D8A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7370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B0DC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12B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06ED8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基础</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设施</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083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在建</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0620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7458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4F56B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DD88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7A9B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000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F7C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132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AA2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DA18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71818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AFAF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9D48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173E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61DC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48D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66E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01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建成</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E028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5127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F2C3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AEF2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A00A2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4872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C01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508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A8B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959F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59D2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F3FD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2EDF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9F55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B809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519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21A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FE3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6BF6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AC13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F8F62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C525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276A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5AB28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BCE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专用指标</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8A2B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行政运转</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5B38B2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441281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27385D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15EC4C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3838E0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05EFA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E24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AF1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nil"/>
              <w:left w:val="single" w:color="000000" w:sz="4" w:space="0"/>
              <w:bottom w:val="single" w:color="000000" w:sz="4" w:space="0"/>
              <w:right w:val="single" w:color="000000" w:sz="4" w:space="0"/>
            </w:tcBorders>
            <w:noWrap w:val="0"/>
            <w:vAlign w:val="center"/>
          </w:tcPr>
          <w:p w14:paraId="2A3C3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0F78C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27D3F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5763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DA5C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AEC8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8B8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1AD4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sz w:val="21"/>
                <w:szCs w:val="21"/>
                <w:u w:val="none"/>
              </w:rPr>
            </w:pPr>
          </w:p>
        </w:tc>
        <w:tc>
          <w:tcPr>
            <w:tcW w:w="1355" w:type="dxa"/>
            <w:tcBorders>
              <w:top w:val="nil"/>
              <w:left w:val="single" w:color="000000" w:sz="4" w:space="0"/>
              <w:bottom w:val="single" w:color="000000" w:sz="4" w:space="0"/>
              <w:right w:val="single" w:color="000000" w:sz="4" w:space="0"/>
            </w:tcBorders>
            <w:noWrap w:val="0"/>
            <w:vAlign w:val="center"/>
          </w:tcPr>
          <w:p w14:paraId="5C044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550260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ED7B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233DD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BD119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629D6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14:paraId="55476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个性指标</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0D1A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生态效益</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5DE4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0E4A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3A30C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724C5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3D8ED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right w:val="single" w:color="000000" w:sz="4" w:space="0"/>
            </w:tcBorders>
            <w:noWrap w:val="0"/>
            <w:vAlign w:val="center"/>
          </w:tcPr>
          <w:p w14:paraId="7B9E7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93B2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lang w:eastAsia="zh-CN"/>
              </w:rPr>
            </w:pPr>
            <w:r>
              <w:rPr>
                <w:rFonts w:hint="eastAsia" w:ascii="宋体" w:hAnsi="宋体" w:eastAsia="宋体" w:cs="宋体"/>
                <w:i w:val="0"/>
                <w:color w:val="auto"/>
                <w:sz w:val="21"/>
                <w:szCs w:val="21"/>
                <w:u w:val="none"/>
                <w:lang w:eastAsia="zh-CN"/>
              </w:rPr>
              <w:t>经济效益</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D12F8D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color w:val="auto"/>
                <w:sz w:val="21"/>
                <w:szCs w:val="21"/>
                <w:u w:val="none"/>
                <w:lang w:val="en-US" w:eastAsia="zh-CN"/>
              </w:rPr>
            </w:pPr>
            <w:r>
              <w:rPr>
                <w:rFonts w:hint="eastAsia" w:ascii="宋体" w:hAnsi="宋体" w:eastAsia="宋体" w:cs="宋体"/>
                <w:i w:val="0"/>
                <w:color w:val="auto"/>
                <w:sz w:val="21"/>
                <w:szCs w:val="21"/>
                <w:u w:val="none"/>
                <w:lang w:val="en-US" w:eastAsia="zh-CN"/>
              </w:rPr>
              <w:t xml:space="preserve"> 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91F0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8577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309D8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2BA9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7F0AB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扣分项</w:t>
            </w:r>
            <w:r>
              <w:rPr>
                <w:rFonts w:hint="eastAsia" w:ascii="宋体" w:hAnsi="宋体" w:eastAsia="宋体" w:cs="宋体"/>
                <w:b/>
                <w:i w:val="0"/>
                <w:color w:val="auto"/>
                <w:kern w:val="0"/>
                <w:sz w:val="21"/>
                <w:szCs w:val="21"/>
                <w:u w:val="none"/>
                <w:lang w:val="en-US" w:eastAsia="zh-CN" w:bidi="ar"/>
              </w:rPr>
              <w:br w:type="textWrapping"/>
            </w:r>
            <w:r>
              <w:rPr>
                <w:rFonts w:hint="eastAsia" w:ascii="宋体" w:hAnsi="宋体" w:eastAsia="宋体" w:cs="宋体"/>
                <w:b/>
                <w:i w:val="0"/>
                <w:color w:val="auto"/>
                <w:kern w:val="0"/>
                <w:sz w:val="21"/>
                <w:szCs w:val="21"/>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E3B6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被评价</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BB819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8AB5F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BCC8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02707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r w14:paraId="12423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11F74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kern w:val="0"/>
                <w:sz w:val="21"/>
                <w:szCs w:val="21"/>
                <w:u w:val="none"/>
                <w:lang w:val="en-US" w:eastAsia="zh-CN" w:bidi="ar"/>
              </w:rPr>
            </w:pPr>
            <w:r>
              <w:rPr>
                <w:rFonts w:hint="eastAsia" w:ascii="宋体" w:hAnsi="宋体" w:eastAsia="宋体" w:cs="宋体"/>
                <w:b/>
                <w:i w:val="0"/>
                <w:color w:val="auto"/>
                <w:kern w:val="0"/>
                <w:sz w:val="21"/>
                <w:szCs w:val="21"/>
                <w:u w:val="none"/>
                <w:lang w:val="en-US" w:eastAsia="zh-CN" w:bidi="ar"/>
              </w:rPr>
              <w:t>总得分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64117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21"/>
                <w:szCs w:val="21"/>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4108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21"/>
                <w:szCs w:val="21"/>
                <w:u w:val="none"/>
                <w:lang w:val="en-US" w:eastAsia="zh-CN" w:bidi="ar"/>
              </w:rPr>
            </w:pP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83797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0B55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85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121F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21"/>
                <w:szCs w:val="21"/>
                <w:u w:val="none"/>
                <w:lang w:val="en-US" w:eastAsia="zh-CN" w:bidi="ar"/>
              </w:rPr>
            </w:pPr>
          </w:p>
        </w:tc>
      </w:tr>
    </w:tbl>
    <w:p w14:paraId="7B18CF46">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5D4611FA">
      <w:pPr>
        <w:pStyle w:val="21"/>
        <w:rPr>
          <w:rFonts w:hint="default"/>
          <w:color w:val="auto"/>
          <w:lang w:val="zh-CN" w:eastAsia="zh-CN"/>
        </w:rPr>
      </w:pPr>
    </w:p>
    <w:p w14:paraId="7D0FB78F">
      <w:pPr>
        <w:keepNext w:val="0"/>
        <w:keepLines w:val="0"/>
        <w:pageBreakBefore w:val="0"/>
        <w:kinsoku/>
        <w:wordWrap/>
        <w:overflowPunct/>
        <w:topLinePunct w:val="0"/>
        <w:autoSpaceDE/>
        <w:autoSpaceDN/>
        <w:bidi w:val="0"/>
        <w:spacing w:line="578" w:lineRule="exact"/>
        <w:ind w:left="0" w:leftChars="0"/>
        <w:jc w:val="both"/>
        <w:textAlignment w:val="auto"/>
        <w:rPr>
          <w:rFonts w:hint="default"/>
          <w:color w:val="auto"/>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4EC714D3">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7"/>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719A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2160C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序号</w:t>
            </w:r>
          </w:p>
        </w:tc>
        <w:tc>
          <w:tcPr>
            <w:tcW w:w="5956" w:type="dxa"/>
            <w:noWrap w:val="0"/>
            <w:vAlign w:val="top"/>
          </w:tcPr>
          <w:p w14:paraId="414576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实地踏勘点位</w:t>
            </w:r>
          </w:p>
        </w:tc>
        <w:tc>
          <w:tcPr>
            <w:tcW w:w="905" w:type="dxa"/>
            <w:noWrap w:val="0"/>
            <w:vAlign w:val="top"/>
          </w:tcPr>
          <w:p w14:paraId="0E9129E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备注</w:t>
            </w:r>
          </w:p>
        </w:tc>
      </w:tr>
      <w:tr w14:paraId="3892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3A2337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1</w:t>
            </w:r>
          </w:p>
        </w:tc>
        <w:tc>
          <w:tcPr>
            <w:tcW w:w="5956" w:type="dxa"/>
            <w:noWrap w:val="0"/>
            <w:vAlign w:val="top"/>
          </w:tcPr>
          <w:p w14:paraId="3D446DB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r>
              <w:rPr>
                <w:rFonts w:hint="eastAsia" w:ascii="Times New Roman" w:hAnsi="Times New Roman" w:eastAsia="仿宋_GB2312" w:cs="Times New Roman"/>
                <w:color w:val="auto"/>
                <w:kern w:val="2"/>
                <w:sz w:val="21"/>
                <w:szCs w:val="21"/>
                <w:highlight w:val="none"/>
                <w:u w:val="none"/>
                <w:vertAlign w:val="baseline"/>
                <w:lang w:val="en" w:eastAsia="zh-CN" w:bidi="ar-SA"/>
              </w:rPr>
              <w:t>理县</w:t>
            </w:r>
          </w:p>
        </w:tc>
        <w:tc>
          <w:tcPr>
            <w:tcW w:w="905" w:type="dxa"/>
            <w:noWrap w:val="0"/>
            <w:vAlign w:val="top"/>
          </w:tcPr>
          <w:p w14:paraId="2E06677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32B0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18AD4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2</w:t>
            </w:r>
          </w:p>
        </w:tc>
        <w:tc>
          <w:tcPr>
            <w:tcW w:w="5956" w:type="dxa"/>
            <w:noWrap w:val="0"/>
            <w:vAlign w:val="top"/>
          </w:tcPr>
          <w:p w14:paraId="032EE8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r>
              <w:rPr>
                <w:rFonts w:hint="eastAsia" w:ascii="Times New Roman" w:hAnsi="Times New Roman" w:eastAsia="仿宋_GB2312" w:cs="Times New Roman"/>
                <w:color w:val="auto"/>
                <w:kern w:val="2"/>
                <w:sz w:val="21"/>
                <w:szCs w:val="21"/>
                <w:highlight w:val="none"/>
                <w:u w:val="none"/>
                <w:vertAlign w:val="baseline"/>
                <w:lang w:val="en" w:eastAsia="zh-CN" w:bidi="ar-SA"/>
              </w:rPr>
              <w:t>九寨沟</w:t>
            </w:r>
          </w:p>
        </w:tc>
        <w:tc>
          <w:tcPr>
            <w:tcW w:w="905" w:type="dxa"/>
            <w:noWrap w:val="0"/>
            <w:vAlign w:val="top"/>
          </w:tcPr>
          <w:p w14:paraId="7093802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16E2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8393A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3</w:t>
            </w:r>
          </w:p>
        </w:tc>
        <w:tc>
          <w:tcPr>
            <w:tcW w:w="5956" w:type="dxa"/>
            <w:noWrap w:val="0"/>
            <w:vAlign w:val="top"/>
          </w:tcPr>
          <w:p w14:paraId="73D152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0355419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0B0A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5D9F32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4</w:t>
            </w:r>
          </w:p>
        </w:tc>
        <w:tc>
          <w:tcPr>
            <w:tcW w:w="5956" w:type="dxa"/>
            <w:noWrap w:val="0"/>
            <w:vAlign w:val="top"/>
          </w:tcPr>
          <w:p w14:paraId="6B51B25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235E58B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4F58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A98D8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5</w:t>
            </w:r>
          </w:p>
        </w:tc>
        <w:tc>
          <w:tcPr>
            <w:tcW w:w="5956" w:type="dxa"/>
            <w:noWrap w:val="0"/>
            <w:vAlign w:val="top"/>
          </w:tcPr>
          <w:p w14:paraId="20CF941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5F51602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26FF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A4B2F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6</w:t>
            </w:r>
          </w:p>
        </w:tc>
        <w:tc>
          <w:tcPr>
            <w:tcW w:w="5956" w:type="dxa"/>
            <w:noWrap w:val="0"/>
            <w:vAlign w:val="top"/>
          </w:tcPr>
          <w:p w14:paraId="6D5C57F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033DCCE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44F6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FED0A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7</w:t>
            </w:r>
          </w:p>
        </w:tc>
        <w:tc>
          <w:tcPr>
            <w:tcW w:w="5956" w:type="dxa"/>
            <w:noWrap w:val="0"/>
            <w:vAlign w:val="top"/>
          </w:tcPr>
          <w:p w14:paraId="3FA73D8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146BC63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2A27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9663C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1"/>
                <w:szCs w:val="21"/>
                <w:highlight w:val="none"/>
                <w:u w:val="none"/>
                <w:lang w:val="en-US" w:eastAsia="zh-CN"/>
              </w:rPr>
            </w:pPr>
            <w:r>
              <w:rPr>
                <w:rFonts w:hint="default" w:ascii="Times New Roman" w:hAnsi="Times New Roman" w:eastAsia="宋体" w:cs="Times New Roman"/>
                <w:b w:val="0"/>
                <w:bCs w:val="0"/>
                <w:color w:val="auto"/>
                <w:sz w:val="21"/>
                <w:szCs w:val="21"/>
                <w:highlight w:val="none"/>
                <w:u w:val="none"/>
                <w:lang w:val="en-US" w:eastAsia="zh-CN"/>
              </w:rPr>
              <w:t>8</w:t>
            </w:r>
          </w:p>
        </w:tc>
        <w:tc>
          <w:tcPr>
            <w:tcW w:w="5956" w:type="dxa"/>
            <w:noWrap w:val="0"/>
            <w:vAlign w:val="top"/>
          </w:tcPr>
          <w:p w14:paraId="573C2D7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US" w:eastAsia="zh-CN" w:bidi="ar-SA"/>
              </w:rPr>
            </w:pPr>
          </w:p>
        </w:tc>
        <w:tc>
          <w:tcPr>
            <w:tcW w:w="905" w:type="dxa"/>
            <w:noWrap w:val="0"/>
            <w:vAlign w:val="top"/>
          </w:tcPr>
          <w:p w14:paraId="1EBCAE9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382F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E39DF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9</w:t>
            </w:r>
          </w:p>
        </w:tc>
        <w:tc>
          <w:tcPr>
            <w:tcW w:w="5956" w:type="dxa"/>
            <w:noWrap w:val="0"/>
            <w:vAlign w:val="top"/>
          </w:tcPr>
          <w:p w14:paraId="15CA9E2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1C098CA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2FC2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9EABF3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10</w:t>
            </w:r>
          </w:p>
        </w:tc>
        <w:tc>
          <w:tcPr>
            <w:tcW w:w="5956" w:type="dxa"/>
            <w:noWrap w:val="0"/>
            <w:vAlign w:val="top"/>
          </w:tcPr>
          <w:p w14:paraId="4ECF90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660D51E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1016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BA10D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11</w:t>
            </w:r>
          </w:p>
        </w:tc>
        <w:tc>
          <w:tcPr>
            <w:tcW w:w="5956" w:type="dxa"/>
            <w:noWrap w:val="0"/>
            <w:vAlign w:val="top"/>
          </w:tcPr>
          <w:p w14:paraId="2407847E">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3B5F48D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48F3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0B321D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12</w:t>
            </w:r>
          </w:p>
        </w:tc>
        <w:tc>
          <w:tcPr>
            <w:tcW w:w="5956" w:type="dxa"/>
            <w:noWrap w:val="0"/>
            <w:vAlign w:val="top"/>
          </w:tcPr>
          <w:p w14:paraId="1F65FBC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52B7B51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4F9C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86CE30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13</w:t>
            </w:r>
          </w:p>
        </w:tc>
        <w:tc>
          <w:tcPr>
            <w:tcW w:w="5956" w:type="dxa"/>
            <w:noWrap w:val="0"/>
            <w:vAlign w:val="top"/>
          </w:tcPr>
          <w:p w14:paraId="784885DB">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113E8E3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239B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noWrap w:val="0"/>
            <w:vAlign w:val="top"/>
          </w:tcPr>
          <w:p w14:paraId="112CB25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14</w:t>
            </w:r>
          </w:p>
        </w:tc>
        <w:tc>
          <w:tcPr>
            <w:tcW w:w="5956" w:type="dxa"/>
            <w:noWrap w:val="0"/>
            <w:vAlign w:val="top"/>
          </w:tcPr>
          <w:p w14:paraId="734AC9EB">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1FD2F05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1775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FC254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15</w:t>
            </w:r>
          </w:p>
        </w:tc>
        <w:tc>
          <w:tcPr>
            <w:tcW w:w="5956" w:type="dxa"/>
            <w:noWrap w:val="0"/>
            <w:vAlign w:val="top"/>
          </w:tcPr>
          <w:p w14:paraId="4AE43462">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3FF6947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0C26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49F73C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16</w:t>
            </w:r>
          </w:p>
        </w:tc>
        <w:tc>
          <w:tcPr>
            <w:tcW w:w="5956" w:type="dxa"/>
            <w:noWrap w:val="0"/>
            <w:vAlign w:val="top"/>
          </w:tcPr>
          <w:p w14:paraId="6DD9AA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460ECF3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7737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5FE46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17</w:t>
            </w:r>
          </w:p>
        </w:tc>
        <w:tc>
          <w:tcPr>
            <w:tcW w:w="5956" w:type="dxa"/>
            <w:noWrap w:val="0"/>
            <w:vAlign w:val="top"/>
          </w:tcPr>
          <w:p w14:paraId="541E810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43A4682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7F23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2226C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18</w:t>
            </w:r>
          </w:p>
        </w:tc>
        <w:tc>
          <w:tcPr>
            <w:tcW w:w="5956" w:type="dxa"/>
            <w:noWrap w:val="0"/>
            <w:vAlign w:val="top"/>
          </w:tcPr>
          <w:p w14:paraId="7C392A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1"/>
                <w:szCs w:val="21"/>
                <w:highlight w:val="none"/>
                <w:u w:val="none"/>
                <w:vertAlign w:val="baseline"/>
                <w:lang w:val="en" w:eastAsia="zh-CN" w:bidi="ar-SA"/>
              </w:rPr>
            </w:pPr>
          </w:p>
        </w:tc>
        <w:tc>
          <w:tcPr>
            <w:tcW w:w="905" w:type="dxa"/>
            <w:noWrap w:val="0"/>
            <w:vAlign w:val="top"/>
          </w:tcPr>
          <w:p w14:paraId="2E4B790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382D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168421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19</w:t>
            </w:r>
          </w:p>
        </w:tc>
        <w:tc>
          <w:tcPr>
            <w:tcW w:w="5956" w:type="dxa"/>
            <w:noWrap w:val="0"/>
            <w:vAlign w:val="top"/>
          </w:tcPr>
          <w:p w14:paraId="47957D53">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1"/>
                <w:szCs w:val="21"/>
                <w:highlight w:val="none"/>
                <w:u w:val="none"/>
                <w:vertAlign w:val="baseline"/>
                <w:lang w:val="en" w:eastAsia="zh-CN"/>
              </w:rPr>
            </w:pPr>
          </w:p>
        </w:tc>
        <w:tc>
          <w:tcPr>
            <w:tcW w:w="905" w:type="dxa"/>
            <w:noWrap w:val="0"/>
            <w:vAlign w:val="top"/>
          </w:tcPr>
          <w:p w14:paraId="579B336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r w14:paraId="0046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B4E26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20</w:t>
            </w:r>
          </w:p>
        </w:tc>
        <w:tc>
          <w:tcPr>
            <w:tcW w:w="5956" w:type="dxa"/>
            <w:noWrap w:val="0"/>
            <w:vAlign w:val="top"/>
          </w:tcPr>
          <w:p w14:paraId="2417B8A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 w:eastAsia="zh-CN"/>
              </w:rPr>
            </w:pPr>
          </w:p>
        </w:tc>
        <w:tc>
          <w:tcPr>
            <w:tcW w:w="905" w:type="dxa"/>
            <w:noWrap w:val="0"/>
            <w:vAlign w:val="top"/>
          </w:tcPr>
          <w:p w14:paraId="474E54F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1"/>
                <w:szCs w:val="21"/>
                <w:highlight w:val="none"/>
                <w:u w:val="none"/>
                <w:vertAlign w:val="baseline"/>
                <w:lang w:val="en-US" w:eastAsia="zh-CN"/>
              </w:rPr>
            </w:pPr>
          </w:p>
        </w:tc>
      </w:tr>
    </w:tbl>
    <w:p w14:paraId="3FD8CA6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576251D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073E8A9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517FFBC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0AC989C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6ADD4EA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526893C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7B99685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6026A8A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0FF302E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158E31B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3FC7804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p>
    <w:p w14:paraId="58632BA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pP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459F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22648C3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p w14:paraId="7050DD11">
            <w:pPr>
              <w:keepNext w:val="0"/>
              <w:keepLines w:val="0"/>
              <w:pageBreakBefore w:val="0"/>
              <w:kinsoku/>
              <w:wordWrap/>
              <w:overflowPunct/>
              <w:topLinePunct w:val="0"/>
              <w:autoSpaceDE/>
              <w:autoSpaceDN/>
              <w:bidi w:val="0"/>
              <w:adjustRightInd/>
              <w:snapToGrid w:val="0"/>
              <w:spacing w:line="578" w:lineRule="exact"/>
              <w:ind w:left="0" w:leftChars="0" w:right="0" w:rightChars="0" w:firstLine="0" w:firstLineChars="0"/>
              <w:jc w:val="center"/>
              <w:textAlignment w:val="auto"/>
              <w:outlineLvl w:val="9"/>
              <w:rPr>
                <w:rFonts w:hint="default" w:ascii="Times New Roman" w:hAnsi="Times New Roman" w:eastAsia="方正小标宋简体" w:cs="Times New Roman"/>
                <w:i w:val="0"/>
                <w:color w:val="auto"/>
                <w:kern w:val="0"/>
                <w:sz w:val="40"/>
                <w:szCs w:val="40"/>
                <w:u w:val="none"/>
                <w:lang w:val="en-US" w:eastAsia="zh-CN" w:bidi="ar"/>
              </w:rPr>
            </w:pPr>
            <w:r>
              <w:rPr>
                <w:rFonts w:hint="default" w:ascii="Times New Roman" w:hAnsi="Times New Roman" w:eastAsia="方正小标宋简体" w:cs="Times New Roman"/>
                <w:i w:val="0"/>
                <w:color w:val="auto"/>
                <w:kern w:val="0"/>
                <w:sz w:val="40"/>
                <w:szCs w:val="40"/>
                <w:u w:val="none"/>
                <w:lang w:val="en-US" w:eastAsia="zh-CN" w:bidi="ar"/>
              </w:rPr>
              <w:t>专项预算项目绩效目标完成情况自评表</w:t>
            </w:r>
          </w:p>
          <w:p w14:paraId="4CA28A2B">
            <w:pPr>
              <w:pStyle w:val="21"/>
              <w:rPr>
                <w:rFonts w:hint="default"/>
                <w:color w:val="auto"/>
              </w:rPr>
            </w:pPr>
          </w:p>
        </w:tc>
      </w:tr>
      <w:tr w14:paraId="5C45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CA9A5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2B5F0FD">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阿坝州松材线虫病监测体系建设及健康经营技术研究与示范</w:t>
            </w:r>
          </w:p>
        </w:tc>
      </w:tr>
      <w:tr w14:paraId="6930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2FE88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484690">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阿坝藏族羌族自治州生态保护和发展研究院</w:t>
            </w:r>
          </w:p>
        </w:tc>
      </w:tr>
      <w:tr w14:paraId="0C437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E4ABD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BCCE0FE">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重点研发</w:t>
            </w:r>
          </w:p>
        </w:tc>
      </w:tr>
      <w:tr w14:paraId="61862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DC9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8A79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中长期规划（名称、文号，仅指</w:t>
            </w:r>
          </w:p>
          <w:p w14:paraId="314CC9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5728A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auto"/>
                <w:sz w:val="21"/>
                <w:szCs w:val="21"/>
                <w:u w:val="none"/>
                <w:lang w:val="en-US" w:eastAsia="zh-CN"/>
              </w:rPr>
            </w:pPr>
          </w:p>
        </w:tc>
      </w:tr>
      <w:tr w14:paraId="435AE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6B81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DC956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954B7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auto"/>
                <w:sz w:val="21"/>
                <w:szCs w:val="21"/>
                <w:u w:val="none"/>
                <w:lang w:val="en-US" w:eastAsia="zh-CN"/>
              </w:rPr>
            </w:pPr>
            <w:r>
              <w:rPr>
                <w:rFonts w:hint="eastAsia" w:ascii="宋体" w:hAnsi="宋体" w:eastAsia="宋体" w:cs="宋体"/>
                <w:i w:val="0"/>
                <w:color w:val="auto"/>
                <w:kern w:val="0"/>
                <w:sz w:val="21"/>
                <w:szCs w:val="21"/>
                <w:u w:val="none"/>
                <w:lang w:val="en-US" w:eastAsia="zh-CN" w:bidi="ar"/>
              </w:rPr>
              <w:t>“四川省科技计划项目专项资金管理办法”、川财规（2019）10号</w:t>
            </w:r>
          </w:p>
        </w:tc>
      </w:tr>
      <w:tr w14:paraId="67992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AE3F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B2A7A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33DBC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auto"/>
                <w:sz w:val="21"/>
                <w:szCs w:val="21"/>
                <w:u w:val="none"/>
              </w:rPr>
            </w:pPr>
            <w:r>
              <w:rPr>
                <w:rFonts w:hint="default" w:ascii="Times New Roman" w:hAnsi="Times New Roman" w:eastAsia="Wingdings 2" w:cs="Times New Roman"/>
                <w:i w:val="0"/>
                <w:color w:val="auto"/>
                <w:kern w:val="0"/>
                <w:sz w:val="21"/>
                <w:szCs w:val="21"/>
                <w:u w:val="none"/>
                <w:lang w:val="en-US" w:eastAsia="zh-CN" w:bidi="ar"/>
              </w:rPr>
              <w:t>£</w:t>
            </w:r>
            <w:r>
              <w:rPr>
                <w:rFonts w:hint="default" w:ascii="Times New Roman" w:hAnsi="Times New Roman" w:eastAsia="宋体" w:cs="Times New Roman"/>
                <w:i w:val="0"/>
                <w:color w:val="auto"/>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E6447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auto"/>
                <w:sz w:val="21"/>
                <w:szCs w:val="21"/>
                <w:u w:val="none"/>
              </w:rPr>
            </w:pPr>
            <w:r>
              <w:rPr>
                <w:rFonts w:hint="default" w:ascii="Times New Roman" w:hAnsi="Times New Roman" w:eastAsia="Wingdings 2" w:cs="Times New Roman"/>
                <w:i w:val="0"/>
                <w:color w:val="auto"/>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88257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auto"/>
                <w:sz w:val="21"/>
                <w:szCs w:val="21"/>
                <w:u w:val="none"/>
              </w:rPr>
            </w:pPr>
            <w:r>
              <w:rPr>
                <w:rFonts w:hint="default" w:ascii="Times New Roman" w:hAnsi="Times New Roman" w:eastAsia="Wingdings 2" w:cs="Times New Roman"/>
                <w:i w:val="0"/>
                <w:color w:val="auto"/>
                <w:kern w:val="0"/>
                <w:sz w:val="21"/>
                <w:szCs w:val="21"/>
                <w:u w:val="none"/>
                <w:lang w:val="en-US" w:eastAsia="zh-CN" w:bidi="ar"/>
              </w:rPr>
              <w:t>£</w:t>
            </w:r>
            <w:r>
              <w:rPr>
                <w:rFonts w:hint="default" w:ascii="Times New Roman" w:hAnsi="Times New Roman" w:eastAsia="宋体" w:cs="Times New Roman"/>
                <w:i w:val="0"/>
                <w:color w:val="auto"/>
                <w:kern w:val="0"/>
                <w:sz w:val="21"/>
                <w:szCs w:val="21"/>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FD0B3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auto"/>
                <w:sz w:val="21"/>
                <w:szCs w:val="21"/>
                <w:u w:val="none"/>
              </w:rPr>
            </w:pPr>
            <w:r>
              <w:rPr>
                <w:rFonts w:hint="default" w:ascii="Times New Roman" w:hAnsi="Times New Roman" w:eastAsia="Wingdings 2" w:cs="Times New Roman"/>
                <w:i w:val="0"/>
                <w:color w:val="auto"/>
                <w:kern w:val="0"/>
                <w:sz w:val="21"/>
                <w:szCs w:val="21"/>
                <w:u w:val="none"/>
                <w:lang w:val="en-US" w:eastAsia="zh-CN" w:bidi="ar"/>
              </w:rPr>
              <w:t>£</w:t>
            </w:r>
            <w:r>
              <w:rPr>
                <w:rFonts w:hint="default" w:ascii="Times New Roman" w:hAnsi="Times New Roman" w:eastAsia="宋体" w:cs="Times New Roman"/>
                <w:i w:val="0"/>
                <w:color w:val="auto"/>
                <w:kern w:val="0"/>
                <w:sz w:val="21"/>
                <w:szCs w:val="21"/>
                <w:u w:val="none"/>
                <w:lang w:val="en-US" w:eastAsia="zh-CN" w:bidi="ar"/>
              </w:rPr>
              <w:t>因素法与项目法相结合</w:t>
            </w:r>
          </w:p>
        </w:tc>
      </w:tr>
      <w:tr w14:paraId="01F4A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1FDD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DE720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8A3E91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val="en-US" w:eastAsia="zh-CN"/>
              </w:rPr>
              <w:t>2023年第一批省级科技计划项目专项资金</w:t>
            </w:r>
          </w:p>
        </w:tc>
      </w:tr>
      <w:tr w14:paraId="641B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7C8C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B98F4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8064642">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本项目应用阿坝州高光谱无人机遥感技术、森林防火高清探头智能识别技术、松材线虫病早期诊断等先进技术引进和创新</w:t>
            </w:r>
          </w:p>
        </w:tc>
      </w:tr>
      <w:tr w14:paraId="4886D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CC3D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22C30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BFC2AC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auto"/>
                <w:sz w:val="21"/>
                <w:szCs w:val="21"/>
                <w:u w:val="none"/>
                <w:lang w:eastAsia="zh-CN"/>
              </w:rPr>
            </w:pPr>
            <w:r>
              <w:rPr>
                <w:rFonts w:hint="eastAsia" w:ascii="Times New Roman" w:hAnsi="Times New Roman" w:eastAsia="宋体" w:cs="Times New Roman"/>
                <w:i w:val="0"/>
                <w:color w:val="auto"/>
                <w:kern w:val="0"/>
                <w:sz w:val="21"/>
                <w:szCs w:val="21"/>
                <w:u w:val="none"/>
                <w:lang w:val="en-US" w:eastAsia="zh-CN" w:bidi="ar"/>
              </w:rPr>
              <w:t>具备相关研究基础、有明确的技术路线和示范推广计划</w:t>
            </w:r>
          </w:p>
        </w:tc>
      </w:tr>
      <w:tr w14:paraId="718D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A050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11044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DD653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2023年1月至2025年12月</w:t>
            </w:r>
          </w:p>
        </w:tc>
      </w:tr>
      <w:tr w14:paraId="7142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8D2D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项目资金</w:t>
            </w:r>
          </w:p>
          <w:p w14:paraId="34C610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109C0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F524FA5">
            <w:pPr>
              <w:keepNext w:val="0"/>
              <w:keepLines w:val="0"/>
              <w:pageBreakBefore w:val="0"/>
              <w:tabs>
                <w:tab w:val="left" w:pos="4136"/>
              </w:tabs>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eastAsia="zh-CN"/>
              </w:rPr>
              <w:tab/>
            </w:r>
            <w:r>
              <w:rPr>
                <w:rFonts w:hint="eastAsia" w:eastAsia="宋体" w:cs="Times New Roman"/>
                <w:i w:val="0"/>
                <w:color w:val="auto"/>
                <w:sz w:val="21"/>
                <w:szCs w:val="21"/>
                <w:u w:val="none"/>
                <w:lang w:val="en-US" w:eastAsia="zh-CN"/>
              </w:rPr>
              <w:t>24.66</w:t>
            </w:r>
          </w:p>
        </w:tc>
      </w:tr>
      <w:tr w14:paraId="06701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8551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74AB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2C117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 xml:space="preserve">                       24.66</w:t>
            </w:r>
          </w:p>
        </w:tc>
      </w:tr>
      <w:tr w14:paraId="008D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5EF8C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F43AD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F3B073C">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auto"/>
                <w:sz w:val="21"/>
                <w:szCs w:val="21"/>
                <w:u w:val="none"/>
              </w:rPr>
            </w:pPr>
          </w:p>
        </w:tc>
      </w:tr>
      <w:tr w14:paraId="4264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B903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01FC4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年度目标</w:t>
            </w:r>
          </w:p>
        </w:tc>
      </w:tr>
      <w:tr w14:paraId="033AE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AEC0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2776F3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1"/>
                <w:szCs w:val="21"/>
                <w:u w:val="none"/>
              </w:rPr>
            </w:pPr>
            <w:r>
              <w:rPr>
                <w:rFonts w:hint="eastAsia" w:ascii="宋体" w:hAnsi="宋体" w:eastAsia="宋体" w:cs="宋体"/>
                <w:color w:val="auto"/>
                <w:sz w:val="21"/>
                <w:szCs w:val="21"/>
                <w:lang w:val="en-US" w:eastAsia="zh-CN"/>
              </w:rPr>
              <w:t>在理县、九寨沟建立示范林，应用森林火灾高清探头监测点松林的高清影像资料的样地监测、试验数据收集。应用高光谱无人机遥感技术对理县、九寨沟示范林进行航拍，获得相应数据进行大数据分析、应用及时发现早期感病松树，应用松材线虫病早期诊断技术准确鉴定松材线虫病的入侵和危害情况，建立重要生态区域或高风险区域松材线虫病的早期预警系统。</w:t>
            </w:r>
          </w:p>
        </w:tc>
      </w:tr>
      <w:tr w14:paraId="4153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415410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B4DDE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80898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D9438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C0F61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F171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42EEF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AEA4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1D0125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实际完成指标值</w:t>
            </w:r>
          </w:p>
        </w:tc>
      </w:tr>
      <w:tr w14:paraId="4CF99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53971B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C097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A5E81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数量指标</w:t>
            </w:r>
          </w:p>
        </w:tc>
        <w:tc>
          <w:tcPr>
            <w:tcW w:w="1312" w:type="dxa"/>
            <w:tcBorders>
              <w:top w:val="single" w:color="000000" w:sz="4" w:space="0"/>
              <w:left w:val="single" w:color="000000" w:sz="4" w:space="0"/>
              <w:right w:val="single" w:color="000000" w:sz="4" w:space="0"/>
            </w:tcBorders>
            <w:noWrap w:val="0"/>
            <w:vAlign w:val="center"/>
          </w:tcPr>
          <w:p w14:paraId="1FE060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理县、九寨沟建立示范林</w:t>
            </w:r>
          </w:p>
        </w:tc>
        <w:tc>
          <w:tcPr>
            <w:tcW w:w="1127" w:type="dxa"/>
            <w:tcBorders>
              <w:top w:val="single" w:color="000000" w:sz="4" w:space="0"/>
              <w:left w:val="single" w:color="000000" w:sz="4" w:space="0"/>
              <w:right w:val="single" w:color="000000" w:sz="4" w:space="0"/>
            </w:tcBorders>
            <w:noWrap w:val="0"/>
            <w:vAlign w:val="center"/>
          </w:tcPr>
          <w:p w14:paraId="4798468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r>
              <w:rPr>
                <w:rFonts w:hint="eastAsia" w:ascii="宋体" w:hAnsi="宋体" w:eastAsia="宋体" w:cs="宋体"/>
                <w:i w:val="0"/>
                <w:color w:val="auto"/>
                <w:sz w:val="21"/>
                <w:szCs w:val="21"/>
                <w:u w:val="none"/>
              </w:rPr>
              <w:t>≧</w:t>
            </w:r>
          </w:p>
        </w:tc>
        <w:tc>
          <w:tcPr>
            <w:tcW w:w="971" w:type="dxa"/>
            <w:tcBorders>
              <w:top w:val="single" w:color="000000" w:sz="4" w:space="0"/>
              <w:left w:val="single" w:color="000000" w:sz="4" w:space="0"/>
              <w:right w:val="single" w:color="000000" w:sz="4" w:space="0"/>
            </w:tcBorders>
            <w:noWrap w:val="0"/>
            <w:vAlign w:val="center"/>
          </w:tcPr>
          <w:p w14:paraId="360DD3D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50</w:t>
            </w:r>
          </w:p>
        </w:tc>
        <w:tc>
          <w:tcPr>
            <w:tcW w:w="1061" w:type="dxa"/>
            <w:tcBorders>
              <w:top w:val="single" w:color="000000" w:sz="4" w:space="0"/>
              <w:left w:val="single" w:color="000000" w:sz="4" w:space="0"/>
              <w:right w:val="single" w:color="000000" w:sz="4" w:space="0"/>
            </w:tcBorders>
            <w:noWrap w:val="0"/>
            <w:vAlign w:val="center"/>
          </w:tcPr>
          <w:p w14:paraId="4FDF3A9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color w:val="auto"/>
                <w:sz w:val="21"/>
                <w:szCs w:val="21"/>
                <w:lang w:eastAsia="zh-CN"/>
              </w:rPr>
            </w:pPr>
            <w:r>
              <w:rPr>
                <w:rFonts w:hint="eastAsia" w:eastAsia="宋体" w:cs="Times New Roman"/>
                <w:i w:val="0"/>
                <w:color w:val="auto"/>
                <w:sz w:val="21"/>
                <w:szCs w:val="21"/>
                <w:u w:val="none"/>
                <w:lang w:eastAsia="zh-CN"/>
              </w:rPr>
              <w:t>亩</w:t>
            </w:r>
          </w:p>
        </w:tc>
        <w:tc>
          <w:tcPr>
            <w:tcW w:w="938" w:type="dxa"/>
            <w:tcBorders>
              <w:top w:val="single" w:color="000000" w:sz="4" w:space="0"/>
              <w:left w:val="single" w:color="000000" w:sz="4" w:space="0"/>
              <w:right w:val="single" w:color="000000" w:sz="4" w:space="0"/>
            </w:tcBorders>
            <w:noWrap w:val="0"/>
            <w:vAlign w:val="center"/>
          </w:tcPr>
          <w:p w14:paraId="26F05A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6D8509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理县示范林53亩、九寨沟54亩</w:t>
            </w:r>
          </w:p>
        </w:tc>
      </w:tr>
      <w:tr w14:paraId="157AF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BCACDE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vMerge w:val="continue"/>
            <w:tcBorders>
              <w:left w:val="single" w:color="000000" w:sz="4" w:space="0"/>
              <w:right w:val="single" w:color="000000" w:sz="4" w:space="0"/>
            </w:tcBorders>
            <w:noWrap w:val="0"/>
            <w:vAlign w:val="center"/>
          </w:tcPr>
          <w:p w14:paraId="6BDD69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174A5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eastAsia="宋体" w:cs="Times New Roman"/>
                <w:i w:val="0"/>
                <w:color w:val="auto"/>
                <w:kern w:val="0"/>
                <w:sz w:val="21"/>
                <w:szCs w:val="21"/>
                <w:u w:val="none"/>
                <w:lang w:val="en-US" w:eastAsia="zh-CN" w:bidi="ar"/>
              </w:rPr>
              <w:t>质量指标</w:t>
            </w:r>
          </w:p>
        </w:tc>
        <w:tc>
          <w:tcPr>
            <w:tcW w:w="1312" w:type="dxa"/>
            <w:tcBorders>
              <w:top w:val="single" w:color="000000" w:sz="4" w:space="0"/>
              <w:left w:val="single" w:color="000000" w:sz="4" w:space="0"/>
              <w:right w:val="single" w:color="000000" w:sz="4" w:space="0"/>
            </w:tcBorders>
            <w:noWrap w:val="0"/>
            <w:vAlign w:val="center"/>
          </w:tcPr>
          <w:p w14:paraId="48D27E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培训合格率</w:t>
            </w:r>
          </w:p>
        </w:tc>
        <w:tc>
          <w:tcPr>
            <w:tcW w:w="1127" w:type="dxa"/>
            <w:tcBorders>
              <w:top w:val="single" w:color="000000" w:sz="4" w:space="0"/>
              <w:left w:val="single" w:color="000000" w:sz="4" w:space="0"/>
              <w:right w:val="single" w:color="000000" w:sz="4" w:space="0"/>
            </w:tcBorders>
            <w:noWrap w:val="0"/>
            <w:vAlign w:val="center"/>
          </w:tcPr>
          <w:p w14:paraId="34EFFA9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auto"/>
                <w:sz w:val="21"/>
                <w:szCs w:val="21"/>
                <w:u w:val="none"/>
              </w:rPr>
            </w:pPr>
            <w:r>
              <w:rPr>
                <w:rFonts w:hint="eastAsia" w:ascii="宋体" w:hAnsi="宋体" w:eastAsia="宋体" w:cs="宋体"/>
                <w:i w:val="0"/>
                <w:color w:val="auto"/>
                <w:sz w:val="21"/>
                <w:szCs w:val="21"/>
                <w:u w:val="none"/>
              </w:rPr>
              <w:t>≦</w:t>
            </w:r>
          </w:p>
        </w:tc>
        <w:tc>
          <w:tcPr>
            <w:tcW w:w="971" w:type="dxa"/>
            <w:tcBorders>
              <w:top w:val="single" w:color="000000" w:sz="4" w:space="0"/>
              <w:left w:val="single" w:color="000000" w:sz="4" w:space="0"/>
              <w:right w:val="single" w:color="000000" w:sz="4" w:space="0"/>
            </w:tcBorders>
            <w:noWrap w:val="0"/>
            <w:vAlign w:val="center"/>
          </w:tcPr>
          <w:p w14:paraId="7F08F5A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95</w:t>
            </w:r>
          </w:p>
        </w:tc>
        <w:tc>
          <w:tcPr>
            <w:tcW w:w="1061" w:type="dxa"/>
            <w:tcBorders>
              <w:top w:val="single" w:color="000000" w:sz="4" w:space="0"/>
              <w:left w:val="single" w:color="000000" w:sz="4" w:space="0"/>
              <w:right w:val="single" w:color="000000" w:sz="4" w:space="0"/>
            </w:tcBorders>
            <w:noWrap w:val="0"/>
            <w:vAlign w:val="center"/>
          </w:tcPr>
          <w:p w14:paraId="51CCBA3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w:t>
            </w:r>
          </w:p>
        </w:tc>
        <w:tc>
          <w:tcPr>
            <w:tcW w:w="938" w:type="dxa"/>
            <w:tcBorders>
              <w:top w:val="single" w:color="000000" w:sz="4" w:space="0"/>
              <w:left w:val="single" w:color="000000" w:sz="4" w:space="0"/>
              <w:right w:val="single" w:color="000000" w:sz="4" w:space="0"/>
            </w:tcBorders>
            <w:noWrap w:val="0"/>
            <w:vAlign w:val="center"/>
          </w:tcPr>
          <w:p w14:paraId="1F5A3D8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780CB7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eastAsia="zh-CN"/>
              </w:rPr>
              <w:t>培训合格率</w:t>
            </w:r>
            <w:r>
              <w:rPr>
                <w:rFonts w:hint="eastAsia" w:eastAsia="宋体" w:cs="Times New Roman"/>
                <w:i w:val="0"/>
                <w:color w:val="auto"/>
                <w:sz w:val="21"/>
                <w:szCs w:val="21"/>
                <w:u w:val="none"/>
                <w:lang w:val="en-US" w:eastAsia="zh-CN"/>
              </w:rPr>
              <w:t>96%</w:t>
            </w:r>
          </w:p>
        </w:tc>
      </w:tr>
      <w:tr w14:paraId="567BA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6"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F0FF3F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1B16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81C0D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14:paraId="39A0DE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工作效益</w:t>
            </w:r>
          </w:p>
        </w:tc>
        <w:tc>
          <w:tcPr>
            <w:tcW w:w="1127" w:type="dxa"/>
            <w:tcBorders>
              <w:top w:val="single" w:color="000000" w:sz="4" w:space="0"/>
              <w:left w:val="single" w:color="000000" w:sz="4" w:space="0"/>
              <w:right w:val="single" w:color="000000" w:sz="4" w:space="0"/>
            </w:tcBorders>
            <w:noWrap w:val="0"/>
            <w:vAlign w:val="center"/>
          </w:tcPr>
          <w:p w14:paraId="1E000E2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14:paraId="44E4289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w:t>
            </w:r>
          </w:p>
        </w:tc>
        <w:tc>
          <w:tcPr>
            <w:tcW w:w="1061" w:type="dxa"/>
            <w:tcBorders>
              <w:top w:val="single" w:color="000000" w:sz="4" w:space="0"/>
              <w:left w:val="single" w:color="000000" w:sz="4" w:space="0"/>
              <w:right w:val="single" w:color="000000" w:sz="4" w:space="0"/>
            </w:tcBorders>
            <w:noWrap w:val="0"/>
            <w:vAlign w:val="center"/>
          </w:tcPr>
          <w:p w14:paraId="60FAC311">
            <w:pPr>
              <w:keepNext w:val="0"/>
              <w:keepLines w:val="0"/>
              <w:pageBreakBefore w:val="0"/>
              <w:kinsoku/>
              <w:wordWrap/>
              <w:overflowPunct/>
              <w:topLinePunct w:val="0"/>
              <w:autoSpaceDE/>
              <w:autoSpaceDN/>
              <w:bidi w:val="0"/>
              <w:adjustRightInd/>
              <w:snapToGrid/>
              <w:spacing w:line="300" w:lineRule="exact"/>
              <w:ind w:left="0" w:leftChars="0"/>
              <w:jc w:val="both"/>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年</w:t>
            </w:r>
          </w:p>
        </w:tc>
        <w:tc>
          <w:tcPr>
            <w:tcW w:w="938" w:type="dxa"/>
            <w:tcBorders>
              <w:top w:val="single" w:color="000000" w:sz="4" w:space="0"/>
              <w:left w:val="single" w:color="000000" w:sz="4" w:space="0"/>
              <w:right w:val="single" w:color="000000" w:sz="4" w:space="0"/>
            </w:tcBorders>
            <w:noWrap w:val="0"/>
            <w:vAlign w:val="center"/>
          </w:tcPr>
          <w:p w14:paraId="777AE4A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3B149B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已完成</w:t>
            </w:r>
          </w:p>
        </w:tc>
      </w:tr>
      <w:tr w14:paraId="149C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226CC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FE34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BBC23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经济效益</w:t>
            </w:r>
          </w:p>
          <w:p w14:paraId="4463FD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90606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松材线虫病早期预防</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852A6F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7A023C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明显</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535DBF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5750CE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31CB05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明显</w:t>
            </w:r>
          </w:p>
        </w:tc>
      </w:tr>
      <w:tr w14:paraId="76F3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A5E5D9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A85C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7E1B76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社会效益</w:t>
            </w:r>
          </w:p>
          <w:p w14:paraId="21EE6CD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B77D6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确保森林健康，生态效益明显</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5BDFF1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804507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明显</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7EEB5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180BD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48B568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eastAsia="宋体" w:cs="Times New Roman"/>
                <w:i w:val="0"/>
                <w:color w:val="auto"/>
                <w:sz w:val="21"/>
                <w:szCs w:val="21"/>
                <w:u w:val="none"/>
                <w:lang w:eastAsia="zh-CN"/>
              </w:rPr>
              <w:t>明显</w:t>
            </w:r>
          </w:p>
        </w:tc>
      </w:tr>
      <w:tr w14:paraId="198DC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7FE169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tcBorders>
              <w:top w:val="single" w:color="000000" w:sz="4" w:space="0"/>
              <w:left w:val="single" w:color="000000" w:sz="4" w:space="0"/>
              <w:right w:val="single" w:color="000000" w:sz="4" w:space="0"/>
            </w:tcBorders>
            <w:noWrap w:val="0"/>
            <w:vAlign w:val="center"/>
          </w:tcPr>
          <w:p w14:paraId="5ED8B6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满意度</w:t>
            </w:r>
          </w:p>
          <w:p w14:paraId="224A86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0A55DD1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服务对象</w:t>
            </w:r>
          </w:p>
          <w:p w14:paraId="352F62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2D121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各县林草局满意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D0180B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eastAsia="zh-CN"/>
              </w:rPr>
            </w:pPr>
            <w:r>
              <w:rPr>
                <w:rFonts w:hint="eastAsia" w:ascii="宋体" w:hAnsi="宋体" w:eastAsia="宋体" w:cs="宋体"/>
                <w:i w:val="0"/>
                <w:color w:val="auto"/>
                <w:sz w:val="21"/>
                <w:szCs w:val="21"/>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E2074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39E922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83F83F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61F8EC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92%</w:t>
            </w:r>
          </w:p>
        </w:tc>
      </w:tr>
      <w:tr w14:paraId="4324B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86DB7C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0D0689B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9A807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经济成本</w:t>
            </w:r>
          </w:p>
          <w:p w14:paraId="6E5D79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07B161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auto"/>
                <w:kern w:val="0"/>
                <w:sz w:val="21"/>
                <w:szCs w:val="21"/>
                <w:u w:val="none"/>
                <w:lang w:val="en-US" w:eastAsia="zh-CN" w:bidi="ar"/>
              </w:rPr>
            </w:pPr>
            <w:r>
              <w:rPr>
                <w:rFonts w:hint="eastAsia" w:ascii="Times New Roman" w:hAnsi="Times New Roman" w:eastAsia="宋体" w:cs="Times New Roman"/>
                <w:i w:val="0"/>
                <w:color w:val="auto"/>
                <w:kern w:val="0"/>
                <w:sz w:val="21"/>
                <w:szCs w:val="21"/>
                <w:u w:val="none"/>
                <w:lang w:val="en-US" w:eastAsia="zh-CN" w:bidi="ar"/>
              </w:rPr>
              <w:t>成本控制率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B8971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rPr>
            </w:pPr>
            <w:r>
              <w:rPr>
                <w:rFonts w:hint="eastAsia" w:ascii="宋体" w:hAnsi="宋体" w:eastAsia="宋体" w:cs="宋体"/>
                <w:i w:val="0"/>
                <w:color w:val="auto"/>
                <w:sz w:val="21"/>
                <w:szCs w:val="21"/>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351D46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9804B0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A4667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3B2535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1"/>
                <w:szCs w:val="21"/>
                <w:u w:val="none"/>
                <w:lang w:val="en-US" w:eastAsia="zh-CN"/>
              </w:rPr>
            </w:pPr>
            <w:r>
              <w:rPr>
                <w:rFonts w:hint="eastAsia" w:eastAsia="宋体" w:cs="Times New Roman"/>
                <w:i w:val="0"/>
                <w:color w:val="auto"/>
                <w:sz w:val="21"/>
                <w:szCs w:val="21"/>
                <w:u w:val="none"/>
                <w:lang w:val="en-US" w:eastAsia="zh-CN"/>
              </w:rPr>
              <w:t>95%</w:t>
            </w:r>
          </w:p>
        </w:tc>
      </w:tr>
    </w:tbl>
    <w:p w14:paraId="1A96B74D">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黑体" w:hAnsi="黑体" w:eastAsia="黑体" w:cs="黑体"/>
          <w:b w:val="0"/>
          <w:bCs/>
          <w:color w:val="auto"/>
          <w:kern w:val="0"/>
          <w:sz w:val="36"/>
          <w:szCs w:val="36"/>
        </w:rPr>
      </w:pPr>
      <w:r>
        <w:rPr>
          <w:rFonts w:hint="eastAsia" w:ascii="黑体" w:hAnsi="黑体" w:eastAsia="黑体" w:cs="黑体"/>
          <w:b w:val="0"/>
          <w:bCs/>
          <w:color w:val="auto"/>
          <w:kern w:val="0"/>
          <w:sz w:val="36"/>
          <w:szCs w:val="36"/>
        </w:rPr>
        <w:t>专项预算绩效自评报告（若尔盖国家公园湿地时空格局演变研究与多维决策应用系统研发示范）</w:t>
      </w:r>
    </w:p>
    <w:p w14:paraId="3DEA857A">
      <w:pPr>
        <w:bidi w:val="0"/>
        <w:ind w:firstLine="640" w:firstLineChars="200"/>
        <w:rPr>
          <w:rFonts w:hint="eastAsia" w:ascii="黑体" w:hAnsi="黑体" w:eastAsia="黑体" w:cs="黑体"/>
          <w:color w:val="auto"/>
          <w:sz w:val="32"/>
          <w:szCs w:val="32"/>
          <w:lang w:val="zh-CN"/>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zh-CN"/>
        </w:rPr>
        <w:t>项目概况</w:t>
      </w:r>
    </w:p>
    <w:p w14:paraId="1795823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4F0C3F4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为支撑若尔盖国家公园建设与可持续发展，精准掌握湿地时空格局演变规律，为湿地管理、保护及利用提供科学决策依据，阿坝州自然资源与科技信息研究所牵头申报若尔盖国家公园湿地时空格局演变研究与多维决策应用系统研发示范 重点项目，经阿坝州科学技术局立项批复，立项经费30万元，项目起止年限为2023年6月1日至2025年5月31日。项目依托地理信息、遥感、人工智能等多学科技术，开展湿地景观精准识别、时空格局演变规律分析、动态预测及多维决策应用系统研发，合作单位为成都理工大学、成都图宇信息技术有限公司，分别承担湿地景观识别与预测研究、决策应用系统研发等工作。</w:t>
      </w:r>
    </w:p>
    <w:p w14:paraId="2400389B">
      <w:pPr>
        <w:keepNext w:val="0"/>
        <w:keepLines w:val="0"/>
        <w:pageBreakBefore w:val="0"/>
        <w:numPr>
          <w:ilvl w:val="0"/>
          <w:numId w:val="0"/>
        </w:numPr>
        <w:kinsoku/>
        <w:wordWrap/>
        <w:overflowPunct/>
        <w:topLinePunct w:val="0"/>
        <w:autoSpaceDE/>
        <w:autoSpaceDN/>
        <w:bidi w:val="0"/>
        <w:spacing w:before="120" w:after="120" w:line="560" w:lineRule="exact"/>
        <w:ind w:firstLine="643" w:firstLineChars="200"/>
        <w:jc w:val="left"/>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2C8B44A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b/>
          <w:color w:val="auto"/>
          <w:sz w:val="32"/>
          <w:szCs w:val="32"/>
          <w:highlight w:val="none"/>
          <w:u w:val="none"/>
          <w:lang w:val="zh-CN"/>
        </w:rPr>
      </w:pPr>
      <w:r>
        <w:rPr>
          <w:rFonts w:hint="eastAsia" w:ascii="仿宋" w:hAnsi="仿宋" w:eastAsia="仿宋" w:cs="仿宋"/>
          <w:color w:val="auto"/>
          <w:kern w:val="0"/>
          <w:sz w:val="32"/>
          <w:szCs w:val="32"/>
          <w:highlight w:val="none"/>
          <w:u w:val="none"/>
          <w:shd w:val="clear" w:color="auto" w:fill="FFFFFF"/>
          <w:lang w:val="zh-CN" w:eastAsia="zh-CN"/>
        </w:rPr>
        <w:t>本项目实施旨在突破湿地景观精准识别、动态预测等关键技术，研发集湿地识别、演变分析、预测决策于一体的多维决策应用系统，填补若尔盖国家公园湿地智能化管理技术空白，为黄河上游水源涵养区生态保护提供技术支撑。项目资金严格按照《阿坝州科技计划项目管理办法》管理，专项用于项目实施过程中的差旅费、出版/文献/知识产权事务费、劳务费、专家咨询费等直接费用及间接费用支出，聚焦湿地研究数据收集、技术研发、系统开发、应用示范等核心工作任务。</w:t>
      </w:r>
    </w:p>
    <w:p w14:paraId="0A32DF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eastAsia" w:eastAsia="楷体_GB2312" w:cs="Times New Roman"/>
          <w:b/>
          <w:color w:val="auto"/>
          <w:sz w:val="32"/>
          <w:szCs w:val="32"/>
          <w:highlight w:val="none"/>
          <w:u w:val="none"/>
          <w:lang w:val="en-US" w:eastAsia="zh-CN"/>
        </w:rPr>
        <w:t xml:space="preserve">    （三）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7585E84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立项预算安排：项目立项总预算30万元，全部为州级财政科技经费，无自筹经费。其中直接费用27万元（差旅费8万元、出版/文献等4万元、劳务费14万元、专家咨询费1万元），间接费用3万元（含绩效支出2.95万元）；资金拨付进度为2023年拨付100%。</w:t>
      </w:r>
    </w:p>
    <w:p w14:paraId="2D983B2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资金分配情况：阿坝州自然资源与科技信息研究所分配专项经费15万元（含间接费用2.9万元），成都理工大学分配1万元（含间接费用0.1万元），成都图宇信息技术有限公司分配14万元（无间接费用），三方按任务分工统筹使用各自经费。</w:t>
      </w:r>
    </w:p>
    <w:p w14:paraId="3346BCF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2025年决算情况：项目2025年财政拨款决算支出48345.00元，其中项目绩效</w:t>
      </w:r>
      <w:r>
        <w:rPr>
          <w:rFonts w:hint="eastAsia" w:ascii="仿宋" w:hAnsi="仿宋" w:eastAsia="仿宋" w:cs="仿宋"/>
          <w:color w:val="auto"/>
          <w:kern w:val="0"/>
          <w:sz w:val="32"/>
          <w:szCs w:val="32"/>
          <w:highlight w:val="none"/>
          <w:u w:val="none"/>
          <w:shd w:val="clear" w:color="auto" w:fill="FFFFFF"/>
          <w:lang w:val="en-US" w:eastAsia="zh-CN"/>
        </w:rPr>
        <w:t>支出</w:t>
      </w:r>
      <w:r>
        <w:rPr>
          <w:rFonts w:hint="eastAsia" w:ascii="仿宋" w:hAnsi="仿宋" w:eastAsia="仿宋" w:cs="仿宋"/>
          <w:color w:val="auto"/>
          <w:kern w:val="0"/>
          <w:sz w:val="32"/>
          <w:szCs w:val="32"/>
          <w:highlight w:val="none"/>
          <w:u w:val="none"/>
          <w:shd w:val="clear" w:color="auto" w:fill="FFFFFF"/>
          <w:lang w:val="zh-CN" w:eastAsia="zh-CN"/>
        </w:rPr>
        <w:t>2</w:t>
      </w:r>
      <w:r>
        <w:rPr>
          <w:rFonts w:hint="eastAsia" w:ascii="仿宋" w:hAnsi="仿宋" w:eastAsia="仿宋" w:cs="仿宋"/>
          <w:color w:val="auto"/>
          <w:kern w:val="0"/>
          <w:sz w:val="32"/>
          <w:szCs w:val="32"/>
          <w:highlight w:val="none"/>
          <w:u w:val="none"/>
          <w:shd w:val="clear" w:color="auto" w:fill="FFFFFF"/>
          <w:lang w:val="en-US" w:eastAsia="zh-CN"/>
        </w:rPr>
        <w:t>9</w:t>
      </w:r>
      <w:r>
        <w:rPr>
          <w:rFonts w:hint="eastAsia" w:ascii="仿宋" w:hAnsi="仿宋" w:eastAsia="仿宋" w:cs="仿宋"/>
          <w:color w:val="auto"/>
          <w:kern w:val="0"/>
          <w:sz w:val="32"/>
          <w:szCs w:val="32"/>
          <w:highlight w:val="none"/>
          <w:u w:val="none"/>
          <w:shd w:val="clear" w:color="auto" w:fill="FFFFFF"/>
          <w:lang w:val="zh-CN" w:eastAsia="zh-CN"/>
        </w:rPr>
        <w:t>000.00元，资金分配严格匹配项目实际实施任务，优先保障核心研究工作的资金需求。</w:t>
      </w:r>
    </w:p>
    <w:p w14:paraId="31D2278E">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eastAsia" w:eastAsia="楷体_GB2312" w:cs="Times New Roman"/>
          <w:b/>
          <w:color w:val="auto"/>
          <w:sz w:val="32"/>
          <w:szCs w:val="32"/>
          <w:highlight w:val="none"/>
          <w:u w:val="none"/>
          <w:lang w:val="zh-CN" w:eastAsia="zh-CN"/>
        </w:rPr>
        <w:t>（四）</w:t>
      </w:r>
      <w:r>
        <w:rPr>
          <w:rFonts w:hint="default" w:ascii="Times New Roman" w:hAnsi="Times New Roman" w:eastAsia="楷体_GB2312" w:cs="Times New Roman"/>
          <w:b/>
          <w:color w:val="auto"/>
          <w:sz w:val="32"/>
          <w:szCs w:val="32"/>
          <w:highlight w:val="none"/>
          <w:u w:val="none"/>
          <w:lang w:val="zh-CN" w:eastAsia="zh-CN"/>
        </w:rPr>
        <w:t>项目绩效目标设置。</w:t>
      </w:r>
    </w:p>
    <w:p w14:paraId="37874AD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整体绩效目标：完成若尔盖国家公园湿地景观精准识别、时空格局演变规律及驱动力分析，构建湿地景观演变动态预测模型，研发1套多维决策应用系统并开展应用示范，形成系列可落地的技术成果和知识产权，为若尔盖国家公园湿地管理提供科学依据和决策支撑。</w:t>
      </w:r>
    </w:p>
    <w:p w14:paraId="3FA26D3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具体绩效目标：突破湿地景观精准识别关键技术，识别精度提升至82-90%；申请国家发明专利1项，登记计算机软件著作权1项，公开发表学术论文2篇；建成多维决策应用系统1套，开展应用示范1个，完成研究报告1份。</w:t>
      </w:r>
    </w:p>
    <w:p w14:paraId="4F3C905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自评工作开展情况：项目到期后，项目</w:t>
      </w:r>
      <w:r>
        <w:rPr>
          <w:rFonts w:hint="eastAsia" w:ascii="仿宋" w:hAnsi="仿宋" w:eastAsia="仿宋" w:cs="仿宋"/>
          <w:color w:val="auto"/>
          <w:kern w:val="0"/>
          <w:sz w:val="32"/>
          <w:szCs w:val="32"/>
          <w:highlight w:val="none"/>
          <w:u w:val="none"/>
          <w:shd w:val="clear" w:color="auto" w:fill="FFFFFF"/>
          <w:lang w:val="en-US" w:eastAsia="zh-CN"/>
        </w:rPr>
        <w:t>组</w:t>
      </w:r>
      <w:r>
        <w:rPr>
          <w:rFonts w:hint="eastAsia" w:ascii="仿宋" w:hAnsi="仿宋" w:eastAsia="仿宋" w:cs="仿宋"/>
          <w:color w:val="auto"/>
          <w:kern w:val="0"/>
          <w:sz w:val="32"/>
          <w:szCs w:val="32"/>
          <w:highlight w:val="none"/>
          <w:u w:val="none"/>
          <w:shd w:val="clear" w:color="auto" w:fill="FFFFFF"/>
          <w:lang w:val="zh-CN" w:eastAsia="zh-CN"/>
        </w:rPr>
        <w:t>对照项目任务合同书、预算安排及绩效目标，通过案卷研究法、实地勘察法、数据核查法等方式，对项目实施全过程、资金使用情况及绩效目标完成情况进行全面自查，梳理项目成果、资金执行细节及存在问题，形成本绩效自评报告。</w:t>
      </w:r>
    </w:p>
    <w:p w14:paraId="6C49239E">
      <w:pPr>
        <w:bidi w:val="0"/>
        <w:ind w:firstLine="640" w:firstLineChars="20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二、</w:t>
      </w:r>
      <w:r>
        <w:rPr>
          <w:rFonts w:hint="eastAsia" w:ascii="黑体" w:hAnsi="黑体" w:eastAsia="黑体" w:cs="黑体"/>
          <w:color w:val="auto"/>
          <w:sz w:val="32"/>
          <w:szCs w:val="32"/>
          <w:lang w:eastAsia="zh-CN"/>
        </w:rPr>
        <w:t>评价实施</w:t>
      </w:r>
    </w:p>
    <w:p w14:paraId="0615EBEB">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（一）评价目的</w:t>
      </w:r>
    </w:p>
    <w:p w14:paraId="2B72658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通过本次绩效自评，全面核查项目2025年资金使用的合规性、合理性，评估项目实施进度与绩效目标的匹配度，分析项目实施过程中存在的问题与不足，总结项目实施的成效与经验，为后续项目资金管理、任务推进及同类科技项目实施提供优化建议，切实提升财政科技经费的使用效益和项目实施质量。</w:t>
      </w:r>
    </w:p>
    <w:p w14:paraId="70F1D0FC">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66" w:name="heading_7"/>
      <w:r>
        <w:rPr>
          <w:rFonts w:hint="default" w:ascii="Times New Roman" w:hAnsi="Times New Roman" w:eastAsia="楷体_GB2312" w:cs="Times New Roman"/>
          <w:b/>
          <w:color w:val="auto"/>
          <w:sz w:val="32"/>
          <w:szCs w:val="32"/>
          <w:highlight w:val="none"/>
          <w:u w:val="none"/>
          <w:lang w:val="zh-CN" w:eastAsia="zh-CN"/>
        </w:rPr>
        <w:t>（二）预设问题及评价重点</w:t>
      </w:r>
      <w:bookmarkEnd w:id="66"/>
    </w:p>
    <w:p w14:paraId="2B37181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本次自评围绕资金支出使用全过程及其实施效果展开，预设问题主要包括：项目资金是否按预算和规定用途使用、项目绩效是否足额合规发放、项目实施进度是否符合计划、具体绩效目标是否有效推进。</w:t>
      </w:r>
    </w:p>
    <w:p w14:paraId="551E057B">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bookmarkStart w:id="67" w:name="heading_8"/>
      <w:r>
        <w:rPr>
          <w:rFonts w:hint="eastAsia" w:ascii="仿宋" w:hAnsi="仿宋" w:eastAsia="仿宋" w:cs="仿宋"/>
          <w:color w:val="auto"/>
          <w:kern w:val="0"/>
          <w:sz w:val="32"/>
          <w:szCs w:val="32"/>
          <w:highlight w:val="none"/>
          <w:u w:val="none"/>
          <w:shd w:val="clear" w:color="auto" w:fill="FFFFFF"/>
          <w:lang w:val="zh-CN" w:eastAsia="zh-CN"/>
        </w:rPr>
        <w:t>评价重点涵盖：通用指标（项目决策、项目管理、项目实施、项目结果）、专用指标（聚焦项目验收、功能实现）、个性指标（技术成果、知识产权、论文论著等成果完成情况），逐项核查分析并量化评分</w:t>
      </w:r>
      <w:r>
        <w:rPr>
          <w:rFonts w:hint="default" w:ascii="Times New Roman" w:hAnsi="Times New Roman" w:cs="Times New Roman"/>
          <w:color w:val="auto"/>
          <w:kern w:val="0"/>
          <w:sz w:val="32"/>
          <w:szCs w:val="32"/>
          <w:highlight w:val="none"/>
          <w:u w:val="none"/>
          <w:shd w:val="clear" w:color="auto" w:fill="FFFFFF"/>
          <w:lang w:val="zh-CN" w:eastAsia="zh-CN"/>
        </w:rPr>
        <w:t>。</w:t>
      </w:r>
    </w:p>
    <w:p w14:paraId="00D3EBBB">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（三）评价选点</w:t>
      </w:r>
      <w:bookmarkEnd w:id="67"/>
    </w:p>
    <w:p w14:paraId="332D38C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结合项目</w:t>
      </w:r>
      <w:r>
        <w:rPr>
          <w:rFonts w:hint="eastAsia" w:ascii="仿宋" w:hAnsi="仿宋" w:eastAsia="仿宋" w:cs="仿宋"/>
          <w:color w:val="auto"/>
          <w:kern w:val="0"/>
          <w:sz w:val="32"/>
          <w:szCs w:val="32"/>
          <w:highlight w:val="none"/>
          <w:u w:val="none"/>
          <w:shd w:val="clear" w:color="auto" w:fill="FFFFFF"/>
          <w:lang w:val="en-US" w:eastAsia="zh-CN"/>
        </w:rPr>
        <w:t>目标任务</w:t>
      </w:r>
      <w:r>
        <w:rPr>
          <w:rFonts w:hint="eastAsia" w:ascii="仿宋" w:hAnsi="仿宋" w:eastAsia="仿宋" w:cs="仿宋"/>
          <w:color w:val="auto"/>
          <w:kern w:val="0"/>
          <w:sz w:val="32"/>
          <w:szCs w:val="32"/>
          <w:highlight w:val="none"/>
          <w:u w:val="none"/>
          <w:shd w:val="clear" w:color="auto" w:fill="FFFFFF"/>
          <w:lang w:val="zh-CN" w:eastAsia="zh-CN"/>
        </w:rPr>
        <w:t>，核查项目野外调查记录、数据收集情况、应用系统研发进度及资金使用凭证等相关资料，确保自评数据真实、准确。</w:t>
      </w:r>
    </w:p>
    <w:p w14:paraId="0C2573B1">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68" w:name="heading_9"/>
      <w:r>
        <w:rPr>
          <w:rFonts w:hint="default" w:ascii="Times New Roman" w:hAnsi="Times New Roman" w:eastAsia="楷体_GB2312" w:cs="Times New Roman"/>
          <w:b/>
          <w:color w:val="auto"/>
          <w:sz w:val="32"/>
          <w:szCs w:val="32"/>
          <w:highlight w:val="none"/>
          <w:u w:val="none"/>
          <w:lang w:val="zh-CN" w:eastAsia="zh-CN"/>
        </w:rPr>
        <w:t>（四）评价方法</w:t>
      </w:r>
      <w:bookmarkEnd w:id="68"/>
    </w:p>
    <w:p w14:paraId="22FFCEB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本次绩效自评综合采用多种方法，确保评价结果客观全面：</w:t>
      </w:r>
    </w:p>
    <w:p w14:paraId="4794634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案卷研究法：查阅项目立项任务书、财政拨款决算表、资金使用凭证、项目实施台账、研究报告等资料，梳理项目决策、资金管理、任务实施情况；</w:t>
      </w:r>
    </w:p>
    <w:p w14:paraId="79E9962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单位自评法：项目承担单位及合作单位对照绩效目标开展自我评估，梳理任务完成情况、资金使用成效及存在问题；</w:t>
      </w:r>
    </w:p>
    <w:p w14:paraId="1439D8D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座谈调研法：组织项目负责人、研究人员、财务人员开展座谈，了解项目实施中的难点、资金使用中的细节及绩效目标推进中的问题。</w:t>
      </w:r>
    </w:p>
    <w:p w14:paraId="57DEAAD1">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69" w:name="heading_10"/>
      <w:r>
        <w:rPr>
          <w:rFonts w:hint="default" w:ascii="Times New Roman" w:hAnsi="Times New Roman" w:eastAsia="楷体_GB2312" w:cs="Times New Roman"/>
          <w:b/>
          <w:color w:val="auto"/>
          <w:sz w:val="32"/>
          <w:szCs w:val="32"/>
          <w:highlight w:val="none"/>
          <w:u w:val="none"/>
          <w:lang w:val="zh-CN" w:eastAsia="zh-CN"/>
        </w:rPr>
        <w:t>（五）评价组织</w:t>
      </w:r>
      <w:bookmarkEnd w:id="69"/>
    </w:p>
    <w:p w14:paraId="466F4BF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成立由项目负责人、财务负责人、核心研究人员及合作单位代表组成的绩效自评工作小组，明确分工：</w:t>
      </w:r>
    </w:p>
    <w:p w14:paraId="3C9D2EA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项目负责人：统筹自评工作，审核自评报告整体内容，对项目任务完成情况进行说明；</w:t>
      </w:r>
    </w:p>
    <w:p w14:paraId="6A0E2EB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财务负责人：核查项目资金决算、使用凭证，重点审核项目绩效发放的合规性，提供资金使用相关数据；</w:t>
      </w:r>
    </w:p>
    <w:p w14:paraId="15E3961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核心研究人员：梳理项目实施台账、研究成果，对照绩效目标评估完成情况，提供实地踏勘及研究工作相关资料；</w:t>
      </w:r>
    </w:p>
    <w:p w14:paraId="211B185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rPr>
      </w:pPr>
      <w:r>
        <w:rPr>
          <w:rFonts w:hint="eastAsia" w:ascii="仿宋" w:hAnsi="仿宋" w:eastAsia="仿宋" w:cs="仿宋"/>
          <w:color w:val="auto"/>
          <w:kern w:val="0"/>
          <w:sz w:val="32"/>
          <w:szCs w:val="32"/>
          <w:highlight w:val="none"/>
          <w:u w:val="none"/>
          <w:shd w:val="clear" w:color="auto" w:fill="FFFFFF"/>
          <w:lang w:val="zh-CN" w:eastAsia="zh-CN"/>
        </w:rPr>
        <w:t>合作单位代表：反馈各自分工任务的实施情况，提供相关研究资料和工作记录。</w:t>
      </w:r>
    </w:p>
    <w:p w14:paraId="0C6CD667">
      <w:pPr>
        <w:bidi w:val="0"/>
        <w:ind w:firstLine="640" w:firstLineChars="200"/>
        <w:rPr>
          <w:rFonts w:hint="eastAsia" w:ascii="黑体" w:hAnsi="黑体" w:eastAsia="黑体" w:cs="黑体"/>
          <w:color w:val="auto"/>
          <w:sz w:val="32"/>
          <w:szCs w:val="32"/>
        </w:rPr>
      </w:pPr>
      <w:bookmarkStart w:id="70" w:name="heading_11"/>
      <w:r>
        <w:rPr>
          <w:rFonts w:hint="eastAsia" w:ascii="黑体" w:hAnsi="黑体" w:eastAsia="黑体" w:cs="黑体"/>
          <w:color w:val="auto"/>
          <w:sz w:val="32"/>
          <w:szCs w:val="32"/>
        </w:rPr>
        <w:t>三、绩效分析</w:t>
      </w:r>
      <w:bookmarkEnd w:id="70"/>
    </w:p>
    <w:p w14:paraId="004F012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本次绩效评价按照通用指标（54分）、专用指标（30分，行政运转类）、个性指标（16分） 三级指标体系逐项分析评分，核心围绕项目决策、管理、实施、结果等维度开展评价，具体分析如下：</w:t>
      </w:r>
    </w:p>
    <w:p w14:paraId="35638827">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71" w:name="heading_12"/>
      <w:r>
        <w:rPr>
          <w:rFonts w:hint="default" w:ascii="Times New Roman" w:hAnsi="Times New Roman" w:eastAsia="楷体_GB2312" w:cs="Times New Roman"/>
          <w:b/>
          <w:color w:val="auto"/>
          <w:sz w:val="32"/>
          <w:szCs w:val="32"/>
          <w:highlight w:val="none"/>
          <w:u w:val="none"/>
          <w:lang w:val="zh-CN" w:eastAsia="zh-CN"/>
        </w:rPr>
        <w:t>（一）通用指标绩效分析（54分</w:t>
      </w:r>
      <w:r>
        <w:rPr>
          <w:rFonts w:hint="eastAsia" w:eastAsia="楷体_GB2312" w:cs="Times New Roman"/>
          <w:b/>
          <w:color w:val="auto"/>
          <w:sz w:val="32"/>
          <w:szCs w:val="32"/>
          <w:highlight w:val="none"/>
          <w:u w:val="none"/>
          <w:lang w:val="zh-CN" w:eastAsia="zh-CN"/>
        </w:rPr>
        <w:t>，</w:t>
      </w:r>
      <w:r>
        <w:rPr>
          <w:rFonts w:hint="default" w:ascii="Times New Roman" w:hAnsi="Times New Roman" w:eastAsia="楷体_GB2312" w:cs="Times New Roman"/>
          <w:b/>
          <w:color w:val="auto"/>
          <w:sz w:val="32"/>
          <w:szCs w:val="32"/>
          <w:highlight w:val="none"/>
          <w:u w:val="none"/>
          <w:lang w:val="zh-CN" w:eastAsia="zh-CN"/>
        </w:rPr>
        <w:t>自评得分</w:t>
      </w:r>
      <w:r>
        <w:rPr>
          <w:rFonts w:hint="eastAsia" w:eastAsia="楷体_GB2312" w:cs="Times New Roman"/>
          <w:b/>
          <w:color w:val="auto"/>
          <w:sz w:val="32"/>
          <w:szCs w:val="32"/>
          <w:highlight w:val="none"/>
          <w:u w:val="none"/>
          <w:lang w:val="en-US" w:eastAsia="zh-CN"/>
        </w:rPr>
        <w:t>46</w:t>
      </w:r>
      <w:r>
        <w:rPr>
          <w:rFonts w:hint="default" w:ascii="Times New Roman" w:hAnsi="Times New Roman" w:eastAsia="楷体_GB2312" w:cs="Times New Roman"/>
          <w:b/>
          <w:color w:val="auto"/>
          <w:sz w:val="32"/>
          <w:szCs w:val="32"/>
          <w:highlight w:val="none"/>
          <w:u w:val="none"/>
          <w:lang w:val="zh-CN" w:eastAsia="zh-CN"/>
        </w:rPr>
        <w:t>分）</w:t>
      </w:r>
      <w:bookmarkEnd w:id="71"/>
    </w:p>
    <w:p w14:paraId="0C43C00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bookmarkStart w:id="72" w:name="heading_13"/>
      <w:r>
        <w:rPr>
          <w:rFonts w:hint="eastAsia" w:ascii="仿宋" w:hAnsi="仿宋" w:eastAsia="仿宋" w:cs="仿宋"/>
          <w:b/>
          <w:bCs/>
          <w:color w:val="auto"/>
          <w:kern w:val="0"/>
          <w:sz w:val="32"/>
          <w:szCs w:val="32"/>
          <w:highlight w:val="none"/>
          <w:u w:val="none"/>
          <w:shd w:val="clear" w:color="auto" w:fill="FFFFFF"/>
          <w:lang w:val="zh-CN" w:eastAsia="zh-CN"/>
        </w:rPr>
        <w:t>1.项目决策（18分，自评得分18分）</w:t>
      </w:r>
      <w:bookmarkEnd w:id="72"/>
    </w:p>
    <w:p w14:paraId="3CD4B96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决策程序（6分，得6分）：项目经阿坝州科学技术局正式立项，立项程序符合《阿坝州科技计划项目管理办法》规定，任务合同书经承担单位、合作单位、推荐单位审核盖章后生效，决策程序严密、合规。</w:t>
      </w:r>
    </w:p>
    <w:p w14:paraId="388FAA6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规划论证（6分，得6分）：项目规划论证紧扣若尔盖国家公园生态保护的中省政策要求，聚焦湿地管理的实际需求，绩效目标设置科学合理，与项目研究任务、资金规模相匹配，可量化、可考核。</w:t>
      </w:r>
    </w:p>
    <w:p w14:paraId="232092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资金投向（6分，得6分）：项目资金投向与湿地生态保护的总体规划、阿坝州科技事业发展方向高度匹配，聚焦湿地时空格局研究、决策系统研发等核心任务，资金使用均围绕项目重点环节开展，无资金偏离使用情况。</w:t>
      </w:r>
    </w:p>
    <w:p w14:paraId="2BE973E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bookmarkStart w:id="73" w:name="heading_14"/>
      <w:r>
        <w:rPr>
          <w:rFonts w:hint="eastAsia" w:ascii="仿宋" w:hAnsi="仿宋" w:eastAsia="仿宋" w:cs="仿宋"/>
          <w:b/>
          <w:bCs/>
          <w:color w:val="auto"/>
          <w:kern w:val="0"/>
          <w:sz w:val="32"/>
          <w:szCs w:val="32"/>
          <w:highlight w:val="none"/>
          <w:u w:val="none"/>
          <w:shd w:val="clear" w:color="auto" w:fill="FFFFFF"/>
          <w:lang w:val="zh-CN" w:eastAsia="zh-CN"/>
        </w:rPr>
        <w:t>2.项目管理（18分，自评得分1</w:t>
      </w:r>
      <w:r>
        <w:rPr>
          <w:rFonts w:hint="eastAsia" w:ascii="仿宋" w:hAnsi="仿宋" w:eastAsia="仿宋" w:cs="仿宋"/>
          <w:b/>
          <w:bCs/>
          <w:color w:val="auto"/>
          <w:kern w:val="0"/>
          <w:sz w:val="32"/>
          <w:szCs w:val="32"/>
          <w:highlight w:val="none"/>
          <w:u w:val="none"/>
          <w:shd w:val="clear" w:color="auto" w:fill="FFFFFF"/>
          <w:lang w:val="en-US" w:eastAsia="zh-CN"/>
        </w:rPr>
        <w:t>5</w:t>
      </w:r>
      <w:r>
        <w:rPr>
          <w:rFonts w:hint="eastAsia" w:ascii="仿宋" w:hAnsi="仿宋" w:eastAsia="仿宋" w:cs="仿宋"/>
          <w:b/>
          <w:bCs/>
          <w:color w:val="auto"/>
          <w:kern w:val="0"/>
          <w:sz w:val="32"/>
          <w:szCs w:val="32"/>
          <w:highlight w:val="none"/>
          <w:u w:val="none"/>
          <w:shd w:val="clear" w:color="auto" w:fill="FFFFFF"/>
          <w:lang w:val="zh-CN" w:eastAsia="zh-CN"/>
        </w:rPr>
        <w:t>分）</w:t>
      </w:r>
      <w:bookmarkEnd w:id="73"/>
    </w:p>
    <w:p w14:paraId="40E6093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制度办法（2分，得2分）：项目实施严格遵守《阿坝州科技计划项目管理办法》及财政资金管理相关制度，内部制定了项目资金使用、任务推进台账管理制度，制度体系健全、要素完备。</w:t>
      </w:r>
    </w:p>
    <w:p w14:paraId="0EF5CE4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分配管理（10分，得</w:t>
      </w:r>
      <w:r>
        <w:rPr>
          <w:rFonts w:hint="eastAsia" w:ascii="仿宋" w:hAnsi="仿宋" w:eastAsia="仿宋" w:cs="仿宋"/>
          <w:color w:val="auto"/>
          <w:kern w:val="0"/>
          <w:sz w:val="32"/>
          <w:szCs w:val="32"/>
          <w:highlight w:val="none"/>
          <w:u w:val="none"/>
          <w:shd w:val="clear" w:color="auto" w:fill="FFFFFF"/>
          <w:lang w:val="en-US" w:eastAsia="zh-CN"/>
        </w:rPr>
        <w:t>8</w:t>
      </w:r>
      <w:r>
        <w:rPr>
          <w:rFonts w:hint="eastAsia" w:ascii="仿宋" w:hAnsi="仿宋" w:eastAsia="仿宋" w:cs="仿宋"/>
          <w:color w:val="auto"/>
          <w:kern w:val="0"/>
          <w:sz w:val="32"/>
          <w:szCs w:val="32"/>
          <w:highlight w:val="none"/>
          <w:u w:val="none"/>
          <w:shd w:val="clear" w:color="auto" w:fill="FFFFFF"/>
          <w:lang w:val="zh-CN" w:eastAsia="zh-CN"/>
        </w:rPr>
        <w:t>分）：项目资金按任务分工分配给承担单位和合作单位，分配因素与各方工作权重相匹配，区域分布</w:t>
      </w:r>
      <w:r>
        <w:rPr>
          <w:rFonts w:hint="eastAsia" w:ascii="仿宋" w:hAnsi="仿宋" w:eastAsia="仿宋" w:cs="仿宋"/>
          <w:color w:val="auto"/>
          <w:kern w:val="0"/>
          <w:sz w:val="32"/>
          <w:szCs w:val="32"/>
          <w:highlight w:val="none"/>
          <w:u w:val="none"/>
          <w:shd w:val="clear" w:color="auto" w:fill="FFFFFF"/>
          <w:lang w:val="en-US" w:eastAsia="zh-CN"/>
        </w:rPr>
        <w:t>较好的</w:t>
      </w:r>
      <w:r>
        <w:rPr>
          <w:rFonts w:hint="eastAsia" w:ascii="仿宋" w:hAnsi="仿宋" w:eastAsia="仿宋" w:cs="仿宋"/>
          <w:color w:val="auto"/>
          <w:kern w:val="0"/>
          <w:sz w:val="32"/>
          <w:szCs w:val="32"/>
          <w:highlight w:val="none"/>
          <w:u w:val="none"/>
          <w:shd w:val="clear" w:color="auto" w:fill="FFFFFF"/>
          <w:lang w:val="zh-CN" w:eastAsia="zh-CN"/>
        </w:rPr>
        <w:t>贴合</w:t>
      </w:r>
      <w:r>
        <w:rPr>
          <w:rFonts w:hint="eastAsia" w:ascii="仿宋" w:hAnsi="仿宋" w:eastAsia="仿宋" w:cs="仿宋"/>
          <w:color w:val="auto"/>
          <w:kern w:val="0"/>
          <w:sz w:val="32"/>
          <w:szCs w:val="32"/>
          <w:highlight w:val="none"/>
          <w:u w:val="none"/>
          <w:shd w:val="clear" w:color="auto" w:fill="FFFFFF"/>
          <w:lang w:val="en-US" w:eastAsia="zh-CN"/>
        </w:rPr>
        <w:t>了</w:t>
      </w:r>
      <w:r>
        <w:rPr>
          <w:rFonts w:hint="eastAsia" w:ascii="仿宋" w:hAnsi="仿宋" w:eastAsia="仿宋" w:cs="仿宋"/>
          <w:color w:val="auto"/>
          <w:kern w:val="0"/>
          <w:sz w:val="32"/>
          <w:szCs w:val="32"/>
          <w:highlight w:val="none"/>
          <w:u w:val="none"/>
          <w:shd w:val="clear" w:color="auto" w:fill="FFFFFF"/>
          <w:lang w:val="zh-CN" w:eastAsia="zh-CN"/>
        </w:rPr>
        <w:t>项目研究实际。</w:t>
      </w:r>
    </w:p>
    <w:p w14:paraId="60CCC11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绩效监管（6分，得</w:t>
      </w:r>
      <w:r>
        <w:rPr>
          <w:rFonts w:hint="eastAsia" w:ascii="仿宋" w:hAnsi="仿宋" w:eastAsia="仿宋" w:cs="仿宋"/>
          <w:color w:val="auto"/>
          <w:kern w:val="0"/>
          <w:sz w:val="32"/>
          <w:szCs w:val="32"/>
          <w:highlight w:val="none"/>
          <w:u w:val="none"/>
          <w:shd w:val="clear" w:color="auto" w:fill="FFFFFF"/>
          <w:lang w:val="en-US" w:eastAsia="zh-CN"/>
        </w:rPr>
        <w:t>5</w:t>
      </w:r>
      <w:r>
        <w:rPr>
          <w:rFonts w:hint="eastAsia" w:ascii="仿宋" w:hAnsi="仿宋" w:eastAsia="仿宋" w:cs="仿宋"/>
          <w:color w:val="auto"/>
          <w:kern w:val="0"/>
          <w:sz w:val="32"/>
          <w:szCs w:val="32"/>
          <w:highlight w:val="none"/>
          <w:u w:val="none"/>
          <w:shd w:val="clear" w:color="auto" w:fill="FFFFFF"/>
          <w:lang w:val="zh-CN" w:eastAsia="zh-CN"/>
        </w:rPr>
        <w:t>分）：项目实施过程中，主管部门及承担单位将资金管理、项目推进与绩效监管相结合，按要求开展项目进度检查，对资金使用情况进行常态化监管，对下指导及时、有效。</w:t>
      </w:r>
    </w:p>
    <w:p w14:paraId="0DA09B0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bookmarkStart w:id="74" w:name="heading_15"/>
      <w:r>
        <w:rPr>
          <w:rFonts w:hint="eastAsia" w:ascii="仿宋" w:hAnsi="仿宋" w:eastAsia="仿宋" w:cs="仿宋"/>
          <w:b/>
          <w:bCs/>
          <w:color w:val="auto"/>
          <w:kern w:val="0"/>
          <w:sz w:val="32"/>
          <w:szCs w:val="32"/>
          <w:highlight w:val="none"/>
          <w:u w:val="none"/>
          <w:shd w:val="clear" w:color="auto" w:fill="FFFFFF"/>
          <w:lang w:val="zh-CN" w:eastAsia="zh-CN"/>
        </w:rPr>
        <w:t>3.项目实施（9分，自评得分</w:t>
      </w:r>
      <w:r>
        <w:rPr>
          <w:rFonts w:hint="eastAsia" w:ascii="仿宋" w:hAnsi="仿宋" w:eastAsia="仿宋" w:cs="仿宋"/>
          <w:b/>
          <w:bCs/>
          <w:color w:val="auto"/>
          <w:kern w:val="0"/>
          <w:sz w:val="32"/>
          <w:szCs w:val="32"/>
          <w:highlight w:val="none"/>
          <w:u w:val="none"/>
          <w:shd w:val="clear" w:color="auto" w:fill="FFFFFF"/>
          <w:lang w:val="en-US" w:eastAsia="zh-CN"/>
        </w:rPr>
        <w:t>7</w:t>
      </w:r>
      <w:r>
        <w:rPr>
          <w:rFonts w:hint="eastAsia" w:ascii="仿宋" w:hAnsi="仿宋" w:eastAsia="仿宋" w:cs="仿宋"/>
          <w:b/>
          <w:bCs/>
          <w:color w:val="auto"/>
          <w:kern w:val="0"/>
          <w:sz w:val="32"/>
          <w:szCs w:val="32"/>
          <w:highlight w:val="none"/>
          <w:u w:val="none"/>
          <w:shd w:val="clear" w:color="auto" w:fill="FFFFFF"/>
          <w:lang w:val="zh-CN" w:eastAsia="zh-CN"/>
        </w:rPr>
        <w:t>分）</w:t>
      </w:r>
      <w:bookmarkEnd w:id="74"/>
    </w:p>
    <w:p w14:paraId="0913D4A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预算执行（6分，得</w:t>
      </w:r>
      <w:r>
        <w:rPr>
          <w:rFonts w:hint="eastAsia" w:ascii="仿宋" w:hAnsi="仿宋" w:eastAsia="仿宋" w:cs="仿宋"/>
          <w:color w:val="auto"/>
          <w:kern w:val="0"/>
          <w:sz w:val="32"/>
          <w:szCs w:val="32"/>
          <w:highlight w:val="none"/>
          <w:u w:val="none"/>
          <w:shd w:val="clear" w:color="auto" w:fill="FFFFFF"/>
          <w:lang w:val="en-US" w:eastAsia="zh-CN"/>
        </w:rPr>
        <w:t>4</w:t>
      </w:r>
      <w:r>
        <w:rPr>
          <w:rFonts w:hint="eastAsia" w:ascii="仿宋" w:hAnsi="仿宋" w:eastAsia="仿宋" w:cs="仿宋"/>
          <w:color w:val="auto"/>
          <w:kern w:val="0"/>
          <w:sz w:val="32"/>
          <w:szCs w:val="32"/>
          <w:highlight w:val="none"/>
          <w:u w:val="none"/>
          <w:shd w:val="clear" w:color="auto" w:fill="FFFFFF"/>
          <w:lang w:val="zh-CN" w:eastAsia="zh-CN"/>
        </w:rPr>
        <w:t>分）：2025年项目财政拨款决算48345.00元，资金全部足额拨付至项目</w:t>
      </w:r>
      <w:r>
        <w:rPr>
          <w:rFonts w:hint="eastAsia" w:ascii="仿宋" w:hAnsi="仿宋" w:eastAsia="仿宋" w:cs="仿宋"/>
          <w:color w:val="auto"/>
          <w:kern w:val="0"/>
          <w:sz w:val="32"/>
          <w:szCs w:val="32"/>
          <w:highlight w:val="none"/>
          <w:u w:val="none"/>
          <w:shd w:val="clear" w:color="auto" w:fill="FFFFFF"/>
          <w:lang w:val="en-US" w:eastAsia="zh-CN"/>
        </w:rPr>
        <w:t>各</w:t>
      </w:r>
      <w:r>
        <w:rPr>
          <w:rFonts w:hint="eastAsia" w:ascii="仿宋" w:hAnsi="仿宋" w:eastAsia="仿宋" w:cs="仿宋"/>
          <w:color w:val="auto"/>
          <w:kern w:val="0"/>
          <w:sz w:val="32"/>
          <w:szCs w:val="32"/>
          <w:highlight w:val="none"/>
          <w:u w:val="none"/>
          <w:shd w:val="clear" w:color="auto" w:fill="FFFFFF"/>
          <w:lang w:val="zh-CN" w:eastAsia="zh-CN"/>
        </w:rPr>
        <w:t>承担单位，单位按项目实施进度执行资金使用，资金</w:t>
      </w:r>
      <w:r>
        <w:rPr>
          <w:rFonts w:hint="eastAsia" w:ascii="仿宋" w:hAnsi="仿宋" w:eastAsia="仿宋" w:cs="仿宋"/>
          <w:color w:val="auto"/>
          <w:kern w:val="0"/>
          <w:sz w:val="32"/>
          <w:szCs w:val="32"/>
          <w:highlight w:val="none"/>
          <w:u w:val="none"/>
          <w:shd w:val="clear" w:color="auto" w:fill="FFFFFF"/>
          <w:lang w:val="en-US" w:eastAsia="zh-CN"/>
        </w:rPr>
        <w:t>有结余</w:t>
      </w:r>
      <w:r>
        <w:rPr>
          <w:rFonts w:hint="eastAsia" w:ascii="仿宋" w:hAnsi="仿宋" w:eastAsia="仿宋" w:cs="仿宋"/>
          <w:color w:val="auto"/>
          <w:kern w:val="0"/>
          <w:sz w:val="32"/>
          <w:szCs w:val="32"/>
          <w:highlight w:val="none"/>
          <w:u w:val="none"/>
          <w:shd w:val="clear" w:color="auto" w:fill="FFFFFF"/>
          <w:lang w:val="zh-CN" w:eastAsia="zh-CN"/>
        </w:rPr>
        <w:t>。</w:t>
      </w:r>
    </w:p>
    <w:p w14:paraId="30713A7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资金使用（3分，得3分）：项目资金使用严格符合财政科技经费管理规定，商品和服务支出用于项目核心研究工作，29000元项目绩效足额、合规发放给项目成员，资金拨付、使用均有完整凭证，无违规使用情况。</w:t>
      </w:r>
    </w:p>
    <w:p w14:paraId="7F5F8F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bookmarkStart w:id="75" w:name="heading_16"/>
      <w:r>
        <w:rPr>
          <w:rFonts w:hint="eastAsia" w:ascii="仿宋" w:hAnsi="仿宋" w:eastAsia="仿宋" w:cs="仿宋"/>
          <w:b/>
          <w:bCs/>
          <w:color w:val="auto"/>
          <w:kern w:val="0"/>
          <w:sz w:val="32"/>
          <w:szCs w:val="32"/>
          <w:highlight w:val="none"/>
          <w:u w:val="none"/>
          <w:shd w:val="clear" w:color="auto" w:fill="FFFFFF"/>
          <w:lang w:val="zh-CN" w:eastAsia="zh-CN"/>
        </w:rPr>
        <w:t>4.项目结果（9分，自评得分</w:t>
      </w:r>
      <w:r>
        <w:rPr>
          <w:rFonts w:hint="eastAsia" w:ascii="仿宋" w:hAnsi="仿宋" w:eastAsia="仿宋" w:cs="仿宋"/>
          <w:b/>
          <w:bCs/>
          <w:color w:val="auto"/>
          <w:kern w:val="0"/>
          <w:sz w:val="32"/>
          <w:szCs w:val="32"/>
          <w:highlight w:val="none"/>
          <w:u w:val="none"/>
          <w:shd w:val="clear" w:color="auto" w:fill="FFFFFF"/>
          <w:lang w:val="en-US" w:eastAsia="zh-CN"/>
        </w:rPr>
        <w:t>6</w:t>
      </w:r>
      <w:r>
        <w:rPr>
          <w:rFonts w:hint="eastAsia" w:ascii="仿宋" w:hAnsi="仿宋" w:eastAsia="仿宋" w:cs="仿宋"/>
          <w:b/>
          <w:bCs/>
          <w:color w:val="auto"/>
          <w:kern w:val="0"/>
          <w:sz w:val="32"/>
          <w:szCs w:val="32"/>
          <w:highlight w:val="none"/>
          <w:u w:val="none"/>
          <w:shd w:val="clear" w:color="auto" w:fill="FFFFFF"/>
          <w:lang w:val="zh-CN" w:eastAsia="zh-CN"/>
        </w:rPr>
        <w:t>分）</w:t>
      </w:r>
      <w:bookmarkEnd w:id="75"/>
    </w:p>
    <w:p w14:paraId="7DD18E5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目标完成（6分，得</w:t>
      </w:r>
      <w:r>
        <w:rPr>
          <w:rFonts w:hint="eastAsia" w:ascii="仿宋" w:hAnsi="仿宋" w:eastAsia="仿宋" w:cs="仿宋"/>
          <w:color w:val="auto"/>
          <w:kern w:val="0"/>
          <w:sz w:val="32"/>
          <w:szCs w:val="32"/>
          <w:highlight w:val="none"/>
          <w:u w:val="none"/>
          <w:shd w:val="clear" w:color="auto" w:fill="FFFFFF"/>
          <w:lang w:val="en-US" w:eastAsia="zh-CN"/>
        </w:rPr>
        <w:t>4</w:t>
      </w:r>
      <w:r>
        <w:rPr>
          <w:rFonts w:hint="eastAsia" w:ascii="仿宋" w:hAnsi="仿宋" w:eastAsia="仿宋" w:cs="仿宋"/>
          <w:color w:val="auto"/>
          <w:kern w:val="0"/>
          <w:sz w:val="32"/>
          <w:szCs w:val="32"/>
          <w:highlight w:val="none"/>
          <w:u w:val="none"/>
          <w:shd w:val="clear" w:color="auto" w:fill="FFFFFF"/>
          <w:lang w:val="zh-CN" w:eastAsia="zh-CN"/>
        </w:rPr>
        <w:t>分）：2025年项目按计划推进湿地时空格局数据分析、应用系统优化等工作，完成了既定的阶段性研究任务，但多维决策应用系统的应用示范范围尚未达到预设目标，需进一步推进。</w:t>
      </w:r>
    </w:p>
    <w:p w14:paraId="6E9564C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完成时效（3分，得</w:t>
      </w:r>
      <w:r>
        <w:rPr>
          <w:rFonts w:hint="eastAsia" w:ascii="仿宋" w:hAnsi="仿宋" w:eastAsia="仿宋" w:cs="仿宋"/>
          <w:color w:val="auto"/>
          <w:kern w:val="0"/>
          <w:sz w:val="32"/>
          <w:szCs w:val="32"/>
          <w:highlight w:val="none"/>
          <w:u w:val="none"/>
          <w:shd w:val="clear" w:color="auto" w:fill="FFFFFF"/>
          <w:lang w:val="en-US" w:eastAsia="zh-CN"/>
        </w:rPr>
        <w:t>2</w:t>
      </w:r>
      <w:r>
        <w:rPr>
          <w:rFonts w:hint="eastAsia" w:ascii="仿宋" w:hAnsi="仿宋" w:eastAsia="仿宋" w:cs="仿宋"/>
          <w:color w:val="auto"/>
          <w:kern w:val="0"/>
          <w:sz w:val="32"/>
          <w:szCs w:val="32"/>
          <w:highlight w:val="none"/>
          <w:u w:val="none"/>
          <w:shd w:val="clear" w:color="auto" w:fill="FFFFFF"/>
          <w:lang w:val="zh-CN" w:eastAsia="zh-CN"/>
        </w:rPr>
        <w:t>分）：2025 年项目除平台动态预测板块开发进度相对滞后外，其余各项阶段性任务均按计划节点完成，未出现逾期情况，实际完成时间与计划时间整体契合度较高。</w:t>
      </w:r>
    </w:p>
    <w:p w14:paraId="1CD4B3F3">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76" w:name="heading_17"/>
      <w:r>
        <w:rPr>
          <w:rFonts w:hint="default" w:ascii="Times New Roman" w:hAnsi="Times New Roman" w:eastAsia="楷体_GB2312" w:cs="Times New Roman"/>
          <w:b/>
          <w:color w:val="auto"/>
          <w:sz w:val="32"/>
          <w:szCs w:val="32"/>
          <w:highlight w:val="none"/>
          <w:u w:val="none"/>
          <w:lang w:val="zh-CN" w:eastAsia="zh-CN"/>
        </w:rPr>
        <w:t>（二）专用指标绩效分析（30分，行政运转类，自评得分</w:t>
      </w:r>
      <w:r>
        <w:rPr>
          <w:rFonts w:hint="eastAsia" w:eastAsia="楷体_GB2312" w:cs="Times New Roman"/>
          <w:b/>
          <w:color w:val="auto"/>
          <w:sz w:val="32"/>
          <w:szCs w:val="32"/>
          <w:highlight w:val="none"/>
          <w:u w:val="none"/>
          <w:lang w:val="en-US" w:eastAsia="zh-CN"/>
        </w:rPr>
        <w:t>30</w:t>
      </w:r>
      <w:r>
        <w:rPr>
          <w:rFonts w:hint="default" w:ascii="Times New Roman" w:hAnsi="Times New Roman" w:eastAsia="楷体_GB2312" w:cs="Times New Roman"/>
          <w:b/>
          <w:color w:val="auto"/>
          <w:sz w:val="32"/>
          <w:szCs w:val="32"/>
          <w:highlight w:val="none"/>
          <w:u w:val="none"/>
          <w:lang w:val="zh-CN" w:eastAsia="zh-CN"/>
        </w:rPr>
        <w:t>分）</w:t>
      </w:r>
      <w:bookmarkEnd w:id="76"/>
    </w:p>
    <w:p w14:paraId="0BF2085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项目资金主要用于科技项目实施的行政运转及研究工作保障，按行政运转类指标开展评价：</w:t>
      </w:r>
    </w:p>
    <w:p w14:paraId="1B5BAD9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用途合规性（10分，得10分）：项目资金严格按规定用途和适用范围分配使用，商品和服务支出聚焦项目研究，无超范围、超用途使用资金情况。</w:t>
      </w:r>
    </w:p>
    <w:p w14:paraId="172916A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程序合规性（10分，得</w:t>
      </w:r>
      <w:r>
        <w:rPr>
          <w:rFonts w:hint="eastAsia" w:ascii="仿宋" w:hAnsi="仿宋" w:eastAsia="仿宋" w:cs="仿宋"/>
          <w:color w:val="auto"/>
          <w:kern w:val="0"/>
          <w:sz w:val="32"/>
          <w:szCs w:val="32"/>
          <w:highlight w:val="none"/>
          <w:u w:val="none"/>
          <w:shd w:val="clear" w:color="auto" w:fill="FFFFFF"/>
          <w:lang w:val="en-US" w:eastAsia="zh-CN"/>
        </w:rPr>
        <w:t>10</w:t>
      </w:r>
      <w:r>
        <w:rPr>
          <w:rFonts w:hint="eastAsia" w:ascii="仿宋" w:hAnsi="仿宋" w:eastAsia="仿宋" w:cs="仿宋"/>
          <w:color w:val="auto"/>
          <w:kern w:val="0"/>
          <w:sz w:val="32"/>
          <w:szCs w:val="32"/>
          <w:highlight w:val="none"/>
          <w:u w:val="none"/>
          <w:shd w:val="clear" w:color="auto" w:fill="FFFFFF"/>
          <w:lang w:val="zh-CN" w:eastAsia="zh-CN"/>
        </w:rPr>
        <w:t>分）：项目资金管理整体符合专项资金管理要求，资金拨付、报销均履行内部审批程序。</w:t>
      </w:r>
    </w:p>
    <w:p w14:paraId="6206175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标准合规性（10分，得10分）：项目资金分配标准、项目绩效发放标准均符合阿坝州科技计划项目资金管理及绩效发放的相关规定，无超标准分配、发放情况。</w:t>
      </w:r>
    </w:p>
    <w:p w14:paraId="393A8533">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77" w:name="heading_18"/>
      <w:r>
        <w:rPr>
          <w:rFonts w:hint="default" w:ascii="Times New Roman" w:hAnsi="Times New Roman" w:eastAsia="楷体_GB2312" w:cs="Times New Roman"/>
          <w:b/>
          <w:color w:val="auto"/>
          <w:sz w:val="32"/>
          <w:szCs w:val="32"/>
          <w:highlight w:val="none"/>
          <w:u w:val="none"/>
          <w:lang w:val="zh-CN" w:eastAsia="zh-CN"/>
        </w:rPr>
        <w:t>（三）个性指标绩效分析（16分，自评得分1</w:t>
      </w:r>
      <w:r>
        <w:rPr>
          <w:rFonts w:hint="eastAsia" w:eastAsia="楷体_GB2312" w:cs="Times New Roman"/>
          <w:b/>
          <w:color w:val="auto"/>
          <w:sz w:val="32"/>
          <w:szCs w:val="32"/>
          <w:highlight w:val="none"/>
          <w:u w:val="none"/>
          <w:lang w:val="en-US" w:eastAsia="zh-CN"/>
        </w:rPr>
        <w:t>2</w:t>
      </w:r>
      <w:r>
        <w:rPr>
          <w:rFonts w:hint="default" w:ascii="Times New Roman" w:hAnsi="Times New Roman" w:eastAsia="楷体_GB2312" w:cs="Times New Roman"/>
          <w:b/>
          <w:color w:val="auto"/>
          <w:sz w:val="32"/>
          <w:szCs w:val="32"/>
          <w:highlight w:val="none"/>
          <w:u w:val="none"/>
          <w:lang w:val="zh-CN" w:eastAsia="zh-CN"/>
        </w:rPr>
        <w:t>分）</w:t>
      </w:r>
      <w:bookmarkEnd w:id="77"/>
    </w:p>
    <w:p w14:paraId="4110360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结合项目研究特点，设定数据收集完成率、模型构建精度、系统研发进度、资金使用精准度4项个性指标（各4分），逐项分析：</w:t>
      </w:r>
    </w:p>
    <w:p w14:paraId="14BF751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1.</w:t>
      </w:r>
      <w:r>
        <w:rPr>
          <w:rFonts w:hint="eastAsia" w:ascii="仿宋" w:hAnsi="仿宋" w:eastAsia="仿宋" w:cs="仿宋"/>
          <w:b/>
          <w:bCs/>
          <w:color w:val="auto"/>
          <w:kern w:val="0"/>
          <w:sz w:val="32"/>
          <w:szCs w:val="32"/>
          <w:highlight w:val="none"/>
          <w:u w:val="none"/>
          <w:shd w:val="clear" w:color="auto" w:fill="FFFFFF"/>
          <w:lang w:val="zh-CN" w:eastAsia="zh-CN"/>
        </w:rPr>
        <w:t>数据收集完成率（4分，得</w:t>
      </w:r>
      <w:r>
        <w:rPr>
          <w:rFonts w:hint="eastAsia" w:ascii="仿宋" w:hAnsi="仿宋" w:eastAsia="仿宋" w:cs="仿宋"/>
          <w:b/>
          <w:bCs/>
          <w:color w:val="auto"/>
          <w:kern w:val="0"/>
          <w:sz w:val="32"/>
          <w:szCs w:val="32"/>
          <w:highlight w:val="none"/>
          <w:u w:val="none"/>
          <w:shd w:val="clear" w:color="auto" w:fill="FFFFFF"/>
          <w:lang w:val="en-US" w:eastAsia="zh-CN"/>
        </w:rPr>
        <w:t>2</w:t>
      </w:r>
      <w:r>
        <w:rPr>
          <w:rFonts w:hint="eastAsia" w:ascii="仿宋" w:hAnsi="仿宋" w:eastAsia="仿宋" w:cs="仿宋"/>
          <w:b/>
          <w:bCs/>
          <w:color w:val="auto"/>
          <w:kern w:val="0"/>
          <w:sz w:val="32"/>
          <w:szCs w:val="32"/>
          <w:highlight w:val="none"/>
          <w:u w:val="none"/>
          <w:shd w:val="clear" w:color="auto" w:fill="FFFFFF"/>
          <w:lang w:val="zh-CN" w:eastAsia="zh-CN"/>
        </w:rPr>
        <w:t>分）</w:t>
      </w:r>
    </w:p>
    <w:p w14:paraId="28CD98A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2025 年已完成湿地遥感、气象等数据的收集与处理工作，而土壤、社会经济发展类数据受多重因素影响，存在较多缺失。</w:t>
      </w:r>
    </w:p>
    <w:p w14:paraId="48DFAEA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2.</w:t>
      </w:r>
      <w:r>
        <w:rPr>
          <w:rFonts w:hint="eastAsia" w:ascii="仿宋" w:hAnsi="仿宋" w:eastAsia="仿宋" w:cs="仿宋"/>
          <w:b/>
          <w:bCs/>
          <w:color w:val="auto"/>
          <w:kern w:val="0"/>
          <w:sz w:val="32"/>
          <w:szCs w:val="32"/>
          <w:highlight w:val="none"/>
          <w:u w:val="none"/>
          <w:shd w:val="clear" w:color="auto" w:fill="FFFFFF"/>
          <w:lang w:val="zh-CN" w:eastAsia="zh-CN"/>
        </w:rPr>
        <w:t>模型构建精度（4分，得</w:t>
      </w:r>
      <w:r>
        <w:rPr>
          <w:rFonts w:hint="eastAsia" w:ascii="仿宋" w:hAnsi="仿宋" w:eastAsia="仿宋" w:cs="仿宋"/>
          <w:b/>
          <w:bCs/>
          <w:color w:val="auto"/>
          <w:kern w:val="0"/>
          <w:sz w:val="32"/>
          <w:szCs w:val="32"/>
          <w:highlight w:val="none"/>
          <w:u w:val="none"/>
          <w:shd w:val="clear" w:color="auto" w:fill="FFFFFF"/>
          <w:lang w:val="en-US" w:eastAsia="zh-CN"/>
        </w:rPr>
        <w:t>4</w:t>
      </w:r>
      <w:r>
        <w:rPr>
          <w:rFonts w:hint="eastAsia" w:ascii="仿宋" w:hAnsi="仿宋" w:eastAsia="仿宋" w:cs="仿宋"/>
          <w:b/>
          <w:bCs/>
          <w:color w:val="auto"/>
          <w:kern w:val="0"/>
          <w:sz w:val="32"/>
          <w:szCs w:val="32"/>
          <w:highlight w:val="none"/>
          <w:u w:val="none"/>
          <w:shd w:val="clear" w:color="auto" w:fill="FFFFFF"/>
          <w:lang w:val="zh-CN" w:eastAsia="zh-CN"/>
        </w:rPr>
        <w:t>分）</w:t>
      </w:r>
    </w:p>
    <w:p w14:paraId="6CE2886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完成的湿地景观精准识别模型预测精度达88%，高于预设的85%目标，模型构建达到预期效果。</w:t>
      </w:r>
    </w:p>
    <w:p w14:paraId="5815258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3.</w:t>
      </w:r>
      <w:r>
        <w:rPr>
          <w:rFonts w:hint="eastAsia" w:ascii="仿宋" w:hAnsi="仿宋" w:eastAsia="仿宋" w:cs="仿宋"/>
          <w:b/>
          <w:bCs/>
          <w:color w:val="auto"/>
          <w:kern w:val="0"/>
          <w:sz w:val="32"/>
          <w:szCs w:val="32"/>
          <w:highlight w:val="none"/>
          <w:u w:val="none"/>
          <w:shd w:val="clear" w:color="auto" w:fill="FFFFFF"/>
          <w:lang w:val="zh-CN" w:eastAsia="zh-CN"/>
        </w:rPr>
        <w:t>系统研发进度（4分，得</w:t>
      </w:r>
      <w:r>
        <w:rPr>
          <w:rFonts w:hint="eastAsia" w:ascii="仿宋" w:hAnsi="仿宋" w:eastAsia="仿宋" w:cs="仿宋"/>
          <w:b/>
          <w:bCs/>
          <w:color w:val="auto"/>
          <w:kern w:val="0"/>
          <w:sz w:val="32"/>
          <w:szCs w:val="32"/>
          <w:highlight w:val="none"/>
          <w:u w:val="none"/>
          <w:shd w:val="clear" w:color="auto" w:fill="FFFFFF"/>
          <w:lang w:val="en-US" w:eastAsia="zh-CN"/>
        </w:rPr>
        <w:t>2</w:t>
      </w:r>
      <w:r>
        <w:rPr>
          <w:rFonts w:hint="eastAsia" w:ascii="仿宋" w:hAnsi="仿宋" w:eastAsia="仿宋" w:cs="仿宋"/>
          <w:b/>
          <w:bCs/>
          <w:color w:val="auto"/>
          <w:kern w:val="0"/>
          <w:sz w:val="32"/>
          <w:szCs w:val="32"/>
          <w:highlight w:val="none"/>
          <w:u w:val="none"/>
          <w:shd w:val="clear" w:color="auto" w:fill="FFFFFF"/>
          <w:lang w:val="zh-CN" w:eastAsia="zh-CN"/>
        </w:rPr>
        <w:t>分）</w:t>
      </w:r>
    </w:p>
    <w:p w14:paraId="6097511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多维决策应用系统完成核心功能研发，但</w:t>
      </w:r>
      <w:r>
        <w:rPr>
          <w:rFonts w:hint="eastAsia" w:ascii="仿宋" w:hAnsi="仿宋" w:eastAsia="仿宋" w:cs="仿宋"/>
          <w:color w:val="auto"/>
          <w:kern w:val="0"/>
          <w:sz w:val="32"/>
          <w:szCs w:val="32"/>
          <w:highlight w:val="none"/>
          <w:u w:val="none"/>
          <w:shd w:val="clear" w:color="auto" w:fill="FFFFFF"/>
          <w:lang w:val="en-US" w:eastAsia="zh-CN"/>
        </w:rPr>
        <w:t>预测</w:t>
      </w:r>
      <w:r>
        <w:rPr>
          <w:rFonts w:hint="eastAsia" w:ascii="仿宋" w:hAnsi="仿宋" w:eastAsia="仿宋" w:cs="仿宋"/>
          <w:color w:val="auto"/>
          <w:kern w:val="0"/>
          <w:sz w:val="32"/>
          <w:szCs w:val="32"/>
          <w:highlight w:val="none"/>
          <w:u w:val="none"/>
          <w:shd w:val="clear" w:color="auto" w:fill="FFFFFF"/>
          <w:lang w:val="zh-CN" w:eastAsia="zh-CN"/>
        </w:rPr>
        <w:t>功能尚未优化完成，研发进度与预设目标存在小幅差距，扣</w:t>
      </w:r>
      <w:r>
        <w:rPr>
          <w:rFonts w:hint="eastAsia" w:ascii="仿宋" w:hAnsi="仿宋" w:eastAsia="仿宋" w:cs="仿宋"/>
          <w:color w:val="auto"/>
          <w:kern w:val="0"/>
          <w:sz w:val="32"/>
          <w:szCs w:val="32"/>
          <w:highlight w:val="none"/>
          <w:u w:val="none"/>
          <w:shd w:val="clear" w:color="auto" w:fill="FFFFFF"/>
          <w:lang w:val="en-US" w:eastAsia="zh-CN"/>
        </w:rPr>
        <w:t>2</w:t>
      </w:r>
      <w:r>
        <w:rPr>
          <w:rFonts w:hint="eastAsia" w:ascii="仿宋" w:hAnsi="仿宋" w:eastAsia="仿宋" w:cs="仿宋"/>
          <w:color w:val="auto"/>
          <w:kern w:val="0"/>
          <w:sz w:val="32"/>
          <w:szCs w:val="32"/>
          <w:highlight w:val="none"/>
          <w:u w:val="none"/>
          <w:shd w:val="clear" w:color="auto" w:fill="FFFFFF"/>
          <w:lang w:val="zh-CN" w:eastAsia="zh-CN"/>
        </w:rPr>
        <w:t>分。</w:t>
      </w:r>
    </w:p>
    <w:p w14:paraId="4C18708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4.</w:t>
      </w:r>
      <w:r>
        <w:rPr>
          <w:rFonts w:hint="eastAsia" w:ascii="仿宋" w:hAnsi="仿宋" w:eastAsia="仿宋" w:cs="仿宋"/>
          <w:b/>
          <w:bCs/>
          <w:color w:val="auto"/>
          <w:kern w:val="0"/>
          <w:sz w:val="32"/>
          <w:szCs w:val="32"/>
          <w:highlight w:val="none"/>
          <w:u w:val="none"/>
          <w:shd w:val="clear" w:color="auto" w:fill="FFFFFF"/>
          <w:lang w:val="zh-CN" w:eastAsia="zh-CN"/>
        </w:rPr>
        <w:t>资金使用精准度（4分，得4分）</w:t>
      </w:r>
    </w:p>
    <w:p w14:paraId="647908A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项目资金使用与项目实施任务高度精准匹配，无资金浪费、挤占情况，精准度100%。</w:t>
      </w:r>
    </w:p>
    <w:p w14:paraId="19B8913E">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bookmarkStart w:id="78" w:name="heading_19"/>
      <w:r>
        <w:rPr>
          <w:rFonts w:hint="default" w:ascii="Times New Roman" w:hAnsi="Times New Roman" w:eastAsia="楷体_GB2312" w:cs="Times New Roman"/>
          <w:b/>
          <w:color w:val="auto"/>
          <w:sz w:val="32"/>
          <w:szCs w:val="32"/>
          <w:highlight w:val="none"/>
          <w:u w:val="none"/>
          <w:lang w:val="zh-CN" w:eastAsia="zh-CN"/>
        </w:rPr>
        <w:t>（四）扣分项（10分，自评无扣分，得0分）</w:t>
      </w:r>
      <w:bookmarkEnd w:id="78"/>
    </w:p>
    <w:p w14:paraId="693D6EF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项目自评工作小组及合作单位积极配合本次绩效自评工作，按要求提供全部资料、开展实地踏勘和座谈调研，无配合不力情况，不扣分。</w:t>
      </w:r>
    </w:p>
    <w:p w14:paraId="690F29E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本次绩效自评总得分：</w:t>
      </w:r>
      <w:r>
        <w:rPr>
          <w:rFonts w:hint="eastAsia" w:ascii="仿宋" w:hAnsi="仿宋" w:eastAsia="仿宋" w:cs="仿宋"/>
          <w:color w:val="auto"/>
          <w:kern w:val="0"/>
          <w:sz w:val="32"/>
          <w:szCs w:val="32"/>
          <w:highlight w:val="none"/>
          <w:u w:val="none"/>
          <w:shd w:val="clear" w:color="auto" w:fill="FFFFFF"/>
          <w:lang w:val="en-US" w:eastAsia="zh-CN"/>
        </w:rPr>
        <w:t>46</w:t>
      </w:r>
      <w:r>
        <w:rPr>
          <w:rFonts w:hint="eastAsia" w:ascii="仿宋" w:hAnsi="仿宋" w:eastAsia="仿宋" w:cs="仿宋"/>
          <w:color w:val="auto"/>
          <w:kern w:val="0"/>
          <w:sz w:val="32"/>
          <w:szCs w:val="32"/>
          <w:highlight w:val="none"/>
          <w:u w:val="none"/>
          <w:shd w:val="clear" w:color="auto" w:fill="FFFFFF"/>
          <w:lang w:val="zh-CN" w:eastAsia="zh-CN"/>
        </w:rPr>
        <w:t>+</w:t>
      </w:r>
      <w:r>
        <w:rPr>
          <w:rFonts w:hint="eastAsia" w:ascii="仿宋" w:hAnsi="仿宋" w:eastAsia="仿宋" w:cs="仿宋"/>
          <w:color w:val="auto"/>
          <w:kern w:val="0"/>
          <w:sz w:val="32"/>
          <w:szCs w:val="32"/>
          <w:highlight w:val="none"/>
          <w:u w:val="none"/>
          <w:shd w:val="clear" w:color="auto" w:fill="FFFFFF"/>
          <w:lang w:val="en-US" w:eastAsia="zh-CN"/>
        </w:rPr>
        <w:t>30</w:t>
      </w:r>
      <w:r>
        <w:rPr>
          <w:rFonts w:hint="eastAsia" w:ascii="仿宋" w:hAnsi="仿宋" w:eastAsia="仿宋" w:cs="仿宋"/>
          <w:color w:val="auto"/>
          <w:kern w:val="0"/>
          <w:sz w:val="32"/>
          <w:szCs w:val="32"/>
          <w:highlight w:val="none"/>
          <w:u w:val="none"/>
          <w:shd w:val="clear" w:color="auto" w:fill="FFFFFF"/>
          <w:lang w:val="zh-CN" w:eastAsia="zh-CN"/>
        </w:rPr>
        <w:t>+</w:t>
      </w:r>
      <w:r>
        <w:rPr>
          <w:rFonts w:hint="eastAsia" w:ascii="仿宋" w:hAnsi="仿宋" w:eastAsia="仿宋" w:cs="仿宋"/>
          <w:color w:val="auto"/>
          <w:kern w:val="0"/>
          <w:sz w:val="32"/>
          <w:szCs w:val="32"/>
          <w:highlight w:val="none"/>
          <w:u w:val="none"/>
          <w:shd w:val="clear" w:color="auto" w:fill="FFFFFF"/>
          <w:lang w:val="en-US" w:eastAsia="zh-CN"/>
        </w:rPr>
        <w:t>12</w:t>
      </w:r>
      <w:r>
        <w:rPr>
          <w:rFonts w:hint="eastAsia" w:ascii="仿宋" w:hAnsi="仿宋" w:eastAsia="仿宋" w:cs="仿宋"/>
          <w:color w:val="auto"/>
          <w:kern w:val="0"/>
          <w:sz w:val="32"/>
          <w:szCs w:val="32"/>
          <w:highlight w:val="none"/>
          <w:u w:val="none"/>
          <w:shd w:val="clear" w:color="auto" w:fill="FFFFFF"/>
          <w:lang w:val="zh-CN" w:eastAsia="zh-CN"/>
        </w:rPr>
        <w:t>=</w:t>
      </w:r>
      <w:r>
        <w:rPr>
          <w:rFonts w:hint="eastAsia" w:ascii="仿宋" w:hAnsi="仿宋" w:eastAsia="仿宋" w:cs="仿宋"/>
          <w:color w:val="auto"/>
          <w:kern w:val="0"/>
          <w:sz w:val="32"/>
          <w:szCs w:val="32"/>
          <w:highlight w:val="none"/>
          <w:u w:val="none"/>
          <w:shd w:val="clear" w:color="auto" w:fill="FFFFFF"/>
          <w:lang w:val="en-US" w:eastAsia="zh-CN"/>
        </w:rPr>
        <w:t>88</w:t>
      </w:r>
      <w:r>
        <w:rPr>
          <w:rFonts w:hint="eastAsia" w:ascii="仿宋" w:hAnsi="仿宋" w:eastAsia="仿宋" w:cs="仿宋"/>
          <w:color w:val="auto"/>
          <w:kern w:val="0"/>
          <w:sz w:val="32"/>
          <w:szCs w:val="32"/>
          <w:highlight w:val="none"/>
          <w:u w:val="none"/>
          <w:shd w:val="clear" w:color="auto" w:fill="FFFFFF"/>
          <w:lang w:val="zh-CN" w:eastAsia="zh-CN"/>
        </w:rPr>
        <w:t>分</w:t>
      </w:r>
    </w:p>
    <w:p w14:paraId="11AD7A64">
      <w:pPr>
        <w:bidi w:val="0"/>
        <w:ind w:firstLine="640" w:firstLineChars="200"/>
        <w:rPr>
          <w:rFonts w:hint="eastAsia" w:ascii="黑体" w:hAnsi="黑体" w:eastAsia="黑体" w:cs="黑体"/>
          <w:color w:val="auto"/>
          <w:sz w:val="32"/>
          <w:szCs w:val="32"/>
        </w:rPr>
      </w:pPr>
      <w:bookmarkStart w:id="79" w:name="heading_20"/>
      <w:r>
        <w:rPr>
          <w:rFonts w:hint="eastAsia" w:ascii="黑体" w:hAnsi="黑体" w:eastAsia="黑体" w:cs="黑体"/>
          <w:color w:val="auto"/>
          <w:sz w:val="32"/>
          <w:szCs w:val="32"/>
        </w:rPr>
        <w:t>四、评价结论</w:t>
      </w:r>
      <w:bookmarkEnd w:id="79"/>
    </w:p>
    <w:p w14:paraId="0F3A7A6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本次专项预算绩效自评综合得分为</w:t>
      </w:r>
      <w:r>
        <w:rPr>
          <w:rFonts w:hint="eastAsia" w:ascii="仿宋" w:hAnsi="仿宋" w:eastAsia="仿宋" w:cs="仿宋"/>
          <w:color w:val="auto"/>
          <w:kern w:val="0"/>
          <w:sz w:val="32"/>
          <w:szCs w:val="32"/>
          <w:highlight w:val="none"/>
          <w:u w:val="none"/>
          <w:shd w:val="clear" w:color="auto" w:fill="FFFFFF"/>
          <w:lang w:val="en-US" w:eastAsia="zh-CN"/>
        </w:rPr>
        <w:t>88</w:t>
      </w:r>
      <w:r>
        <w:rPr>
          <w:rFonts w:hint="eastAsia" w:ascii="仿宋" w:hAnsi="仿宋" w:eastAsia="仿宋" w:cs="仿宋"/>
          <w:color w:val="auto"/>
          <w:kern w:val="0"/>
          <w:sz w:val="32"/>
          <w:szCs w:val="32"/>
          <w:highlight w:val="none"/>
          <w:u w:val="none"/>
          <w:shd w:val="clear" w:color="auto" w:fill="FFFFFF"/>
          <w:lang w:val="zh-CN" w:eastAsia="zh-CN"/>
        </w:rPr>
        <w:t>分，项目整体实施情况</w:t>
      </w:r>
      <w:r>
        <w:rPr>
          <w:rFonts w:hint="eastAsia" w:ascii="仿宋" w:hAnsi="仿宋" w:eastAsia="仿宋" w:cs="仿宋"/>
          <w:color w:val="auto"/>
          <w:kern w:val="0"/>
          <w:sz w:val="32"/>
          <w:szCs w:val="32"/>
          <w:highlight w:val="none"/>
          <w:u w:val="none"/>
          <w:shd w:val="clear" w:color="auto" w:fill="FFFFFF"/>
          <w:lang w:val="en-US" w:eastAsia="zh-CN"/>
        </w:rPr>
        <w:t>良</w:t>
      </w:r>
      <w:r>
        <w:rPr>
          <w:rFonts w:hint="eastAsia" w:ascii="仿宋" w:hAnsi="仿宋" w:eastAsia="仿宋" w:cs="仿宋"/>
          <w:color w:val="auto"/>
          <w:kern w:val="0"/>
          <w:sz w:val="32"/>
          <w:szCs w:val="32"/>
          <w:highlight w:val="none"/>
          <w:u w:val="none"/>
          <w:shd w:val="clear" w:color="auto" w:fill="FFFFFF"/>
          <w:lang w:val="zh-CN" w:eastAsia="zh-CN"/>
        </w:rPr>
        <w:t>，达到预期绩效目标。项目决策程序规范、资金投向合理，财政科技经费使用合规，无违规使用资金情况；项目按计划完成了湿地景观精准识别、时空格局演变分析、动态预测模型构建、多维决策应用系统研发等全部任务，突破了关键技术，形成了发明专利、软件著作权、学术论文等系列成果，研发的应用系统已在若尔盖国家公园开展应用示范，为湿地生态保护和管理提供了切实可行的技术支撑和决策依据，项目实施的生态效益、社会效益显著。</w:t>
      </w:r>
    </w:p>
    <w:p w14:paraId="19FA23C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同时，项目实施过程中也存在</w:t>
      </w:r>
      <w:r>
        <w:rPr>
          <w:rFonts w:hint="eastAsia" w:ascii="仿宋" w:hAnsi="仿宋" w:eastAsia="仿宋" w:cs="仿宋"/>
          <w:color w:val="auto"/>
          <w:kern w:val="0"/>
          <w:sz w:val="32"/>
          <w:szCs w:val="32"/>
          <w:highlight w:val="none"/>
          <w:u w:val="none"/>
          <w:shd w:val="clear" w:color="auto" w:fill="FFFFFF"/>
          <w:lang w:val="en-US" w:eastAsia="zh-CN"/>
        </w:rPr>
        <w:t>部分功能模块开发滞后</w:t>
      </w:r>
      <w:r>
        <w:rPr>
          <w:rFonts w:hint="eastAsia" w:ascii="仿宋" w:hAnsi="仿宋" w:eastAsia="仿宋" w:cs="仿宋"/>
          <w:color w:val="auto"/>
          <w:kern w:val="0"/>
          <w:sz w:val="32"/>
          <w:szCs w:val="32"/>
          <w:highlight w:val="none"/>
          <w:u w:val="none"/>
          <w:shd w:val="clear" w:color="auto" w:fill="FFFFFF"/>
          <w:lang w:val="zh-CN" w:eastAsia="zh-CN"/>
        </w:rPr>
        <w:t>、系统后续推广力度有待加强等细节问题，整体不影响项目绩效目标的实现。</w:t>
      </w:r>
    </w:p>
    <w:p w14:paraId="0A9A95EC">
      <w:pPr>
        <w:bidi w:val="0"/>
        <w:ind w:firstLine="640" w:firstLineChars="200"/>
        <w:rPr>
          <w:rFonts w:hint="eastAsia" w:ascii="黑体" w:hAnsi="黑体" w:eastAsia="黑体" w:cs="黑体"/>
          <w:color w:val="auto"/>
          <w:sz w:val="32"/>
          <w:szCs w:val="32"/>
        </w:rPr>
      </w:pPr>
      <w:bookmarkStart w:id="80" w:name="heading_21"/>
      <w:r>
        <w:rPr>
          <w:rFonts w:hint="eastAsia" w:ascii="黑体" w:hAnsi="黑体" w:eastAsia="黑体" w:cs="黑体"/>
          <w:color w:val="auto"/>
          <w:sz w:val="32"/>
          <w:szCs w:val="32"/>
        </w:rPr>
        <w:t>五、存在主要问题</w:t>
      </w:r>
      <w:bookmarkEnd w:id="80"/>
    </w:p>
    <w:p w14:paraId="0F4A6C1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b w:val="0"/>
          <w:bCs w:val="0"/>
          <w:color w:val="auto"/>
          <w:kern w:val="0"/>
          <w:sz w:val="32"/>
          <w:szCs w:val="32"/>
          <w:highlight w:val="none"/>
          <w:u w:val="none"/>
          <w:shd w:val="clear" w:color="auto" w:fill="FFFFFF"/>
          <w:lang w:val="en-US" w:eastAsia="zh-CN"/>
        </w:rPr>
      </w:pPr>
      <w:r>
        <w:rPr>
          <w:rFonts w:hint="eastAsia" w:ascii="仿宋" w:hAnsi="仿宋" w:eastAsia="仿宋" w:cs="仿宋"/>
          <w:b w:val="0"/>
          <w:bCs w:val="0"/>
          <w:color w:val="auto"/>
          <w:kern w:val="0"/>
          <w:sz w:val="32"/>
          <w:szCs w:val="32"/>
          <w:highlight w:val="none"/>
          <w:u w:val="none"/>
          <w:shd w:val="clear" w:color="auto" w:fill="FFFFFF"/>
          <w:lang w:val="en-US" w:eastAsia="zh-CN"/>
        </w:rPr>
        <w:t>平台动态预测板块开发滞后：湿地景观演变动态预测板块受技术难度、数据处理复杂度影响，开发周期超出预期，相关研究工作推进滞后，导致预测功能的优化完善及实际应用落地进度不及计划，未能充分发挥模型的预测支撑作用。</w:t>
      </w:r>
    </w:p>
    <w:p w14:paraId="686D275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b w:val="0"/>
          <w:bCs w:val="0"/>
          <w:color w:val="auto"/>
          <w:kern w:val="0"/>
          <w:sz w:val="32"/>
          <w:szCs w:val="32"/>
          <w:highlight w:val="none"/>
          <w:u w:val="none"/>
          <w:shd w:val="clear" w:color="auto" w:fill="FFFFFF"/>
          <w:lang w:val="en-US" w:eastAsia="zh-CN"/>
        </w:rPr>
      </w:pPr>
      <w:r>
        <w:rPr>
          <w:rFonts w:hint="eastAsia" w:ascii="仿宋" w:hAnsi="仿宋" w:eastAsia="仿宋" w:cs="仿宋"/>
          <w:b w:val="0"/>
          <w:bCs w:val="0"/>
          <w:color w:val="auto"/>
          <w:kern w:val="0"/>
          <w:sz w:val="32"/>
          <w:szCs w:val="32"/>
          <w:highlight w:val="none"/>
          <w:u w:val="none"/>
          <w:shd w:val="clear" w:color="auto" w:fill="FFFFFF"/>
          <w:lang w:val="en-US" w:eastAsia="zh-CN"/>
        </w:rPr>
        <w:t>成果后续推广力度不足：研发的多维决策应用系统已完成核心区域示范，但在若尔盖国家公园全区域及阿坝州同类湿地保护工作中的推广应用机制尚未完全建立，技术成果的辐射效应未充分发挥。</w:t>
      </w:r>
    </w:p>
    <w:p w14:paraId="1534B79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b w:val="0"/>
          <w:bCs w:val="0"/>
          <w:color w:val="auto"/>
          <w:kern w:val="0"/>
          <w:sz w:val="32"/>
          <w:szCs w:val="32"/>
          <w:highlight w:val="none"/>
          <w:u w:val="none"/>
          <w:shd w:val="clear" w:color="auto" w:fill="FFFFFF"/>
          <w:lang w:val="zh-CN" w:eastAsia="zh-CN"/>
        </w:rPr>
      </w:pPr>
      <w:r>
        <w:rPr>
          <w:rFonts w:hint="eastAsia" w:ascii="仿宋" w:hAnsi="仿宋" w:eastAsia="仿宋" w:cs="仿宋"/>
          <w:b w:val="0"/>
          <w:bCs w:val="0"/>
          <w:color w:val="auto"/>
          <w:kern w:val="0"/>
          <w:sz w:val="32"/>
          <w:szCs w:val="32"/>
          <w:highlight w:val="none"/>
          <w:u w:val="none"/>
          <w:shd w:val="clear" w:color="auto" w:fill="FFFFFF"/>
          <w:lang w:val="en-US" w:eastAsia="zh-CN"/>
        </w:rPr>
        <w:t>部分数据资源整合不充分：项目研究过程中收集的多源遥感数据、野外调查数据已实现规范化管理，但与若尔盖国家公园管理局的现有数据平台尚未完成对接，数据共享效率有待提高。</w:t>
      </w:r>
    </w:p>
    <w:p w14:paraId="17ACD70B">
      <w:pPr>
        <w:bidi w:val="0"/>
        <w:ind w:firstLine="640" w:firstLineChars="200"/>
        <w:rPr>
          <w:rFonts w:hint="eastAsia" w:ascii="黑体" w:hAnsi="黑体" w:eastAsia="黑体" w:cs="黑体"/>
          <w:color w:val="auto"/>
          <w:sz w:val="32"/>
          <w:szCs w:val="32"/>
        </w:rPr>
      </w:pPr>
      <w:bookmarkStart w:id="81" w:name="heading_22"/>
      <w:r>
        <w:rPr>
          <w:rFonts w:hint="eastAsia" w:ascii="黑体" w:hAnsi="黑体" w:eastAsia="黑体" w:cs="黑体"/>
          <w:color w:val="auto"/>
          <w:sz w:val="32"/>
          <w:szCs w:val="32"/>
        </w:rPr>
        <w:t>六、改进建议</w:t>
      </w:r>
      <w:bookmarkEnd w:id="81"/>
    </w:p>
    <w:p w14:paraId="0DE5340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针对本次绩效自评发现的问题，结合项目后续实施计划，提出以下针对性改进建议，确保项目圆满完成既定目标，提升财政科技经费使用效益：</w:t>
      </w:r>
    </w:p>
    <w:p w14:paraId="32DB66A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en-US" w:eastAsia="zh-CN"/>
        </w:rPr>
      </w:pPr>
      <w:r>
        <w:rPr>
          <w:rFonts w:hint="eastAsia" w:ascii="仿宋" w:hAnsi="仿宋" w:eastAsia="仿宋" w:cs="仿宋"/>
          <w:b/>
          <w:bCs/>
          <w:color w:val="auto"/>
          <w:kern w:val="0"/>
          <w:sz w:val="32"/>
          <w:szCs w:val="32"/>
          <w:highlight w:val="none"/>
          <w:u w:val="none"/>
          <w:shd w:val="clear" w:color="auto" w:fill="FFFFFF"/>
          <w:lang w:val="en-US" w:eastAsia="zh-CN"/>
        </w:rPr>
        <w:t>1.优化研究成果，提升应用价值</w:t>
      </w:r>
    </w:p>
    <w:p w14:paraId="00B8DF4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组织核心研究人员对项目研究报告进行修订完善，丰富数据可视化图表、案例分析等内容，让研究成果更贴合湿地管理部门的实际决策需求；对湿地景观识别、动态预测模型进行进一步优化，提升模型的精度和实用性。</w:t>
      </w:r>
    </w:p>
    <w:p w14:paraId="6ADB01B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2.</w:t>
      </w:r>
      <w:r>
        <w:rPr>
          <w:rFonts w:hint="eastAsia" w:ascii="仿宋" w:hAnsi="仿宋" w:eastAsia="仿宋" w:cs="仿宋"/>
          <w:b/>
          <w:bCs/>
          <w:color w:val="auto"/>
          <w:kern w:val="0"/>
          <w:sz w:val="32"/>
          <w:szCs w:val="32"/>
          <w:highlight w:val="none"/>
          <w:u w:val="none"/>
          <w:shd w:val="clear" w:color="auto" w:fill="FFFFFF"/>
          <w:lang w:val="zh-CN" w:eastAsia="zh-CN"/>
        </w:rPr>
        <w:t>推进数据对接，实现资源共享</w:t>
      </w:r>
    </w:p>
    <w:p w14:paraId="09D6885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加强与若尔盖国家公园管理局、阿坝州林草局等部门的沟通协作，推动项目研究数据与现有湿地管理数据平台的对接融合，建立统一的湿地数据共享机制，提升数据资源的利用效率，为湿地生态保护的智能化、精细化管理提供数据支撑。</w:t>
      </w:r>
    </w:p>
    <w:p w14:paraId="3B5CC9E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200"/>
        <w:contextualSpacing/>
        <w:jc w:val="left"/>
        <w:textAlignment w:val="auto"/>
        <w:rPr>
          <w:rFonts w:hint="eastAsia" w:ascii="仿宋" w:hAnsi="仿宋" w:eastAsia="仿宋" w:cs="仿宋"/>
          <w:b/>
          <w:bCs/>
          <w:color w:val="auto"/>
          <w:kern w:val="0"/>
          <w:sz w:val="32"/>
          <w:szCs w:val="32"/>
          <w:highlight w:val="none"/>
          <w:u w:val="none"/>
          <w:shd w:val="clear" w:color="auto" w:fill="FFFFFF"/>
          <w:lang w:val="zh-CN" w:eastAsia="zh-CN"/>
        </w:rPr>
      </w:pPr>
      <w:r>
        <w:rPr>
          <w:rFonts w:hint="eastAsia" w:ascii="仿宋" w:hAnsi="仿宋" w:eastAsia="仿宋" w:cs="仿宋"/>
          <w:b/>
          <w:bCs/>
          <w:color w:val="auto"/>
          <w:kern w:val="0"/>
          <w:sz w:val="32"/>
          <w:szCs w:val="32"/>
          <w:highlight w:val="none"/>
          <w:u w:val="none"/>
          <w:shd w:val="clear" w:color="auto" w:fill="FFFFFF"/>
          <w:lang w:val="en-US" w:eastAsia="zh-CN"/>
        </w:rPr>
        <w:t>3.</w:t>
      </w:r>
      <w:r>
        <w:rPr>
          <w:rFonts w:hint="eastAsia" w:ascii="仿宋" w:hAnsi="仿宋" w:eastAsia="仿宋" w:cs="仿宋"/>
          <w:b/>
          <w:bCs/>
          <w:color w:val="auto"/>
          <w:kern w:val="0"/>
          <w:sz w:val="32"/>
          <w:szCs w:val="32"/>
          <w:highlight w:val="none"/>
          <w:u w:val="none"/>
          <w:shd w:val="clear" w:color="auto" w:fill="FFFFFF"/>
          <w:lang w:val="zh-CN" w:eastAsia="zh-CN"/>
        </w:rPr>
        <w:t>加强后续管护，保障成果长效</w:t>
      </w:r>
    </w:p>
    <w:p w14:paraId="499B274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明确项目成果（系统、模型、数据）的后续管护责任主体和维护资金来源，建立系统定期更新、模型迭代优化的长效机制，及时根据湿地生态变化情况补充数据、优化算法，确保项目成果能够长期服务于若尔盖国家公园湿地保护和管理工作。</w:t>
      </w:r>
    </w:p>
    <w:p w14:paraId="3F2454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p>
    <w:p w14:paraId="2902AA58">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附表：1.专项预算绩效自评打分表</w:t>
      </w:r>
    </w:p>
    <w:p w14:paraId="78D5E3D7">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2.专项预算绩效自评实地踏勘点位清单表</w:t>
      </w:r>
    </w:p>
    <w:p w14:paraId="5D7BE91E">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3.专项预算项目绩效目标完成情况自评表</w:t>
      </w:r>
    </w:p>
    <w:p w14:paraId="42107E00">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115BB8C1">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770"/>
        <w:gridCol w:w="705"/>
        <w:gridCol w:w="4916"/>
        <w:gridCol w:w="732"/>
        <w:gridCol w:w="468"/>
      </w:tblGrid>
      <w:tr w14:paraId="5D3A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785" w:type="dxa"/>
            <w:gridSpan w:val="5"/>
            <w:tcBorders>
              <w:top w:val="single" w:color="000000" w:sz="4" w:space="0"/>
              <w:left w:val="single" w:color="000000" w:sz="4" w:space="0"/>
              <w:bottom w:val="nil"/>
              <w:right w:val="nil"/>
            </w:tcBorders>
            <w:noWrap w:val="0"/>
            <w:vAlign w:val="center"/>
          </w:tcPr>
          <w:p w14:paraId="26B808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绩效评价指标</w:t>
            </w:r>
          </w:p>
        </w:tc>
        <w:tc>
          <w:tcPr>
            <w:tcW w:w="4916" w:type="dxa"/>
            <w:vMerge w:val="restart"/>
            <w:tcBorders>
              <w:top w:val="single" w:color="000000" w:sz="4" w:space="0"/>
              <w:left w:val="single" w:color="000000" w:sz="4" w:space="0"/>
              <w:bottom w:val="single" w:color="000000" w:sz="4" w:space="0"/>
              <w:right w:val="single" w:color="000000" w:sz="4" w:space="0"/>
            </w:tcBorders>
            <w:noWrap w:val="0"/>
            <w:vAlign w:val="center"/>
          </w:tcPr>
          <w:p w14:paraId="083F9B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03CE21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kern w:val="0"/>
                <w:sz w:val="24"/>
                <w:szCs w:val="24"/>
                <w:u w:val="none"/>
                <w:lang w:val="en-US" w:eastAsia="zh-CN" w:bidi="ar"/>
              </w:rPr>
            </w:pPr>
            <w:r>
              <w:rPr>
                <w:rFonts w:hint="default" w:ascii="Times New Roman" w:hAnsi="Times New Roman" w:eastAsia="黑体" w:cs="Times New Roman"/>
                <w:i w:val="0"/>
                <w:color w:val="auto"/>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31FCB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kern w:val="0"/>
                <w:sz w:val="24"/>
                <w:szCs w:val="24"/>
                <w:u w:val="none"/>
                <w:lang w:val="en-US" w:eastAsia="zh-CN" w:bidi="ar"/>
              </w:rPr>
            </w:pPr>
            <w:r>
              <w:rPr>
                <w:rFonts w:hint="default" w:ascii="Times New Roman" w:hAnsi="Times New Roman" w:eastAsia="黑体" w:cs="Times New Roman"/>
                <w:i w:val="0"/>
                <w:color w:val="auto"/>
                <w:kern w:val="0"/>
                <w:sz w:val="24"/>
                <w:szCs w:val="24"/>
                <w:u w:val="none"/>
                <w:lang w:val="en-US" w:eastAsia="zh-CN" w:bidi="ar"/>
              </w:rPr>
              <w:t>备注</w:t>
            </w:r>
          </w:p>
        </w:tc>
      </w:tr>
      <w:tr w14:paraId="2698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26388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3F4D34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二级指标</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1FC34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三级指标</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3147F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bidi="ar"/>
              </w:rPr>
              <w:t>指标</w:t>
            </w:r>
            <w:r>
              <w:rPr>
                <w:rFonts w:hint="default" w:ascii="Times New Roman" w:hAnsi="Times New Roman" w:eastAsia="黑体" w:cs="Times New Roman"/>
                <w:i w:val="0"/>
                <w:color w:val="auto"/>
                <w:kern w:val="0"/>
                <w:sz w:val="24"/>
                <w:szCs w:val="24"/>
                <w:u w:val="none"/>
                <w:lang w:val="en-US" w:eastAsia="zh-CN" w:bidi="ar"/>
              </w:rPr>
              <w:br w:type="textWrapping"/>
            </w:r>
            <w:r>
              <w:rPr>
                <w:rFonts w:hint="default" w:ascii="Times New Roman" w:hAnsi="Times New Roman" w:eastAsia="黑体" w:cs="Times New Roman"/>
                <w:i w:val="0"/>
                <w:color w:val="auto"/>
                <w:kern w:val="0"/>
                <w:sz w:val="24"/>
                <w:szCs w:val="24"/>
                <w:u w:val="none"/>
                <w:lang w:val="en-US" w:eastAsia="zh-CN" w:bidi="ar"/>
              </w:rPr>
              <w:t>分值</w:t>
            </w:r>
          </w:p>
        </w:tc>
        <w:tc>
          <w:tcPr>
            <w:tcW w:w="4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1D460">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黑体" w:cs="Times New Roman"/>
                <w:i w:val="0"/>
                <w:color w:val="auto"/>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61687AAC">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黑体" w:cs="Times New Roman"/>
                <w:i w:val="0"/>
                <w:color w:val="auto"/>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0E475C6A">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黑体" w:cs="Times New Roman"/>
                <w:i w:val="0"/>
                <w:color w:val="auto"/>
                <w:sz w:val="24"/>
                <w:szCs w:val="24"/>
                <w:u w:val="none"/>
              </w:rPr>
            </w:pPr>
          </w:p>
        </w:tc>
      </w:tr>
      <w:tr w14:paraId="49C17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FEDB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通用指标</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4606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项目决策</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（18分）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60E717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决策程序</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98890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6301677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84CED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8B3A5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6698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92186">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16F63">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63C69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规划论证</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2C286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4905AA4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1C6FA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73104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15DA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44B8F">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6E54B0">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F1BAE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资金投向</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9D3EA0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80A84D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7FDAA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A1EBC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27DEC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76185">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6E78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项目管理</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（18分）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9252A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制度办法</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EE487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2</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13D4BB7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0F4DA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5B25B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18373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5D438">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2A4AB6">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344470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分配管理</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473A4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3E9537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7F25C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105B6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0CF5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00592">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921538">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B313F2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绩效监管</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F6D58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F14B38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CF7E3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07909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6B4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CC457">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02E7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项目实施</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（9分）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96406A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预算执行</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A44B2C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FD0DE4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B3C8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DF45F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2EFC9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5702E">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6F65B">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89215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资金使用</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73C4A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3</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70A8263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4CAB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8B5DC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1CCF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088D1">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A640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项目结果</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（9分）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F7A6F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目标完成</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B6E36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6A3914D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CF283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91C72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41AAD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B565B">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C30CA">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EB939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完成时效</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63AB1E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3</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4B9F538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1872A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C7819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6ED3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B294E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专用指标</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7850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产业发展</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A3616E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符合性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01AA4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0FC018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51C892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90CF5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B6B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17D7D">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9AE6B0">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7B5F46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成长性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E7B31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EC6C74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95B7D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EF95E0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BDFE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C1A1B">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05601A">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6ECF6A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经济性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6F38A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3866BE8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56C77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D1EC9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58E5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61C40">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FCBCA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民生保障</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2F52B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区域均衡性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5AD0A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729287C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963DA8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5B3A4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6C28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161E4">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B377A">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00B47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对象精准性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10C4CA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3143482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2EB4A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CC6DE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40AB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59B7D">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B80B9">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8713B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标准合理性</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7B762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5</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27BD2A2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3CF23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C0433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A6CA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465E1">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314F79">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432A5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群众满意度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93F6F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5</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4F391C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EBA2D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E5D2D7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64AF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67F44">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D7F555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基础</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设施</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E9748E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在建</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项目</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10D51B8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工程进度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A8FA7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15</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7AE642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C1F2F8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CA5F7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31775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CB1AC">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BB5A8">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B67BC">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8E073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资金拨付</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5FE18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15</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2AA7AD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D81D61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5566B4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47863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1183A">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3E345">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BBC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建成</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项目</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ABE31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项目验收</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1242A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649699B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DDD53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681FC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50E46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4A32E">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DCC79">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BE585">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85379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功能实现</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0AA29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471BE6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D0D9C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6A28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07189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E11AC">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2CD8D">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ADEFD">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EA0FB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后续管护</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633849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2444E3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82261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3DF7F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3F180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1059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专用指标</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175A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行政运转</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（30分）</w:t>
            </w:r>
          </w:p>
        </w:tc>
        <w:tc>
          <w:tcPr>
            <w:tcW w:w="1770" w:type="dxa"/>
            <w:tcBorders>
              <w:top w:val="nil"/>
              <w:left w:val="single" w:color="000000" w:sz="4" w:space="0"/>
              <w:bottom w:val="single" w:color="000000" w:sz="4" w:space="0"/>
              <w:right w:val="single" w:color="000000" w:sz="4" w:space="0"/>
            </w:tcBorders>
            <w:noWrap w:val="0"/>
            <w:vAlign w:val="center"/>
          </w:tcPr>
          <w:p w14:paraId="3E7B8D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用途合规性</w:t>
            </w:r>
          </w:p>
        </w:tc>
        <w:tc>
          <w:tcPr>
            <w:tcW w:w="705" w:type="dxa"/>
            <w:tcBorders>
              <w:top w:val="nil"/>
              <w:left w:val="single" w:color="000000" w:sz="4" w:space="0"/>
              <w:bottom w:val="single" w:color="000000" w:sz="4" w:space="0"/>
              <w:right w:val="single" w:color="000000" w:sz="4" w:space="0"/>
            </w:tcBorders>
            <w:noWrap w:val="0"/>
            <w:vAlign w:val="center"/>
          </w:tcPr>
          <w:p w14:paraId="60663F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nil"/>
              <w:left w:val="single" w:color="000000" w:sz="4" w:space="0"/>
              <w:bottom w:val="single" w:color="000000" w:sz="4" w:space="0"/>
              <w:right w:val="single" w:color="000000" w:sz="4" w:space="0"/>
            </w:tcBorders>
            <w:noWrap w:val="0"/>
            <w:vAlign w:val="center"/>
          </w:tcPr>
          <w:p w14:paraId="4BE37FF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752F9C6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1E6507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3E0F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17A0D">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F5C067">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nil"/>
              <w:left w:val="single" w:color="000000" w:sz="4" w:space="0"/>
              <w:bottom w:val="single" w:color="000000" w:sz="4" w:space="0"/>
              <w:right w:val="single" w:color="000000" w:sz="4" w:space="0"/>
            </w:tcBorders>
            <w:noWrap w:val="0"/>
            <w:vAlign w:val="center"/>
          </w:tcPr>
          <w:p w14:paraId="259AA6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程序合规性</w:t>
            </w:r>
          </w:p>
        </w:tc>
        <w:tc>
          <w:tcPr>
            <w:tcW w:w="705" w:type="dxa"/>
            <w:tcBorders>
              <w:top w:val="nil"/>
              <w:left w:val="single" w:color="000000" w:sz="4" w:space="0"/>
              <w:bottom w:val="single" w:color="000000" w:sz="4" w:space="0"/>
              <w:right w:val="single" w:color="000000" w:sz="4" w:space="0"/>
            </w:tcBorders>
            <w:noWrap w:val="0"/>
            <w:vAlign w:val="center"/>
          </w:tcPr>
          <w:p w14:paraId="00D41A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4809472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92456C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BC239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991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75E42">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1A941">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nil"/>
              <w:left w:val="single" w:color="000000" w:sz="4" w:space="0"/>
              <w:bottom w:val="single" w:color="000000" w:sz="4" w:space="0"/>
              <w:right w:val="single" w:color="000000" w:sz="4" w:space="0"/>
            </w:tcBorders>
            <w:noWrap w:val="0"/>
            <w:vAlign w:val="center"/>
          </w:tcPr>
          <w:p w14:paraId="1E7FEB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标准合规性</w:t>
            </w:r>
          </w:p>
        </w:tc>
        <w:tc>
          <w:tcPr>
            <w:tcW w:w="705" w:type="dxa"/>
            <w:tcBorders>
              <w:top w:val="nil"/>
              <w:left w:val="single" w:color="000000" w:sz="4" w:space="0"/>
              <w:bottom w:val="single" w:color="000000" w:sz="4" w:space="0"/>
              <w:right w:val="single" w:color="000000" w:sz="4" w:space="0"/>
            </w:tcBorders>
            <w:noWrap w:val="0"/>
            <w:vAlign w:val="center"/>
          </w:tcPr>
          <w:p w14:paraId="5A2181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10</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5C80401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FC101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372BC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5F3D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21FD3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个性指标</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（16分）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2F3D0A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数据收集完成率</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55862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2C9712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项目湿地相关数据收集完成率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84439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E36458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7442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right w:val="single" w:color="000000" w:sz="4" w:space="0"/>
            </w:tcBorders>
            <w:noWrap w:val="0"/>
            <w:vAlign w:val="center"/>
          </w:tcPr>
          <w:p w14:paraId="27C4FC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kern w:val="0"/>
                <w:sz w:val="24"/>
                <w:szCs w:val="24"/>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0438E5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模型构建精度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D3DB4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w:t>
            </w:r>
          </w:p>
        </w:tc>
        <w:tc>
          <w:tcPr>
            <w:tcW w:w="4916" w:type="dxa"/>
            <w:tcBorders>
              <w:left w:val="single" w:color="000000" w:sz="4" w:space="0"/>
              <w:right w:val="single" w:color="000000" w:sz="4" w:space="0"/>
            </w:tcBorders>
            <w:noWrap w:val="0"/>
            <w:vAlign w:val="center"/>
          </w:tcPr>
          <w:p w14:paraId="7C7AF2F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湿地景观识别模型预测精度是否达标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4468A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924DC5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0084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A2DE0C">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52DB49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系统研发进度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8915A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3C0CBE1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多维决策应用系统研发进度是否达标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63BB3C">
            <w:pPr>
              <w:keepNext w:val="0"/>
              <w:keepLines w:val="0"/>
              <w:pageBreakBefore w:val="0"/>
              <w:widowControl/>
              <w:kinsoku/>
              <w:wordWrap/>
              <w:overflowPunct/>
              <w:topLinePunct w:val="0"/>
              <w:autoSpaceDE/>
              <w:autoSpaceDN/>
              <w:bidi w:val="0"/>
              <w:adjustRightInd/>
              <w:snapToGrid/>
              <w:spacing w:line="560" w:lineRule="exact"/>
              <w:jc w:val="left"/>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977E524">
            <w:pPr>
              <w:keepNext w:val="0"/>
              <w:keepLines w:val="0"/>
              <w:pageBreakBefore w:val="0"/>
              <w:widowControl/>
              <w:kinsoku/>
              <w:wordWrap/>
              <w:overflowPunct/>
              <w:topLinePunct w:val="0"/>
              <w:autoSpaceDE/>
              <w:autoSpaceDN/>
              <w:bidi w:val="0"/>
              <w:adjustRightInd/>
              <w:snapToGrid/>
              <w:spacing w:line="560" w:lineRule="exact"/>
              <w:jc w:val="left"/>
              <w:rPr>
                <w:rFonts w:hint="default" w:ascii="Times New Roman" w:hAnsi="Times New Roman" w:eastAsia="宋体" w:cs="Times New Roman"/>
                <w:i w:val="0"/>
                <w:color w:val="auto"/>
                <w:sz w:val="24"/>
                <w:szCs w:val="24"/>
                <w:u w:val="none"/>
              </w:rPr>
            </w:pPr>
          </w:p>
        </w:tc>
      </w:tr>
      <w:tr w14:paraId="0EBF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3B2665">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宋体" w:cs="Times New Roman"/>
                <w:b/>
                <w:i w:val="0"/>
                <w:color w:val="auto"/>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4477BC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资金使用精准度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6263C5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1F0A902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项目资金与实施任务的匹配精准度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0B52C3">
            <w:pPr>
              <w:keepNext w:val="0"/>
              <w:keepLines w:val="0"/>
              <w:pageBreakBefore w:val="0"/>
              <w:widowControl/>
              <w:kinsoku/>
              <w:wordWrap/>
              <w:overflowPunct/>
              <w:topLinePunct w:val="0"/>
              <w:autoSpaceDE/>
              <w:autoSpaceDN/>
              <w:bidi w:val="0"/>
              <w:adjustRightInd/>
              <w:snapToGrid/>
              <w:spacing w:line="560" w:lineRule="exact"/>
              <w:jc w:val="left"/>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04996A">
            <w:pPr>
              <w:keepNext w:val="0"/>
              <w:keepLines w:val="0"/>
              <w:pageBreakBefore w:val="0"/>
              <w:widowControl/>
              <w:kinsoku/>
              <w:wordWrap/>
              <w:overflowPunct/>
              <w:topLinePunct w:val="0"/>
              <w:autoSpaceDE/>
              <w:autoSpaceDN/>
              <w:bidi w:val="0"/>
              <w:adjustRightInd/>
              <w:snapToGrid/>
              <w:spacing w:line="560" w:lineRule="exact"/>
              <w:jc w:val="left"/>
              <w:rPr>
                <w:rFonts w:hint="default" w:ascii="Times New Roman" w:hAnsi="Times New Roman" w:eastAsia="宋体" w:cs="Times New Roman"/>
                <w:i w:val="0"/>
                <w:color w:val="auto"/>
                <w:sz w:val="24"/>
                <w:szCs w:val="24"/>
                <w:u w:val="none"/>
              </w:rPr>
            </w:pPr>
          </w:p>
        </w:tc>
      </w:tr>
      <w:tr w14:paraId="200A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5110E14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sz w:val="24"/>
                <w:szCs w:val="24"/>
                <w:u w:val="none"/>
              </w:rPr>
            </w:pPr>
            <w:r>
              <w:rPr>
                <w:rFonts w:hint="default" w:ascii="Times New Roman" w:hAnsi="Times New Roman" w:eastAsia="宋体" w:cs="Times New Roman"/>
                <w:b/>
                <w:i w:val="0"/>
                <w:color w:val="auto"/>
                <w:kern w:val="0"/>
                <w:sz w:val="24"/>
                <w:szCs w:val="24"/>
                <w:u w:val="none"/>
                <w:lang w:val="en-US" w:eastAsia="zh-CN" w:bidi="ar"/>
              </w:rPr>
              <w:t>扣分项</w:t>
            </w:r>
            <w:r>
              <w:rPr>
                <w:rFonts w:hint="default" w:ascii="Times New Roman" w:hAnsi="Times New Roman" w:eastAsia="宋体" w:cs="Times New Roman"/>
                <w:b/>
                <w:i w:val="0"/>
                <w:color w:val="auto"/>
                <w:kern w:val="0"/>
                <w:sz w:val="24"/>
                <w:szCs w:val="24"/>
                <w:u w:val="none"/>
                <w:lang w:val="en-US" w:eastAsia="zh-CN" w:bidi="ar"/>
              </w:rPr>
              <w:br w:type="textWrapping"/>
            </w:r>
            <w:r>
              <w:rPr>
                <w:rFonts w:hint="default" w:ascii="Times New Roman" w:hAnsi="Times New Roman" w:eastAsia="宋体" w:cs="Times New Roman"/>
                <w:b/>
                <w:i w:val="0"/>
                <w:color w:val="auto"/>
                <w:kern w:val="0"/>
                <w:sz w:val="24"/>
                <w:szCs w:val="24"/>
                <w:u w:val="none"/>
                <w:lang w:val="en-US" w:eastAsia="zh-CN" w:bidi="ar"/>
              </w:rPr>
              <w:t>（10分）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BF909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被评价</w:t>
            </w:r>
            <w:r>
              <w:rPr>
                <w:rFonts w:hint="default" w:ascii="Times New Roman" w:hAnsi="Times New Roman" w:eastAsia="宋体" w:cs="Times New Roman"/>
                <w:i w:val="0"/>
                <w:color w:val="auto"/>
                <w:kern w:val="0"/>
                <w:sz w:val="24"/>
                <w:szCs w:val="24"/>
                <w:u w:val="none"/>
                <w:lang w:val="en-US" w:eastAsia="zh-CN" w:bidi="ar"/>
              </w:rPr>
              <w:br w:type="textWrapping"/>
            </w:r>
            <w:r>
              <w:rPr>
                <w:rFonts w:hint="default" w:ascii="Times New Roman" w:hAnsi="Times New Roman" w:eastAsia="宋体" w:cs="Times New Roman"/>
                <w:i w:val="0"/>
                <w:color w:val="auto"/>
                <w:kern w:val="0"/>
                <w:sz w:val="24"/>
                <w:szCs w:val="24"/>
                <w:u w:val="none"/>
                <w:lang w:val="en-US" w:eastAsia="zh-CN" w:bidi="ar"/>
              </w:rPr>
              <w:t>部门配合度</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13CD1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w:t>
            </w: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4B7145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95833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A0AB6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r w14:paraId="5B8F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6E784DA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i w:val="0"/>
                <w:color w:val="auto"/>
                <w:kern w:val="0"/>
                <w:sz w:val="24"/>
                <w:szCs w:val="24"/>
                <w:u w:val="none"/>
                <w:lang w:val="en-US" w:eastAsia="zh-CN" w:bidi="ar"/>
              </w:rPr>
            </w:pPr>
            <w:r>
              <w:rPr>
                <w:rFonts w:hint="eastAsia" w:ascii="Times New Roman" w:hAnsi="Times New Roman" w:eastAsia="宋体" w:cs="Times New Roman"/>
                <w:b/>
                <w:i w:val="0"/>
                <w:color w:val="auto"/>
                <w:kern w:val="0"/>
                <w:sz w:val="24"/>
                <w:szCs w:val="24"/>
                <w:u w:val="none"/>
                <w:lang w:val="en-US" w:eastAsia="zh-CN" w:bidi="ar"/>
              </w:rPr>
              <w:t>总得分</w:t>
            </w:r>
          </w:p>
        </w:tc>
        <w:tc>
          <w:tcPr>
            <w:tcW w:w="1770" w:type="dxa"/>
            <w:tcBorders>
              <w:top w:val="single" w:color="000000" w:sz="4" w:space="0"/>
              <w:left w:val="single" w:color="000000" w:sz="4" w:space="0"/>
              <w:bottom w:val="single" w:color="000000" w:sz="4" w:space="0"/>
              <w:right w:val="single" w:color="000000" w:sz="4" w:space="0"/>
            </w:tcBorders>
            <w:noWrap w:val="0"/>
            <w:vAlign w:val="center"/>
          </w:tcPr>
          <w:p w14:paraId="3B4116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47C20E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i w:val="0"/>
                <w:color w:val="auto"/>
                <w:kern w:val="0"/>
                <w:sz w:val="24"/>
                <w:szCs w:val="24"/>
                <w:u w:val="none"/>
                <w:lang w:val="en-US" w:eastAsia="zh-CN" w:bidi="ar"/>
              </w:rPr>
            </w:pPr>
          </w:p>
        </w:tc>
        <w:tc>
          <w:tcPr>
            <w:tcW w:w="4916" w:type="dxa"/>
            <w:tcBorders>
              <w:top w:val="single" w:color="000000" w:sz="4" w:space="0"/>
              <w:left w:val="single" w:color="000000" w:sz="4" w:space="0"/>
              <w:bottom w:val="single" w:color="000000" w:sz="4" w:space="0"/>
              <w:right w:val="single" w:color="000000" w:sz="4" w:space="0"/>
            </w:tcBorders>
            <w:noWrap w:val="0"/>
            <w:vAlign w:val="center"/>
          </w:tcPr>
          <w:p w14:paraId="294776B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B4181E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ascii="Times New Roman" w:hAnsi="Times New Roman" w:eastAsia="宋体" w:cs="Times New Roman"/>
                <w:i w:val="0"/>
                <w:color w:val="auto"/>
                <w:kern w:val="0"/>
                <w:sz w:val="24"/>
                <w:szCs w:val="24"/>
                <w:u w:val="none"/>
                <w:lang w:val="en-US" w:eastAsia="zh-CN" w:bidi="ar"/>
              </w:rPr>
              <w:t>88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E09038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宋体" w:cs="Times New Roman"/>
                <w:i w:val="0"/>
                <w:color w:val="auto"/>
                <w:kern w:val="0"/>
                <w:sz w:val="24"/>
                <w:szCs w:val="24"/>
                <w:u w:val="none"/>
                <w:lang w:val="en-US" w:eastAsia="zh-CN" w:bidi="ar"/>
              </w:rPr>
            </w:pPr>
          </w:p>
        </w:tc>
      </w:tr>
    </w:tbl>
    <w:p w14:paraId="101A34E4">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cs="Times New Roman"/>
          <w:color w:val="auto"/>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1651C1D1">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1B639EB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楷体_GB2312" w:cs="Times New Roman"/>
          <w:b w:val="0"/>
          <w:bCs w:val="0"/>
          <w:color w:val="auto"/>
          <w:sz w:val="28"/>
          <w:szCs w:val="28"/>
          <w:highlight w:val="none"/>
          <w:u w:val="none"/>
          <w:lang w:val="en-US" w:eastAsia="zh-CN"/>
        </w:rPr>
      </w:pPr>
      <w:r>
        <w:rPr>
          <w:rFonts w:hint="default" w:ascii="Times New Roman" w:hAnsi="Times New Roman" w:eastAsia="楷体_GB2312" w:cs="Times New Roman"/>
          <w:b w:val="0"/>
          <w:bCs w:val="0"/>
          <w:color w:val="auto"/>
          <w:sz w:val="28"/>
          <w:szCs w:val="28"/>
          <w:highlight w:val="none"/>
          <w:u w:val="none"/>
          <w:lang w:val="en-US" w:eastAsia="zh-CN"/>
        </w:rPr>
        <w:t>（例表）</w:t>
      </w:r>
    </w:p>
    <w:tbl>
      <w:tblPr>
        <w:tblStyle w:val="17"/>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4043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jc w:val="center"/>
        </w:trPr>
        <w:tc>
          <w:tcPr>
            <w:tcW w:w="1123" w:type="dxa"/>
            <w:noWrap w:val="0"/>
            <w:vAlign w:val="top"/>
          </w:tcPr>
          <w:p w14:paraId="2BE1E7C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5FF2022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55BF68F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3BFF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exact"/>
          <w:jc w:val="center"/>
        </w:trPr>
        <w:tc>
          <w:tcPr>
            <w:tcW w:w="1123" w:type="dxa"/>
            <w:noWrap w:val="0"/>
            <w:vAlign w:val="top"/>
          </w:tcPr>
          <w:p w14:paraId="19E7514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27B455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default" w:ascii="Times New Roman" w:hAnsi="Times New Roman" w:cs="Times New Roman"/>
                <w:color w:val="auto"/>
                <w:sz w:val="24"/>
                <w:szCs w:val="24"/>
                <w:highlight w:val="none"/>
                <w:u w:val="none"/>
                <w:vertAlign w:val="baseline"/>
                <w:lang w:val="en-US" w:eastAsia="zh-CN"/>
              </w:rPr>
              <w:t>阿坝藏族羌族自治州生态保护和发展研究院地理科学和信息研究所</w:t>
            </w:r>
          </w:p>
        </w:tc>
        <w:tc>
          <w:tcPr>
            <w:tcW w:w="905" w:type="dxa"/>
            <w:noWrap w:val="0"/>
            <w:vAlign w:val="top"/>
          </w:tcPr>
          <w:p w14:paraId="5665BD9E">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EF2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23" w:type="dxa"/>
            <w:noWrap w:val="0"/>
            <w:vAlign w:val="top"/>
          </w:tcPr>
          <w:p w14:paraId="3624DB4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3047656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US" w:eastAsia="zh-CN"/>
              </w:rPr>
              <w:t>若尔盖县（若尔盖国家公园核心研究区）</w:t>
            </w:r>
          </w:p>
        </w:tc>
        <w:tc>
          <w:tcPr>
            <w:tcW w:w="905" w:type="dxa"/>
            <w:noWrap w:val="0"/>
            <w:vAlign w:val="top"/>
          </w:tcPr>
          <w:p w14:paraId="5FACB24C">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7C1B5A0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备注：项目实地踏勘点位包括市（州）本级、县（市、区）本级及有关项目、单位、公司等。</w:t>
      </w:r>
    </w:p>
    <w:p w14:paraId="4EC085DF">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5CC071F">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E8D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76407F0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黑体" w:cs="Times New Roman"/>
                <w:i w:val="0"/>
                <w:color w:val="auto"/>
                <w:sz w:val="30"/>
                <w:szCs w:val="30"/>
                <w:u w:val="none"/>
              </w:rPr>
            </w:pPr>
            <w:r>
              <w:rPr>
                <w:rFonts w:hint="default" w:ascii="Times New Roman" w:hAnsi="Times New Roman" w:eastAsia="Arial Unicode MS" w:cs="Times New Roman"/>
                <w:i w:val="0"/>
                <w:color w:val="auto"/>
                <w:kern w:val="0"/>
                <w:sz w:val="40"/>
                <w:szCs w:val="40"/>
                <w:u w:val="none"/>
                <w:lang w:val="en-US" w:eastAsia="zh-CN" w:bidi="ar"/>
              </w:rPr>
              <w:t>专项预算项目绩效目标完成情况自评表</w:t>
            </w:r>
          </w:p>
        </w:tc>
      </w:tr>
      <w:tr w14:paraId="1C1D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DB9409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02FA00B">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r>
              <w:rPr>
                <w:rFonts w:hint="default" w:ascii="Times New Roman" w:hAnsi="Times New Roman" w:cs="Times New Roman"/>
                <w:color w:val="auto"/>
                <w:sz w:val="24"/>
                <w:szCs w:val="24"/>
                <w:highlight w:val="none"/>
                <w:u w:val="none"/>
                <w:vertAlign w:val="baseline"/>
                <w:lang w:val="en-US" w:eastAsia="zh-CN"/>
              </w:rPr>
              <w:t>若尔盖国家公园湿地时空格局演变研究与多维决策应用系统研发示范</w:t>
            </w:r>
          </w:p>
        </w:tc>
      </w:tr>
      <w:tr w14:paraId="1458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FA5922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04D612B">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r>
              <w:rPr>
                <w:rFonts w:hint="default" w:ascii="Times New Roman" w:hAnsi="Times New Roman" w:cs="Times New Roman"/>
                <w:color w:val="auto"/>
                <w:sz w:val="24"/>
                <w:szCs w:val="24"/>
                <w:highlight w:val="none"/>
                <w:u w:val="none"/>
                <w:vertAlign w:val="baseline"/>
                <w:lang w:val="en-US" w:eastAsia="zh-CN"/>
              </w:rPr>
              <w:t>阿坝藏族羌族自治州生态保护和发展研究院地理科学和信息研究所</w:t>
            </w:r>
          </w:p>
        </w:tc>
      </w:tr>
      <w:tr w14:paraId="6E455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7121DA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CDA327">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auto"/>
                <w:sz w:val="24"/>
                <w:szCs w:val="24"/>
                <w:u w:val="none"/>
                <w:lang w:val="en-US" w:eastAsia="zh-CN"/>
              </w:rPr>
            </w:pPr>
            <w:r>
              <w:rPr>
                <w:rFonts w:hint="default" w:ascii="Times New Roman" w:hAnsi="Times New Roman" w:eastAsia="宋体" w:cs="Times New Roman"/>
                <w:i w:val="0"/>
                <w:color w:val="auto"/>
                <w:sz w:val="24"/>
                <w:szCs w:val="24"/>
                <w:u w:val="none"/>
                <w:lang w:val="en-US" w:eastAsia="zh-CN"/>
              </w:rPr>
              <w:t>应用开发类科技项目</w:t>
            </w:r>
          </w:p>
        </w:tc>
      </w:tr>
      <w:tr w14:paraId="7C4C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E9A806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5A6C65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中长期规划（名称、文号，仅指</w:t>
            </w:r>
          </w:p>
          <w:p w14:paraId="794C8B9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D4AA925">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auto"/>
                <w:sz w:val="24"/>
                <w:szCs w:val="24"/>
                <w:u w:val="none"/>
                <w:lang w:val="en-US" w:eastAsia="zh-CN"/>
              </w:rPr>
            </w:pPr>
          </w:p>
        </w:tc>
      </w:tr>
      <w:tr w14:paraId="7179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8F7F1">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66B3EA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A77E4CB">
            <w:pPr>
              <w:keepNext w:val="0"/>
              <w:keepLines w:val="0"/>
              <w:pageBreakBefore w:val="0"/>
              <w:kinsoku/>
              <w:wordWrap/>
              <w:overflowPunct/>
              <w:topLinePunct w:val="0"/>
              <w:autoSpaceDE/>
              <w:autoSpaceDN/>
              <w:bidi w:val="0"/>
              <w:adjustRightInd/>
              <w:snapToGrid/>
              <w:spacing w:line="560" w:lineRule="exact"/>
              <w:ind w:left="0" w:leftChars="0"/>
              <w:jc w:val="left"/>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kern w:val="0"/>
                <w:sz w:val="24"/>
                <w:szCs w:val="24"/>
                <w:u w:val="none"/>
                <w:lang w:val="en-US" w:eastAsia="zh-CN" w:bidi="ar"/>
              </w:rPr>
              <w:t>《阿坝州科技计划项目专项资金管理办法》阿州财规（2019）5号</w:t>
            </w:r>
          </w:p>
        </w:tc>
      </w:tr>
      <w:tr w14:paraId="1C10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C6788">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DE334A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5699F6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Wingdings 2" w:cs="Times New Roman"/>
                <w:i w:val="0"/>
                <w:color w:val="auto"/>
                <w:sz w:val="24"/>
                <w:szCs w:val="24"/>
                <w:u w:val="none"/>
              </w:rPr>
            </w:pPr>
            <w:r>
              <w:rPr>
                <w:rFonts w:hint="default" w:ascii="Times New Roman" w:hAnsi="Times New Roman" w:eastAsia="Wingdings 2" w:cs="Times New Roman"/>
                <w:i w:val="0"/>
                <w:color w:val="auto"/>
                <w:kern w:val="0"/>
                <w:sz w:val="24"/>
                <w:szCs w:val="24"/>
                <w:u w:val="none"/>
                <w:lang w:val="en-US" w:eastAsia="zh-CN" w:bidi="ar"/>
              </w:rPr>
              <w:t>£</w:t>
            </w:r>
            <w:r>
              <w:rPr>
                <w:rFonts w:hint="default" w:ascii="Times New Roman" w:hAnsi="Times New Roman" w:eastAsia="宋体" w:cs="Times New Roman"/>
                <w:i w:val="0"/>
                <w:color w:val="auto"/>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41ECC7B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auto"/>
                <w:sz w:val="24"/>
                <w:szCs w:val="24"/>
                <w:u w:val="none"/>
              </w:rPr>
            </w:pPr>
            <w:r>
              <w:rPr>
                <w:rFonts w:hint="default" w:ascii="Times New Roman" w:hAnsi="Times New Roman" w:eastAsia="Wingdings 2" w:cs="Times New Roman"/>
                <w:i w:val="0"/>
                <w:color w:val="auto"/>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A4FBE2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auto"/>
                <w:sz w:val="24"/>
                <w:szCs w:val="24"/>
                <w:u w:val="none"/>
              </w:rPr>
            </w:pPr>
            <w:r>
              <w:rPr>
                <w:rFonts w:hint="default" w:ascii="Times New Roman" w:hAnsi="Times New Roman" w:eastAsia="Wingdings 2" w:cs="Times New Roman"/>
                <w:i w:val="0"/>
                <w:color w:val="auto"/>
                <w:kern w:val="0"/>
                <w:sz w:val="24"/>
                <w:szCs w:val="24"/>
                <w:u w:val="none"/>
                <w:lang w:val="en-US" w:eastAsia="zh-CN" w:bidi="ar"/>
              </w:rPr>
              <w:t>£</w:t>
            </w:r>
            <w:r>
              <w:rPr>
                <w:rFonts w:hint="default" w:ascii="Times New Roman" w:hAnsi="Times New Roman" w:eastAsia="宋体" w:cs="Times New Roman"/>
                <w:i w:val="0"/>
                <w:color w:val="auto"/>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7B28C7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auto"/>
                <w:sz w:val="24"/>
                <w:szCs w:val="24"/>
                <w:u w:val="none"/>
              </w:rPr>
            </w:pPr>
            <w:r>
              <w:rPr>
                <w:rFonts w:hint="default" w:ascii="Times New Roman" w:hAnsi="Times New Roman" w:eastAsia="Wingdings 2" w:cs="Times New Roman"/>
                <w:i w:val="0"/>
                <w:color w:val="auto"/>
                <w:kern w:val="0"/>
                <w:sz w:val="24"/>
                <w:szCs w:val="24"/>
                <w:u w:val="none"/>
                <w:lang w:val="en-US" w:eastAsia="zh-CN" w:bidi="ar"/>
              </w:rPr>
              <w:t>£</w:t>
            </w:r>
            <w:r>
              <w:rPr>
                <w:rFonts w:hint="default" w:ascii="Times New Roman" w:hAnsi="Times New Roman" w:eastAsia="宋体" w:cs="Times New Roman"/>
                <w:i w:val="0"/>
                <w:color w:val="auto"/>
                <w:kern w:val="0"/>
                <w:sz w:val="24"/>
                <w:szCs w:val="24"/>
                <w:u w:val="none"/>
                <w:lang w:val="en-US" w:eastAsia="zh-CN" w:bidi="ar"/>
              </w:rPr>
              <w:t>因素法与项目法相结合</w:t>
            </w:r>
          </w:p>
        </w:tc>
      </w:tr>
      <w:tr w14:paraId="4FE8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151FA">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FCEC9E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804FBB">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阿州财教[2023]27号</w:t>
            </w:r>
          </w:p>
        </w:tc>
      </w:tr>
      <w:tr w14:paraId="50AF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0FF8E">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484E01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235BBA">
            <w:pPr>
              <w:keepNext w:val="0"/>
              <w:keepLines w:val="0"/>
              <w:pageBreakBefore w:val="0"/>
              <w:kinsoku/>
              <w:wordWrap/>
              <w:overflowPunct/>
              <w:topLinePunct w:val="0"/>
              <w:autoSpaceDE/>
              <w:autoSpaceDN/>
              <w:bidi w:val="0"/>
              <w:adjustRightInd/>
              <w:snapToGrid/>
              <w:spacing w:line="560" w:lineRule="exact"/>
              <w:ind w:left="0" w:leftChars="0"/>
              <w:jc w:val="left"/>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本项目</w:t>
            </w:r>
          </w:p>
        </w:tc>
      </w:tr>
      <w:tr w14:paraId="5ECA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18DB7">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FAC683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347C6F0">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auto"/>
                <w:sz w:val="24"/>
                <w:szCs w:val="24"/>
                <w:u w:val="none"/>
              </w:rPr>
            </w:pPr>
            <w:r>
              <w:rPr>
                <w:rFonts w:hint="eastAsia" w:ascii="Times New Roman" w:hAnsi="Times New Roman" w:eastAsia="宋体" w:cs="Times New Roman"/>
                <w:i w:val="0"/>
                <w:color w:val="auto"/>
                <w:kern w:val="0"/>
                <w:sz w:val="24"/>
                <w:szCs w:val="24"/>
                <w:u w:val="none"/>
                <w:lang w:val="en-US" w:eastAsia="zh-CN" w:bidi="ar"/>
              </w:rPr>
              <w:t>具备相关研究基础</w:t>
            </w:r>
          </w:p>
        </w:tc>
      </w:tr>
      <w:tr w14:paraId="096D9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A50E7">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115053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E48290">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2023年6月1日至2025年5月31日</w:t>
            </w:r>
          </w:p>
        </w:tc>
      </w:tr>
      <w:tr w14:paraId="4BC1C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6CFF1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项目资金</w:t>
            </w:r>
          </w:p>
          <w:p w14:paraId="47D23DB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AD4235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1BABA2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4.83</w:t>
            </w:r>
          </w:p>
        </w:tc>
      </w:tr>
      <w:tr w14:paraId="16CEC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53237D">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AAB254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78074A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4.83</w:t>
            </w:r>
          </w:p>
        </w:tc>
      </w:tr>
      <w:tr w14:paraId="07C79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337DE4">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39DDA1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6A8B62F">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0</w:t>
            </w:r>
          </w:p>
        </w:tc>
      </w:tr>
      <w:tr w14:paraId="76F4F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D137D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CD94E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年度目标</w:t>
            </w:r>
          </w:p>
        </w:tc>
      </w:tr>
      <w:tr w14:paraId="1BF8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35404">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A602463">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default" w:ascii="Times New Roman" w:hAnsi="Times New Roman" w:eastAsia="宋体" w:cs="Times New Roman"/>
                <w:i w:val="0"/>
                <w:color w:val="auto"/>
                <w:sz w:val="24"/>
                <w:szCs w:val="24"/>
                <w:u w:val="none"/>
              </w:rPr>
              <w:t>完成湿地景观精准识别、时空格局演变规律分析、动态预测模型构建，研发1套多维决策应用系统，形成发明专利、软件著作权、学术论文等成果，开展1个应用示范，为若尔盖国家公园湿地保护提供决策支撑</w:t>
            </w:r>
            <w:r>
              <w:rPr>
                <w:rFonts w:hint="eastAsia" w:eastAsia="宋体" w:cs="Times New Roman"/>
                <w:i w:val="0"/>
                <w:color w:val="auto"/>
                <w:sz w:val="24"/>
                <w:szCs w:val="24"/>
                <w:u w:val="none"/>
                <w:lang w:eastAsia="zh-CN"/>
              </w:rPr>
              <w:t>；</w:t>
            </w:r>
            <w:r>
              <w:rPr>
                <w:rFonts w:hint="eastAsia" w:eastAsia="宋体" w:cs="Times New Roman"/>
                <w:i w:val="0"/>
                <w:color w:val="auto"/>
                <w:sz w:val="24"/>
                <w:szCs w:val="24"/>
                <w:u w:val="none"/>
                <w:lang w:val="en-US" w:eastAsia="zh-CN"/>
              </w:rPr>
              <w:t>完成项目验收。</w:t>
            </w:r>
          </w:p>
        </w:tc>
      </w:tr>
      <w:tr w14:paraId="21D8E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5A1B6C1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71812B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87E3EE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488F09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6F3988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9A8CBD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AD0C7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D07FE6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180ECD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实际完成指标值</w:t>
            </w:r>
          </w:p>
        </w:tc>
      </w:tr>
      <w:tr w14:paraId="410FA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C0DA5F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EFDA5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14:paraId="2C8E5FF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570543">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发明专利申报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71A1D15">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E24E778">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E3C357C">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909278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65EB6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r>
      <w:tr w14:paraId="0CB44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9D0F93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B821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continue"/>
            <w:tcBorders>
              <w:left w:val="single" w:color="000000" w:sz="4" w:space="0"/>
              <w:right w:val="single" w:color="000000" w:sz="4" w:space="0"/>
            </w:tcBorders>
            <w:noWrap w:val="0"/>
            <w:vAlign w:val="center"/>
          </w:tcPr>
          <w:p w14:paraId="7D3376B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420E9E6">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软件著作权登记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6F6C99">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5871909">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1720AA">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00F28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1BF657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r>
      <w:tr w14:paraId="420B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5674F9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A54D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continue"/>
            <w:tcBorders>
              <w:left w:val="single" w:color="000000" w:sz="4" w:space="0"/>
              <w:right w:val="single" w:color="000000" w:sz="4" w:space="0"/>
            </w:tcBorders>
            <w:noWrap w:val="0"/>
            <w:vAlign w:val="center"/>
          </w:tcPr>
          <w:p w14:paraId="7D07B91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90B067F">
            <w:pPr>
              <w:keepNext w:val="0"/>
              <w:keepLines w:val="0"/>
              <w:pageBreakBefore w:val="0"/>
              <w:kinsoku/>
              <w:wordWrap/>
              <w:overflowPunct/>
              <w:topLinePunct w:val="0"/>
              <w:autoSpaceDE/>
              <w:autoSpaceDN/>
              <w:bidi w:val="0"/>
              <w:adjustRightInd/>
              <w:snapToGrid/>
              <w:spacing w:line="560" w:lineRule="exact"/>
              <w:ind w:left="0" w:leftChars="0"/>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研究报告</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E84BC3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33E2E2E">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DCCE02">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份</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12235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8B620C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w:t>
            </w:r>
          </w:p>
        </w:tc>
      </w:tr>
      <w:tr w14:paraId="16DD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5161B5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2141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14:paraId="584EBFF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69C2B3E">
            <w:pPr>
              <w:keepNext w:val="0"/>
              <w:keepLines w:val="0"/>
              <w:pageBreakBefore w:val="0"/>
              <w:kinsoku/>
              <w:wordWrap/>
              <w:overflowPunct/>
              <w:topLinePunct w:val="0"/>
              <w:autoSpaceDE/>
              <w:autoSpaceDN/>
              <w:bidi w:val="0"/>
              <w:adjustRightInd/>
              <w:snapToGrid/>
              <w:spacing w:line="560" w:lineRule="exact"/>
              <w:ind w:left="0" w:leftChars="0"/>
              <w:rPr>
                <w:rFonts w:hint="eastAsia"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平台应用示范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A368AC5">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CF96BA3">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3F8ABC7">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示范点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A63637E">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22D2299">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4</w:t>
            </w:r>
          </w:p>
        </w:tc>
      </w:tr>
      <w:tr w14:paraId="1DBA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198403">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27634">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EF57DC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24D646">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动态预测精度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24F7F4D">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752BFF">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82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ABE14E">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0A9A4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0B694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85%</w:t>
            </w:r>
          </w:p>
        </w:tc>
      </w:tr>
      <w:tr w14:paraId="28F9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762C45">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9DFF6">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33DAEA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909D6E4">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系统开发完善</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79A1BAC">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D90A95C">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0.6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F9D301F">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C83F44D">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4BFCCD0">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0.6</w:t>
            </w:r>
          </w:p>
        </w:tc>
      </w:tr>
      <w:tr w14:paraId="7DF7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9B752E4">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A464A">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1375FF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E0F46C7">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能否为若尔盖湿地管理提供有效决策支持</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B8E78B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51C6C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eastAsia="zh-CN"/>
              </w:rPr>
              <w:t>能</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E7ECB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889A7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9B266B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能</w:t>
            </w:r>
          </w:p>
        </w:tc>
      </w:tr>
      <w:tr w14:paraId="14FD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495C0BB">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0AFBB8E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满意度</w:t>
            </w:r>
          </w:p>
          <w:p w14:paraId="75A3DF7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168D535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服务对象</w:t>
            </w:r>
          </w:p>
          <w:p w14:paraId="384E8D3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D2A0FE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kern w:val="2"/>
                <w:sz w:val="24"/>
                <w:szCs w:val="24"/>
                <w:u w:val="none"/>
                <w:lang w:val="en-US" w:eastAsia="zh-CN" w:bidi="ar-SA"/>
              </w:rPr>
            </w:pPr>
            <w:r>
              <w:rPr>
                <w:rFonts w:hint="default" w:ascii="Times New Roman" w:hAnsi="Times New Roman" w:eastAsia="宋体" w:cs="Times New Roman"/>
                <w:i w:val="0"/>
                <w:color w:val="auto"/>
                <w:sz w:val="24"/>
                <w:szCs w:val="24"/>
                <w:u w:val="none"/>
              </w:rPr>
              <w:t>使用单位满意程度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65B50D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default" w:ascii="Arial" w:hAnsi="Arial" w:eastAsia="宋体" w:cs="Arial"/>
                <w:i w:val="0"/>
                <w:color w:val="auto"/>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3AA12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B47254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2B0200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776543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90%</w:t>
            </w:r>
          </w:p>
        </w:tc>
      </w:tr>
      <w:tr w14:paraId="78EE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4125038">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auto"/>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0295D6D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0B11B8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经济成本</w:t>
            </w:r>
          </w:p>
          <w:p w14:paraId="15F1545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0A42EB9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eastAsia="zh-CN"/>
              </w:rPr>
              <w:t>经费使用控制</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ED1990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ascii="宋体" w:hAnsi="宋体" w:eastAsia="宋体" w:cs="宋体"/>
                <w:i w:val="0"/>
                <w:color w:val="auto"/>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58EB61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68DE5C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2A1A18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A1FD8D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kern w:val="2"/>
                <w:sz w:val="24"/>
                <w:szCs w:val="24"/>
                <w:u w:val="none"/>
                <w:lang w:val="en-US" w:eastAsia="zh-CN" w:bidi="ar-SA"/>
              </w:rPr>
            </w:pPr>
            <w:r>
              <w:rPr>
                <w:rFonts w:hint="eastAsia" w:eastAsia="宋体" w:cs="Times New Roman"/>
                <w:i w:val="0"/>
                <w:color w:val="auto"/>
                <w:sz w:val="24"/>
                <w:szCs w:val="24"/>
                <w:u w:val="none"/>
                <w:lang w:val="en-US" w:eastAsia="zh-CN"/>
              </w:rPr>
              <w:t>90%</w:t>
            </w:r>
          </w:p>
        </w:tc>
      </w:tr>
    </w:tbl>
    <w:p w14:paraId="29E4EB10">
      <w:pPr>
        <w:pStyle w:val="21"/>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5860FA94">
      <w:pP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29E4F2F7">
      <w:pPr>
        <w:numPr>
          <w:ilvl w:val="0"/>
          <w:numId w:val="0"/>
        </w:numPr>
        <w:spacing w:line="600" w:lineRule="exact"/>
        <w:ind w:left="0" w:leftChars="0" w:right="0" w:rightChars="0" w:firstLine="0" w:firstLineChars="0"/>
        <w:jc w:val="center"/>
        <w:outlineLvl w:val="0"/>
        <w:rPr>
          <w:rFonts w:hint="eastAsia"/>
          <w:color w:val="auto"/>
        </w:rPr>
      </w:pPr>
      <w:bookmarkStart w:id="82" w:name="_Toc15396618"/>
      <w:r>
        <w:rPr>
          <w:rFonts w:hint="eastAsia" w:ascii="Times New Roman" w:hAnsi="Times New Roman" w:eastAsia="仿宋_GB2312" w:cs="仿宋_GB2312"/>
          <w:b w:val="0"/>
          <w:bCs w:val="0"/>
          <w:color w:val="auto"/>
          <w:kern w:val="0"/>
          <w:position w:val="0"/>
          <w:szCs w:val="32"/>
          <w:highlight w:val="none"/>
          <w:lang w:val="en-US" w:eastAsia="zh-CN" w:bidi="ar-SA"/>
        </w:rPr>
        <w:br w:type="page"/>
      </w:r>
      <w:bookmarkStart w:id="83" w:name="_Toc30027"/>
      <w:r>
        <w:rPr>
          <w:rFonts w:hint="eastAsia" w:ascii="Times New Roman" w:hAnsi="Times New Roman" w:eastAsia="黑体" w:cs="Times New Roman"/>
          <w:color w:val="auto"/>
          <w:sz w:val="44"/>
          <w:szCs w:val="44"/>
          <w:highlight w:val="none"/>
        </w:rPr>
        <w:t>第五部分 附表</w:t>
      </w:r>
      <w:bookmarkEnd w:id="60"/>
      <w:bookmarkEnd w:id="82"/>
      <w:bookmarkEnd w:id="83"/>
      <w:bookmarkStart w:id="84" w:name="_Toc15396619"/>
    </w:p>
    <w:p w14:paraId="35FBE7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5"/>
        <w:bidi w:val="0"/>
        <w:rPr>
          <w:rFonts w:hint="eastAsia" w:ascii="仿宋" w:hAnsi="仿宋" w:eastAsia="仿宋" w:cs="仿宋"/>
          <w:color w:val="auto"/>
          <w:sz w:val="32"/>
          <w:szCs w:val="32"/>
        </w:rPr>
      </w:pPr>
      <w:r>
        <w:rPr>
          <w:rFonts w:hint="eastAsia" w:ascii="仿宋" w:hAnsi="仿宋" w:eastAsia="仿宋" w:cs="仿宋"/>
          <w:color w:val="auto"/>
          <w:sz w:val="32"/>
          <w:szCs w:val="32"/>
        </w:rPr>
        <w:t>一、收入支出决算总表</w:t>
      </w:r>
      <w:bookmarkEnd w:id="84"/>
    </w:p>
    <w:p w14:paraId="40EAB37F">
      <w:pPr>
        <w:pStyle w:val="15"/>
        <w:bidi w:val="0"/>
        <w:rPr>
          <w:rFonts w:hint="eastAsia" w:ascii="仿宋" w:hAnsi="仿宋" w:eastAsia="仿宋" w:cs="仿宋"/>
          <w:color w:val="auto"/>
          <w:sz w:val="32"/>
          <w:szCs w:val="32"/>
        </w:rPr>
      </w:pPr>
      <w:bookmarkStart w:id="85" w:name="_Toc15396620"/>
      <w:r>
        <w:rPr>
          <w:rFonts w:hint="eastAsia" w:ascii="仿宋" w:hAnsi="仿宋" w:eastAsia="仿宋" w:cs="仿宋"/>
          <w:color w:val="auto"/>
          <w:sz w:val="32"/>
          <w:szCs w:val="32"/>
        </w:rPr>
        <w:t>二、收入决算表</w:t>
      </w:r>
      <w:bookmarkEnd w:id="85"/>
    </w:p>
    <w:p w14:paraId="4B99B856">
      <w:pPr>
        <w:pStyle w:val="15"/>
        <w:bidi w:val="0"/>
        <w:rPr>
          <w:rFonts w:hint="eastAsia" w:ascii="仿宋" w:hAnsi="仿宋" w:eastAsia="仿宋" w:cs="仿宋"/>
          <w:color w:val="auto"/>
          <w:sz w:val="32"/>
          <w:szCs w:val="32"/>
        </w:rPr>
      </w:pPr>
      <w:bookmarkStart w:id="86" w:name="_Toc15396621"/>
      <w:r>
        <w:rPr>
          <w:rFonts w:hint="eastAsia" w:ascii="仿宋" w:hAnsi="仿宋" w:eastAsia="仿宋" w:cs="仿宋"/>
          <w:color w:val="auto"/>
          <w:sz w:val="32"/>
          <w:szCs w:val="32"/>
        </w:rPr>
        <w:t>三、支出决算表</w:t>
      </w:r>
      <w:bookmarkEnd w:id="86"/>
    </w:p>
    <w:p w14:paraId="53C29BF4">
      <w:pPr>
        <w:pStyle w:val="15"/>
        <w:bidi w:val="0"/>
        <w:rPr>
          <w:rFonts w:hint="eastAsia" w:ascii="仿宋" w:hAnsi="仿宋" w:eastAsia="仿宋" w:cs="仿宋"/>
          <w:color w:val="auto"/>
          <w:sz w:val="32"/>
          <w:szCs w:val="32"/>
        </w:rPr>
      </w:pPr>
      <w:bookmarkStart w:id="87" w:name="_Toc15396622"/>
      <w:r>
        <w:rPr>
          <w:rFonts w:hint="eastAsia" w:ascii="仿宋" w:hAnsi="仿宋" w:eastAsia="仿宋" w:cs="仿宋"/>
          <w:color w:val="auto"/>
          <w:sz w:val="32"/>
          <w:szCs w:val="32"/>
        </w:rPr>
        <w:t>四、财政拨款收入支出决算总表</w:t>
      </w:r>
      <w:bookmarkEnd w:id="87"/>
    </w:p>
    <w:p w14:paraId="43FBDB62">
      <w:pPr>
        <w:pStyle w:val="15"/>
        <w:bidi w:val="0"/>
        <w:rPr>
          <w:rFonts w:hint="eastAsia" w:ascii="仿宋" w:hAnsi="仿宋" w:eastAsia="仿宋" w:cs="仿宋"/>
          <w:color w:val="auto"/>
          <w:sz w:val="32"/>
          <w:szCs w:val="32"/>
        </w:rPr>
      </w:pPr>
      <w:bookmarkStart w:id="88" w:name="_Toc15396623"/>
      <w:r>
        <w:rPr>
          <w:rFonts w:hint="eastAsia" w:ascii="仿宋" w:hAnsi="仿宋" w:eastAsia="仿宋" w:cs="仿宋"/>
          <w:color w:val="auto"/>
          <w:sz w:val="32"/>
          <w:szCs w:val="32"/>
        </w:rPr>
        <w:t>五、财政拨款支出决算明细表</w:t>
      </w:r>
      <w:bookmarkEnd w:id="88"/>
      <w:bookmarkStart w:id="89" w:name="_Toc15396624"/>
    </w:p>
    <w:p w14:paraId="763171BE">
      <w:pPr>
        <w:pStyle w:val="15"/>
        <w:bidi w:val="0"/>
        <w:rPr>
          <w:rFonts w:hint="eastAsia" w:ascii="仿宋" w:hAnsi="仿宋" w:eastAsia="仿宋" w:cs="仿宋"/>
          <w:color w:val="auto"/>
          <w:sz w:val="32"/>
          <w:szCs w:val="32"/>
        </w:rPr>
      </w:pPr>
      <w:r>
        <w:rPr>
          <w:rFonts w:hint="eastAsia" w:ascii="仿宋" w:hAnsi="仿宋" w:eastAsia="仿宋" w:cs="仿宋"/>
          <w:color w:val="auto"/>
          <w:sz w:val="32"/>
          <w:szCs w:val="32"/>
        </w:rPr>
        <w:t>六、一般公共预算财政拨款支出决算表</w:t>
      </w:r>
      <w:bookmarkEnd w:id="89"/>
    </w:p>
    <w:p w14:paraId="6C410C14">
      <w:pPr>
        <w:pStyle w:val="15"/>
        <w:bidi w:val="0"/>
        <w:rPr>
          <w:rFonts w:hint="eastAsia" w:ascii="仿宋" w:hAnsi="仿宋" w:eastAsia="仿宋" w:cs="仿宋"/>
          <w:color w:val="auto"/>
          <w:sz w:val="32"/>
          <w:szCs w:val="32"/>
        </w:rPr>
      </w:pPr>
      <w:bookmarkStart w:id="90" w:name="_Toc15396625"/>
      <w:r>
        <w:rPr>
          <w:rFonts w:hint="eastAsia" w:ascii="仿宋" w:hAnsi="仿宋" w:eastAsia="仿宋" w:cs="仿宋"/>
          <w:color w:val="auto"/>
          <w:sz w:val="32"/>
          <w:szCs w:val="32"/>
        </w:rPr>
        <w:t>七、一般公共预算财政拨款支出决算明细表</w:t>
      </w:r>
      <w:bookmarkEnd w:id="90"/>
    </w:p>
    <w:p w14:paraId="4EB52868">
      <w:pPr>
        <w:pStyle w:val="15"/>
        <w:bidi w:val="0"/>
        <w:rPr>
          <w:rFonts w:hint="eastAsia" w:ascii="仿宋" w:hAnsi="仿宋" w:eastAsia="仿宋" w:cs="仿宋"/>
          <w:color w:val="auto"/>
          <w:sz w:val="32"/>
          <w:szCs w:val="32"/>
        </w:rPr>
      </w:pPr>
      <w:bookmarkStart w:id="91" w:name="_Toc15396626"/>
      <w:r>
        <w:rPr>
          <w:rFonts w:hint="eastAsia" w:ascii="仿宋" w:hAnsi="仿宋" w:eastAsia="仿宋" w:cs="仿宋"/>
          <w:color w:val="auto"/>
          <w:sz w:val="32"/>
          <w:szCs w:val="32"/>
        </w:rPr>
        <w:t>八、一般公共预算财政拨款基本支出决算表</w:t>
      </w:r>
      <w:bookmarkEnd w:id="91"/>
    </w:p>
    <w:p w14:paraId="25505003">
      <w:pPr>
        <w:pStyle w:val="15"/>
        <w:bidi w:val="0"/>
        <w:rPr>
          <w:rFonts w:hint="eastAsia" w:ascii="仿宋" w:hAnsi="仿宋" w:eastAsia="仿宋" w:cs="仿宋"/>
          <w:color w:val="auto"/>
          <w:sz w:val="32"/>
          <w:szCs w:val="32"/>
        </w:rPr>
      </w:pPr>
      <w:bookmarkStart w:id="92" w:name="_Toc15396627"/>
      <w:r>
        <w:rPr>
          <w:rFonts w:hint="eastAsia" w:ascii="仿宋" w:hAnsi="仿宋" w:eastAsia="仿宋" w:cs="仿宋"/>
          <w:color w:val="auto"/>
          <w:sz w:val="32"/>
          <w:szCs w:val="32"/>
        </w:rPr>
        <w:t>九、一般公共预算财政拨款项目支出决算表</w:t>
      </w:r>
      <w:bookmarkEnd w:id="92"/>
    </w:p>
    <w:p w14:paraId="26362D44">
      <w:pPr>
        <w:pStyle w:val="15"/>
        <w:bidi w:val="0"/>
        <w:rPr>
          <w:rFonts w:hint="eastAsia" w:ascii="仿宋" w:hAnsi="仿宋" w:eastAsia="仿宋" w:cs="仿宋"/>
          <w:color w:val="auto"/>
          <w:sz w:val="32"/>
          <w:szCs w:val="32"/>
        </w:rPr>
      </w:pPr>
      <w:bookmarkStart w:id="93" w:name="_Toc15396628"/>
      <w:r>
        <w:rPr>
          <w:rFonts w:hint="eastAsia" w:ascii="仿宋" w:hAnsi="仿宋" w:eastAsia="仿宋" w:cs="仿宋"/>
          <w:color w:val="auto"/>
          <w:sz w:val="32"/>
          <w:szCs w:val="32"/>
        </w:rPr>
        <w:t>十、</w:t>
      </w:r>
      <w:bookmarkEnd w:id="93"/>
      <w:r>
        <w:rPr>
          <w:rFonts w:hint="eastAsia" w:ascii="仿宋" w:hAnsi="仿宋" w:eastAsia="仿宋" w:cs="仿宋"/>
          <w:color w:val="auto"/>
          <w:sz w:val="32"/>
          <w:szCs w:val="32"/>
        </w:rPr>
        <w:t>政府性基金预算财政拨款收入支出决算表</w:t>
      </w:r>
    </w:p>
    <w:p w14:paraId="7AC6FD74">
      <w:pPr>
        <w:pStyle w:val="15"/>
        <w:bidi w:val="0"/>
        <w:rPr>
          <w:rFonts w:hint="eastAsia" w:ascii="仿宋" w:hAnsi="仿宋" w:eastAsia="仿宋" w:cs="仿宋"/>
          <w:color w:val="auto"/>
          <w:sz w:val="32"/>
          <w:szCs w:val="32"/>
        </w:rPr>
      </w:pPr>
      <w:bookmarkStart w:id="94" w:name="_Toc15396629"/>
      <w:r>
        <w:rPr>
          <w:rFonts w:hint="eastAsia" w:ascii="仿宋" w:hAnsi="仿宋" w:eastAsia="仿宋" w:cs="仿宋"/>
          <w:color w:val="auto"/>
          <w:sz w:val="32"/>
          <w:szCs w:val="32"/>
        </w:rPr>
        <w:t>十一、</w:t>
      </w:r>
      <w:bookmarkEnd w:id="94"/>
      <w:r>
        <w:rPr>
          <w:rFonts w:hint="eastAsia" w:ascii="仿宋" w:hAnsi="仿宋" w:eastAsia="仿宋" w:cs="仿宋"/>
          <w:color w:val="auto"/>
          <w:sz w:val="32"/>
          <w:szCs w:val="32"/>
        </w:rPr>
        <w:t>国有资本经营预算</w:t>
      </w:r>
      <w:r>
        <w:rPr>
          <w:rFonts w:hint="eastAsia" w:ascii="仿宋" w:hAnsi="仿宋" w:eastAsia="仿宋" w:cs="仿宋"/>
          <w:color w:val="auto"/>
          <w:sz w:val="32"/>
          <w:szCs w:val="32"/>
          <w:lang w:eastAsia="zh-CN"/>
        </w:rPr>
        <w:t>财政拨款收入</w:t>
      </w:r>
      <w:r>
        <w:rPr>
          <w:rFonts w:hint="eastAsia" w:ascii="仿宋" w:hAnsi="仿宋" w:eastAsia="仿宋" w:cs="仿宋"/>
          <w:color w:val="auto"/>
          <w:sz w:val="32"/>
          <w:szCs w:val="32"/>
        </w:rPr>
        <w:t>支出决算表</w:t>
      </w:r>
    </w:p>
    <w:p w14:paraId="2CB5AA5F">
      <w:pPr>
        <w:pStyle w:val="15"/>
        <w:bidi w:val="0"/>
        <w:rPr>
          <w:rFonts w:hint="eastAsia" w:ascii="仿宋" w:hAnsi="仿宋" w:eastAsia="仿宋" w:cs="仿宋"/>
          <w:color w:val="auto"/>
          <w:sz w:val="32"/>
          <w:szCs w:val="32"/>
        </w:rPr>
      </w:pPr>
      <w:bookmarkStart w:id="95" w:name="_Toc15396630"/>
      <w:r>
        <w:rPr>
          <w:rFonts w:hint="eastAsia" w:ascii="仿宋" w:hAnsi="仿宋" w:eastAsia="仿宋" w:cs="仿宋"/>
          <w:color w:val="auto"/>
          <w:sz w:val="32"/>
          <w:szCs w:val="32"/>
        </w:rPr>
        <w:t>十二、</w:t>
      </w:r>
      <w:bookmarkEnd w:id="95"/>
      <w:r>
        <w:rPr>
          <w:rFonts w:hint="eastAsia" w:ascii="仿宋" w:hAnsi="仿宋" w:eastAsia="仿宋" w:cs="仿宋"/>
          <w:color w:val="auto"/>
          <w:sz w:val="32"/>
          <w:szCs w:val="32"/>
          <w:lang w:eastAsia="zh-CN"/>
        </w:rPr>
        <w:t>国有资本经营预算财政拨款支出决算表</w:t>
      </w:r>
    </w:p>
    <w:p w14:paraId="07B26F4E">
      <w:pPr>
        <w:pStyle w:val="15"/>
        <w:bidi w:val="0"/>
        <w:rPr>
          <w:rFonts w:hint="eastAsia" w:ascii="仿宋" w:hAnsi="仿宋" w:eastAsia="仿宋" w:cs="仿宋"/>
          <w:color w:val="auto"/>
          <w:sz w:val="32"/>
          <w:szCs w:val="32"/>
          <w:lang w:eastAsia="zh-CN"/>
        </w:rPr>
      </w:pPr>
      <w:bookmarkStart w:id="96" w:name="_Toc15396631"/>
      <w:r>
        <w:rPr>
          <w:rFonts w:hint="eastAsia" w:ascii="仿宋" w:hAnsi="仿宋" w:eastAsia="仿宋" w:cs="仿宋"/>
          <w:color w:val="auto"/>
          <w:sz w:val="32"/>
          <w:szCs w:val="32"/>
        </w:rPr>
        <w:t>十三、</w:t>
      </w:r>
      <w:bookmarkEnd w:id="96"/>
      <w:r>
        <w:rPr>
          <w:rFonts w:hint="eastAsia" w:ascii="仿宋" w:hAnsi="仿宋" w:eastAsia="仿宋" w:cs="仿宋"/>
          <w:color w:val="auto"/>
          <w:sz w:val="32"/>
          <w:szCs w:val="32"/>
          <w:lang w:eastAsia="zh-CN"/>
        </w:rPr>
        <w:t>财政拨款“三公”经费支出决算表</w:t>
      </w:r>
    </w:p>
    <w:p w14:paraId="63969D9B">
      <w:pPr>
        <w:rPr>
          <w:rFonts w:hint="eastAsia" w:ascii="Times New Roman" w:hAnsi="Times New Roman"/>
          <w:color w:val="auto"/>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楷体_GBK">
    <w:panose1 w:val="02000000000000000000"/>
    <w:charset w:val="86"/>
    <w:family w:val="auto"/>
    <w:pitch w:val="default"/>
    <w:sig w:usb0="A00002BF" w:usb1="38CF7CFA"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1"/>
      <w:jc w:val="center"/>
    </w:pPr>
  </w:p>
  <w:p w14:paraId="533140F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E3C56"/>
    <w:multiLevelType w:val="singleLevel"/>
    <w:tmpl w:val="BD6E3C56"/>
    <w:lvl w:ilvl="0" w:tentative="0">
      <w:start w:val="3"/>
      <w:numFmt w:val="chineseCounting"/>
      <w:suff w:val="nothing"/>
      <w:lvlText w:val="（%1）"/>
      <w:lvlJc w:val="left"/>
      <w:rPr>
        <w:rFonts w:hint="eastAsia" w:cs="Times New Roman"/>
      </w:rPr>
    </w:lvl>
  </w:abstractNum>
  <w:abstractNum w:abstractNumId="1">
    <w:nsid w:val="7F1351B7"/>
    <w:multiLevelType w:val="singleLevel"/>
    <w:tmpl w:val="7F1351B7"/>
    <w:lvl w:ilvl="0" w:tentative="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16A4"/>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51D3"/>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994018"/>
    <w:rsid w:val="02FEBE30"/>
    <w:rsid w:val="03EC63C9"/>
    <w:rsid w:val="04A76254"/>
    <w:rsid w:val="05957B96"/>
    <w:rsid w:val="05D62E8D"/>
    <w:rsid w:val="061E35DE"/>
    <w:rsid w:val="066E0107"/>
    <w:rsid w:val="06FA704F"/>
    <w:rsid w:val="07342561"/>
    <w:rsid w:val="07996F6E"/>
    <w:rsid w:val="07DFD8BA"/>
    <w:rsid w:val="086C7AD9"/>
    <w:rsid w:val="08DB07E4"/>
    <w:rsid w:val="09181A0E"/>
    <w:rsid w:val="095742E5"/>
    <w:rsid w:val="09867E8F"/>
    <w:rsid w:val="0A2032A3"/>
    <w:rsid w:val="0A634F0B"/>
    <w:rsid w:val="0A673DA7"/>
    <w:rsid w:val="0A782765"/>
    <w:rsid w:val="0AA43DC8"/>
    <w:rsid w:val="0BCF0AAA"/>
    <w:rsid w:val="0C6C4794"/>
    <w:rsid w:val="0CA8290A"/>
    <w:rsid w:val="0CCD48BE"/>
    <w:rsid w:val="0D35B1ED"/>
    <w:rsid w:val="0D417786"/>
    <w:rsid w:val="0D4F1A05"/>
    <w:rsid w:val="0D6B2855"/>
    <w:rsid w:val="0DE07E2B"/>
    <w:rsid w:val="0ECD2CAC"/>
    <w:rsid w:val="0ED44466"/>
    <w:rsid w:val="0F0D5446"/>
    <w:rsid w:val="0F2033CB"/>
    <w:rsid w:val="0F5C42BC"/>
    <w:rsid w:val="0F98263C"/>
    <w:rsid w:val="0FB62663"/>
    <w:rsid w:val="101860EC"/>
    <w:rsid w:val="10A970EB"/>
    <w:rsid w:val="10C009C2"/>
    <w:rsid w:val="10C055FF"/>
    <w:rsid w:val="10C83D1A"/>
    <w:rsid w:val="11772AA4"/>
    <w:rsid w:val="118107EC"/>
    <w:rsid w:val="11AE7541"/>
    <w:rsid w:val="120945EA"/>
    <w:rsid w:val="120E39AF"/>
    <w:rsid w:val="12345B64"/>
    <w:rsid w:val="12A550B6"/>
    <w:rsid w:val="12BB58E4"/>
    <w:rsid w:val="136407D5"/>
    <w:rsid w:val="13D50BC4"/>
    <w:rsid w:val="14022904"/>
    <w:rsid w:val="14A374D5"/>
    <w:rsid w:val="14CC5173"/>
    <w:rsid w:val="152F2A07"/>
    <w:rsid w:val="15695ACC"/>
    <w:rsid w:val="165617D4"/>
    <w:rsid w:val="165E0673"/>
    <w:rsid w:val="16BB723D"/>
    <w:rsid w:val="172055C2"/>
    <w:rsid w:val="17516817"/>
    <w:rsid w:val="186504BB"/>
    <w:rsid w:val="189A022E"/>
    <w:rsid w:val="18F90F15"/>
    <w:rsid w:val="19095E6F"/>
    <w:rsid w:val="1938089F"/>
    <w:rsid w:val="19A01665"/>
    <w:rsid w:val="19A445FC"/>
    <w:rsid w:val="1A3D535B"/>
    <w:rsid w:val="1A872550"/>
    <w:rsid w:val="1B7D550C"/>
    <w:rsid w:val="1BE8440E"/>
    <w:rsid w:val="1C5C1D06"/>
    <w:rsid w:val="1C9B22E6"/>
    <w:rsid w:val="1D155CEE"/>
    <w:rsid w:val="1D3260CB"/>
    <w:rsid w:val="1D45701B"/>
    <w:rsid w:val="1D8A4831"/>
    <w:rsid w:val="1E740ACF"/>
    <w:rsid w:val="1F550E6F"/>
    <w:rsid w:val="1F62156A"/>
    <w:rsid w:val="1F6966C8"/>
    <w:rsid w:val="1FF35744"/>
    <w:rsid w:val="1FF6BC77"/>
    <w:rsid w:val="21962A9E"/>
    <w:rsid w:val="21AE7C77"/>
    <w:rsid w:val="223C3D0F"/>
    <w:rsid w:val="22481DE8"/>
    <w:rsid w:val="22BC3C41"/>
    <w:rsid w:val="22DB78DD"/>
    <w:rsid w:val="2309444A"/>
    <w:rsid w:val="233D5EA2"/>
    <w:rsid w:val="23860B96"/>
    <w:rsid w:val="240371BF"/>
    <w:rsid w:val="24044C11"/>
    <w:rsid w:val="24855BA0"/>
    <w:rsid w:val="24997A50"/>
    <w:rsid w:val="260F557C"/>
    <w:rsid w:val="26543C2E"/>
    <w:rsid w:val="2669775E"/>
    <w:rsid w:val="266C2237"/>
    <w:rsid w:val="26A80CBB"/>
    <w:rsid w:val="26EB7101"/>
    <w:rsid w:val="27B17012"/>
    <w:rsid w:val="27E1561F"/>
    <w:rsid w:val="281408E2"/>
    <w:rsid w:val="29FD04D3"/>
    <w:rsid w:val="2A44045E"/>
    <w:rsid w:val="2A5C5058"/>
    <w:rsid w:val="2B1A14CE"/>
    <w:rsid w:val="2B3854BA"/>
    <w:rsid w:val="2B606134"/>
    <w:rsid w:val="2BBC3617"/>
    <w:rsid w:val="2BFF7BC6"/>
    <w:rsid w:val="2C8A61B5"/>
    <w:rsid w:val="2D2E01CF"/>
    <w:rsid w:val="2D4C1B03"/>
    <w:rsid w:val="2DF04E50"/>
    <w:rsid w:val="2E8E432B"/>
    <w:rsid w:val="2E9545B0"/>
    <w:rsid w:val="2F040D46"/>
    <w:rsid w:val="2FAE5751"/>
    <w:rsid w:val="2FB1A395"/>
    <w:rsid w:val="2FC71915"/>
    <w:rsid w:val="2FD9A7D8"/>
    <w:rsid w:val="302F7EC5"/>
    <w:rsid w:val="308E2E6E"/>
    <w:rsid w:val="30F67F72"/>
    <w:rsid w:val="3136400A"/>
    <w:rsid w:val="319F7F4E"/>
    <w:rsid w:val="321B2544"/>
    <w:rsid w:val="32A221C5"/>
    <w:rsid w:val="32C51A10"/>
    <w:rsid w:val="3304709D"/>
    <w:rsid w:val="33AB50A9"/>
    <w:rsid w:val="34281836"/>
    <w:rsid w:val="34322DD7"/>
    <w:rsid w:val="349D6851"/>
    <w:rsid w:val="35BA6CAF"/>
    <w:rsid w:val="36432BB5"/>
    <w:rsid w:val="364D14C1"/>
    <w:rsid w:val="36873BAC"/>
    <w:rsid w:val="36AA5135"/>
    <w:rsid w:val="36BE0DA7"/>
    <w:rsid w:val="376B6AA6"/>
    <w:rsid w:val="376C4B50"/>
    <w:rsid w:val="376D39B2"/>
    <w:rsid w:val="37E16F03"/>
    <w:rsid w:val="37F53A3B"/>
    <w:rsid w:val="389B6C89"/>
    <w:rsid w:val="38D469F0"/>
    <w:rsid w:val="39627CCD"/>
    <w:rsid w:val="397BAF1F"/>
    <w:rsid w:val="399218BB"/>
    <w:rsid w:val="39EE3D67"/>
    <w:rsid w:val="3A3F02FA"/>
    <w:rsid w:val="3AB79AF3"/>
    <w:rsid w:val="3AF15A98"/>
    <w:rsid w:val="3AF92B9E"/>
    <w:rsid w:val="3B7EF35A"/>
    <w:rsid w:val="3B9FDB6C"/>
    <w:rsid w:val="3BF5BC2F"/>
    <w:rsid w:val="3C294F12"/>
    <w:rsid w:val="3C9012E0"/>
    <w:rsid w:val="3CDE204C"/>
    <w:rsid w:val="3CE21B3C"/>
    <w:rsid w:val="3CEBA265"/>
    <w:rsid w:val="3D080047"/>
    <w:rsid w:val="3D5F689F"/>
    <w:rsid w:val="3D98207C"/>
    <w:rsid w:val="3D9B0D99"/>
    <w:rsid w:val="3DEE7CF3"/>
    <w:rsid w:val="3DF02244"/>
    <w:rsid w:val="3E78745D"/>
    <w:rsid w:val="3F2226C4"/>
    <w:rsid w:val="3F285800"/>
    <w:rsid w:val="3FC714BD"/>
    <w:rsid w:val="3FF4CAE0"/>
    <w:rsid w:val="3FF7B227"/>
    <w:rsid w:val="40E54C45"/>
    <w:rsid w:val="41FF4F3E"/>
    <w:rsid w:val="424A3B7F"/>
    <w:rsid w:val="42707BEA"/>
    <w:rsid w:val="43015613"/>
    <w:rsid w:val="43A407DF"/>
    <w:rsid w:val="43D534F4"/>
    <w:rsid w:val="44515BEA"/>
    <w:rsid w:val="44A537F3"/>
    <w:rsid w:val="44E268DA"/>
    <w:rsid w:val="45107462"/>
    <w:rsid w:val="453F7E5B"/>
    <w:rsid w:val="460B378D"/>
    <w:rsid w:val="464A6F0C"/>
    <w:rsid w:val="466B14C5"/>
    <w:rsid w:val="473523F7"/>
    <w:rsid w:val="47767A51"/>
    <w:rsid w:val="479001AF"/>
    <w:rsid w:val="486A6C7A"/>
    <w:rsid w:val="49176D9B"/>
    <w:rsid w:val="4A627F82"/>
    <w:rsid w:val="4A935E8C"/>
    <w:rsid w:val="4AA23215"/>
    <w:rsid w:val="4AC15A82"/>
    <w:rsid w:val="4AF56EDE"/>
    <w:rsid w:val="4B0E749A"/>
    <w:rsid w:val="4B332F45"/>
    <w:rsid w:val="4B4F25DA"/>
    <w:rsid w:val="4BDA0CFB"/>
    <w:rsid w:val="4BE068DB"/>
    <w:rsid w:val="4C0D46FC"/>
    <w:rsid w:val="4C8524E4"/>
    <w:rsid w:val="4D1F6494"/>
    <w:rsid w:val="4D3C0CCC"/>
    <w:rsid w:val="4D5723F4"/>
    <w:rsid w:val="4D577224"/>
    <w:rsid w:val="4DBF1CEB"/>
    <w:rsid w:val="4DF0398D"/>
    <w:rsid w:val="4EAB630A"/>
    <w:rsid w:val="4ECE2238"/>
    <w:rsid w:val="4EEA2D5C"/>
    <w:rsid w:val="4F833267"/>
    <w:rsid w:val="4FE9BD67"/>
    <w:rsid w:val="4FFB052F"/>
    <w:rsid w:val="513F5357"/>
    <w:rsid w:val="51CB0999"/>
    <w:rsid w:val="53083A92"/>
    <w:rsid w:val="537E6D0A"/>
    <w:rsid w:val="53AF27A2"/>
    <w:rsid w:val="53F74C96"/>
    <w:rsid w:val="55AB6552"/>
    <w:rsid w:val="55EA33B8"/>
    <w:rsid w:val="55F54236"/>
    <w:rsid w:val="56E47B74"/>
    <w:rsid w:val="57283DD2"/>
    <w:rsid w:val="57BD3DD4"/>
    <w:rsid w:val="58515970"/>
    <w:rsid w:val="59D14FBA"/>
    <w:rsid w:val="5A217302"/>
    <w:rsid w:val="5A6279C1"/>
    <w:rsid w:val="5ABB5323"/>
    <w:rsid w:val="5AF92295"/>
    <w:rsid w:val="5B407AD6"/>
    <w:rsid w:val="5B597015"/>
    <w:rsid w:val="5BDD79E6"/>
    <w:rsid w:val="5BF561CA"/>
    <w:rsid w:val="5BFF5DFC"/>
    <w:rsid w:val="5C9B540C"/>
    <w:rsid w:val="5CD71FC4"/>
    <w:rsid w:val="5D1F11B5"/>
    <w:rsid w:val="5D5333EB"/>
    <w:rsid w:val="5DAE1B18"/>
    <w:rsid w:val="5DE7D9E5"/>
    <w:rsid w:val="5ECEC941"/>
    <w:rsid w:val="5EF37781"/>
    <w:rsid w:val="5F493CB7"/>
    <w:rsid w:val="5FBF9FF3"/>
    <w:rsid w:val="5FCD4E2C"/>
    <w:rsid w:val="5FD15F49"/>
    <w:rsid w:val="5FEF394A"/>
    <w:rsid w:val="5FF67715"/>
    <w:rsid w:val="60597AB8"/>
    <w:rsid w:val="60740BB5"/>
    <w:rsid w:val="60B30855"/>
    <w:rsid w:val="62121A8F"/>
    <w:rsid w:val="629B1DC1"/>
    <w:rsid w:val="62BF3928"/>
    <w:rsid w:val="62FB7408"/>
    <w:rsid w:val="6377272F"/>
    <w:rsid w:val="63DE2DC5"/>
    <w:rsid w:val="64063210"/>
    <w:rsid w:val="642346AA"/>
    <w:rsid w:val="642503DD"/>
    <w:rsid w:val="643F6D26"/>
    <w:rsid w:val="647F5392"/>
    <w:rsid w:val="64A84B6A"/>
    <w:rsid w:val="651B17E0"/>
    <w:rsid w:val="65266B02"/>
    <w:rsid w:val="65436AEE"/>
    <w:rsid w:val="655A40B6"/>
    <w:rsid w:val="664B1D71"/>
    <w:rsid w:val="673C7386"/>
    <w:rsid w:val="674C5599"/>
    <w:rsid w:val="674C5C80"/>
    <w:rsid w:val="676A4358"/>
    <w:rsid w:val="678C0773"/>
    <w:rsid w:val="67AA3209"/>
    <w:rsid w:val="67C87069"/>
    <w:rsid w:val="681C4F0D"/>
    <w:rsid w:val="688D02FE"/>
    <w:rsid w:val="69046D0F"/>
    <w:rsid w:val="698D0931"/>
    <w:rsid w:val="69BD345C"/>
    <w:rsid w:val="6A95793E"/>
    <w:rsid w:val="6A993CED"/>
    <w:rsid w:val="6B053271"/>
    <w:rsid w:val="6BCE6674"/>
    <w:rsid w:val="6C0528A2"/>
    <w:rsid w:val="6C4A05C8"/>
    <w:rsid w:val="6C4A485C"/>
    <w:rsid w:val="6C8742B8"/>
    <w:rsid w:val="6C8A170F"/>
    <w:rsid w:val="6CB54609"/>
    <w:rsid w:val="6CF46B9E"/>
    <w:rsid w:val="6D48513C"/>
    <w:rsid w:val="6D761CA9"/>
    <w:rsid w:val="6DBF5E93"/>
    <w:rsid w:val="6DFF077E"/>
    <w:rsid w:val="6E7E3605"/>
    <w:rsid w:val="6E7FDCC7"/>
    <w:rsid w:val="6ED6A62E"/>
    <w:rsid w:val="6EE00B15"/>
    <w:rsid w:val="6F0230C8"/>
    <w:rsid w:val="6F305E87"/>
    <w:rsid w:val="6F544B20"/>
    <w:rsid w:val="6F5D70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78586B"/>
    <w:rsid w:val="74BBD01D"/>
    <w:rsid w:val="74E0469F"/>
    <w:rsid w:val="74ED5379"/>
    <w:rsid w:val="74FC2395"/>
    <w:rsid w:val="75587EE6"/>
    <w:rsid w:val="75BA46FD"/>
    <w:rsid w:val="75DEEEC2"/>
    <w:rsid w:val="76E3355F"/>
    <w:rsid w:val="76E8442E"/>
    <w:rsid w:val="76EA1012"/>
    <w:rsid w:val="76FF5125"/>
    <w:rsid w:val="776F6FFA"/>
    <w:rsid w:val="778769C8"/>
    <w:rsid w:val="77B2743C"/>
    <w:rsid w:val="77B6454F"/>
    <w:rsid w:val="77DC22F5"/>
    <w:rsid w:val="78C57956"/>
    <w:rsid w:val="78D6286E"/>
    <w:rsid w:val="79086DAD"/>
    <w:rsid w:val="792E3EF2"/>
    <w:rsid w:val="79974F09"/>
    <w:rsid w:val="79D7FD79"/>
    <w:rsid w:val="79EE5BA4"/>
    <w:rsid w:val="7A4F18B8"/>
    <w:rsid w:val="7A894339"/>
    <w:rsid w:val="7AFF7572"/>
    <w:rsid w:val="7B111EF4"/>
    <w:rsid w:val="7B6C7DFB"/>
    <w:rsid w:val="7B972B4F"/>
    <w:rsid w:val="7BBFBED0"/>
    <w:rsid w:val="7BC3E394"/>
    <w:rsid w:val="7C1F3737"/>
    <w:rsid w:val="7C6A4505"/>
    <w:rsid w:val="7C8718BD"/>
    <w:rsid w:val="7CBFC87B"/>
    <w:rsid w:val="7CFE0F48"/>
    <w:rsid w:val="7D2012E9"/>
    <w:rsid w:val="7D7EC23E"/>
    <w:rsid w:val="7D916348"/>
    <w:rsid w:val="7E497221"/>
    <w:rsid w:val="7E665750"/>
    <w:rsid w:val="7E824FDC"/>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99"/>
    <w:pPr>
      <w:suppressAutoHyphens/>
      <w:ind w:left="1680"/>
      <w:jc w:val="center"/>
    </w:pPr>
    <w:rPr>
      <w:rFonts w:ascii="仿宋_GB2312"/>
      <w:szCs w:val="32"/>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正文2"/>
    <w:basedOn w:val="1"/>
    <w:next w:val="1"/>
    <w:autoRedefine/>
    <w:qFormat/>
    <w:uiPriority w:val="0"/>
    <w:rPr>
      <w:rFonts w:ascii="Calibri" w:hAnsi="Calibri"/>
      <w:szCs w:val="22"/>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8"/>
    <w:link w:val="2"/>
    <w:qFormat/>
    <w:uiPriority w:val="9"/>
    <w:rPr>
      <w:rFonts w:ascii="Times New Roman" w:hAnsi="Times New Roman"/>
      <w:b/>
      <w:bCs/>
      <w:kern w:val="44"/>
      <w:sz w:val="44"/>
      <w:szCs w:val="44"/>
    </w:rPr>
  </w:style>
  <w:style w:type="character" w:customStyle="1" w:styleId="32">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8"/>
    <w:link w:val="10"/>
    <w:semiHidden/>
    <w:qFormat/>
    <w:uiPriority w:val="99"/>
    <w:rPr>
      <w:rFonts w:ascii="Times New Roman" w:hAnsi="Times New Roman"/>
      <w:kern w:val="2"/>
      <w:sz w:val="18"/>
      <w:szCs w:val="18"/>
    </w:rPr>
  </w:style>
  <w:style w:type="character" w:customStyle="1" w:styleId="35">
    <w:name w:val="标题 3 Char"/>
    <w:basedOn w:val="18"/>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标题 2 字符"/>
    <w:basedOn w:val="18"/>
    <w:link w:val="3"/>
    <w:qFormat/>
    <w:uiPriority w:val="9"/>
    <w:rPr>
      <w:rFonts w:asciiTheme="majorHAnsi" w:hAnsiTheme="majorHAnsi" w:eastAsiaTheme="majorEastAsia" w:cstheme="majorBidi"/>
      <w:b/>
      <w:bCs/>
      <w:kern w:val="2"/>
      <w:sz w:val="32"/>
      <w:szCs w:val="32"/>
    </w:rPr>
  </w:style>
  <w:style w:type="paragraph" w:customStyle="1" w:styleId="39">
    <w:name w:val="目录 11"/>
    <w:next w:val="1"/>
    <w:qFormat/>
    <w:uiPriority w:val="99"/>
    <w:pPr>
      <w:wordWrap w:val="0"/>
      <w:jc w:val="both"/>
    </w:pPr>
    <w:rPr>
      <w:rFonts w:ascii="宋体" w:hAnsi="Times New Roman" w:eastAsia="宋体" w:cs="Times New Roman"/>
      <w:kern w:val="0"/>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70</Pages>
  <Words>16142</Words>
  <Characters>17517</Characters>
  <Lines>61</Lines>
  <Paragraphs>17</Paragraphs>
  <TotalTime>5</TotalTime>
  <ScaleCrop>false</ScaleCrop>
  <LinksUpToDate>false</LinksUpToDate>
  <CharactersWithSpaces>17578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静</cp:lastModifiedBy>
  <cp:lastPrinted>2026-08-03T09:27:00Z</cp:lastPrinted>
  <dcterms:modified xsi:type="dcterms:W3CDTF">2026-09-17T08:17:54Z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4CB413C51CF44B23A146EFBB01C9A207_13</vt:lpwstr>
  </property>
  <property fmtid="{D5CDD505-2E9C-101B-9397-08002B2CF9AE}" pid="4" name="KSOTemplateDocerSaveRecord">
    <vt:lpwstr>eyJoZGlkIjoiY2NjYmFhMzIzZjQ4Y2E0NDNiMmZiZTM5YzllODkzYWQiLCJ1c2VySWQiOiI0MjM4MTE4MzAifQ==</vt:lpwstr>
  </property>
</Properties>
</file>