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76" w:lineRule="exact"/>
        <w:rPr>
          <w:rFonts w:ascii="Times New Roman" w:eastAsia="黑体" w:hAnsi="Times New Roman"/>
          <w:sz w:val="32"/>
          <w:szCs w:val="32"/>
        </w:rPr>
      </w:pPr>
      <w:r>
        <w:rPr>
          <w:rFonts w:ascii="Times New Roman" w:eastAsia="黑体" w:hAnsi="Times New Roman"/>
          <w:sz w:val="32"/>
          <w:szCs w:val="32"/>
        </w:rPr>
        <w:t>附件2</w:t>
      </w:r>
    </w:p>
    <w:p>
      <w:pPr>
        <w:spacing w:line="576" w:lineRule="exact"/>
        <w:rPr>
          <w:rFonts w:ascii="Times New Roman" w:hAnsi="Times New Roman"/>
        </w:rPr>
      </w:pPr>
    </w:p>
    <w:p>
      <w:pPr>
        <w:spacing w:line="576" w:lineRule="exact"/>
        <w:rPr>
          <w:rFonts w:ascii="Times New Roman" w:hAnsi="Times New Roman"/>
        </w:rPr>
      </w:pPr>
    </w:p>
    <w:p>
      <w:pPr>
        <w:spacing w:line="576" w:lineRule="exact"/>
        <w:rPr>
          <w:rFonts w:ascii="Times New Roman" w:hAnsi="Times New Roman"/>
        </w:rPr>
      </w:pPr>
    </w:p>
    <w:p>
      <w:pPr>
        <w:spacing w:line="576" w:lineRule="exact"/>
        <w:ind w:firstLineChars="500" w:firstLine="1050"/>
        <w:rPr>
          <w:rFonts w:ascii="Times New Roman" w:hAnsi="Times New Roman"/>
        </w:rPr>
      </w:pPr>
    </w:p>
    <w:p>
      <w:pPr>
        <w:spacing w:line="576" w:lineRule="exact"/>
        <w:ind w:firstLineChars="500" w:firstLine="1050"/>
        <w:rPr>
          <w:rFonts w:ascii="Times New Roman" w:hAnsi="Times New Roman"/>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jc w:val="center"/>
        <w:rPr>
          <w:rFonts w:ascii="Times New Roman" w:eastAsia="方正黑体_GBK" w:hAnsi="Times New Roman"/>
          <w:sz w:val="44"/>
          <w:szCs w:val="44"/>
        </w:rPr>
      </w:pPr>
      <w:r>
        <w:rPr>
          <w:rFonts w:ascii="Times New Roman" w:eastAsia="方正黑体_GBK" w:hAnsi="Times New Roman"/>
          <w:sz w:val="44"/>
          <w:szCs w:val="44"/>
        </w:rPr>
        <w:t>中共阿坝州委目标绩效管理办公室</w:t>
      </w:r>
    </w:p>
    <w:p>
      <w:pPr>
        <w:spacing w:line="576" w:lineRule="exact"/>
        <w:jc w:val="center"/>
        <w:rPr>
          <w:rFonts w:ascii="Times New Roman" w:eastAsia="方正黑体_GBK" w:hAnsi="Times New Roman"/>
          <w:sz w:val="44"/>
          <w:szCs w:val="44"/>
        </w:rPr>
      </w:pPr>
      <w:r>
        <w:rPr>
          <w:rFonts w:ascii="Times New Roman" w:eastAsia="方正黑体_GBK" w:hAnsi="Times New Roman"/>
          <w:sz w:val="44"/>
          <w:szCs w:val="44"/>
        </w:rPr>
        <w:t>2026年部门预算</w:t>
      </w: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ind w:firstLineChars="400" w:firstLine="1760"/>
        <w:rPr>
          <w:rFonts w:ascii="Times New Roman" w:eastAsia="黑体" w:hAnsi="Times New Roman"/>
          <w:sz w:val="44"/>
          <w:szCs w:val="44"/>
        </w:rPr>
      </w:pPr>
    </w:p>
    <w:p>
      <w:pPr>
        <w:spacing w:line="576" w:lineRule="exact"/>
        <w:rPr>
          <w:rFonts w:ascii="Times New Roman" w:eastAsia="黑体" w:hAnsi="Times New Roman"/>
          <w:sz w:val="44"/>
          <w:szCs w:val="44"/>
        </w:rPr>
      </w:pPr>
    </w:p>
    <w:p>
      <w:pPr>
        <w:spacing w:line="576" w:lineRule="exact"/>
        <w:ind w:firstLineChars="600" w:firstLine="3120"/>
        <w:rPr>
          <w:rFonts w:ascii="Times New Roman" w:eastAsia="黑体" w:hAnsi="Times New Roman"/>
          <w:sz w:val="52"/>
          <w:szCs w:val="52"/>
        </w:rPr>
      </w:pPr>
      <w:r>
        <w:rPr>
          <w:rFonts w:ascii="Times New Roman" w:eastAsia="黑体" w:hAnsi="Times New Roman"/>
          <w:sz w:val="52"/>
          <w:szCs w:val="52"/>
        </w:rPr>
        <w:t>目录</w:t>
      </w:r>
    </w:p>
    <w:p>
      <w:pPr>
        <w:spacing w:line="576" w:lineRule="exact"/>
        <w:ind w:firstLineChars="700" w:firstLine="3080"/>
        <w:rPr>
          <w:rFonts w:ascii="Times New Roman" w:eastAsia="黑体" w:hAnsi="Times New Roman"/>
          <w:sz w:val="44"/>
          <w:szCs w:val="44"/>
        </w:rPr>
      </w:pPr>
    </w:p>
    <w:p>
      <w:pPr>
        <w:pStyle w:val="17"/>
        <w:spacing w:line="576" w:lineRule="exact"/>
        <w:ind w:firstLineChars="0" w:firstLine="0"/>
        <w:rPr>
          <w:rFonts w:ascii="Times New Roman" w:eastAsia="黑体" w:hAnsi="Times New Roman"/>
          <w:sz w:val="32"/>
          <w:szCs w:val="32"/>
        </w:rPr>
      </w:pPr>
      <w:r>
        <w:rPr>
          <w:rFonts w:ascii="Times New Roman" w:eastAsia="黑体" w:hAnsi="Times New Roman"/>
          <w:sz w:val="32"/>
          <w:szCs w:val="32"/>
        </w:rPr>
        <w:t>一、基本职能及主要工作</w:t>
      </w:r>
    </w:p>
    <w:p>
      <w:pPr>
        <w:spacing w:line="576" w:lineRule="exact"/>
        <w:rPr>
          <w:rFonts w:ascii="Times New Roman" w:eastAsia="楷体" w:hAnsi="Times New Roman"/>
          <w:sz w:val="32"/>
          <w:szCs w:val="32"/>
        </w:rPr>
      </w:pPr>
      <w:r>
        <w:rPr>
          <w:rFonts w:ascii="Times New Roman" w:eastAsia="楷体" w:hAnsi="Times New Roman"/>
          <w:sz w:val="32"/>
          <w:szCs w:val="32"/>
        </w:rPr>
        <w:t>（一）部门职能简介</w:t>
      </w:r>
    </w:p>
    <w:p>
      <w:pPr>
        <w:spacing w:line="576" w:lineRule="exact"/>
        <w:rPr>
          <w:rFonts w:ascii="Times New Roman" w:eastAsia="楷体" w:hAnsi="Times New Roman"/>
          <w:sz w:val="32"/>
          <w:szCs w:val="32"/>
        </w:rPr>
      </w:pPr>
      <w:r>
        <w:rPr>
          <w:rFonts w:ascii="Times New Roman" w:eastAsia="楷体" w:hAnsi="Times New Roman"/>
          <w:sz w:val="32"/>
          <w:szCs w:val="32"/>
        </w:rPr>
        <w:t>（二）2026年重点工作</w:t>
      </w:r>
    </w:p>
    <w:p>
      <w:pPr>
        <w:spacing w:line="576" w:lineRule="exact"/>
        <w:rPr>
          <w:rFonts w:ascii="Times New Roman" w:eastAsia="黑体" w:hAnsi="Times New Roman"/>
          <w:sz w:val="32"/>
          <w:szCs w:val="32"/>
        </w:rPr>
      </w:pPr>
      <w:r>
        <w:rPr>
          <w:rFonts w:ascii="Times New Roman" w:eastAsia="黑体" w:hAnsi="Times New Roman"/>
          <w:sz w:val="32"/>
          <w:szCs w:val="32"/>
        </w:rPr>
        <w:t>二、部门预算单位构成</w:t>
      </w:r>
    </w:p>
    <w:p>
      <w:pPr>
        <w:spacing w:line="576" w:lineRule="exact"/>
        <w:rPr>
          <w:rFonts w:ascii="Times New Roman" w:eastAsia="黑体" w:hAnsi="Times New Roman"/>
          <w:sz w:val="32"/>
          <w:szCs w:val="32"/>
        </w:rPr>
      </w:pPr>
      <w:r>
        <w:rPr>
          <w:rFonts w:ascii="Times New Roman" w:eastAsia="黑体" w:hAnsi="Times New Roman"/>
          <w:sz w:val="32"/>
          <w:szCs w:val="32"/>
        </w:rPr>
        <w:t>三、收支预算情况说明</w:t>
      </w:r>
    </w:p>
    <w:p>
      <w:pPr>
        <w:spacing w:line="576" w:lineRule="exact"/>
        <w:rPr>
          <w:rFonts w:ascii="Times New Roman" w:eastAsia="楷体" w:hAnsi="Times New Roman"/>
          <w:sz w:val="32"/>
          <w:szCs w:val="32"/>
        </w:rPr>
      </w:pPr>
      <w:r>
        <w:rPr>
          <w:rFonts w:ascii="Times New Roman" w:eastAsia="楷体" w:hAnsi="Times New Roman"/>
          <w:sz w:val="32"/>
          <w:szCs w:val="32"/>
        </w:rPr>
        <w:t>（一）收入预算情况</w:t>
      </w:r>
    </w:p>
    <w:p>
      <w:pPr>
        <w:spacing w:line="576" w:lineRule="exact"/>
        <w:rPr>
          <w:rFonts w:ascii="Times New Roman" w:eastAsia="楷体" w:hAnsi="Times New Roman"/>
          <w:sz w:val="32"/>
          <w:szCs w:val="32"/>
        </w:rPr>
      </w:pPr>
      <w:r>
        <w:rPr>
          <w:rFonts w:ascii="Times New Roman" w:eastAsia="楷体" w:hAnsi="Times New Roman"/>
          <w:sz w:val="32"/>
          <w:szCs w:val="32"/>
        </w:rPr>
        <w:t>（二）支出预算情况</w:t>
      </w:r>
    </w:p>
    <w:p>
      <w:pPr>
        <w:spacing w:line="576" w:lineRule="exact"/>
        <w:rPr>
          <w:rFonts w:ascii="Times New Roman" w:eastAsia="黑体" w:hAnsi="Times New Roman"/>
          <w:sz w:val="32"/>
          <w:szCs w:val="32"/>
        </w:rPr>
      </w:pPr>
      <w:r>
        <w:rPr>
          <w:rFonts w:ascii="Times New Roman" w:eastAsia="黑体" w:hAnsi="Times New Roman"/>
          <w:sz w:val="32"/>
          <w:szCs w:val="32"/>
        </w:rPr>
        <w:t>四、财政拨款收支预算情况说明</w:t>
      </w:r>
    </w:p>
    <w:p>
      <w:pPr>
        <w:spacing w:line="576" w:lineRule="exact"/>
        <w:rPr>
          <w:rFonts w:ascii="Times New Roman" w:eastAsia="黑体" w:hAnsi="Times New Roman"/>
          <w:sz w:val="32"/>
          <w:szCs w:val="32"/>
        </w:rPr>
      </w:pPr>
      <w:r>
        <w:rPr>
          <w:rFonts w:ascii="Times New Roman" w:eastAsia="黑体" w:hAnsi="Times New Roman"/>
          <w:sz w:val="32"/>
          <w:szCs w:val="32"/>
        </w:rPr>
        <w:t>五、一般公共预算当年拨款情况说明</w:t>
      </w:r>
    </w:p>
    <w:p>
      <w:pPr>
        <w:spacing w:line="576" w:lineRule="exact"/>
        <w:rPr>
          <w:rFonts w:ascii="Times New Roman" w:eastAsia="黑体" w:hAnsi="Times New Roman"/>
          <w:sz w:val="32"/>
          <w:szCs w:val="32"/>
        </w:rPr>
      </w:pPr>
      <w:r>
        <w:rPr>
          <w:rFonts w:ascii="Times New Roman" w:eastAsia="楷体" w:hAnsi="Times New Roman"/>
          <w:sz w:val="32"/>
          <w:szCs w:val="32"/>
        </w:rPr>
        <w:t>（一）一般公共预算当年拨款规模变化情况</w:t>
        <w:br/>
        <w:t>（二）一般公共预算当年拨款结构情况</w:t>
        <w:br/>
        <w:t>（三）一般公共预算当年拨款具体使用情况</w:t>
      </w:r>
      <w:r>
        <w:rPr>
          <w:rFonts w:ascii="Times New Roman" w:hAnsi="Times New Roman"/>
          <w:kern w:val="0"/>
          <w:sz w:val="16"/>
          <w:szCs w:val="16"/>
        </w:rPr>
        <w:br/>
      </w:r>
      <w:r>
        <w:rPr>
          <w:rFonts w:ascii="Times New Roman" w:eastAsia="黑体" w:hAnsi="Times New Roman"/>
          <w:sz w:val="32"/>
          <w:szCs w:val="32"/>
        </w:rPr>
        <w:t>六、一般公共预算基本支出情况说明</w:t>
        <w:br/>
        <w:t>七、“三公”经费财政拨款预算安排情况说明</w:t>
        <w:br/>
        <w:t>八、政府性基金预算支出情况说明</w:t>
        <w:br/>
        <w:t>九、其他重要事项的情况说明</w:t>
        <w:br/>
        <w:t>十、名称解释</w:t>
      </w:r>
    </w:p>
    <w:p>
      <w:pPr>
        <w:spacing w:line="576" w:lineRule="exact"/>
        <w:rPr>
          <w:rFonts w:ascii="Times New Roman" w:eastAsia="黑体" w:hAnsi="Times New Roman"/>
          <w:sz w:val="32"/>
          <w:szCs w:val="32"/>
        </w:rPr>
      </w:pPr>
    </w:p>
    <w:p>
      <w:pPr>
        <w:spacing w:line="576" w:lineRule="exact"/>
        <w:rPr>
          <w:rFonts w:ascii="Times New Roman" w:eastAsia="黑体" w:hAnsi="Times New Roman"/>
          <w:sz w:val="32"/>
          <w:szCs w:val="32"/>
        </w:rPr>
      </w:pPr>
    </w:p>
    <w:p>
      <w:pPr>
        <w:spacing w:line="576" w:lineRule="exact"/>
        <w:rPr>
          <w:rFonts w:ascii="Times New Roman" w:eastAsia="黑体" w:hAnsi="Times New Roman"/>
          <w:sz w:val="32"/>
          <w:szCs w:val="32"/>
        </w:rPr>
      </w:pPr>
    </w:p>
    <w:p>
      <w:pPr>
        <w:spacing w:line="576" w:lineRule="exact"/>
        <w:rPr>
          <w:rFonts w:ascii="Times New Roman" w:eastAsia="黑体" w:hAnsi="Times New Roman"/>
          <w:sz w:val="32"/>
          <w:szCs w:val="32"/>
        </w:rPr>
      </w:pPr>
    </w:p>
    <w:p>
      <w:pPr>
        <w:widowControl/>
        <w:shd w:val="clear" w:color="auto" w:fill="FFFFFF"/>
        <w:spacing w:before="100" w:after="100" w:line="576" w:lineRule="exact"/>
        <w:ind w:right="300"/>
        <w:jc w:val="left"/>
        <w:rPr>
          <w:rFonts w:ascii="Times New Roman" w:hAnsi="Times New Roman"/>
          <w:kern w:val="0"/>
          <w:sz w:val="12"/>
          <w:szCs w:val="12"/>
        </w:rPr>
      </w:pPr>
    </w:p>
    <w:p>
      <w:pPr>
        <w:pStyle w:val="17"/>
        <w:spacing w:line="576" w:lineRule="exact"/>
        <w:ind w:firstLineChars="400" w:firstLine="1280"/>
        <w:rPr>
          <w:rFonts w:ascii="Times New Roman" w:eastAsia="方正黑体_GBK" w:hAnsi="Times New Roman"/>
          <w:sz w:val="32"/>
          <w:szCs w:val="32"/>
        </w:rPr>
      </w:pPr>
      <w:r>
        <w:rPr>
          <w:rFonts w:ascii="Times New Roman" w:eastAsia="方正黑体_GBK" w:hAnsi="Times New Roman"/>
          <w:sz w:val="32"/>
          <w:szCs w:val="32"/>
        </w:rPr>
        <w:t>一、基本职能及主要工作</w:t>
      </w:r>
    </w:p>
    <w:p>
      <w:pPr>
        <w:spacing w:line="576" w:lineRule="exact"/>
        <w:ind w:firstLineChars="350" w:firstLine="1120"/>
        <w:rPr>
          <w:rFonts w:ascii="Times New Roman" w:eastAsia="楷体" w:hAnsi="Times New Roman"/>
          <w:sz w:val="32"/>
          <w:szCs w:val="32"/>
        </w:rPr>
      </w:pPr>
      <w:r>
        <w:rPr>
          <w:rFonts w:ascii="Times New Roman" w:eastAsia="楷体" w:hAnsi="Times New Roman"/>
          <w:sz w:val="32"/>
          <w:szCs w:val="32"/>
        </w:rPr>
        <w:t>（一）部门职能简介</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州委目标绩效办负责贯彻落实党中央有关目标绩效管理工作方针政策和省委、州委决策部署，把坚持和加强党中央对目标绩效工作的集中统一领导落实到履行职责过程中。主要职责是：</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1.负责省委、省政府下达我州目标任务的分解、落实、督查、考评，负责年度自查并向省上报目标执行情况。</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2.负责县（市）党委政府、州直部门（单位）高质量发展考评指标体系的制定，目标任务分解、审核、下达、督查、考评等工作。</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3.负责统筹规范全州督查检查考核工作。</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4.承担州委、州政府授权的督查督办工作。</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5.承担州委、州政府主要领导重要批示事项落实情况的督查督办。</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6.负责州整治形式主义为基层减负专项工作机制办公室的日常工作。</w:t>
      </w:r>
    </w:p>
    <w:p>
      <w:pPr>
        <w:spacing w:line="576" w:lineRule="exact"/>
        <w:ind w:leftChars="304" w:left="638" w:firstLineChars="200" w:firstLine="640"/>
        <w:rPr>
          <w:rFonts w:ascii="Times New Roman" w:eastAsia="仿宋_GB2312" w:hAnsi="Times New Roman"/>
          <w:sz w:val="32"/>
          <w:szCs w:val="32"/>
        </w:rPr>
      </w:pPr>
      <w:r>
        <w:rPr>
          <w:rFonts w:ascii="Times New Roman" w:eastAsia="仿宋_GB2312" w:hAnsi="Times New Roman"/>
          <w:sz w:val="32"/>
          <w:szCs w:val="32"/>
        </w:rPr>
        <w:t>7.完成州委、州政府交办的其他任务。</w:t>
      </w:r>
    </w:p>
    <w:p>
      <w:pPr>
        <w:spacing w:line="576" w:lineRule="exact"/>
        <w:ind w:firstLineChars="300" w:firstLine="960"/>
        <w:rPr>
          <w:rFonts w:ascii="Times New Roman" w:eastAsia="楷体" w:hAnsi="Times New Roman"/>
          <w:sz w:val="32"/>
          <w:szCs w:val="32"/>
        </w:rPr>
      </w:pPr>
      <w:r>
        <w:rPr>
          <w:rFonts w:ascii="Times New Roman" w:eastAsia="楷体" w:hAnsi="Times New Roman"/>
          <w:sz w:val="32"/>
          <w:szCs w:val="32"/>
        </w:rPr>
        <w:t>（二）2026年重点工作</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2026年，州委目标绩效办将深入贯彻学习习近平新时代中国特色社会主义思想、党的二十大及二十届三中、四中全会精神，紧扣省州十二届七次、八次全会精神和州委决策部署，以“思想铸魂、考评提质、督查增效、减负赋能、队伍建设”为核心抓手，持续深化“督检考”职能融合，为全州高质量发展提供坚实支撑。</w:t>
      </w:r>
      <w:r>
        <w:rPr>
          <w:rFonts w:ascii="Times New Roman" w:eastAsia="方正仿宋_GBK" w:hAnsi="Times New Roman"/>
          <w:b/>
          <w:bCs/>
          <w:sz w:val="32"/>
          <w:szCs w:val="32"/>
          <w:lang w:eastAsia="zh-CN"/>
        </w:rPr>
        <w:t>一是以“思想铸魂”为引领，铸牢政治忠诚。</w:t>
      </w:r>
      <w:r>
        <w:rPr>
          <w:rFonts w:ascii="Times New Roman" w:eastAsia="方正仿宋_GBK" w:hAnsi="Times New Roman"/>
          <w:sz w:val="32"/>
          <w:szCs w:val="32"/>
        </w:rPr>
        <w:t>坚持把理论学习作为首要政治任务，严格落实“第一议题”制度，通过中心组学习、专题研讨等形式，持续深化对习近平新时代中国特色社会主义思想的学习，不断提升干部职工政治判断力、政治领悟力、政治执行力，推动理论学习与业务实践深度融合。</w:t>
      </w:r>
      <w:r>
        <w:rPr>
          <w:rFonts w:ascii="Times New Roman" w:eastAsia="方正仿宋_GBK" w:hAnsi="Times New Roman"/>
          <w:b/>
          <w:bCs/>
          <w:sz w:val="32"/>
          <w:szCs w:val="32"/>
        </w:rPr>
        <w:t>二是以“考评提质”为核心，压实发展责任。</w:t>
      </w:r>
      <w:r>
        <w:rPr>
          <w:rFonts w:ascii="Times New Roman" w:eastAsia="方正仿宋_GBK" w:hAnsi="Times New Roman"/>
          <w:sz w:val="32"/>
          <w:szCs w:val="32"/>
        </w:rPr>
        <w:t>充分发挥目标考评“指挥棒”作用，对标省委“高质量考核体系”和州委“1610”系统部署，持续优化全州高质量发展考评指标体系，改进考核方式，强化过程管控与结果运用，推动考核结果与干部选拔任用、评优评先、责任追究深度挂钩，切实提升工作科学化、精准化、差异化水平。</w:t>
      </w:r>
      <w:r>
        <w:rPr>
          <w:rFonts w:ascii="Times New Roman" w:eastAsia="方正仿宋_GBK" w:hAnsi="Times New Roman"/>
          <w:b/>
          <w:bCs/>
          <w:sz w:val="32"/>
          <w:szCs w:val="32"/>
          <w:lang w:eastAsia="zh-CN"/>
        </w:rPr>
        <w:t>三是以“督查增效”为抓手，推动决策落地。</w:t>
      </w:r>
      <w:r>
        <w:rPr>
          <w:rFonts w:ascii="Times New Roman" w:eastAsia="方正仿宋_GBK" w:hAnsi="Times New Roman"/>
          <w:sz w:val="32"/>
          <w:szCs w:val="32"/>
        </w:rPr>
        <w:t>围绕州委州政府中心工作，聚焦“十五五”规划重点任务、重大项目，完善“月调度、季评估、年总结”督查机制，优化“督查问题整改闭环机制”，探索“线上督查+线下核实”模式，针对水电移民、乡村振兴等重点领域开展专项督查，确保中央、省州部署落地见效。</w:t>
      </w:r>
      <w:r>
        <w:rPr>
          <w:rFonts w:ascii="Times New Roman" w:eastAsia="方正仿宋_GBK" w:hAnsi="Times New Roman"/>
          <w:b/>
          <w:bCs/>
          <w:sz w:val="32"/>
          <w:szCs w:val="32"/>
        </w:rPr>
        <w:t>四是以“减负赋能”为目标，激发基层活力。</w:t>
      </w:r>
      <w:r>
        <w:rPr>
          <w:rFonts w:ascii="Times New Roman" w:eastAsia="方正仿宋_GBK" w:hAnsi="Times New Roman"/>
          <w:sz w:val="32"/>
          <w:szCs w:val="32"/>
        </w:rPr>
        <w:t>深入落实中央、省、州减负要求，对照年度减负任务清单，持续抓实精简文件会议、规范“督检考”事项等重点任务，扩大形式主义隐患事前评估试点，建立长效机制并通报典型案例，推动减负工作走深走实。</w:t>
      </w:r>
      <w:r>
        <w:rPr>
          <w:rFonts w:ascii="Times New Roman" w:eastAsia="方正仿宋_GBK" w:hAnsi="Times New Roman"/>
          <w:b/>
          <w:bCs/>
          <w:sz w:val="32"/>
          <w:szCs w:val="32"/>
          <w:lang w:eastAsia="zh-CN"/>
        </w:rPr>
        <w:t>五是以“队伍建设”为保障，提升履职能力。</w:t>
      </w:r>
      <w:r>
        <w:rPr>
          <w:rFonts w:ascii="Times New Roman" w:eastAsia="方正仿宋_GBK" w:hAnsi="Times New Roman"/>
          <w:sz w:val="32"/>
          <w:szCs w:val="32"/>
        </w:rPr>
        <w:t>健全干部常态化培训机制，围绕目标绩效管理、督查核查等核心业务开展专题培训和岗位练兵，推进目标绩效与督查系统信息化平台建设，加强机关自身建设，打造“政治强、业务精、作风硬”的干部队伍，为全州高质量发展贡献力量。</w:t>
      </w:r>
    </w:p>
    <w:p>
      <w:pPr>
        <w:spacing w:line="576"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州委目标绩效办下属预算单位2个，其中行政单位 1 个，事业单位 1个。主要包括：</w:t>
      </w:r>
    </w:p>
    <w:tbl>
      <w:tblPr>
        <w:jc w:val="cente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63"/>
        <w:gridCol w:w="5141"/>
      </w:tblGrid>
      <w:tr>
        <w:tc>
          <w:tcPr>
            <w:tcW w:w="963" w:type="dxa"/>
          </w:tcPr>
          <w:p>
            <w:pPr>
              <w:spacing w:line="576" w:lineRule="exact"/>
              <w:ind w:left="0"/>
              <w:jc w:val="center"/>
              <w:rPr>
                <w:rFonts w:ascii="Times New Roman" w:eastAsia="仿宋_GB2312" w:hAnsi="Times New Roman"/>
                <w:sz w:val="32"/>
                <w:szCs w:val="32"/>
              </w:rPr>
            </w:pPr>
            <w:r>
              <w:rPr>
                <w:rFonts w:ascii="Times New Roman" w:eastAsia="仿宋_GB2312" w:hAnsi="Times New Roman"/>
                <w:sz w:val="32"/>
                <w:szCs w:val="32"/>
              </w:rPr>
              <w:t>序号</w:t>
            </w:r>
          </w:p>
        </w:tc>
        <w:tc>
          <w:tcPr>
            <w:tcW w:w="5141" w:type="dxa"/>
          </w:tcPr>
          <w:p>
            <w:pPr>
              <w:spacing w:line="576" w:lineRule="exact"/>
              <w:ind w:firstLineChars="550" w:firstLine="1760"/>
              <w:rPr>
                <w:rFonts w:ascii="方正仿宋_GBK" w:eastAsia="方正仿宋_GBK" w:hint="eastAsia"/>
                <w:sz w:val="32"/>
                <w:szCs w:val="32"/>
              </w:rPr>
            </w:pPr>
            <w:r>
              <w:rPr>
                <w:rFonts w:ascii="方正仿宋_GBK" w:eastAsia="方正仿宋_GBK" w:hint="eastAsia"/>
                <w:sz w:val="32"/>
                <w:szCs w:val="32"/>
              </w:rPr>
              <w:t>名称</w:t>
            </w:r>
          </w:p>
        </w:tc>
      </w:tr>
      <w:tr>
        <w:tc>
          <w:tcPr>
            <w:tcW w:w="963" w:type="dxa"/>
          </w:tcPr>
          <w:p>
            <w:pPr>
              <w:spacing w:line="576" w:lineRule="exact"/>
              <w:ind w:left="0" w:firstLineChars="100" w:firstLine="320"/>
              <w:jc w:val="left"/>
              <w:rPr>
                <w:rFonts w:ascii="Times New Roman" w:eastAsia="仿宋_GB2312" w:hAnsi="Times New Roman"/>
                <w:sz w:val="32"/>
                <w:szCs w:val="32"/>
              </w:rPr>
            </w:pPr>
            <w:r>
              <w:rPr>
                <w:rFonts w:ascii="Times New Roman" w:eastAsia="仿宋_GB2312" w:hAnsi="Times New Roman"/>
                <w:sz w:val="32"/>
                <w:szCs w:val="32"/>
              </w:rPr>
              <w:t>1</w:t>
            </w:r>
          </w:p>
        </w:tc>
        <w:tc>
          <w:tcPr>
            <w:tcW w:w="5141" w:type="dxa"/>
          </w:tcPr>
          <w:p>
            <w:pPr>
              <w:spacing w:line="576" w:lineRule="exact"/>
              <w:ind w:left="0"/>
              <w:rPr>
                <w:rFonts w:ascii="方正仿宋_GBK" w:eastAsia="方正仿宋_GBK" w:hint="eastAsia"/>
                <w:sz w:val="36"/>
                <w:szCs w:val="36"/>
              </w:rPr>
            </w:pPr>
            <w:r>
              <w:rPr>
                <w:rFonts w:ascii="方正仿宋_GBK" w:eastAsia="方正仿宋_GBK" w:hint="eastAsia"/>
                <w:sz w:val="32"/>
                <w:szCs w:val="32"/>
              </w:rPr>
              <w:t>中共阿坝州委目标绩效办</w:t>
            </w:r>
            <w:r>
              <w:rPr>
                <w:rFonts w:ascii="方正仿宋_GBK" w:eastAsia="方正仿宋_GBK"/>
                <w:sz w:val="32"/>
                <w:szCs w:val="32"/>
              </w:rPr>
              <w:t>公室</w:t>
            </w:r>
          </w:p>
        </w:tc>
      </w:tr>
      <w:tr>
        <w:tc>
          <w:tcPr>
            <w:tcW w:w="963" w:type="dxa"/>
          </w:tcPr>
          <w:p>
            <w:pPr>
              <w:spacing w:line="576" w:lineRule="exact"/>
              <w:ind w:left="0" w:firstLineChars="100" w:firstLine="320"/>
              <w:jc w:val="left"/>
              <w:rPr>
                <w:rFonts w:ascii="Times New Roman" w:eastAsia="仿宋_GB2312" w:hAnsi="Times New Roman"/>
                <w:sz w:val="32"/>
                <w:szCs w:val="32"/>
              </w:rPr>
            </w:pPr>
            <w:r>
              <w:rPr>
                <w:rFonts w:ascii="Times New Roman" w:eastAsia="仿宋_GB2312" w:hAnsi="Times New Roman"/>
                <w:sz w:val="32"/>
                <w:szCs w:val="32"/>
              </w:rPr>
              <w:t>2</w:t>
            </w:r>
          </w:p>
        </w:tc>
        <w:tc>
          <w:tcPr>
            <w:tcW w:w="5141" w:type="dxa"/>
          </w:tcPr>
          <w:p>
            <w:pPr>
              <w:spacing w:line="576" w:lineRule="exact"/>
              <w:ind w:firstLineChars="200" w:firstLine="640"/>
              <w:rPr>
                <w:rFonts w:ascii="方正仿宋_GBK" w:eastAsia="方正仿宋_GBK" w:hint="eastAsia"/>
                <w:sz w:val="32"/>
                <w:szCs w:val="32"/>
              </w:rPr>
            </w:pPr>
            <w:r>
              <w:rPr>
                <w:rFonts w:ascii="方正仿宋_GBK" w:eastAsia="方正仿宋_GBK" w:hint="eastAsia"/>
                <w:sz w:val="32"/>
                <w:szCs w:val="32"/>
              </w:rPr>
              <w:t>阿坝州目标绩效事务中心</w:t>
            </w:r>
          </w:p>
        </w:tc>
      </w:tr>
    </w:tbl>
    <w:p>
      <w:pPr>
        <w:pStyle w:val="17"/>
        <w:spacing w:line="576" w:lineRule="exact"/>
        <w:ind w:left="720" w:firstLineChars="0" w:firstLine="0"/>
        <w:rPr>
          <w:rFonts w:ascii="Times New Roman" w:eastAsia="黑体" w:hAnsi="Times New Roman"/>
          <w:sz w:val="32"/>
          <w:szCs w:val="32"/>
        </w:rPr>
      </w:pPr>
      <w:r>
        <w:rPr>
          <w:rFonts w:ascii="Times New Roman" w:eastAsia="黑体" w:hAnsi="Times New Roman"/>
          <w:sz w:val="32"/>
          <w:szCs w:val="32"/>
        </w:rPr>
        <w:t>三、收支预算情况说明</w:t>
      </w:r>
    </w:p>
    <w:p>
      <w:pPr>
        <w:spacing w:line="576" w:lineRule="exact"/>
        <w:ind w:firstLineChars="200" w:firstLine="640"/>
        <w:rPr>
          <w:rStyle w:val="0"/>
          <w:rFonts w:ascii="Times New Roman" w:eastAsia="方正仿宋_GBK" w:hAnsi="Times New Roman"/>
          <w:sz w:val="32"/>
          <w:szCs w:val="32"/>
        </w:rPr>
      </w:pPr>
      <w:r>
        <w:rPr>
          <w:rStyle w:val="0"/>
          <w:rFonts w:ascii="Times New Roman" w:eastAsia="方正仿宋_GBK" w:hAnsi="Times New Roman"/>
          <w:sz w:val="32"/>
          <w:szCs w:val="32"/>
        </w:rPr>
        <w:t>按照综合预算的原则，</w:t>
      </w:r>
      <w:r>
        <w:rPr>
          <w:rFonts w:ascii="Times New Roman" w:eastAsia="方正仿宋_GBK" w:hAnsi="Times New Roman"/>
          <w:sz w:val="32"/>
          <w:szCs w:val="32"/>
        </w:rPr>
        <w:t>州委目标绩效办</w:t>
      </w:r>
      <w:r>
        <w:rPr>
          <w:rStyle w:val="0"/>
          <w:rFonts w:ascii="Times New Roman" w:eastAsia="方正仿宋_GBK" w:hAnsi="Times New Roman"/>
          <w:sz w:val="32"/>
          <w:szCs w:val="32"/>
        </w:rPr>
        <w:t>所有收入和支出均纳入部门预算管理。收入包括：一般公共预算拨款收入；支出包括：一般公共服务支出、社会保障和就业支出、卫生健康支出、住房保障支出。州委目标绩效办2026年收支总预算652.63万元，比2025年收支预算总数增加137.93万元，主要原因：2025年新增在编5人、临聘2人，公务用车2辆，一般公共服务支出增加。</w:t>
      </w:r>
    </w:p>
    <w:p>
      <w:pPr>
        <w:numPr>
          <w:ilvl w:val="0"/>
          <w:numId w:val="1"/>
        </w:numPr>
        <w:spacing w:line="576" w:lineRule="exact"/>
        <w:rPr>
          <w:rFonts w:ascii="Times New Roman" w:eastAsia="楷体" w:hAnsi="Times New Roman"/>
          <w:sz w:val="32"/>
          <w:szCs w:val="32"/>
        </w:rPr>
      </w:pPr>
      <w:r>
        <w:rPr>
          <w:rFonts w:ascii="Times New Roman" w:eastAsia="楷体" w:hAnsi="Times New Roman"/>
          <w:sz w:val="32"/>
          <w:szCs w:val="32"/>
        </w:rPr>
        <w:t>收入预算情况</w:t>
      </w:r>
    </w:p>
    <w:p>
      <w:pPr>
        <w:spacing w:line="576" w:lineRule="exact"/>
        <w:ind w:firstLineChars="200" w:firstLine="640"/>
        <w:rPr>
          <w:rStyle w:val="0"/>
          <w:rFonts w:ascii="Times New Roman" w:eastAsia="方正仿宋_GBK" w:hAnsi="Times New Roman"/>
          <w:sz w:val="32"/>
          <w:szCs w:val="32"/>
        </w:rPr>
      </w:pPr>
      <w:r>
        <w:rPr>
          <w:rFonts w:ascii="Times New Roman" w:eastAsia="方正仿宋_GBK" w:hAnsi="Times New Roman"/>
          <w:sz w:val="32"/>
          <w:szCs w:val="32"/>
        </w:rPr>
        <w:t>州委目标绩效办</w:t>
      </w:r>
      <w:r>
        <w:rPr>
          <w:rStyle w:val="0"/>
          <w:rFonts w:ascii="Times New Roman" w:eastAsia="方正仿宋_GBK" w:hAnsi="Times New Roman"/>
          <w:sz w:val="32"/>
          <w:szCs w:val="32"/>
        </w:rPr>
        <w:t>2026年收入预算652.63万元， 其中：上年结转0万元，占0%；一般公共预算拨款收入652.63万元，占100%；政府性基金预算拨款收入0万元，占0%；事业收入0万元，占0%。</w:t>
      </w:r>
    </w:p>
    <w:p>
      <w:pPr>
        <w:spacing w:line="576" w:lineRule="exact"/>
        <w:ind w:firstLineChars="150" w:firstLine="480"/>
        <w:rPr>
          <w:rFonts w:ascii="Times New Roman" w:eastAsia="楷体" w:hAnsi="Times New Roman"/>
          <w:sz w:val="32"/>
          <w:szCs w:val="32"/>
        </w:rPr>
      </w:pPr>
      <w:r>
        <w:rPr>
          <w:rFonts w:ascii="Times New Roman" w:eastAsia="楷体" w:hAnsi="Times New Roman"/>
          <w:sz w:val="32"/>
          <w:szCs w:val="32"/>
        </w:rPr>
        <w:t>（二）支出预算情况</w:t>
      </w:r>
    </w:p>
    <w:p>
      <w:pPr>
        <w:spacing w:line="576" w:lineRule="exact"/>
        <w:ind w:firstLineChars="200" w:firstLine="640"/>
        <w:jc w:val="left"/>
        <w:rPr>
          <w:rStyle w:val="0"/>
          <w:rFonts w:ascii="Times New Roman" w:eastAsia="仿宋_GB2312" w:hAnsi="Times New Roman"/>
          <w:sz w:val="32"/>
          <w:szCs w:val="32"/>
        </w:rPr>
      </w:pPr>
      <w:r>
        <w:rPr>
          <w:rFonts w:ascii="Times New Roman" w:eastAsia="方正仿宋_GBK" w:hAnsi="Times New Roman"/>
          <w:sz w:val="32"/>
          <w:szCs w:val="32"/>
        </w:rPr>
        <w:t>州委目标绩效办</w:t>
      </w:r>
      <w:r>
        <w:rPr>
          <w:rStyle w:val="0"/>
          <w:rFonts w:ascii="Times New Roman" w:eastAsia="方正仿宋_GBK" w:hAnsi="Times New Roman"/>
          <w:sz w:val="32"/>
          <w:szCs w:val="32"/>
        </w:rPr>
        <w:t>2026年支出预算652.63万元， 其中：基本支出572.63万元，占87.74%；项目支出80.00万元，占12.26%</w:t>
      </w:r>
      <w:r>
        <w:rPr>
          <w:rStyle w:val="0"/>
          <w:rFonts w:ascii="Times New Roman" w:eastAsia="仿宋_GB2312" w:hAnsi="Times New Roman"/>
          <w:sz w:val="32"/>
          <w:szCs w:val="32"/>
        </w:rPr>
        <w:t>。</w:t>
      </w:r>
    </w:p>
    <w:p>
      <w:pPr>
        <w:spacing w:line="576" w:lineRule="exact"/>
        <w:ind w:leftChars="304" w:left="958" w:hangingChars="100" w:hanging="320"/>
        <w:rPr>
          <w:rFonts w:ascii="Times New Roman" w:eastAsia="黑体" w:hAnsi="Times New Roman"/>
          <w:sz w:val="32"/>
          <w:szCs w:val="32"/>
        </w:rPr>
      </w:pPr>
      <w:r>
        <w:rPr>
          <w:rFonts w:ascii="Times New Roman" w:eastAsia="黑体" w:hAnsi="Times New Roman"/>
          <w:sz w:val="32"/>
          <w:szCs w:val="32"/>
        </w:rPr>
        <w:t>四、财政拨款收支预算情况说明</w:t>
      </w:r>
    </w:p>
    <w:p>
      <w:pPr>
        <w:spacing w:line="576" w:lineRule="exact"/>
        <w:ind w:firstLineChars="200" w:firstLine="640"/>
        <w:rPr>
          <w:rStyle w:val="0"/>
          <w:rFonts w:ascii="Times New Roman" w:eastAsia="方正仿宋_GBK" w:hAnsi="Times New Roman"/>
          <w:sz w:val="32"/>
          <w:szCs w:val="32"/>
        </w:rPr>
      </w:pPr>
      <w:r>
        <w:rPr>
          <w:rFonts w:ascii="Times New Roman" w:eastAsia="方正仿宋_GBK" w:hAnsi="Times New Roman"/>
          <w:sz w:val="32"/>
          <w:szCs w:val="32"/>
        </w:rPr>
        <w:t>州委目标绩效办</w:t>
      </w:r>
      <w:r>
        <w:rPr>
          <w:rStyle w:val="0"/>
          <w:rFonts w:ascii="Times New Roman" w:eastAsia="方正仿宋_GBK" w:hAnsi="Times New Roman"/>
          <w:sz w:val="32"/>
          <w:szCs w:val="32"/>
        </w:rPr>
        <w:t>2026年财政拨款收支总预算652.63万元，比2025年财政拨款收支总预算增加137.93万元，主要原因：2025年新增在编5人、临聘2人，公务用车2辆，一般公共服务支出增加。</w:t>
      </w:r>
    </w:p>
    <w:p>
      <w:pPr>
        <w:spacing w:line="576" w:lineRule="exact"/>
        <w:ind w:firstLineChars="200" w:firstLine="640"/>
        <w:rPr>
          <w:rStyle w:val="0"/>
          <w:rFonts w:ascii="Times New Roman" w:eastAsia="方正仿宋_GBK" w:hAnsi="Times New Roman"/>
          <w:sz w:val="32"/>
          <w:szCs w:val="32"/>
        </w:rPr>
      </w:pPr>
      <w:r>
        <w:rPr>
          <w:rStyle w:val="0"/>
          <w:rFonts w:ascii="Times New Roman" w:eastAsia="方正仿宋_GBK" w:hAnsi="Times New Roman"/>
          <w:sz w:val="32"/>
          <w:szCs w:val="32"/>
        </w:rPr>
        <w:t>收入包括：本年一般公共预算拨款收入652.63万元。</w:t>
      </w:r>
    </w:p>
    <w:p>
      <w:pPr>
        <w:spacing w:line="576" w:lineRule="exact"/>
        <w:ind w:firstLineChars="200" w:firstLine="640"/>
        <w:rPr>
          <w:rStyle w:val="0"/>
          <w:rFonts w:ascii="Times New Roman" w:eastAsia="方正仿宋_GBK" w:hAnsi="Times New Roman"/>
          <w:sz w:val="32"/>
          <w:szCs w:val="32"/>
        </w:rPr>
      </w:pPr>
      <w:r>
        <w:rPr>
          <w:rStyle w:val="0"/>
          <w:rFonts w:ascii="Times New Roman" w:eastAsia="方正仿宋_GBK" w:hAnsi="Times New Roman"/>
          <w:sz w:val="32"/>
          <w:szCs w:val="32"/>
        </w:rPr>
        <w:t>支出包括：一般公共服务支出498.19万元、社会保障和就业支出83.03万元、卫生健康支出28.90万元、住房保障支出42.50万元。</w:t>
      </w:r>
    </w:p>
    <w:p>
      <w:pPr>
        <w:spacing w:line="576" w:lineRule="exact"/>
        <w:ind w:firstLineChars="250" w:firstLine="800"/>
        <w:rPr>
          <w:rFonts w:ascii="Times New Roman" w:eastAsia="黑体" w:hAnsi="Times New Roman"/>
          <w:sz w:val="32"/>
          <w:szCs w:val="32"/>
        </w:rPr>
      </w:pPr>
      <w:r>
        <w:rPr>
          <w:rFonts w:ascii="Times New Roman" w:eastAsia="黑体" w:hAnsi="Times New Roman"/>
          <w:sz w:val="32"/>
          <w:szCs w:val="32"/>
        </w:rPr>
        <w:t>五、一般公共预算当年拨款情况说明</w:t>
      </w:r>
    </w:p>
    <w:p>
      <w:pPr>
        <w:pStyle w:val="18"/>
        <w:spacing w:before="0" w:line="576" w:lineRule="exact"/>
        <w:ind w:firstLine="660"/>
        <w:rPr>
          <w:rFonts w:ascii="Times New Roman" w:eastAsia="楷体" w:hAnsi="Times New Roman"/>
          <w:kern w:val="2"/>
          <w:sz w:val="32"/>
          <w:szCs w:val="32"/>
        </w:rPr>
      </w:pPr>
      <w:r>
        <w:rPr>
          <w:rFonts w:ascii="Times New Roman" w:eastAsia="楷体" w:hAnsi="Times New Roman"/>
          <w:kern w:val="2"/>
          <w:sz w:val="32"/>
          <w:szCs w:val="32"/>
        </w:rPr>
        <w:t>（一）一般公共预算当年拨款规模变化情况</w:t>
      </w:r>
    </w:p>
    <w:p>
      <w:pPr>
        <w:pStyle w:val="18"/>
        <w:spacing w:before="0" w:line="576" w:lineRule="exact"/>
        <w:ind w:firstLine="660"/>
        <w:rPr>
          <w:rFonts w:ascii="Times New Roman" w:hAnsi="Times New Roman"/>
          <w:kern w:val="2"/>
          <w:sz w:val="32"/>
          <w:szCs w:val="32"/>
        </w:rPr>
      </w:pPr>
      <w:r>
        <w:rPr>
          <w:rFonts w:ascii="Times New Roman" w:eastAsia="方正仿宋_GBK" w:hAnsi="Times New Roman"/>
          <w:sz w:val="32"/>
          <w:szCs w:val="32"/>
        </w:rPr>
        <w:t>州委目标绩效办2026年一般公共预算当年拨款652.63万元，比2025年预算数增加137.93万元，主要原因：</w:t>
      </w:r>
      <w:r>
        <w:rPr>
          <w:rStyle w:val="0"/>
          <w:rFonts w:ascii="Times New Roman" w:eastAsia="方正仿宋_GBK" w:hAnsi="Times New Roman"/>
          <w:sz w:val="32"/>
          <w:szCs w:val="32"/>
        </w:rPr>
        <w:t>2025年新增在编5人、临聘2人，公务用车2辆，一般公共服务支出增加。</w:t>
      </w:r>
      <w:r>
        <w:rPr>
          <w:rFonts w:ascii="Times New Roman" w:hAnsi="Times New Roman"/>
          <w:kern w:val="2"/>
          <w:sz w:val="32"/>
          <w:szCs w:val="32"/>
        </w:rPr>
        <w:t>　</w:t>
      </w:r>
    </w:p>
    <w:p>
      <w:pPr>
        <w:pStyle w:val="18"/>
        <w:spacing w:before="0" w:line="576" w:lineRule="exact"/>
        <w:ind w:left="0" w:firstLineChars="200" w:firstLine="640"/>
        <w:rPr>
          <w:rFonts w:ascii="Times New Roman" w:hAnsi="Times New Roman"/>
          <w:sz w:val="32"/>
          <w:szCs w:val="32"/>
        </w:rPr>
      </w:pPr>
      <w:r>
        <w:rPr>
          <w:rFonts w:ascii="Times New Roman" w:eastAsia="楷体" w:hAnsi="Times New Roman"/>
          <w:sz w:val="32"/>
          <w:szCs w:val="32"/>
        </w:rPr>
        <w:t>（二）一般公共预算当年拨款结构情况</w:t>
      </w:r>
      <w:r>
        <w:rPr>
          <w:rFonts w:ascii="Times New Roman" w:hAnsi="Times New Roman"/>
          <w:sz w:val="32"/>
          <w:szCs w:val="32"/>
        </w:rPr>
        <w:t xml:space="preserve">  </w:t>
      </w:r>
    </w:p>
    <w:p>
      <w:pPr>
        <w:pStyle w:val="18"/>
        <w:spacing w:before="0" w:line="576" w:lineRule="exact"/>
        <w:ind w:left="0" w:firstLineChars="250" w:firstLine="800"/>
        <w:rPr>
          <w:rFonts w:ascii="Times New Roman" w:eastAsia="方正仿宋_GBK" w:hAnsi="Times New Roman"/>
          <w:kern w:val="2"/>
          <w:sz w:val="32"/>
          <w:szCs w:val="32"/>
        </w:rPr>
      </w:pPr>
      <w:r>
        <w:rPr>
          <w:rFonts w:ascii="Times New Roman" w:eastAsia="方正仿宋_GBK" w:hAnsi="Times New Roman"/>
          <w:kern w:val="2"/>
          <w:sz w:val="32"/>
          <w:szCs w:val="32"/>
        </w:rPr>
        <w:t>一般公共服务支出</w:t>
      </w:r>
      <w:r>
        <w:rPr>
          <w:rStyle w:val="0"/>
          <w:rFonts w:ascii="Times New Roman" w:eastAsia="方正仿宋_GBK" w:hAnsi="Times New Roman"/>
          <w:sz w:val="32"/>
          <w:szCs w:val="32"/>
        </w:rPr>
        <w:t>498.19</w:t>
      </w:r>
      <w:r>
        <w:rPr>
          <w:rFonts w:ascii="Times New Roman" w:eastAsia="方正仿宋_GBK" w:hAnsi="Times New Roman"/>
          <w:kern w:val="2"/>
          <w:sz w:val="32"/>
          <w:szCs w:val="32"/>
        </w:rPr>
        <w:t>万元，占76.34%；社会保障和就业支出83.03万元，占12.72%；卫生健康支出28.90万元，占4.43%；住房保障支出42.50万元，占6.51%。</w:t>
      </w:r>
    </w:p>
    <w:p>
      <w:pPr>
        <w:pStyle w:val="18"/>
        <w:spacing w:before="0" w:line="576" w:lineRule="exact"/>
        <w:ind w:firstLine="660"/>
        <w:rPr>
          <w:rFonts w:ascii="Times New Roman" w:eastAsia="楷体" w:hAnsi="Times New Roman"/>
          <w:sz w:val="32"/>
          <w:szCs w:val="32"/>
        </w:rPr>
      </w:pPr>
      <w:r>
        <w:rPr>
          <w:rFonts w:ascii="Times New Roman" w:eastAsia="楷体" w:hAnsi="Times New Roman"/>
          <w:sz w:val="32"/>
          <w:szCs w:val="32"/>
        </w:rPr>
        <w:t>（三）一般公共预算当年拨款具体使用情况</w:t>
      </w:r>
    </w:p>
    <w:p>
      <w:pPr>
        <w:pStyle w:val="18"/>
        <w:spacing w:before="0" w:line="576" w:lineRule="exact"/>
        <w:ind w:firstLine="660"/>
        <w:rPr>
          <w:rFonts w:ascii="Times New Roman" w:eastAsia="方正仿宋_GBK" w:hAnsi="Times New Roman"/>
          <w:sz w:val="32"/>
          <w:szCs w:val="32"/>
        </w:rPr>
      </w:pPr>
      <w:r>
        <w:rPr>
          <w:rFonts w:ascii="Times New Roman" w:eastAsia="方正仿宋_GBK" w:hAnsi="Times New Roman"/>
          <w:sz w:val="32"/>
          <w:szCs w:val="32"/>
        </w:rPr>
        <w:t>1.一般公共服务（类）党委办公厅及相关机构事务（款）行政运行（项）2026年预算数为311.84万元，主要用于：行政人员的工资福利支出和办公费、水电费、差旅费、福利费、工会经费等一般公用支出，保障单位正常运转。</w:t>
      </w:r>
    </w:p>
    <w:p>
      <w:pPr>
        <w:pStyle w:val="18"/>
        <w:spacing w:before="0" w:line="576" w:lineRule="exact"/>
        <w:ind w:firstLine="660"/>
        <w:rPr>
          <w:rFonts w:ascii="Times New Roman" w:eastAsia="方正仿宋_GBK" w:hAnsi="Times New Roman"/>
          <w:sz w:val="32"/>
          <w:szCs w:val="32"/>
        </w:rPr>
      </w:pPr>
      <w:r>
        <w:rPr>
          <w:rFonts w:ascii="Times New Roman" w:eastAsia="方正仿宋_GBK" w:hAnsi="Times New Roman"/>
          <w:sz w:val="32"/>
          <w:szCs w:val="32"/>
        </w:rPr>
        <w:t>2.一般公共服务（类）党委办公厅及相关机构事务（款）事业运行（项）2026年预算数为106.36万元，主要用于：事业人员的工资福利支出和办公费、水电费、差旅费、福利费等一般公用支出，保障单位正常运转。</w:t>
      </w:r>
    </w:p>
    <w:p>
      <w:pPr>
        <w:pStyle w:val="18"/>
        <w:spacing w:before="0" w:line="576" w:lineRule="exact"/>
        <w:ind w:firstLine="660"/>
        <w:rPr>
          <w:rFonts w:ascii="Times New Roman" w:eastAsia="方正仿宋_GBK" w:hAnsi="Times New Roman"/>
          <w:sz w:val="32"/>
          <w:szCs w:val="32"/>
        </w:rPr>
      </w:pPr>
      <w:r>
        <w:rPr>
          <w:rFonts w:ascii="Times New Roman" w:eastAsia="方正仿宋_GBK" w:hAnsi="Times New Roman"/>
          <w:sz w:val="32"/>
          <w:szCs w:val="32"/>
        </w:rPr>
        <w:t>3.社会保障和就业（类）行政事业单位养老支出（款）机关事业单位基本养老保险缴费支出（项）2026年预算数为55.65万元，主要用于职工养老保险缴费。</w:t>
      </w:r>
    </w:p>
    <w:p>
      <w:pPr>
        <w:pStyle w:val="18"/>
        <w:spacing w:before="0" w:line="576" w:lineRule="exact"/>
        <w:ind w:firstLine="660"/>
        <w:rPr>
          <w:rFonts w:ascii="Times New Roman" w:eastAsia="方正仿宋_GBK" w:hAnsi="Times New Roman"/>
          <w:sz w:val="32"/>
          <w:szCs w:val="32"/>
        </w:rPr>
      </w:pPr>
      <w:r>
        <w:rPr>
          <w:rFonts w:ascii="Times New Roman" w:eastAsia="方正仿宋_GBK" w:hAnsi="Times New Roman"/>
          <w:sz w:val="32"/>
          <w:szCs w:val="32"/>
        </w:rPr>
        <w:t>4.社会保障和就业（类）行政事业单位养老支出（款）机关事业单位职业年金缴费支出（项）2026年预算数为27.38万元，主要用于职工职业年金缴费。</w:t>
      </w:r>
    </w:p>
    <w:p>
      <w:pPr>
        <w:pStyle w:val="18"/>
        <w:spacing w:before="0" w:line="576" w:lineRule="exact"/>
        <w:ind w:firstLine="660"/>
        <w:rPr>
          <w:rFonts w:ascii="Times New Roman" w:eastAsia="方正仿宋_GBK" w:hAnsi="Times New Roman"/>
          <w:sz w:val="32"/>
          <w:szCs w:val="32"/>
        </w:rPr>
      </w:pPr>
      <w:r>
        <w:rPr>
          <w:rFonts w:ascii="Times New Roman" w:eastAsia="方正仿宋_GBK" w:hAnsi="Times New Roman"/>
          <w:sz w:val="32"/>
          <w:szCs w:val="32"/>
        </w:rPr>
        <w:t xml:space="preserve"> 5.卫生健康支出（类）行政事业单位医疗（款）行政单位医疗支出（项）2026年预算数为 16.45万元，主要用于行政人员医疗保险缴费。</w:t>
      </w:r>
    </w:p>
    <w:p>
      <w:pPr>
        <w:pStyle w:val="18"/>
        <w:spacing w:before="0" w:line="576" w:lineRule="exact"/>
        <w:ind w:firstLine="660"/>
        <w:rPr>
          <w:rFonts w:ascii="Times New Roman" w:eastAsia="方正仿宋_GBK" w:hAnsi="Times New Roman"/>
          <w:sz w:val="32"/>
          <w:szCs w:val="32"/>
        </w:rPr>
      </w:pPr>
      <w:r>
        <w:rPr>
          <w:rFonts w:ascii="Times New Roman" w:eastAsia="方正仿宋_GBK" w:hAnsi="Times New Roman"/>
          <w:sz w:val="32"/>
          <w:szCs w:val="32"/>
        </w:rPr>
        <w:t>6.卫生健康支出（类）行政事业单位医疗（款）公务员医疗补助（项）2026年预算数为3.46万元，主要用于职工公务员医疗补助缴费。</w:t>
      </w:r>
    </w:p>
    <w:p>
      <w:pPr>
        <w:pStyle w:val="18"/>
        <w:spacing w:before="0" w:line="576" w:lineRule="exact"/>
        <w:ind w:firstLine="660"/>
        <w:rPr>
          <w:rFonts w:ascii="Times New Roman" w:eastAsia="方正仿宋_GBK" w:hAnsi="Times New Roman"/>
          <w:sz w:val="32"/>
          <w:szCs w:val="32"/>
        </w:rPr>
      </w:pPr>
      <w:r>
        <w:rPr>
          <w:rFonts w:ascii="Times New Roman" w:eastAsia="方正仿宋_GBK" w:hAnsi="Times New Roman"/>
          <w:sz w:val="32"/>
          <w:szCs w:val="32"/>
        </w:rPr>
        <w:t>7.卫生健康支出（类）行政事业单位医疗（款）事业单位医疗支出（项）2026年预算数为8.99万元，主要用于事业人员医疗保险缴费。</w:t>
      </w:r>
    </w:p>
    <w:p>
      <w:pPr>
        <w:pStyle w:val="18"/>
        <w:spacing w:before="0" w:line="576" w:lineRule="exact"/>
        <w:ind w:firstLine="660"/>
        <w:rPr>
          <w:rFonts w:ascii="Times New Roman" w:eastAsia="方正仿宋_GBK" w:hAnsi="Times New Roman"/>
          <w:sz w:val="32"/>
          <w:szCs w:val="32"/>
        </w:rPr>
      </w:pPr>
      <w:r>
        <w:rPr>
          <w:rFonts w:ascii="Times New Roman" w:eastAsia="方正仿宋_GBK" w:hAnsi="Times New Roman"/>
          <w:sz w:val="32"/>
          <w:szCs w:val="32"/>
        </w:rPr>
        <w:t>8.住房保障支出（类）住房改革支出（款）住房公积金 （项）2026年预算数为42.50万元，主要用于单位为职工缴纳住房公积金。</w:t>
      </w:r>
    </w:p>
    <w:p>
      <w:pPr>
        <w:pStyle w:val="18"/>
        <w:spacing w:before="0" w:line="576" w:lineRule="exact"/>
        <w:ind w:firstLine="660"/>
        <w:rPr>
          <w:rFonts w:ascii="Times New Roman" w:eastAsia="黑体" w:hAnsi="Times New Roman"/>
          <w:sz w:val="32"/>
          <w:szCs w:val="32"/>
        </w:rPr>
      </w:pPr>
      <w:r>
        <w:rPr>
          <w:rFonts w:ascii="Times New Roman" w:eastAsia="黑体" w:hAnsi="Times New Roman"/>
          <w:sz w:val="32"/>
          <w:szCs w:val="32"/>
        </w:rPr>
        <w:t>六、一般公共预算基本支出情况说明</w:t>
      </w:r>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仿宋_GBK" w:hAnsi="Times New Roman"/>
          <w:sz w:val="32"/>
          <w:szCs w:val="32"/>
        </w:rPr>
        <w:t>州委目标绩效办2026年一般公共预算基本支出 572.63万元，其中：人员经费 487.53万元，主要包括：</w:t>
      </w:r>
      <w:r>
        <w:rPr>
          <w:rFonts w:ascii="Times New Roman" w:eastAsia="方正仿宋_GBK" w:hAnsi="Times New Roman"/>
          <w:kern w:val="2"/>
          <w:sz w:val="32"/>
          <w:szCs w:val="32"/>
        </w:rPr>
        <w:t>基本工资、津贴补贴、奖金、其他社会保障缴费、绩效工资、机关事业单位基本养老保险缴费、职业年金缴费、其他工资福利支出、离休费、奖励金、住房公积金、其他对个人和家庭的补助支出。</w:t>
      </w:r>
    </w:p>
    <w:p>
      <w:pPr>
        <w:pStyle w:val="18"/>
        <w:spacing w:before="0" w:line="576" w:lineRule="exact"/>
        <w:ind w:firstLineChars="200" w:firstLine="640"/>
        <w:rPr>
          <w:rFonts w:ascii="Times New Roman" w:eastAsia="黑体" w:hAnsi="Times New Roman"/>
          <w:sz w:val="32"/>
          <w:szCs w:val="32"/>
        </w:rPr>
      </w:pPr>
      <w:r>
        <w:rPr>
          <w:rFonts w:ascii="Times New Roman" w:eastAsia="方正仿宋_GBK" w:hAnsi="Times New Roman"/>
          <w:sz w:val="32"/>
          <w:szCs w:val="32"/>
        </w:rPr>
        <w:t>公用经费84.99万元，主要包括：</w:t>
      </w:r>
      <w:r>
        <w:rPr>
          <w:rFonts w:ascii="Times New Roman" w:eastAsia="方正仿宋_GBK" w:hAnsi="Times New Roman"/>
          <w:kern w:val="2"/>
          <w:sz w:val="32"/>
          <w:szCs w:val="32"/>
        </w:rPr>
        <w:t>办公费、印刷费、手续费、水费、电费、邮电费、差旅费、维修（护）费、培训费、福利费、其他商品和服务支出。</w:t>
      </w:r>
      <w:r>
        <w:rPr>
          <w:rFonts w:ascii="Times New Roman" w:hAnsi="Times New Roman"/>
          <w:kern w:val="2"/>
          <w:sz w:val="32"/>
          <w:szCs w:val="32"/>
        </w:rPr>
        <w:br/>
      </w:r>
      <w:r>
        <w:rPr>
          <w:rFonts w:ascii="Times New Roman" w:eastAsia="黑体" w:hAnsi="Times New Roman"/>
          <w:sz w:val="32"/>
          <w:szCs w:val="32"/>
        </w:rPr>
        <w:t xml:space="preserve">    七、“三公”经费财政拨款预算安排情况说明</w:t>
      </w:r>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仿宋_GBK" w:hAnsi="Times New Roman"/>
          <w:sz w:val="32"/>
          <w:szCs w:val="32"/>
        </w:rPr>
        <w:t>州委目标绩效办</w:t>
      </w:r>
      <w:r>
        <w:rPr>
          <w:rFonts w:ascii="Times New Roman" w:eastAsia="方正仿宋_GBK" w:hAnsi="Times New Roman"/>
          <w:kern w:val="2"/>
          <w:sz w:val="32"/>
          <w:szCs w:val="32"/>
        </w:rPr>
        <w:t>2026年“三公”经费财政拨款预算数19.37万元，其中：因公出国（境）经费0万元，公务接待费1.37万元，公务用车运行维护费18万元。</w:t>
      </w:r>
    </w:p>
    <w:p>
      <w:pPr>
        <w:pStyle w:val="18"/>
        <w:spacing w:before="0" w:line="576" w:lineRule="exact"/>
        <w:ind w:firstLineChars="200" w:firstLine="640"/>
        <w:rPr>
          <w:rFonts w:ascii="Times New Roman" w:eastAsia="方正仿宋_GBK" w:hAnsi="Times New Roman"/>
          <w:kern w:val="2"/>
          <w:sz w:val="32"/>
          <w:szCs w:val="32"/>
        </w:rPr>
      </w:pPr>
      <w:r>
        <w:rPr>
          <w:rFonts w:ascii="Times New Roman" w:eastAsia="方正仿宋_GBK" w:hAnsi="Times New Roman"/>
          <w:kern w:val="2"/>
          <w:sz w:val="32"/>
          <w:szCs w:val="32"/>
        </w:rPr>
        <w:t>（一）2026年因公出国（境）经费0万元。</w:t>
      </w:r>
    </w:p>
    <w:p>
      <w:pPr>
        <w:pStyle w:val="18"/>
        <w:spacing w:before="0" w:line="576" w:lineRule="exact"/>
        <w:ind w:firstLine="660"/>
        <w:rPr>
          <w:rFonts w:ascii="Times New Roman" w:eastAsia="方正仿宋_GBK" w:hAnsi="Times New Roman"/>
          <w:kern w:val="2"/>
          <w:sz w:val="32"/>
          <w:szCs w:val="32"/>
        </w:rPr>
      </w:pPr>
      <w:r>
        <w:rPr>
          <w:rFonts w:ascii="Times New Roman" w:eastAsia="方正仿宋_GBK" w:hAnsi="Times New Roman"/>
          <w:kern w:val="2"/>
          <w:sz w:val="32"/>
          <w:szCs w:val="32"/>
        </w:rPr>
        <w:t>（二）</w:t>
      </w:r>
      <w:r>
        <w:rPr>
          <w:rFonts w:ascii="Times New Roman" w:eastAsia="方正仿宋_GBK" w:hAnsi="Times New Roman"/>
          <w:color w:val="000000"/>
          <w:kern w:val="2"/>
          <w:sz w:val="32"/>
          <w:szCs w:val="32"/>
        </w:rPr>
        <w:t>2026年公务接待经费1.37万元。较2025年预算经费</w:t>
      </w:r>
      <w:r>
        <w:rPr>
          <w:rFonts w:ascii="Times New Roman" w:eastAsia="方正仿宋_GBK" w:hAnsi="Times New Roman"/>
          <w:sz w:val="32"/>
          <w:szCs w:val="32"/>
        </w:rPr>
        <w:t>增加0.69</w:t>
      </w:r>
      <w:r>
        <w:rPr>
          <w:rFonts w:ascii="Times New Roman" w:eastAsia="方正仿宋_GBK" w:hAnsi="Times New Roman"/>
          <w:color w:val="000000"/>
          <w:kern w:val="2"/>
          <w:sz w:val="32"/>
          <w:szCs w:val="32"/>
        </w:rPr>
        <w:t>万元，</w:t>
      </w:r>
      <w:r>
        <w:rPr>
          <w:rFonts w:ascii="Times New Roman" w:eastAsia="方正仿宋_GBK" w:hAnsi="Times New Roman"/>
          <w:sz w:val="32"/>
          <w:szCs w:val="32"/>
        </w:rPr>
        <w:t>增长</w:t>
      </w:r>
      <w:r>
        <w:rPr>
          <w:rFonts w:ascii="Times New Roman" w:eastAsia="方正仿宋_GBK" w:hAnsi="Times New Roman"/>
          <w:color w:val="000000"/>
          <w:kern w:val="2"/>
          <w:sz w:val="32"/>
          <w:szCs w:val="32"/>
        </w:rPr>
        <w:t>101%，主要原因：</w:t>
      </w:r>
      <w:r>
        <w:rPr>
          <w:rStyle w:val="0"/>
          <w:rFonts w:ascii="Times New Roman" w:eastAsia="方正仿宋_GBK" w:hAnsi="Times New Roman"/>
          <w:sz w:val="32"/>
          <w:szCs w:val="32"/>
        </w:rPr>
        <w:t>2025年新增在编5人，一般公共服务支出增加。</w:t>
      </w:r>
      <w:r>
        <w:rPr>
          <w:rFonts w:ascii="Times New Roman" w:eastAsia="方正仿宋_GBK" w:hAnsi="Times New Roman"/>
          <w:kern w:val="2"/>
          <w:sz w:val="32"/>
          <w:szCs w:val="32"/>
        </w:rPr>
        <w:t>　</w:t>
      </w:r>
    </w:p>
    <w:p>
      <w:pPr>
        <w:pStyle w:val="18"/>
        <w:spacing w:before="0" w:line="576" w:lineRule="exact"/>
        <w:ind w:firstLineChars="200" w:firstLine="640"/>
        <w:rPr>
          <w:rFonts w:ascii="Times New Roman" w:eastAsia="方正仿宋_GBK" w:hAnsi="Times New Roman"/>
          <w:color w:val="000000"/>
          <w:kern w:val="2"/>
          <w:sz w:val="32"/>
          <w:szCs w:val="32"/>
        </w:rPr>
      </w:pPr>
      <w:r>
        <w:rPr>
          <w:rFonts w:ascii="Times New Roman" w:eastAsia="方正仿宋_GBK" w:hAnsi="Times New Roman"/>
          <w:color w:val="000000"/>
          <w:kern w:val="2"/>
          <w:sz w:val="32"/>
          <w:szCs w:val="32"/>
        </w:rPr>
        <w:t>（三）2026年公务用车运行维护费18.00万元。较2025年预算经费增加18万元，增长100%，主要原因：2025年新增公务用车2辆，</w:t>
      </w:r>
      <w:r>
        <w:rPr>
          <w:rStyle w:val="0"/>
          <w:rFonts w:ascii="Times New Roman" w:eastAsia="方正仿宋_GBK" w:hAnsi="Times New Roman"/>
          <w:sz w:val="32"/>
          <w:szCs w:val="32"/>
        </w:rPr>
        <w:t>一般公共服务支出增加</w:t>
      </w:r>
      <w:r>
        <w:rPr>
          <w:rFonts w:ascii="Times New Roman" w:eastAsia="方正仿宋_GBK" w:hAnsi="Times New Roman"/>
          <w:color w:val="000000"/>
          <w:kern w:val="2"/>
          <w:sz w:val="32"/>
          <w:szCs w:val="32"/>
        </w:rPr>
        <w:t>。</w:t>
      </w:r>
    </w:p>
    <w:p>
      <w:pPr>
        <w:pStyle w:val="18"/>
        <w:spacing w:before="0" w:line="576" w:lineRule="exact"/>
        <w:ind w:firstLineChars="200" w:firstLine="640"/>
        <w:rPr>
          <w:rFonts w:ascii="Times New Roman" w:eastAsia="黑体" w:hAnsi="Times New Roman"/>
          <w:sz w:val="32"/>
          <w:szCs w:val="32"/>
        </w:rPr>
      </w:pPr>
      <w:r>
        <w:rPr>
          <w:rFonts w:ascii="Times New Roman" w:eastAsia="黑体" w:hAnsi="Times New Roman"/>
          <w:sz w:val="32"/>
          <w:szCs w:val="32"/>
        </w:rPr>
        <w:t>八、政府性基金</w:t>
      </w:r>
      <w:r>
        <w:rPr>
          <w:rFonts w:ascii="Times New Roman" w:eastAsia="黑体" w:hAnsi="Times New Roman"/>
          <w:kern w:val="2"/>
          <w:sz w:val="32"/>
          <w:szCs w:val="32"/>
        </w:rPr>
        <w:t>预算</w:t>
      </w:r>
      <w:r>
        <w:rPr>
          <w:rFonts w:ascii="Times New Roman" w:eastAsia="黑体" w:hAnsi="Times New Roman"/>
          <w:sz w:val="32"/>
          <w:szCs w:val="32"/>
        </w:rPr>
        <w:t>支出情况说明</w:t>
      </w:r>
    </w:p>
    <w:p>
      <w:pPr>
        <w:pStyle w:val="18"/>
        <w:spacing w:before="0" w:line="576" w:lineRule="exact"/>
        <w:ind w:firstLineChars="200" w:firstLine="640"/>
        <w:rPr>
          <w:rFonts w:ascii="Times New Roman" w:eastAsia="方正仿宋_GBK" w:hAnsi="Times New Roman"/>
        </w:rPr>
      </w:pPr>
      <w:r>
        <w:rPr>
          <w:rFonts w:ascii="Times New Roman" w:eastAsia="方正仿宋_GBK" w:hAnsi="Times New Roman"/>
          <w:sz w:val="32"/>
          <w:szCs w:val="32"/>
        </w:rPr>
        <w:t>州委目标绩效办</w:t>
      </w:r>
      <w:r>
        <w:rPr>
          <w:rFonts w:ascii="Times New Roman" w:eastAsia="方正仿宋_GBK" w:hAnsi="Times New Roman"/>
        </w:rPr>
        <w:t>2026年没有使用政府性基金预算拨款安排的支出。</w:t>
      </w:r>
    </w:p>
    <w:p>
      <w:pPr>
        <w:pStyle w:val="18"/>
        <w:spacing w:before="0" w:line="576" w:lineRule="exact"/>
        <w:ind w:firstLineChars="200" w:firstLine="640"/>
        <w:rPr>
          <w:rFonts w:ascii="Times New Roman" w:eastAsia="黑体" w:hAnsi="Times New Roman"/>
          <w:sz w:val="32"/>
          <w:szCs w:val="32"/>
        </w:rPr>
      </w:pPr>
      <w:r>
        <w:rPr>
          <w:rFonts w:ascii="Times New Roman" w:eastAsia="黑体" w:hAnsi="Times New Roman"/>
          <w:sz w:val="32"/>
          <w:szCs w:val="32"/>
        </w:rPr>
        <w:t>九、其他重要事项的情况说明</w:t>
      </w:r>
    </w:p>
    <w:p>
      <w:pPr>
        <w:pStyle w:val="18"/>
        <w:spacing w:before="0" w:line="576" w:lineRule="exact"/>
        <w:ind w:firstLineChars="200" w:firstLine="640"/>
        <w:rPr>
          <w:rFonts w:ascii="Times New Roman" w:hAnsi="Times New Roman"/>
          <w:color w:val="FF0000"/>
          <w:kern w:val="2"/>
          <w:sz w:val="32"/>
          <w:szCs w:val="32"/>
        </w:rPr>
      </w:pPr>
      <w:r>
        <w:rPr>
          <w:rFonts w:ascii="Times New Roman" w:eastAsia="楷体" w:hAnsi="Times New Roman"/>
          <w:kern w:val="2"/>
          <w:sz w:val="32"/>
          <w:szCs w:val="32"/>
        </w:rPr>
        <w:t>（一）机关运行经费</w:t>
      </w:r>
      <w:r>
        <w:rPr>
          <w:rFonts w:ascii="Times New Roman" w:hAnsi="Times New Roman"/>
          <w:kern w:val="2"/>
          <w:sz w:val="32"/>
          <w:szCs w:val="32"/>
        </w:rPr>
        <w:br/>
        <w:t>　</w:t>
      </w:r>
      <w:r>
        <w:rPr>
          <w:rFonts w:ascii="Times New Roman" w:eastAsia="方正仿宋_GBK" w:hAnsi="Times New Roman"/>
          <w:kern w:val="2"/>
          <w:sz w:val="32"/>
          <w:szCs w:val="32"/>
        </w:rPr>
        <w:t xml:space="preserve"> </w:t>
      </w:r>
      <w:r>
        <w:rPr>
          <w:rFonts w:ascii="Times New Roman" w:eastAsia="方正仿宋_GBK" w:hAnsi="Times New Roman"/>
          <w:sz w:val="32"/>
          <w:szCs w:val="32"/>
        </w:rPr>
        <w:t>州委目标绩效办</w:t>
      </w:r>
      <w:r>
        <w:rPr>
          <w:rFonts w:ascii="Times New Roman" w:eastAsia="方正仿宋_GBK" w:hAnsi="Times New Roman"/>
          <w:kern w:val="2"/>
          <w:sz w:val="32"/>
          <w:szCs w:val="32"/>
        </w:rPr>
        <w:t>2026年机关运行经费财政拨款预算为85.1万元，比2025年预算</w:t>
      </w:r>
      <w:r>
        <w:rPr>
          <w:rFonts w:ascii="Times New Roman" w:eastAsia="方正仿宋_GBK" w:hAnsi="Times New Roman"/>
          <w:sz w:val="32"/>
          <w:szCs w:val="32"/>
        </w:rPr>
        <w:t>增加33.63</w:t>
      </w:r>
      <w:r>
        <w:rPr>
          <w:rFonts w:ascii="Times New Roman" w:eastAsia="方正仿宋_GBK" w:hAnsi="Times New Roman"/>
          <w:color w:val="000000"/>
          <w:kern w:val="2"/>
          <w:sz w:val="32"/>
          <w:szCs w:val="32"/>
        </w:rPr>
        <w:t>万元，增长65.33%。</w:t>
      </w:r>
      <w:r>
        <w:rPr>
          <w:rFonts w:ascii="Times New Roman" w:eastAsia="方正仿宋_GBK" w:hAnsi="Times New Roman"/>
          <w:sz w:val="32"/>
          <w:szCs w:val="32"/>
        </w:rPr>
        <w:t>2026年，州委目标绩效办</w:t>
      </w:r>
      <w:bookmarkStart w:id="0" w:name="_GoBack"/>
      <w:bookmarkEnd w:id="0"/>
      <w:r>
        <w:rPr>
          <w:rFonts w:ascii="Times New Roman" w:eastAsia="方正仿宋_GBK" w:hAnsi="Times New Roman"/>
          <w:sz w:val="32"/>
          <w:szCs w:val="32"/>
        </w:rPr>
        <w:t>机关运行经费财政拨款预算为 62.25万元，比 2025年预算增加27.2万元，增长77.6%。主要原因：2025年新增在编人员、公务用车，增加机关运行经费。2026年，州委目标绩效办下属阿坝州目标绩效事务中心1家事业单位的机关运行经费财政拨款预算为22.85万元，比2025年预算增加6.43万元，增长39.16%。主要原因：新增在编人员,增加机关运行经费。</w:t>
      </w:r>
    </w:p>
    <w:p>
      <w:pPr>
        <w:pStyle w:val="18"/>
        <w:spacing w:before="0" w:line="576" w:lineRule="exact"/>
        <w:ind w:firstLineChars="200" w:firstLine="640"/>
        <w:rPr>
          <w:rFonts w:ascii="Times New Roman" w:hAnsi="Times New Roman"/>
          <w:kern w:val="2"/>
          <w:sz w:val="32"/>
          <w:szCs w:val="32"/>
        </w:rPr>
      </w:pPr>
      <w:r>
        <w:rPr>
          <w:rFonts w:ascii="Times New Roman" w:eastAsia="楷体" w:hAnsi="Times New Roman"/>
          <w:kern w:val="2"/>
          <w:sz w:val="32"/>
          <w:szCs w:val="32"/>
        </w:rPr>
        <w:t>（二）政府采购情况</w:t>
      </w:r>
      <w:r>
        <w:rPr>
          <w:rFonts w:ascii="Times New Roman" w:hAnsi="Times New Roman"/>
          <w:kern w:val="2"/>
          <w:sz w:val="32"/>
          <w:szCs w:val="32"/>
        </w:rPr>
        <w:br/>
        <w:t>　</w:t>
      </w:r>
      <w:r>
        <w:rPr>
          <w:rFonts w:ascii="Times New Roman" w:hAnsi="Times New Roman"/>
          <w:color w:val="000000"/>
          <w:kern w:val="2"/>
          <w:sz w:val="32"/>
          <w:szCs w:val="32"/>
        </w:rPr>
        <w:t>　</w:t>
      </w:r>
      <w:r>
        <w:rPr>
          <w:rFonts w:ascii="Times New Roman" w:eastAsia="方正仿宋_GBK" w:hAnsi="Times New Roman"/>
          <w:color w:val="000000"/>
          <w:kern w:val="2"/>
          <w:sz w:val="32"/>
          <w:szCs w:val="32"/>
        </w:rPr>
        <w:t xml:space="preserve"> 2026年</w:t>
      </w:r>
      <w:r>
        <w:rPr>
          <w:rFonts w:ascii="Times New Roman" w:eastAsia="方正仿宋_GBK" w:hAnsi="Times New Roman"/>
          <w:sz w:val="32"/>
          <w:szCs w:val="32"/>
        </w:rPr>
        <w:t>州委目标绩效办</w:t>
      </w:r>
      <w:r>
        <w:rPr>
          <w:rFonts w:ascii="Times New Roman" w:eastAsia="方正仿宋_GBK" w:hAnsi="Times New Roman"/>
          <w:color w:val="000000"/>
          <w:kern w:val="2"/>
          <w:sz w:val="32"/>
          <w:szCs w:val="32"/>
        </w:rPr>
        <w:t>安排政府采购预算0万元。</w:t>
      </w:r>
    </w:p>
    <w:p>
      <w:pPr>
        <w:pStyle w:val="18"/>
        <w:spacing w:before="0" w:line="576" w:lineRule="exact"/>
        <w:ind w:firstLineChars="200" w:firstLine="640"/>
        <w:rPr>
          <w:rFonts w:ascii="Times New Roman" w:eastAsia="楷体" w:hAnsi="Times New Roman"/>
          <w:kern w:val="2"/>
          <w:sz w:val="32"/>
          <w:szCs w:val="32"/>
        </w:rPr>
      </w:pPr>
      <w:r>
        <w:rPr>
          <w:rFonts w:ascii="Times New Roman" w:eastAsia="楷体" w:hAnsi="Times New Roman"/>
          <w:kern w:val="2"/>
          <w:sz w:val="32"/>
          <w:szCs w:val="32"/>
        </w:rPr>
        <w:t>（三）国有资产占有使用情况</w:t>
      </w:r>
    </w:p>
    <w:p>
      <w:pPr>
        <w:pStyle w:val="18"/>
        <w:spacing w:before="0" w:line="576" w:lineRule="exact"/>
        <w:ind w:firstLineChars="250" w:firstLine="800"/>
        <w:rPr>
          <w:rFonts w:ascii="Times New Roman" w:eastAsia="方正仿宋_GBK" w:hAnsi="Times New Roman"/>
          <w:kern w:val="2"/>
          <w:sz w:val="32"/>
          <w:szCs w:val="32"/>
        </w:rPr>
      </w:pPr>
      <w:r>
        <w:rPr>
          <w:rFonts w:ascii="Times New Roman" w:eastAsia="方正仿宋_GBK" w:hAnsi="Times New Roman"/>
          <w:kern w:val="2"/>
          <w:sz w:val="32"/>
          <w:szCs w:val="32"/>
        </w:rPr>
        <w:t>截至2025年12月31日，我单位固定资产209.38万元。</w:t>
      </w:r>
    </w:p>
    <w:p>
      <w:pPr>
        <w:pStyle w:val="18"/>
        <w:spacing w:before="0" w:line="576" w:lineRule="exact"/>
        <w:ind w:firstLineChars="200" w:firstLine="640"/>
        <w:rPr>
          <w:rFonts w:ascii="Times New Roman" w:eastAsia="黑体" w:hAnsi="Times New Roman"/>
          <w:sz w:val="32"/>
          <w:szCs w:val="32"/>
        </w:rPr>
      </w:pPr>
      <w:r>
        <w:rPr>
          <w:rFonts w:ascii="Times New Roman" w:eastAsia="楷体" w:hAnsi="Times New Roman"/>
          <w:kern w:val="2"/>
          <w:sz w:val="32"/>
          <w:szCs w:val="32"/>
        </w:rPr>
        <w:t>（四）绩效目标设置情况</w:t>
      </w:r>
      <w:r>
        <w:rPr>
          <w:rFonts w:ascii="Times New Roman" w:hAnsi="Times New Roman"/>
          <w:kern w:val="2"/>
          <w:sz w:val="32"/>
          <w:szCs w:val="32"/>
        </w:rPr>
        <w:br/>
        <w:t>　　</w:t>
      </w:r>
      <w:r>
        <w:rPr>
          <w:rFonts w:ascii="Times New Roman" w:eastAsia="方正仿宋_GBK" w:hAnsi="Times New Roman"/>
          <w:kern w:val="2"/>
          <w:sz w:val="32"/>
          <w:szCs w:val="32"/>
        </w:rPr>
        <w:t>2026年</w:t>
      </w:r>
      <w:r>
        <w:rPr>
          <w:rFonts w:ascii="Times New Roman" w:eastAsia="方正仿宋_GBK" w:hAnsi="Times New Roman"/>
          <w:sz w:val="32"/>
          <w:szCs w:val="32"/>
        </w:rPr>
        <w:t>州委目标绩效办</w:t>
      </w:r>
      <w:r>
        <w:rPr>
          <w:rFonts w:ascii="Times New Roman" w:eastAsia="方正仿宋_GBK" w:hAnsi="Times New Roman"/>
          <w:kern w:val="2"/>
          <w:sz w:val="32"/>
          <w:szCs w:val="32"/>
        </w:rPr>
        <w:t>通用项目和专用项目均按要求实行绩效目标管理，涉及一般公共预算当年拨款652.63万元</w:t>
      </w:r>
      <w:r>
        <w:rPr>
          <w:rFonts w:ascii="Times New Roman" w:hAnsi="Times New Roman"/>
          <w:kern w:val="2"/>
          <w:sz w:val="32"/>
          <w:szCs w:val="32"/>
        </w:rPr>
        <w:t>。</w:t>
      </w:r>
    </w:p>
    <w:p>
      <w:pPr>
        <w:pStyle w:val="18"/>
        <w:spacing w:before="0" w:line="576" w:lineRule="exact"/>
        <w:ind w:firstLineChars="200" w:firstLine="640"/>
        <w:rPr>
          <w:rFonts w:ascii="Times New Roman" w:hAnsi="Times New Roman"/>
          <w:kern w:val="2"/>
          <w:sz w:val="32"/>
          <w:szCs w:val="32"/>
        </w:rPr>
      </w:pPr>
      <w:r>
        <w:rPr>
          <w:rFonts w:ascii="Times New Roman" w:eastAsia="黑体" w:hAnsi="Times New Roman"/>
          <w:sz w:val="32"/>
          <w:szCs w:val="32"/>
        </w:rPr>
        <w:t xml:space="preserve">十、名称解释 </w:t>
      </w:r>
      <w:r>
        <w:rPr>
          <w:rFonts w:ascii="Times New Roman" w:hAnsi="Times New Roman"/>
          <w:sz w:val="32"/>
          <w:szCs w:val="32"/>
        </w:rPr>
        <w:br/>
      </w:r>
      <w:r>
        <w:rPr>
          <w:rFonts w:ascii="Times New Roman" w:eastAsia="宋体" w:hAnsi="Times New Roman"/>
          <w:sz w:val="16"/>
        </w:rPr>
        <w:t xml:space="preserve">　　   </w:t>
      </w:r>
      <w:r>
        <w:rPr>
          <w:rFonts w:ascii="Times New Roman" w:eastAsia="楷体" w:hAnsi="Times New Roman"/>
          <w:kern w:val="2"/>
          <w:sz w:val="32"/>
          <w:szCs w:val="32"/>
        </w:rPr>
        <w:t>（一）财政拨款收入</w:t>
      </w:r>
      <w:r>
        <w:rPr>
          <w:rFonts w:ascii="Times New Roman" w:hAnsi="Times New Roman"/>
          <w:kern w:val="2"/>
          <w:sz w:val="32"/>
          <w:szCs w:val="32"/>
        </w:rPr>
        <w:t>：</w:t>
      </w:r>
      <w:r>
        <w:rPr>
          <w:rFonts w:ascii="Times New Roman" w:eastAsia="方正仿宋_GBK" w:hAnsi="Times New Roman"/>
          <w:kern w:val="2"/>
          <w:sz w:val="32"/>
          <w:szCs w:val="32"/>
        </w:rPr>
        <w:t>指由财政拨款形成的部门收入。按现行管理制度，部门预算中反映的财政拨款仅包括一般公共预算拨款和政府性基金预算拨款。</w:t>
      </w:r>
      <w:r>
        <w:rPr>
          <w:rFonts w:ascii="Times New Roman" w:hAnsi="Times New Roman"/>
          <w:kern w:val="2"/>
          <w:sz w:val="32"/>
          <w:szCs w:val="32"/>
        </w:rPr>
        <w:br/>
        <w:t>　　</w:t>
      </w:r>
      <w:r>
        <w:rPr>
          <w:rFonts w:ascii="Times New Roman" w:eastAsia="楷体" w:hAnsi="Times New Roman"/>
          <w:kern w:val="2"/>
          <w:sz w:val="32"/>
          <w:szCs w:val="32"/>
        </w:rPr>
        <w:t>（二）事业收入</w:t>
      </w:r>
      <w:r>
        <w:rPr>
          <w:rFonts w:ascii="Times New Roman" w:hAnsi="Times New Roman"/>
          <w:kern w:val="2"/>
          <w:sz w:val="32"/>
          <w:szCs w:val="32"/>
        </w:rPr>
        <w:t>：</w:t>
      </w:r>
      <w:r>
        <w:rPr>
          <w:rFonts w:ascii="Times New Roman" w:eastAsia="方正仿宋_GBK" w:hAnsi="Times New Roman"/>
          <w:kern w:val="2"/>
          <w:sz w:val="32"/>
          <w:szCs w:val="32"/>
        </w:rPr>
        <w:t>指所属事业单位开展专业业务活动及辅助活动所取得的收入。</w:t>
      </w:r>
      <w:r>
        <w:rPr>
          <w:rFonts w:ascii="Times New Roman" w:hAnsi="Times New Roman"/>
          <w:kern w:val="2"/>
          <w:sz w:val="32"/>
          <w:szCs w:val="32"/>
        </w:rPr>
        <w:br/>
        <w:t>　　</w:t>
      </w:r>
      <w:r>
        <w:rPr>
          <w:rFonts w:ascii="Times New Roman" w:eastAsia="楷体" w:hAnsi="Times New Roman"/>
          <w:kern w:val="2"/>
          <w:sz w:val="32"/>
          <w:szCs w:val="32"/>
        </w:rPr>
        <w:t>（三）事业单位经营收入</w:t>
      </w:r>
      <w:r>
        <w:rPr>
          <w:rFonts w:ascii="Times New Roman" w:hAnsi="Times New Roman"/>
          <w:kern w:val="2"/>
          <w:sz w:val="32"/>
          <w:szCs w:val="32"/>
        </w:rPr>
        <w:t>：</w:t>
      </w:r>
      <w:r>
        <w:rPr>
          <w:rFonts w:ascii="Times New Roman" w:eastAsia="方正仿宋_GBK" w:hAnsi="Times New Roman"/>
          <w:kern w:val="2"/>
          <w:sz w:val="32"/>
          <w:szCs w:val="32"/>
        </w:rPr>
        <w:t>指所属事业单位在专业业务活动及其辅助活动之外开展非独立核算经营活动取得的收入。</w:t>
      </w:r>
      <w:r>
        <w:rPr>
          <w:rFonts w:ascii="Times New Roman" w:hAnsi="Times New Roman"/>
          <w:kern w:val="2"/>
          <w:sz w:val="32"/>
          <w:szCs w:val="32"/>
        </w:rPr>
        <w:br/>
        <w:t>　</w:t>
      </w:r>
      <w:r>
        <w:rPr>
          <w:rFonts w:ascii="Times New Roman" w:eastAsia="楷体" w:hAnsi="Times New Roman"/>
          <w:kern w:val="2"/>
          <w:sz w:val="32"/>
          <w:szCs w:val="32"/>
        </w:rPr>
        <w:t>　（四）其他收入</w:t>
      </w:r>
      <w:r>
        <w:rPr>
          <w:rFonts w:ascii="Times New Roman" w:hAnsi="Times New Roman"/>
          <w:kern w:val="2"/>
          <w:sz w:val="32"/>
          <w:szCs w:val="32"/>
        </w:rPr>
        <w:t>：</w:t>
      </w:r>
      <w:r>
        <w:rPr>
          <w:rFonts w:ascii="Times New Roman" w:eastAsia="方正仿宋_GBK" w:hAnsi="Times New Roman"/>
          <w:kern w:val="2"/>
          <w:sz w:val="32"/>
          <w:szCs w:val="32"/>
        </w:rPr>
        <w:t>指除上述“财政拨款收入”、“事业收入”、“事业单位经营收入”等以外的收入，主要是所属行政事业单位按规定动用的售房收入、存款利息收入等。</w:t>
      </w:r>
      <w:r>
        <w:rPr>
          <w:rFonts w:ascii="Times New Roman" w:hAnsi="Times New Roman"/>
          <w:kern w:val="2"/>
          <w:sz w:val="32"/>
          <w:szCs w:val="32"/>
        </w:rPr>
        <w:br/>
        <w:t>　</w:t>
      </w:r>
      <w:r>
        <w:rPr>
          <w:rFonts w:ascii="Times New Roman" w:eastAsia="楷体" w:hAnsi="Times New Roman"/>
          <w:kern w:val="2"/>
          <w:sz w:val="32"/>
          <w:szCs w:val="32"/>
        </w:rPr>
        <w:t>　（五）用事业基金弥补收支差额</w:t>
      </w:r>
      <w:r>
        <w:rPr>
          <w:rFonts w:ascii="Times New Roman" w:hAnsi="Times New Roman"/>
          <w:kern w:val="2"/>
          <w:sz w:val="32"/>
          <w:szCs w:val="32"/>
        </w:rPr>
        <w:t>：</w:t>
      </w:r>
      <w:r>
        <w:rPr>
          <w:rFonts w:ascii="Times New Roman" w:eastAsia="方正仿宋_GBK" w:hAnsi="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Times New Roman" w:hAnsi="Times New Roman"/>
          <w:kern w:val="2"/>
          <w:sz w:val="32"/>
          <w:szCs w:val="32"/>
        </w:rPr>
        <w:br/>
        <w:t>　</w:t>
      </w:r>
      <w:r>
        <w:rPr>
          <w:rFonts w:ascii="Times New Roman" w:eastAsia="楷体" w:hAnsi="Times New Roman"/>
          <w:kern w:val="2"/>
          <w:sz w:val="32"/>
          <w:szCs w:val="32"/>
        </w:rPr>
        <w:t>　（六）上年结转</w:t>
      </w:r>
      <w:r>
        <w:rPr>
          <w:rFonts w:ascii="Times New Roman" w:hAnsi="Times New Roman"/>
          <w:kern w:val="2"/>
          <w:sz w:val="32"/>
          <w:szCs w:val="32"/>
        </w:rPr>
        <w:t>：</w:t>
      </w:r>
      <w:r>
        <w:rPr>
          <w:rFonts w:ascii="Times New Roman" w:eastAsia="方正仿宋_GBK" w:hAnsi="Times New Roman"/>
          <w:kern w:val="2"/>
          <w:sz w:val="32"/>
          <w:szCs w:val="32"/>
        </w:rPr>
        <w:t>指所属行政事业单位以前年度尚未完成、结转至本年按原规定用途继续使用的资金和以前年度已完成项目剩余资金经批准用于新用途使用的资金。</w:t>
      </w:r>
    </w:p>
    <w:p>
      <w:pPr>
        <w:spacing w:line="576" w:lineRule="exact"/>
        <w:rPr>
          <w:rFonts w:ascii="Times New Roman" w:eastAsia="仿宋_GB2312" w:hAnsi="Times New Roman"/>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方正黑体_GBK">
    <w:panose1 w:val="02000000000000000000"/>
    <w:charset w:val="86"/>
    <w:family w:val="script"/>
    <w:pitch w:val="variable"/>
    <w:sig w:usb0="A00002BF" w:usb1="38CF7CFA" w:usb2="00082016" w:usb3="00000000" w:csb0="00040001" w:csb1="00000000"/>
  </w:font>
  <w:font w:name="楷体">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方正仿宋_GBK">
    <w:panose1 w:val="02000000000000000000"/>
    <w:charset w:val="86"/>
    <w:family w:val="script"/>
    <w:pitch w:val="variable"/>
    <w:sig w:usb0="A00002BF" w:usb1="38CF7CFA" w:usb2="00082016" w:usb3="00000000" w:csb0="00040001" w:csb1="00000000"/>
  </w:font>
  <w:font w:name="宋体">
    <w:altName w:val="方正兰亭黑_GBK"/>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auto"/>
    <w:pitch w:val="variable"/>
    <w:sig w:usb0="00007A87" w:usb1="80000000" w:usb2="00000008"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0EA056C"/>
    <w:multiLevelType w:val="hybridMultilevel"/>
    <w:tmpl w:val="00000000"/>
    <w:lvl w:ilvl="0">
      <w:start w:val="1"/>
      <w:numFmt w:val="chineseCountingThousand"/>
      <w:lvlRestart w:val="0"/>
      <w:lvlText w:val="（%1）"/>
      <w:lvlJc w:val="left"/>
      <w:pPr>
        <w:ind w:left="1600" w:hanging="96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1078</TotalTime>
  <Application>Yozo_Office27021597764231179</Application>
  <Pages>10</Pages>
  <Words>3854</Words>
  <Characters>4248</Characters>
  <Lines>230</Lines>
  <Paragraphs>73</Paragraphs>
  <CharactersWithSpaces>4309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2026-01-29T06:50:42Z</cp:lastPrinted>
  <dcterms:created xsi:type="dcterms:W3CDTF">2022-12-30T09:44:00Z</dcterms:created>
  <dcterms:modified xsi:type="dcterms:W3CDTF">2026-01-30T07:43:44Z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2052-10.1.0.7106</vt:lpwstr>
  </property>
</Properties>
</file>