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76" w:lineRule="exact"/>
        <w:rPr>
          <w:rFonts w:ascii="Times New Roman" w:eastAsia="黑体" w:hAnsi="Times New Roman"/>
          <w:sz w:val="32"/>
          <w:szCs w:val="32"/>
        </w:rPr>
      </w:pPr>
      <w:r>
        <w:rPr>
          <w:rFonts w:ascii="Times New Roman" w:eastAsia="黑体" w:hAnsi="Times New Roman"/>
          <w:sz w:val="32"/>
          <w:szCs w:val="32"/>
        </w:rPr>
        <w:t>附件2</w:t>
      </w:r>
    </w:p>
    <w:p>
      <w:pPr>
        <w:spacing w:line="576" w:lineRule="exact"/>
        <w:rPr>
          <w:rFonts w:ascii="Times New Roman" w:hAnsi="Times New Roman"/>
        </w:rPr>
      </w:pPr>
    </w:p>
    <w:p>
      <w:pPr>
        <w:spacing w:line="576" w:lineRule="exact"/>
        <w:rPr>
          <w:rFonts w:ascii="Times New Roman" w:hAnsi="Times New Roman"/>
        </w:rPr>
      </w:pPr>
    </w:p>
    <w:p>
      <w:pPr>
        <w:spacing w:line="576" w:lineRule="exact"/>
        <w:rPr>
          <w:rFonts w:ascii="Times New Roman" w:hAnsi="Times New Roman"/>
        </w:rPr>
      </w:pPr>
    </w:p>
    <w:p>
      <w:pPr>
        <w:spacing w:line="576" w:lineRule="exact"/>
        <w:ind w:firstLineChars="500" w:firstLine="1050"/>
        <w:rPr>
          <w:rFonts w:ascii="Times New Roman" w:hAnsi="Times New Roman"/>
        </w:rPr>
      </w:pPr>
    </w:p>
    <w:p>
      <w:pPr>
        <w:spacing w:line="576" w:lineRule="exact"/>
        <w:ind w:firstLineChars="500" w:firstLine="1050"/>
        <w:rPr>
          <w:rFonts w:ascii="Times New Roman" w:hAnsi="Times New Roman"/>
        </w:rPr>
      </w:pPr>
    </w:p>
    <w:p>
      <w:pPr>
        <w:spacing w:line="576" w:lineRule="exact"/>
        <w:ind w:firstLineChars="400" w:firstLine="1760"/>
        <w:rPr>
          <w:rFonts w:ascii="Times New Roman" w:eastAsia="黑体" w:hAnsi="Times New Roman"/>
          <w:sz w:val="44"/>
          <w:szCs w:val="44"/>
        </w:rPr>
      </w:pPr>
    </w:p>
    <w:p>
      <w:pPr>
        <w:spacing w:line="576" w:lineRule="exact"/>
        <w:ind w:firstLineChars="400" w:firstLine="1760"/>
        <w:rPr>
          <w:rFonts w:ascii="Times New Roman" w:eastAsia="黑体" w:hAnsi="Times New Roman"/>
          <w:sz w:val="44"/>
          <w:szCs w:val="44"/>
        </w:rPr>
      </w:pPr>
    </w:p>
    <w:p>
      <w:pPr>
        <w:spacing w:line="576" w:lineRule="exact"/>
        <w:jc w:val="center"/>
        <w:rPr>
          <w:rFonts w:ascii="Times New Roman" w:eastAsia="黑体" w:hAnsi="Times New Roman"/>
          <w:sz w:val="44"/>
          <w:szCs w:val="44"/>
        </w:rPr>
      </w:pPr>
      <w:r>
        <w:rPr>
          <w:rFonts w:ascii="Times New Roman" w:eastAsia="黑体" w:hAnsi="Times New Roman"/>
          <w:sz w:val="44"/>
          <w:szCs w:val="44"/>
        </w:rPr>
        <w:t>阿坝州目标绩效事务中心</w:t>
      </w:r>
    </w:p>
    <w:p>
      <w:pPr>
        <w:spacing w:line="576" w:lineRule="exact"/>
        <w:jc w:val="center"/>
        <w:rPr>
          <w:rFonts w:ascii="Times New Roman" w:eastAsia="黑体" w:hAnsi="Times New Roman"/>
          <w:sz w:val="44"/>
          <w:szCs w:val="44"/>
        </w:rPr>
      </w:pPr>
      <w:r>
        <w:rPr>
          <w:rFonts w:ascii="Times New Roman" w:eastAsia="黑体" w:hAnsi="Times New Roman"/>
          <w:sz w:val="44"/>
          <w:szCs w:val="44"/>
        </w:rPr>
        <w:t>2026年单位预算</w:t>
      </w:r>
    </w:p>
    <w:p>
      <w:pPr>
        <w:spacing w:line="576" w:lineRule="exact"/>
        <w:ind w:firstLineChars="400" w:firstLine="1760"/>
        <w:rPr>
          <w:rFonts w:ascii="Times New Roman" w:eastAsia="黑体" w:hAnsi="Times New Roman"/>
          <w:sz w:val="44"/>
          <w:szCs w:val="44"/>
        </w:rPr>
      </w:pPr>
    </w:p>
    <w:p>
      <w:pPr>
        <w:spacing w:line="576" w:lineRule="exact"/>
        <w:ind w:firstLineChars="400" w:firstLine="1760"/>
        <w:rPr>
          <w:rFonts w:ascii="Times New Roman" w:eastAsia="黑体" w:hAnsi="Times New Roman"/>
          <w:sz w:val="44"/>
          <w:szCs w:val="44"/>
        </w:rPr>
      </w:pPr>
    </w:p>
    <w:p>
      <w:pPr>
        <w:spacing w:line="576" w:lineRule="exact"/>
        <w:ind w:firstLineChars="400" w:firstLine="1760"/>
        <w:rPr>
          <w:rFonts w:ascii="Times New Roman" w:eastAsia="黑体" w:hAnsi="Times New Roman"/>
          <w:sz w:val="44"/>
          <w:szCs w:val="44"/>
        </w:rPr>
      </w:pPr>
    </w:p>
    <w:p>
      <w:pPr>
        <w:spacing w:line="576" w:lineRule="exact"/>
        <w:ind w:firstLineChars="400" w:firstLine="1760"/>
        <w:rPr>
          <w:rFonts w:ascii="Times New Roman" w:eastAsia="黑体" w:hAnsi="Times New Roman"/>
          <w:sz w:val="44"/>
          <w:szCs w:val="44"/>
        </w:rPr>
      </w:pPr>
    </w:p>
    <w:p>
      <w:pPr>
        <w:spacing w:line="576" w:lineRule="exact"/>
        <w:ind w:firstLineChars="400" w:firstLine="1760"/>
        <w:rPr>
          <w:rFonts w:ascii="Times New Roman" w:eastAsia="黑体" w:hAnsi="Times New Roman"/>
          <w:sz w:val="44"/>
          <w:szCs w:val="44"/>
        </w:rPr>
      </w:pPr>
    </w:p>
    <w:p>
      <w:pPr>
        <w:spacing w:line="576" w:lineRule="exact"/>
        <w:ind w:firstLineChars="400" w:firstLine="1760"/>
        <w:rPr>
          <w:rFonts w:ascii="Times New Roman" w:eastAsia="黑体" w:hAnsi="Times New Roman"/>
          <w:sz w:val="44"/>
          <w:szCs w:val="44"/>
        </w:rPr>
      </w:pPr>
    </w:p>
    <w:p>
      <w:pPr>
        <w:spacing w:line="576" w:lineRule="exact"/>
        <w:ind w:firstLineChars="400" w:firstLine="1760"/>
        <w:rPr>
          <w:rFonts w:ascii="Times New Roman" w:eastAsia="黑体" w:hAnsi="Times New Roman"/>
          <w:sz w:val="44"/>
          <w:szCs w:val="44"/>
        </w:rPr>
      </w:pPr>
    </w:p>
    <w:p>
      <w:pPr>
        <w:spacing w:line="576" w:lineRule="exact"/>
        <w:ind w:firstLineChars="400" w:firstLine="1760"/>
        <w:rPr>
          <w:rFonts w:ascii="Times New Roman" w:eastAsia="黑体" w:hAnsi="Times New Roman"/>
          <w:sz w:val="44"/>
          <w:szCs w:val="44"/>
        </w:rPr>
      </w:pPr>
    </w:p>
    <w:p>
      <w:pPr>
        <w:spacing w:line="576" w:lineRule="exact"/>
        <w:ind w:firstLineChars="400" w:firstLine="1760"/>
        <w:rPr>
          <w:rFonts w:ascii="Times New Roman" w:eastAsia="黑体" w:hAnsi="Times New Roman"/>
          <w:sz w:val="44"/>
          <w:szCs w:val="44"/>
        </w:rPr>
      </w:pPr>
    </w:p>
    <w:p>
      <w:pPr>
        <w:spacing w:line="576" w:lineRule="exact"/>
        <w:ind w:firstLineChars="400" w:firstLine="1760"/>
        <w:rPr>
          <w:rFonts w:ascii="Times New Roman" w:eastAsia="黑体" w:hAnsi="Times New Roman"/>
          <w:sz w:val="44"/>
          <w:szCs w:val="44"/>
        </w:rPr>
      </w:pPr>
    </w:p>
    <w:p>
      <w:pPr>
        <w:spacing w:line="576" w:lineRule="exact"/>
        <w:ind w:firstLineChars="400" w:firstLine="1760"/>
        <w:rPr>
          <w:rFonts w:ascii="Times New Roman" w:eastAsia="黑体" w:hAnsi="Times New Roman"/>
          <w:sz w:val="44"/>
          <w:szCs w:val="44"/>
        </w:rPr>
      </w:pPr>
    </w:p>
    <w:p>
      <w:pPr>
        <w:spacing w:line="576" w:lineRule="exact"/>
        <w:ind w:firstLineChars="400" w:firstLine="1760"/>
        <w:rPr>
          <w:rFonts w:ascii="Times New Roman" w:eastAsia="黑体" w:hAnsi="Times New Roman"/>
          <w:sz w:val="44"/>
          <w:szCs w:val="44"/>
        </w:rPr>
      </w:pPr>
    </w:p>
    <w:p>
      <w:pPr>
        <w:spacing w:line="576" w:lineRule="exact"/>
        <w:ind w:firstLineChars="400" w:firstLine="1760"/>
        <w:rPr>
          <w:rFonts w:ascii="Times New Roman" w:eastAsia="黑体" w:hAnsi="Times New Roman"/>
          <w:sz w:val="44"/>
          <w:szCs w:val="44"/>
        </w:rPr>
      </w:pPr>
    </w:p>
    <w:p>
      <w:pPr>
        <w:spacing w:line="576" w:lineRule="exact"/>
        <w:rPr>
          <w:rFonts w:ascii="Times New Roman" w:eastAsia="黑体" w:hAnsi="Times New Roman"/>
          <w:sz w:val="44"/>
          <w:szCs w:val="44"/>
        </w:rPr>
      </w:pPr>
    </w:p>
    <w:p>
      <w:pPr>
        <w:spacing w:line="576" w:lineRule="exact"/>
        <w:ind w:firstLineChars="600" w:firstLine="3120"/>
        <w:rPr>
          <w:rFonts w:ascii="Times New Roman" w:eastAsia="黑体" w:hAnsi="Times New Roman"/>
          <w:sz w:val="52"/>
          <w:szCs w:val="52"/>
        </w:rPr>
      </w:pPr>
      <w:r>
        <w:rPr>
          <w:rFonts w:ascii="Times New Roman" w:eastAsia="黑体" w:hAnsi="Times New Roman"/>
          <w:sz w:val="52"/>
          <w:szCs w:val="52"/>
        </w:rPr>
        <w:t>目录</w:t>
      </w:r>
    </w:p>
    <w:p>
      <w:pPr>
        <w:spacing w:line="576" w:lineRule="exact"/>
        <w:ind w:firstLineChars="700" w:firstLine="3080"/>
        <w:rPr>
          <w:rFonts w:ascii="Times New Roman" w:eastAsia="黑体" w:hAnsi="Times New Roman"/>
          <w:sz w:val="44"/>
          <w:szCs w:val="44"/>
        </w:rPr>
      </w:pPr>
    </w:p>
    <w:p>
      <w:pPr>
        <w:pStyle w:val="17"/>
        <w:spacing w:line="576" w:lineRule="exact"/>
        <w:ind w:firstLineChars="0" w:firstLine="0"/>
        <w:rPr>
          <w:rFonts w:ascii="Times New Roman" w:eastAsia="黑体" w:hAnsi="Times New Roman"/>
          <w:sz w:val="32"/>
          <w:szCs w:val="32"/>
        </w:rPr>
      </w:pPr>
      <w:r>
        <w:rPr>
          <w:rFonts w:ascii="Times New Roman" w:eastAsia="黑体" w:hAnsi="Times New Roman"/>
          <w:sz w:val="32"/>
          <w:szCs w:val="32"/>
        </w:rPr>
        <w:t>一、基本职能及主要工作</w:t>
      </w:r>
    </w:p>
    <w:p>
      <w:pPr>
        <w:spacing w:line="576" w:lineRule="exact"/>
        <w:rPr>
          <w:rFonts w:ascii="Times New Roman" w:eastAsia="楷体" w:hAnsi="Times New Roman"/>
          <w:sz w:val="32"/>
          <w:szCs w:val="32"/>
        </w:rPr>
      </w:pPr>
      <w:r>
        <w:rPr>
          <w:rFonts w:ascii="Times New Roman" w:eastAsia="楷体" w:hAnsi="Times New Roman"/>
          <w:sz w:val="32"/>
          <w:szCs w:val="32"/>
        </w:rPr>
        <w:t>（一）单位职能简介</w:t>
      </w:r>
    </w:p>
    <w:p>
      <w:pPr>
        <w:spacing w:line="576" w:lineRule="exact"/>
        <w:rPr>
          <w:rFonts w:ascii="Times New Roman" w:eastAsia="楷体" w:hAnsi="Times New Roman"/>
          <w:sz w:val="32"/>
          <w:szCs w:val="32"/>
        </w:rPr>
      </w:pPr>
      <w:r>
        <w:rPr>
          <w:rFonts w:ascii="Times New Roman" w:eastAsia="楷体" w:hAnsi="Times New Roman"/>
          <w:sz w:val="32"/>
          <w:szCs w:val="32"/>
        </w:rPr>
        <w:t>（二）2026年重点工作</w:t>
      </w:r>
    </w:p>
    <w:p>
      <w:pPr>
        <w:spacing w:line="576" w:lineRule="exact"/>
        <w:rPr>
          <w:rFonts w:ascii="Times New Roman" w:eastAsia="黑体" w:hAnsi="Times New Roman"/>
          <w:sz w:val="32"/>
          <w:szCs w:val="32"/>
        </w:rPr>
      </w:pPr>
      <w:r>
        <w:rPr>
          <w:rFonts w:ascii="Times New Roman" w:eastAsia="黑体" w:hAnsi="Times New Roman"/>
          <w:sz w:val="32"/>
          <w:szCs w:val="32"/>
        </w:rPr>
        <w:t>二、收支预算情况说明</w:t>
      </w:r>
    </w:p>
    <w:p>
      <w:pPr>
        <w:spacing w:line="576" w:lineRule="exact"/>
        <w:rPr>
          <w:rFonts w:ascii="Times New Roman" w:eastAsia="楷体" w:hAnsi="Times New Roman"/>
          <w:sz w:val="32"/>
          <w:szCs w:val="32"/>
        </w:rPr>
      </w:pPr>
      <w:r>
        <w:rPr>
          <w:rFonts w:ascii="Times New Roman" w:eastAsia="楷体" w:hAnsi="Times New Roman"/>
          <w:sz w:val="32"/>
          <w:szCs w:val="32"/>
        </w:rPr>
        <w:t>（一）收入预算情况</w:t>
      </w:r>
    </w:p>
    <w:p>
      <w:pPr>
        <w:spacing w:line="576" w:lineRule="exact"/>
        <w:rPr>
          <w:rFonts w:ascii="Times New Roman" w:eastAsia="楷体" w:hAnsi="Times New Roman"/>
          <w:sz w:val="32"/>
          <w:szCs w:val="32"/>
        </w:rPr>
      </w:pPr>
      <w:r>
        <w:rPr>
          <w:rFonts w:ascii="Times New Roman" w:eastAsia="楷体" w:hAnsi="Times New Roman"/>
          <w:sz w:val="32"/>
          <w:szCs w:val="32"/>
        </w:rPr>
        <w:t>（二）支出预算情况</w:t>
      </w:r>
    </w:p>
    <w:p>
      <w:pPr>
        <w:spacing w:line="576" w:lineRule="exact"/>
        <w:rPr>
          <w:rFonts w:ascii="Times New Roman" w:eastAsia="黑体" w:hAnsi="Times New Roman"/>
          <w:sz w:val="32"/>
          <w:szCs w:val="32"/>
        </w:rPr>
      </w:pPr>
      <w:r>
        <w:rPr>
          <w:rFonts w:ascii="Times New Roman" w:eastAsia="黑体" w:hAnsi="Times New Roman"/>
          <w:sz w:val="32"/>
          <w:szCs w:val="32"/>
        </w:rPr>
        <w:t>三、财政拨款收支预算情况说明</w:t>
      </w:r>
    </w:p>
    <w:p>
      <w:pPr>
        <w:spacing w:line="576" w:lineRule="exact"/>
        <w:rPr>
          <w:rFonts w:ascii="Times New Roman" w:eastAsia="黑体" w:hAnsi="Times New Roman"/>
          <w:sz w:val="32"/>
          <w:szCs w:val="32"/>
        </w:rPr>
      </w:pPr>
      <w:r>
        <w:rPr>
          <w:rFonts w:ascii="Times New Roman" w:eastAsia="黑体" w:hAnsi="Times New Roman"/>
          <w:sz w:val="32"/>
          <w:szCs w:val="32"/>
        </w:rPr>
        <w:t>四、一般公共预算当年拨款情况说明</w:t>
      </w:r>
    </w:p>
    <w:p>
      <w:pPr>
        <w:spacing w:line="576" w:lineRule="exact"/>
        <w:rPr>
          <w:rFonts w:ascii="Times New Roman" w:eastAsia="黑体" w:hAnsi="Times New Roman"/>
          <w:sz w:val="32"/>
          <w:szCs w:val="32"/>
        </w:rPr>
      </w:pPr>
      <w:r>
        <w:rPr>
          <w:rFonts w:ascii="Times New Roman" w:eastAsia="楷体" w:hAnsi="Times New Roman"/>
          <w:sz w:val="32"/>
          <w:szCs w:val="32"/>
        </w:rPr>
        <w:t>（一）一般公共预算当年拨款规模变化情况</w:t>
        <w:br/>
        <w:t>（二）一般公共预算当年拨款结构情况</w:t>
        <w:br/>
        <w:t>（三）一般公共预算当年拨款具体使用情况</w:t>
      </w:r>
      <w:r>
        <w:rPr>
          <w:rFonts w:ascii="Times New Roman" w:hAnsi="Times New Roman"/>
          <w:kern w:val="0"/>
          <w:sz w:val="16"/>
          <w:szCs w:val="16"/>
        </w:rPr>
        <w:br/>
      </w:r>
      <w:r>
        <w:rPr>
          <w:rFonts w:ascii="Times New Roman" w:eastAsia="黑体" w:hAnsi="Times New Roman"/>
          <w:sz w:val="32"/>
          <w:szCs w:val="32"/>
        </w:rPr>
        <w:t>五、一般公共预算基本支出情况说明</w:t>
        <w:br/>
        <w:t>六、“三公”经费财政拨款预算安排情况说明</w:t>
        <w:br/>
        <w:t>七、政府性基金预算支出情况说明</w:t>
        <w:br/>
        <w:t>八、其他重要事项的情况说明</w:t>
        <w:br/>
        <w:t>九、名称解释</w:t>
      </w:r>
    </w:p>
    <w:p>
      <w:pPr>
        <w:spacing w:line="576" w:lineRule="exact"/>
        <w:rPr>
          <w:rFonts w:ascii="Times New Roman" w:eastAsia="黑体" w:hAnsi="Times New Roman"/>
          <w:sz w:val="32"/>
          <w:szCs w:val="32"/>
        </w:rPr>
      </w:pPr>
    </w:p>
    <w:p>
      <w:pPr>
        <w:spacing w:line="576" w:lineRule="exact"/>
        <w:rPr>
          <w:rFonts w:ascii="Times New Roman" w:eastAsia="黑体" w:hAnsi="Times New Roman"/>
          <w:sz w:val="32"/>
          <w:szCs w:val="32"/>
        </w:rPr>
      </w:pPr>
    </w:p>
    <w:p>
      <w:pPr>
        <w:spacing w:line="576" w:lineRule="exact"/>
        <w:rPr>
          <w:rFonts w:ascii="Times New Roman" w:eastAsia="黑体" w:hAnsi="Times New Roman"/>
          <w:sz w:val="32"/>
          <w:szCs w:val="32"/>
        </w:rPr>
      </w:pPr>
    </w:p>
    <w:p>
      <w:pPr>
        <w:spacing w:line="576" w:lineRule="exact"/>
        <w:rPr>
          <w:rFonts w:ascii="Times New Roman" w:eastAsia="黑体" w:hAnsi="Times New Roman"/>
          <w:sz w:val="32"/>
          <w:szCs w:val="32"/>
        </w:rPr>
      </w:pPr>
    </w:p>
    <w:p>
      <w:pPr>
        <w:widowControl/>
        <w:shd w:val="clear" w:color="auto" w:fill="FFFFFF"/>
        <w:spacing w:before="100" w:after="100" w:line="576" w:lineRule="exact"/>
        <w:ind w:right="300"/>
        <w:jc w:val="left"/>
        <w:rPr>
          <w:rFonts w:ascii="Times New Roman" w:hAnsi="Times New Roman"/>
          <w:kern w:val="0"/>
          <w:sz w:val="12"/>
          <w:szCs w:val="12"/>
        </w:rPr>
      </w:pPr>
    </w:p>
    <w:p>
      <w:pPr>
        <w:pStyle w:val="17"/>
        <w:spacing w:line="576" w:lineRule="exact"/>
        <w:rPr>
          <w:rFonts w:ascii="Times New Roman" w:eastAsia="黑体" w:hAnsi="Times New Roman"/>
          <w:sz w:val="32"/>
          <w:szCs w:val="32"/>
        </w:rPr>
      </w:pPr>
      <w:r>
        <w:rPr>
          <w:rFonts w:ascii="Times New Roman" w:eastAsia="黑体" w:hAnsi="Times New Roman"/>
          <w:sz w:val="32"/>
          <w:szCs w:val="32"/>
        </w:rPr>
        <w:t>一、基本职能及主要工作</w:t>
      </w:r>
    </w:p>
    <w:p>
      <w:pPr>
        <w:numPr>
          <w:ilvl w:val="0"/>
          <w:numId w:val="1"/>
        </w:numPr>
        <w:spacing w:line="576" w:lineRule="exact"/>
        <w:rPr>
          <w:rFonts w:ascii="Times New Roman" w:eastAsia="楷体" w:hAnsi="Times New Roman"/>
          <w:sz w:val="32"/>
          <w:szCs w:val="32"/>
        </w:rPr>
      </w:pPr>
      <w:r>
        <w:rPr>
          <w:rFonts w:ascii="Times New Roman" w:eastAsia="楷体" w:hAnsi="Times New Roman"/>
          <w:sz w:val="32"/>
          <w:szCs w:val="32"/>
        </w:rPr>
        <w:t>单位职能简介</w:t>
      </w:r>
    </w:p>
    <w:p>
      <w:pPr>
        <w:spacing w:line="576"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承担目标绩效管理和</w:t>
      </w:r>
      <w:r>
        <w:rPr>
          <w:rFonts w:ascii="Times New Roman" w:eastAsia="仿宋_GB2312" w:hAnsi="Times New Roman"/>
          <w:sz w:val="32"/>
          <w:szCs w:val="32"/>
        </w:rPr>
        <w:t>州委</w:t>
      </w:r>
      <w:bookmarkStart w:id="0" w:name="_GoBack"/>
      <w:bookmarkEnd w:id="0"/>
      <w:r>
        <w:rPr>
          <w:rFonts w:ascii="Times New Roman" w:eastAsia="仿宋_GB2312" w:hAnsi="Times New Roman"/>
          <w:sz w:val="32"/>
          <w:szCs w:val="32"/>
        </w:rPr>
        <w:t>州政府主要领导重要批示事项落实情况</w:t>
      </w:r>
      <w:r>
        <w:rPr>
          <w:rFonts w:ascii="Times New Roman" w:eastAsia="方正仿宋_GBK" w:hAnsi="Times New Roman"/>
          <w:sz w:val="32"/>
          <w:szCs w:val="32"/>
        </w:rPr>
        <w:t>、督检考等督查督办的行政辅助和事务性工作。</w:t>
      </w:r>
    </w:p>
    <w:p>
      <w:pPr>
        <w:spacing w:line="576" w:lineRule="exact"/>
        <w:ind w:firstLineChars="200" w:firstLine="640"/>
        <w:rPr>
          <w:rFonts w:ascii="Times New Roman" w:eastAsia="楷体" w:hAnsi="Times New Roman"/>
          <w:sz w:val="32"/>
          <w:szCs w:val="32"/>
        </w:rPr>
      </w:pPr>
      <w:r>
        <w:rPr>
          <w:rFonts w:ascii="Times New Roman" w:eastAsia="楷体" w:hAnsi="Times New Roman"/>
          <w:sz w:val="32"/>
          <w:szCs w:val="32"/>
        </w:rPr>
        <w:t>（二）2026年重点工作</w:t>
      </w:r>
    </w:p>
    <w:p>
      <w:pPr>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2026年，阿坝州目标绩效事务中心将深入贯彻学习习近平新时代中国特色社会主义思想、党的二十大及二十届三中、四中全会精神，紧扣省州十二届七次、八次全会精神和州委决策部署，以“思想铸魂、考评提质、督查增效、减负赋能、队伍建设”为核心抓手，持续深化“督检考”职能融合，为全州高质量发展提供坚实支撑。</w:t>
      </w:r>
      <w:r>
        <w:rPr>
          <w:rFonts w:ascii="Times New Roman" w:eastAsia="方正仿宋_GBK" w:hAnsi="Times New Roman"/>
          <w:b/>
          <w:bCs/>
          <w:sz w:val="32"/>
          <w:szCs w:val="32"/>
          <w:lang w:eastAsia="zh-CN"/>
        </w:rPr>
        <w:t>一是以“思想铸魂”为引领，铸牢政治忠诚。</w:t>
      </w:r>
      <w:r>
        <w:rPr>
          <w:rFonts w:ascii="Times New Roman" w:eastAsia="方正仿宋_GBK" w:hAnsi="Times New Roman"/>
          <w:sz w:val="32"/>
          <w:szCs w:val="32"/>
        </w:rPr>
        <w:t>坚持把理论学习作为首要政治任务，严格落实“第一议题”制度，通过中心组学习、专题研讨等形式，持续深化对习近平新时代中国特色社会主义思想的学习，不断提升干部职工政治判断力、政治领悟力、政治执行力，推动理论学习与业务实践深度融合。</w:t>
      </w:r>
      <w:r>
        <w:rPr>
          <w:rFonts w:ascii="Times New Roman" w:eastAsia="方正仿宋_GBK" w:hAnsi="Times New Roman"/>
          <w:b/>
          <w:bCs/>
          <w:sz w:val="32"/>
          <w:szCs w:val="32"/>
        </w:rPr>
        <w:t>二是以“考评提质”为核心，压实发展责任。</w:t>
      </w:r>
      <w:r>
        <w:rPr>
          <w:rFonts w:ascii="Times New Roman" w:eastAsia="方正仿宋_GBK" w:hAnsi="Times New Roman"/>
          <w:sz w:val="32"/>
          <w:szCs w:val="32"/>
        </w:rPr>
        <w:t>充分发挥目标考评“指挥棒”作用，对标省委“高质量考核体系”和州委“1610”系统部署，持续优化全州高质量发展考评指标体系，改进考核方式，强化过程管控与结果运用，推动考核结果与干部选拔任用、评优评先、责任追究深度挂钩，切实提升工作科学化、精准化、差异化水平。</w:t>
      </w:r>
      <w:r>
        <w:rPr>
          <w:rFonts w:ascii="Times New Roman" w:eastAsia="方正仿宋_GBK" w:hAnsi="Times New Roman"/>
          <w:b/>
          <w:bCs/>
          <w:sz w:val="32"/>
          <w:szCs w:val="32"/>
          <w:lang w:eastAsia="zh-CN"/>
        </w:rPr>
        <w:t>三是以“督查增效”为抓手，推动决策落地。</w:t>
      </w:r>
      <w:r>
        <w:rPr>
          <w:rFonts w:ascii="Times New Roman" w:eastAsia="方正仿宋_GBK" w:hAnsi="Times New Roman"/>
          <w:sz w:val="32"/>
          <w:szCs w:val="32"/>
        </w:rPr>
        <w:t>围绕州委州政府中心工作，聚焦“十五五”规划重点任务、重大项目，完善“月调度、季评估、年总结”督查机制，优化“督查问题整改闭环机制”，探索“线上督查+线下核实”模式，针对水电移民、乡村振兴等重点领域开展专项督查，确保中央、省州部署落地见效。</w:t>
      </w:r>
      <w:r>
        <w:rPr>
          <w:rFonts w:ascii="Times New Roman" w:eastAsia="方正仿宋_GBK" w:hAnsi="Times New Roman"/>
          <w:b/>
          <w:bCs/>
          <w:sz w:val="32"/>
          <w:szCs w:val="32"/>
        </w:rPr>
        <w:t>四是以“减负赋能”为目标，激发基层活力。</w:t>
      </w:r>
      <w:r>
        <w:rPr>
          <w:rFonts w:ascii="Times New Roman" w:eastAsia="方正仿宋_GBK" w:hAnsi="Times New Roman"/>
          <w:sz w:val="32"/>
          <w:szCs w:val="32"/>
        </w:rPr>
        <w:t>深入落实中央、省、州减负要求，对照年度减负任务清单，持续抓实精简文件会议、规范“督检考”事项等重点任务，扩大形式主义隐患事前评估试点，建立长效机制并通报典型案例，推动减负工作走深走实。</w:t>
      </w:r>
      <w:r>
        <w:rPr>
          <w:rFonts w:ascii="Times New Roman" w:eastAsia="方正仿宋_GBK" w:hAnsi="Times New Roman"/>
          <w:b/>
          <w:bCs/>
          <w:sz w:val="32"/>
          <w:szCs w:val="32"/>
          <w:lang w:eastAsia="zh-CN"/>
        </w:rPr>
        <w:t>五是以“队伍建设”为保障，提升履职能力。</w:t>
      </w:r>
      <w:r>
        <w:rPr>
          <w:rFonts w:ascii="Times New Roman" w:eastAsia="方正仿宋_GBK" w:hAnsi="Times New Roman"/>
          <w:sz w:val="32"/>
          <w:szCs w:val="32"/>
        </w:rPr>
        <w:t>健全干部常态化培训机制，围绕目标绩效管理、督查核查等核心业务开展专题培训和岗位练兵，推进目标绩效与督查系统信息化平台建设，加强机关自身建设，打造“政治强、业务精、作风硬”的干部队伍，为全州高质量发展贡献力量。</w:t>
      </w:r>
    </w:p>
    <w:p>
      <w:pPr>
        <w:pStyle w:val="17"/>
        <w:spacing w:line="576" w:lineRule="exact"/>
        <w:ind w:left="720" w:firstLineChars="0" w:firstLine="0"/>
        <w:rPr>
          <w:rFonts w:ascii="Times New Roman" w:eastAsia="黑体" w:hAnsi="Times New Roman"/>
          <w:sz w:val="32"/>
          <w:szCs w:val="32"/>
        </w:rPr>
      </w:pPr>
      <w:r>
        <w:rPr>
          <w:rFonts w:ascii="Times New Roman" w:eastAsia="黑体" w:hAnsi="Times New Roman"/>
          <w:sz w:val="32"/>
          <w:szCs w:val="32"/>
        </w:rPr>
        <w:t>二、收支预算情况说明</w:t>
      </w:r>
    </w:p>
    <w:p>
      <w:pPr>
        <w:spacing w:line="576" w:lineRule="exact"/>
        <w:ind w:firstLineChars="200" w:firstLine="640"/>
        <w:rPr>
          <w:rStyle w:val="0"/>
          <w:rFonts w:ascii="Times New Roman" w:eastAsia="仿宋_GB2312" w:hAnsi="Times New Roman"/>
          <w:sz w:val="32"/>
          <w:szCs w:val="32"/>
        </w:rPr>
      </w:pPr>
      <w:r>
        <w:rPr>
          <w:rStyle w:val="0"/>
          <w:rFonts w:ascii="Times New Roman" w:eastAsia="仿宋_GB2312" w:hAnsi="Times New Roman"/>
          <w:sz w:val="32"/>
          <w:szCs w:val="32"/>
        </w:rPr>
        <w:t>按照综合预算的原则阿坝州目标绩效事务中心所有收入和支出均纳入部门预算管理。收入包括：一般公共预算拨款收入；支出包括：一般公共服务支出、社会保障和就业支出、卫生健康支出、住房保障支出。阿坝州目标绩效事务中心2026年收支总预算157.05万元，比2025年收支预算总数增加49.98万元，主要原因：2025年新增在编4人，一般公共服务支出增加。</w:t>
      </w:r>
    </w:p>
    <w:p>
      <w:pPr>
        <w:numPr>
          <w:ilvl w:val="0"/>
          <w:numId w:val="2"/>
        </w:numPr>
        <w:spacing w:line="576" w:lineRule="exact"/>
        <w:rPr>
          <w:rFonts w:ascii="Times New Roman" w:eastAsia="楷体" w:hAnsi="Times New Roman"/>
          <w:sz w:val="32"/>
          <w:szCs w:val="32"/>
        </w:rPr>
      </w:pPr>
      <w:r>
        <w:rPr>
          <w:rFonts w:ascii="Times New Roman" w:eastAsia="楷体" w:hAnsi="Times New Roman"/>
          <w:sz w:val="32"/>
          <w:szCs w:val="32"/>
        </w:rPr>
        <w:t>收入预算情况</w:t>
      </w:r>
    </w:p>
    <w:p>
      <w:pPr>
        <w:spacing w:line="576" w:lineRule="exact"/>
        <w:ind w:firstLineChars="200" w:firstLine="640"/>
        <w:rPr>
          <w:rStyle w:val="0"/>
          <w:rFonts w:ascii="Times New Roman" w:eastAsia="仿宋_GB2312" w:hAnsi="Times New Roman"/>
          <w:sz w:val="32"/>
          <w:szCs w:val="32"/>
        </w:rPr>
      </w:pPr>
      <w:r>
        <w:rPr>
          <w:rStyle w:val="0"/>
          <w:rFonts w:ascii="Times New Roman" w:eastAsia="仿宋_GB2312" w:hAnsi="Times New Roman"/>
          <w:sz w:val="32"/>
          <w:szCs w:val="32"/>
        </w:rPr>
        <w:t>阿坝州目标绩效事务中心2026年收入预算157.05万元。其中：上年结转0万元，占0%；一般公共预算拨款收入157.05万元，占100%；政府性基金预算拨款收入0万元，占0%；事业收入0万元，占0%。</w:t>
      </w:r>
    </w:p>
    <w:p>
      <w:pPr>
        <w:spacing w:line="576" w:lineRule="exact"/>
        <w:ind w:firstLineChars="150" w:firstLine="480"/>
        <w:jc w:val="left"/>
        <w:rPr>
          <w:rFonts w:ascii="Times New Roman" w:eastAsia="楷体" w:hAnsi="Times New Roman"/>
          <w:sz w:val="32"/>
          <w:szCs w:val="32"/>
        </w:rPr>
      </w:pPr>
      <w:r>
        <w:rPr>
          <w:rFonts w:ascii="Times New Roman" w:eastAsia="楷体" w:hAnsi="Times New Roman"/>
          <w:sz w:val="32"/>
          <w:szCs w:val="32"/>
        </w:rPr>
        <w:t>（二）支出预算情况</w:t>
      </w:r>
    </w:p>
    <w:p>
      <w:pPr>
        <w:spacing w:line="576" w:lineRule="exact"/>
        <w:ind w:firstLineChars="200" w:firstLine="640"/>
        <w:jc w:val="left"/>
        <w:rPr>
          <w:rStyle w:val="0"/>
          <w:rFonts w:ascii="Times New Roman" w:eastAsia="仿宋_GB2312" w:hAnsi="Times New Roman"/>
          <w:sz w:val="32"/>
          <w:szCs w:val="32"/>
        </w:rPr>
      </w:pPr>
      <w:r>
        <w:rPr>
          <w:rStyle w:val="0"/>
          <w:rFonts w:ascii="Times New Roman" w:eastAsia="仿宋_GB2312" w:hAnsi="Times New Roman"/>
          <w:sz w:val="32"/>
          <w:szCs w:val="32"/>
        </w:rPr>
        <w:t>阿坝州目标绩效事务中心2026年支出预算157.05万元， 其中：基本支出157.05万元，占100%；项目支出 0万元，占0%。</w:t>
      </w:r>
    </w:p>
    <w:p>
      <w:pPr>
        <w:spacing w:line="576" w:lineRule="exact"/>
        <w:ind w:leftChars="304" w:left="638"/>
        <w:rPr>
          <w:rFonts w:ascii="Times New Roman" w:hAnsi="Times New Roman"/>
          <w:sz w:val="16"/>
        </w:rPr>
      </w:pPr>
      <w:r>
        <w:rPr>
          <w:rFonts w:ascii="Times New Roman" w:eastAsia="黑体" w:hAnsi="Times New Roman"/>
          <w:sz w:val="32"/>
          <w:szCs w:val="32"/>
        </w:rPr>
        <w:t>三、财政拨款收支预算情况说明</w:t>
      </w:r>
    </w:p>
    <w:p>
      <w:pPr>
        <w:spacing w:line="576" w:lineRule="exact"/>
        <w:ind w:firstLineChars="200" w:firstLine="640"/>
        <w:rPr>
          <w:rFonts w:ascii="Times New Roman" w:hAnsi="Times New Roman"/>
          <w:sz w:val="16"/>
        </w:rPr>
      </w:pPr>
      <w:r>
        <w:rPr>
          <w:rStyle w:val="0"/>
          <w:rFonts w:ascii="Times New Roman" w:eastAsia="仿宋_GB2312" w:hAnsi="Times New Roman"/>
          <w:sz w:val="32"/>
          <w:szCs w:val="32"/>
        </w:rPr>
        <w:t>阿坝州目标绩效事务中心</w:t>
      </w:r>
      <w:r>
        <w:rPr>
          <w:rFonts w:ascii="Times New Roman" w:eastAsia="仿宋_GB2312" w:hAnsi="Times New Roman"/>
          <w:sz w:val="32"/>
          <w:szCs w:val="32"/>
        </w:rPr>
        <w:t>2026年财政拨款收支总预算</w:t>
      </w:r>
      <w:r>
        <w:rPr>
          <w:rStyle w:val="0"/>
          <w:rFonts w:ascii="Times New Roman" w:eastAsia="仿宋_GB2312" w:hAnsi="Times New Roman"/>
          <w:sz w:val="32"/>
          <w:szCs w:val="32"/>
        </w:rPr>
        <w:t>157.05</w:t>
      </w:r>
      <w:r>
        <w:rPr>
          <w:rFonts w:ascii="Times New Roman" w:eastAsia="仿宋_GB2312" w:hAnsi="Times New Roman"/>
          <w:sz w:val="32"/>
          <w:szCs w:val="32"/>
        </w:rPr>
        <w:t>万元，比2025年财政拨款收支总预算增加</w:t>
      </w:r>
      <w:r>
        <w:rPr>
          <w:rStyle w:val="0"/>
          <w:rFonts w:ascii="Times New Roman" w:eastAsia="仿宋_GB2312" w:hAnsi="Times New Roman"/>
          <w:sz w:val="32"/>
          <w:szCs w:val="32"/>
        </w:rPr>
        <w:t>49.98</w:t>
      </w:r>
      <w:r>
        <w:rPr>
          <w:rFonts w:ascii="Times New Roman" w:eastAsia="仿宋_GB2312" w:hAnsi="Times New Roman"/>
          <w:sz w:val="32"/>
          <w:szCs w:val="32"/>
        </w:rPr>
        <w:t>万元，主要原因：</w:t>
      </w:r>
      <w:r>
        <w:rPr>
          <w:rStyle w:val="0"/>
          <w:rFonts w:ascii="Times New Roman" w:eastAsia="仿宋_GB2312" w:hAnsi="Times New Roman"/>
          <w:sz w:val="32"/>
          <w:szCs w:val="32"/>
        </w:rPr>
        <w:t>2025年新增在编4人，一般公共服务支出增加。</w:t>
      </w:r>
    </w:p>
    <w:p>
      <w:pPr>
        <w:spacing w:line="576" w:lineRule="exact"/>
        <w:ind w:left="0" w:firstLineChars="200" w:firstLine="640"/>
        <w:rPr>
          <w:rFonts w:ascii="Times New Roman" w:eastAsia="仿宋_GB2312" w:hAnsi="Times New Roman"/>
          <w:sz w:val="32"/>
          <w:szCs w:val="32"/>
        </w:rPr>
      </w:pPr>
      <w:r>
        <w:rPr>
          <w:rFonts w:ascii="Times New Roman" w:eastAsia="仿宋_GB2312" w:hAnsi="Times New Roman"/>
          <w:sz w:val="32"/>
          <w:szCs w:val="32"/>
        </w:rPr>
        <w:t>收入包括：本年一般公共预算拨款收入</w:t>
      </w:r>
      <w:r>
        <w:rPr>
          <w:rStyle w:val="0"/>
          <w:rFonts w:ascii="Times New Roman" w:eastAsia="仿宋_GB2312" w:hAnsi="Times New Roman"/>
          <w:sz w:val="32"/>
          <w:szCs w:val="32"/>
        </w:rPr>
        <w:t>157.05</w:t>
      </w:r>
      <w:r>
        <w:rPr>
          <w:rFonts w:ascii="Times New Roman" w:eastAsia="仿宋_GB2312" w:hAnsi="Times New Roman"/>
          <w:sz w:val="32"/>
          <w:szCs w:val="32"/>
        </w:rPr>
        <w:t>万元。</w:t>
      </w:r>
    </w:p>
    <w:p>
      <w:pPr>
        <w:spacing w:line="576" w:lineRule="exact"/>
        <w:ind w:left="0" w:firstLineChars="200" w:firstLine="640"/>
        <w:rPr>
          <w:rFonts w:ascii="Times New Roman" w:eastAsia="仿宋_GB2312" w:hAnsi="Times New Roman"/>
          <w:sz w:val="32"/>
          <w:szCs w:val="32"/>
        </w:rPr>
      </w:pPr>
      <w:r>
        <w:rPr>
          <w:rFonts w:ascii="Times New Roman" w:eastAsia="仿宋_GB2312" w:hAnsi="Times New Roman"/>
          <w:sz w:val="32"/>
          <w:szCs w:val="32"/>
        </w:rPr>
        <w:t>支出包括：一般公共服务支出106.36万元、社会保障和就业支出26.65万元、卫生健康支出8.99万元、住房保障支出15.06万元。</w:t>
      </w:r>
    </w:p>
    <w:p>
      <w:pPr>
        <w:spacing w:line="576" w:lineRule="exact"/>
        <w:ind w:firstLineChars="200" w:firstLine="640"/>
        <w:rPr>
          <w:rFonts w:ascii="Times New Roman" w:eastAsia="黑体" w:hAnsi="Times New Roman"/>
          <w:sz w:val="32"/>
          <w:szCs w:val="32"/>
        </w:rPr>
      </w:pPr>
      <w:r>
        <w:rPr>
          <w:rFonts w:ascii="Times New Roman" w:eastAsia="黑体" w:hAnsi="Times New Roman"/>
          <w:sz w:val="32"/>
          <w:szCs w:val="32"/>
        </w:rPr>
        <w:t>四、一般公共预算当年拨款情况说明</w:t>
      </w:r>
    </w:p>
    <w:p>
      <w:pPr>
        <w:pStyle w:val="18"/>
        <w:spacing w:before="0" w:line="576" w:lineRule="exact"/>
        <w:ind w:firstLine="660"/>
        <w:rPr>
          <w:rFonts w:ascii="Times New Roman" w:eastAsia="楷体" w:hAnsi="Times New Roman"/>
          <w:kern w:val="2"/>
          <w:sz w:val="32"/>
          <w:szCs w:val="32"/>
        </w:rPr>
      </w:pPr>
      <w:r>
        <w:rPr>
          <w:rFonts w:ascii="Times New Roman" w:eastAsia="楷体" w:hAnsi="Times New Roman"/>
          <w:kern w:val="2"/>
          <w:sz w:val="32"/>
          <w:szCs w:val="32"/>
        </w:rPr>
        <w:t>（一）一般公共预算当年拨款规模变化情况</w:t>
      </w:r>
    </w:p>
    <w:p>
      <w:pPr>
        <w:pStyle w:val="18"/>
        <w:spacing w:before="0" w:line="576" w:lineRule="exact"/>
        <w:ind w:firstLine="660"/>
        <w:rPr>
          <w:rFonts w:ascii="Times New Roman" w:hAnsi="Times New Roman"/>
          <w:kern w:val="2"/>
          <w:sz w:val="32"/>
          <w:szCs w:val="32"/>
        </w:rPr>
      </w:pPr>
      <w:r>
        <w:rPr>
          <w:rStyle w:val="0"/>
          <w:rFonts w:ascii="Times New Roman" w:eastAsia="仿宋_GB2312" w:hAnsi="Times New Roman"/>
          <w:sz w:val="32"/>
          <w:szCs w:val="32"/>
        </w:rPr>
        <w:t>阿坝州目标绩效事务中心</w:t>
      </w:r>
      <w:r>
        <w:rPr>
          <w:rFonts w:ascii="Times New Roman" w:hAnsi="Times New Roman"/>
          <w:sz w:val="32"/>
          <w:szCs w:val="32"/>
        </w:rPr>
        <w:t>2026年一般公共预算当年拨款157.05万元，比2025年预算数增加</w:t>
      </w:r>
      <w:r>
        <w:rPr>
          <w:rStyle w:val="0"/>
          <w:rFonts w:ascii="Times New Roman" w:eastAsia="仿宋_GB2312" w:hAnsi="Times New Roman"/>
          <w:sz w:val="32"/>
          <w:szCs w:val="32"/>
        </w:rPr>
        <w:t>49.98</w:t>
      </w:r>
      <w:r>
        <w:rPr>
          <w:rFonts w:ascii="Times New Roman" w:hAnsi="Times New Roman"/>
          <w:sz w:val="32"/>
          <w:szCs w:val="32"/>
        </w:rPr>
        <w:t>万元，主要原因：</w:t>
      </w:r>
      <w:r>
        <w:rPr>
          <w:rStyle w:val="0"/>
          <w:rFonts w:ascii="Times New Roman" w:eastAsia="仿宋_GB2312" w:hAnsi="Times New Roman"/>
          <w:sz w:val="32"/>
          <w:szCs w:val="32"/>
        </w:rPr>
        <w:t>2025年新增在编人员，一般公共服务支出增加。</w:t>
      </w:r>
    </w:p>
    <w:p>
      <w:pPr>
        <w:pStyle w:val="18"/>
        <w:spacing w:before="0" w:line="576" w:lineRule="exact"/>
        <w:ind w:firstLineChars="100" w:firstLine="320"/>
        <w:rPr>
          <w:rFonts w:ascii="Times New Roman" w:hAnsi="Times New Roman"/>
          <w:kern w:val="2"/>
          <w:sz w:val="32"/>
          <w:szCs w:val="32"/>
        </w:rPr>
      </w:pPr>
      <w:r>
        <w:rPr>
          <w:rFonts w:ascii="Times New Roman" w:eastAsia="楷体" w:hAnsi="Times New Roman"/>
          <w:sz w:val="32"/>
          <w:szCs w:val="32"/>
        </w:rPr>
        <w:t>（二）一般公共预算当年拨款结构情况</w:t>
      </w:r>
      <w:r>
        <w:rPr>
          <w:rFonts w:ascii="Times New Roman" w:hAnsi="Times New Roman"/>
          <w:sz w:val="32"/>
          <w:szCs w:val="32"/>
        </w:rPr>
        <w:br/>
      </w:r>
      <w:r>
        <w:rPr>
          <w:rFonts w:ascii="Times New Roman" w:hAnsi="Times New Roman"/>
          <w:kern w:val="2"/>
          <w:sz w:val="32"/>
          <w:szCs w:val="32"/>
        </w:rPr>
        <w:t xml:space="preserve">   一般公共服务支出106.36万元，占67.72%；社会保障和就业支出26.65万元，占16.97%；卫生健康支出8.99万元，占5.72%；住房保障支出15.06万元，占9.59%。</w:t>
      </w:r>
    </w:p>
    <w:p>
      <w:pPr>
        <w:pStyle w:val="18"/>
        <w:spacing w:before="0" w:line="576" w:lineRule="exact"/>
        <w:ind w:firstLine="660"/>
        <w:rPr>
          <w:rFonts w:ascii="Times New Roman" w:eastAsia="楷体" w:hAnsi="Times New Roman"/>
          <w:kern w:val="2"/>
          <w:sz w:val="32"/>
          <w:szCs w:val="32"/>
        </w:rPr>
      </w:pPr>
      <w:r>
        <w:rPr>
          <w:rFonts w:ascii="Times New Roman" w:eastAsia="楷体" w:hAnsi="Times New Roman"/>
          <w:kern w:val="2"/>
          <w:sz w:val="32"/>
          <w:szCs w:val="32"/>
        </w:rPr>
        <w:t>（三）一般公共预算当年拨款具体使用情况</w:t>
      </w:r>
    </w:p>
    <w:p>
      <w:pPr>
        <w:pStyle w:val="18"/>
        <w:spacing w:before="0" w:line="576" w:lineRule="exact"/>
        <w:ind w:firstLine="660"/>
        <w:rPr>
          <w:rFonts w:ascii="Times New Roman" w:eastAsia="方正仿宋_GBK" w:hAnsi="Times New Roman"/>
        </w:rPr>
      </w:pPr>
      <w:r>
        <w:rPr>
          <w:rFonts w:ascii="Times New Roman" w:eastAsia="方正仿宋_GBK" w:hAnsi="Times New Roman"/>
        </w:rPr>
        <w:t>1.一般公共服务（类）党委办公厅及相关机构事务（款）事业运行（项）2026年预算数为106.36万元，主要用于：事业人员的工资福利支出和办公费、水电费、差旅费、福利费等一般公用支出，保障单位正常运转。</w:t>
      </w:r>
    </w:p>
    <w:p>
      <w:pPr>
        <w:pStyle w:val="18"/>
        <w:spacing w:before="0" w:line="576" w:lineRule="exact"/>
        <w:ind w:firstLine="660"/>
        <w:rPr>
          <w:rFonts w:ascii="Times New Roman" w:eastAsia="方正仿宋_GBK" w:hAnsi="Times New Roman"/>
        </w:rPr>
      </w:pPr>
      <w:r>
        <w:rPr>
          <w:rFonts w:ascii="Times New Roman" w:eastAsia="方正仿宋_GBK" w:hAnsi="Times New Roman"/>
        </w:rPr>
        <w:t>2.社会保障和就业（类）行政事业单位养老支出（款）机关事业单位基本养老保险缴费支出（项）2026年预算数为17.16万元。其他行政事业单位养老支出（项）2026年预算数为0.9万元，主要用于职工养老保险缴费。</w:t>
      </w:r>
    </w:p>
    <w:p>
      <w:pPr>
        <w:pStyle w:val="18"/>
        <w:spacing w:before="0" w:line="576" w:lineRule="exact"/>
        <w:ind w:firstLine="660"/>
        <w:rPr>
          <w:rFonts w:ascii="Times New Roman" w:eastAsia="方正仿宋_GBK" w:hAnsi="Times New Roman"/>
        </w:rPr>
      </w:pPr>
      <w:r>
        <w:rPr>
          <w:rFonts w:ascii="Times New Roman" w:eastAsia="方正仿宋_GBK" w:hAnsi="Times New Roman"/>
        </w:rPr>
        <w:t>3.社会保障和就业（类）行政事业单位养老支出（款）机关事业单位职业年金缴费支出（项）2026年预算数为8.58万元，主要用于职工职业年金缴费。</w:t>
      </w:r>
    </w:p>
    <w:p>
      <w:pPr>
        <w:pStyle w:val="18"/>
        <w:spacing w:before="0" w:line="576" w:lineRule="exact"/>
        <w:ind w:firstLine="660"/>
        <w:rPr>
          <w:rFonts w:ascii="Times New Roman" w:eastAsia="方正仿宋_GBK" w:hAnsi="Times New Roman"/>
        </w:rPr>
      </w:pPr>
      <w:r>
        <w:rPr>
          <w:rFonts w:ascii="Times New Roman" w:eastAsia="方正仿宋_GBK" w:hAnsi="Times New Roman"/>
        </w:rPr>
        <w:t xml:space="preserve">4.卫生健康支出（类）行政事业单位医疗（款）事业单位医疗支出（项）2026年预算数为8.99万元，主要用于职工医疗保保险缴费。 </w:t>
      </w:r>
    </w:p>
    <w:p>
      <w:pPr>
        <w:pStyle w:val="18"/>
        <w:spacing w:before="0" w:line="576" w:lineRule="exact"/>
        <w:ind w:firstLine="660"/>
        <w:rPr>
          <w:rFonts w:ascii="Times New Roman" w:hAnsi="Times New Roman"/>
        </w:rPr>
      </w:pPr>
      <w:r>
        <w:rPr>
          <w:rFonts w:ascii="Times New Roman" w:eastAsia="方正仿宋_GBK" w:hAnsi="Times New Roman"/>
        </w:rPr>
        <w:t>5.住房保障支出（类）住房改革支出（款）住房公积金 （项）2026年预算数为15.06万元，主要用于单位为职工缴纳住房公积金。</w:t>
      </w:r>
    </w:p>
    <w:p>
      <w:pPr>
        <w:pStyle w:val="18"/>
        <w:spacing w:before="0" w:line="576" w:lineRule="exact"/>
        <w:ind w:firstLine="660"/>
        <w:rPr>
          <w:rFonts w:ascii="Times New Roman" w:eastAsia="黑体" w:hAnsi="Times New Roman"/>
          <w:sz w:val="32"/>
          <w:szCs w:val="32"/>
        </w:rPr>
      </w:pPr>
      <w:r>
        <w:rPr>
          <w:rFonts w:ascii="Times New Roman" w:eastAsia="黑体" w:hAnsi="Times New Roman"/>
          <w:sz w:val="32"/>
          <w:szCs w:val="32"/>
        </w:rPr>
        <w:t>五、一般公共预算基本支出情况说明</w:t>
      </w:r>
    </w:p>
    <w:p>
      <w:pPr>
        <w:pStyle w:val="18"/>
        <w:spacing w:before="0" w:line="576" w:lineRule="exact"/>
        <w:ind w:firstLineChars="200" w:firstLine="640"/>
        <w:rPr>
          <w:rFonts w:ascii="Times New Roman" w:eastAsia="方正仿宋_GBK" w:hAnsi="Times New Roman"/>
          <w:kern w:val="2"/>
          <w:sz w:val="32"/>
          <w:szCs w:val="32"/>
        </w:rPr>
      </w:pPr>
      <w:r>
        <w:rPr>
          <w:rStyle w:val="0"/>
          <w:rFonts w:ascii="Times New Roman" w:eastAsia="方正仿宋_GBK" w:hAnsi="Times New Roman"/>
          <w:sz w:val="32"/>
          <w:szCs w:val="32"/>
        </w:rPr>
        <w:t>阿坝州目标绩效事务中心</w:t>
      </w:r>
      <w:r>
        <w:rPr>
          <w:rFonts w:ascii="Times New Roman" w:eastAsia="方正仿宋_GBK" w:hAnsi="Times New Roman"/>
        </w:rPr>
        <w:t>2026年一般公共预算基本支出 157.05万元，其中：人员经费 134.20万元，主要包括：</w:t>
      </w:r>
      <w:r>
        <w:rPr>
          <w:rFonts w:ascii="Times New Roman" w:eastAsia="方正仿宋_GBK" w:hAnsi="Times New Roman"/>
          <w:kern w:val="2"/>
          <w:sz w:val="32"/>
          <w:szCs w:val="32"/>
        </w:rPr>
        <w:t>基本工资、津贴补贴、奖金、其他社会保障缴费、绩效工资、机关事业单位基本养老保险缴费、职业年金缴费、其他工资福利支出、奖励金、住房公积金、其他对个人和家庭的补助支出。</w:t>
      </w:r>
    </w:p>
    <w:p>
      <w:pPr>
        <w:pStyle w:val="18"/>
        <w:spacing w:before="0" w:line="576" w:lineRule="exact"/>
        <w:ind w:firstLineChars="200" w:firstLine="600"/>
        <w:rPr>
          <w:rFonts w:ascii="Times New Roman" w:eastAsia="黑体" w:hAnsi="Times New Roman"/>
          <w:sz w:val="32"/>
          <w:szCs w:val="32"/>
        </w:rPr>
      </w:pPr>
      <w:r>
        <w:rPr>
          <w:rFonts w:ascii="Times New Roman" w:eastAsia="方正仿宋_GBK" w:hAnsi="Times New Roman"/>
        </w:rPr>
        <w:t>公用经费22.85万元，主要包括：</w:t>
      </w:r>
      <w:r>
        <w:rPr>
          <w:rFonts w:ascii="Times New Roman" w:eastAsia="方正仿宋_GBK" w:hAnsi="Times New Roman"/>
          <w:kern w:val="2"/>
          <w:sz w:val="32"/>
          <w:szCs w:val="32"/>
        </w:rPr>
        <w:t>办公费、印刷费、手续费、水费、电费、邮电费、差旅费、维修（护）费、培训费、福利费、其他商品和服务支出。</w:t>
        <w:br/>
      </w:r>
      <w:r>
        <w:rPr>
          <w:rFonts w:ascii="Times New Roman" w:hAnsi="Times New Roman"/>
          <w:kern w:val="2"/>
          <w:sz w:val="32"/>
          <w:szCs w:val="32"/>
        </w:rPr>
        <w:t xml:space="preserve">    </w:t>
      </w:r>
      <w:r>
        <w:rPr>
          <w:rFonts w:ascii="Times New Roman" w:eastAsia="黑体" w:hAnsi="Times New Roman"/>
          <w:sz w:val="32"/>
          <w:szCs w:val="32"/>
        </w:rPr>
        <w:t>六、“三公”经费财政拨款预算安排情况说明</w:t>
      </w:r>
    </w:p>
    <w:p>
      <w:pPr>
        <w:pStyle w:val="18"/>
        <w:spacing w:before="0" w:line="576" w:lineRule="exact"/>
        <w:ind w:firstLineChars="200" w:firstLine="640"/>
        <w:rPr>
          <w:rFonts w:ascii="Times New Roman" w:eastAsia="方正仿宋_GBK" w:hAnsi="Times New Roman"/>
          <w:kern w:val="2"/>
          <w:sz w:val="32"/>
          <w:szCs w:val="32"/>
        </w:rPr>
      </w:pPr>
      <w:r>
        <w:rPr>
          <w:rStyle w:val="0"/>
          <w:rFonts w:ascii="Times New Roman" w:eastAsia="方正仿宋_GBK" w:hAnsi="Times New Roman"/>
          <w:sz w:val="32"/>
          <w:szCs w:val="32"/>
        </w:rPr>
        <w:t>阿坝州目标绩效事务中心</w:t>
      </w:r>
      <w:r>
        <w:rPr>
          <w:rFonts w:ascii="Times New Roman" w:eastAsia="方正仿宋_GBK" w:hAnsi="Times New Roman"/>
          <w:kern w:val="2"/>
          <w:sz w:val="32"/>
          <w:szCs w:val="32"/>
        </w:rPr>
        <w:t>2026年“三公”经费财政拨款预算数0.32万元，其中：因公出国（境）经费0万元，公务接待费0.32万元，公务用车购置及运行维护费0万元。</w:t>
      </w:r>
    </w:p>
    <w:p>
      <w:pPr>
        <w:pStyle w:val="18"/>
        <w:spacing w:before="0" w:line="576" w:lineRule="exact"/>
        <w:ind w:firstLineChars="200" w:firstLine="640"/>
        <w:rPr>
          <w:rFonts w:ascii="Times New Roman" w:eastAsia="方正仿宋_GBK" w:hAnsi="Times New Roman"/>
          <w:kern w:val="2"/>
          <w:sz w:val="32"/>
          <w:szCs w:val="32"/>
        </w:rPr>
      </w:pPr>
      <w:r>
        <w:rPr>
          <w:rFonts w:ascii="Times New Roman" w:eastAsia="方正仿宋_GBK" w:hAnsi="Times New Roman"/>
          <w:kern w:val="2"/>
          <w:sz w:val="32"/>
          <w:szCs w:val="32"/>
        </w:rPr>
        <w:t>（一）2026年因公出国（境）经费0万元。</w:t>
      </w:r>
    </w:p>
    <w:p>
      <w:pPr>
        <w:pStyle w:val="18"/>
        <w:spacing w:before="0" w:line="576" w:lineRule="exact"/>
        <w:ind w:firstLine="660"/>
        <w:rPr>
          <w:rFonts w:ascii="Times New Roman" w:eastAsia="方正仿宋_GBK" w:hAnsi="Times New Roman"/>
          <w:kern w:val="2"/>
          <w:sz w:val="32"/>
          <w:szCs w:val="32"/>
        </w:rPr>
      </w:pPr>
      <w:r>
        <w:rPr>
          <w:rFonts w:ascii="Times New Roman" w:eastAsia="方正仿宋_GBK" w:hAnsi="Times New Roman"/>
          <w:kern w:val="2"/>
          <w:sz w:val="32"/>
          <w:szCs w:val="32"/>
        </w:rPr>
        <w:t>（二）</w:t>
      </w:r>
      <w:r>
        <w:rPr>
          <w:rFonts w:ascii="Times New Roman" w:eastAsia="方正仿宋_GBK" w:hAnsi="Times New Roman"/>
          <w:color w:val="000000"/>
          <w:kern w:val="2"/>
          <w:sz w:val="32"/>
          <w:szCs w:val="32"/>
        </w:rPr>
        <w:t>2026年公务接待经费0.32万元。较2025年预算经费增加0.10万元，增加45.45%，主要原因：</w:t>
      </w:r>
      <w:r>
        <w:rPr>
          <w:rStyle w:val="0"/>
          <w:rFonts w:ascii="Times New Roman" w:eastAsia="方正仿宋_GBK" w:hAnsi="Times New Roman"/>
          <w:sz w:val="32"/>
          <w:szCs w:val="32"/>
        </w:rPr>
        <w:t>2025年新增在编4人，一般公共服务支出增加。</w:t>
      </w:r>
      <w:r>
        <w:rPr>
          <w:rFonts w:ascii="Times New Roman" w:eastAsia="方正仿宋_GBK" w:hAnsi="Times New Roman"/>
          <w:kern w:val="2"/>
          <w:sz w:val="32"/>
          <w:szCs w:val="32"/>
        </w:rPr>
        <w:t>　</w:t>
      </w:r>
    </w:p>
    <w:p>
      <w:pPr>
        <w:pStyle w:val="18"/>
        <w:spacing w:before="0" w:line="576" w:lineRule="exact"/>
        <w:ind w:firstLineChars="200" w:firstLine="640"/>
        <w:rPr>
          <w:rFonts w:ascii="Times New Roman" w:hAnsi="Times New Roman"/>
          <w:color w:val="000000"/>
          <w:kern w:val="2"/>
          <w:sz w:val="32"/>
          <w:szCs w:val="32"/>
        </w:rPr>
      </w:pPr>
      <w:r>
        <w:rPr>
          <w:rFonts w:ascii="Times New Roman" w:eastAsia="方正仿宋_GBK" w:hAnsi="Times New Roman"/>
          <w:color w:val="000000"/>
          <w:kern w:val="2"/>
          <w:sz w:val="32"/>
          <w:szCs w:val="32"/>
        </w:rPr>
        <w:t>（三）2026年公务用车购置及运行维护费0万元。</w:t>
      </w:r>
    </w:p>
    <w:p>
      <w:pPr>
        <w:pStyle w:val="18"/>
        <w:spacing w:before="0" w:line="576" w:lineRule="exact"/>
        <w:ind w:firstLineChars="200" w:firstLine="640"/>
        <w:rPr>
          <w:rFonts w:ascii="Times New Roman" w:eastAsia="黑体" w:hAnsi="Times New Roman"/>
          <w:sz w:val="32"/>
          <w:szCs w:val="32"/>
        </w:rPr>
      </w:pPr>
      <w:r>
        <w:rPr>
          <w:rFonts w:ascii="Times New Roman" w:eastAsia="黑体" w:hAnsi="Times New Roman"/>
          <w:sz w:val="32"/>
          <w:szCs w:val="32"/>
        </w:rPr>
        <w:t>七、政府性基金</w:t>
      </w:r>
      <w:r>
        <w:rPr>
          <w:rFonts w:ascii="Times New Roman" w:eastAsia="黑体" w:hAnsi="Times New Roman"/>
          <w:kern w:val="2"/>
          <w:sz w:val="32"/>
          <w:szCs w:val="32"/>
        </w:rPr>
        <w:t>预算</w:t>
      </w:r>
      <w:r>
        <w:rPr>
          <w:rFonts w:ascii="Times New Roman" w:eastAsia="黑体" w:hAnsi="Times New Roman"/>
          <w:sz w:val="32"/>
          <w:szCs w:val="32"/>
        </w:rPr>
        <w:t>支出情况说明</w:t>
      </w:r>
    </w:p>
    <w:p>
      <w:pPr>
        <w:pStyle w:val="18"/>
        <w:spacing w:before="0" w:line="576" w:lineRule="exact"/>
        <w:ind w:firstLineChars="200" w:firstLine="640"/>
        <w:rPr>
          <w:rFonts w:ascii="Times New Roman" w:eastAsia="方正仿宋_GBK" w:hAnsi="Times New Roman"/>
        </w:rPr>
      </w:pPr>
      <w:r>
        <w:rPr>
          <w:rStyle w:val="0"/>
          <w:rFonts w:ascii="Times New Roman" w:eastAsia="方正仿宋_GBK" w:hAnsi="Times New Roman"/>
          <w:sz w:val="32"/>
          <w:szCs w:val="32"/>
        </w:rPr>
        <w:t>阿坝州目标绩效事务中心</w:t>
      </w:r>
      <w:r>
        <w:rPr>
          <w:rFonts w:ascii="Times New Roman" w:eastAsia="方正仿宋_GBK" w:hAnsi="Times New Roman"/>
        </w:rPr>
        <w:t>2026年没有使用政府性基金预算拨款安排的支出。</w:t>
      </w:r>
    </w:p>
    <w:p>
      <w:pPr>
        <w:pStyle w:val="18"/>
        <w:spacing w:before="0" w:line="576" w:lineRule="exact"/>
        <w:ind w:firstLineChars="200" w:firstLine="640"/>
        <w:rPr>
          <w:rFonts w:ascii="Times New Roman" w:eastAsia="黑体" w:hAnsi="Times New Roman"/>
          <w:sz w:val="32"/>
          <w:szCs w:val="32"/>
        </w:rPr>
      </w:pPr>
      <w:r>
        <w:rPr>
          <w:rFonts w:ascii="Times New Roman" w:eastAsia="黑体" w:hAnsi="Times New Roman"/>
          <w:sz w:val="32"/>
          <w:szCs w:val="32"/>
        </w:rPr>
        <w:t>八、其他重要事项的情况说明</w:t>
      </w:r>
    </w:p>
    <w:p>
      <w:pPr>
        <w:pStyle w:val="18"/>
        <w:spacing w:before="0" w:line="576" w:lineRule="exact"/>
        <w:ind w:firstLineChars="200" w:firstLine="640"/>
        <w:rPr>
          <w:rFonts w:ascii="Times New Roman" w:hAnsi="Times New Roman"/>
          <w:color w:val="FF0000"/>
          <w:kern w:val="2"/>
          <w:sz w:val="32"/>
          <w:szCs w:val="32"/>
        </w:rPr>
      </w:pPr>
      <w:r>
        <w:rPr>
          <w:rFonts w:ascii="Times New Roman" w:eastAsia="楷体" w:hAnsi="Times New Roman"/>
          <w:kern w:val="2"/>
          <w:sz w:val="32"/>
          <w:szCs w:val="32"/>
        </w:rPr>
        <w:t>（一）机关运行经费</w:t>
      </w:r>
      <w:r>
        <w:rPr>
          <w:rFonts w:ascii="Times New Roman" w:hAnsi="Times New Roman"/>
          <w:kern w:val="2"/>
          <w:sz w:val="32"/>
          <w:szCs w:val="32"/>
        </w:rPr>
        <w:br/>
        <w:t xml:space="preserve">　 </w:t>
      </w:r>
      <w:r>
        <w:rPr>
          <w:rStyle w:val="0"/>
          <w:rFonts w:ascii="Times New Roman" w:eastAsia="方正仿宋_GBK" w:hAnsi="Times New Roman"/>
          <w:sz w:val="32"/>
          <w:szCs w:val="32"/>
        </w:rPr>
        <w:t>阿坝州目标绩效事务中心</w:t>
      </w:r>
      <w:r>
        <w:rPr>
          <w:rFonts w:ascii="Times New Roman" w:eastAsia="方正仿宋_GBK" w:hAnsi="Times New Roman"/>
          <w:kern w:val="2"/>
          <w:sz w:val="32"/>
          <w:szCs w:val="32"/>
        </w:rPr>
        <w:t>2026年机关运行经费财政拨款预算为22.85万元，比2025年预算</w:t>
      </w:r>
      <w:r>
        <w:rPr>
          <w:rFonts w:ascii="Times New Roman" w:eastAsia="方正仿宋_GBK" w:hAnsi="Times New Roman"/>
          <w:sz w:val="32"/>
          <w:szCs w:val="32"/>
        </w:rPr>
        <w:t>增加6.43</w:t>
      </w:r>
      <w:r>
        <w:rPr>
          <w:rFonts w:ascii="Times New Roman" w:eastAsia="方正仿宋_GBK" w:hAnsi="Times New Roman"/>
          <w:color w:val="000000"/>
          <w:kern w:val="2"/>
          <w:sz w:val="32"/>
          <w:szCs w:val="32"/>
        </w:rPr>
        <w:t>万元，增加39.16%。</w:t>
      </w:r>
      <w:r>
        <w:rPr>
          <w:rFonts w:ascii="Times New Roman" w:eastAsia="方正仿宋_GBK" w:hAnsi="Times New Roman"/>
        </w:rPr>
        <w:t>主要原因：2025年新增4人，增加机关运行经费。</w:t>
      </w:r>
    </w:p>
    <w:p>
      <w:pPr>
        <w:pStyle w:val="18"/>
        <w:spacing w:before="0" w:line="576" w:lineRule="exact"/>
        <w:ind w:firstLineChars="200" w:firstLine="640"/>
        <w:rPr>
          <w:rFonts w:ascii="Times New Roman" w:hAnsi="Times New Roman"/>
          <w:kern w:val="2"/>
          <w:sz w:val="32"/>
          <w:szCs w:val="32"/>
        </w:rPr>
      </w:pPr>
      <w:r>
        <w:rPr>
          <w:rFonts w:ascii="Times New Roman" w:eastAsia="楷体" w:hAnsi="Times New Roman"/>
          <w:kern w:val="2"/>
          <w:sz w:val="32"/>
          <w:szCs w:val="32"/>
        </w:rPr>
        <w:t>（二）政府采购情况</w:t>
      </w:r>
      <w:r>
        <w:rPr>
          <w:rFonts w:ascii="Times New Roman" w:hAnsi="Times New Roman"/>
          <w:kern w:val="2"/>
          <w:sz w:val="32"/>
          <w:szCs w:val="32"/>
        </w:rPr>
        <w:br/>
        <w:t>　</w:t>
      </w:r>
      <w:r>
        <w:rPr>
          <w:rFonts w:ascii="Times New Roman" w:hAnsi="Times New Roman"/>
          <w:color w:val="000000"/>
          <w:kern w:val="2"/>
          <w:sz w:val="32"/>
          <w:szCs w:val="32"/>
        </w:rPr>
        <w:t>　</w:t>
      </w:r>
      <w:r>
        <w:rPr>
          <w:rFonts w:ascii="Times New Roman" w:eastAsia="方正仿宋_GBK" w:hAnsi="Times New Roman"/>
          <w:color w:val="000000"/>
          <w:kern w:val="2"/>
          <w:sz w:val="32"/>
          <w:szCs w:val="32"/>
        </w:rPr>
        <w:t xml:space="preserve"> 2026年</w:t>
      </w:r>
      <w:r>
        <w:rPr>
          <w:rStyle w:val="0"/>
          <w:rFonts w:ascii="Times New Roman" w:eastAsia="方正仿宋_GBK" w:hAnsi="Times New Roman"/>
          <w:sz w:val="32"/>
          <w:szCs w:val="32"/>
        </w:rPr>
        <w:t>阿坝州目标绩效事务中心</w:t>
      </w:r>
      <w:r>
        <w:rPr>
          <w:rFonts w:ascii="Times New Roman" w:eastAsia="方正仿宋_GBK" w:hAnsi="Times New Roman"/>
          <w:color w:val="000000"/>
          <w:kern w:val="2"/>
          <w:sz w:val="32"/>
          <w:szCs w:val="32"/>
        </w:rPr>
        <w:t>安排政府采购预算0万元。</w:t>
      </w:r>
    </w:p>
    <w:p>
      <w:pPr>
        <w:pStyle w:val="18"/>
        <w:spacing w:before="0" w:line="576" w:lineRule="exact"/>
        <w:ind w:firstLineChars="200" w:firstLine="640"/>
        <w:rPr>
          <w:rFonts w:ascii="Times New Roman" w:eastAsia="楷体" w:hAnsi="Times New Roman"/>
          <w:kern w:val="2"/>
          <w:sz w:val="32"/>
          <w:szCs w:val="32"/>
        </w:rPr>
      </w:pPr>
      <w:r>
        <w:rPr>
          <w:rFonts w:ascii="Times New Roman" w:eastAsia="楷体" w:hAnsi="Times New Roman"/>
          <w:kern w:val="2"/>
          <w:sz w:val="32"/>
          <w:szCs w:val="32"/>
        </w:rPr>
        <w:t>（三）国有资产占有使用情况</w:t>
      </w:r>
    </w:p>
    <w:p>
      <w:pPr>
        <w:pStyle w:val="18"/>
        <w:spacing w:before="0" w:line="576" w:lineRule="exact"/>
        <w:ind w:firstLineChars="200" w:firstLine="640"/>
        <w:rPr>
          <w:rFonts w:ascii="Times New Roman" w:hAnsi="Times New Roman"/>
          <w:kern w:val="2"/>
          <w:sz w:val="32"/>
          <w:szCs w:val="32"/>
        </w:rPr>
      </w:pPr>
      <w:r>
        <w:rPr>
          <w:rFonts w:ascii="Times New Roman" w:hAnsi="Times New Roman"/>
          <w:kern w:val="2"/>
          <w:sz w:val="32"/>
          <w:szCs w:val="32"/>
        </w:rPr>
        <w:t>截至2025年12月31日，我单位固定资产0万元。</w:t>
      </w:r>
    </w:p>
    <w:p>
      <w:pPr>
        <w:pStyle w:val="18"/>
        <w:spacing w:before="0" w:line="576" w:lineRule="exact"/>
        <w:ind w:firstLineChars="200" w:firstLine="640"/>
        <w:rPr>
          <w:rFonts w:ascii="Times New Roman" w:eastAsia="黑体" w:hAnsi="Times New Roman"/>
          <w:sz w:val="32"/>
          <w:szCs w:val="32"/>
        </w:rPr>
      </w:pPr>
      <w:r>
        <w:rPr>
          <w:rFonts w:ascii="Times New Roman" w:eastAsia="楷体" w:hAnsi="Times New Roman"/>
          <w:kern w:val="2"/>
          <w:sz w:val="32"/>
          <w:szCs w:val="32"/>
        </w:rPr>
        <w:t>（四）绩效目标设置情况</w:t>
      </w:r>
      <w:r>
        <w:rPr>
          <w:rFonts w:ascii="Times New Roman" w:hAnsi="Times New Roman"/>
          <w:kern w:val="2"/>
          <w:sz w:val="32"/>
          <w:szCs w:val="32"/>
        </w:rPr>
        <w:br/>
        <w:t>　　2026年</w:t>
      </w:r>
      <w:r>
        <w:rPr>
          <w:rStyle w:val="0"/>
          <w:rFonts w:ascii="Times New Roman" w:eastAsia="仿宋_GB2312" w:hAnsi="Times New Roman"/>
          <w:sz w:val="32"/>
          <w:szCs w:val="32"/>
        </w:rPr>
        <w:t>阿坝州目标绩效事务中心</w:t>
      </w:r>
      <w:r>
        <w:rPr>
          <w:rFonts w:ascii="Times New Roman" w:hAnsi="Times New Roman"/>
          <w:kern w:val="2"/>
          <w:sz w:val="32"/>
          <w:szCs w:val="32"/>
        </w:rPr>
        <w:t>项目均按要求实行绩效目标管理，涉及一般公共预算当年拨款157.05万元。</w:t>
      </w:r>
    </w:p>
    <w:p>
      <w:pPr>
        <w:pStyle w:val="18"/>
        <w:spacing w:before="0" w:line="576" w:lineRule="exact"/>
        <w:ind w:firstLineChars="200" w:firstLine="640"/>
        <w:rPr>
          <w:rFonts w:ascii="Times New Roman" w:hAnsi="Times New Roman"/>
          <w:kern w:val="2"/>
          <w:sz w:val="32"/>
          <w:szCs w:val="32"/>
        </w:rPr>
      </w:pPr>
      <w:r>
        <w:rPr>
          <w:rFonts w:ascii="Times New Roman" w:eastAsia="黑体" w:hAnsi="Times New Roman"/>
          <w:sz w:val="32"/>
          <w:szCs w:val="32"/>
        </w:rPr>
        <w:t xml:space="preserve">九、名称解释 </w:t>
      </w:r>
      <w:r>
        <w:rPr>
          <w:rFonts w:ascii="Times New Roman" w:hAnsi="Times New Roman"/>
          <w:sz w:val="32"/>
          <w:szCs w:val="32"/>
        </w:rPr>
        <w:br/>
      </w:r>
      <w:r>
        <w:rPr>
          <w:rFonts w:ascii="Times New Roman" w:eastAsia="宋体" w:hAnsi="Times New Roman"/>
          <w:sz w:val="16"/>
        </w:rPr>
        <w:t xml:space="preserve">　　   </w:t>
      </w:r>
      <w:r>
        <w:rPr>
          <w:rFonts w:ascii="Times New Roman" w:eastAsia="楷体" w:hAnsi="Times New Roman"/>
          <w:kern w:val="2"/>
          <w:sz w:val="32"/>
          <w:szCs w:val="32"/>
        </w:rPr>
        <w:t>（一）财政拨款收入</w:t>
      </w:r>
      <w:r>
        <w:rPr>
          <w:rFonts w:ascii="Times New Roman" w:hAnsi="Times New Roman"/>
          <w:kern w:val="2"/>
          <w:sz w:val="32"/>
          <w:szCs w:val="32"/>
        </w:rPr>
        <w:t>：</w:t>
      </w:r>
      <w:r>
        <w:rPr>
          <w:rFonts w:ascii="Times New Roman" w:eastAsia="方正仿宋_GBK" w:hAnsi="Times New Roman"/>
          <w:kern w:val="2"/>
          <w:sz w:val="32"/>
          <w:szCs w:val="32"/>
        </w:rPr>
        <w:t>指由财政拨款形成的部门收入。按现行管理制度，部门预算中反映的财政拨款仅包括一般公共预算拨款和政府性基金预算拨款。</w:t>
      </w:r>
      <w:r>
        <w:rPr>
          <w:rFonts w:ascii="Times New Roman" w:hAnsi="Times New Roman"/>
          <w:kern w:val="2"/>
          <w:sz w:val="32"/>
          <w:szCs w:val="32"/>
        </w:rPr>
        <w:br/>
        <w:t>　　</w:t>
      </w:r>
      <w:r>
        <w:rPr>
          <w:rFonts w:ascii="Times New Roman" w:eastAsia="楷体" w:hAnsi="Times New Roman"/>
          <w:kern w:val="2"/>
          <w:sz w:val="32"/>
          <w:szCs w:val="32"/>
        </w:rPr>
        <w:t>（二）事业收入</w:t>
      </w:r>
      <w:r>
        <w:rPr>
          <w:rFonts w:ascii="Times New Roman" w:hAnsi="Times New Roman"/>
          <w:kern w:val="2"/>
          <w:sz w:val="32"/>
          <w:szCs w:val="32"/>
        </w:rPr>
        <w:t>：指所属事业单位开展专业业务活动及辅助活动所取得的收入。</w:t>
        <w:br/>
      </w:r>
      <w:r>
        <w:rPr>
          <w:rFonts w:ascii="Times New Roman" w:hAnsi="Times New Roman"/>
          <w:kern w:val="2"/>
          <w:sz w:val="28"/>
          <w:szCs w:val="28"/>
        </w:rPr>
        <w:t>　　</w:t>
      </w:r>
      <w:r>
        <w:rPr>
          <w:rFonts w:ascii="Times New Roman" w:eastAsia="楷体" w:hAnsi="Times New Roman"/>
          <w:kern w:val="2"/>
          <w:sz w:val="28"/>
          <w:szCs w:val="28"/>
        </w:rPr>
        <w:t>（三）事业单位经营收入</w:t>
      </w:r>
      <w:r>
        <w:rPr>
          <w:rFonts w:ascii="Times New Roman" w:hAnsi="Times New Roman"/>
          <w:kern w:val="2"/>
          <w:sz w:val="28"/>
          <w:szCs w:val="28"/>
        </w:rPr>
        <w:t>：指所属事业单位在专业业务活动及其辅助活动之外开展非独立核算经营活动取得的收入。</w:t>
      </w:r>
      <w:r>
        <w:rPr>
          <w:rFonts w:ascii="Times New Roman" w:hAnsi="Times New Roman"/>
          <w:kern w:val="2"/>
          <w:sz w:val="32"/>
          <w:szCs w:val="32"/>
        </w:rPr>
        <w:br/>
        <w:t>　</w:t>
      </w:r>
      <w:r>
        <w:rPr>
          <w:rFonts w:ascii="Times New Roman" w:eastAsia="楷体" w:hAnsi="Times New Roman"/>
          <w:kern w:val="2"/>
          <w:sz w:val="32"/>
          <w:szCs w:val="32"/>
        </w:rPr>
        <w:t>　（四）其他收入</w:t>
      </w:r>
      <w:r>
        <w:rPr>
          <w:rFonts w:ascii="Times New Roman" w:hAnsi="Times New Roman"/>
          <w:kern w:val="2"/>
          <w:sz w:val="32"/>
          <w:szCs w:val="32"/>
        </w:rPr>
        <w:t>：指除上述“财政拨款收入”、“事业收入”、“事业单位经营收入”等以外的收入，主要是所属行政事业单位按规定动用的售房收入、存款利息收入等。</w:t>
        <w:br/>
        <w:t>　</w:t>
      </w:r>
      <w:r>
        <w:rPr>
          <w:rFonts w:ascii="Times New Roman" w:eastAsia="楷体" w:hAnsi="Times New Roman"/>
          <w:kern w:val="2"/>
          <w:sz w:val="32"/>
          <w:szCs w:val="32"/>
        </w:rPr>
        <w:t>　（五）用事业基金弥补收支差额</w:t>
      </w:r>
      <w:r>
        <w:rPr>
          <w:rFonts w:ascii="Times New Roman" w:hAnsi="Times New Roman"/>
          <w:kern w:val="2"/>
          <w:sz w:val="32"/>
          <w:szCs w:val="32"/>
        </w:rPr>
        <w:t>：指所属事业单位在预计用当年的“财政拨款收入”、“事业收入”、“事业单位经营收入”、“其他收入”不足以安排当年支出的情况下，使用以前年度积累的事业基金弥补本年度收支缺口的资金。</w:t>
        <w:br/>
        <w:t>　</w:t>
      </w:r>
      <w:r>
        <w:rPr>
          <w:rFonts w:ascii="Times New Roman" w:eastAsia="楷体" w:hAnsi="Times New Roman"/>
          <w:kern w:val="2"/>
          <w:sz w:val="32"/>
          <w:szCs w:val="32"/>
        </w:rPr>
        <w:t>　（六）上年结转</w:t>
      </w:r>
      <w:r>
        <w:rPr>
          <w:rFonts w:ascii="Times New Roman" w:hAnsi="Times New Roman"/>
          <w:kern w:val="2"/>
          <w:sz w:val="32"/>
          <w:szCs w:val="32"/>
        </w:rPr>
        <w:t>：指所属行政事业单位以前年度尚未完成、结转至本年按原规定用途继续使用的资金和以前年度已完成项目剩余资金经批准用于新用途使用的资金。</w:t>
      </w:r>
    </w:p>
    <w:p>
      <w:pPr>
        <w:spacing w:line="576" w:lineRule="exact"/>
        <w:rPr>
          <w:rFonts w:ascii="Times New Roman" w:eastAsia="仿宋_GB2312" w:hAnsi="Times New Roman"/>
          <w:sz w:val="32"/>
          <w:szCs w:val="32"/>
        </w:rPr>
      </w:pPr>
    </w:p>
    <w:sectPr>
      <w:head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variable"/>
    <w:sig w:usb0="800002BF" w:usb1="38CF7CFA" w:usb2="00000016" w:usb3="00000000" w:csb0="00040001" w:csb1="00000000"/>
  </w:font>
  <w:font w:name="楷体">
    <w:panose1 w:val="02010609060101010101"/>
    <w:charset w:val="86"/>
    <w:family w:val="modern"/>
    <w:pitch w:val="variable"/>
    <w:sig w:usb0="800002BF" w:usb1="38CF7CFA" w:usb2="00000016" w:usb3="00000000" w:csb0="00040001" w:csb1="00000000"/>
  </w:font>
  <w:font w:name="方正仿宋_GBK">
    <w:panose1 w:val="02000000000000000000"/>
    <w:charset w:val="86"/>
    <w:family w:val="script"/>
    <w:pitch w:val="variable"/>
    <w:sig w:usb0="A00002BF" w:usb1="38CF7CFA" w:usb2="00082016" w:usb3="00000000" w:csb0="00040001" w:csb1="00000000"/>
  </w:font>
  <w:font w:name="仿宋_GB2312">
    <w:panose1 w:val="02010609030101010101"/>
    <w:charset w:val="86"/>
    <w:family w:val="modern"/>
    <w:pitch w:val="variable"/>
    <w:sig w:usb0="00000001" w:usb1="080E0000" w:usb2="00000010" w:usb3="00000000" w:csb0="00040000" w:csb1="00000000"/>
  </w:font>
  <w:font w:name="宋体">
    <w:altName w:val="方正兰亭黑_GBK"/>
    <w:panose1 w:val="02010600030101010101"/>
    <w:charset w:val="86"/>
    <w:family w:val="auto"/>
    <w:pitch w:val="variable"/>
    <w:sig w:usb0="00000003" w:usb1="288F0000" w:usb2="00000016" w:usb3="00000000" w:csb0="00040001" w:csb1="00000000"/>
  </w:font>
  <w:font w:name="Calibri">
    <w:altName w:val="Times New Roman"/>
    <w:panose1 w:val="020F0502020204030204"/>
    <w:charset w:val="00"/>
    <w:family w:val="swiss"/>
    <w:pitch w:val="variable"/>
    <w:sig w:usb0="E00002FF" w:usb1="4000ACFF" w:usb2="00000001" w:usb3="00000000" w:csb0="0000019F" w:csb1="00000000"/>
  </w:font>
  <w:font w:name="Arial">
    <w:altName w:val="DejaVu Sans"/>
    <w:panose1 w:val="020B0604020202020204"/>
    <w:charset w:val="00"/>
    <w:family w:val="auto"/>
    <w:pitch w:val="variable"/>
    <w:sig w:usb0="00007A87" w:usb1="80000000" w:usb2="00000008" w:usb3="00000000" w:csb0="400001FF" w:csb1="FFFF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EB905D5B"/>
    <w:multiLevelType w:val="hybridMultilevel"/>
    <w:tmpl w:val="00000000"/>
    <w:lvl w:ilvl="0">
      <w:start w:val="1"/>
      <w:numFmt w:val="chineseCountingThousand"/>
      <w:lvlRestart w:val="0"/>
      <w:lvlText w:val="（%1）"/>
      <w:lvlJc w:val="left"/>
      <w:pPr>
        <w:ind w:left="1600" w:hanging="96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40EA056C"/>
    <w:multiLevelType w:val="hybridMultilevel"/>
    <w:tmpl w:val="00000000"/>
    <w:lvl w:ilvl="0">
      <w:start w:val="1"/>
      <w:numFmt w:val="chineseCountingThousand"/>
      <w:lvlRestart w:val="0"/>
      <w:lvlText w:val="（%1）"/>
      <w:lvlJc w:val="left"/>
      <w:pPr>
        <w:ind w:left="1600" w:hanging="96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List Paragraph"/>
    <w:basedOn w:val="0"/>
    <w:pPr>
      <w:ind w:firstLineChars="200" w:firstLine="200"/>
    </w:pPr>
  </w:style>
  <w:style w:type="paragraph" w:customStyle="1" w:styleId="18">
    <w:name w:val="正文文本1"/>
    <w:basedOn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463</TotalTime>
  <Application>Yozo_Office27021597764231179</Application>
  <Pages>8</Pages>
  <Words>3171</Words>
  <Characters>3469</Characters>
  <Lines>186</Lines>
  <Paragraphs>54</Paragraphs>
  <CharactersWithSpaces>3526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user</cp:lastModifiedBy>
  <cp:revision>4</cp:revision>
  <cp:lastPrinted>2026-01-30T07:35:08Z</cp:lastPrinted>
  <dcterms:created xsi:type="dcterms:W3CDTF">2022-12-30T09:44:00Z</dcterms:created>
  <dcterms:modified xsi:type="dcterms:W3CDTF">2026-01-30T07:36:56Z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2052-10.1.0.7106</vt:lpwstr>
  </property>
</Properties>
</file>