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5884"/>
    <w:p w14:paraId="57522838"/>
    <w:p w14:paraId="75D5F76F"/>
    <w:p w14:paraId="65830E5A">
      <w:pPr>
        <w:ind w:firstLine="1050" w:firstLineChars="500"/>
      </w:pPr>
    </w:p>
    <w:p w14:paraId="286749AC">
      <w:pPr>
        <w:ind w:firstLine="1050" w:firstLineChars="500"/>
      </w:pPr>
    </w:p>
    <w:p w14:paraId="7BF165AC">
      <w:pPr>
        <w:ind w:firstLine="1760" w:firstLineChars="400"/>
        <w:rPr>
          <w:rFonts w:ascii="黑体" w:eastAsia="黑体"/>
          <w:sz w:val="44"/>
          <w:szCs w:val="44"/>
        </w:rPr>
      </w:pPr>
    </w:p>
    <w:p w14:paraId="057CF4F9">
      <w:pPr>
        <w:ind w:firstLine="1760" w:firstLineChars="400"/>
        <w:rPr>
          <w:rFonts w:ascii="黑体" w:eastAsia="黑体"/>
          <w:sz w:val="44"/>
          <w:szCs w:val="44"/>
        </w:rPr>
      </w:pPr>
    </w:p>
    <w:p w14:paraId="76FA0AFC">
      <w:pPr>
        <w:jc w:val="center"/>
        <w:rPr>
          <w:rFonts w:hint="eastAsia" w:ascii="黑体" w:eastAsia="黑体"/>
          <w:sz w:val="44"/>
          <w:szCs w:val="44"/>
        </w:rPr>
      </w:pPr>
      <w:r>
        <w:rPr>
          <w:rFonts w:hint="eastAsia" w:ascii="黑体" w:eastAsia="黑体"/>
          <w:sz w:val="44"/>
          <w:szCs w:val="44"/>
        </w:rPr>
        <w:t>阿坝州青少年校外教育活动中心</w:t>
      </w:r>
    </w:p>
    <w:p w14:paraId="51F5A39C">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0CCA075D">
      <w:pPr>
        <w:ind w:firstLine="1760" w:firstLineChars="400"/>
        <w:rPr>
          <w:rFonts w:ascii="黑体" w:eastAsia="黑体"/>
          <w:sz w:val="44"/>
          <w:szCs w:val="44"/>
        </w:rPr>
      </w:pPr>
    </w:p>
    <w:p w14:paraId="56FF2B00">
      <w:pPr>
        <w:ind w:firstLine="1760" w:firstLineChars="400"/>
        <w:rPr>
          <w:rFonts w:ascii="黑体" w:eastAsia="黑体"/>
          <w:sz w:val="44"/>
          <w:szCs w:val="44"/>
        </w:rPr>
      </w:pPr>
    </w:p>
    <w:p w14:paraId="6D6AC2A7">
      <w:pPr>
        <w:ind w:firstLine="1760" w:firstLineChars="400"/>
        <w:rPr>
          <w:rFonts w:ascii="黑体" w:eastAsia="黑体"/>
          <w:sz w:val="44"/>
          <w:szCs w:val="44"/>
        </w:rPr>
      </w:pPr>
    </w:p>
    <w:p w14:paraId="364682E7">
      <w:pPr>
        <w:pStyle w:val="5"/>
        <w:rPr>
          <w:rFonts w:ascii="黑体" w:eastAsia="黑体"/>
          <w:sz w:val="44"/>
          <w:szCs w:val="44"/>
        </w:rPr>
      </w:pPr>
    </w:p>
    <w:p w14:paraId="5B7B250A">
      <w:pPr>
        <w:rPr>
          <w:rFonts w:ascii="黑体" w:eastAsia="黑体"/>
          <w:sz w:val="44"/>
          <w:szCs w:val="44"/>
        </w:rPr>
      </w:pPr>
    </w:p>
    <w:p w14:paraId="4F99DD28">
      <w:pPr>
        <w:pStyle w:val="5"/>
        <w:rPr>
          <w:rFonts w:ascii="黑体" w:eastAsia="黑体"/>
          <w:sz w:val="44"/>
          <w:szCs w:val="44"/>
        </w:rPr>
      </w:pPr>
    </w:p>
    <w:p w14:paraId="5E2AEA1A">
      <w:pPr>
        <w:rPr>
          <w:rFonts w:ascii="黑体" w:eastAsia="黑体"/>
          <w:sz w:val="44"/>
          <w:szCs w:val="44"/>
        </w:rPr>
      </w:pPr>
    </w:p>
    <w:p w14:paraId="01BF09F1">
      <w:pPr>
        <w:pStyle w:val="5"/>
        <w:rPr>
          <w:rFonts w:ascii="黑体" w:eastAsia="黑体"/>
          <w:sz w:val="44"/>
          <w:szCs w:val="44"/>
        </w:rPr>
      </w:pPr>
    </w:p>
    <w:p w14:paraId="07ED9B96">
      <w:pPr>
        <w:rPr>
          <w:rFonts w:hint="default" w:eastAsia="黑体"/>
          <w:lang w:val="en-US" w:eastAsia="zh-CN"/>
        </w:rPr>
      </w:pPr>
      <w:r>
        <w:rPr>
          <w:rFonts w:hint="eastAsia" w:ascii="黑体" w:eastAsia="黑体"/>
          <w:sz w:val="44"/>
          <w:szCs w:val="44"/>
          <w:lang w:val="en-US" w:eastAsia="zh-CN"/>
        </w:rPr>
        <w:t xml:space="preserve">             </w:t>
      </w: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w:t>
      </w:r>
      <w:r>
        <w:rPr>
          <w:rFonts w:hint="eastAsia" w:ascii="黑体" w:eastAsia="黑体"/>
          <w:sz w:val="32"/>
          <w:szCs w:val="32"/>
          <w:lang w:val="en-US" w:eastAsia="zh-CN"/>
        </w:rPr>
        <w:t>2</w:t>
      </w:r>
      <w:r>
        <w:rPr>
          <w:rFonts w:hint="eastAsia" w:ascii="黑体" w:eastAsia="黑体"/>
          <w:sz w:val="32"/>
          <w:szCs w:val="32"/>
        </w:rPr>
        <w:t>月</w:t>
      </w:r>
      <w:r>
        <w:rPr>
          <w:rFonts w:hint="eastAsia" w:ascii="黑体" w:eastAsia="黑体"/>
          <w:sz w:val="32"/>
          <w:szCs w:val="32"/>
          <w:lang w:val="en-US" w:eastAsia="zh-CN"/>
        </w:rPr>
        <w:t>20</w:t>
      </w:r>
      <w:r>
        <w:rPr>
          <w:rFonts w:hint="eastAsia" w:ascii="黑体" w:eastAsia="黑体"/>
          <w:sz w:val="32"/>
          <w:szCs w:val="32"/>
        </w:rPr>
        <w:t>日</w:t>
      </w:r>
    </w:p>
    <w:p w14:paraId="5953B2A6">
      <w:pPr>
        <w:ind w:firstLine="1760" w:firstLineChars="400"/>
        <w:rPr>
          <w:rFonts w:ascii="黑体" w:eastAsia="黑体"/>
          <w:sz w:val="44"/>
          <w:szCs w:val="44"/>
        </w:rPr>
      </w:pPr>
    </w:p>
    <w:p w14:paraId="70B9B137">
      <w:pPr>
        <w:ind w:firstLine="1760" w:firstLineChars="400"/>
        <w:rPr>
          <w:rFonts w:ascii="黑体" w:eastAsia="黑体"/>
          <w:sz w:val="44"/>
          <w:szCs w:val="44"/>
        </w:rPr>
      </w:pPr>
    </w:p>
    <w:p w14:paraId="41CB9E3D">
      <w:pPr>
        <w:ind w:firstLine="1760" w:firstLineChars="400"/>
        <w:rPr>
          <w:rFonts w:ascii="黑体" w:eastAsia="黑体"/>
          <w:sz w:val="44"/>
          <w:szCs w:val="44"/>
        </w:rPr>
      </w:pPr>
    </w:p>
    <w:p w14:paraId="4CF2131B">
      <w:pPr>
        <w:ind w:firstLine="1760" w:firstLineChars="400"/>
        <w:rPr>
          <w:rFonts w:ascii="黑体" w:eastAsia="黑体"/>
          <w:sz w:val="44"/>
          <w:szCs w:val="44"/>
        </w:rPr>
      </w:pPr>
    </w:p>
    <w:p w14:paraId="4429DBF2">
      <w:pPr>
        <w:ind w:firstLine="1760" w:firstLineChars="400"/>
        <w:rPr>
          <w:rFonts w:ascii="黑体" w:eastAsia="黑体"/>
          <w:sz w:val="44"/>
          <w:szCs w:val="44"/>
        </w:rPr>
      </w:pPr>
    </w:p>
    <w:p w14:paraId="625A51F6">
      <w:pPr>
        <w:rPr>
          <w:rFonts w:ascii="黑体" w:eastAsia="黑体"/>
          <w:sz w:val="44"/>
          <w:szCs w:val="44"/>
        </w:rPr>
      </w:pPr>
    </w:p>
    <w:p w14:paraId="6D8D64C0">
      <w:pPr>
        <w:ind w:firstLine="3120" w:firstLineChars="600"/>
        <w:rPr>
          <w:rFonts w:ascii="黑体" w:eastAsia="黑体"/>
          <w:sz w:val="52"/>
          <w:szCs w:val="52"/>
        </w:rPr>
      </w:pPr>
      <w:r>
        <w:rPr>
          <w:rFonts w:hint="eastAsia" w:ascii="黑体" w:eastAsia="黑体"/>
          <w:sz w:val="52"/>
          <w:szCs w:val="52"/>
        </w:rPr>
        <w:t>目录</w:t>
      </w:r>
    </w:p>
    <w:p w14:paraId="53E5B6B5">
      <w:pPr>
        <w:ind w:firstLine="3080" w:firstLineChars="700"/>
        <w:rPr>
          <w:rFonts w:ascii="黑体" w:eastAsia="黑体"/>
          <w:sz w:val="44"/>
          <w:szCs w:val="44"/>
        </w:rPr>
      </w:pPr>
    </w:p>
    <w:p w14:paraId="6AC31886">
      <w:pPr>
        <w:pStyle w:val="12"/>
        <w:ind w:firstLine="0" w:firstLineChars="0"/>
        <w:rPr>
          <w:rFonts w:ascii="黑体" w:eastAsia="黑体"/>
          <w:sz w:val="32"/>
          <w:szCs w:val="32"/>
        </w:rPr>
      </w:pPr>
      <w:r>
        <w:rPr>
          <w:rFonts w:hint="eastAsia" w:ascii="黑体" w:eastAsia="黑体"/>
          <w:sz w:val="32"/>
          <w:szCs w:val="32"/>
        </w:rPr>
        <w:t>一、基本职能及主要工作</w:t>
      </w:r>
    </w:p>
    <w:p w14:paraId="0C22E170">
      <w:pPr>
        <w:rPr>
          <w:rFonts w:ascii="楷体" w:eastAsia="楷体"/>
          <w:sz w:val="32"/>
          <w:szCs w:val="32"/>
        </w:rPr>
      </w:pPr>
      <w:r>
        <w:rPr>
          <w:rFonts w:hint="eastAsia" w:ascii="楷体" w:eastAsia="楷体"/>
          <w:sz w:val="32"/>
          <w:szCs w:val="32"/>
        </w:rPr>
        <w:t>（一）部门职能简介</w:t>
      </w:r>
    </w:p>
    <w:p w14:paraId="3574AC5A">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6F99C3C0">
      <w:pPr>
        <w:rPr>
          <w:rFonts w:ascii="黑体" w:eastAsia="黑体"/>
          <w:sz w:val="32"/>
          <w:szCs w:val="32"/>
        </w:rPr>
      </w:pPr>
      <w:r>
        <w:rPr>
          <w:rFonts w:hint="eastAsia" w:ascii="黑体" w:eastAsia="黑体"/>
          <w:sz w:val="32"/>
          <w:szCs w:val="32"/>
        </w:rPr>
        <w:t>二、部门预算单位构成</w:t>
      </w:r>
    </w:p>
    <w:p w14:paraId="47754BD6">
      <w:pPr>
        <w:rPr>
          <w:rFonts w:ascii="黑体" w:eastAsia="黑体"/>
          <w:sz w:val="32"/>
          <w:szCs w:val="32"/>
        </w:rPr>
      </w:pPr>
      <w:r>
        <w:rPr>
          <w:rFonts w:hint="eastAsia" w:ascii="黑体" w:eastAsia="黑体"/>
          <w:sz w:val="32"/>
          <w:szCs w:val="32"/>
        </w:rPr>
        <w:t>三、收支预算情况说明</w:t>
      </w:r>
    </w:p>
    <w:p w14:paraId="3FCCAB3E">
      <w:pPr>
        <w:rPr>
          <w:rFonts w:ascii="楷体" w:eastAsia="楷体"/>
          <w:sz w:val="32"/>
          <w:szCs w:val="32"/>
        </w:rPr>
      </w:pPr>
      <w:r>
        <w:rPr>
          <w:rFonts w:hint="eastAsia" w:ascii="楷体" w:eastAsia="楷体"/>
          <w:sz w:val="32"/>
          <w:szCs w:val="32"/>
        </w:rPr>
        <w:t>（一）收入预算情况</w:t>
      </w:r>
    </w:p>
    <w:p w14:paraId="07C96E49">
      <w:pPr>
        <w:rPr>
          <w:rFonts w:ascii="楷体" w:eastAsia="楷体"/>
          <w:sz w:val="32"/>
          <w:szCs w:val="32"/>
        </w:rPr>
      </w:pPr>
      <w:r>
        <w:rPr>
          <w:rFonts w:hint="eastAsia" w:ascii="楷体" w:eastAsia="楷体"/>
          <w:sz w:val="32"/>
          <w:szCs w:val="32"/>
        </w:rPr>
        <w:t>（二）支出预算情况</w:t>
      </w:r>
    </w:p>
    <w:p w14:paraId="243E2E56">
      <w:pPr>
        <w:rPr>
          <w:rFonts w:ascii="黑体" w:eastAsia="黑体"/>
          <w:sz w:val="32"/>
          <w:szCs w:val="32"/>
        </w:rPr>
      </w:pPr>
      <w:r>
        <w:rPr>
          <w:rFonts w:hint="eastAsia" w:ascii="黑体" w:eastAsia="黑体"/>
          <w:sz w:val="32"/>
          <w:szCs w:val="32"/>
        </w:rPr>
        <w:t>四、财政拨款收支预算情况说明</w:t>
      </w:r>
    </w:p>
    <w:p w14:paraId="476D0A1A">
      <w:pPr>
        <w:rPr>
          <w:rFonts w:ascii="黑体" w:eastAsia="黑体"/>
          <w:sz w:val="32"/>
          <w:szCs w:val="32"/>
        </w:rPr>
      </w:pPr>
      <w:r>
        <w:rPr>
          <w:rFonts w:hint="eastAsia" w:ascii="黑体" w:eastAsia="黑体"/>
          <w:sz w:val="32"/>
          <w:szCs w:val="32"/>
        </w:rPr>
        <w:t>五、一般公共预算当年拨款情况说明</w:t>
      </w:r>
    </w:p>
    <w:p w14:paraId="71FBD8C3">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24B1628">
      <w:pPr>
        <w:rPr>
          <w:rFonts w:ascii="黑体" w:eastAsia="黑体"/>
          <w:sz w:val="32"/>
          <w:szCs w:val="32"/>
        </w:rPr>
      </w:pPr>
    </w:p>
    <w:p w14:paraId="6A7FEDE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00D3B32">
      <w:pPr>
        <w:pStyle w:val="12"/>
        <w:rPr>
          <w:rFonts w:ascii="黑体" w:eastAsia="黑体"/>
          <w:sz w:val="32"/>
          <w:szCs w:val="32"/>
        </w:rPr>
      </w:pPr>
      <w:r>
        <w:rPr>
          <w:rFonts w:hint="eastAsia" w:ascii="黑体" w:eastAsia="黑体"/>
          <w:sz w:val="32"/>
          <w:szCs w:val="32"/>
        </w:rPr>
        <w:t>一、基本职能及主要工作</w:t>
      </w:r>
    </w:p>
    <w:p w14:paraId="4082E83A">
      <w:pPr>
        <w:ind w:firstLine="640" w:firstLineChars="200"/>
        <w:rPr>
          <w:rFonts w:ascii="楷体" w:eastAsia="楷体"/>
          <w:sz w:val="32"/>
          <w:szCs w:val="32"/>
        </w:rPr>
      </w:pPr>
      <w:r>
        <w:rPr>
          <w:rFonts w:hint="eastAsia" w:ascii="楷体" w:eastAsia="楷体"/>
          <w:sz w:val="32"/>
          <w:szCs w:val="32"/>
        </w:rPr>
        <w:t>（一）部门职能简介</w:t>
      </w:r>
    </w:p>
    <w:p w14:paraId="2BABD590">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根据阿编发（2003）89号文件规定，主要职责是：对广大少年儿童进行兴趣培训、在丰富了学生课余生活的同时，使学生学到了课本以外的知识，增长了见识，扩大了视野的下属州教育的公益一类事业单位对广大少年儿童进行兴趣培训。</w:t>
      </w:r>
    </w:p>
    <w:p w14:paraId="5B5056CE">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54DE3043">
      <w:pPr>
        <w:ind w:firstLine="640" w:firstLineChars="200"/>
        <w:rPr>
          <w:rFonts w:hint="eastAsia" w:ascii="方正仿宋_GB2312" w:eastAsia="方正仿宋_GB2312" w:cs="方正仿宋_GB2312"/>
          <w:i w:val="0"/>
          <w:iCs w:val="0"/>
          <w:caps w:val="0"/>
          <w:smallCaps w:val="0"/>
          <w:spacing w:val="0"/>
          <w:sz w:val="32"/>
          <w:szCs w:val="32"/>
        </w:rPr>
      </w:pPr>
      <w:r>
        <w:rPr>
          <w:rFonts w:hint="eastAsia" w:ascii="方正仿宋_GB2312" w:eastAsia="方正仿宋_GB2312" w:cs="方正仿宋_GB2312"/>
          <w:i w:val="0"/>
          <w:iCs w:val="0"/>
          <w:caps w:val="0"/>
          <w:smallCaps w:val="0"/>
          <w:spacing w:val="0"/>
          <w:sz w:val="32"/>
          <w:szCs w:val="32"/>
        </w:rPr>
        <w:t>中心将不断优化活动内容和形式，提升活动质量和效果，</w:t>
      </w:r>
      <w:r>
        <w:rPr>
          <w:rFonts w:hint="eastAsia" w:ascii="方正仿宋_GB2312" w:eastAsia="方正仿宋_GB2312" w:cs="方正仿宋_GB2312"/>
          <w:i w:val="0"/>
          <w:iCs w:val="0"/>
          <w:caps w:val="0"/>
          <w:smallCaps w:val="0"/>
          <w:spacing w:val="0"/>
          <w:sz w:val="32"/>
          <w:szCs w:val="32"/>
          <w:lang w:eastAsia="zh-CN"/>
        </w:rPr>
        <w:t>围绕教育高质量发展要求，积极思考工作，提升服务，</w:t>
      </w:r>
      <w:r>
        <w:rPr>
          <w:rFonts w:hint="eastAsia" w:ascii="方正仿宋_GB2312" w:eastAsia="方正仿宋_GB2312" w:cs="方正仿宋_GB2312"/>
          <w:i w:val="0"/>
          <w:iCs w:val="0"/>
          <w:caps w:val="0"/>
          <w:smallCaps w:val="0"/>
          <w:spacing w:val="0"/>
          <w:sz w:val="32"/>
          <w:szCs w:val="32"/>
        </w:rPr>
        <w:t xml:space="preserve">将以启迪智慧、培养兴趣、展现自我、挑战极限、立德树人核心素养为目标，通过丰富多样的线上线下活动，为全州青少年提供全面的校外教育和成长平台。 </w:t>
      </w:r>
    </w:p>
    <w:p w14:paraId="1BDED3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一、规划整合活动</w:t>
      </w:r>
    </w:p>
    <w:p w14:paraId="6AF37A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right="0" w:firstLine="640" w:firstLineChars="200"/>
        <w:jc w:val="both"/>
        <w:rPr>
          <w:rFonts w:hint="eastAsia" w:ascii="方正仿宋_GB2312" w:hAnsi="Calibri" w:eastAsia="方正仿宋_GB2312" w:cs="方正仿宋_GB2312"/>
          <w:i w:val="0"/>
          <w:iCs w:val="0"/>
          <w:caps w:val="0"/>
          <w:smallCaps w:val="0"/>
          <w:spacing w:val="0"/>
          <w:kern w:val="2"/>
          <w:sz w:val="32"/>
          <w:szCs w:val="32"/>
          <w:lang w:val="en-US" w:eastAsia="zh-CN" w:bidi="ar-SA"/>
        </w:rPr>
      </w:pPr>
      <w:r>
        <w:rPr>
          <w:rFonts w:hint="eastAsia" w:ascii="方正仿宋_GB2312" w:hAnsi="Calibri" w:eastAsia="方正仿宋_GB2312" w:cs="方正仿宋_GB2312"/>
          <w:i w:val="0"/>
          <w:iCs w:val="0"/>
          <w:caps w:val="0"/>
          <w:smallCaps w:val="0"/>
          <w:spacing w:val="0"/>
          <w:kern w:val="2"/>
          <w:sz w:val="32"/>
          <w:szCs w:val="32"/>
          <w:lang w:val="en-US" w:eastAsia="zh-CN" w:bidi="ar-SA"/>
        </w:rPr>
        <w:t>新的一年，活动中心计划整合活动，将活动系统化、深入化，将原本的碎片化活动整理为基于学科关联的实践活动、基于生活实际的实践活动、能够体现必备品格和关键能力的培养要求的活动等，以满足更多青少年的兴趣需求，通过活动在坚定理想信念、厚植爱国主义情怀、加强品德修养、增长知识见识、培养奋斗精神、增强综合素质上下功夫，使学生有理想、有本领、有担当，培养德智体美劳全面发展的社会主义建设者和接班人。</w:t>
      </w:r>
    </w:p>
    <w:p w14:paraId="064347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二、提升教育质量</w:t>
      </w:r>
    </w:p>
    <w:p w14:paraId="0A1783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firstLine="640" w:firstLineChars="200"/>
        <w:rPr>
          <w:rFonts w:hint="eastAsia" w:ascii="方正仿宋_GBK" w:eastAsia="方正仿宋_GBK" w:cs="Times New Roman"/>
          <w:kern w:val="2"/>
          <w:sz w:val="32"/>
          <w:szCs w:val="32"/>
          <w:lang w:val="en-US" w:eastAsia="zh-CN"/>
        </w:rPr>
      </w:pPr>
      <w:r>
        <w:rPr>
          <w:rFonts w:hint="eastAsia" w:ascii="方正仿宋_GB2312" w:hAnsi="Calibri" w:eastAsia="方正仿宋_GB2312" w:cs="方正仿宋_GB2312"/>
          <w:i w:val="0"/>
          <w:iCs w:val="0"/>
          <w:caps w:val="0"/>
          <w:smallCaps w:val="0"/>
          <w:spacing w:val="0"/>
          <w:kern w:val="2"/>
          <w:sz w:val="32"/>
          <w:szCs w:val="32"/>
          <w:lang w:val="en-US" w:eastAsia="zh-CN" w:bidi="ar-SA"/>
        </w:rPr>
        <w:t>计划通过培训和研讨会等方式提升教师的专业技能和服务质量，为青少年提供更优质的活动体验。</w:t>
      </w:r>
    </w:p>
    <w:p w14:paraId="114879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（三）关注青少年成长</w:t>
      </w:r>
    </w:p>
    <w:p w14:paraId="71ECFE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right="0" w:firstLine="640" w:firstLineChars="200"/>
        <w:jc w:val="both"/>
        <w:rPr>
          <w:rFonts w:hint="eastAsia" w:ascii="方正仿宋_GBK" w:eastAsia="方正仿宋_GBK" w:cs="Times New Roman"/>
          <w:kern w:val="2"/>
          <w:sz w:val="32"/>
          <w:szCs w:val="32"/>
          <w:lang w:val="en-US" w:eastAsia="zh-CN"/>
        </w:rPr>
      </w:pPr>
      <w:r>
        <w:rPr>
          <w:rFonts w:hint="eastAsia" w:ascii="方正仿宋_GB2312" w:hAnsi="Calibri" w:eastAsia="方正仿宋_GB2312" w:cs="方正仿宋_GB2312"/>
          <w:i w:val="0"/>
          <w:iCs w:val="0"/>
          <w:caps w:val="0"/>
          <w:smallCaps w:val="0"/>
          <w:spacing w:val="0"/>
          <w:kern w:val="2"/>
          <w:sz w:val="32"/>
          <w:szCs w:val="32"/>
          <w:lang w:val="en-US" w:eastAsia="zh-CN" w:bidi="ar-SA"/>
        </w:rPr>
        <w:t>将定期与青少年沟通交流，了解他们的成长需求和兴趣变化，关注心理需求，及时调整活动内容和形式</w:t>
      </w:r>
      <w:r>
        <w:rPr>
          <w:rFonts w:hint="eastAsia" w:ascii="方正仿宋_GBK" w:eastAsia="方正仿宋_GBK" w:cs="Times New Roman"/>
          <w:kern w:val="2"/>
          <w:sz w:val="32"/>
          <w:szCs w:val="32"/>
          <w:lang w:val="en-US" w:eastAsia="zh-CN"/>
        </w:rPr>
        <w:t>。</w:t>
      </w:r>
    </w:p>
    <w:p w14:paraId="0A7209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（四）完善设施设备</w:t>
      </w:r>
    </w:p>
    <w:p w14:paraId="5C670C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right="0" w:firstLine="640" w:firstLineChars="200"/>
        <w:jc w:val="both"/>
        <w:rPr>
          <w:rFonts w:hint="eastAsia" w:ascii="方正仿宋_GB2312" w:hAnsi="Calibri" w:eastAsia="方正仿宋_GB2312" w:cs="方正仿宋_GB2312"/>
          <w:i w:val="0"/>
          <w:iCs w:val="0"/>
          <w:caps w:val="0"/>
          <w:smallCaps w:val="0"/>
          <w:spacing w:val="0"/>
          <w:kern w:val="2"/>
          <w:sz w:val="32"/>
          <w:szCs w:val="32"/>
          <w:lang w:val="en-US" w:eastAsia="zh-CN" w:bidi="ar-SA"/>
        </w:rPr>
      </w:pPr>
      <w:r>
        <w:rPr>
          <w:rFonts w:hint="eastAsia" w:ascii="方正仿宋_GB2312" w:hAnsi="Calibri" w:eastAsia="方正仿宋_GB2312" w:cs="方正仿宋_GB2312"/>
          <w:i w:val="0"/>
          <w:iCs w:val="0"/>
          <w:caps w:val="0"/>
          <w:smallCaps w:val="0"/>
          <w:spacing w:val="0"/>
          <w:kern w:val="2"/>
          <w:sz w:val="32"/>
          <w:szCs w:val="32"/>
          <w:lang w:val="en-US" w:eastAsia="zh-CN" w:bidi="ar-SA"/>
        </w:rPr>
        <w:t>计划在新的一年里完善活动中心的设施设备，提高活动的质量和效率。</w:t>
      </w:r>
    </w:p>
    <w:p w14:paraId="221E21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rPr>
          <w:rFonts w:hint="eastAsia" w:ascii="楷体" w:hAnsi="楷体" w:eastAsia="楷体" w:cs="楷体"/>
          <w:kern w:val="2"/>
          <w:sz w:val="32"/>
          <w:szCs w:val="32"/>
          <w:lang w:val="en-US" w:eastAsia="zh-CN" w:bidi="ar-SA"/>
        </w:rPr>
      </w:pPr>
      <w:r>
        <w:rPr>
          <w:rFonts w:hint="eastAsia" w:eastAsia="方正楷体_GB2312" w:cs="Times New Roman"/>
          <w:kern w:val="2"/>
          <w:sz w:val="32"/>
          <w:szCs w:val="32"/>
          <w:lang w:val="en-US" w:eastAsia="zh-CN" w:bidi="ar-SA"/>
        </w:rPr>
        <w:t>（</w:t>
      </w:r>
      <w:r>
        <w:rPr>
          <w:rFonts w:hint="eastAsia" w:ascii="楷体" w:hAnsi="楷体" w:eastAsia="楷体" w:cs="楷体"/>
          <w:kern w:val="2"/>
          <w:sz w:val="32"/>
          <w:szCs w:val="32"/>
          <w:lang w:val="en-US" w:eastAsia="zh-CN" w:bidi="ar-SA"/>
        </w:rPr>
        <w:t>五）加强安全管理</w:t>
      </w:r>
    </w:p>
    <w:p w14:paraId="55D6C9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right="0" w:firstLine="640" w:firstLineChars="200"/>
        <w:jc w:val="both"/>
        <w:rPr>
          <w:rFonts w:hint="eastAsia" w:ascii="方正仿宋_GB2312" w:hAnsi="Calibri" w:eastAsia="方正仿宋_GB2312" w:cs="方正仿宋_GB2312"/>
          <w:i w:val="0"/>
          <w:iCs w:val="0"/>
          <w:caps w:val="0"/>
          <w:smallCaps w:val="0"/>
          <w:spacing w:val="0"/>
          <w:kern w:val="2"/>
          <w:sz w:val="32"/>
          <w:szCs w:val="32"/>
          <w:lang w:val="en-US" w:eastAsia="zh-CN" w:bidi="ar-SA"/>
        </w:rPr>
      </w:pPr>
      <w:r>
        <w:rPr>
          <w:rFonts w:hint="eastAsia" w:ascii="方正仿宋_GB2312" w:hAnsi="Calibri" w:eastAsia="方正仿宋_GB2312" w:cs="方正仿宋_GB2312"/>
          <w:i w:val="0"/>
          <w:iCs w:val="0"/>
          <w:caps w:val="0"/>
          <w:smallCaps w:val="0"/>
          <w:spacing w:val="0"/>
          <w:kern w:val="2"/>
          <w:sz w:val="32"/>
          <w:szCs w:val="32"/>
          <w:lang w:val="en-US" w:eastAsia="zh-CN" w:bidi="ar-SA"/>
        </w:rPr>
        <w:t>将加强活动的安全管理，确保青少年的身心健康和人身安全。</w:t>
      </w:r>
    </w:p>
    <w:p w14:paraId="771E5298">
      <w:pPr>
        <w:ind w:firstLine="640" w:firstLineChars="200"/>
        <w:rPr>
          <w:rFonts w:hint="eastAsia" w:ascii="方正仿宋_GB2312" w:eastAsia="方正仿宋_GB2312" w:cs="方正仿宋_GB2312"/>
          <w:sz w:val="32"/>
          <w:szCs w:val="32"/>
        </w:rPr>
      </w:pPr>
      <w:r>
        <w:rPr>
          <w:rFonts w:hint="eastAsia" w:ascii="方正仿宋_GB2312" w:eastAsia="方正仿宋_GB2312" w:cs="方正仿宋_GB2312"/>
          <w:sz w:val="32"/>
          <w:szCs w:val="32"/>
        </w:rPr>
        <w:t>展望未来，阿坝州青少年活动中心将继续秉承“服务青少年、促进全面发展”的宗旨，不断优化课程设置，丰富活动内容，提升教学质量。我们将继续加强与家长、学校及社会各界的沟通与合作，共同为青少年的健康成长与全面发展贡献力量。</w:t>
      </w:r>
    </w:p>
    <w:p w14:paraId="15F47C27">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14:paraId="3AD11B99">
      <w:pPr>
        <w:pStyle w:val="14"/>
        <w:keepNext w:val="0"/>
        <w:keepLines w:val="0"/>
        <w:widowControl/>
        <w:suppressLineNumbers w:val="0"/>
        <w:ind w:left="0" w:firstLine="640" w:firstLineChars="200"/>
        <w:rPr>
          <w:rFonts w:hint="eastAsia" w:ascii="仿宋" w:hAnsi="仿宋" w:eastAsia="仿宋" w:cs="仿宋"/>
          <w:kern w:val="0"/>
          <w:sz w:val="32"/>
          <w:szCs w:val="32"/>
          <w:lang w:val="en-US" w:eastAsia="zh-CN" w:bidi="ar"/>
        </w:rPr>
      </w:pP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青少年活动中心属州教育局下设二级预算单位，属于全额拨款事业单位。</w:t>
      </w:r>
      <w:r>
        <w:rPr>
          <w:rFonts w:hint="eastAsia" w:ascii="仿宋" w:hAnsi="仿宋" w:eastAsia="仿宋" w:cs="仿宋"/>
          <w:kern w:val="0"/>
          <w:sz w:val="32"/>
          <w:szCs w:val="32"/>
          <w:lang w:val="en-US" w:eastAsia="zh-CN" w:bidi="ar"/>
        </w:rPr>
        <w:t>内设主任办公室、总务部、教科部、办公室四个部门。年末实有人数为6人，年末实有离退休人数为1人。</w:t>
      </w:r>
    </w:p>
    <w:p w14:paraId="14496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jc w:val="both"/>
        <w:textAlignment w:val="baseline"/>
        <w:rPr>
          <w:rFonts w:hint="default" w:ascii="Calibri" w:hAnsi="Calibri" w:cs="Calibri"/>
          <w:color w:val="000000" w:themeColor="text1"/>
          <w:sz w:val="21"/>
          <w:szCs w:val="21"/>
          <w14:textFill>
            <w14:solidFill>
              <w14:schemeClr w14:val="tx1"/>
            </w14:solidFill>
          </w14:textFill>
        </w:rPr>
      </w:pPr>
    </w:p>
    <w:p w14:paraId="1AF86F00">
      <w:pPr>
        <w:pStyle w:val="12"/>
        <w:ind w:left="720" w:firstLine="0" w:firstLineChars="0"/>
        <w:rPr>
          <w:rFonts w:ascii="黑体" w:eastAsia="黑体"/>
          <w:sz w:val="32"/>
          <w:szCs w:val="32"/>
        </w:rPr>
      </w:pPr>
      <w:r>
        <w:rPr>
          <w:rFonts w:hint="eastAsia" w:ascii="黑体" w:eastAsia="黑体"/>
          <w:sz w:val="32"/>
          <w:szCs w:val="32"/>
        </w:rPr>
        <w:t>三、收支预算情况说明</w:t>
      </w:r>
    </w:p>
    <w:p w14:paraId="595CE271">
      <w:pPr>
        <w:ind w:firstLine="640" w:firstLineChars="200"/>
        <w:rPr>
          <w:rFonts w:hint="eastAsia" w:ascii="楷体" w:eastAsia="楷体"/>
          <w:sz w:val="32"/>
          <w:szCs w:val="32"/>
        </w:rPr>
      </w:pPr>
      <w:r>
        <w:rPr>
          <w:rFonts w:hint="eastAsia" w:ascii="楷体" w:eastAsia="楷体"/>
          <w:sz w:val="32"/>
          <w:szCs w:val="32"/>
        </w:rPr>
        <w:t>（一）收入预算情况</w:t>
      </w:r>
    </w:p>
    <w:p w14:paraId="0252E4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jc w:val="both"/>
        <w:textAlignment w:val="baseline"/>
        <w:rPr>
          <w:rFonts w:hint="default" w:ascii="Calibri" w:hAnsi="Calibri" w:cs="Calibri"/>
          <w:color w:val="000000" w:themeColor="text1"/>
          <w:sz w:val="21"/>
          <w:szCs w:val="21"/>
          <w:lang w:val="en-US"/>
          <w14:textFill>
            <w14:solidFill>
              <w14:schemeClr w14:val="tx1"/>
            </w14:solidFill>
          </w14:textFill>
        </w:rPr>
      </w:pP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青少年活动中心所有收入和支出均纳入部门预算管理。收入包括：一般公共预算拨款收入295.8</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万元，事业收入0万元，其他收入0万元，上年结转0万元；支出包括：教育支出250.87万元，社会保障和就业支出2</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万元，卫生健康支出9.</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47</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万元，住房保障支出1</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36</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万元。比202</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年收支预算总数</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增加22.05</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万元。主要是</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人员支出社保缴费及日常公用支出及项目支出等有所增加。</w:t>
      </w:r>
    </w:p>
    <w:p w14:paraId="7C436D78">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5DBF3F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346" w:afterAutospacing="0" w:line="24" w:lineRule="atLeast"/>
        <w:ind w:left="0" w:right="0" w:firstLine="420"/>
        <w:rPr>
          <w:rFonts w:ascii="楷体" w:eastAsia="楷体"/>
          <w:sz w:val="32"/>
          <w:szCs w:val="32"/>
        </w:rPr>
      </w:pP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单位202</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5</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年支出预算295.8</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万元，其中：一般公共预算拨款支出295.8</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万元，占100%；上年结转0万元。其中：基本支出180.80万元，占61.12%；项目支出115万元，占38.88%。</w:t>
      </w:r>
    </w:p>
    <w:p w14:paraId="15ADAA6E">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622E1B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jc w:val="both"/>
        <w:textAlignment w:val="baseline"/>
        <w:rPr>
          <w:rFonts w:ascii="仿宋_GB2312" w:eastAsia="仿宋_GB2312"/>
          <w:sz w:val="32"/>
          <w:szCs w:val="32"/>
        </w:rPr>
      </w:pPr>
      <w:r>
        <w:rPr>
          <w:rFonts w:hint="eastAsia" w:ascii="仿宋_GB2312" w:eastAsia="仿宋_GB2312" w:cs="仿宋_GB2312"/>
          <w:sz w:val="32"/>
          <w:szCs w:val="32"/>
        </w:rPr>
        <w:t>单位</w:t>
      </w:r>
      <w:r>
        <w:rPr>
          <w:rFonts w:hint="eastAsia" w:ascii="仿宋_GB2312" w:eastAsia="仿宋_GB2312"/>
          <w:sz w:val="32"/>
          <w:szCs w:val="32"/>
        </w:rPr>
        <w:t>2025年财政拨款收支总预算</w:t>
      </w:r>
      <w:r>
        <w:rPr>
          <w:rFonts w:hint="eastAsia" w:ascii="仿宋_GB2312" w:eastAsia="仿宋_GB2312"/>
          <w:sz w:val="32"/>
          <w:szCs w:val="32"/>
          <w:lang w:val="en-US" w:eastAsia="zh-CN"/>
        </w:rPr>
        <w:t>295.80</w:t>
      </w:r>
      <w:r>
        <w:rPr>
          <w:rFonts w:hint="eastAsia" w:ascii="仿宋_GB2312" w:eastAsia="仿宋_GB2312"/>
          <w:sz w:val="32"/>
          <w:szCs w:val="32"/>
        </w:rPr>
        <w:t>万元,比2024年财政拨款收支总预算增加</w:t>
      </w:r>
      <w:r>
        <w:rPr>
          <w:rFonts w:hint="eastAsia" w:ascii="仿宋_GB2312" w:eastAsia="仿宋_GB2312"/>
          <w:sz w:val="32"/>
          <w:szCs w:val="32"/>
          <w:lang w:val="en-US" w:eastAsia="zh-CN"/>
        </w:rPr>
        <w:t>22.05</w:t>
      </w:r>
      <w:r>
        <w:rPr>
          <w:rFonts w:hint="eastAsia" w:ascii="仿宋_GB2312" w:eastAsia="仿宋_GB2312"/>
          <w:sz w:val="32"/>
          <w:szCs w:val="32"/>
        </w:rPr>
        <w:t>万元，主要原因:</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人员支出社保缴费及日常公用支出及项目支出等有所增加。</w:t>
      </w:r>
    </w:p>
    <w:p w14:paraId="11701E52">
      <w:pPr>
        <w:spacing w:line="540" w:lineRule="exact"/>
        <w:ind w:firstLine="640" w:firstLineChars="200"/>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eastAsia="仿宋_GB2312" w:cs="仿宋_GB2312"/>
          <w:sz w:val="32"/>
          <w:szCs w:val="32"/>
        </w:rPr>
        <w:t>收入包括：</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一般公共预算当年拨款295.8</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21F675ED">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一般公共预算当年拨款295.8</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0</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0CF92A89">
      <w:pPr>
        <w:ind w:firstLine="640" w:firstLineChars="200"/>
        <w:rPr>
          <w:rFonts w:ascii="黑体" w:eastAsia="黑体"/>
          <w:sz w:val="32"/>
          <w:szCs w:val="32"/>
        </w:rPr>
      </w:pPr>
      <w:r>
        <w:rPr>
          <w:rFonts w:hint="eastAsia" w:ascii="黑体" w:eastAsia="黑体"/>
          <w:sz w:val="32"/>
          <w:szCs w:val="32"/>
        </w:rPr>
        <w:t>五、一般公共预算当年拨款情况说明</w:t>
      </w:r>
    </w:p>
    <w:p w14:paraId="43E180DB">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2411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jc w:val="both"/>
        <w:textAlignment w:val="baseline"/>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单位2025年一般公共预算当年拨款295.80万元，比2024年预算数增加22.05万元，主要原因:人员支出社保缴费及日常公用支出及项目支出等有所增加。</w:t>
      </w:r>
    </w:p>
    <w:p w14:paraId="64F797FD">
      <w:pPr>
        <w:pStyle w:val="13"/>
        <w:spacing w:before="0" w:line="360" w:lineRule="auto"/>
        <w:ind w:firstLine="660"/>
        <w:rPr>
          <w:rFonts w:cs="仿宋_GB2312"/>
          <w:kern w:val="2"/>
          <w:sz w:val="32"/>
          <w:szCs w:val="32"/>
        </w:rPr>
      </w:pPr>
      <w:r>
        <w:rPr>
          <w:rFonts w:hint="eastAsia" w:cs="仿宋_GB2312"/>
          <w:kern w:val="2"/>
          <w:sz w:val="32"/>
          <w:szCs w:val="32"/>
        </w:rPr>
        <w:t>　　</w:t>
      </w:r>
    </w:p>
    <w:p w14:paraId="4DE08207">
      <w:pPr>
        <w:pStyle w:val="13"/>
        <w:numPr>
          <w:ilvl w:val="0"/>
          <w:numId w:val="0"/>
        </w:numPr>
        <w:spacing w:before="0" w:line="360" w:lineRule="auto"/>
        <w:ind w:left="640" w:leftChars="0"/>
        <w:jc w:val="left"/>
        <w:rPr>
          <w:rFonts w:hint="eastAsia" w:eastAsia="仿宋_GB2312" w:cs="仿宋_GB2312"/>
          <w:kern w:val="2"/>
          <w:sz w:val="32"/>
          <w:szCs w:val="32"/>
          <w:lang w:eastAsia="zh-CN"/>
        </w:rPr>
      </w:pPr>
      <w:r>
        <w:rPr>
          <w:rFonts w:hint="eastAsia" w:ascii="楷体" w:eastAsia="楷体" w:cs="宋体"/>
          <w:sz w:val="32"/>
          <w:szCs w:val="32"/>
          <w:lang w:eastAsia="zh-CN"/>
        </w:rPr>
        <w:t>（</w:t>
      </w:r>
      <w:r>
        <w:rPr>
          <w:rFonts w:hint="eastAsia" w:ascii="楷体" w:eastAsia="楷体" w:cs="宋体"/>
          <w:sz w:val="32"/>
          <w:szCs w:val="32"/>
          <w:lang w:val="en-US" w:eastAsia="zh-CN"/>
        </w:rPr>
        <w:t>二</w:t>
      </w:r>
      <w:r>
        <w:rPr>
          <w:rFonts w:hint="eastAsia" w:ascii="楷体" w:eastAsia="楷体" w:cs="宋体"/>
          <w:sz w:val="32"/>
          <w:szCs w:val="32"/>
          <w:lang w:eastAsia="zh-CN"/>
        </w:rPr>
        <w:t>）</w:t>
      </w:r>
      <w:r>
        <w:rPr>
          <w:rFonts w:hint="eastAsia" w:ascii="楷体" w:eastAsia="楷体" w:cs="宋体"/>
          <w:sz w:val="32"/>
          <w:szCs w:val="32"/>
        </w:rPr>
        <w:t>一般公共预算当年拨款结构情况</w:t>
      </w:r>
    </w:p>
    <w:p w14:paraId="0AD909D2">
      <w:pPr>
        <w:pStyle w:val="13"/>
        <w:numPr>
          <w:ilvl w:val="0"/>
          <w:numId w:val="0"/>
        </w:numPr>
        <w:spacing w:before="0" w:line="360" w:lineRule="auto"/>
        <w:ind w:firstLine="640" w:firstLineChars="200"/>
        <w:jc w:val="left"/>
        <w:rPr>
          <w:rFonts w:hint="eastAsia" w:eastAsia="仿宋_GB2312" w:cs="仿宋_GB2312"/>
          <w:kern w:val="2"/>
          <w:sz w:val="32"/>
          <w:szCs w:val="32"/>
          <w:lang w:eastAsia="zh-CN"/>
        </w:rPr>
      </w:pPr>
      <w:r>
        <w:rPr>
          <w:rFonts w:hint="eastAsia" w:cs="宋体"/>
          <w:sz w:val="32"/>
          <w:szCs w:val="32"/>
        </w:rPr>
        <w:t>一般公共预算</w:t>
      </w:r>
      <w:r>
        <w:rPr>
          <w:rFonts w:hint="eastAsia" w:cs="宋体"/>
          <w:sz w:val="32"/>
          <w:szCs w:val="32"/>
          <w:lang w:val="en-US" w:eastAsia="zh-CN"/>
        </w:rPr>
        <w:t>当年</w:t>
      </w:r>
      <w:r>
        <w:rPr>
          <w:rFonts w:hint="eastAsia" w:cs="宋体"/>
          <w:sz w:val="32"/>
          <w:szCs w:val="32"/>
        </w:rPr>
        <w:t>拨款</w:t>
      </w:r>
      <w:r>
        <w:rPr>
          <w:rFonts w:hint="eastAsia" w:cs="宋体"/>
          <w:sz w:val="32"/>
          <w:szCs w:val="32"/>
          <w:lang w:val="en-US" w:eastAsia="zh-CN"/>
        </w:rPr>
        <w:t>收入</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295.8</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0</w:t>
      </w:r>
      <w:r>
        <w:rPr>
          <w:rFonts w:hint="eastAsia" w:cs="宋体"/>
          <w:sz w:val="32"/>
          <w:szCs w:val="32"/>
        </w:rPr>
        <w:t>万元，</w:t>
      </w:r>
      <w:r>
        <w:rPr>
          <w:rFonts w:hint="eastAsia" w:cs="宋体"/>
          <w:sz w:val="32"/>
          <w:szCs w:val="32"/>
          <w:lang w:val="en-US" w:eastAsia="zh-CN"/>
        </w:rPr>
        <w:t>其中教育支出250.87万元</w:t>
      </w:r>
      <w:r>
        <w:rPr>
          <w:rFonts w:hint="eastAsia" w:cs="宋体"/>
          <w:sz w:val="32"/>
          <w:szCs w:val="32"/>
        </w:rPr>
        <w:t>占</w:t>
      </w:r>
      <w:r>
        <w:rPr>
          <w:rFonts w:hint="eastAsia" w:cs="宋体"/>
          <w:sz w:val="32"/>
          <w:szCs w:val="32"/>
          <w:lang w:val="en-US" w:eastAsia="zh-CN"/>
        </w:rPr>
        <w:t>84.81</w:t>
      </w:r>
      <w:r>
        <w:rPr>
          <w:rFonts w:hint="eastAsia" w:cs="宋体"/>
          <w:sz w:val="32"/>
          <w:szCs w:val="32"/>
        </w:rPr>
        <w:t>%；社会保障和就业支</w:t>
      </w:r>
      <w:r>
        <w:rPr>
          <w:rFonts w:hint="eastAsia" w:cs="宋体"/>
          <w:sz w:val="32"/>
          <w:szCs w:val="32"/>
          <w:lang w:val="en-US" w:eastAsia="zh-CN"/>
        </w:rPr>
        <w:t>出22.10万元</w:t>
      </w:r>
      <w:r>
        <w:rPr>
          <w:rFonts w:hint="eastAsia" w:cs="宋体"/>
          <w:sz w:val="32"/>
          <w:szCs w:val="32"/>
        </w:rPr>
        <w:t>占</w:t>
      </w:r>
      <w:r>
        <w:rPr>
          <w:rFonts w:hint="eastAsia" w:cs="宋体"/>
          <w:sz w:val="32"/>
          <w:szCs w:val="32"/>
          <w:lang w:val="en-US" w:eastAsia="zh-CN"/>
        </w:rPr>
        <w:t>7.47</w:t>
      </w:r>
      <w:r>
        <w:rPr>
          <w:rFonts w:hint="eastAsia" w:cs="宋体"/>
          <w:sz w:val="32"/>
          <w:szCs w:val="32"/>
        </w:rPr>
        <w:t>%；卫生健康支出</w:t>
      </w:r>
      <w:r>
        <w:rPr>
          <w:rFonts w:hint="eastAsia" w:cs="宋体"/>
          <w:sz w:val="32"/>
          <w:szCs w:val="32"/>
          <w:lang w:val="en-US" w:eastAsia="zh-CN"/>
        </w:rPr>
        <w:t>9.47万元</w:t>
      </w:r>
      <w:r>
        <w:rPr>
          <w:rFonts w:hint="eastAsia" w:cs="宋体"/>
          <w:sz w:val="32"/>
          <w:szCs w:val="32"/>
        </w:rPr>
        <w:t>占</w:t>
      </w:r>
      <w:r>
        <w:rPr>
          <w:rFonts w:hint="eastAsia" w:cs="宋体"/>
          <w:sz w:val="32"/>
          <w:szCs w:val="32"/>
          <w:lang w:val="en-US" w:eastAsia="zh-CN"/>
        </w:rPr>
        <w:t>3.20</w:t>
      </w:r>
      <w:r>
        <w:rPr>
          <w:rFonts w:hint="eastAsia" w:cs="宋体"/>
          <w:sz w:val="32"/>
          <w:szCs w:val="32"/>
        </w:rPr>
        <w:t>%住房保障支出</w:t>
      </w:r>
      <w:r>
        <w:rPr>
          <w:rFonts w:hint="eastAsia" w:cs="宋体"/>
          <w:sz w:val="32"/>
          <w:szCs w:val="32"/>
          <w:lang w:val="en-US" w:eastAsia="zh-CN"/>
        </w:rPr>
        <w:t>13.36</w:t>
      </w:r>
      <w:r>
        <w:rPr>
          <w:rFonts w:hint="eastAsia" w:cs="宋体"/>
          <w:sz w:val="32"/>
          <w:szCs w:val="32"/>
        </w:rPr>
        <w:t>万元，占</w:t>
      </w:r>
      <w:r>
        <w:rPr>
          <w:rFonts w:hint="eastAsia" w:cs="宋体"/>
          <w:sz w:val="32"/>
          <w:szCs w:val="32"/>
          <w:lang w:val="en-US" w:eastAsia="zh-CN"/>
        </w:rPr>
        <w:t>4.52</w:t>
      </w:r>
      <w:r>
        <w:rPr>
          <w:rFonts w:hint="eastAsia" w:cs="宋体"/>
          <w:sz w:val="32"/>
          <w:szCs w:val="32"/>
        </w:rPr>
        <w:t>%</w:t>
      </w:r>
      <w:r>
        <w:rPr>
          <w:rFonts w:hint="eastAsia" w:cs="宋体"/>
          <w:sz w:val="32"/>
          <w:szCs w:val="32"/>
          <w:lang w:eastAsia="zh-CN"/>
        </w:rPr>
        <w:t>。</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一般公共预算</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2025年</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拨款比202</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年收支预算总数</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增加22.05</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3D7FD775">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1910B1FE">
      <w:pPr>
        <w:spacing w:line="600" w:lineRule="exact"/>
        <w:ind w:firstLine="640" w:firstLineChars="200"/>
        <w:outlineLvl w:val="1"/>
        <w:rPr>
          <w:rFonts w:hint="eastAsia" w:ascii="仿宋" w:hAnsi="仿宋" w:eastAsia="仿宋" w:cs="Times New Roman"/>
          <w:sz w:val="32"/>
          <w:szCs w:val="32"/>
          <w:lang w:eastAsia="zh-CN"/>
        </w:rPr>
      </w:pPr>
      <w:bookmarkStart w:id="0" w:name="_Toc6823"/>
      <w:bookmarkStart w:id="1" w:name="_Toc27626"/>
      <w:bookmarkStart w:id="2" w:name="_Toc8959"/>
      <w:r>
        <w:rPr>
          <w:rFonts w:hint="eastAsia" w:ascii="仿宋" w:hAnsi="仿宋" w:eastAsia="仿宋" w:cs="Times New Roman"/>
          <w:sz w:val="32"/>
          <w:szCs w:val="32"/>
        </w:rPr>
        <w:t>一般公共预算当年拨款具体使用支出合计</w:t>
      </w:r>
      <w:r>
        <w:rPr>
          <w:rFonts w:hint="eastAsia" w:ascii="仿宋" w:hAnsi="仿宋" w:eastAsia="仿宋" w:cs="Times New Roman"/>
          <w:sz w:val="32"/>
          <w:szCs w:val="32"/>
          <w:lang w:val="en-US" w:eastAsia="zh-CN"/>
        </w:rPr>
        <w:t>295.80</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基本支出</w:t>
      </w:r>
      <w:r>
        <w:rPr>
          <w:rFonts w:hint="eastAsia" w:ascii="仿宋" w:hAnsi="仿宋" w:eastAsia="仿宋" w:cs="Times New Roman"/>
          <w:sz w:val="32"/>
          <w:szCs w:val="32"/>
          <w:lang w:val="en-US" w:eastAsia="zh-CN"/>
        </w:rPr>
        <w:t>180.80</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工资</w:t>
      </w:r>
      <w:r>
        <w:rPr>
          <w:rFonts w:hint="eastAsia" w:ascii="仿宋" w:hAnsi="仿宋" w:eastAsia="仿宋"/>
          <w:b w:val="0"/>
          <w:bCs/>
          <w:sz w:val="32"/>
          <w:szCs w:val="32"/>
        </w:rPr>
        <w:t>福利支出162.09</w:t>
      </w:r>
      <w:r>
        <w:rPr>
          <w:rFonts w:hint="eastAsia" w:ascii="仿宋" w:hAnsi="仿宋" w:eastAsia="仿宋"/>
          <w:b w:val="0"/>
          <w:bCs/>
          <w:sz w:val="32"/>
          <w:szCs w:val="32"/>
          <w:lang w:val="en-US" w:eastAsia="zh-CN"/>
        </w:rPr>
        <w:t>万元、  商品和服务支出15.69万元、对个人和家庭的补助3.01万元。</w:t>
      </w:r>
      <w:r>
        <w:rPr>
          <w:rFonts w:hint="eastAsia" w:ascii="仿宋" w:hAnsi="仿宋" w:eastAsia="仿宋"/>
          <w:b w:val="0"/>
          <w:bCs/>
          <w:sz w:val="32"/>
          <w:szCs w:val="32"/>
        </w:rPr>
        <w:t>项目支出</w:t>
      </w:r>
      <w:r>
        <w:rPr>
          <w:rFonts w:hint="eastAsia" w:ascii="仿宋" w:hAnsi="仿宋" w:eastAsia="仿宋"/>
          <w:b w:val="0"/>
          <w:bCs/>
          <w:sz w:val="32"/>
          <w:szCs w:val="32"/>
          <w:lang w:val="en-US" w:eastAsia="zh-CN"/>
        </w:rPr>
        <w:t>115.00</w:t>
      </w:r>
      <w:r>
        <w:rPr>
          <w:rFonts w:hint="eastAsia" w:ascii="仿宋" w:hAnsi="仿宋" w:eastAsia="仿宋"/>
          <w:b w:val="0"/>
          <w:bCs/>
          <w:sz w:val="32"/>
          <w:szCs w:val="32"/>
        </w:rPr>
        <w:t>万元，</w:t>
      </w:r>
      <w:r>
        <w:rPr>
          <w:rFonts w:hint="eastAsia" w:ascii="仿宋" w:hAnsi="仿宋" w:eastAsia="仿宋"/>
          <w:b w:val="0"/>
          <w:bCs/>
          <w:sz w:val="32"/>
          <w:szCs w:val="32"/>
          <w:lang w:val="en-US" w:eastAsia="zh-CN"/>
        </w:rPr>
        <w:t>其中</w:t>
      </w:r>
      <w:r>
        <w:rPr>
          <w:rFonts w:hint="eastAsia" w:ascii="仿宋" w:hAnsi="仿宋" w:eastAsia="仿宋"/>
          <w:b w:val="0"/>
          <w:bCs/>
          <w:sz w:val="32"/>
          <w:szCs w:val="32"/>
        </w:rPr>
        <w:t>活动运转经费</w:t>
      </w:r>
      <w:r>
        <w:rPr>
          <w:rFonts w:hint="eastAsia" w:ascii="仿宋" w:hAnsi="仿宋" w:eastAsia="仿宋"/>
          <w:b w:val="0"/>
          <w:bCs/>
          <w:sz w:val="32"/>
          <w:szCs w:val="32"/>
          <w:lang w:val="en-US" w:eastAsia="zh-CN"/>
        </w:rPr>
        <w:t>项目115万元。</w:t>
      </w:r>
    </w:p>
    <w:p w14:paraId="352249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346" w:afterAutospacing="0" w:line="24" w:lineRule="atLeast"/>
        <w:ind w:left="0" w:right="0" w:firstLine="42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1.教育支出（20</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）普通教育（0</w:t>
      </w:r>
      <w:r>
        <w:rPr>
          <w:rFonts w:hint="eastAsia" w:ascii="仿宋_GB2312" w:eastAsia="仿宋_GB2312" w:cs="宋体"/>
          <w:kern w:val="0"/>
          <w:sz w:val="32"/>
          <w:szCs w:val="32"/>
          <w:lang w:val="en-US" w:eastAsia="zh-CN" w:bidi="ar-SA"/>
        </w:rPr>
        <w:t>2</w:t>
      </w:r>
      <w:r>
        <w:rPr>
          <w:rFonts w:hint="eastAsia" w:ascii="仿宋_GB2312" w:hAnsi="Calibri" w:eastAsia="仿宋_GB2312" w:cs="宋体"/>
          <w:kern w:val="0"/>
          <w:sz w:val="32"/>
          <w:szCs w:val="32"/>
          <w:lang w:val="en-US" w:eastAsia="zh-CN" w:bidi="ar-SA"/>
        </w:rPr>
        <w:t>） 其他普通教育支出（99)，2025年预算数为</w:t>
      </w:r>
      <w:r>
        <w:rPr>
          <w:rFonts w:hint="eastAsia" w:ascii="仿宋_GB2312" w:eastAsia="仿宋_GB2312" w:cs="宋体"/>
          <w:kern w:val="0"/>
          <w:sz w:val="32"/>
          <w:szCs w:val="32"/>
          <w:lang w:val="en-US" w:eastAsia="zh-CN" w:bidi="ar-SA"/>
        </w:rPr>
        <w:t>250.87</w:t>
      </w:r>
      <w:r>
        <w:rPr>
          <w:rFonts w:hint="eastAsia" w:ascii="仿宋_GB2312" w:hAnsi="Calibri" w:eastAsia="仿宋_GB2312" w:cs="宋体"/>
          <w:kern w:val="0"/>
          <w:sz w:val="32"/>
          <w:szCs w:val="32"/>
          <w:lang w:val="en-US" w:eastAsia="zh-CN" w:bidi="ar-SA"/>
        </w:rPr>
        <w:t>万元，主要用于：基本工资</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津贴补贴</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日常公务经费</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生活补助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失业保险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工伤保险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残疾人就业保障金支出</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常年性项目支出等。</w:t>
      </w:r>
    </w:p>
    <w:p w14:paraId="02D2C7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346" w:afterAutospacing="0" w:line="24" w:lineRule="atLeast"/>
        <w:ind w:left="0" w:right="0" w:firstLine="420"/>
        <w:rPr>
          <w:rFonts w:hint="default"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2．社会保障和就业支出（208）行政事业单位养老支山(05）机关事业单位基本养老保险缴费支出（05）机关事业单位职业年金缴费支出（06），202</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22.10</w:t>
      </w:r>
      <w:r>
        <w:rPr>
          <w:rFonts w:hint="eastAsia" w:ascii="仿宋_GB2312" w:hAnsi="Calibri" w:eastAsia="仿宋_GB2312" w:cs="宋体"/>
          <w:kern w:val="0"/>
          <w:sz w:val="32"/>
          <w:szCs w:val="32"/>
          <w:lang w:val="en-US" w:eastAsia="zh-CN" w:bidi="ar-SA"/>
        </w:rPr>
        <w:t>万元，主要用于：</w:t>
      </w:r>
      <w:r>
        <w:rPr>
          <w:rFonts w:hint="eastAsia" w:ascii="仿宋_GB2312" w:eastAsia="仿宋_GB2312" w:cs="宋体"/>
          <w:kern w:val="0"/>
          <w:sz w:val="32"/>
          <w:szCs w:val="32"/>
          <w:lang w:val="en-US" w:eastAsia="zh-CN" w:bidi="ar-SA"/>
        </w:rPr>
        <w:t>单位职工</w:t>
      </w:r>
      <w:r>
        <w:rPr>
          <w:rFonts w:hint="eastAsia" w:ascii="仿宋_GB2312" w:hAnsi="Calibri" w:eastAsia="仿宋_GB2312" w:cs="宋体"/>
          <w:kern w:val="0"/>
          <w:sz w:val="32"/>
          <w:szCs w:val="32"/>
          <w:lang w:val="en-US" w:eastAsia="zh-CN" w:bidi="ar-SA"/>
        </w:rPr>
        <w:t>养老保险</w:t>
      </w:r>
      <w:r>
        <w:rPr>
          <w:rFonts w:hint="eastAsia" w:ascii="仿宋_GB2312" w:eastAsia="仿宋_GB2312" w:cs="宋体"/>
          <w:kern w:val="0"/>
          <w:sz w:val="32"/>
          <w:szCs w:val="32"/>
          <w:lang w:val="en-US" w:eastAsia="zh-CN" w:bidi="ar-SA"/>
        </w:rPr>
        <w:t>、</w:t>
      </w:r>
      <w:r>
        <w:rPr>
          <w:rFonts w:hint="eastAsia" w:ascii="仿宋_GB2312" w:hAnsi="Calibri" w:eastAsia="仿宋_GB2312" w:cs="宋体"/>
          <w:kern w:val="0"/>
          <w:sz w:val="32"/>
          <w:szCs w:val="32"/>
          <w:lang w:val="en-US" w:eastAsia="zh-CN" w:bidi="ar-SA"/>
        </w:rPr>
        <w:t>职业年金</w:t>
      </w:r>
      <w:r>
        <w:rPr>
          <w:rFonts w:hint="eastAsia" w:ascii="仿宋_GB2312" w:eastAsia="仿宋_GB2312" w:cs="宋体"/>
          <w:kern w:val="0"/>
          <w:sz w:val="32"/>
          <w:szCs w:val="32"/>
          <w:lang w:val="en-US" w:eastAsia="zh-CN" w:bidi="ar-SA"/>
        </w:rPr>
        <w:t>缴费。</w:t>
      </w:r>
    </w:p>
    <w:p w14:paraId="5E4165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346" w:afterAutospacing="0" w:line="24" w:lineRule="atLeast"/>
        <w:ind w:left="0" w:right="0" w:firstLine="42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3．卫生健康支出（210）行政事业单位医疗（11）事业单位医疗（02)，202</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9.47</w:t>
      </w:r>
      <w:r>
        <w:rPr>
          <w:rFonts w:hint="eastAsia" w:ascii="仿宋_GB2312" w:hAnsi="Calibri" w:eastAsia="仿宋_GB2312" w:cs="宋体"/>
          <w:kern w:val="0"/>
          <w:sz w:val="32"/>
          <w:szCs w:val="32"/>
          <w:lang w:val="en-US" w:eastAsia="zh-CN" w:bidi="ar-SA"/>
        </w:rPr>
        <w:t>万元，主要用于医疗保险支出。</w:t>
      </w:r>
    </w:p>
    <w:p w14:paraId="3382F9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346" w:afterAutospacing="0" w:line="24" w:lineRule="atLeast"/>
        <w:ind w:left="0" w:right="0" w:firstLine="420"/>
        <w:rPr>
          <w:rFonts w:hint="eastAsia"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4．住房保障支出（221）住房改革支出（02）住房公积金（O1)，202</w:t>
      </w:r>
      <w:r>
        <w:rPr>
          <w:rFonts w:hint="eastAsia" w:ascii="仿宋_GB2312" w:eastAsia="仿宋_GB2312" w:cs="宋体"/>
          <w:kern w:val="0"/>
          <w:sz w:val="32"/>
          <w:szCs w:val="32"/>
          <w:lang w:val="en-US" w:eastAsia="zh-CN" w:bidi="ar-SA"/>
        </w:rPr>
        <w:t>5</w:t>
      </w:r>
      <w:r>
        <w:rPr>
          <w:rFonts w:hint="eastAsia" w:ascii="仿宋_GB2312" w:hAnsi="Calibri" w:eastAsia="仿宋_GB2312" w:cs="宋体"/>
          <w:kern w:val="0"/>
          <w:sz w:val="32"/>
          <w:szCs w:val="32"/>
          <w:lang w:val="en-US" w:eastAsia="zh-CN" w:bidi="ar-SA"/>
        </w:rPr>
        <w:t>年预算数为</w:t>
      </w:r>
      <w:r>
        <w:rPr>
          <w:rFonts w:hint="eastAsia" w:ascii="仿宋_GB2312" w:eastAsia="仿宋_GB2312" w:cs="宋体"/>
          <w:kern w:val="0"/>
          <w:sz w:val="32"/>
          <w:szCs w:val="32"/>
          <w:lang w:val="en-US" w:eastAsia="zh-CN" w:bidi="ar-SA"/>
        </w:rPr>
        <w:t>13.36</w:t>
      </w:r>
      <w:r>
        <w:rPr>
          <w:rFonts w:hint="eastAsia" w:ascii="仿宋_GB2312" w:hAnsi="Calibri" w:eastAsia="仿宋_GB2312" w:cs="宋体"/>
          <w:kern w:val="0"/>
          <w:sz w:val="32"/>
          <w:szCs w:val="32"/>
          <w:lang w:val="en-US" w:eastAsia="zh-CN" w:bidi="ar-SA"/>
        </w:rPr>
        <w:t>万元，主要用于住房公积金支出。</w:t>
      </w:r>
    </w:p>
    <w:bookmarkEnd w:id="0"/>
    <w:bookmarkEnd w:id="1"/>
    <w:bookmarkEnd w:id="2"/>
    <w:p w14:paraId="0EAC4D4C">
      <w:pPr>
        <w:spacing w:line="600" w:lineRule="exact"/>
        <w:ind w:firstLine="640" w:firstLineChars="200"/>
        <w:outlineLvl w:val="1"/>
        <w:rPr>
          <w:rFonts w:ascii="黑体" w:eastAsia="黑体"/>
          <w:sz w:val="32"/>
          <w:szCs w:val="32"/>
        </w:rPr>
      </w:pPr>
      <w:r>
        <w:rPr>
          <w:rFonts w:hint="eastAsia" w:ascii="仿宋" w:hAnsi="仿宋" w:eastAsia="仿宋"/>
          <w:b w:val="0"/>
          <w:bCs/>
          <w:sz w:val="32"/>
          <w:szCs w:val="32"/>
        </w:rPr>
        <w:t> </w:t>
      </w:r>
      <w:r>
        <w:rPr>
          <w:rFonts w:hint="eastAsia" w:ascii="黑体" w:eastAsia="黑体"/>
          <w:sz w:val="32"/>
          <w:szCs w:val="32"/>
        </w:rPr>
        <w:t>六、一般公共预算基本支出情况说明</w:t>
      </w:r>
    </w:p>
    <w:p w14:paraId="35988B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jc w:val="both"/>
        <w:textAlignment w:val="baseline"/>
        <w:rPr>
          <w:rFonts w:hint="default" w:ascii="仿宋_GB2312" w:hAnsi="Calibri" w:eastAsia="仿宋_GB2312" w:cs="宋体"/>
          <w:kern w:val="0"/>
          <w:sz w:val="32"/>
          <w:szCs w:val="32"/>
          <w:lang w:val="en-US" w:eastAsia="zh-CN" w:bidi="ar-SA"/>
        </w:rPr>
      </w:pPr>
      <w:r>
        <w:rPr>
          <w:rFonts w:hint="eastAsia" w:ascii="仿宋_GB2312" w:hAnsi="Calibri" w:eastAsia="仿宋_GB2312" w:cs="宋体"/>
          <w:kern w:val="0"/>
          <w:sz w:val="32"/>
          <w:szCs w:val="32"/>
          <w:lang w:val="en-US" w:eastAsia="zh-CN" w:bidi="ar-SA"/>
        </w:rPr>
        <w:t>单位2025年一般公共预算基本支出180.80万元，其中：人员经费162.09万元，主要包括：基本工资30.22万元、津贴补贴12.84万元、奖金24.72万元、其他社会保障缴费2.29万元、绩效工资22.31万元、城镇职工基本医疗保险缴费7.95万元、机关事业单位基本养老保险缴费14.73万元、职业年金缴费7.37万元、其他工资福利支出26.29万元、住房公积金13.36万元、对个人和家庭的补助3.01万元。</w:t>
      </w:r>
    </w:p>
    <w:p w14:paraId="11A5D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jc w:val="both"/>
        <w:textAlignment w:val="baseline"/>
        <w:rPr>
          <w:rFonts w:hint="default" w:ascii="Calibri" w:hAnsi="Calibri" w:cs="Calibri"/>
          <w:color w:val="000000" w:themeColor="text1"/>
          <w:sz w:val="21"/>
          <w:szCs w:val="21"/>
          <w14:textFill>
            <w14:solidFill>
              <w14:schemeClr w14:val="tx1"/>
            </w14:solidFill>
          </w14:textFill>
        </w:rPr>
      </w:pPr>
      <w:r>
        <w:rPr>
          <w:rFonts w:hint="eastAsia" w:ascii="仿宋_GB2312" w:hAnsi="Calibri" w:eastAsia="仿宋_GB2312" w:cs="宋体"/>
          <w:kern w:val="0"/>
          <w:sz w:val="32"/>
          <w:szCs w:val="32"/>
          <w:lang w:val="en-US" w:eastAsia="zh-CN" w:bidi="ar-SA"/>
        </w:rPr>
        <w:t>公用经费15.69万元，主要包括：办公费0.65万元、水费0.19万元、邮电费2.07万元、取暖费0.26万元、差旅费2.85万元、维修（护）费0.17万元、培训费1.21万</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元、公务接待费0.1</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8</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万元、福利费</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5.21</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万元、其他商品和服务支出</w:t>
      </w:r>
      <w:r>
        <w:rPr>
          <w:rFonts w:hint="eastAsia" w:ascii="仿宋_GB2312"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2.89</w:t>
      </w:r>
      <w:r>
        <w:rPr>
          <w:rFonts w:hint="eastAsia" w:ascii="仿宋_GB2312" w:hAnsi="Calibri"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万元。</w:t>
      </w:r>
    </w:p>
    <w:p w14:paraId="48DC3FFE">
      <w:pPr>
        <w:pStyle w:val="13"/>
        <w:spacing w:before="0" w:line="360" w:lineRule="auto"/>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14:paraId="4A39E5F0">
      <w:pPr>
        <w:pStyle w:val="13"/>
        <w:spacing w:before="0" w:line="360" w:lineRule="auto"/>
        <w:ind w:firstLine="640" w:firstLineChars="200"/>
        <w:rPr>
          <w:rFonts w:cs="仿宋_GB2312"/>
          <w:kern w:val="2"/>
          <w:sz w:val="32"/>
          <w:szCs w:val="32"/>
        </w:rPr>
      </w:pPr>
      <w:r>
        <w:rPr>
          <w:rFonts w:hint="eastAsia" w:cs="仿宋_GB2312"/>
          <w:kern w:val="2"/>
          <w:sz w:val="32"/>
          <w:szCs w:val="32"/>
        </w:rPr>
        <w:t>单位2025年“三公”经费财政拨款预算数</w:t>
      </w:r>
      <w:r>
        <w:rPr>
          <w:rFonts w:hint="eastAsia" w:cs="仿宋_GB2312"/>
          <w:kern w:val="2"/>
          <w:sz w:val="32"/>
          <w:szCs w:val="32"/>
          <w:lang w:val="en-US" w:eastAsia="zh-CN"/>
        </w:rPr>
        <w:t>0.18</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0.18</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14:paraId="30B3E279">
      <w:pPr>
        <w:pStyle w:val="13"/>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4E9BB3D2">
      <w:pPr>
        <w:pStyle w:val="13"/>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0.18</w:t>
      </w:r>
      <w:r>
        <w:rPr>
          <w:rFonts w:hint="eastAsia" w:cs="仿宋_GB2312"/>
          <w:color w:val="000000"/>
          <w:kern w:val="2"/>
          <w:sz w:val="32"/>
          <w:szCs w:val="32"/>
        </w:rPr>
        <w:t>万元。较2024年预算经费</w:t>
      </w:r>
      <w:r>
        <w:rPr>
          <w:rFonts w:hint="eastAsia" w:cs="宋体"/>
          <w:sz w:val="32"/>
          <w:szCs w:val="32"/>
        </w:rPr>
        <w:t>增加</w:t>
      </w:r>
      <w:r>
        <w:rPr>
          <w:rFonts w:hint="eastAsia" w:cs="仿宋_GB2312"/>
          <w:color w:val="000000"/>
          <w:kern w:val="2"/>
          <w:sz w:val="32"/>
          <w:szCs w:val="32"/>
          <w:lang w:val="en-US" w:eastAsia="zh-CN"/>
        </w:rPr>
        <w:t>0.02</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11.11</w:t>
      </w:r>
      <w:r>
        <w:rPr>
          <w:rFonts w:hint="eastAsia" w:cs="仿宋_GB2312"/>
          <w:color w:val="000000"/>
          <w:kern w:val="2"/>
          <w:sz w:val="32"/>
          <w:szCs w:val="32"/>
        </w:rPr>
        <w:t>%</w:t>
      </w:r>
      <w:r>
        <w:rPr>
          <w:rFonts w:hint="eastAsia" w:cs="仿宋_GB2312"/>
          <w:color w:val="000000"/>
          <w:kern w:val="2"/>
          <w:sz w:val="32"/>
          <w:szCs w:val="32"/>
          <w:lang w:eastAsia="zh-CN"/>
        </w:rPr>
        <w:t>。</w:t>
      </w:r>
    </w:p>
    <w:p w14:paraId="28CFA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baseline"/>
        <w:rPr>
          <w:rFonts w:hint="eastAsia" w:eastAsia="仿宋_GB2312" w:cs="仿宋_GB2312"/>
          <w:color w:val="000000"/>
          <w:kern w:val="2"/>
          <w:sz w:val="32"/>
          <w:szCs w:val="32"/>
          <w:lang w:eastAsia="zh-CN"/>
        </w:rPr>
      </w:pPr>
      <w:r>
        <w:rPr>
          <w:rFonts w:hint="eastAsia" w:cs="仿宋_GB2312"/>
          <w:color w:val="000000"/>
          <w:kern w:val="2"/>
          <w:sz w:val="32"/>
          <w:szCs w:val="32"/>
        </w:rPr>
        <w:t>（三）2</w:t>
      </w:r>
      <w:r>
        <w:rPr>
          <w:rFonts w:hint="eastAsia" w:ascii="仿宋_GB2312" w:hAnsi="Calibri" w:eastAsia="仿宋_GB2312" w:cs="仿宋_GB2312"/>
          <w:kern w:val="2"/>
          <w:sz w:val="32"/>
          <w:szCs w:val="32"/>
          <w:lang w:val="en-US" w:eastAsia="zh-CN" w:bidi="ar-SA"/>
        </w:rPr>
        <w:t>025年公务用车购置及运行维护费0万元。较2024年预算经费增加/减少0万元，增长0%。单位无公务用车车辆</w:t>
      </w:r>
      <w:r>
        <w:rPr>
          <w:rFonts w:hint="eastAsia" w:ascii="仿宋_GB2312" w:eastAsia="仿宋_GB2312" w:cs="仿宋_GB2312"/>
          <w:kern w:val="2"/>
          <w:sz w:val="32"/>
          <w:szCs w:val="32"/>
          <w:lang w:val="en-US" w:eastAsia="zh-CN" w:bidi="ar-SA"/>
        </w:rPr>
        <w:t>。</w:t>
      </w:r>
    </w:p>
    <w:p w14:paraId="35FDB904">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851D6B4">
      <w:pPr>
        <w:pStyle w:val="13"/>
        <w:spacing w:before="0" w:line="360" w:lineRule="auto"/>
        <w:ind w:firstLine="640" w:firstLineChars="200"/>
        <w:rPr>
          <w:rFonts w:cs="仿宋_GB2312"/>
          <w:kern w:val="2"/>
          <w:sz w:val="32"/>
          <w:szCs w:val="32"/>
        </w:rPr>
      </w:pPr>
      <w:r>
        <w:rPr>
          <w:rFonts w:hint="eastAsia" w:cs="仿宋_GB2312"/>
          <w:kern w:val="2"/>
          <w:sz w:val="32"/>
          <w:szCs w:val="32"/>
        </w:rPr>
        <w:t>单位2025年政府性基金预算拨款安排的支出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万元。较2024年预算经费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12AB5AC7">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090E5E17">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部门（单位）2025年机关运行经费财政拨款预算为</w:t>
      </w:r>
      <w:r>
        <w:rPr>
          <w:rFonts w:hint="eastAsia" w:cs="仿宋_GB2312"/>
          <w:kern w:val="2"/>
          <w:sz w:val="32"/>
          <w:szCs w:val="32"/>
          <w:lang w:val="en-US" w:eastAsia="zh-CN"/>
        </w:rPr>
        <w:t>15.69</w:t>
      </w:r>
      <w:r>
        <w:rPr>
          <w:rFonts w:hint="eastAsia" w:cs="仿宋_GB2312"/>
          <w:kern w:val="2"/>
          <w:sz w:val="32"/>
          <w:szCs w:val="32"/>
        </w:rPr>
        <w:t>万元，比2024年预算</w:t>
      </w:r>
      <w:r>
        <w:rPr>
          <w:rFonts w:hint="eastAsia" w:cs="宋体"/>
          <w:sz w:val="32"/>
          <w:szCs w:val="32"/>
        </w:rPr>
        <w:t>增加</w:t>
      </w:r>
      <w:r>
        <w:rPr>
          <w:rFonts w:hint="eastAsia" w:cs="宋体"/>
          <w:sz w:val="32"/>
          <w:szCs w:val="32"/>
          <w:lang w:val="en-US" w:eastAsia="zh-CN"/>
        </w:rPr>
        <w:t>2.17</w:t>
      </w:r>
      <w:r>
        <w:rPr>
          <w:rFonts w:hint="eastAsia" w:cs="仿宋_GB2312"/>
          <w:color w:val="000000"/>
          <w:kern w:val="2"/>
          <w:sz w:val="32"/>
          <w:szCs w:val="32"/>
        </w:rPr>
        <w:t>万元，</w:t>
      </w:r>
      <w:r>
        <w:rPr>
          <w:rFonts w:hint="eastAsia" w:cs="仿宋_GB2312"/>
          <w:color w:val="000000"/>
          <w:kern w:val="2"/>
          <w:sz w:val="32"/>
          <w:szCs w:val="32"/>
          <w:lang w:val="en-US" w:eastAsia="zh-CN"/>
        </w:rPr>
        <w:t>增加1.83</w:t>
      </w:r>
      <w:r>
        <w:rPr>
          <w:rFonts w:hint="eastAsia" w:cs="仿宋_GB2312"/>
          <w:color w:val="000000"/>
          <w:kern w:val="2"/>
          <w:sz w:val="32"/>
          <w:szCs w:val="32"/>
        </w:rPr>
        <w:t xml:space="preserve">%。 </w:t>
      </w:r>
    </w:p>
    <w:p w14:paraId="332DD731">
      <w:pPr>
        <w:pStyle w:val="13"/>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12A2636C">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75D2777">
      <w:pPr>
        <w:pStyle w:val="13"/>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截至2024年12月31日，我单位固定资产2254.74万元。</w:t>
      </w:r>
    </w:p>
    <w:p w14:paraId="6FC3E4B3">
      <w:pPr>
        <w:pStyle w:val="13"/>
        <w:spacing w:before="0" w:line="360" w:lineRule="auto"/>
        <w:ind w:firstLine="640" w:firstLineChars="200"/>
        <w:rPr>
          <w:rFonts w:hint="eastAsia" w:ascii="黑体" w:eastAsia="仿宋_GB2312"/>
          <w:sz w:val="32"/>
          <w:szCs w:val="32"/>
          <w:lang w:val="en-US" w:eastAsia="zh-CN"/>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bookmarkStart w:id="3" w:name="_GoBack"/>
      <w:bookmarkEnd w:id="3"/>
      <w:r>
        <w:rPr>
          <w:rFonts w:hint="eastAsia" w:cs="仿宋_GB2312"/>
          <w:kern w:val="2"/>
          <w:sz w:val="32"/>
          <w:szCs w:val="32"/>
        </w:rPr>
        <w:t>单位2025年部门预算中教育专项经费均按省、州相关要求实行绩效目标管理，开展绩效目标管理的项目</w:t>
      </w:r>
      <w:r>
        <w:rPr>
          <w:rFonts w:hint="eastAsia" w:cs="仿宋_GB2312"/>
          <w:kern w:val="2"/>
          <w:sz w:val="32"/>
          <w:szCs w:val="32"/>
          <w:lang w:val="en-US" w:eastAsia="zh-CN"/>
        </w:rPr>
        <w:t>8</w:t>
      </w:r>
      <w:r>
        <w:rPr>
          <w:rFonts w:hint="eastAsia" w:cs="仿宋_GB2312"/>
          <w:kern w:val="2"/>
          <w:sz w:val="32"/>
          <w:szCs w:val="32"/>
        </w:rPr>
        <w:t>个，涉及一般公共预算当年拨款预算</w:t>
      </w:r>
      <w:r>
        <w:rPr>
          <w:rFonts w:hint="eastAsia" w:cs="仿宋_GB2312"/>
          <w:kern w:val="2"/>
          <w:sz w:val="32"/>
          <w:szCs w:val="32"/>
          <w:lang w:val="en-US" w:eastAsia="zh-CN"/>
        </w:rPr>
        <w:t>295.80</w:t>
      </w:r>
      <w:r>
        <w:rPr>
          <w:rFonts w:hint="eastAsia" w:cs="仿宋_GB2312"/>
          <w:kern w:val="2"/>
          <w:sz w:val="32"/>
          <w:szCs w:val="32"/>
        </w:rPr>
        <w:t>万元;其中:人员类项目</w:t>
      </w:r>
      <w:r>
        <w:rPr>
          <w:rFonts w:hint="eastAsia" w:cs="仿宋_GB2312"/>
          <w:kern w:val="2"/>
          <w:sz w:val="32"/>
          <w:szCs w:val="32"/>
          <w:lang w:val="en-US" w:eastAsia="zh-CN"/>
        </w:rPr>
        <w:t>5</w:t>
      </w:r>
      <w:r>
        <w:rPr>
          <w:rFonts w:hint="eastAsia" w:cs="仿宋_GB2312"/>
          <w:kern w:val="2"/>
          <w:sz w:val="32"/>
          <w:szCs w:val="32"/>
        </w:rPr>
        <w:t>个，涉及预算</w:t>
      </w:r>
      <w:r>
        <w:rPr>
          <w:rFonts w:hint="eastAsia" w:cs="仿宋_GB2312"/>
          <w:kern w:val="2"/>
          <w:sz w:val="32"/>
          <w:szCs w:val="32"/>
          <w:lang w:val="en-US" w:eastAsia="zh-CN"/>
        </w:rPr>
        <w:t>165.15</w:t>
      </w:r>
      <w:r>
        <w:rPr>
          <w:rFonts w:hint="eastAsia" w:cs="仿宋_GB2312"/>
          <w:kern w:val="2"/>
          <w:sz w:val="32"/>
          <w:szCs w:val="32"/>
        </w:rPr>
        <w:t>万元;运转类项目</w:t>
      </w:r>
      <w:r>
        <w:rPr>
          <w:rFonts w:hint="eastAsia" w:cs="仿宋_GB2312"/>
          <w:kern w:val="2"/>
          <w:sz w:val="32"/>
          <w:szCs w:val="32"/>
          <w:lang w:val="en-US" w:eastAsia="zh-CN"/>
        </w:rPr>
        <w:t>3</w:t>
      </w:r>
      <w:r>
        <w:rPr>
          <w:rFonts w:hint="eastAsia" w:cs="仿宋_GB2312"/>
          <w:kern w:val="2"/>
          <w:sz w:val="32"/>
          <w:szCs w:val="32"/>
        </w:rPr>
        <w:t>个，涉及预算</w:t>
      </w:r>
      <w:r>
        <w:rPr>
          <w:rFonts w:hint="eastAsia" w:cs="仿宋_GB2312"/>
          <w:kern w:val="2"/>
          <w:sz w:val="32"/>
          <w:szCs w:val="32"/>
          <w:lang w:val="en-US" w:eastAsia="zh-CN"/>
        </w:rPr>
        <w:t>130.65</w:t>
      </w:r>
      <w:r>
        <w:rPr>
          <w:rFonts w:hint="eastAsia" w:cs="仿宋_GB2312"/>
          <w:kern w:val="2"/>
          <w:sz w:val="32"/>
          <w:szCs w:val="32"/>
        </w:rPr>
        <w:t>万元</w:t>
      </w:r>
      <w:r>
        <w:rPr>
          <w:rFonts w:hint="eastAsia" w:cs="仿宋_GB2312"/>
          <w:kern w:val="2"/>
          <w:sz w:val="32"/>
          <w:szCs w:val="32"/>
          <w:lang w:val="en-US" w:eastAsia="zh-CN"/>
        </w:rPr>
        <w:t>.</w:t>
      </w:r>
    </w:p>
    <w:p w14:paraId="485C7C6C">
      <w:pPr>
        <w:pStyle w:val="13"/>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6DA7FA3">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098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4A55F9AB"/>
    <w:multiLevelType w:val="singleLevel"/>
    <w:tmpl w:val="4A55F9AB"/>
    <w:lvl w:ilvl="0" w:tentative="0">
      <w:start w:val="2"/>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38F541B"/>
    <w:rsid w:val="068D4A78"/>
    <w:rsid w:val="0A7C2614"/>
    <w:rsid w:val="1E122A78"/>
    <w:rsid w:val="20B971DB"/>
    <w:rsid w:val="2A376D63"/>
    <w:rsid w:val="2CF25F4F"/>
    <w:rsid w:val="3676374D"/>
    <w:rsid w:val="3A7B5DDD"/>
    <w:rsid w:val="3CE53C74"/>
    <w:rsid w:val="484216E1"/>
    <w:rsid w:val="53EB5322"/>
    <w:rsid w:val="61A24FB0"/>
    <w:rsid w:val="654D1458"/>
    <w:rsid w:val="6E3851B0"/>
    <w:rsid w:val="73335F46"/>
    <w:rsid w:val="795310F0"/>
    <w:rsid w:val="79F30F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widowControl w:val="0"/>
      <w:ind w:left="1680"/>
      <w:jc w:val="both"/>
    </w:pPr>
    <w:rPr>
      <w:rFonts w:ascii="Calibri" w:hAnsi="Calibri" w:eastAsia="宋体" w:cs="Arial"/>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SA"/>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 w:type="paragraph" w:customStyle="1" w:styleId="14">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3129</Words>
  <Characters>3543</Characters>
  <Lines>124</Lines>
  <Paragraphs>51</Paragraphs>
  <TotalTime>1</TotalTime>
  <ScaleCrop>false</ScaleCrop>
  <LinksUpToDate>false</LinksUpToDate>
  <CharactersWithSpaces>3592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艳姐</cp:lastModifiedBy>
  <cp:lastPrinted>2018-01-30T09:39:00Z</cp:lastPrinted>
  <dcterms:modified xsi:type="dcterms:W3CDTF">2025-02-20T06:43:59Z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eyJoZGlkIjoiZGY5Mzc3ZTY2MjJlNDc1NDVjOGY0YTVmMDQ2MDM3MDMiLCJ1c2VySWQiOiIxMDAzMTg5NjY0In0=</vt:lpwstr>
  </property>
  <property fmtid="{D5CDD505-2E9C-101B-9397-08002B2CF9AE}" pid="4" name="ICV">
    <vt:lpwstr>5D445552ABF3475394B2D47E25A122DD_12</vt:lpwstr>
  </property>
</Properties>
</file>