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1AAE5">
      <w:pPr>
        <w:keepNext w:val="0"/>
        <w:keepLines w:val="0"/>
        <w:pageBreakBefore w:val="0"/>
        <w:widowControl w:val="0"/>
        <w:kinsoku/>
        <w:wordWrap/>
        <w:overflowPunct/>
        <w:topLinePunct w:val="0"/>
        <w:autoSpaceDE/>
        <w:autoSpaceDN/>
        <w:bidi w:val="0"/>
        <w:adjustRightInd/>
        <w:spacing w:line="560" w:lineRule="exact"/>
        <w:textAlignment w:val="auto"/>
      </w:pPr>
    </w:p>
    <w:p w14:paraId="569A9E17">
      <w:pPr>
        <w:keepNext w:val="0"/>
        <w:keepLines w:val="0"/>
        <w:pageBreakBefore w:val="0"/>
        <w:widowControl w:val="0"/>
        <w:kinsoku/>
        <w:wordWrap/>
        <w:overflowPunct/>
        <w:topLinePunct w:val="0"/>
        <w:autoSpaceDE/>
        <w:autoSpaceDN/>
        <w:bidi w:val="0"/>
        <w:adjustRightInd/>
        <w:spacing w:line="560" w:lineRule="exact"/>
        <w:textAlignment w:val="auto"/>
      </w:pPr>
    </w:p>
    <w:p w14:paraId="1E294C27">
      <w:pPr>
        <w:keepNext w:val="0"/>
        <w:keepLines w:val="0"/>
        <w:pageBreakBefore w:val="0"/>
        <w:widowControl w:val="0"/>
        <w:kinsoku/>
        <w:wordWrap/>
        <w:overflowPunct/>
        <w:topLinePunct w:val="0"/>
        <w:autoSpaceDE/>
        <w:autoSpaceDN/>
        <w:bidi w:val="0"/>
        <w:adjustRightInd/>
        <w:spacing w:line="560" w:lineRule="exact"/>
        <w:textAlignment w:val="auto"/>
      </w:pPr>
    </w:p>
    <w:p w14:paraId="0AD36457">
      <w:pPr>
        <w:keepNext w:val="0"/>
        <w:keepLines w:val="0"/>
        <w:pageBreakBefore w:val="0"/>
        <w:widowControl w:val="0"/>
        <w:kinsoku/>
        <w:wordWrap/>
        <w:overflowPunct/>
        <w:topLinePunct w:val="0"/>
        <w:autoSpaceDE/>
        <w:autoSpaceDN/>
        <w:bidi w:val="0"/>
        <w:adjustRightInd/>
        <w:spacing w:line="560" w:lineRule="exact"/>
        <w:textAlignment w:val="auto"/>
      </w:pPr>
    </w:p>
    <w:p w14:paraId="7F73422A">
      <w:pPr>
        <w:keepNext w:val="0"/>
        <w:keepLines w:val="0"/>
        <w:pageBreakBefore w:val="0"/>
        <w:widowControl w:val="0"/>
        <w:kinsoku/>
        <w:wordWrap/>
        <w:overflowPunct/>
        <w:topLinePunct w:val="0"/>
        <w:autoSpaceDE/>
        <w:autoSpaceDN/>
        <w:bidi w:val="0"/>
        <w:adjustRightInd/>
        <w:spacing w:line="560" w:lineRule="exact"/>
        <w:textAlignment w:val="auto"/>
      </w:pPr>
    </w:p>
    <w:p w14:paraId="02B0C1C9">
      <w:pPr>
        <w:keepNext w:val="0"/>
        <w:keepLines w:val="0"/>
        <w:pageBreakBefore w:val="0"/>
        <w:widowControl w:val="0"/>
        <w:kinsoku/>
        <w:wordWrap/>
        <w:overflowPunct/>
        <w:topLinePunct w:val="0"/>
        <w:autoSpaceDE/>
        <w:autoSpaceDN/>
        <w:bidi w:val="0"/>
        <w:adjustRightInd/>
        <w:spacing w:line="560" w:lineRule="exact"/>
        <w:ind w:firstLine="1600" w:firstLineChars="500"/>
        <w:textAlignment w:val="auto"/>
      </w:pPr>
    </w:p>
    <w:p w14:paraId="5F3CECC9">
      <w:pPr>
        <w:keepNext w:val="0"/>
        <w:keepLines w:val="0"/>
        <w:pageBreakBefore w:val="0"/>
        <w:widowControl w:val="0"/>
        <w:kinsoku/>
        <w:wordWrap/>
        <w:overflowPunct/>
        <w:topLinePunct w:val="0"/>
        <w:autoSpaceDE/>
        <w:autoSpaceDN/>
        <w:bidi w:val="0"/>
        <w:adjustRightInd/>
        <w:spacing w:line="560" w:lineRule="exact"/>
        <w:ind w:firstLine="1600" w:firstLineChars="500"/>
        <w:textAlignment w:val="auto"/>
      </w:pPr>
    </w:p>
    <w:p w14:paraId="253C16AB">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18FC47BD">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2673D9C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州教育考试中心</w:t>
      </w:r>
    </w:p>
    <w:p w14:paraId="14B5F72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2025年</w:t>
      </w:r>
      <w:r>
        <w:rPr>
          <w:rFonts w:hint="eastAsia" w:ascii="方正小标宋简体" w:hAnsi="方正小标宋简体" w:eastAsia="方正小标宋简体" w:cs="方正小标宋简体"/>
          <w:sz w:val="44"/>
          <w:szCs w:val="44"/>
        </w:rPr>
        <w:t>部门预算</w:t>
      </w:r>
      <w:r>
        <w:rPr>
          <w:rFonts w:hint="eastAsia" w:ascii="方正小标宋简体" w:hAnsi="方正小标宋简体" w:eastAsia="方正小标宋简体" w:cs="方正小标宋简体"/>
          <w:sz w:val="44"/>
          <w:szCs w:val="44"/>
          <w:lang w:val="en-US" w:eastAsia="zh-CN"/>
        </w:rPr>
        <w:t>公开</w:t>
      </w:r>
    </w:p>
    <w:p w14:paraId="5666DBC7">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4B89CC2E">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7746CE84">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49304251">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33BCFE0A">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0E256F54">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3F17D0BD">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55106036">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005FE439">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031AF237">
      <w:pPr>
        <w:keepNext w:val="0"/>
        <w:keepLines w:val="0"/>
        <w:pageBreakBefore w:val="0"/>
        <w:widowControl w:val="0"/>
        <w:kinsoku/>
        <w:wordWrap/>
        <w:overflowPunct/>
        <w:topLinePunct w:val="0"/>
        <w:autoSpaceDE/>
        <w:autoSpaceDN/>
        <w:bidi w:val="0"/>
        <w:adjustRightInd/>
        <w:spacing w:line="560" w:lineRule="exact"/>
        <w:ind w:firstLine="1760" w:firstLineChars="400"/>
        <w:textAlignment w:val="auto"/>
        <w:rPr>
          <w:rFonts w:ascii="黑体" w:hAnsi="黑体" w:eastAsia="黑体"/>
          <w:sz w:val="44"/>
          <w:szCs w:val="44"/>
        </w:rPr>
      </w:pPr>
    </w:p>
    <w:p w14:paraId="13225F92">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sz w:val="44"/>
          <w:szCs w:val="44"/>
        </w:rPr>
      </w:pPr>
    </w:p>
    <w:p w14:paraId="7CB42219">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sdt>
      <w:sdtPr>
        <w:rPr>
          <w:rFonts w:ascii="宋体" w:hAnsi="宋体" w:eastAsia="宋体" w:cs="Times New Roman"/>
          <w:kern w:val="2"/>
          <w:sz w:val="21"/>
          <w:szCs w:val="22"/>
          <w:lang w:val="en-US" w:eastAsia="zh-CN" w:bidi="ar-SA"/>
        </w:rPr>
        <w:id w:val="147468350"/>
        <w15:color w:val="DBDBDB"/>
        <w:docPartObj>
          <w:docPartGallery w:val="Table of Contents"/>
          <w:docPartUnique/>
        </w:docPartObj>
      </w:sdtPr>
      <w:sdtEndPr>
        <w:rPr>
          <w:rFonts w:ascii="黑体" w:hAnsi="黑体" w:eastAsia="黑体" w:cs="Times New Roman"/>
          <w:kern w:val="2"/>
          <w:sz w:val="32"/>
          <w:szCs w:val="44"/>
          <w:lang w:val="en-US" w:eastAsia="zh-CN" w:bidi="ar-SA"/>
        </w:rPr>
      </w:sdtEndPr>
      <w:sdtContent>
        <w:p w14:paraId="38E1BEE4">
          <w:pPr>
            <w:keepNext w:val="0"/>
            <w:keepLines w:val="0"/>
            <w:pageBreakBefore w:val="0"/>
            <w:widowControl w:val="0"/>
            <w:kinsoku/>
            <w:wordWrap/>
            <w:overflowPunct/>
            <w:topLinePunct w:val="0"/>
            <w:autoSpaceDE/>
            <w:autoSpaceDN/>
            <w:bidi w:val="0"/>
            <w:adjustRightInd/>
            <w:spacing w:before="0" w:beforeLines="0" w:after="0" w:afterLines="0" w:line="240" w:lineRule="auto"/>
            <w:ind w:left="0" w:leftChars="0" w:right="0" w:rightChars="0" w:firstLine="0" w:firstLineChars="0"/>
            <w:jc w:val="center"/>
            <w:textAlignment w:val="auto"/>
          </w:pPr>
        </w:p>
        <w:p w14:paraId="23BF6716">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20" w:firstLineChars="100"/>
            <w:textAlignment w:val="auto"/>
            <w:rPr>
              <w:sz w:val="21"/>
              <w:szCs w:val="21"/>
            </w:rPr>
          </w:pPr>
          <w:r>
            <w:rPr>
              <w:rFonts w:ascii="黑体" w:hAnsi="黑体" w:eastAsia="黑体" w:cs="Times New Roman"/>
              <w:kern w:val="2"/>
              <w:sz w:val="22"/>
              <w:szCs w:val="48"/>
              <w:lang w:val="en-US" w:eastAsia="zh-CN" w:bidi="ar-SA"/>
            </w:rPr>
            <w:fldChar w:fldCharType="begin"/>
          </w:r>
          <w:r>
            <w:rPr>
              <w:rFonts w:ascii="黑体" w:hAnsi="黑体" w:eastAsia="黑体" w:cs="Times New Roman"/>
              <w:kern w:val="2"/>
              <w:sz w:val="22"/>
              <w:szCs w:val="48"/>
              <w:lang w:val="en-US" w:eastAsia="zh-CN" w:bidi="ar-SA"/>
            </w:rPr>
            <w:instrText xml:space="preserve">TOC \o "1-3" \h \u </w:instrText>
          </w:r>
          <w:r>
            <w:rPr>
              <w:rFonts w:ascii="黑体" w:hAnsi="黑体" w:eastAsia="黑体" w:cs="Times New Roman"/>
              <w:kern w:val="2"/>
              <w:sz w:val="22"/>
              <w:szCs w:val="48"/>
              <w:lang w:val="en-US" w:eastAsia="zh-CN" w:bidi="ar-SA"/>
            </w:rPr>
            <w:fldChar w:fldCharType="separate"/>
          </w: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_Toc9259 </w:instrText>
          </w:r>
          <w:r>
            <w:rPr>
              <w:rFonts w:ascii="黑体" w:hAnsi="黑体" w:eastAsia="黑体" w:cs="Times New Roman"/>
              <w:kern w:val="2"/>
              <w:sz w:val="21"/>
              <w:szCs w:val="48"/>
              <w:lang w:val="en-US" w:eastAsia="zh-CN" w:bidi="ar-SA"/>
            </w:rPr>
            <w:fldChar w:fldCharType="separate"/>
          </w:r>
          <w:r>
            <w:rPr>
              <w:rFonts w:hint="eastAsia"/>
              <w:sz w:val="21"/>
              <w:szCs w:val="21"/>
            </w:rPr>
            <w:t>一、基本职能及主要工作</w:t>
          </w:r>
          <w:r>
            <w:rPr>
              <w:sz w:val="21"/>
              <w:szCs w:val="21"/>
            </w:rPr>
            <w:tab/>
          </w:r>
          <w:r>
            <w:rPr>
              <w:sz w:val="21"/>
              <w:szCs w:val="21"/>
            </w:rPr>
            <w:fldChar w:fldCharType="begin"/>
          </w:r>
          <w:r>
            <w:rPr>
              <w:sz w:val="21"/>
              <w:szCs w:val="21"/>
            </w:rPr>
            <w:instrText xml:space="preserve"> PAGEREF _Toc18152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14:paraId="3D98A07E">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_Toc18152 </w:instrText>
          </w:r>
          <w:r>
            <w:rPr>
              <w:rFonts w:ascii="黑体" w:hAnsi="黑体" w:eastAsia="黑体" w:cs="Times New Roman"/>
              <w:kern w:val="2"/>
              <w:sz w:val="21"/>
              <w:szCs w:val="48"/>
              <w:lang w:val="en-US" w:eastAsia="zh-CN" w:bidi="ar-SA"/>
            </w:rPr>
            <w:fldChar w:fldCharType="separate"/>
          </w:r>
          <w:r>
            <w:rPr>
              <w:rFonts w:hint="eastAsia"/>
              <w:sz w:val="21"/>
              <w:szCs w:val="21"/>
            </w:rPr>
            <w:t>（一）部门职能简介</w:t>
          </w:r>
          <w:r>
            <w:rPr>
              <w:sz w:val="21"/>
              <w:szCs w:val="21"/>
            </w:rPr>
            <w:tab/>
          </w:r>
          <w:r>
            <w:rPr>
              <w:sz w:val="21"/>
              <w:szCs w:val="21"/>
            </w:rPr>
            <w:fldChar w:fldCharType="begin"/>
          </w:r>
          <w:r>
            <w:rPr>
              <w:sz w:val="21"/>
              <w:szCs w:val="21"/>
            </w:rPr>
            <w:instrText xml:space="preserve"> PAGEREF _Toc18152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14:paraId="06F7961A">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_Toc29500 </w:instrText>
          </w:r>
          <w:r>
            <w:rPr>
              <w:rFonts w:ascii="黑体" w:hAnsi="黑体" w:eastAsia="黑体" w:cs="Times New Roman"/>
              <w:kern w:val="2"/>
              <w:sz w:val="21"/>
              <w:szCs w:val="48"/>
              <w:lang w:val="en-US" w:eastAsia="zh-CN" w:bidi="ar-SA"/>
            </w:rPr>
            <w:fldChar w:fldCharType="separate"/>
          </w:r>
          <w:r>
            <w:rPr>
              <w:rFonts w:hint="eastAsia"/>
              <w:sz w:val="21"/>
              <w:szCs w:val="21"/>
            </w:rPr>
            <w:t>（二）</w:t>
          </w:r>
          <w:r>
            <w:rPr>
              <w:rFonts w:hint="eastAsia"/>
              <w:sz w:val="21"/>
              <w:szCs w:val="21"/>
              <w:lang w:eastAsia="zh-CN"/>
            </w:rPr>
            <w:t>2025年</w:t>
          </w:r>
          <w:r>
            <w:rPr>
              <w:rFonts w:hint="eastAsia"/>
              <w:sz w:val="21"/>
              <w:szCs w:val="21"/>
            </w:rPr>
            <w:t>重点工作</w:t>
          </w:r>
          <w:r>
            <w:rPr>
              <w:sz w:val="21"/>
              <w:szCs w:val="21"/>
            </w:rPr>
            <w:tab/>
          </w:r>
          <w:r>
            <w:rPr>
              <w:sz w:val="21"/>
              <w:szCs w:val="21"/>
            </w:rPr>
            <w:fldChar w:fldCharType="begin"/>
          </w:r>
          <w:r>
            <w:rPr>
              <w:sz w:val="21"/>
              <w:szCs w:val="21"/>
            </w:rPr>
            <w:instrText xml:space="preserve"> PAGEREF _Toc29500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14:paraId="5643B269">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_Toc16679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二、</w:t>
          </w:r>
          <w:r>
            <w:rPr>
              <w:rFonts w:hint="eastAsia"/>
              <w:sz w:val="21"/>
              <w:szCs w:val="21"/>
            </w:rPr>
            <w:t>部门预算单位构成</w:t>
          </w:r>
          <w:r>
            <w:rPr>
              <w:sz w:val="21"/>
              <w:szCs w:val="21"/>
            </w:rPr>
            <w:tab/>
          </w:r>
          <w:r>
            <w:rPr>
              <w:sz w:val="21"/>
              <w:szCs w:val="21"/>
            </w:rPr>
            <w:fldChar w:fldCharType="begin"/>
          </w:r>
          <w:r>
            <w:rPr>
              <w:sz w:val="21"/>
              <w:szCs w:val="21"/>
            </w:rPr>
            <w:instrText xml:space="preserve"> PAGEREF _Toc16679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14:paraId="2F24C1C3">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_Toc25375 </w:instrText>
          </w:r>
          <w:r>
            <w:rPr>
              <w:rFonts w:ascii="黑体" w:hAnsi="黑体" w:eastAsia="黑体" w:cs="Times New Roman"/>
              <w:kern w:val="2"/>
              <w:sz w:val="21"/>
              <w:szCs w:val="48"/>
              <w:lang w:val="en-US" w:eastAsia="zh-CN" w:bidi="ar-SA"/>
            </w:rPr>
            <w:fldChar w:fldCharType="separate"/>
          </w:r>
          <w:r>
            <w:rPr>
              <w:rFonts w:hint="eastAsia"/>
              <w:sz w:val="21"/>
              <w:szCs w:val="21"/>
            </w:rPr>
            <w:t>三、收支预算情况说明</w:t>
          </w:r>
          <w:r>
            <w:rPr>
              <w:sz w:val="21"/>
              <w:szCs w:val="21"/>
            </w:rPr>
            <w:tab/>
          </w:r>
          <w:r>
            <w:rPr>
              <w:sz w:val="21"/>
              <w:szCs w:val="21"/>
            </w:rPr>
            <w:fldChar w:fldCharType="begin"/>
          </w:r>
          <w:r>
            <w:rPr>
              <w:sz w:val="21"/>
              <w:szCs w:val="21"/>
            </w:rPr>
            <w:instrText xml:space="preserve"> PAGEREF _Toc25375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14:paraId="55036099">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_Toc25539 </w:instrText>
          </w:r>
          <w:r>
            <w:rPr>
              <w:rFonts w:ascii="黑体" w:hAnsi="黑体" w:eastAsia="黑体" w:cs="Times New Roman"/>
              <w:kern w:val="2"/>
              <w:sz w:val="21"/>
              <w:szCs w:val="48"/>
              <w:lang w:val="en-US" w:eastAsia="zh-CN" w:bidi="ar-SA"/>
            </w:rPr>
            <w:fldChar w:fldCharType="separate"/>
          </w:r>
          <w:r>
            <w:rPr>
              <w:rFonts w:hint="eastAsia"/>
              <w:sz w:val="21"/>
              <w:szCs w:val="21"/>
            </w:rPr>
            <w:t>（一）收入预算情况</w:t>
          </w:r>
          <w:r>
            <w:rPr>
              <w:sz w:val="21"/>
              <w:szCs w:val="21"/>
            </w:rPr>
            <w:tab/>
          </w:r>
          <w:r>
            <w:rPr>
              <w:sz w:val="21"/>
              <w:szCs w:val="21"/>
            </w:rPr>
            <w:fldChar w:fldCharType="begin"/>
          </w:r>
          <w:r>
            <w:rPr>
              <w:sz w:val="21"/>
              <w:szCs w:val="21"/>
            </w:rPr>
            <w:instrText xml:space="preserve"> PAGEREF _Toc25539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14:paraId="08023FE9">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_Toc20770 </w:instrText>
          </w:r>
          <w:r>
            <w:rPr>
              <w:rFonts w:ascii="黑体" w:hAnsi="黑体" w:eastAsia="黑体" w:cs="Times New Roman"/>
              <w:kern w:val="2"/>
              <w:sz w:val="21"/>
              <w:szCs w:val="48"/>
              <w:lang w:val="en-US" w:eastAsia="zh-CN" w:bidi="ar-SA"/>
            </w:rPr>
            <w:fldChar w:fldCharType="separate"/>
          </w:r>
          <w:r>
            <w:rPr>
              <w:rFonts w:hint="eastAsia" w:ascii="Arial" w:hAnsi="Arial" w:eastAsia="楷体" w:cs="Times New Roman"/>
              <w:kern w:val="2"/>
              <w:sz w:val="21"/>
              <w:szCs w:val="24"/>
              <w:lang w:val="en-US" w:eastAsia="zh-CN" w:bidi="ar-SA"/>
            </w:rPr>
            <w:t>（二）</w:t>
          </w:r>
          <w:r>
            <w:rPr>
              <w:rFonts w:hint="eastAsia"/>
              <w:sz w:val="21"/>
              <w:szCs w:val="21"/>
            </w:rPr>
            <w:t>支出预算情况</w:t>
          </w:r>
          <w:r>
            <w:rPr>
              <w:sz w:val="21"/>
              <w:szCs w:val="21"/>
            </w:rPr>
            <w:tab/>
          </w:r>
          <w:r>
            <w:rPr>
              <w:sz w:val="21"/>
              <w:szCs w:val="21"/>
            </w:rPr>
            <w:fldChar w:fldCharType="begin"/>
          </w:r>
          <w:r>
            <w:rPr>
              <w:sz w:val="21"/>
              <w:szCs w:val="21"/>
            </w:rPr>
            <w:instrText xml:space="preserve"> PAGEREF _Toc20770 \h </w:instrText>
          </w:r>
          <w:r>
            <w:rPr>
              <w:sz w:val="21"/>
              <w:szCs w:val="21"/>
            </w:rPr>
            <w:fldChar w:fldCharType="separate"/>
          </w:r>
          <w:r>
            <w:rPr>
              <w:sz w:val="21"/>
              <w:szCs w:val="21"/>
            </w:rPr>
            <w:t>- 1 -</w:t>
          </w:r>
          <w:r>
            <w:rPr>
              <w:sz w:val="21"/>
              <w:szCs w:val="21"/>
            </w:rPr>
            <w:fldChar w:fldCharType="end"/>
          </w:r>
          <w:r>
            <w:rPr>
              <w:rFonts w:ascii="黑体" w:hAnsi="黑体" w:eastAsia="黑体" w:cs="Times New Roman"/>
              <w:kern w:val="2"/>
              <w:sz w:val="21"/>
              <w:szCs w:val="48"/>
              <w:lang w:val="en-US" w:eastAsia="zh-CN" w:bidi="ar-SA"/>
            </w:rPr>
            <w:fldChar w:fldCharType="end"/>
          </w:r>
        </w:p>
        <w:p w14:paraId="332F1D1C">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_Toc4689 </w:instrText>
          </w:r>
          <w:r>
            <w:rPr>
              <w:rFonts w:ascii="黑体" w:hAnsi="黑体" w:eastAsia="黑体" w:cs="Times New Roman"/>
              <w:kern w:val="2"/>
              <w:sz w:val="21"/>
              <w:szCs w:val="48"/>
              <w:lang w:val="en-US" w:eastAsia="zh-CN" w:bidi="ar-SA"/>
            </w:rPr>
            <w:fldChar w:fldCharType="separate"/>
          </w:r>
          <w:r>
            <w:rPr>
              <w:rFonts w:hint="eastAsia"/>
              <w:sz w:val="21"/>
              <w:szCs w:val="21"/>
            </w:rPr>
            <w:t>四、财政拨款收支预算情况说明</w:t>
          </w:r>
          <w:r>
            <w:rPr>
              <w:sz w:val="21"/>
              <w:szCs w:val="21"/>
            </w:rPr>
            <w:tab/>
          </w:r>
          <w:r>
            <w:rPr>
              <w:sz w:val="21"/>
              <w:szCs w:val="21"/>
            </w:rPr>
            <w:fldChar w:fldCharType="begin"/>
          </w:r>
          <w:r>
            <w:rPr>
              <w:sz w:val="21"/>
              <w:szCs w:val="21"/>
            </w:rPr>
            <w:instrText xml:space="preserve"> PAGEREF _Toc4689 \h </w:instrText>
          </w:r>
          <w:r>
            <w:rPr>
              <w:sz w:val="21"/>
              <w:szCs w:val="21"/>
            </w:rPr>
            <w:fldChar w:fldCharType="separate"/>
          </w:r>
          <w:r>
            <w:rPr>
              <w:sz w:val="21"/>
              <w:szCs w:val="21"/>
            </w:rPr>
            <w:t>- 2 -</w:t>
          </w:r>
          <w:r>
            <w:rPr>
              <w:sz w:val="21"/>
              <w:szCs w:val="21"/>
            </w:rPr>
            <w:fldChar w:fldCharType="end"/>
          </w:r>
          <w:r>
            <w:rPr>
              <w:rFonts w:ascii="黑体" w:hAnsi="黑体" w:eastAsia="黑体" w:cs="Times New Roman"/>
              <w:kern w:val="2"/>
              <w:sz w:val="21"/>
              <w:szCs w:val="48"/>
              <w:lang w:val="en-US" w:eastAsia="zh-CN" w:bidi="ar-SA"/>
            </w:rPr>
            <w:fldChar w:fldCharType="end"/>
          </w:r>
        </w:p>
        <w:p w14:paraId="4324C32B">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_Toc27983 </w:instrText>
          </w:r>
          <w:r>
            <w:rPr>
              <w:rFonts w:ascii="黑体" w:hAnsi="黑体" w:eastAsia="黑体" w:cs="Times New Roman"/>
              <w:kern w:val="2"/>
              <w:sz w:val="21"/>
              <w:szCs w:val="48"/>
              <w:lang w:val="en-US" w:eastAsia="zh-CN" w:bidi="ar-SA"/>
            </w:rPr>
            <w:fldChar w:fldCharType="separate"/>
          </w:r>
          <w:r>
            <w:rPr>
              <w:rFonts w:hint="eastAsia"/>
              <w:sz w:val="21"/>
              <w:szCs w:val="21"/>
            </w:rPr>
            <w:t>五、一般公共预算当年拨款情况说明</w:t>
          </w:r>
          <w:r>
            <w:rPr>
              <w:sz w:val="21"/>
              <w:szCs w:val="21"/>
            </w:rPr>
            <w:tab/>
          </w:r>
          <w:r>
            <w:rPr>
              <w:sz w:val="21"/>
              <w:szCs w:val="21"/>
            </w:rPr>
            <w:fldChar w:fldCharType="begin"/>
          </w:r>
          <w:r>
            <w:rPr>
              <w:sz w:val="21"/>
              <w:szCs w:val="21"/>
            </w:rPr>
            <w:instrText xml:space="preserve"> PAGEREF _Toc27983 \h </w:instrText>
          </w:r>
          <w:r>
            <w:rPr>
              <w:sz w:val="21"/>
              <w:szCs w:val="21"/>
            </w:rPr>
            <w:fldChar w:fldCharType="separate"/>
          </w:r>
          <w:r>
            <w:rPr>
              <w:sz w:val="21"/>
              <w:szCs w:val="21"/>
            </w:rPr>
            <w:t>- 2 -</w:t>
          </w:r>
          <w:r>
            <w:rPr>
              <w:sz w:val="21"/>
              <w:szCs w:val="21"/>
            </w:rPr>
            <w:fldChar w:fldCharType="end"/>
          </w:r>
          <w:r>
            <w:rPr>
              <w:rFonts w:ascii="黑体" w:hAnsi="黑体" w:eastAsia="黑体" w:cs="Times New Roman"/>
              <w:kern w:val="2"/>
              <w:sz w:val="21"/>
              <w:szCs w:val="48"/>
              <w:lang w:val="en-US" w:eastAsia="zh-CN" w:bidi="ar-SA"/>
            </w:rPr>
            <w:fldChar w:fldCharType="end"/>
          </w:r>
        </w:p>
        <w:p w14:paraId="317B774F">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_Toc4448 </w:instrText>
          </w:r>
          <w:r>
            <w:rPr>
              <w:rFonts w:ascii="黑体" w:hAnsi="黑体" w:eastAsia="黑体" w:cs="Times New Roman"/>
              <w:kern w:val="2"/>
              <w:sz w:val="21"/>
              <w:szCs w:val="48"/>
              <w:lang w:val="en-US" w:eastAsia="zh-CN" w:bidi="ar-SA"/>
            </w:rPr>
            <w:fldChar w:fldCharType="separate"/>
          </w:r>
          <w:r>
            <w:rPr>
              <w:rFonts w:hint="eastAsia"/>
              <w:sz w:val="21"/>
              <w:szCs w:val="21"/>
            </w:rPr>
            <w:t>（一）一般公共预算当年拨款规模变化情况</w:t>
          </w:r>
          <w:r>
            <w:rPr>
              <w:sz w:val="21"/>
              <w:szCs w:val="21"/>
            </w:rPr>
            <w:tab/>
          </w:r>
          <w:r>
            <w:rPr>
              <w:sz w:val="21"/>
              <w:szCs w:val="21"/>
            </w:rPr>
            <w:fldChar w:fldCharType="begin"/>
          </w:r>
          <w:r>
            <w:rPr>
              <w:sz w:val="21"/>
              <w:szCs w:val="21"/>
            </w:rPr>
            <w:instrText xml:space="preserve"> PAGEREF _Toc4448 \h </w:instrText>
          </w:r>
          <w:r>
            <w:rPr>
              <w:sz w:val="21"/>
              <w:szCs w:val="21"/>
            </w:rPr>
            <w:fldChar w:fldCharType="separate"/>
          </w:r>
          <w:r>
            <w:rPr>
              <w:sz w:val="21"/>
              <w:szCs w:val="21"/>
            </w:rPr>
            <w:t>- 2 -</w:t>
          </w:r>
          <w:r>
            <w:rPr>
              <w:sz w:val="21"/>
              <w:szCs w:val="21"/>
            </w:rPr>
            <w:fldChar w:fldCharType="end"/>
          </w:r>
          <w:r>
            <w:rPr>
              <w:rFonts w:ascii="黑体" w:hAnsi="黑体" w:eastAsia="黑体" w:cs="Times New Roman"/>
              <w:kern w:val="2"/>
              <w:sz w:val="21"/>
              <w:szCs w:val="48"/>
              <w:lang w:val="en-US" w:eastAsia="zh-CN" w:bidi="ar-SA"/>
            </w:rPr>
            <w:fldChar w:fldCharType="end"/>
          </w:r>
        </w:p>
        <w:p w14:paraId="13E55C1A">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_Toc5117 </w:instrText>
          </w:r>
          <w:r>
            <w:rPr>
              <w:rFonts w:ascii="黑体" w:hAnsi="黑体" w:eastAsia="黑体" w:cs="Times New Roman"/>
              <w:kern w:val="2"/>
              <w:sz w:val="21"/>
              <w:szCs w:val="48"/>
              <w:lang w:val="en-US" w:eastAsia="zh-CN" w:bidi="ar-SA"/>
            </w:rPr>
            <w:fldChar w:fldCharType="separate"/>
          </w:r>
          <w:r>
            <w:rPr>
              <w:rFonts w:hint="eastAsia"/>
              <w:sz w:val="21"/>
              <w:szCs w:val="21"/>
            </w:rPr>
            <w:t>（二）一般公共预算当年拨款结构情况</w:t>
          </w:r>
          <w:r>
            <w:rPr>
              <w:sz w:val="21"/>
              <w:szCs w:val="21"/>
            </w:rPr>
            <w:tab/>
          </w:r>
          <w:r>
            <w:rPr>
              <w:sz w:val="21"/>
              <w:szCs w:val="21"/>
            </w:rPr>
            <w:fldChar w:fldCharType="begin"/>
          </w:r>
          <w:r>
            <w:rPr>
              <w:sz w:val="21"/>
              <w:szCs w:val="21"/>
            </w:rPr>
            <w:instrText xml:space="preserve"> PAGEREF _Toc5117 \h </w:instrText>
          </w:r>
          <w:r>
            <w:rPr>
              <w:sz w:val="21"/>
              <w:szCs w:val="21"/>
            </w:rPr>
            <w:fldChar w:fldCharType="separate"/>
          </w:r>
          <w:r>
            <w:rPr>
              <w:sz w:val="21"/>
              <w:szCs w:val="21"/>
            </w:rPr>
            <w:t>- 2 -</w:t>
          </w:r>
          <w:r>
            <w:rPr>
              <w:sz w:val="21"/>
              <w:szCs w:val="21"/>
            </w:rPr>
            <w:fldChar w:fldCharType="end"/>
          </w:r>
          <w:r>
            <w:rPr>
              <w:rFonts w:ascii="黑体" w:hAnsi="黑体" w:eastAsia="黑体" w:cs="Times New Roman"/>
              <w:kern w:val="2"/>
              <w:sz w:val="21"/>
              <w:szCs w:val="48"/>
              <w:lang w:val="en-US" w:eastAsia="zh-CN" w:bidi="ar-SA"/>
            </w:rPr>
            <w:fldChar w:fldCharType="end"/>
          </w:r>
        </w:p>
        <w:p w14:paraId="4E88A7DF">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_Toc21991 </w:instrText>
          </w:r>
          <w:r>
            <w:rPr>
              <w:rFonts w:ascii="黑体" w:hAnsi="黑体" w:eastAsia="黑体" w:cs="Times New Roman"/>
              <w:kern w:val="2"/>
              <w:sz w:val="21"/>
              <w:szCs w:val="48"/>
              <w:lang w:val="en-US" w:eastAsia="zh-CN" w:bidi="ar-SA"/>
            </w:rPr>
            <w:fldChar w:fldCharType="separate"/>
          </w:r>
          <w:r>
            <w:rPr>
              <w:rFonts w:hint="eastAsia"/>
              <w:sz w:val="21"/>
              <w:szCs w:val="21"/>
            </w:rPr>
            <w:t>（三）一般公共预算当年拨款具体使用情况</w:t>
          </w:r>
          <w:r>
            <w:rPr>
              <w:sz w:val="21"/>
              <w:szCs w:val="21"/>
            </w:rPr>
            <w:tab/>
          </w:r>
          <w:r>
            <w:rPr>
              <w:sz w:val="21"/>
              <w:szCs w:val="21"/>
            </w:rPr>
            <w:fldChar w:fldCharType="begin"/>
          </w:r>
          <w:r>
            <w:rPr>
              <w:sz w:val="21"/>
              <w:szCs w:val="21"/>
            </w:rPr>
            <w:instrText xml:space="preserve"> PAGEREF _Toc21991 \h </w:instrText>
          </w:r>
          <w:r>
            <w:rPr>
              <w:sz w:val="21"/>
              <w:szCs w:val="21"/>
            </w:rPr>
            <w:fldChar w:fldCharType="separate"/>
          </w:r>
          <w:r>
            <w:rPr>
              <w:sz w:val="21"/>
              <w:szCs w:val="21"/>
            </w:rPr>
            <w:t>- 2 -</w:t>
          </w:r>
          <w:r>
            <w:rPr>
              <w:sz w:val="21"/>
              <w:szCs w:val="21"/>
            </w:rPr>
            <w:fldChar w:fldCharType="end"/>
          </w:r>
          <w:r>
            <w:rPr>
              <w:rFonts w:ascii="黑体" w:hAnsi="黑体" w:eastAsia="黑体" w:cs="Times New Roman"/>
              <w:kern w:val="2"/>
              <w:sz w:val="21"/>
              <w:szCs w:val="48"/>
              <w:lang w:val="en-US" w:eastAsia="zh-CN" w:bidi="ar-SA"/>
            </w:rPr>
            <w:fldChar w:fldCharType="end"/>
          </w:r>
        </w:p>
        <w:p w14:paraId="799C7577">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_Toc12375 </w:instrText>
          </w:r>
          <w:r>
            <w:rPr>
              <w:rFonts w:ascii="黑体" w:hAnsi="黑体" w:eastAsia="黑体" w:cs="Times New Roman"/>
              <w:kern w:val="2"/>
              <w:sz w:val="21"/>
              <w:szCs w:val="48"/>
              <w:lang w:val="en-US" w:eastAsia="zh-CN" w:bidi="ar-SA"/>
            </w:rPr>
            <w:fldChar w:fldCharType="separate"/>
          </w:r>
          <w:r>
            <w:rPr>
              <w:rFonts w:hint="eastAsia"/>
              <w:sz w:val="21"/>
              <w:szCs w:val="21"/>
            </w:rPr>
            <w:t>六、一般公共预算基本支出情况说明</w:t>
          </w:r>
          <w:r>
            <w:rPr>
              <w:sz w:val="21"/>
              <w:szCs w:val="21"/>
            </w:rPr>
            <w:tab/>
          </w:r>
          <w:r>
            <w:rPr>
              <w:sz w:val="21"/>
              <w:szCs w:val="21"/>
            </w:rPr>
            <w:fldChar w:fldCharType="begin"/>
          </w:r>
          <w:r>
            <w:rPr>
              <w:sz w:val="21"/>
              <w:szCs w:val="21"/>
            </w:rPr>
            <w:instrText xml:space="preserve"> PAGEREF _Toc12375 \h </w:instrText>
          </w:r>
          <w:r>
            <w:rPr>
              <w:sz w:val="21"/>
              <w:szCs w:val="21"/>
            </w:rPr>
            <w:fldChar w:fldCharType="separate"/>
          </w:r>
          <w:r>
            <w:rPr>
              <w:sz w:val="21"/>
              <w:szCs w:val="21"/>
            </w:rPr>
            <w:t>- 3 -</w:t>
          </w:r>
          <w:r>
            <w:rPr>
              <w:sz w:val="21"/>
              <w:szCs w:val="21"/>
            </w:rPr>
            <w:fldChar w:fldCharType="end"/>
          </w:r>
          <w:r>
            <w:rPr>
              <w:rFonts w:ascii="黑体" w:hAnsi="黑体" w:eastAsia="黑体" w:cs="Times New Roman"/>
              <w:kern w:val="2"/>
              <w:sz w:val="21"/>
              <w:szCs w:val="48"/>
              <w:lang w:val="en-US" w:eastAsia="zh-CN" w:bidi="ar-SA"/>
            </w:rPr>
            <w:fldChar w:fldCharType="end"/>
          </w:r>
        </w:p>
        <w:p w14:paraId="5B4ABA30">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_Toc2092 </w:instrText>
          </w:r>
          <w:r>
            <w:rPr>
              <w:rFonts w:ascii="黑体" w:hAnsi="黑体" w:eastAsia="黑体" w:cs="Times New Roman"/>
              <w:kern w:val="2"/>
              <w:sz w:val="21"/>
              <w:szCs w:val="48"/>
              <w:lang w:val="en-US" w:eastAsia="zh-CN" w:bidi="ar-SA"/>
            </w:rPr>
            <w:fldChar w:fldCharType="separate"/>
          </w:r>
          <w:r>
            <w:rPr>
              <w:rFonts w:hint="eastAsia"/>
              <w:sz w:val="21"/>
              <w:szCs w:val="21"/>
            </w:rPr>
            <w:t>七、“三公”经费财政拨款预算安排情况说明</w:t>
          </w:r>
          <w:r>
            <w:rPr>
              <w:sz w:val="21"/>
              <w:szCs w:val="21"/>
            </w:rPr>
            <w:tab/>
          </w:r>
          <w:r>
            <w:rPr>
              <w:sz w:val="21"/>
              <w:szCs w:val="21"/>
            </w:rPr>
            <w:fldChar w:fldCharType="begin"/>
          </w:r>
          <w:r>
            <w:rPr>
              <w:sz w:val="21"/>
              <w:szCs w:val="21"/>
            </w:rPr>
            <w:instrText xml:space="preserve"> PAGEREF _Toc2092 \h </w:instrText>
          </w:r>
          <w:r>
            <w:rPr>
              <w:sz w:val="21"/>
              <w:szCs w:val="21"/>
            </w:rPr>
            <w:fldChar w:fldCharType="separate"/>
          </w:r>
          <w:r>
            <w:rPr>
              <w:sz w:val="21"/>
              <w:szCs w:val="21"/>
            </w:rPr>
            <w:t>- 3 -</w:t>
          </w:r>
          <w:r>
            <w:rPr>
              <w:sz w:val="21"/>
              <w:szCs w:val="21"/>
            </w:rPr>
            <w:fldChar w:fldCharType="end"/>
          </w:r>
          <w:r>
            <w:rPr>
              <w:rFonts w:ascii="黑体" w:hAnsi="黑体" w:eastAsia="黑体" w:cs="Times New Roman"/>
              <w:kern w:val="2"/>
              <w:sz w:val="21"/>
              <w:szCs w:val="48"/>
              <w:lang w:val="en-US" w:eastAsia="zh-CN" w:bidi="ar-SA"/>
            </w:rPr>
            <w:fldChar w:fldCharType="end"/>
          </w:r>
        </w:p>
        <w:p w14:paraId="3A12F41A">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_Toc6876 </w:instrText>
          </w:r>
          <w:r>
            <w:rPr>
              <w:rFonts w:ascii="黑体" w:hAnsi="黑体" w:eastAsia="黑体" w:cs="Times New Roman"/>
              <w:kern w:val="2"/>
              <w:sz w:val="21"/>
              <w:szCs w:val="48"/>
              <w:lang w:val="en-US" w:eastAsia="zh-CN" w:bidi="ar-SA"/>
            </w:rPr>
            <w:fldChar w:fldCharType="separate"/>
          </w:r>
          <w:r>
            <w:rPr>
              <w:rFonts w:hint="eastAsia"/>
              <w:sz w:val="21"/>
              <w:szCs w:val="21"/>
            </w:rPr>
            <w:t>八、政府性基金预算支出情况说明</w:t>
          </w:r>
          <w:r>
            <w:rPr>
              <w:sz w:val="21"/>
              <w:szCs w:val="21"/>
            </w:rPr>
            <w:tab/>
          </w:r>
          <w:r>
            <w:rPr>
              <w:sz w:val="21"/>
              <w:szCs w:val="21"/>
            </w:rPr>
            <w:fldChar w:fldCharType="begin"/>
          </w:r>
          <w:r>
            <w:rPr>
              <w:sz w:val="21"/>
              <w:szCs w:val="21"/>
            </w:rPr>
            <w:instrText xml:space="preserve"> PAGEREF _Toc6876 \h </w:instrText>
          </w:r>
          <w:r>
            <w:rPr>
              <w:sz w:val="21"/>
              <w:szCs w:val="21"/>
            </w:rPr>
            <w:fldChar w:fldCharType="separate"/>
          </w:r>
          <w:r>
            <w:rPr>
              <w:sz w:val="21"/>
              <w:szCs w:val="21"/>
            </w:rPr>
            <w:t>- 4 -</w:t>
          </w:r>
          <w:r>
            <w:rPr>
              <w:sz w:val="21"/>
              <w:szCs w:val="21"/>
            </w:rPr>
            <w:fldChar w:fldCharType="end"/>
          </w:r>
          <w:r>
            <w:rPr>
              <w:rFonts w:ascii="黑体" w:hAnsi="黑体" w:eastAsia="黑体" w:cs="Times New Roman"/>
              <w:kern w:val="2"/>
              <w:sz w:val="21"/>
              <w:szCs w:val="48"/>
              <w:lang w:val="en-US" w:eastAsia="zh-CN" w:bidi="ar-SA"/>
            </w:rPr>
            <w:fldChar w:fldCharType="end"/>
          </w:r>
        </w:p>
        <w:p w14:paraId="5BC81CEC">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_Toc22316 </w:instrText>
          </w:r>
          <w:r>
            <w:rPr>
              <w:rFonts w:ascii="黑体" w:hAnsi="黑体" w:eastAsia="黑体" w:cs="Times New Roman"/>
              <w:kern w:val="2"/>
              <w:sz w:val="21"/>
              <w:szCs w:val="48"/>
              <w:lang w:val="en-US" w:eastAsia="zh-CN" w:bidi="ar-SA"/>
            </w:rPr>
            <w:fldChar w:fldCharType="separate"/>
          </w:r>
          <w:r>
            <w:rPr>
              <w:rFonts w:hint="eastAsia"/>
              <w:sz w:val="21"/>
              <w:szCs w:val="21"/>
            </w:rPr>
            <w:t>九、其他重要事项的情况说明</w:t>
          </w:r>
          <w:r>
            <w:rPr>
              <w:sz w:val="21"/>
              <w:szCs w:val="21"/>
            </w:rPr>
            <w:tab/>
          </w:r>
          <w:r>
            <w:rPr>
              <w:sz w:val="21"/>
              <w:szCs w:val="21"/>
            </w:rPr>
            <w:fldChar w:fldCharType="begin"/>
          </w:r>
          <w:r>
            <w:rPr>
              <w:sz w:val="21"/>
              <w:szCs w:val="21"/>
            </w:rPr>
            <w:instrText xml:space="preserve"> PAGEREF _Toc22316 \h </w:instrText>
          </w:r>
          <w:r>
            <w:rPr>
              <w:sz w:val="21"/>
              <w:szCs w:val="21"/>
            </w:rPr>
            <w:fldChar w:fldCharType="separate"/>
          </w:r>
          <w:r>
            <w:rPr>
              <w:sz w:val="21"/>
              <w:szCs w:val="21"/>
            </w:rPr>
            <w:t>- 4 -</w:t>
          </w:r>
          <w:r>
            <w:rPr>
              <w:sz w:val="21"/>
              <w:szCs w:val="21"/>
            </w:rPr>
            <w:fldChar w:fldCharType="end"/>
          </w:r>
          <w:r>
            <w:rPr>
              <w:rFonts w:ascii="黑体" w:hAnsi="黑体" w:eastAsia="黑体" w:cs="Times New Roman"/>
              <w:kern w:val="2"/>
              <w:sz w:val="21"/>
              <w:szCs w:val="48"/>
              <w:lang w:val="en-US" w:eastAsia="zh-CN" w:bidi="ar-SA"/>
            </w:rPr>
            <w:fldChar w:fldCharType="end"/>
          </w:r>
        </w:p>
        <w:p w14:paraId="20E9FC49">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_Toc32728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（一）机关运行经费</w:t>
          </w:r>
          <w:r>
            <w:rPr>
              <w:sz w:val="21"/>
              <w:szCs w:val="21"/>
            </w:rPr>
            <w:tab/>
          </w:r>
          <w:r>
            <w:rPr>
              <w:sz w:val="21"/>
              <w:szCs w:val="21"/>
            </w:rPr>
            <w:fldChar w:fldCharType="begin"/>
          </w:r>
          <w:r>
            <w:rPr>
              <w:sz w:val="21"/>
              <w:szCs w:val="21"/>
            </w:rPr>
            <w:instrText xml:space="preserve"> PAGEREF _Toc32728 \h </w:instrText>
          </w:r>
          <w:r>
            <w:rPr>
              <w:sz w:val="21"/>
              <w:szCs w:val="21"/>
            </w:rPr>
            <w:fldChar w:fldCharType="separate"/>
          </w:r>
          <w:r>
            <w:rPr>
              <w:sz w:val="21"/>
              <w:szCs w:val="21"/>
            </w:rPr>
            <w:t>- 4 -</w:t>
          </w:r>
          <w:r>
            <w:rPr>
              <w:sz w:val="21"/>
              <w:szCs w:val="21"/>
            </w:rPr>
            <w:fldChar w:fldCharType="end"/>
          </w:r>
          <w:r>
            <w:rPr>
              <w:rFonts w:ascii="黑体" w:hAnsi="黑体" w:eastAsia="黑体" w:cs="Times New Roman"/>
              <w:kern w:val="2"/>
              <w:sz w:val="21"/>
              <w:szCs w:val="48"/>
              <w:lang w:val="en-US" w:eastAsia="zh-CN" w:bidi="ar-SA"/>
            </w:rPr>
            <w:fldChar w:fldCharType="end"/>
          </w:r>
        </w:p>
        <w:p w14:paraId="7DADD9BD">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_Toc8430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（二）政府采购情况</w:t>
          </w:r>
          <w:r>
            <w:rPr>
              <w:sz w:val="21"/>
              <w:szCs w:val="21"/>
            </w:rPr>
            <w:tab/>
          </w:r>
          <w:r>
            <w:rPr>
              <w:sz w:val="21"/>
              <w:szCs w:val="21"/>
            </w:rPr>
            <w:fldChar w:fldCharType="begin"/>
          </w:r>
          <w:r>
            <w:rPr>
              <w:sz w:val="21"/>
              <w:szCs w:val="21"/>
            </w:rPr>
            <w:instrText xml:space="preserve"> PAGEREF _Toc8430 \h </w:instrText>
          </w:r>
          <w:r>
            <w:rPr>
              <w:sz w:val="21"/>
              <w:szCs w:val="21"/>
            </w:rPr>
            <w:fldChar w:fldCharType="separate"/>
          </w:r>
          <w:r>
            <w:rPr>
              <w:sz w:val="21"/>
              <w:szCs w:val="21"/>
            </w:rPr>
            <w:t>- 4 -</w:t>
          </w:r>
          <w:r>
            <w:rPr>
              <w:sz w:val="21"/>
              <w:szCs w:val="21"/>
            </w:rPr>
            <w:fldChar w:fldCharType="end"/>
          </w:r>
          <w:r>
            <w:rPr>
              <w:rFonts w:ascii="黑体" w:hAnsi="黑体" w:eastAsia="黑体" w:cs="Times New Roman"/>
              <w:kern w:val="2"/>
              <w:sz w:val="21"/>
              <w:szCs w:val="48"/>
              <w:lang w:val="en-US" w:eastAsia="zh-CN" w:bidi="ar-SA"/>
            </w:rPr>
            <w:fldChar w:fldCharType="end"/>
          </w:r>
        </w:p>
        <w:p w14:paraId="0EC2AD08">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_Toc4235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（三）国有资产占有使用情况</w:t>
          </w:r>
          <w:r>
            <w:rPr>
              <w:sz w:val="21"/>
              <w:szCs w:val="21"/>
            </w:rPr>
            <w:tab/>
          </w:r>
          <w:r>
            <w:rPr>
              <w:sz w:val="21"/>
              <w:szCs w:val="21"/>
            </w:rPr>
            <w:fldChar w:fldCharType="begin"/>
          </w:r>
          <w:r>
            <w:rPr>
              <w:sz w:val="21"/>
              <w:szCs w:val="21"/>
            </w:rPr>
            <w:instrText xml:space="preserve"> PAGEREF _Toc4235 \h </w:instrText>
          </w:r>
          <w:r>
            <w:rPr>
              <w:sz w:val="21"/>
              <w:szCs w:val="21"/>
            </w:rPr>
            <w:fldChar w:fldCharType="separate"/>
          </w:r>
          <w:r>
            <w:rPr>
              <w:sz w:val="21"/>
              <w:szCs w:val="21"/>
            </w:rPr>
            <w:t>- 4 -</w:t>
          </w:r>
          <w:r>
            <w:rPr>
              <w:sz w:val="21"/>
              <w:szCs w:val="21"/>
            </w:rPr>
            <w:fldChar w:fldCharType="end"/>
          </w:r>
          <w:r>
            <w:rPr>
              <w:rFonts w:ascii="黑体" w:hAnsi="黑体" w:eastAsia="黑体" w:cs="Times New Roman"/>
              <w:kern w:val="2"/>
              <w:sz w:val="21"/>
              <w:szCs w:val="48"/>
              <w:lang w:val="en-US" w:eastAsia="zh-CN" w:bidi="ar-SA"/>
            </w:rPr>
            <w:fldChar w:fldCharType="end"/>
          </w:r>
        </w:p>
        <w:p w14:paraId="59D6CF96">
          <w:pPr>
            <w:pStyle w:val="18"/>
            <w:keepNext w:val="0"/>
            <w:keepLines w:val="0"/>
            <w:pageBreakBefore w:val="0"/>
            <w:widowControl w:val="0"/>
            <w:tabs>
              <w:tab w:val="right" w:leader="dot" w:pos="8306"/>
            </w:tabs>
            <w:kinsoku/>
            <w:wordWrap/>
            <w:overflowPunct/>
            <w:topLinePunct w:val="0"/>
            <w:autoSpaceDE/>
            <w:autoSpaceDN/>
            <w:bidi w:val="0"/>
            <w:adjustRightInd/>
            <w:spacing w:line="360" w:lineRule="auto"/>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_Toc7304 </w:instrText>
          </w:r>
          <w:r>
            <w:rPr>
              <w:rFonts w:ascii="黑体" w:hAnsi="黑体" w:eastAsia="黑体" w:cs="Times New Roman"/>
              <w:kern w:val="2"/>
              <w:sz w:val="21"/>
              <w:szCs w:val="48"/>
              <w:lang w:val="en-US" w:eastAsia="zh-CN" w:bidi="ar-SA"/>
            </w:rPr>
            <w:fldChar w:fldCharType="separate"/>
          </w:r>
          <w:r>
            <w:rPr>
              <w:rFonts w:hint="eastAsia"/>
              <w:sz w:val="21"/>
              <w:szCs w:val="21"/>
              <w:lang w:val="en-US" w:eastAsia="zh-CN"/>
            </w:rPr>
            <w:t>（四）绩效目标设置情况</w:t>
          </w:r>
          <w:r>
            <w:rPr>
              <w:sz w:val="21"/>
              <w:szCs w:val="21"/>
            </w:rPr>
            <w:tab/>
          </w:r>
          <w:r>
            <w:rPr>
              <w:sz w:val="21"/>
              <w:szCs w:val="21"/>
            </w:rPr>
            <w:fldChar w:fldCharType="begin"/>
          </w:r>
          <w:r>
            <w:rPr>
              <w:sz w:val="21"/>
              <w:szCs w:val="21"/>
            </w:rPr>
            <w:instrText xml:space="preserve"> PAGEREF _Toc7304 \h </w:instrText>
          </w:r>
          <w:r>
            <w:rPr>
              <w:sz w:val="21"/>
              <w:szCs w:val="21"/>
            </w:rPr>
            <w:fldChar w:fldCharType="separate"/>
          </w:r>
          <w:r>
            <w:rPr>
              <w:sz w:val="21"/>
              <w:szCs w:val="21"/>
            </w:rPr>
            <w:t>- 4 -</w:t>
          </w:r>
          <w:r>
            <w:rPr>
              <w:sz w:val="21"/>
              <w:szCs w:val="21"/>
            </w:rPr>
            <w:fldChar w:fldCharType="end"/>
          </w:r>
          <w:r>
            <w:rPr>
              <w:rFonts w:ascii="黑体" w:hAnsi="黑体" w:eastAsia="黑体" w:cs="Times New Roman"/>
              <w:kern w:val="2"/>
              <w:sz w:val="21"/>
              <w:szCs w:val="48"/>
              <w:lang w:val="en-US" w:eastAsia="zh-CN" w:bidi="ar-SA"/>
            </w:rPr>
            <w:fldChar w:fldCharType="end"/>
          </w:r>
        </w:p>
        <w:p w14:paraId="62352230">
          <w:pPr>
            <w:pStyle w:val="17"/>
            <w:keepNext w:val="0"/>
            <w:keepLines w:val="0"/>
            <w:pageBreakBefore w:val="0"/>
            <w:widowControl w:val="0"/>
            <w:tabs>
              <w:tab w:val="right" w:leader="dot" w:pos="8306"/>
            </w:tabs>
            <w:kinsoku/>
            <w:wordWrap/>
            <w:overflowPunct/>
            <w:topLinePunct w:val="0"/>
            <w:autoSpaceDE/>
            <w:autoSpaceDN/>
            <w:bidi w:val="0"/>
            <w:adjustRightInd/>
            <w:spacing w:line="360" w:lineRule="auto"/>
            <w:ind w:firstLine="210" w:firstLineChars="100"/>
            <w:textAlignment w:val="auto"/>
            <w:rPr>
              <w:sz w:val="21"/>
              <w:szCs w:val="21"/>
            </w:rPr>
          </w:pPr>
          <w:r>
            <w:rPr>
              <w:rFonts w:ascii="黑体" w:hAnsi="黑体" w:eastAsia="黑体" w:cs="Times New Roman"/>
              <w:kern w:val="2"/>
              <w:sz w:val="21"/>
              <w:szCs w:val="48"/>
              <w:lang w:val="en-US" w:eastAsia="zh-CN" w:bidi="ar-SA"/>
            </w:rPr>
            <w:fldChar w:fldCharType="begin"/>
          </w:r>
          <w:r>
            <w:rPr>
              <w:rFonts w:ascii="黑体" w:hAnsi="黑体" w:eastAsia="黑体" w:cs="Times New Roman"/>
              <w:kern w:val="2"/>
              <w:sz w:val="21"/>
              <w:szCs w:val="48"/>
              <w:lang w:val="en-US" w:eastAsia="zh-CN" w:bidi="ar-SA"/>
            </w:rPr>
            <w:instrText xml:space="preserve"> HYPERLINK \l _Toc11712 </w:instrText>
          </w:r>
          <w:r>
            <w:rPr>
              <w:rFonts w:ascii="黑体" w:hAnsi="黑体" w:eastAsia="黑体" w:cs="Times New Roman"/>
              <w:kern w:val="2"/>
              <w:sz w:val="21"/>
              <w:szCs w:val="48"/>
              <w:lang w:val="en-US" w:eastAsia="zh-CN" w:bidi="ar-SA"/>
            </w:rPr>
            <w:fldChar w:fldCharType="separate"/>
          </w:r>
          <w:r>
            <w:rPr>
              <w:rFonts w:hint="eastAsia"/>
              <w:sz w:val="21"/>
              <w:szCs w:val="21"/>
            </w:rPr>
            <w:t>十、名称解释</w:t>
          </w:r>
          <w:r>
            <w:rPr>
              <w:sz w:val="21"/>
              <w:szCs w:val="21"/>
            </w:rPr>
            <w:tab/>
          </w:r>
          <w:r>
            <w:rPr>
              <w:sz w:val="21"/>
              <w:szCs w:val="21"/>
            </w:rPr>
            <w:fldChar w:fldCharType="begin"/>
          </w:r>
          <w:r>
            <w:rPr>
              <w:sz w:val="21"/>
              <w:szCs w:val="21"/>
            </w:rPr>
            <w:instrText xml:space="preserve"> PAGEREF _Toc11712 \h </w:instrText>
          </w:r>
          <w:r>
            <w:rPr>
              <w:sz w:val="21"/>
              <w:szCs w:val="21"/>
            </w:rPr>
            <w:fldChar w:fldCharType="separate"/>
          </w:r>
          <w:r>
            <w:rPr>
              <w:sz w:val="21"/>
              <w:szCs w:val="21"/>
            </w:rPr>
            <w:t>- 5 -</w:t>
          </w:r>
          <w:r>
            <w:rPr>
              <w:sz w:val="21"/>
              <w:szCs w:val="21"/>
            </w:rPr>
            <w:fldChar w:fldCharType="end"/>
          </w:r>
          <w:r>
            <w:rPr>
              <w:rFonts w:ascii="黑体" w:hAnsi="黑体" w:eastAsia="黑体" w:cs="Times New Roman"/>
              <w:kern w:val="2"/>
              <w:sz w:val="21"/>
              <w:szCs w:val="48"/>
              <w:lang w:val="en-US" w:eastAsia="zh-CN" w:bidi="ar-SA"/>
            </w:rPr>
            <w:fldChar w:fldCharType="end"/>
          </w:r>
        </w:p>
        <w:p w14:paraId="2002DF7F">
          <w:pPr>
            <w:keepNext w:val="0"/>
            <w:keepLines w:val="0"/>
            <w:pageBreakBefore w:val="0"/>
            <w:widowControl w:val="0"/>
            <w:kinsoku/>
            <w:wordWrap/>
            <w:overflowPunct/>
            <w:topLinePunct w:val="0"/>
            <w:autoSpaceDE/>
            <w:autoSpaceDN/>
            <w:bidi w:val="0"/>
            <w:adjustRightInd/>
            <w:spacing w:line="240" w:lineRule="auto"/>
            <w:textAlignment w:val="auto"/>
          </w:pPr>
          <w:r>
            <w:rPr>
              <w:rFonts w:ascii="黑体" w:hAnsi="黑体" w:eastAsia="黑体" w:cs="Times New Roman"/>
              <w:kern w:val="2"/>
              <w:sz w:val="36"/>
              <w:szCs w:val="48"/>
              <w:lang w:val="en-US" w:eastAsia="zh-CN" w:bidi="ar-SA"/>
            </w:rPr>
            <w:fldChar w:fldCharType="end"/>
          </w:r>
          <w:bookmarkStart w:id="0" w:name="_Toc9259"/>
          <w:bookmarkStart w:id="1" w:name="_Toc17177"/>
        </w:p>
      </w:sdtContent>
    </w:sdt>
    <w:p w14:paraId="10984255">
      <w:pPr>
        <w:pStyle w:val="2"/>
        <w:keepNext w:val="0"/>
        <w:keepLines w:val="0"/>
        <w:pageBreakBefore w:val="0"/>
        <w:widowControl w:val="0"/>
        <w:kinsoku/>
        <w:wordWrap/>
        <w:overflowPunct/>
        <w:topLinePunct w:val="0"/>
        <w:autoSpaceDE/>
        <w:autoSpaceDN/>
        <w:bidi w:val="0"/>
        <w:adjustRightInd/>
        <w:spacing w:after="0" w:afterLines="0" w:afterAutospacing="0" w:line="560" w:lineRule="exact"/>
        <w:textAlignment w:val="auto"/>
        <w:rPr>
          <w:rFonts w:hint="eastAsia"/>
        </w:rPr>
        <w:sectPr>
          <w:headerReference r:id="rId3" w:type="default"/>
          <w:pgSz w:w="11906" w:h="16838"/>
          <w:pgMar w:top="2098" w:right="1474" w:bottom="1984" w:left="1587" w:header="851" w:footer="992" w:gutter="0"/>
          <w:pgNumType w:fmt="numberInDash"/>
          <w:cols w:space="720" w:num="1"/>
          <w:docGrid w:type="lines" w:linePitch="312" w:charSpace="0"/>
        </w:sectPr>
      </w:pPr>
    </w:p>
    <w:p w14:paraId="2C348E95">
      <w:pPr>
        <w:pStyle w:val="2"/>
        <w:keepNext w:val="0"/>
        <w:keepLines w:val="0"/>
        <w:pageBreakBefore w:val="0"/>
        <w:widowControl w:val="0"/>
        <w:kinsoku/>
        <w:wordWrap/>
        <w:overflowPunct/>
        <w:topLinePunct w:val="0"/>
        <w:autoSpaceDE/>
        <w:autoSpaceDN/>
        <w:bidi w:val="0"/>
        <w:adjustRightInd/>
        <w:spacing w:after="0" w:afterLines="0" w:afterAutospacing="0" w:line="560" w:lineRule="exact"/>
        <w:textAlignment w:val="auto"/>
      </w:pPr>
      <w:r>
        <w:rPr>
          <w:rFonts w:hint="eastAsia"/>
        </w:rPr>
        <w:t>一、基本职能及主要工作</w:t>
      </w:r>
      <w:bookmarkEnd w:id="0"/>
      <w:bookmarkEnd w:id="1"/>
    </w:p>
    <w:p w14:paraId="09CE5775">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textAlignment w:val="auto"/>
      </w:pPr>
      <w:bookmarkStart w:id="2" w:name="_Toc18152"/>
      <w:bookmarkStart w:id="3" w:name="_Toc11847"/>
      <w:r>
        <w:rPr>
          <w:rFonts w:hint="eastAsia"/>
        </w:rPr>
        <w:t>（一）部门职能简介</w:t>
      </w:r>
      <w:bookmarkEnd w:id="2"/>
      <w:bookmarkEnd w:id="3"/>
    </w:p>
    <w:p w14:paraId="3F52F1A4">
      <w:pPr>
        <w:pStyle w:val="11"/>
        <w:keepNext w:val="0"/>
        <w:keepLines w:val="0"/>
        <w:pageBreakBefore w:val="0"/>
        <w:widowControl w:val="0"/>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阿坝州教育考试中心以“办人民满意的教育考试”为目标，以“服务于考生、服务于考试”为宗旨，坚持公开、公平、公正的原则，为阿坝州教育招考事业的发展做出积极贡献。阿坝州教育考试中心是州教育局直属正科级公益一类事业单位。主要负责全州高考综合改革高中学业水平考试、综合素质评价、职业规划指导等工作。</w:t>
      </w:r>
    </w:p>
    <w:p w14:paraId="38FBB7D6">
      <w:pPr>
        <w:pStyle w:val="3"/>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left="0" w:leftChars="0" w:firstLine="643" w:firstLineChars="200"/>
        <w:textAlignment w:val="auto"/>
        <w:rPr>
          <w:rFonts w:hint="eastAsia" w:ascii="楷体" w:hAnsi="楷体" w:eastAsia="楷体" w:cs="楷体"/>
        </w:rPr>
      </w:pPr>
      <w:bookmarkStart w:id="4" w:name="_Toc29500"/>
      <w:bookmarkStart w:id="5" w:name="_Toc29176"/>
      <w:r>
        <w:rPr>
          <w:rFonts w:hint="eastAsia" w:ascii="楷体" w:hAnsi="楷体" w:eastAsia="楷体" w:cs="楷体"/>
        </w:rPr>
        <w:t>（二）</w:t>
      </w:r>
      <w:r>
        <w:rPr>
          <w:rFonts w:hint="eastAsia" w:ascii="楷体" w:hAnsi="楷体" w:cs="楷体"/>
          <w:lang w:eastAsia="zh-CN"/>
        </w:rPr>
        <w:t>2025年</w:t>
      </w:r>
      <w:r>
        <w:rPr>
          <w:rFonts w:hint="eastAsia" w:ascii="楷体" w:hAnsi="楷体" w:eastAsia="楷体" w:cs="楷体"/>
        </w:rPr>
        <w:t>重点工作</w:t>
      </w:r>
      <w:bookmarkEnd w:id="4"/>
      <w:bookmarkEnd w:id="5"/>
    </w:p>
    <w:p w14:paraId="272B9C56">
      <w:pPr>
        <w:pStyle w:val="11"/>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负责完成</w:t>
      </w:r>
      <w:r>
        <w:rPr>
          <w:rFonts w:hint="eastAsia" w:ascii="仿宋_GB2312" w:hAnsi="仿宋_GB2312" w:cs="仿宋_GB2312"/>
          <w:sz w:val="32"/>
          <w:szCs w:val="32"/>
          <w:lang w:eastAsia="zh-CN"/>
        </w:rPr>
        <w:t>2025年</w:t>
      </w:r>
      <w:r>
        <w:rPr>
          <w:rFonts w:hint="eastAsia" w:ascii="仿宋_GB2312" w:hAnsi="仿宋_GB2312" w:eastAsia="仿宋_GB2312" w:cs="仿宋_GB2312"/>
          <w:sz w:val="32"/>
          <w:szCs w:val="32"/>
        </w:rPr>
        <w:t>全州高考综合改革</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高中学业水平考试、综合素质评价、职业规划指导等工作。</w:t>
      </w:r>
    </w:p>
    <w:p w14:paraId="7A4F6ED6">
      <w:pPr>
        <w:pStyle w:val="2"/>
        <w:keepNext w:val="0"/>
        <w:keepLines w:val="0"/>
        <w:pageBreakBefore w:val="0"/>
        <w:widowControl w:val="0"/>
        <w:numPr>
          <w:ilvl w:val="0"/>
          <w:numId w:val="0"/>
        </w:numPr>
        <w:kinsoku/>
        <w:wordWrap/>
        <w:overflowPunct/>
        <w:topLinePunct w:val="0"/>
        <w:autoSpaceDE/>
        <w:autoSpaceDN/>
        <w:bidi w:val="0"/>
        <w:adjustRightInd/>
        <w:spacing w:before="0" w:beforeLines="0" w:beforeAutospacing="0" w:after="0" w:afterLines="0" w:afterAutospacing="0" w:line="560" w:lineRule="exact"/>
        <w:ind w:firstLine="640" w:firstLineChars="200"/>
        <w:textAlignment w:val="auto"/>
      </w:pPr>
      <w:bookmarkStart w:id="6" w:name="_Toc18779"/>
      <w:bookmarkStart w:id="7" w:name="_Toc16679"/>
      <w:r>
        <w:rPr>
          <w:rFonts w:hint="eastAsia"/>
          <w:lang w:val="en-US" w:eastAsia="zh-CN"/>
        </w:rPr>
        <w:t>二、</w:t>
      </w:r>
      <w:r>
        <w:rPr>
          <w:rFonts w:hint="eastAsia"/>
        </w:rPr>
        <w:t>部门预算单位构成</w:t>
      </w:r>
      <w:bookmarkEnd w:id="6"/>
      <w:bookmarkEnd w:id="7"/>
    </w:p>
    <w:p w14:paraId="73D51216">
      <w:pPr>
        <w:keepNext w:val="0"/>
        <w:keepLines w:val="0"/>
        <w:pageBreakBefore w:val="0"/>
        <w:widowControl w:val="0"/>
        <w:kinsoku/>
        <w:wordWrap/>
        <w:overflowPunct/>
        <w:topLinePunct w:val="0"/>
        <w:autoSpaceDE/>
        <w:autoSpaceDN/>
        <w:bidi w:val="0"/>
        <w:adjustRightInd/>
        <w:spacing w:before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阿坝州教育考试中心</w:t>
      </w:r>
      <w:r>
        <w:rPr>
          <w:rFonts w:hint="eastAsia" w:ascii="仿宋_GB2312" w:hAnsi="仿宋_GB2312" w:cs="仿宋_GB2312"/>
          <w:kern w:val="0"/>
          <w:sz w:val="32"/>
          <w:szCs w:val="32"/>
          <w:lang w:val="en-US" w:eastAsia="zh-CN" w:bidi="ar-SA"/>
        </w:rPr>
        <w:t>为阿坝州教育局下属</w:t>
      </w:r>
      <w:r>
        <w:rPr>
          <w:rFonts w:hint="eastAsia" w:ascii="仿宋_GB2312" w:hAnsi="仿宋_GB2312" w:eastAsia="仿宋_GB2312" w:cs="仿宋_GB2312"/>
          <w:kern w:val="0"/>
          <w:sz w:val="32"/>
          <w:szCs w:val="32"/>
          <w:lang w:val="en-US" w:eastAsia="zh-CN" w:bidi="ar-SA"/>
        </w:rPr>
        <w:t>二级预算单位，属</w:t>
      </w:r>
      <w:bookmarkStart w:id="43" w:name="_GoBack"/>
      <w:bookmarkEnd w:id="43"/>
      <w:r>
        <w:rPr>
          <w:rFonts w:hint="eastAsia" w:ascii="仿宋_GB2312" w:hAnsi="仿宋_GB2312" w:eastAsia="仿宋_GB2312" w:cs="仿宋_GB2312"/>
          <w:kern w:val="0"/>
          <w:sz w:val="32"/>
          <w:szCs w:val="32"/>
          <w:lang w:val="en-US" w:eastAsia="zh-CN" w:bidi="ar-SA"/>
        </w:rPr>
        <w:t>于</w:t>
      </w:r>
      <w:r>
        <w:rPr>
          <w:rFonts w:hint="eastAsia" w:ascii="仿宋_GB2312" w:hAnsi="仿宋_GB2312" w:cs="仿宋_GB2312"/>
          <w:kern w:val="0"/>
          <w:sz w:val="32"/>
          <w:szCs w:val="32"/>
          <w:lang w:val="en-US" w:eastAsia="zh-CN" w:bidi="ar-SA"/>
        </w:rPr>
        <w:t>公益一类</w:t>
      </w:r>
      <w:r>
        <w:rPr>
          <w:rFonts w:hint="eastAsia" w:ascii="仿宋_GB2312" w:hAnsi="仿宋_GB2312" w:eastAsia="仿宋_GB2312" w:cs="仿宋_GB2312"/>
          <w:kern w:val="0"/>
          <w:sz w:val="32"/>
          <w:szCs w:val="32"/>
          <w:lang w:val="en-US" w:eastAsia="zh-CN" w:bidi="ar-SA"/>
        </w:rPr>
        <w:t>事业单位。</w:t>
      </w:r>
    </w:p>
    <w:p w14:paraId="6C713ACC">
      <w:pPr>
        <w:pStyle w:val="2"/>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pPr>
      <w:bookmarkStart w:id="8" w:name="_Toc25375"/>
      <w:bookmarkStart w:id="9" w:name="_Toc10493"/>
      <w:r>
        <w:rPr>
          <w:rFonts w:hint="eastAsia"/>
        </w:rPr>
        <w:t>三、收支预算情况说明</w:t>
      </w:r>
      <w:bookmarkEnd w:id="8"/>
      <w:bookmarkEnd w:id="9"/>
    </w:p>
    <w:p w14:paraId="7FC9D65B">
      <w:pPr>
        <w:pStyle w:val="3"/>
        <w:keepNext w:val="0"/>
        <w:keepLines w:val="0"/>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pPr>
      <w:bookmarkStart w:id="10" w:name="_Toc25539"/>
      <w:bookmarkStart w:id="11" w:name="_Toc29608"/>
      <w:r>
        <w:rPr>
          <w:rFonts w:hint="eastAsia"/>
        </w:rPr>
        <w:t>（一）收入预算情况</w:t>
      </w:r>
      <w:bookmarkEnd w:id="10"/>
      <w:bookmarkEnd w:id="11"/>
    </w:p>
    <w:p w14:paraId="512F3F2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eastAsia" w:ascii="仿宋_GB2312" w:hAnsi="仿宋_GB2312"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收入预算</w:t>
      </w:r>
      <w:r>
        <w:rPr>
          <w:rFonts w:hint="eastAsia" w:ascii="仿宋_GB2312" w:hAnsi="仿宋_GB2312"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万元，其中：上年结转0万元；一般公共预算拨款收入</w:t>
      </w:r>
      <w:r>
        <w:rPr>
          <w:rFonts w:hint="eastAsia" w:ascii="仿宋_GB2312" w:hAnsi="仿宋_GB2312"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万元，占100%；无事业收入；无其他收入。</w:t>
      </w:r>
    </w:p>
    <w:p w14:paraId="08448BDC">
      <w:pPr>
        <w:pStyle w:val="3"/>
        <w:keepNext w:val="0"/>
        <w:keepLines w:val="0"/>
        <w:pageBreakBefore w:val="0"/>
        <w:widowControl w:val="0"/>
        <w:numPr>
          <w:ilvl w:val="0"/>
          <w:numId w:val="0"/>
        </w:numPr>
        <w:kinsoku/>
        <w:wordWrap/>
        <w:overflowPunct/>
        <w:topLinePunct w:val="0"/>
        <w:autoSpaceDE/>
        <w:autoSpaceDN/>
        <w:bidi w:val="0"/>
        <w:adjustRightInd/>
        <w:spacing w:before="0" w:after="0" w:line="560" w:lineRule="exact"/>
        <w:ind w:left="0" w:leftChars="0" w:firstLine="643" w:firstLineChars="200"/>
        <w:textAlignment w:val="auto"/>
      </w:pPr>
      <w:bookmarkStart w:id="12" w:name="_Toc17952"/>
      <w:bookmarkStart w:id="13" w:name="_Toc20770"/>
      <w:r>
        <w:rPr>
          <w:rFonts w:hint="eastAsia" w:ascii="Arial" w:hAnsi="Arial" w:eastAsia="楷体" w:cs="Times New Roman"/>
          <w:b/>
          <w:kern w:val="2"/>
          <w:sz w:val="32"/>
          <w:szCs w:val="22"/>
          <w:lang w:val="en-US" w:eastAsia="zh-CN" w:bidi="ar-SA"/>
        </w:rPr>
        <w:t>（二）</w:t>
      </w:r>
      <w:r>
        <w:rPr>
          <w:rFonts w:hint="eastAsia"/>
        </w:rPr>
        <w:t>支出预算情况</w:t>
      </w:r>
      <w:bookmarkEnd w:id="12"/>
      <w:bookmarkEnd w:id="13"/>
    </w:p>
    <w:p w14:paraId="7A6577CD">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eastAsia" w:ascii="仿宋_GB2312" w:hAnsi="仿宋_GB2312"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支出预算</w:t>
      </w:r>
      <w:r>
        <w:rPr>
          <w:rFonts w:hint="eastAsia" w:ascii="仿宋_GB2312" w:hAnsi="仿宋_GB2312"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万元，其中：基本支出</w:t>
      </w:r>
      <w:r>
        <w:rPr>
          <w:rFonts w:hint="eastAsia" w:ascii="仿宋_GB2312" w:hAnsi="仿宋_GB2312"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万元，占100%；项目支出0万元，占0%。</w:t>
      </w:r>
    </w:p>
    <w:p w14:paraId="1DAFBCE1">
      <w:pPr>
        <w:pStyle w:val="2"/>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pPr>
      <w:bookmarkStart w:id="14" w:name="_Toc10682"/>
      <w:bookmarkStart w:id="15" w:name="_Toc4689"/>
      <w:r>
        <w:rPr>
          <w:rFonts w:hint="eastAsia"/>
        </w:rPr>
        <w:t>四、财政拨款收支预算情况说明</w:t>
      </w:r>
      <w:bookmarkEnd w:id="14"/>
      <w:bookmarkEnd w:id="15"/>
    </w:p>
    <w:p w14:paraId="283509E5">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eastAsia" w:ascii="仿宋_GB2312" w:hAnsi="仿宋_GB2312"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财政拨款收支总预算</w:t>
      </w:r>
      <w:r>
        <w:rPr>
          <w:rFonts w:hint="eastAsia" w:ascii="仿宋_GB2312" w:hAnsi="仿宋_GB2312"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万元,比</w:t>
      </w:r>
      <w:r>
        <w:rPr>
          <w:rFonts w:hint="eastAsia" w:ascii="仿宋_GB2312" w:hAnsi="仿宋_GB2312" w:cs="仿宋_GB2312"/>
          <w:kern w:val="0"/>
          <w:sz w:val="32"/>
          <w:szCs w:val="32"/>
          <w:lang w:val="en-US" w:eastAsia="zh-CN" w:bidi="ar-SA"/>
        </w:rPr>
        <w:t>2024年</w:t>
      </w:r>
      <w:r>
        <w:rPr>
          <w:rFonts w:hint="eastAsia" w:ascii="仿宋_GB2312" w:hAnsi="仿宋_GB2312" w:eastAsia="仿宋_GB2312" w:cs="仿宋_GB2312"/>
          <w:kern w:val="0"/>
          <w:sz w:val="32"/>
          <w:szCs w:val="32"/>
          <w:lang w:val="en-US" w:eastAsia="zh-CN" w:bidi="ar-SA"/>
        </w:rPr>
        <w:t>财政拨款收支总预算增加</w:t>
      </w:r>
      <w:r>
        <w:rPr>
          <w:rFonts w:hint="eastAsia" w:ascii="仿宋_GB2312" w:hAnsi="仿宋_GB2312" w:cs="仿宋_GB2312"/>
          <w:kern w:val="0"/>
          <w:sz w:val="32"/>
          <w:szCs w:val="32"/>
          <w:lang w:val="en-US" w:eastAsia="zh-CN" w:bidi="ar-SA"/>
        </w:rPr>
        <w:t>0.64</w:t>
      </w:r>
      <w:r>
        <w:rPr>
          <w:rFonts w:hint="eastAsia" w:ascii="仿宋_GB2312" w:hAnsi="仿宋_GB2312" w:eastAsia="仿宋_GB2312" w:cs="仿宋_GB2312"/>
          <w:kern w:val="0"/>
          <w:sz w:val="32"/>
          <w:szCs w:val="32"/>
          <w:lang w:val="en-US" w:eastAsia="zh-CN" w:bidi="ar-SA"/>
        </w:rPr>
        <w:t>万元，主要原因为本年</w:t>
      </w:r>
      <w:r>
        <w:rPr>
          <w:rFonts w:hint="eastAsia" w:ascii="仿宋_GB2312" w:hAnsi="仿宋_GB2312" w:cs="仿宋_GB2312"/>
          <w:kern w:val="0"/>
          <w:sz w:val="32"/>
          <w:szCs w:val="32"/>
          <w:lang w:val="en-US" w:eastAsia="zh-CN" w:bidi="ar-SA"/>
        </w:rPr>
        <w:t>社会保障缴费标准调整</w:t>
      </w:r>
      <w:r>
        <w:rPr>
          <w:rFonts w:hint="eastAsia" w:ascii="仿宋_GB2312" w:hAnsi="仿宋_GB2312" w:eastAsia="仿宋_GB2312" w:cs="仿宋_GB2312"/>
          <w:kern w:val="0"/>
          <w:sz w:val="32"/>
          <w:szCs w:val="32"/>
          <w:lang w:val="en-US" w:eastAsia="zh-CN" w:bidi="ar-SA"/>
        </w:rPr>
        <w:t>，故导致基本支出预算增长。</w:t>
      </w:r>
    </w:p>
    <w:p w14:paraId="09C7431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收入包括：本年财政拨款收入</w:t>
      </w:r>
      <w:r>
        <w:rPr>
          <w:rFonts w:hint="eastAsia" w:ascii="仿宋_GB2312" w:hAnsi="仿宋_GB2312"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万元，上年结转财政拨款收入0万元，上年结转财政拨款资金0万元。</w:t>
      </w:r>
    </w:p>
    <w:p w14:paraId="1D2FE16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支出包括：教育支出62.</w:t>
      </w:r>
      <w:r>
        <w:rPr>
          <w:rFonts w:hint="eastAsia" w:ascii="仿宋_GB2312" w:hAnsi="仿宋_GB2312" w:cs="仿宋_GB2312"/>
          <w:kern w:val="0"/>
          <w:sz w:val="32"/>
          <w:szCs w:val="32"/>
          <w:lang w:val="en-US" w:eastAsia="zh-CN" w:bidi="ar-SA"/>
        </w:rPr>
        <w:t>40</w:t>
      </w:r>
      <w:r>
        <w:rPr>
          <w:rFonts w:hint="eastAsia" w:ascii="仿宋_GB2312" w:hAnsi="仿宋_GB2312" w:eastAsia="仿宋_GB2312" w:cs="仿宋_GB2312"/>
          <w:kern w:val="0"/>
          <w:sz w:val="32"/>
          <w:szCs w:val="32"/>
          <w:lang w:val="en-US" w:eastAsia="zh-CN" w:bidi="ar-SA"/>
        </w:rPr>
        <w:t>万元，社会保障和就业支出12.</w:t>
      </w:r>
      <w:r>
        <w:rPr>
          <w:rFonts w:hint="eastAsia" w:ascii="仿宋_GB2312" w:hAnsi="仿宋_GB2312" w:cs="仿宋_GB2312"/>
          <w:kern w:val="0"/>
          <w:sz w:val="32"/>
          <w:szCs w:val="32"/>
          <w:lang w:val="en-US" w:eastAsia="zh-CN" w:bidi="ar-SA"/>
        </w:rPr>
        <w:t>68</w:t>
      </w:r>
      <w:r>
        <w:rPr>
          <w:rFonts w:hint="eastAsia" w:ascii="仿宋_GB2312" w:hAnsi="仿宋_GB2312" w:eastAsia="仿宋_GB2312" w:cs="仿宋_GB2312"/>
          <w:kern w:val="0"/>
          <w:sz w:val="32"/>
          <w:szCs w:val="32"/>
          <w:lang w:val="en-US" w:eastAsia="zh-CN" w:bidi="ar-SA"/>
        </w:rPr>
        <w:t>万元，卫生健康支出5.</w:t>
      </w:r>
      <w:r>
        <w:rPr>
          <w:rFonts w:hint="eastAsia" w:ascii="仿宋_GB2312" w:hAnsi="仿宋_GB2312" w:cs="仿宋_GB2312"/>
          <w:kern w:val="0"/>
          <w:sz w:val="32"/>
          <w:szCs w:val="32"/>
          <w:lang w:val="en-US" w:eastAsia="zh-CN" w:bidi="ar-SA"/>
        </w:rPr>
        <w:t>67</w:t>
      </w:r>
      <w:r>
        <w:rPr>
          <w:rFonts w:hint="eastAsia" w:ascii="仿宋_GB2312" w:hAnsi="仿宋_GB2312" w:eastAsia="仿宋_GB2312" w:cs="仿宋_GB2312"/>
          <w:kern w:val="0"/>
          <w:sz w:val="32"/>
          <w:szCs w:val="32"/>
          <w:lang w:val="en-US" w:eastAsia="zh-CN" w:bidi="ar-SA"/>
        </w:rPr>
        <w:t>万元，住房保障支出</w:t>
      </w:r>
      <w:r>
        <w:rPr>
          <w:rFonts w:hint="eastAsia" w:ascii="仿宋_GB2312" w:hAnsi="仿宋_GB2312" w:cs="仿宋_GB2312"/>
          <w:kern w:val="0"/>
          <w:sz w:val="32"/>
          <w:szCs w:val="32"/>
          <w:lang w:val="en-US" w:eastAsia="zh-CN" w:bidi="ar-SA"/>
        </w:rPr>
        <w:t>8.05</w:t>
      </w:r>
      <w:r>
        <w:rPr>
          <w:rFonts w:hint="eastAsia" w:ascii="仿宋_GB2312" w:hAnsi="仿宋_GB2312" w:eastAsia="仿宋_GB2312" w:cs="仿宋_GB2312"/>
          <w:kern w:val="0"/>
          <w:sz w:val="32"/>
          <w:szCs w:val="32"/>
          <w:lang w:val="en-US" w:eastAsia="zh-CN" w:bidi="ar-SA"/>
        </w:rPr>
        <w:t>万元。</w:t>
      </w:r>
    </w:p>
    <w:p w14:paraId="56D26CFE">
      <w:pPr>
        <w:pStyle w:val="2"/>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pPr>
      <w:bookmarkStart w:id="16" w:name="_Toc22165"/>
      <w:bookmarkStart w:id="17" w:name="_Toc27983"/>
      <w:r>
        <w:rPr>
          <w:rFonts w:hint="eastAsia"/>
        </w:rPr>
        <w:t>五、一般公共预算当年拨款情况说明</w:t>
      </w:r>
      <w:bookmarkEnd w:id="16"/>
      <w:bookmarkEnd w:id="17"/>
    </w:p>
    <w:p w14:paraId="35FBBE14">
      <w:pPr>
        <w:pStyle w:val="3"/>
        <w:keepNext w:val="0"/>
        <w:keepLines w:val="0"/>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pPr>
      <w:bookmarkStart w:id="18" w:name="_Toc4448"/>
      <w:bookmarkStart w:id="19" w:name="_Toc20219"/>
      <w:r>
        <w:rPr>
          <w:rFonts w:hint="eastAsia"/>
        </w:rPr>
        <w:t>（一）一般公共预算当年拨款规模变化情况</w:t>
      </w:r>
      <w:bookmarkEnd w:id="18"/>
      <w:bookmarkEnd w:id="19"/>
    </w:p>
    <w:p w14:paraId="3508348E">
      <w:pPr>
        <w:pStyle w:val="16"/>
        <w:keepNext w:val="0"/>
        <w:keepLines w:val="0"/>
        <w:pageBreakBefore w:val="0"/>
        <w:widowControl w:val="0"/>
        <w:kinsoku/>
        <w:wordWrap/>
        <w:overflowPunct/>
        <w:topLinePunct w:val="0"/>
        <w:autoSpaceDE/>
        <w:autoSpaceDN/>
        <w:bidi w:val="0"/>
        <w:adjustRightInd/>
        <w:spacing w:before="0" w:line="560" w:lineRule="exact"/>
        <w:ind w:firstLine="66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eastAsia"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一般公共预算当年拨款</w:t>
      </w:r>
      <w:r>
        <w:rPr>
          <w:rFonts w:hint="eastAsia"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万元，比</w:t>
      </w:r>
      <w:r>
        <w:rPr>
          <w:rFonts w:hint="eastAsia" w:cs="仿宋_GB2312"/>
          <w:kern w:val="0"/>
          <w:sz w:val="32"/>
          <w:szCs w:val="32"/>
          <w:lang w:val="en-US" w:eastAsia="zh-CN" w:bidi="ar-SA"/>
        </w:rPr>
        <w:t>2024年</w:t>
      </w:r>
      <w:r>
        <w:rPr>
          <w:rFonts w:hint="eastAsia" w:ascii="仿宋_GB2312" w:hAnsi="仿宋_GB2312" w:eastAsia="仿宋_GB2312" w:cs="仿宋_GB2312"/>
          <w:kern w:val="0"/>
          <w:sz w:val="32"/>
          <w:szCs w:val="32"/>
          <w:lang w:val="en-US" w:eastAsia="zh-CN" w:bidi="ar-SA"/>
        </w:rPr>
        <w:t>预算数增加</w:t>
      </w:r>
      <w:r>
        <w:rPr>
          <w:rFonts w:hint="eastAsia" w:cs="仿宋_GB2312"/>
          <w:kern w:val="0"/>
          <w:sz w:val="32"/>
          <w:szCs w:val="32"/>
          <w:lang w:val="en-US" w:eastAsia="zh-CN" w:bidi="ar-SA"/>
        </w:rPr>
        <w:t>0.64</w:t>
      </w:r>
      <w:r>
        <w:rPr>
          <w:rFonts w:hint="eastAsia" w:ascii="仿宋_GB2312" w:hAnsi="仿宋_GB2312" w:eastAsia="仿宋_GB2312" w:cs="仿宋_GB2312"/>
          <w:kern w:val="0"/>
          <w:sz w:val="32"/>
          <w:szCs w:val="32"/>
          <w:lang w:val="en-US" w:eastAsia="zh-CN" w:bidi="ar-SA"/>
        </w:rPr>
        <w:t>万元，主要原因为本年</w:t>
      </w:r>
      <w:r>
        <w:rPr>
          <w:rFonts w:hint="eastAsia" w:ascii="仿宋_GB2312" w:hAnsi="仿宋_GB2312" w:cs="仿宋_GB2312"/>
          <w:kern w:val="0"/>
          <w:sz w:val="32"/>
          <w:szCs w:val="32"/>
          <w:lang w:val="en-US" w:eastAsia="zh-CN" w:bidi="ar-SA"/>
        </w:rPr>
        <w:t>社会保障缴费标准调整</w:t>
      </w:r>
      <w:r>
        <w:rPr>
          <w:rFonts w:hint="eastAsia" w:ascii="仿宋_GB2312" w:hAnsi="仿宋_GB2312" w:eastAsia="仿宋_GB2312" w:cs="仿宋_GB2312"/>
          <w:kern w:val="0"/>
          <w:sz w:val="32"/>
          <w:szCs w:val="32"/>
          <w:lang w:val="en-US" w:eastAsia="zh-CN" w:bidi="ar-SA"/>
        </w:rPr>
        <w:t>，故导致基本支出预算增长</w:t>
      </w:r>
      <w:r>
        <w:rPr>
          <w:rFonts w:hint="eastAsia" w:cs="仿宋_GB2312"/>
          <w:kern w:val="0"/>
          <w:sz w:val="32"/>
          <w:szCs w:val="32"/>
          <w:lang w:val="en-US" w:eastAsia="zh-CN" w:bidi="ar-SA"/>
        </w:rPr>
        <w:t>。</w:t>
      </w:r>
    </w:p>
    <w:p w14:paraId="088AF877">
      <w:pPr>
        <w:pStyle w:val="3"/>
        <w:keepNext w:val="0"/>
        <w:keepLines w:val="0"/>
        <w:pageBreakBefore w:val="0"/>
        <w:widowControl w:val="0"/>
        <w:kinsoku/>
        <w:wordWrap/>
        <w:overflowPunct/>
        <w:topLinePunct w:val="0"/>
        <w:autoSpaceDE/>
        <w:autoSpaceDN/>
        <w:bidi w:val="0"/>
        <w:adjustRightInd/>
        <w:spacing w:before="0" w:after="0" w:line="560" w:lineRule="exact"/>
        <w:textAlignment w:val="auto"/>
      </w:pPr>
      <w:bookmarkStart w:id="20" w:name="_Toc5117"/>
      <w:bookmarkStart w:id="21" w:name="_Toc5913"/>
      <w:r>
        <w:rPr>
          <w:rFonts w:hint="eastAsia"/>
        </w:rPr>
        <w:t>（二）一般公共预算当年拨款结构情况</w:t>
      </w:r>
      <w:bookmarkEnd w:id="20"/>
      <w:bookmarkEnd w:id="21"/>
    </w:p>
    <w:p w14:paraId="02F187D6">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教育支出62.</w:t>
      </w:r>
      <w:r>
        <w:rPr>
          <w:rFonts w:hint="eastAsia" w:cs="仿宋_GB2312"/>
          <w:kern w:val="0"/>
          <w:sz w:val="32"/>
          <w:szCs w:val="32"/>
          <w:lang w:val="en-US" w:eastAsia="zh-CN" w:bidi="ar-SA"/>
        </w:rPr>
        <w:t>40</w:t>
      </w:r>
      <w:r>
        <w:rPr>
          <w:rFonts w:hint="eastAsia" w:ascii="仿宋_GB2312" w:hAnsi="仿宋_GB2312" w:eastAsia="仿宋_GB2312" w:cs="仿宋_GB2312"/>
          <w:kern w:val="0"/>
          <w:sz w:val="32"/>
          <w:szCs w:val="32"/>
          <w:lang w:val="en-US" w:eastAsia="zh-CN" w:bidi="ar-SA"/>
        </w:rPr>
        <w:t>万元，社会保障和就业支出12.</w:t>
      </w:r>
      <w:r>
        <w:rPr>
          <w:rFonts w:hint="eastAsia" w:ascii="仿宋_GB2312" w:hAnsi="仿宋_GB2312" w:cs="仿宋_GB2312"/>
          <w:kern w:val="0"/>
          <w:sz w:val="32"/>
          <w:szCs w:val="32"/>
          <w:lang w:val="en-US" w:eastAsia="zh-CN" w:bidi="ar-SA"/>
        </w:rPr>
        <w:t>68</w:t>
      </w:r>
      <w:r>
        <w:rPr>
          <w:rFonts w:hint="eastAsia" w:ascii="仿宋_GB2312" w:hAnsi="仿宋_GB2312" w:eastAsia="仿宋_GB2312" w:cs="仿宋_GB2312"/>
          <w:kern w:val="0"/>
          <w:sz w:val="32"/>
          <w:szCs w:val="32"/>
          <w:lang w:val="en-US" w:eastAsia="zh-CN" w:bidi="ar-SA"/>
        </w:rPr>
        <w:t>万元，卫生健康支出5.</w:t>
      </w:r>
      <w:r>
        <w:rPr>
          <w:rFonts w:hint="eastAsia" w:ascii="仿宋_GB2312" w:hAnsi="仿宋_GB2312" w:cs="仿宋_GB2312"/>
          <w:kern w:val="0"/>
          <w:sz w:val="32"/>
          <w:szCs w:val="32"/>
          <w:lang w:val="en-US" w:eastAsia="zh-CN" w:bidi="ar-SA"/>
        </w:rPr>
        <w:t>67</w:t>
      </w:r>
      <w:r>
        <w:rPr>
          <w:rFonts w:hint="eastAsia" w:ascii="仿宋_GB2312" w:hAnsi="仿宋_GB2312" w:eastAsia="仿宋_GB2312" w:cs="仿宋_GB2312"/>
          <w:kern w:val="0"/>
          <w:sz w:val="32"/>
          <w:szCs w:val="32"/>
          <w:lang w:val="en-US" w:eastAsia="zh-CN" w:bidi="ar-SA"/>
        </w:rPr>
        <w:t>万元，住房保障支出</w:t>
      </w:r>
      <w:r>
        <w:rPr>
          <w:rFonts w:hint="eastAsia" w:ascii="仿宋_GB2312" w:hAnsi="仿宋_GB2312" w:cs="仿宋_GB2312"/>
          <w:kern w:val="0"/>
          <w:sz w:val="32"/>
          <w:szCs w:val="32"/>
          <w:lang w:val="en-US" w:eastAsia="zh-CN" w:bidi="ar-SA"/>
        </w:rPr>
        <w:t>8.05</w:t>
      </w:r>
      <w:r>
        <w:rPr>
          <w:rFonts w:hint="eastAsia" w:ascii="仿宋_GB2312" w:hAnsi="仿宋_GB2312" w:eastAsia="仿宋_GB2312" w:cs="仿宋_GB2312"/>
          <w:kern w:val="0"/>
          <w:sz w:val="32"/>
          <w:szCs w:val="32"/>
          <w:lang w:val="en-US" w:eastAsia="zh-CN" w:bidi="ar-SA"/>
        </w:rPr>
        <w:t>万元。</w:t>
      </w:r>
    </w:p>
    <w:p w14:paraId="630F1701">
      <w:pPr>
        <w:pStyle w:val="3"/>
        <w:keepNext w:val="0"/>
        <w:keepLines w:val="0"/>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pPr>
      <w:bookmarkStart w:id="22" w:name="_Toc21991"/>
      <w:bookmarkStart w:id="23" w:name="_Toc24642"/>
      <w:r>
        <w:rPr>
          <w:rFonts w:hint="eastAsia"/>
        </w:rPr>
        <w:t>（三）一般公共预算当年拨款具体使用情况</w:t>
      </w:r>
      <w:bookmarkEnd w:id="22"/>
      <w:bookmarkEnd w:id="23"/>
    </w:p>
    <w:p w14:paraId="7DB51894">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1.教育支出</w:t>
      </w:r>
      <w:r>
        <w:rPr>
          <w:rFonts w:hint="eastAsia" w:ascii="仿宋_GB2312" w:hAnsi="仿宋_GB2312" w:eastAsia="仿宋_GB2312" w:cs="仿宋_GB2312"/>
          <w:kern w:val="0"/>
          <w:sz w:val="32"/>
          <w:szCs w:val="32"/>
          <w:lang w:val="en-US" w:eastAsia="zh-CN" w:bidi="ar-SA"/>
        </w:rPr>
        <w:t>（2050299）其他普通教育支出</w:t>
      </w:r>
      <w:r>
        <w:rPr>
          <w:rFonts w:hint="eastAsia" w:ascii="仿宋_GB2312" w:hAnsi="仿宋_GB2312" w:cs="仿宋_GB2312"/>
          <w:kern w:val="0"/>
          <w:sz w:val="32"/>
          <w:szCs w:val="32"/>
          <w:lang w:val="en-US" w:eastAsia="zh-CN" w:bidi="ar-SA"/>
        </w:rPr>
        <w:t>62.40</w:t>
      </w:r>
      <w:r>
        <w:rPr>
          <w:rFonts w:hint="eastAsia" w:ascii="仿宋_GB2312" w:hAnsi="仿宋_GB2312" w:eastAsia="仿宋_GB2312" w:cs="仿宋_GB2312"/>
          <w:kern w:val="0"/>
          <w:sz w:val="32"/>
          <w:szCs w:val="32"/>
          <w:lang w:val="en-US" w:eastAsia="zh-CN" w:bidi="ar-SA"/>
        </w:rPr>
        <w:t>万元，用于职工工资，教育运行经费</w:t>
      </w:r>
      <w:r>
        <w:rPr>
          <w:rFonts w:hint="eastAsia" w:ascii="仿宋_GB2312" w:hAnsi="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职工其他社会保障缴费支出。</w:t>
      </w:r>
    </w:p>
    <w:p w14:paraId="2BF1BB8B">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2.社会保障和就业支出</w:t>
      </w:r>
      <w:r>
        <w:rPr>
          <w:rFonts w:hint="eastAsia" w:ascii="仿宋_GB2312" w:hAnsi="仿宋_GB2312" w:eastAsia="仿宋_GB2312" w:cs="仿宋_GB2312"/>
          <w:kern w:val="0"/>
          <w:sz w:val="32"/>
          <w:szCs w:val="32"/>
          <w:lang w:val="en-US" w:eastAsia="zh-CN" w:bidi="ar-SA"/>
        </w:rPr>
        <w:t>（208050</w:t>
      </w:r>
      <w:r>
        <w:rPr>
          <w:rFonts w:hint="eastAsia" w:ascii="仿宋_GB2312" w:hAnsi="仿宋_GB2312" w:cs="仿宋_GB2312"/>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w:t>
      </w:r>
      <w:r>
        <w:rPr>
          <w:rFonts w:hint="eastAsia" w:ascii="仿宋_GB2312" w:hAnsi="仿宋_GB2312" w:cs="仿宋_GB2312"/>
          <w:kern w:val="0"/>
          <w:sz w:val="32"/>
          <w:szCs w:val="32"/>
          <w:lang w:val="en-US" w:eastAsia="zh-CN" w:bidi="ar-SA"/>
        </w:rPr>
        <w:t>8.45</w:t>
      </w:r>
      <w:r>
        <w:rPr>
          <w:rFonts w:hint="eastAsia" w:ascii="仿宋_GB2312" w:hAnsi="仿宋_GB2312" w:eastAsia="仿宋_GB2312" w:cs="仿宋_GB2312"/>
          <w:kern w:val="0"/>
          <w:sz w:val="32"/>
          <w:szCs w:val="32"/>
          <w:lang w:val="en-US" w:eastAsia="zh-CN" w:bidi="ar-SA"/>
        </w:rPr>
        <w:t>万元，用于支出职工养老保险；（208050</w:t>
      </w:r>
      <w:r>
        <w:rPr>
          <w:rFonts w:hint="eastAsia" w:ascii="仿宋_GB2312" w:hAnsi="仿宋_GB2312" w:cs="仿宋_GB2312"/>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）4.</w:t>
      </w:r>
      <w:r>
        <w:rPr>
          <w:rFonts w:hint="eastAsia" w:ascii="仿宋_GB2312" w:hAnsi="仿宋_GB2312" w:cs="仿宋_GB2312"/>
          <w:kern w:val="0"/>
          <w:sz w:val="32"/>
          <w:szCs w:val="32"/>
          <w:lang w:val="en-US" w:eastAsia="zh-CN" w:bidi="ar-SA"/>
        </w:rPr>
        <w:t>23</w:t>
      </w:r>
      <w:r>
        <w:rPr>
          <w:rFonts w:hint="eastAsia" w:ascii="仿宋_GB2312" w:hAnsi="仿宋_GB2312" w:eastAsia="仿宋_GB2312" w:cs="仿宋_GB2312"/>
          <w:kern w:val="0"/>
          <w:sz w:val="32"/>
          <w:szCs w:val="32"/>
          <w:lang w:val="en-US" w:eastAsia="zh-CN" w:bidi="ar-SA"/>
        </w:rPr>
        <w:t>万元，用于支出职工职业年金。</w:t>
      </w:r>
    </w:p>
    <w:p w14:paraId="5DC772A4">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3.卫生健康支出</w:t>
      </w:r>
      <w:r>
        <w:rPr>
          <w:rFonts w:hint="eastAsia" w:ascii="仿宋_GB2312" w:hAnsi="仿宋_GB2312" w:eastAsia="仿宋_GB2312" w:cs="仿宋_GB2312"/>
          <w:kern w:val="0"/>
          <w:sz w:val="32"/>
          <w:szCs w:val="32"/>
          <w:lang w:val="en-US" w:eastAsia="zh-CN" w:bidi="ar-SA"/>
        </w:rPr>
        <w:t>（2101102）4.</w:t>
      </w:r>
      <w:r>
        <w:rPr>
          <w:rFonts w:hint="eastAsia" w:ascii="仿宋_GB2312" w:hAnsi="仿宋_GB2312" w:cs="仿宋_GB2312"/>
          <w:kern w:val="0"/>
          <w:sz w:val="32"/>
          <w:szCs w:val="32"/>
          <w:lang w:val="en-US" w:eastAsia="zh-CN" w:bidi="ar-SA"/>
        </w:rPr>
        <w:t>80</w:t>
      </w:r>
      <w:r>
        <w:rPr>
          <w:rFonts w:hint="eastAsia" w:ascii="仿宋_GB2312" w:hAnsi="仿宋_GB2312" w:eastAsia="仿宋_GB2312" w:cs="仿宋_GB2312"/>
          <w:kern w:val="0"/>
          <w:sz w:val="32"/>
          <w:szCs w:val="32"/>
          <w:lang w:val="en-US" w:eastAsia="zh-CN" w:bidi="ar-SA"/>
        </w:rPr>
        <w:t>万元，用于职工医疗保险支出；（2101199）0.87万元，用于职工其他医疗补助支出。</w:t>
      </w:r>
    </w:p>
    <w:p w14:paraId="7972FC59">
      <w:pPr>
        <w:pStyle w:val="16"/>
        <w:keepNext w:val="0"/>
        <w:keepLines w:val="0"/>
        <w:pageBreakBefore w:val="0"/>
        <w:widowControl w:val="0"/>
        <w:kinsoku/>
        <w:wordWrap/>
        <w:overflowPunct/>
        <w:topLinePunct w:val="0"/>
        <w:autoSpaceDE/>
        <w:autoSpaceDN/>
        <w:bidi w:val="0"/>
        <w:adjustRightInd/>
        <w:spacing w:before="0" w:line="560" w:lineRule="exact"/>
        <w:ind w:firstLine="66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4.住房保障支出</w:t>
      </w:r>
      <w:r>
        <w:rPr>
          <w:rFonts w:hint="eastAsia" w:ascii="仿宋_GB2312" w:hAnsi="仿宋_GB2312" w:eastAsia="仿宋_GB2312" w:cs="仿宋_GB2312"/>
          <w:kern w:val="0"/>
          <w:sz w:val="32"/>
          <w:szCs w:val="32"/>
          <w:lang w:val="en-US" w:eastAsia="zh-CN" w:bidi="ar-SA"/>
        </w:rPr>
        <w:t>（2210201）</w:t>
      </w:r>
      <w:r>
        <w:rPr>
          <w:rFonts w:hint="eastAsia" w:cs="仿宋_GB2312"/>
          <w:kern w:val="0"/>
          <w:sz w:val="32"/>
          <w:szCs w:val="32"/>
          <w:lang w:val="en-US" w:eastAsia="zh-CN" w:bidi="ar-SA"/>
        </w:rPr>
        <w:t>8.05</w:t>
      </w:r>
      <w:r>
        <w:rPr>
          <w:rFonts w:hint="eastAsia" w:ascii="仿宋_GB2312" w:hAnsi="仿宋_GB2312" w:eastAsia="仿宋_GB2312" w:cs="仿宋_GB2312"/>
          <w:kern w:val="0"/>
          <w:sz w:val="32"/>
          <w:szCs w:val="32"/>
          <w:lang w:val="en-US" w:eastAsia="zh-CN" w:bidi="ar-SA"/>
        </w:rPr>
        <w:t>万元，用于缴纳职工住房公积金。</w:t>
      </w:r>
    </w:p>
    <w:p w14:paraId="2FEE7DBA">
      <w:pPr>
        <w:pStyle w:val="2"/>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pPr>
      <w:bookmarkStart w:id="24" w:name="_Toc16362"/>
      <w:bookmarkStart w:id="25" w:name="_Toc12375"/>
      <w:r>
        <w:rPr>
          <w:rFonts w:hint="eastAsia"/>
        </w:rPr>
        <w:t>六、一般公共预算基本支出情况说明</w:t>
      </w:r>
      <w:bookmarkEnd w:id="24"/>
      <w:bookmarkEnd w:id="25"/>
    </w:p>
    <w:p w14:paraId="59CA3F7A">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eastAsia"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一般公共预算基本支出</w:t>
      </w:r>
      <w:r>
        <w:rPr>
          <w:rFonts w:hint="eastAsia" w:cs="仿宋_GB2312"/>
          <w:kern w:val="0"/>
          <w:sz w:val="32"/>
          <w:szCs w:val="32"/>
          <w:lang w:val="en-US" w:eastAsia="zh-CN" w:bidi="ar-SA"/>
        </w:rPr>
        <w:t>88.79</w:t>
      </w:r>
      <w:r>
        <w:rPr>
          <w:rFonts w:hint="eastAsia" w:ascii="仿宋_GB2312" w:hAnsi="仿宋_GB2312" w:eastAsia="仿宋_GB2312" w:cs="仿宋_GB2312"/>
          <w:kern w:val="0"/>
          <w:sz w:val="32"/>
          <w:szCs w:val="32"/>
          <w:lang w:val="en-US" w:eastAsia="zh-CN" w:bidi="ar-SA"/>
        </w:rPr>
        <w:t>万元，其中：人员经费</w:t>
      </w:r>
      <w:r>
        <w:rPr>
          <w:rFonts w:hint="eastAsia" w:cs="仿宋_GB2312"/>
          <w:kern w:val="0"/>
          <w:sz w:val="32"/>
          <w:szCs w:val="32"/>
          <w:lang w:val="en-US" w:eastAsia="zh-CN" w:bidi="ar-SA"/>
        </w:rPr>
        <w:t>78.37</w:t>
      </w:r>
      <w:r>
        <w:rPr>
          <w:rFonts w:hint="eastAsia" w:ascii="仿宋_GB2312" w:hAnsi="仿宋_GB2312" w:eastAsia="仿宋_GB2312" w:cs="仿宋_GB2312"/>
          <w:kern w:val="0"/>
          <w:sz w:val="32"/>
          <w:szCs w:val="32"/>
          <w:lang w:val="en-US" w:eastAsia="zh-CN" w:bidi="ar-SA"/>
        </w:rPr>
        <w:t>万元，主要包括：基本工资、津贴补贴、其他社会保障缴费、绩效工资、机关事业单位基本养老保险缴费、职业年金缴费、职工基本医疗保险缴费、事业单位公医补</w:t>
      </w:r>
      <w:r>
        <w:rPr>
          <w:rFonts w:hint="eastAsia"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住房公积金</w:t>
      </w:r>
      <w:r>
        <w:rPr>
          <w:rFonts w:hint="eastAsia" w:cs="仿宋_GB2312"/>
          <w:kern w:val="0"/>
          <w:sz w:val="32"/>
          <w:szCs w:val="32"/>
          <w:lang w:val="en-US" w:eastAsia="zh-CN" w:bidi="ar-SA"/>
        </w:rPr>
        <w:t>、奖励金</w:t>
      </w:r>
      <w:r>
        <w:rPr>
          <w:rFonts w:hint="eastAsia" w:ascii="仿宋_GB2312" w:hAnsi="仿宋_GB2312" w:eastAsia="仿宋_GB2312" w:cs="仿宋_GB2312"/>
          <w:kern w:val="0"/>
          <w:sz w:val="32"/>
          <w:szCs w:val="32"/>
          <w:lang w:val="en-US" w:eastAsia="zh-CN" w:bidi="ar-SA"/>
        </w:rPr>
        <w:t>。</w:t>
      </w:r>
    </w:p>
    <w:p w14:paraId="67E8B91C">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公用经费</w:t>
      </w:r>
      <w:r>
        <w:rPr>
          <w:rFonts w:hint="eastAsia" w:cs="仿宋_GB2312"/>
          <w:kern w:val="0"/>
          <w:sz w:val="32"/>
          <w:szCs w:val="32"/>
          <w:lang w:val="en-US" w:eastAsia="zh-CN" w:bidi="ar-SA"/>
        </w:rPr>
        <w:t>10.43</w:t>
      </w:r>
      <w:r>
        <w:rPr>
          <w:rFonts w:hint="eastAsia" w:ascii="仿宋_GB2312" w:hAnsi="仿宋_GB2312" w:eastAsia="仿宋_GB2312" w:cs="仿宋_GB2312"/>
          <w:kern w:val="0"/>
          <w:sz w:val="32"/>
          <w:szCs w:val="32"/>
          <w:lang w:val="en-US" w:eastAsia="zh-CN" w:bidi="ar-SA"/>
        </w:rPr>
        <w:t>万元，主要包括：办公费、水</w:t>
      </w:r>
      <w:r>
        <w:rPr>
          <w:rFonts w:hint="eastAsia" w:cs="仿宋_GB2312"/>
          <w:kern w:val="0"/>
          <w:sz w:val="32"/>
          <w:szCs w:val="32"/>
          <w:lang w:val="en-US" w:eastAsia="zh-CN" w:bidi="ar-SA"/>
        </w:rPr>
        <w:t>费、</w:t>
      </w:r>
      <w:r>
        <w:rPr>
          <w:rFonts w:hint="eastAsia" w:ascii="仿宋_GB2312" w:hAnsi="仿宋_GB2312" w:eastAsia="仿宋_GB2312" w:cs="仿宋_GB2312"/>
          <w:kern w:val="0"/>
          <w:sz w:val="32"/>
          <w:szCs w:val="32"/>
          <w:lang w:val="en-US" w:eastAsia="zh-CN" w:bidi="ar-SA"/>
        </w:rPr>
        <w:t>邮电费、</w:t>
      </w:r>
      <w:r>
        <w:rPr>
          <w:rFonts w:hint="eastAsia" w:cs="仿宋_GB2312"/>
          <w:kern w:val="0"/>
          <w:sz w:val="32"/>
          <w:szCs w:val="32"/>
          <w:lang w:val="en-US" w:eastAsia="zh-CN" w:bidi="ar-SA"/>
        </w:rPr>
        <w:t>取暖费、</w:t>
      </w:r>
      <w:r>
        <w:rPr>
          <w:rFonts w:hint="eastAsia" w:ascii="仿宋_GB2312" w:hAnsi="仿宋_GB2312" w:eastAsia="仿宋_GB2312" w:cs="仿宋_GB2312"/>
          <w:kern w:val="0"/>
          <w:sz w:val="32"/>
          <w:szCs w:val="32"/>
          <w:lang w:val="en-US" w:eastAsia="zh-CN" w:bidi="ar-SA"/>
        </w:rPr>
        <w:t>差旅费、培训费、公务接待费、福利费、其他商品和服务支出。</w:t>
      </w:r>
    </w:p>
    <w:p w14:paraId="5B464766">
      <w:pPr>
        <w:pStyle w:val="2"/>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pPr>
      <w:bookmarkStart w:id="26" w:name="_Toc2092"/>
      <w:bookmarkStart w:id="27" w:name="_Toc20599"/>
      <w:r>
        <w:rPr>
          <w:rFonts w:hint="eastAsia"/>
        </w:rPr>
        <w:t>七、“三公”经费财政拨款预算安排情况说明</w:t>
      </w:r>
      <w:bookmarkEnd w:id="26"/>
      <w:bookmarkEnd w:id="27"/>
    </w:p>
    <w:p w14:paraId="0DD710E6">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eastAsia"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“三公”经费财政拨款预算数0.1</w:t>
      </w:r>
      <w:r>
        <w:rPr>
          <w:rFonts w:hint="eastAsia" w:cs="仿宋_GB2312"/>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万元，其中：因公出国（境）经费0万元，公务接待费0.1</w:t>
      </w:r>
      <w:r>
        <w:rPr>
          <w:rFonts w:hint="eastAsia" w:cs="仿宋_GB2312"/>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万元，公务用车购置及运行维护费0万元。</w:t>
      </w:r>
    </w:p>
    <w:p w14:paraId="724709A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1"/>
        <w:rPr>
          <w:rFonts w:hint="eastAsia" w:ascii="仿宋_GB2312" w:hAnsi="仿宋_GB2312" w:eastAsia="仿宋_GB2312" w:cs="仿宋_GB2312"/>
          <w:lang w:val="en-US" w:eastAsia="zh-CN"/>
        </w:rPr>
      </w:pPr>
      <w:bookmarkStart w:id="28" w:name="_Toc13357"/>
      <w:r>
        <w:rPr>
          <w:rFonts w:hint="eastAsia" w:ascii="仿宋_GB2312" w:hAnsi="仿宋_GB2312" w:eastAsia="仿宋_GB2312" w:cs="仿宋_GB2312"/>
          <w:lang w:val="en-US" w:eastAsia="zh-CN"/>
        </w:rPr>
        <w:t>（一）</w:t>
      </w:r>
      <w:r>
        <w:rPr>
          <w:rFonts w:hint="eastAsia" w:ascii="仿宋_GB2312" w:hAnsi="仿宋_GB2312" w:cs="仿宋_GB2312"/>
          <w:lang w:val="en-US" w:eastAsia="zh-CN"/>
        </w:rPr>
        <w:t>2025年</w:t>
      </w:r>
      <w:r>
        <w:rPr>
          <w:rFonts w:hint="eastAsia" w:ascii="仿宋_GB2312" w:hAnsi="仿宋_GB2312" w:eastAsia="仿宋_GB2312" w:cs="仿宋_GB2312"/>
          <w:lang w:val="en-US" w:eastAsia="zh-CN"/>
        </w:rPr>
        <w:t>因公出</w:t>
      </w:r>
      <w:r>
        <w:rPr>
          <w:rFonts w:hint="eastAsia"/>
          <w:lang w:val="en-US" w:eastAsia="zh-CN"/>
        </w:rPr>
        <w:t>国（境）经费</w:t>
      </w:r>
      <w:r>
        <w:rPr>
          <w:rFonts w:hint="eastAsia" w:ascii="仿宋_GB2312" w:hAnsi="仿宋_GB2312" w:eastAsia="仿宋_GB2312" w:cs="仿宋_GB2312"/>
          <w:lang w:val="en-US" w:eastAsia="zh-CN"/>
        </w:rPr>
        <w:t>0</w:t>
      </w:r>
      <w:r>
        <w:rPr>
          <w:rFonts w:hint="eastAsia" w:ascii="仿宋_GB2312" w:hAnsi="仿宋_GB2312" w:cs="仿宋_GB2312"/>
          <w:lang w:val="en-US" w:eastAsia="zh-CN"/>
        </w:rPr>
        <w:t>.00</w:t>
      </w:r>
      <w:r>
        <w:rPr>
          <w:rFonts w:hint="eastAsia"/>
          <w:lang w:val="en-US" w:eastAsia="zh-CN"/>
        </w:rPr>
        <w:t>万元，</w:t>
      </w:r>
      <w:r>
        <w:rPr>
          <w:rFonts w:hint="eastAsia" w:ascii="仿宋_GB2312" w:hAnsi="仿宋_GB2312" w:eastAsia="仿宋_GB2312" w:cs="仿宋_GB2312"/>
          <w:lang w:val="en-US" w:eastAsia="zh-CN"/>
        </w:rPr>
        <w:t>与</w:t>
      </w:r>
      <w:r>
        <w:rPr>
          <w:rFonts w:hint="eastAsia" w:ascii="仿宋_GB2312" w:hAnsi="仿宋_GB2312" w:cs="仿宋_GB2312"/>
          <w:lang w:val="en-US" w:eastAsia="zh-CN"/>
        </w:rPr>
        <w:t>2024年预算</w:t>
      </w:r>
      <w:r>
        <w:rPr>
          <w:rFonts w:hint="eastAsia" w:ascii="仿宋_GB2312" w:hAnsi="仿宋_GB2312" w:eastAsia="仿宋_GB2312" w:cs="仿宋_GB2312"/>
          <w:lang w:val="en-US" w:eastAsia="zh-CN"/>
        </w:rPr>
        <w:t>持平。</w:t>
      </w:r>
      <w:bookmarkEnd w:id="28"/>
    </w:p>
    <w:p w14:paraId="58ABB6B6">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w:t>
      </w:r>
      <w:r>
        <w:rPr>
          <w:rFonts w:hint="eastAsia"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公务接待经费0.1</w:t>
      </w:r>
      <w:r>
        <w:rPr>
          <w:rFonts w:hint="eastAsia" w:cs="仿宋_GB2312"/>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万元，较</w:t>
      </w:r>
      <w:r>
        <w:rPr>
          <w:rFonts w:hint="eastAsia" w:cs="仿宋_GB2312"/>
          <w:kern w:val="0"/>
          <w:sz w:val="32"/>
          <w:szCs w:val="32"/>
          <w:lang w:val="en-US" w:eastAsia="zh-CN" w:bidi="ar-SA"/>
        </w:rPr>
        <w:t>2024年</w:t>
      </w:r>
      <w:r>
        <w:rPr>
          <w:rFonts w:hint="eastAsia" w:ascii="仿宋_GB2312" w:hAnsi="仿宋_GB2312" w:eastAsia="仿宋_GB2312" w:cs="仿宋_GB2312"/>
          <w:kern w:val="0"/>
          <w:sz w:val="32"/>
          <w:szCs w:val="32"/>
          <w:lang w:val="en-US" w:eastAsia="zh-CN" w:bidi="ar-SA"/>
        </w:rPr>
        <w:t>预算经费增加0.0</w:t>
      </w:r>
      <w:r>
        <w:rPr>
          <w:rFonts w:hint="eastAsia" w:cs="仿宋_GB2312"/>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万元。</w:t>
      </w:r>
    </w:p>
    <w:p w14:paraId="143AC1E1">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w:t>
      </w:r>
      <w:r>
        <w:rPr>
          <w:rFonts w:hint="eastAsia"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公务用车购置及运行维护费0万元，与</w:t>
      </w:r>
      <w:r>
        <w:rPr>
          <w:rFonts w:hint="eastAsia" w:cs="仿宋_GB2312"/>
          <w:kern w:val="0"/>
          <w:sz w:val="32"/>
          <w:szCs w:val="32"/>
          <w:lang w:val="en-US" w:eastAsia="zh-CN" w:bidi="ar-SA"/>
        </w:rPr>
        <w:t>2024年</w:t>
      </w:r>
      <w:r>
        <w:rPr>
          <w:rFonts w:hint="eastAsia" w:ascii="仿宋_GB2312" w:hAnsi="仿宋_GB2312" w:eastAsia="仿宋_GB2312" w:cs="仿宋_GB2312"/>
          <w:kern w:val="0"/>
          <w:sz w:val="32"/>
          <w:szCs w:val="32"/>
          <w:lang w:val="en-US" w:eastAsia="zh-CN" w:bidi="ar-SA"/>
        </w:rPr>
        <w:t>预算持平。</w:t>
      </w:r>
    </w:p>
    <w:p w14:paraId="789F0731">
      <w:pPr>
        <w:pStyle w:val="2"/>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pPr>
      <w:bookmarkStart w:id="29" w:name="_Toc6876"/>
      <w:bookmarkStart w:id="30" w:name="_Toc11632"/>
      <w:r>
        <w:rPr>
          <w:rFonts w:hint="eastAsia"/>
        </w:rPr>
        <w:t>八、政府性基金预算支出情况说明</w:t>
      </w:r>
      <w:bookmarkEnd w:id="29"/>
      <w:bookmarkEnd w:id="30"/>
    </w:p>
    <w:p w14:paraId="40BFA43C">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14:paraId="53B5CEA9">
      <w:pPr>
        <w:pStyle w:val="2"/>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pPr>
      <w:bookmarkStart w:id="31" w:name="_Toc21273"/>
      <w:bookmarkStart w:id="32" w:name="_Toc22316"/>
      <w:r>
        <w:rPr>
          <w:rFonts w:hint="eastAsia"/>
        </w:rPr>
        <w:t>九、其他重要事项的情况说明</w:t>
      </w:r>
      <w:bookmarkEnd w:id="31"/>
      <w:bookmarkEnd w:id="32"/>
    </w:p>
    <w:p w14:paraId="2E4DA57A">
      <w:pPr>
        <w:pStyle w:val="3"/>
        <w:keepNext w:val="0"/>
        <w:keepLines w:val="0"/>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lang w:val="en-US" w:eastAsia="zh-CN"/>
        </w:rPr>
      </w:pPr>
      <w:bookmarkStart w:id="33" w:name="_Toc13080"/>
      <w:bookmarkStart w:id="34" w:name="_Toc32728"/>
      <w:r>
        <w:rPr>
          <w:rFonts w:hint="eastAsia"/>
          <w:lang w:val="en-US" w:eastAsia="zh-CN"/>
        </w:rPr>
        <w:t>（一）机关运行经费</w:t>
      </w:r>
      <w:bookmarkEnd w:id="33"/>
      <w:bookmarkEnd w:id="34"/>
    </w:p>
    <w:p w14:paraId="23B55C82">
      <w:pPr>
        <w:pStyle w:val="16"/>
        <w:keepNext w:val="0"/>
        <w:keepLines w:val="0"/>
        <w:pageBreakBefore w:val="0"/>
        <w:widowControl w:val="0"/>
        <w:kinsoku/>
        <w:wordWrap/>
        <w:overflowPunct/>
        <w:topLinePunct w:val="0"/>
        <w:autoSpaceDE/>
        <w:autoSpaceDN/>
        <w:bidi w:val="0"/>
        <w:adjustRightInd/>
        <w:spacing w:before="0" w:line="24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机关运行经费财政拨款预算为</w:t>
      </w:r>
      <w:r>
        <w:rPr>
          <w:rFonts w:hint="eastAsia" w:cs="仿宋_GB2312"/>
          <w:kern w:val="0"/>
          <w:sz w:val="32"/>
          <w:szCs w:val="32"/>
          <w:lang w:val="en-US" w:eastAsia="zh-CN" w:bidi="ar-SA"/>
        </w:rPr>
        <w:t>0</w:t>
      </w:r>
      <w:r>
        <w:rPr>
          <w:rFonts w:hint="eastAsia" w:ascii="仿宋_GB2312" w:hAnsi="仿宋_GB2312" w:eastAsia="仿宋_GB2312" w:cs="仿宋_GB2312"/>
          <w:kern w:val="0"/>
          <w:sz w:val="32"/>
          <w:szCs w:val="32"/>
          <w:lang w:val="en-US" w:eastAsia="zh-CN" w:bidi="ar-SA"/>
        </w:rPr>
        <w:t>万元，</w:t>
      </w:r>
      <w:r>
        <w:rPr>
          <w:rFonts w:hint="eastAsia" w:cs="仿宋_GB2312"/>
          <w:kern w:val="0"/>
          <w:sz w:val="32"/>
          <w:szCs w:val="32"/>
          <w:lang w:val="en-US" w:eastAsia="zh-CN" w:bidi="ar-SA"/>
        </w:rPr>
        <w:t>与2024年</w:t>
      </w:r>
      <w:r>
        <w:rPr>
          <w:rFonts w:hint="eastAsia" w:ascii="仿宋_GB2312" w:hAnsi="仿宋_GB2312" w:eastAsia="仿宋_GB2312" w:cs="仿宋_GB2312"/>
          <w:kern w:val="0"/>
          <w:sz w:val="32"/>
          <w:szCs w:val="32"/>
          <w:lang w:val="en-US" w:eastAsia="zh-CN" w:bidi="ar-SA"/>
        </w:rPr>
        <w:t>预算</w:t>
      </w:r>
      <w:r>
        <w:rPr>
          <w:rFonts w:hint="eastAsia" w:cs="仿宋_GB2312"/>
          <w:kern w:val="0"/>
          <w:sz w:val="32"/>
          <w:szCs w:val="32"/>
          <w:lang w:val="en-US" w:eastAsia="zh-CN" w:bidi="ar-SA"/>
        </w:rPr>
        <w:t>持平；主要原因为：州教育考试中心为事业单位，不涉及机关运行经费</w:t>
      </w:r>
      <w:r>
        <w:rPr>
          <w:rFonts w:hint="eastAsia" w:ascii="仿宋_GB2312" w:hAnsi="仿宋_GB2312" w:eastAsia="仿宋_GB2312" w:cs="仿宋_GB2312"/>
          <w:kern w:val="0"/>
          <w:sz w:val="32"/>
          <w:szCs w:val="32"/>
          <w:lang w:val="en-US" w:eastAsia="zh-CN" w:bidi="ar-SA"/>
        </w:rPr>
        <w:t xml:space="preserve">。 </w:t>
      </w:r>
    </w:p>
    <w:p w14:paraId="3503B040">
      <w:pPr>
        <w:pStyle w:val="3"/>
        <w:keepNext w:val="0"/>
        <w:keepLines w:val="0"/>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lang w:val="en-US" w:eastAsia="zh-CN"/>
        </w:rPr>
      </w:pPr>
      <w:bookmarkStart w:id="35" w:name="_Toc19484"/>
      <w:bookmarkStart w:id="36" w:name="_Toc8430"/>
      <w:r>
        <w:rPr>
          <w:rFonts w:hint="eastAsia"/>
          <w:lang w:val="en-US" w:eastAsia="zh-CN"/>
        </w:rPr>
        <w:t>（二）政府采购情况</w:t>
      </w:r>
      <w:bookmarkEnd w:id="35"/>
      <w:bookmarkEnd w:id="36"/>
    </w:p>
    <w:p w14:paraId="681BA159">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cs="仿宋_GB2312"/>
          <w:kern w:val="0"/>
          <w:sz w:val="32"/>
          <w:szCs w:val="32"/>
          <w:lang w:val="en-US" w:eastAsia="zh-CN" w:bidi="ar-SA"/>
        </w:rPr>
        <w:t>2025年</w:t>
      </w:r>
      <w:r>
        <w:rPr>
          <w:rFonts w:hint="eastAsia" w:ascii="仿宋_GB2312" w:hAnsi="仿宋_GB2312" w:eastAsia="仿宋_GB2312" w:cs="仿宋_GB2312"/>
          <w:kern w:val="0"/>
          <w:sz w:val="32"/>
          <w:szCs w:val="32"/>
          <w:lang w:val="en-US" w:eastAsia="zh-CN" w:bidi="ar-SA"/>
        </w:rPr>
        <w:t>州教育考试中心未安排政府采购预算。</w:t>
      </w:r>
    </w:p>
    <w:p w14:paraId="18DF1266">
      <w:pPr>
        <w:pStyle w:val="3"/>
        <w:keepNext w:val="0"/>
        <w:keepLines w:val="0"/>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lang w:val="en-US" w:eastAsia="zh-CN"/>
        </w:rPr>
      </w:pPr>
      <w:bookmarkStart w:id="37" w:name="_Toc4235"/>
      <w:bookmarkStart w:id="38" w:name="_Toc4666"/>
      <w:r>
        <w:rPr>
          <w:rFonts w:hint="eastAsia"/>
          <w:lang w:val="en-US" w:eastAsia="zh-CN"/>
        </w:rPr>
        <w:t>（三）国有资产占有使用情况</w:t>
      </w:r>
      <w:bookmarkEnd w:id="37"/>
      <w:bookmarkEnd w:id="38"/>
    </w:p>
    <w:p w14:paraId="173E3438">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截至</w:t>
      </w:r>
      <w:r>
        <w:rPr>
          <w:rFonts w:hint="eastAsia" w:cs="仿宋_GB2312"/>
          <w:kern w:val="0"/>
          <w:sz w:val="32"/>
          <w:szCs w:val="32"/>
          <w:lang w:val="en-US" w:eastAsia="zh-CN" w:bidi="ar-SA"/>
        </w:rPr>
        <w:t>2024年</w:t>
      </w:r>
      <w:r>
        <w:rPr>
          <w:rFonts w:hint="eastAsia" w:ascii="仿宋_GB2312" w:hAnsi="仿宋_GB2312" w:eastAsia="仿宋_GB2312" w:cs="仿宋_GB2312"/>
          <w:kern w:val="0"/>
          <w:sz w:val="32"/>
          <w:szCs w:val="32"/>
          <w:lang w:val="en-US" w:eastAsia="zh-CN" w:bidi="ar-SA"/>
        </w:rPr>
        <w:t>12月31日，</w:t>
      </w:r>
      <w:r>
        <w:rPr>
          <w:rFonts w:hint="eastAsia" w:cs="仿宋_GB2312"/>
          <w:kern w:val="0"/>
          <w:sz w:val="32"/>
          <w:szCs w:val="32"/>
          <w:lang w:val="en-US" w:eastAsia="zh-CN" w:bidi="ar-SA"/>
        </w:rPr>
        <w:t>本</w:t>
      </w:r>
      <w:r>
        <w:rPr>
          <w:rFonts w:hint="eastAsia" w:ascii="仿宋_GB2312" w:hAnsi="仿宋_GB2312" w:eastAsia="仿宋_GB2312" w:cs="仿宋_GB2312"/>
          <w:kern w:val="0"/>
          <w:sz w:val="32"/>
          <w:szCs w:val="32"/>
          <w:lang w:val="en-US" w:eastAsia="zh-CN" w:bidi="ar-SA"/>
        </w:rPr>
        <w:t>单位固定资产</w:t>
      </w:r>
      <w:r>
        <w:rPr>
          <w:rFonts w:hint="eastAsia" w:cs="仿宋_GB2312"/>
          <w:kern w:val="0"/>
          <w:sz w:val="32"/>
          <w:szCs w:val="32"/>
          <w:lang w:val="en-US" w:eastAsia="zh-CN" w:bidi="ar-SA"/>
        </w:rPr>
        <w:t>为</w:t>
      </w:r>
      <w:r>
        <w:rPr>
          <w:rFonts w:hint="eastAsia" w:ascii="仿宋_GB2312" w:hAnsi="仿宋_GB2312" w:eastAsia="仿宋_GB2312" w:cs="仿宋_GB2312"/>
          <w:kern w:val="0"/>
          <w:sz w:val="32"/>
          <w:szCs w:val="32"/>
          <w:lang w:val="en-US" w:eastAsia="zh-CN" w:bidi="ar-SA"/>
        </w:rPr>
        <w:t>0万元。</w:t>
      </w:r>
    </w:p>
    <w:p w14:paraId="078CE2A1">
      <w:pPr>
        <w:pStyle w:val="3"/>
        <w:keepNext w:val="0"/>
        <w:keepLines w:val="0"/>
        <w:pageBreakBefore w:val="0"/>
        <w:widowControl w:val="0"/>
        <w:kinsoku/>
        <w:wordWrap/>
        <w:overflowPunct/>
        <w:topLinePunct w:val="0"/>
        <w:autoSpaceDE/>
        <w:autoSpaceDN/>
        <w:bidi w:val="0"/>
        <w:adjustRightInd/>
        <w:spacing w:before="0" w:after="0" w:line="560" w:lineRule="exact"/>
        <w:ind w:left="0" w:leftChars="0" w:firstLine="643" w:firstLineChars="200"/>
        <w:textAlignment w:val="auto"/>
        <w:rPr>
          <w:rFonts w:hint="eastAsia"/>
          <w:lang w:val="en-US" w:eastAsia="zh-CN"/>
        </w:rPr>
      </w:pPr>
      <w:bookmarkStart w:id="39" w:name="_Toc7304"/>
      <w:bookmarkStart w:id="40" w:name="_Toc6092"/>
      <w:r>
        <w:rPr>
          <w:rFonts w:hint="eastAsia"/>
          <w:lang w:val="en-US" w:eastAsia="zh-CN"/>
        </w:rPr>
        <w:t>（四）绩效目标设置情况</w:t>
      </w:r>
      <w:bookmarkEnd w:id="39"/>
      <w:bookmarkEnd w:id="40"/>
    </w:p>
    <w:p w14:paraId="030407F1">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州教育考试中心</w:t>
      </w:r>
      <w:r>
        <w:rPr>
          <w:rFonts w:hint="eastAsia" w:cs="仿宋_GB2312"/>
          <w:color w:val="auto"/>
          <w:kern w:val="2"/>
          <w:sz w:val="32"/>
          <w:szCs w:val="32"/>
          <w:lang w:eastAsia="zh-CN"/>
        </w:rPr>
        <w:t>2025年</w:t>
      </w:r>
      <w:r>
        <w:rPr>
          <w:rFonts w:hint="eastAsia" w:ascii="仿宋_GB2312" w:hAnsi="仿宋_GB2312" w:eastAsia="仿宋_GB2312" w:cs="仿宋_GB2312"/>
          <w:color w:val="auto"/>
          <w:kern w:val="2"/>
          <w:sz w:val="32"/>
          <w:szCs w:val="32"/>
        </w:rPr>
        <w:t>部门</w:t>
      </w:r>
      <w:r>
        <w:rPr>
          <w:rFonts w:hint="eastAsia" w:ascii="仿宋_GB2312" w:hAnsi="仿宋_GB2312" w:eastAsia="仿宋_GB2312" w:cs="仿宋_GB2312"/>
          <w:color w:val="auto"/>
          <w:kern w:val="2"/>
          <w:sz w:val="32"/>
          <w:szCs w:val="32"/>
          <w:lang w:val="en-US" w:eastAsia="zh-CN"/>
        </w:rPr>
        <w:t>预算</w:t>
      </w:r>
      <w:r>
        <w:rPr>
          <w:rFonts w:hint="eastAsia" w:cs="仿宋_GB2312"/>
          <w:color w:val="auto"/>
          <w:kern w:val="2"/>
          <w:sz w:val="32"/>
          <w:szCs w:val="32"/>
          <w:lang w:val="en-US" w:eastAsia="zh-CN"/>
        </w:rPr>
        <w:t>中</w:t>
      </w:r>
      <w:r>
        <w:rPr>
          <w:rFonts w:hint="eastAsia" w:ascii="仿宋_GB2312" w:hAnsi="仿宋_GB2312" w:eastAsia="仿宋_GB2312" w:cs="仿宋_GB2312"/>
          <w:color w:val="auto"/>
          <w:kern w:val="2"/>
          <w:sz w:val="32"/>
          <w:szCs w:val="32"/>
          <w:lang w:val="en-US" w:eastAsia="zh-CN"/>
        </w:rPr>
        <w:t>教育专项</w:t>
      </w:r>
      <w:r>
        <w:rPr>
          <w:rFonts w:hint="eastAsia" w:cs="仿宋_GB2312"/>
          <w:color w:val="auto"/>
          <w:kern w:val="2"/>
          <w:sz w:val="32"/>
          <w:szCs w:val="32"/>
          <w:lang w:val="en-US" w:eastAsia="zh-CN"/>
        </w:rPr>
        <w:t>经费</w:t>
      </w:r>
      <w:r>
        <w:rPr>
          <w:rFonts w:hint="eastAsia" w:ascii="仿宋_GB2312" w:hAnsi="仿宋_GB2312" w:eastAsia="仿宋_GB2312" w:cs="仿宋_GB2312"/>
          <w:color w:val="auto"/>
          <w:kern w:val="2"/>
          <w:sz w:val="32"/>
          <w:szCs w:val="32"/>
        </w:rPr>
        <w:t>均按</w:t>
      </w:r>
      <w:r>
        <w:rPr>
          <w:rFonts w:hint="eastAsia" w:ascii="仿宋_GB2312" w:hAnsi="仿宋_GB2312" w:eastAsia="仿宋_GB2312" w:cs="仿宋_GB2312"/>
          <w:color w:val="auto"/>
          <w:kern w:val="2"/>
          <w:sz w:val="32"/>
          <w:szCs w:val="32"/>
          <w:lang w:val="en-US" w:eastAsia="zh-CN"/>
        </w:rPr>
        <w:t>省、州相关</w:t>
      </w:r>
      <w:r>
        <w:rPr>
          <w:rFonts w:hint="eastAsia" w:ascii="仿宋_GB2312" w:hAnsi="仿宋_GB2312" w:eastAsia="仿宋_GB2312" w:cs="仿宋_GB2312"/>
          <w:color w:val="auto"/>
          <w:kern w:val="2"/>
          <w:sz w:val="32"/>
          <w:szCs w:val="32"/>
        </w:rPr>
        <w:t>要求实行绩效目标管理，</w:t>
      </w:r>
      <w:r>
        <w:rPr>
          <w:rFonts w:hint="eastAsia" w:ascii="仿宋_GB2312" w:hAnsi="仿宋_GB2312" w:eastAsia="仿宋_GB2312" w:cs="仿宋_GB2312"/>
          <w:color w:val="auto"/>
          <w:kern w:val="2"/>
          <w:sz w:val="32"/>
          <w:szCs w:val="32"/>
          <w:lang w:val="en-US" w:eastAsia="zh-CN"/>
        </w:rPr>
        <w:t>开展绩效目标</w:t>
      </w:r>
      <w:r>
        <w:rPr>
          <w:rFonts w:hint="eastAsia" w:cs="仿宋_GB2312"/>
          <w:color w:val="auto"/>
          <w:kern w:val="2"/>
          <w:sz w:val="32"/>
          <w:szCs w:val="32"/>
          <w:lang w:val="en-US" w:eastAsia="zh-CN"/>
        </w:rPr>
        <w:t>管理</w:t>
      </w:r>
      <w:r>
        <w:rPr>
          <w:rFonts w:hint="eastAsia" w:ascii="仿宋_GB2312" w:hAnsi="仿宋_GB2312" w:eastAsia="仿宋_GB2312" w:cs="仿宋_GB2312"/>
          <w:color w:val="auto"/>
          <w:kern w:val="2"/>
          <w:sz w:val="32"/>
          <w:szCs w:val="32"/>
          <w:lang w:val="en-US" w:eastAsia="zh-CN"/>
        </w:rPr>
        <w:t>的项目</w:t>
      </w:r>
      <w:r>
        <w:rPr>
          <w:rFonts w:hint="eastAsia" w:cs="仿宋_GB2312"/>
          <w:color w:val="auto"/>
          <w:kern w:val="2"/>
          <w:sz w:val="32"/>
          <w:szCs w:val="32"/>
          <w:lang w:val="en-US" w:eastAsia="zh-CN"/>
        </w:rPr>
        <w:t>5</w:t>
      </w:r>
      <w:r>
        <w:rPr>
          <w:rFonts w:hint="eastAsia" w:ascii="仿宋_GB2312" w:hAnsi="仿宋_GB2312" w:eastAsia="仿宋_GB2312" w:cs="仿宋_GB2312"/>
          <w:color w:val="auto"/>
          <w:kern w:val="2"/>
          <w:sz w:val="32"/>
          <w:szCs w:val="32"/>
          <w:lang w:val="en-US" w:eastAsia="zh-CN"/>
        </w:rPr>
        <w:t>个，</w:t>
      </w:r>
      <w:r>
        <w:rPr>
          <w:rFonts w:hint="eastAsia" w:ascii="仿宋_GB2312" w:hAnsi="仿宋_GB2312" w:eastAsia="仿宋_GB2312" w:cs="仿宋_GB2312"/>
          <w:color w:val="auto"/>
          <w:kern w:val="2"/>
          <w:sz w:val="32"/>
          <w:szCs w:val="32"/>
        </w:rPr>
        <w:t>涉及</w:t>
      </w:r>
      <w:r>
        <w:rPr>
          <w:rFonts w:hint="eastAsia" w:ascii="仿宋_GB2312" w:hAnsi="仿宋_GB2312" w:eastAsia="仿宋_GB2312" w:cs="仿宋_GB2312"/>
          <w:color w:val="auto"/>
          <w:kern w:val="2"/>
          <w:sz w:val="32"/>
          <w:szCs w:val="32"/>
          <w:lang w:val="en-US" w:eastAsia="zh-CN"/>
        </w:rPr>
        <w:t>预算</w:t>
      </w:r>
      <w:r>
        <w:rPr>
          <w:rFonts w:hint="eastAsia" w:cs="仿宋_GB2312"/>
          <w:color w:val="auto"/>
          <w:kern w:val="2"/>
          <w:sz w:val="32"/>
          <w:szCs w:val="32"/>
          <w:lang w:val="en-US" w:eastAsia="zh-CN"/>
        </w:rPr>
        <w:t>88.79</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其中：</w:t>
      </w:r>
      <w:r>
        <w:rPr>
          <w:rFonts w:hint="eastAsia" w:cs="仿宋_GB2312"/>
          <w:color w:val="auto"/>
          <w:kern w:val="2"/>
          <w:sz w:val="32"/>
          <w:szCs w:val="32"/>
          <w:lang w:val="en-US" w:eastAsia="zh-CN"/>
        </w:rPr>
        <w:t>人员类项目3个，涉及预算78.37万元；运转类项目2个，涉及预算10.43万元</w:t>
      </w:r>
      <w:r>
        <w:rPr>
          <w:rFonts w:hint="eastAsia" w:ascii="仿宋_GB2312" w:hAnsi="仿宋_GB2312" w:eastAsia="仿宋_GB2312" w:cs="仿宋_GB2312"/>
          <w:kern w:val="0"/>
          <w:sz w:val="32"/>
          <w:szCs w:val="32"/>
          <w:lang w:val="en-US" w:eastAsia="zh-CN" w:bidi="ar-SA"/>
        </w:rPr>
        <w:t>。</w:t>
      </w:r>
    </w:p>
    <w:p w14:paraId="67AB7817">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3144DF47">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59F3F29E">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2E80D4FA">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22C546BE">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0655D1BE">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51D753D1">
      <w:pPr>
        <w:pStyle w:val="2"/>
        <w:keepNext w:val="0"/>
        <w:keepLines w:val="0"/>
        <w:pageBreakBefore w:val="0"/>
        <w:widowControl w:val="0"/>
        <w:kinsoku/>
        <w:wordWrap/>
        <w:overflowPunct/>
        <w:topLinePunct w:val="0"/>
        <w:autoSpaceDE/>
        <w:autoSpaceDN/>
        <w:bidi w:val="0"/>
        <w:adjustRightInd/>
        <w:spacing w:before="0" w:after="0" w:line="560" w:lineRule="exact"/>
        <w:ind w:left="0" w:leftChars="0" w:firstLine="640" w:firstLineChars="200"/>
        <w:textAlignment w:val="auto"/>
        <w:rPr>
          <w:rFonts w:hint="eastAsia"/>
          <w:lang w:eastAsia="zh-CN"/>
        </w:rPr>
      </w:pPr>
      <w:bookmarkStart w:id="41" w:name="_Toc7427"/>
      <w:bookmarkStart w:id="42" w:name="_Toc11712"/>
      <w:r>
        <w:rPr>
          <w:rFonts w:hint="eastAsia"/>
        </w:rPr>
        <w:t>十、名称解释</w:t>
      </w:r>
      <w:bookmarkEnd w:id="41"/>
      <w:bookmarkEnd w:id="42"/>
      <w:r>
        <w:rPr>
          <w:rFonts w:hint="eastAsia"/>
        </w:rPr>
        <w:t xml:space="preserve"> </w:t>
      </w:r>
    </w:p>
    <w:p w14:paraId="20FA66A7">
      <w:pPr>
        <w:pStyle w:val="16"/>
        <w:keepNext w:val="0"/>
        <w:keepLines w:val="0"/>
        <w:pageBreakBefore w:val="0"/>
        <w:widowControl w:val="0"/>
        <w:kinsoku/>
        <w:wordWrap/>
        <w:overflowPunct/>
        <w:topLinePunct w:val="0"/>
        <w:autoSpaceDE/>
        <w:autoSpaceDN/>
        <w:bidi w:val="0"/>
        <w:adjustRightInd/>
        <w:spacing w:before="0" w:line="560" w:lineRule="exact"/>
        <w:ind w:firstLine="320" w:firstLineChars="200"/>
        <w:textAlignment w:val="auto"/>
        <w:rPr>
          <w:rFonts w:hint="eastAsia" w:ascii="仿宋_GB2312" w:hAnsi="仿宋_GB2312" w:eastAsia="仿宋_GB2312" w:cs="仿宋_GB2312"/>
          <w:kern w:val="0"/>
          <w:sz w:val="32"/>
          <w:szCs w:val="32"/>
          <w:lang w:val="en-US" w:eastAsia="zh-CN" w:bidi="ar-SA"/>
        </w:rPr>
      </w:pPr>
      <w:r>
        <w:rPr>
          <w:rFonts w:hint="eastAsia" w:ascii="??" w:hAnsi="??" w:eastAsia="宋体" w:cs="宋体"/>
          <w:sz w:val="16"/>
        </w:rPr>
        <w:t>　</w:t>
      </w:r>
      <w:r>
        <w:rPr>
          <w:rFonts w:hint="eastAsia" w:ascii="仿宋_GB2312" w:hAnsi="仿宋_GB2312" w:eastAsia="仿宋_GB2312" w:cs="仿宋_GB2312"/>
          <w:kern w:val="0"/>
          <w:sz w:val="32"/>
          <w:szCs w:val="32"/>
          <w:lang w:val="en-US" w:eastAsia="zh-CN" w:bidi="ar-SA"/>
        </w:rPr>
        <w:t xml:space="preserve"> （一）财政拨款收入：指由财政拨款形成的部门收入。按现行管理制度，部门预算中反映的财政拨款仅包括一般公共预算拨款和政府性基金预算拨款。</w:t>
      </w:r>
    </w:p>
    <w:p w14:paraId="73798D50">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（二）事业收入：指所属事业单位开展专业业务活动及辅助活动所取得的收入。</w:t>
      </w:r>
    </w:p>
    <w:p w14:paraId="4FF59115">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（三）事业单位经营收入：指所属事业单位在专业业务活动及其辅助活动之外开展非独立核算经营活动取得的收入。</w:t>
      </w:r>
    </w:p>
    <w:p w14:paraId="7354A55B">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（四）其他收入：指除上述“财政拨款收入”、“事业收入”、“事业单位经营收入”等以外的收入，主要是所属行政事业单位按规定动用的售房收入、存款利息收入等。</w:t>
      </w:r>
    </w:p>
    <w:p w14:paraId="4599F2A3">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6252888D">
      <w:pPr>
        <w:pStyle w:val="16"/>
        <w:keepNext w:val="0"/>
        <w:keepLines w:val="0"/>
        <w:pageBreakBefore w:val="0"/>
        <w:widowControl w:val="0"/>
        <w:kinsoku/>
        <w:wordWrap/>
        <w:overflowPunct/>
        <w:topLinePunct w:val="0"/>
        <w:autoSpaceDE/>
        <w:autoSpaceDN/>
        <w:bidi w:val="0"/>
        <w:adjustRightInd/>
        <w:spacing w:before="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（六）上年结转：指所属行政事业单位以前年度尚未完成、结转至本年按原规定用途继续使用的资金和以前年度已完成项目剩余资金经批准用于新用途使用的资金。</w:t>
      </w:r>
    </w:p>
    <w:sectPr>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483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1D40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11D40F">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9682">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OTRhNWY4YmQ5NmQ3NzA5ZWM4MmM3NDUyYzY2ZjkifQ=="/>
  </w:docVars>
  <w:rsids>
    <w:rsidRoot w:val="7AE4629A"/>
    <w:rsid w:val="000451C2"/>
    <w:rsid w:val="0006464F"/>
    <w:rsid w:val="001634E3"/>
    <w:rsid w:val="001910FF"/>
    <w:rsid w:val="001B1BFD"/>
    <w:rsid w:val="00242435"/>
    <w:rsid w:val="00273FDC"/>
    <w:rsid w:val="002F7621"/>
    <w:rsid w:val="0030031F"/>
    <w:rsid w:val="004379C5"/>
    <w:rsid w:val="00476B63"/>
    <w:rsid w:val="0054124B"/>
    <w:rsid w:val="00723B73"/>
    <w:rsid w:val="00793FEE"/>
    <w:rsid w:val="007B24DE"/>
    <w:rsid w:val="00803F7A"/>
    <w:rsid w:val="00842DA9"/>
    <w:rsid w:val="00887775"/>
    <w:rsid w:val="00923A98"/>
    <w:rsid w:val="00AB4C2F"/>
    <w:rsid w:val="00D264D1"/>
    <w:rsid w:val="00DB29FD"/>
    <w:rsid w:val="00E829FC"/>
    <w:rsid w:val="00FA75A4"/>
    <w:rsid w:val="00FC59D7"/>
    <w:rsid w:val="07674A16"/>
    <w:rsid w:val="085C39F9"/>
    <w:rsid w:val="0BFD6E96"/>
    <w:rsid w:val="0C42394B"/>
    <w:rsid w:val="0C450D6C"/>
    <w:rsid w:val="0CB55F2C"/>
    <w:rsid w:val="13197D31"/>
    <w:rsid w:val="14D90910"/>
    <w:rsid w:val="14E758E3"/>
    <w:rsid w:val="15CC7643"/>
    <w:rsid w:val="164003A4"/>
    <w:rsid w:val="16C5583A"/>
    <w:rsid w:val="177904B8"/>
    <w:rsid w:val="19596D8C"/>
    <w:rsid w:val="1B0406D7"/>
    <w:rsid w:val="20361CB8"/>
    <w:rsid w:val="28702A70"/>
    <w:rsid w:val="29566940"/>
    <w:rsid w:val="2ACC6A20"/>
    <w:rsid w:val="2B7828C1"/>
    <w:rsid w:val="2EA11F45"/>
    <w:rsid w:val="32BF7DF5"/>
    <w:rsid w:val="3C4A40D5"/>
    <w:rsid w:val="48EB0A3F"/>
    <w:rsid w:val="4DF03C5F"/>
    <w:rsid w:val="4E9F4508"/>
    <w:rsid w:val="500752C1"/>
    <w:rsid w:val="56917898"/>
    <w:rsid w:val="598F1652"/>
    <w:rsid w:val="5A6567AA"/>
    <w:rsid w:val="61693C9D"/>
    <w:rsid w:val="64CC0F4B"/>
    <w:rsid w:val="74D815A7"/>
    <w:rsid w:val="7AE4629A"/>
    <w:rsid w:val="7D082054"/>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left"/>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leftChars="200"/>
      <w:jc w:val="left"/>
      <w:outlineLvl w:val="0"/>
    </w:pPr>
    <w:rPr>
      <w:rFonts w:ascii="黑体" w:hAnsi="黑体" w:eastAsia="黑体"/>
      <w:kern w:val="44"/>
      <w:sz w:val="32"/>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ind w:leftChars="200"/>
      <w:jc w:val="left"/>
      <w:outlineLvl w:val="1"/>
    </w:pPr>
    <w:rPr>
      <w:rFonts w:ascii="Arial" w:hAnsi="Arial" w:eastAsia="楷体"/>
      <w:b/>
      <w:sz w:val="32"/>
    </w:rPr>
  </w:style>
  <w:style w:type="paragraph" w:styleId="4">
    <w:name w:val="heading 3"/>
    <w:basedOn w:val="1"/>
    <w:next w:val="1"/>
    <w:unhideWhenUsed/>
    <w:qFormat/>
    <w:uiPriority w:val="0"/>
    <w:pPr>
      <w:keepNext/>
      <w:keepLines/>
      <w:spacing w:before="20" w:beforeLines="0" w:beforeAutospacing="0" w:after="20" w:afterLines="0" w:afterAutospacing="0" w:line="413" w:lineRule="auto"/>
      <w:ind w:leftChars="300"/>
      <w:jc w:val="left"/>
      <w:outlineLvl w:val="2"/>
    </w:pPr>
    <w:rPr>
      <w:rFonts w:ascii="仿宋_GB2312" w:hAnsi="仿宋_GB2312" w:eastAsia="仿宋_GB2312"/>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6">
    <w:name w:val="toc 3"/>
    <w:basedOn w:val="1"/>
    <w:next w:val="1"/>
    <w:autoRedefine/>
    <w:qFormat/>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pPr>
      <w:widowControl/>
      <w:spacing w:beforeAutospacing="1" w:afterAutospacing="1"/>
      <w:jc w:val="left"/>
    </w:pPr>
    <w:rPr>
      <w:rFonts w:hint="eastAsia" w:ascii="宋体" w:hAnsi="宋体"/>
      <w:kern w:val="0"/>
      <w:sz w:val="24"/>
      <w:szCs w:val="24"/>
    </w:rPr>
  </w:style>
  <w:style w:type="character" w:styleId="14">
    <w:name w:val="Strong"/>
    <w:basedOn w:val="13"/>
    <w:autoRedefine/>
    <w:qFormat/>
    <w:uiPriority w:val="0"/>
    <w:rPr>
      <w:b/>
    </w:rPr>
  </w:style>
  <w:style w:type="paragraph" w:styleId="15">
    <w:name w:val="List Paragraph"/>
    <w:basedOn w:val="1"/>
    <w:autoRedefine/>
    <w:qFormat/>
    <w:uiPriority w:val="99"/>
    <w:pPr>
      <w:ind w:firstLine="420" w:firstLineChars="200"/>
    </w:pPr>
  </w:style>
  <w:style w:type="paragraph" w:customStyle="1" w:styleId="16">
    <w:name w:val="正文文本1"/>
    <w:basedOn w:val="1"/>
    <w:autoRedefine/>
    <w:qFormat/>
    <w:uiPriority w:val="0"/>
    <w:pPr>
      <w:spacing w:before="93"/>
    </w:pPr>
    <w:rPr>
      <w:rFonts w:ascii="仿宋_GB2312" w:hAnsi="仿宋_GB2312" w:eastAsia="仿宋_GB2312"/>
      <w:kern w:val="0"/>
      <w:sz w:val="30"/>
      <w:szCs w:val="20"/>
    </w:rPr>
  </w:style>
  <w:style w:type="paragraph" w:customStyle="1" w:styleId="17">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8">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19">
    <w:name w:val="WPSOffice手动目录 3"/>
    <w:autoRedefine/>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2271</Words>
  <Characters>2509</Characters>
  <Lines>17</Lines>
  <Paragraphs>4</Paragraphs>
  <TotalTime>1</TotalTime>
  <ScaleCrop>false</ScaleCrop>
  <LinksUpToDate>false</LinksUpToDate>
  <CharactersWithSpaces>2577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cp:lastModifiedBy>
  <cp:lastPrinted>2024-01-17T09:29:00Z</cp:lastPrinted>
  <dcterms:modified xsi:type="dcterms:W3CDTF">2025-02-17T01:14:04Z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7299FEA375CD4ED982D787B0327E9983</vt:lpwstr>
  </property>
  <property fmtid="{D5CDD505-2E9C-101B-9397-08002B2CF9AE}" pid="4" name="KSOTemplateDocerSaveRecord">
    <vt:lpwstr>eyJoZGlkIjoiZjQ4OTRhNWY4YmQ5NmQ3NzA5ZWM4MmM3NDUyYzY2ZjkiLCJ1c2VySWQiOiIyOTQyNjU2ODYifQ==</vt:lpwstr>
  </property>
</Properties>
</file>