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4EB54">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6D9730F2"/>
    <w:p w14:paraId="17C71D2C"/>
    <w:p w14:paraId="5A1524EE"/>
    <w:p w14:paraId="6BE36F81">
      <w:pPr>
        <w:ind w:firstLine="1050" w:firstLineChars="500"/>
      </w:pPr>
    </w:p>
    <w:p w14:paraId="639341C9">
      <w:pPr>
        <w:ind w:firstLine="1050" w:firstLineChars="500"/>
      </w:pPr>
    </w:p>
    <w:p w14:paraId="67799EBB">
      <w:pPr>
        <w:ind w:firstLine="1760" w:firstLineChars="400"/>
        <w:rPr>
          <w:rFonts w:ascii="黑体" w:eastAsia="黑体"/>
          <w:sz w:val="44"/>
          <w:szCs w:val="44"/>
        </w:rPr>
      </w:pPr>
    </w:p>
    <w:p w14:paraId="2BA59D5B">
      <w:pPr>
        <w:ind w:firstLine="1760" w:firstLineChars="400"/>
        <w:rPr>
          <w:rFonts w:ascii="黑体" w:eastAsia="黑体"/>
          <w:sz w:val="44"/>
          <w:szCs w:val="44"/>
        </w:rPr>
      </w:pPr>
    </w:p>
    <w:p w14:paraId="028085DD">
      <w:pPr>
        <w:jc w:val="center"/>
        <w:rPr>
          <w:rFonts w:hint="eastAsia" w:ascii="黑体" w:eastAsia="黑体"/>
          <w:sz w:val="44"/>
          <w:szCs w:val="44"/>
          <w:lang w:eastAsia="zh-CN"/>
        </w:rPr>
      </w:pPr>
      <w:r>
        <w:rPr>
          <w:rFonts w:hint="eastAsia" w:ascii="黑体" w:eastAsia="黑体"/>
          <w:sz w:val="44"/>
          <w:szCs w:val="44"/>
          <w:lang w:eastAsia="zh-CN"/>
        </w:rPr>
        <w:t>州教科所</w:t>
      </w:r>
    </w:p>
    <w:p w14:paraId="571D188C">
      <w:pPr>
        <w:jc w:val="center"/>
        <w:rPr>
          <w:rFonts w:ascii="黑体" w:eastAsia="黑体"/>
          <w:sz w:val="44"/>
          <w:szCs w:val="44"/>
        </w:rPr>
      </w:pPr>
      <w:bookmarkStart w:id="1" w:name="_GoBack"/>
      <w:bookmarkEnd w:id="1"/>
      <w:r>
        <w:rPr>
          <w:rFonts w:ascii="黑体" w:eastAsia="黑体"/>
          <w:sz w:val="44"/>
          <w:szCs w:val="44"/>
        </w:rPr>
        <w:t>2025</w:t>
      </w:r>
      <w:r>
        <w:rPr>
          <w:rFonts w:hint="eastAsia" w:ascii="黑体" w:eastAsia="黑体"/>
          <w:sz w:val="44"/>
          <w:szCs w:val="44"/>
        </w:rPr>
        <w:t>年部门预算</w:t>
      </w:r>
    </w:p>
    <w:p w14:paraId="60494A3A">
      <w:pPr>
        <w:ind w:firstLine="1760" w:firstLineChars="400"/>
        <w:rPr>
          <w:rFonts w:ascii="黑体" w:eastAsia="黑体"/>
          <w:sz w:val="44"/>
          <w:szCs w:val="44"/>
        </w:rPr>
      </w:pPr>
    </w:p>
    <w:p w14:paraId="458A3051">
      <w:pPr>
        <w:ind w:firstLine="1760" w:firstLineChars="400"/>
        <w:rPr>
          <w:rFonts w:ascii="黑体" w:eastAsia="黑体"/>
          <w:sz w:val="44"/>
          <w:szCs w:val="44"/>
        </w:rPr>
      </w:pPr>
    </w:p>
    <w:p w14:paraId="5CB3602B">
      <w:pPr>
        <w:ind w:firstLine="1760" w:firstLineChars="400"/>
        <w:rPr>
          <w:rFonts w:ascii="黑体" w:eastAsia="黑体"/>
          <w:sz w:val="44"/>
          <w:szCs w:val="44"/>
        </w:rPr>
      </w:pPr>
    </w:p>
    <w:p w14:paraId="47CBA9D2">
      <w:pPr>
        <w:ind w:firstLine="1760" w:firstLineChars="400"/>
        <w:rPr>
          <w:rFonts w:ascii="黑体" w:eastAsia="黑体"/>
          <w:sz w:val="44"/>
          <w:szCs w:val="44"/>
        </w:rPr>
      </w:pPr>
    </w:p>
    <w:p w14:paraId="4ACF3471">
      <w:pPr>
        <w:ind w:firstLine="1760" w:firstLineChars="400"/>
        <w:rPr>
          <w:rFonts w:ascii="黑体" w:eastAsia="黑体"/>
          <w:sz w:val="44"/>
          <w:szCs w:val="44"/>
        </w:rPr>
      </w:pPr>
    </w:p>
    <w:p w14:paraId="26695E7F">
      <w:pPr>
        <w:ind w:firstLine="1760" w:firstLineChars="400"/>
        <w:rPr>
          <w:rFonts w:ascii="黑体" w:eastAsia="黑体"/>
          <w:sz w:val="44"/>
          <w:szCs w:val="44"/>
        </w:rPr>
      </w:pPr>
    </w:p>
    <w:p w14:paraId="52B8CFBD">
      <w:pPr>
        <w:ind w:firstLine="1760" w:firstLineChars="400"/>
        <w:rPr>
          <w:rFonts w:ascii="黑体" w:eastAsia="黑体"/>
          <w:sz w:val="44"/>
          <w:szCs w:val="44"/>
        </w:rPr>
      </w:pPr>
    </w:p>
    <w:p w14:paraId="3CDA098D">
      <w:pPr>
        <w:ind w:firstLine="1760" w:firstLineChars="400"/>
        <w:rPr>
          <w:rFonts w:ascii="黑体" w:eastAsia="黑体"/>
          <w:sz w:val="44"/>
          <w:szCs w:val="44"/>
        </w:rPr>
      </w:pPr>
    </w:p>
    <w:p w14:paraId="70B6B28A">
      <w:pPr>
        <w:ind w:firstLine="1760" w:firstLineChars="400"/>
        <w:rPr>
          <w:rFonts w:ascii="黑体" w:eastAsia="黑体"/>
          <w:sz w:val="44"/>
          <w:szCs w:val="44"/>
        </w:rPr>
      </w:pPr>
    </w:p>
    <w:p w14:paraId="7AD622E9">
      <w:pPr>
        <w:ind w:firstLine="1760" w:firstLineChars="400"/>
        <w:rPr>
          <w:rFonts w:ascii="黑体" w:eastAsia="黑体"/>
          <w:sz w:val="44"/>
          <w:szCs w:val="44"/>
        </w:rPr>
      </w:pPr>
    </w:p>
    <w:p w14:paraId="0D6090F5">
      <w:pPr>
        <w:ind w:firstLine="1760" w:firstLineChars="400"/>
        <w:rPr>
          <w:rFonts w:ascii="黑体" w:eastAsia="黑体"/>
          <w:sz w:val="44"/>
          <w:szCs w:val="44"/>
        </w:rPr>
      </w:pPr>
    </w:p>
    <w:p w14:paraId="60B57124">
      <w:pPr>
        <w:ind w:firstLine="1760" w:firstLineChars="400"/>
        <w:rPr>
          <w:rFonts w:ascii="黑体" w:eastAsia="黑体"/>
          <w:sz w:val="44"/>
          <w:szCs w:val="44"/>
        </w:rPr>
      </w:pPr>
    </w:p>
    <w:p w14:paraId="4B7258D7">
      <w:pPr>
        <w:ind w:firstLine="1760" w:firstLineChars="400"/>
        <w:rPr>
          <w:rFonts w:ascii="黑体" w:eastAsia="黑体"/>
          <w:sz w:val="44"/>
          <w:szCs w:val="44"/>
        </w:rPr>
      </w:pPr>
    </w:p>
    <w:p w14:paraId="1B04EB34">
      <w:pPr>
        <w:ind w:firstLine="1760" w:firstLineChars="400"/>
        <w:rPr>
          <w:rFonts w:ascii="黑体" w:eastAsia="黑体"/>
          <w:sz w:val="44"/>
          <w:szCs w:val="44"/>
        </w:rPr>
      </w:pPr>
    </w:p>
    <w:p w14:paraId="078A6DB5">
      <w:pPr>
        <w:rPr>
          <w:rFonts w:ascii="黑体" w:eastAsia="黑体"/>
          <w:sz w:val="44"/>
          <w:szCs w:val="44"/>
        </w:rPr>
      </w:pPr>
    </w:p>
    <w:p w14:paraId="2C371E65">
      <w:pPr>
        <w:ind w:firstLine="3120" w:firstLineChars="600"/>
        <w:rPr>
          <w:rFonts w:ascii="黑体" w:eastAsia="黑体"/>
          <w:sz w:val="52"/>
          <w:szCs w:val="52"/>
        </w:rPr>
      </w:pPr>
      <w:r>
        <w:rPr>
          <w:rFonts w:hint="eastAsia" w:ascii="黑体" w:eastAsia="黑体"/>
          <w:sz w:val="52"/>
          <w:szCs w:val="52"/>
        </w:rPr>
        <w:t>目录</w:t>
      </w:r>
    </w:p>
    <w:p w14:paraId="4373BBD3">
      <w:pPr>
        <w:ind w:firstLine="3080" w:firstLineChars="700"/>
        <w:rPr>
          <w:rFonts w:ascii="黑体" w:eastAsia="黑体"/>
          <w:sz w:val="44"/>
          <w:szCs w:val="44"/>
        </w:rPr>
      </w:pPr>
    </w:p>
    <w:p w14:paraId="40867188">
      <w:pPr>
        <w:pStyle w:val="11"/>
        <w:ind w:firstLine="0" w:firstLineChars="0"/>
        <w:rPr>
          <w:rFonts w:ascii="黑体" w:eastAsia="黑体"/>
          <w:sz w:val="32"/>
          <w:szCs w:val="32"/>
        </w:rPr>
      </w:pPr>
      <w:r>
        <w:rPr>
          <w:rFonts w:hint="eastAsia" w:ascii="黑体" w:eastAsia="黑体"/>
          <w:sz w:val="32"/>
          <w:szCs w:val="32"/>
        </w:rPr>
        <w:t>一、基本职能及主要工作</w:t>
      </w:r>
    </w:p>
    <w:p w14:paraId="27D0CABB">
      <w:pPr>
        <w:rPr>
          <w:rFonts w:ascii="楷体" w:eastAsia="楷体"/>
          <w:color w:val="000000" w:themeColor="text1"/>
          <w:sz w:val="32"/>
          <w:szCs w:val="32"/>
          <w14:textFill>
            <w14:solidFill>
              <w14:schemeClr w14:val="tx1"/>
            </w14:solidFill>
          </w14:textFill>
        </w:rPr>
      </w:pPr>
      <w:r>
        <w:rPr>
          <w:rFonts w:hint="eastAsia" w:ascii="楷体" w:eastAsia="楷体"/>
          <w:color w:val="000000" w:themeColor="text1"/>
          <w:sz w:val="32"/>
          <w:szCs w:val="32"/>
          <w14:textFill>
            <w14:solidFill>
              <w14:schemeClr w14:val="tx1"/>
            </w14:solidFill>
          </w14:textFill>
        </w:rPr>
        <w:t>（一）部门职能简介</w:t>
      </w:r>
    </w:p>
    <w:p w14:paraId="6ACB0DC6">
      <w:pPr>
        <w:rPr>
          <w:rFonts w:ascii="楷体" w:eastAsia="楷体"/>
          <w:color w:val="000000" w:themeColor="text1"/>
          <w:sz w:val="32"/>
          <w:szCs w:val="32"/>
          <w14:textFill>
            <w14:solidFill>
              <w14:schemeClr w14:val="tx1"/>
            </w14:solidFill>
          </w14:textFill>
        </w:rPr>
      </w:pPr>
      <w:r>
        <w:rPr>
          <w:rFonts w:hint="eastAsia" w:ascii="楷体" w:eastAsia="楷体"/>
          <w:color w:val="000000" w:themeColor="text1"/>
          <w:sz w:val="32"/>
          <w:szCs w:val="32"/>
          <w14:textFill>
            <w14:solidFill>
              <w14:schemeClr w14:val="tx1"/>
            </w14:solidFill>
          </w14:textFill>
        </w:rPr>
        <w:t>（二）</w:t>
      </w:r>
      <w:r>
        <w:rPr>
          <w:rFonts w:ascii="楷体" w:eastAsia="楷体"/>
          <w:color w:val="000000" w:themeColor="text1"/>
          <w:sz w:val="32"/>
          <w:szCs w:val="32"/>
          <w14:textFill>
            <w14:solidFill>
              <w14:schemeClr w14:val="tx1"/>
            </w14:solidFill>
          </w14:textFill>
        </w:rPr>
        <w:t>2025</w:t>
      </w:r>
      <w:r>
        <w:rPr>
          <w:rFonts w:hint="eastAsia" w:ascii="楷体" w:eastAsia="楷体"/>
          <w:color w:val="000000" w:themeColor="text1"/>
          <w:sz w:val="32"/>
          <w:szCs w:val="32"/>
          <w14:textFill>
            <w14:solidFill>
              <w14:schemeClr w14:val="tx1"/>
            </w14:solidFill>
          </w14:textFill>
        </w:rPr>
        <w:t>年重点工作</w:t>
      </w:r>
    </w:p>
    <w:p w14:paraId="6023D031">
      <w:pPr>
        <w:rPr>
          <w:rFonts w:ascii="黑体" w:eastAsia="黑体"/>
          <w:sz w:val="32"/>
          <w:szCs w:val="32"/>
        </w:rPr>
      </w:pPr>
      <w:r>
        <w:rPr>
          <w:rFonts w:hint="eastAsia" w:ascii="黑体" w:eastAsia="黑体"/>
          <w:sz w:val="32"/>
          <w:szCs w:val="32"/>
        </w:rPr>
        <w:t>二、部门预算单位构成</w:t>
      </w:r>
    </w:p>
    <w:p w14:paraId="16610AE4">
      <w:pPr>
        <w:rPr>
          <w:rFonts w:ascii="黑体" w:eastAsia="黑体"/>
          <w:sz w:val="32"/>
          <w:szCs w:val="32"/>
        </w:rPr>
      </w:pPr>
      <w:r>
        <w:rPr>
          <w:rFonts w:hint="eastAsia" w:ascii="黑体" w:eastAsia="黑体"/>
          <w:sz w:val="32"/>
          <w:szCs w:val="32"/>
        </w:rPr>
        <w:t>三、收支预算情况说明</w:t>
      </w:r>
    </w:p>
    <w:p w14:paraId="137EBE42">
      <w:pPr>
        <w:rPr>
          <w:rFonts w:ascii="楷体" w:eastAsia="楷体"/>
          <w:sz w:val="32"/>
          <w:szCs w:val="32"/>
        </w:rPr>
      </w:pPr>
      <w:r>
        <w:rPr>
          <w:rFonts w:hint="eastAsia" w:ascii="楷体" w:eastAsia="楷体"/>
          <w:sz w:val="32"/>
          <w:szCs w:val="32"/>
        </w:rPr>
        <w:t>（一）收入预算情况</w:t>
      </w:r>
    </w:p>
    <w:p w14:paraId="33C98943">
      <w:pPr>
        <w:rPr>
          <w:rFonts w:ascii="楷体" w:eastAsia="楷体"/>
          <w:sz w:val="32"/>
          <w:szCs w:val="32"/>
        </w:rPr>
      </w:pPr>
      <w:r>
        <w:rPr>
          <w:rFonts w:hint="eastAsia" w:ascii="楷体" w:eastAsia="楷体"/>
          <w:sz w:val="32"/>
          <w:szCs w:val="32"/>
        </w:rPr>
        <w:t>（二）支出预算情况</w:t>
      </w:r>
    </w:p>
    <w:p w14:paraId="6750DA33">
      <w:pPr>
        <w:rPr>
          <w:rFonts w:ascii="黑体" w:eastAsia="黑体"/>
          <w:sz w:val="32"/>
          <w:szCs w:val="32"/>
        </w:rPr>
      </w:pPr>
      <w:r>
        <w:rPr>
          <w:rFonts w:hint="eastAsia" w:ascii="黑体" w:eastAsia="黑体"/>
          <w:sz w:val="32"/>
          <w:szCs w:val="32"/>
        </w:rPr>
        <w:t>四、财政拨款收支预算情况说明</w:t>
      </w:r>
    </w:p>
    <w:p w14:paraId="68FB3FFA">
      <w:pPr>
        <w:rPr>
          <w:rFonts w:ascii="黑体" w:eastAsia="黑体"/>
          <w:sz w:val="32"/>
          <w:szCs w:val="32"/>
        </w:rPr>
      </w:pPr>
      <w:r>
        <w:rPr>
          <w:rFonts w:hint="eastAsia" w:ascii="黑体" w:eastAsia="黑体"/>
          <w:sz w:val="32"/>
          <w:szCs w:val="32"/>
        </w:rPr>
        <w:t>五、一般公共预算当年拨款情况说明</w:t>
      </w:r>
    </w:p>
    <w:p w14:paraId="0B8A7867">
      <w:pPr>
        <w:rPr>
          <w:rFonts w:hint="eastAsia" w:ascii="楷体" w:eastAsia="楷体"/>
          <w:sz w:val="32"/>
          <w:szCs w:val="32"/>
          <w:lang w:eastAsia="zh-CN"/>
        </w:rPr>
      </w:pPr>
      <w:r>
        <w:rPr>
          <w:rFonts w:hint="eastAsia" w:ascii="楷体" w:eastAsia="楷体"/>
          <w:sz w:val="32"/>
          <w:szCs w:val="32"/>
        </w:rPr>
        <w:t>（一）一般公共预算当年拨款规模变化情况</w:t>
      </w:r>
    </w:p>
    <w:p w14:paraId="4E04F811">
      <w:pPr>
        <w:rPr>
          <w:rFonts w:hint="eastAsia" w:ascii="楷体" w:eastAsia="楷体"/>
          <w:sz w:val="32"/>
          <w:szCs w:val="32"/>
          <w:lang w:eastAsia="zh-CN"/>
        </w:rPr>
      </w:pPr>
      <w:r>
        <w:rPr>
          <w:rFonts w:hint="eastAsia" w:ascii="楷体" w:eastAsia="楷体"/>
          <w:sz w:val="32"/>
          <w:szCs w:val="32"/>
        </w:rPr>
        <w:t>（二）一般公共预算当年拨款结构情况</w:t>
      </w:r>
    </w:p>
    <w:p w14:paraId="144831F8">
      <w:pPr>
        <w:rPr>
          <w:rFonts w:hint="eastAsia" w:ascii="楷体" w:eastAsia="楷体"/>
          <w:sz w:val="32"/>
          <w:szCs w:val="32"/>
          <w:lang w:eastAsia="zh-CN"/>
        </w:rPr>
      </w:pPr>
      <w:r>
        <w:rPr>
          <w:rFonts w:hint="eastAsia" w:ascii="楷体" w:eastAsia="楷体"/>
          <w:sz w:val="32"/>
          <w:szCs w:val="32"/>
        </w:rPr>
        <w:t>（三）一般公共预算当年拨款具体使用情况</w:t>
      </w:r>
    </w:p>
    <w:p w14:paraId="4A09FF76">
      <w:pPr>
        <w:rPr>
          <w:rFonts w:hint="eastAsia" w:ascii="黑体" w:eastAsia="黑体"/>
          <w:sz w:val="32"/>
          <w:szCs w:val="32"/>
          <w:lang w:eastAsia="zh-CN"/>
        </w:rPr>
      </w:pPr>
      <w:r>
        <w:rPr>
          <w:rFonts w:hint="eastAsia" w:ascii="黑体" w:eastAsia="黑体"/>
          <w:sz w:val="32"/>
          <w:szCs w:val="32"/>
        </w:rPr>
        <w:t>六、一般公共预算基本支出情况说明</w:t>
      </w:r>
    </w:p>
    <w:p w14:paraId="10F9C7FA">
      <w:pPr>
        <w:rPr>
          <w:rFonts w:hint="eastAsia" w:ascii="黑体" w:eastAsia="黑体"/>
          <w:sz w:val="32"/>
          <w:szCs w:val="32"/>
          <w:lang w:eastAsia="zh-CN"/>
        </w:rPr>
      </w:pPr>
      <w:r>
        <w:rPr>
          <w:rFonts w:hint="eastAsia" w:ascii="黑体" w:eastAsia="黑体"/>
          <w:sz w:val="32"/>
          <w:szCs w:val="32"/>
        </w:rPr>
        <w:t>七、“三公”经费财政拨款预算安排情况说明</w:t>
      </w:r>
    </w:p>
    <w:p w14:paraId="45407F77">
      <w:pPr>
        <w:rPr>
          <w:rFonts w:hint="eastAsia" w:ascii="黑体" w:eastAsia="黑体"/>
          <w:sz w:val="32"/>
          <w:szCs w:val="32"/>
          <w:lang w:eastAsia="zh-CN"/>
        </w:rPr>
      </w:pPr>
      <w:r>
        <w:rPr>
          <w:rFonts w:hint="eastAsia" w:ascii="黑体" w:eastAsia="黑体"/>
          <w:sz w:val="32"/>
          <w:szCs w:val="32"/>
        </w:rPr>
        <w:t>八、政府性基金预算支出情况说明</w:t>
      </w:r>
    </w:p>
    <w:p w14:paraId="53876837">
      <w:pPr>
        <w:rPr>
          <w:rFonts w:hint="eastAsia" w:ascii="黑体" w:eastAsia="黑体"/>
          <w:sz w:val="32"/>
          <w:szCs w:val="32"/>
          <w:lang w:eastAsia="zh-CN"/>
        </w:rPr>
      </w:pPr>
      <w:r>
        <w:rPr>
          <w:rFonts w:hint="eastAsia" w:ascii="黑体" w:eastAsia="黑体"/>
          <w:sz w:val="32"/>
          <w:szCs w:val="32"/>
        </w:rPr>
        <w:t>九、其他重要事项的情况说明</w:t>
      </w:r>
    </w:p>
    <w:p w14:paraId="2A3E824A">
      <w:pPr>
        <w:rPr>
          <w:rFonts w:ascii="黑体" w:eastAsia="黑体"/>
          <w:sz w:val="32"/>
          <w:szCs w:val="32"/>
        </w:rPr>
      </w:pPr>
      <w:r>
        <w:rPr>
          <w:rFonts w:hint="eastAsia" w:ascii="黑体" w:eastAsia="黑体"/>
          <w:sz w:val="32"/>
          <w:szCs w:val="32"/>
        </w:rPr>
        <w:t>十、名称解释</w:t>
      </w:r>
    </w:p>
    <w:p w14:paraId="11D969CD">
      <w:pPr>
        <w:rPr>
          <w:rFonts w:ascii="黑体" w:eastAsia="黑体"/>
          <w:sz w:val="32"/>
          <w:szCs w:val="32"/>
        </w:rPr>
      </w:pPr>
    </w:p>
    <w:p w14:paraId="552CAA0C">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4283E49">
      <w:pPr>
        <w:pStyle w:val="11"/>
        <w:rPr>
          <w:rFonts w:ascii="黑体" w:eastAsia="黑体"/>
          <w:sz w:val="32"/>
          <w:szCs w:val="32"/>
        </w:rPr>
      </w:pPr>
      <w:r>
        <w:rPr>
          <w:rFonts w:hint="eastAsia" w:ascii="黑体" w:eastAsia="黑体"/>
          <w:sz w:val="32"/>
          <w:szCs w:val="32"/>
        </w:rPr>
        <w:t>一、基本职能及主要工作</w:t>
      </w:r>
    </w:p>
    <w:p w14:paraId="7ADC33E4">
      <w:pPr>
        <w:ind w:firstLine="640" w:firstLineChars="200"/>
        <w:rPr>
          <w:rFonts w:hint="eastAsia" w:ascii="楷体" w:eastAsia="楷体"/>
          <w:sz w:val="32"/>
          <w:szCs w:val="32"/>
        </w:rPr>
      </w:pPr>
      <w:r>
        <w:rPr>
          <w:rFonts w:hint="eastAsia" w:ascii="楷体" w:eastAsia="楷体"/>
          <w:sz w:val="32"/>
          <w:szCs w:val="32"/>
        </w:rPr>
        <w:t>（一）部门职能简介</w:t>
      </w:r>
    </w:p>
    <w:p w14:paraId="3815A064">
      <w:pPr>
        <w:pStyle w:val="12"/>
        <w:spacing w:before="0" w:line="360" w:lineRule="auto"/>
        <w:ind w:firstLine="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用“科研兴教”实现“质量立校”，推进素质教育发展和迈向教育现代化步伐，服务和促进教育发展，教育水平和教学质量的不断提高。1、依法行使教学业务管理（国家教育方针的贯彻和课程计划的落实等）和教育教学研究职能。2、视导和参与督评县校教育、教学、教研工作。3、组织，指导，管理教育教学研究活动。4、参与编审和指导地方（学校课程）使用。5、参加对教师的业务培训与素质评价。6、区域性教育教学教研发展咨询。7、为教育行政部门提供有学术价值和使用价值的建议和方案，为领导决策提供咨询服务。8、加强教学业务的管理和教学质量的分析评估，努力促进我州办学效益的提高。</w:t>
      </w:r>
    </w:p>
    <w:p w14:paraId="1B8A3D43">
      <w:pPr>
        <w:rPr>
          <w:rFonts w:hint="eastAsia"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49848E9B">
      <w:pPr>
        <w:pStyle w:val="12"/>
        <w:spacing w:before="0" w:line="360" w:lineRule="auto"/>
        <w:ind w:firstLine="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在2025年，我们将致力于全面提升教育管理水平，优化教研环境，促进科研成果的转化应用，深化教育信息化改革，并持续改进实验管理工作，以确保教育教学质量的稳步提升。</w:t>
      </w:r>
    </w:p>
    <w:p w14:paraId="4C2281A5">
      <w:pPr>
        <w:pStyle w:val="12"/>
        <w:spacing w:before="0" w:line="360" w:lineRule="auto"/>
        <w:ind w:firstLine="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（一）进一步健全和完善相关制度</w:t>
      </w:r>
    </w:p>
    <w:p w14:paraId="1BEB8930">
      <w:pPr>
        <w:pStyle w:val="12"/>
        <w:spacing w:before="0" w:line="360" w:lineRule="auto"/>
        <w:ind w:firstLine="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（二）提升教研工作深度和广度</w:t>
      </w:r>
    </w:p>
    <w:p w14:paraId="656BDA3F">
      <w:pPr>
        <w:pStyle w:val="12"/>
        <w:spacing w:before="0" w:line="360" w:lineRule="auto"/>
        <w:ind w:firstLine="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（三）加快推进中考改革</w:t>
      </w:r>
    </w:p>
    <w:p w14:paraId="1D35FA40">
      <w:pPr>
        <w:pStyle w:val="12"/>
        <w:spacing w:before="0" w:line="360" w:lineRule="auto"/>
        <w:ind w:firstLine="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（四）深化教育信息化工作</w:t>
      </w:r>
    </w:p>
    <w:p w14:paraId="3994E438">
      <w:pPr>
        <w:pStyle w:val="12"/>
        <w:spacing w:before="0" w:line="360" w:lineRule="auto"/>
        <w:ind w:firstLine="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 持续改进实验管理工作。要加强实验教学，及其实验工作、管理的检查。</w:t>
      </w:r>
    </w:p>
    <w:p w14:paraId="1D55F5B1">
      <w:pPr>
        <w:pStyle w:val="12"/>
        <w:spacing w:before="0" w:line="360" w:lineRule="auto"/>
        <w:ind w:firstLine="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（六）进一步推进机构改革</w:t>
      </w:r>
    </w:p>
    <w:p w14:paraId="33668447">
      <w:pPr>
        <w:pStyle w:val="12"/>
        <w:spacing w:before="0" w:line="360" w:lineRule="auto"/>
        <w:ind w:firstLine="6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（七）加深与省内外教育发达地区的沟通交流合作</w:t>
      </w:r>
    </w:p>
    <w:p w14:paraId="3CF5D6A3">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14:paraId="5EEBAC8C">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720" w:right="0" w:firstLine="640" w:firstLineChars="200"/>
        <w:jc w:val="both"/>
        <w:rPr>
          <w:rFonts w:hint="eastAsia" w:ascii="宋体" w:hAnsi="宋体" w:eastAsia="宋体" w:cs="宋体"/>
          <w:color w:val="000000"/>
          <w:kern w:val="2"/>
          <w:sz w:val="30"/>
          <w:szCs w:val="30"/>
          <w:lang w:val="en-US" w:eastAsia="zh-CN" w:bidi="ar-SA"/>
        </w:rPr>
      </w:pPr>
      <w:r>
        <w:rPr>
          <w:rFonts w:hint="eastAsia" w:ascii="仿宋" w:hAnsi="仿宋" w:eastAsia="仿宋" w:cs="仿宋"/>
          <w:kern w:val="0"/>
          <w:sz w:val="32"/>
          <w:szCs w:val="32"/>
          <w:lang w:val="en-US" w:eastAsia="zh-CN" w:bidi="ar-SA"/>
        </w:rPr>
        <w:t>本单位本年度纳入本套决算编制范围的独立编制机构数共1个，比上年增加0个,无变动情况及原因；独立核算机构数共1个，比上年增加0个，无变动情况及原因。本部门下属二级预算单位1个，其中内设机构12个。</w:t>
      </w:r>
    </w:p>
    <w:p w14:paraId="6866AFD8">
      <w:pPr>
        <w:pStyle w:val="11"/>
        <w:ind w:left="720" w:firstLine="0" w:firstLineChars="0"/>
        <w:rPr>
          <w:rFonts w:ascii="黑体" w:eastAsia="黑体"/>
          <w:sz w:val="32"/>
          <w:szCs w:val="32"/>
        </w:rPr>
      </w:pPr>
      <w:r>
        <w:rPr>
          <w:rFonts w:hint="eastAsia" w:ascii="黑体" w:eastAsia="黑体"/>
          <w:sz w:val="32"/>
          <w:szCs w:val="32"/>
        </w:rPr>
        <w:t>三、收支预算情况说明</w:t>
      </w:r>
    </w:p>
    <w:p w14:paraId="0C7ECF2D">
      <w:pPr>
        <w:ind w:firstLine="640" w:firstLineChars="200"/>
        <w:rPr>
          <w:rFonts w:hint="eastAsia" w:ascii="楷体" w:eastAsia="楷体"/>
          <w:sz w:val="32"/>
          <w:szCs w:val="32"/>
        </w:rPr>
      </w:pPr>
      <w:r>
        <w:rPr>
          <w:rFonts w:hint="eastAsia" w:ascii="楷体" w:eastAsia="楷体"/>
          <w:sz w:val="32"/>
          <w:szCs w:val="32"/>
        </w:rPr>
        <w:t>（一）收入预算情况</w:t>
      </w:r>
    </w:p>
    <w:p w14:paraId="3E4DECD8">
      <w:pPr>
        <w:pStyle w:val="12"/>
        <w:spacing w:before="0" w:line="360" w:lineRule="auto"/>
        <w:ind w:firstLine="630"/>
        <w:rPr>
          <w:rFonts w:hint="eastAsia" w:ascii="楷体" w:eastAsia="楷体"/>
          <w:sz w:val="32"/>
          <w:szCs w:val="32"/>
        </w:rPr>
      </w:pPr>
      <w:r>
        <w:rPr>
          <w:rFonts w:hint="eastAsia" w:ascii="仿宋" w:hAnsi="仿宋" w:eastAsia="仿宋" w:cs="仿宋"/>
          <w:sz w:val="32"/>
          <w:szCs w:val="32"/>
        </w:rPr>
        <w:t>州</w:t>
      </w:r>
      <w:r>
        <w:rPr>
          <w:rFonts w:hint="eastAsia" w:ascii="仿宋" w:hAnsi="仿宋" w:eastAsia="仿宋" w:cs="仿宋"/>
          <w:sz w:val="32"/>
          <w:szCs w:val="32"/>
          <w:lang w:eastAsia="zh-CN"/>
        </w:rPr>
        <w:t>教科所</w:t>
      </w: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5</w:t>
      </w:r>
      <w:r>
        <w:rPr>
          <w:rFonts w:hint="eastAsia" w:ascii="仿宋" w:hAnsi="仿宋" w:eastAsia="仿宋" w:cs="仿宋"/>
          <w:sz w:val="32"/>
          <w:szCs w:val="32"/>
        </w:rPr>
        <w:t>年收入预算</w:t>
      </w:r>
      <w:r>
        <w:rPr>
          <w:rFonts w:hint="eastAsia" w:ascii="仿宋" w:hAnsi="仿宋" w:eastAsia="仿宋" w:cs="仿宋"/>
          <w:sz w:val="32"/>
          <w:szCs w:val="32"/>
          <w:lang w:val="en-US" w:eastAsia="zh-CN"/>
        </w:rPr>
        <w:t>1069.94</w:t>
      </w:r>
      <w:r>
        <w:rPr>
          <w:rFonts w:hint="eastAsia" w:ascii="仿宋" w:hAnsi="仿宋" w:eastAsia="仿宋" w:cs="仿宋"/>
          <w:sz w:val="32"/>
          <w:szCs w:val="32"/>
        </w:rPr>
        <w:t>万元，其中：上年结转0万元，占0%；一般公共预算拨款收入</w:t>
      </w:r>
      <w:r>
        <w:rPr>
          <w:rFonts w:hint="eastAsia" w:ascii="仿宋" w:hAnsi="仿宋" w:eastAsia="仿宋" w:cs="仿宋"/>
          <w:sz w:val="32"/>
          <w:szCs w:val="32"/>
          <w:lang w:val="en-US" w:eastAsia="zh-CN"/>
        </w:rPr>
        <w:t>1069.94</w:t>
      </w:r>
      <w:r>
        <w:rPr>
          <w:rFonts w:hint="eastAsia" w:ascii="仿宋" w:hAnsi="仿宋" w:eastAsia="仿宋" w:cs="仿宋"/>
          <w:sz w:val="32"/>
          <w:szCs w:val="32"/>
        </w:rPr>
        <w:t>万元，占</w:t>
      </w:r>
      <w:r>
        <w:rPr>
          <w:rFonts w:hint="eastAsia" w:ascii="仿宋" w:hAnsi="仿宋" w:eastAsia="仿宋" w:cs="仿宋"/>
          <w:sz w:val="32"/>
          <w:szCs w:val="32"/>
          <w:lang w:val="en-US" w:eastAsia="zh-CN"/>
        </w:rPr>
        <w:t>10</w:t>
      </w:r>
      <w:r>
        <w:rPr>
          <w:rFonts w:hint="eastAsia" w:ascii="仿宋" w:hAnsi="仿宋" w:eastAsia="仿宋" w:cs="仿宋"/>
          <w:sz w:val="32"/>
          <w:szCs w:val="32"/>
        </w:rPr>
        <w:t>0%；事业收入0万元，占0%；其他收入0万元，占0%。</w:t>
      </w:r>
    </w:p>
    <w:p w14:paraId="674CD424">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2469CE10">
      <w:pPr>
        <w:pStyle w:val="2"/>
        <w:numPr>
          <w:ilvl w:val="0"/>
          <w:numId w:val="0"/>
        </w:numPr>
        <w:ind w:left="640" w:leftChars="0"/>
        <w:rPr>
          <w:rFonts w:hint="eastAsia" w:eastAsia="仿宋"/>
          <w:lang w:eastAsia="zh-CN"/>
        </w:rPr>
      </w:pPr>
      <w:r>
        <w:rPr>
          <w:rFonts w:hint="eastAsia" w:ascii="仿宋" w:hAnsi="仿宋" w:eastAsia="仿宋" w:cs="仿宋"/>
          <w:sz w:val="32"/>
          <w:szCs w:val="32"/>
        </w:rPr>
        <w:t>州教</w:t>
      </w:r>
      <w:r>
        <w:rPr>
          <w:rFonts w:hint="eastAsia" w:ascii="仿宋" w:hAnsi="仿宋" w:eastAsia="仿宋" w:cs="仿宋"/>
          <w:sz w:val="32"/>
          <w:szCs w:val="32"/>
          <w:lang w:eastAsia="zh-CN"/>
        </w:rPr>
        <w:t>科所</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1069.94</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1006.94</w:t>
      </w:r>
      <w:r>
        <w:rPr>
          <w:rFonts w:hint="eastAsia" w:ascii="仿宋" w:hAnsi="仿宋" w:eastAsia="仿宋" w:cs="仿宋"/>
          <w:sz w:val="32"/>
          <w:szCs w:val="32"/>
        </w:rPr>
        <w:t>万元，占</w:t>
      </w:r>
      <w:r>
        <w:rPr>
          <w:rFonts w:hint="eastAsia" w:ascii="仿宋" w:hAnsi="仿宋" w:eastAsia="仿宋" w:cs="仿宋"/>
          <w:sz w:val="32"/>
          <w:szCs w:val="32"/>
          <w:lang w:val="en-US" w:eastAsia="zh-CN"/>
        </w:rPr>
        <w:t>94.1</w:t>
      </w:r>
      <w:r>
        <w:rPr>
          <w:rFonts w:hint="eastAsia" w:ascii="仿宋" w:hAnsi="仿宋" w:eastAsia="仿宋" w:cs="仿宋"/>
          <w:sz w:val="32"/>
          <w:szCs w:val="32"/>
        </w:rPr>
        <w:t>%；项目支出</w:t>
      </w:r>
      <w:r>
        <w:rPr>
          <w:rFonts w:hint="eastAsia" w:ascii="仿宋" w:hAnsi="仿宋" w:eastAsia="仿宋" w:cs="仿宋"/>
          <w:sz w:val="32"/>
          <w:szCs w:val="32"/>
          <w:lang w:val="en-US" w:eastAsia="zh-CN"/>
        </w:rPr>
        <w:t>63</w:t>
      </w:r>
      <w:r>
        <w:rPr>
          <w:rFonts w:hint="eastAsia" w:ascii="仿宋" w:hAnsi="仿宋" w:eastAsia="仿宋" w:cs="仿宋"/>
          <w:sz w:val="32"/>
          <w:szCs w:val="32"/>
        </w:rPr>
        <w:t>万元，占</w:t>
      </w:r>
      <w:r>
        <w:rPr>
          <w:rFonts w:hint="eastAsia" w:ascii="仿宋" w:hAnsi="仿宋" w:eastAsia="仿宋" w:cs="仿宋"/>
          <w:sz w:val="32"/>
          <w:szCs w:val="32"/>
          <w:lang w:val="en-US" w:eastAsia="zh-CN"/>
        </w:rPr>
        <w:t>5.9</w:t>
      </w:r>
      <w:r>
        <w:rPr>
          <w:rFonts w:hint="eastAsia" w:ascii="仿宋" w:hAnsi="仿宋" w:eastAsia="仿宋" w:cs="仿宋"/>
          <w:sz w:val="32"/>
          <w:szCs w:val="32"/>
        </w:rPr>
        <w:t>%</w:t>
      </w:r>
      <w:r>
        <w:rPr>
          <w:rFonts w:hint="eastAsia" w:ascii="仿宋" w:hAnsi="仿宋" w:eastAsia="仿宋" w:cs="仿宋"/>
          <w:sz w:val="32"/>
          <w:szCs w:val="32"/>
          <w:lang w:eastAsia="zh-CN"/>
        </w:rPr>
        <w:t>。</w:t>
      </w:r>
    </w:p>
    <w:p w14:paraId="66F29EB2">
      <w:pPr>
        <w:ind w:left="638" w:leftChars="304"/>
        <w:rPr>
          <w:rFonts w:hint="eastAsia" w:ascii="黑体" w:eastAsia="黑体"/>
          <w:sz w:val="32"/>
          <w:szCs w:val="32"/>
          <w:lang w:eastAsia="zh-CN"/>
        </w:rPr>
      </w:pPr>
      <w:r>
        <w:rPr>
          <w:rFonts w:hint="eastAsia" w:ascii="黑体" w:eastAsia="黑体"/>
          <w:sz w:val="32"/>
          <w:szCs w:val="32"/>
        </w:rPr>
        <w:t>四、财政拨款收支预算情况说明</w:t>
      </w:r>
    </w:p>
    <w:p w14:paraId="2BCC5C74">
      <w:pPr>
        <w:ind w:left="638" w:leftChars="304"/>
        <w:rPr>
          <w:rFonts w:ascii="仿宋_GB2312" w:eastAsia="仿宋_GB2312"/>
          <w:sz w:val="32"/>
          <w:szCs w:val="32"/>
        </w:rPr>
      </w:pPr>
      <w:r>
        <w:rPr>
          <w:rFonts w:hint="eastAsia" w:ascii="仿宋_GB2312" w:eastAsia="仿宋_GB2312" w:cs="仿宋_GB2312"/>
          <w:sz w:val="32"/>
          <w:szCs w:val="32"/>
          <w:lang w:eastAsia="zh-CN"/>
        </w:rPr>
        <w:t>州教科所</w:t>
      </w:r>
      <w:r>
        <w:rPr>
          <w:rFonts w:hint="eastAsia" w:ascii="仿宋_GB2312" w:eastAsia="仿宋_GB2312"/>
          <w:sz w:val="32"/>
          <w:szCs w:val="32"/>
        </w:rPr>
        <w:t>2025年财政拨款收支总预算</w:t>
      </w:r>
      <w:r>
        <w:rPr>
          <w:rFonts w:hint="eastAsia" w:ascii="仿宋_GB2312" w:eastAsia="仿宋_GB2312"/>
          <w:sz w:val="32"/>
          <w:szCs w:val="32"/>
          <w:lang w:val="en-US" w:eastAsia="zh-CN"/>
        </w:rPr>
        <w:t>1069.94</w:t>
      </w:r>
      <w:r>
        <w:rPr>
          <w:rFonts w:hint="eastAsia" w:ascii="仿宋_GB2312" w:eastAsia="仿宋_GB2312"/>
          <w:sz w:val="32"/>
          <w:szCs w:val="32"/>
        </w:rPr>
        <w:t>万元,比</w:t>
      </w:r>
    </w:p>
    <w:p w14:paraId="135B8176">
      <w:pPr>
        <w:rPr>
          <w:rFonts w:hint="eastAsia" w:ascii="仿宋_GB2312" w:eastAsia="仿宋_GB2312"/>
          <w:sz w:val="32"/>
          <w:szCs w:val="32"/>
          <w:lang w:val="en-US" w:eastAsia="zh-CN"/>
        </w:rPr>
      </w:pPr>
      <w:r>
        <w:rPr>
          <w:rFonts w:hint="eastAsia" w:ascii="仿宋_GB2312" w:eastAsia="仿宋_GB2312"/>
          <w:sz w:val="32"/>
          <w:szCs w:val="32"/>
        </w:rPr>
        <w:t>2024年财政拨款收支总预算增加</w:t>
      </w:r>
      <w:r>
        <w:rPr>
          <w:rFonts w:hint="eastAsia" w:ascii="仿宋_GB2312" w:eastAsia="仿宋_GB2312"/>
          <w:sz w:val="32"/>
          <w:szCs w:val="32"/>
          <w:lang w:val="en-US" w:eastAsia="zh-CN"/>
        </w:rPr>
        <w:t>158.35</w:t>
      </w:r>
      <w:r>
        <w:rPr>
          <w:rFonts w:hint="eastAsia" w:ascii="仿宋_GB2312" w:eastAsia="仿宋_GB2312"/>
          <w:sz w:val="32"/>
          <w:szCs w:val="32"/>
        </w:rPr>
        <w:t>万元，主要原因:</w:t>
      </w:r>
      <w:r>
        <w:rPr>
          <w:rFonts w:hint="eastAsia" w:ascii="仿宋_GB2312" w:eastAsia="仿宋_GB2312"/>
          <w:sz w:val="32"/>
          <w:szCs w:val="32"/>
          <w:lang w:eastAsia="zh-CN"/>
        </w:rPr>
        <w:t>机构改革州教仪站</w:t>
      </w:r>
      <w:r>
        <w:rPr>
          <w:rFonts w:hint="eastAsia" w:ascii="仿宋_GB2312" w:eastAsia="仿宋_GB2312"/>
          <w:sz w:val="32"/>
          <w:szCs w:val="32"/>
          <w:lang w:val="en-US" w:eastAsia="zh-CN"/>
        </w:rPr>
        <w:t>13人</w:t>
      </w:r>
      <w:r>
        <w:rPr>
          <w:rFonts w:hint="eastAsia" w:ascii="仿宋_GB2312" w:eastAsia="仿宋_GB2312"/>
          <w:sz w:val="32"/>
          <w:szCs w:val="32"/>
          <w:lang w:eastAsia="zh-CN"/>
        </w:rPr>
        <w:t>连人待编并入我所后各类经费有所增加。</w:t>
      </w:r>
    </w:p>
    <w:p w14:paraId="67A8020A">
      <w:pPr>
        <w:spacing w:line="540" w:lineRule="exact"/>
        <w:ind w:firstLine="640" w:firstLineChars="200"/>
        <w:rPr>
          <w:rFonts w:hint="eastAsia" w:ascii="仿宋" w:hAnsi="仿宋" w:eastAsia="仿宋" w:cs="仿宋"/>
          <w:sz w:val="32"/>
          <w:szCs w:val="32"/>
          <w:lang w:val="en-US" w:eastAsia="zh-CN"/>
        </w:rPr>
      </w:pPr>
      <w:r>
        <w:rPr>
          <w:rFonts w:hint="eastAsia" w:ascii="仿宋_GB2312" w:eastAsia="仿宋_GB2312" w:cs="仿宋_GB2312"/>
          <w:sz w:val="32"/>
          <w:szCs w:val="32"/>
        </w:rPr>
        <w:t>收入包括：</w:t>
      </w:r>
      <w:r>
        <w:rPr>
          <w:rFonts w:hint="eastAsia" w:ascii="仿宋_GB2312" w:eastAsia="仿宋_GB2312" w:cs="仿宋_GB2312"/>
          <w:sz w:val="32"/>
          <w:szCs w:val="32"/>
          <w:lang w:eastAsia="zh-CN"/>
        </w:rPr>
        <w:t>全部为</w:t>
      </w:r>
      <w:r>
        <w:rPr>
          <w:rFonts w:hint="eastAsia" w:ascii="仿宋" w:hAnsi="仿宋" w:eastAsia="仿宋" w:cs="仿宋"/>
          <w:sz w:val="32"/>
          <w:szCs w:val="32"/>
        </w:rPr>
        <w:t>一般公共预算拨款收入</w:t>
      </w:r>
      <w:r>
        <w:rPr>
          <w:rFonts w:hint="eastAsia" w:ascii="仿宋" w:hAnsi="仿宋" w:eastAsia="仿宋" w:cs="仿宋"/>
          <w:sz w:val="32"/>
          <w:szCs w:val="32"/>
          <w:lang w:val="en-US" w:eastAsia="zh-CN"/>
        </w:rPr>
        <w:t>1069.94</w:t>
      </w:r>
      <w:r>
        <w:rPr>
          <w:rFonts w:hint="eastAsia" w:ascii="仿宋" w:hAnsi="仿宋" w:eastAsia="仿宋" w:cs="仿宋"/>
          <w:sz w:val="32"/>
          <w:szCs w:val="32"/>
        </w:rPr>
        <w:t>万元</w:t>
      </w:r>
      <w:r>
        <w:rPr>
          <w:rFonts w:hint="eastAsia" w:ascii="仿宋" w:hAnsi="仿宋" w:eastAsia="仿宋" w:cs="仿宋"/>
          <w:sz w:val="32"/>
          <w:szCs w:val="32"/>
          <w:lang w:val="en-US" w:eastAsia="zh-CN"/>
        </w:rPr>
        <w:t xml:space="preserve"> 。</w:t>
      </w:r>
    </w:p>
    <w:p w14:paraId="201F7A84">
      <w:pPr>
        <w:pStyle w:val="12"/>
        <w:spacing w:before="0" w:line="360" w:lineRule="auto"/>
        <w:ind w:firstLine="630"/>
        <w:rPr>
          <w:rFonts w:hint="eastAsia" w:ascii="仿宋" w:hAnsi="仿宋" w:eastAsia="仿宋" w:cs="仿宋"/>
          <w:sz w:val="32"/>
          <w:szCs w:val="32"/>
          <w:lang w:eastAsia="zh-CN"/>
        </w:rPr>
      </w:pPr>
      <w:r>
        <w:rPr>
          <w:rFonts w:hint="eastAsia" w:ascii="仿宋_GB2312" w:eastAsia="仿宋_GB2312" w:cs="仿宋_GB2312"/>
          <w:sz w:val="32"/>
          <w:szCs w:val="32"/>
        </w:rPr>
        <w:t>支出包括：</w:t>
      </w:r>
      <w:r>
        <w:rPr>
          <w:rFonts w:hint="eastAsia" w:ascii="仿宋" w:hAnsi="仿宋" w:eastAsia="仿宋" w:cs="仿宋"/>
          <w:sz w:val="32"/>
          <w:szCs w:val="32"/>
        </w:rPr>
        <w:t>一般公共服务支出0万元，教育支出</w:t>
      </w:r>
      <w:r>
        <w:rPr>
          <w:rFonts w:hint="eastAsia" w:ascii="仿宋" w:hAnsi="仿宋" w:eastAsia="仿宋" w:cs="仿宋"/>
          <w:sz w:val="32"/>
          <w:szCs w:val="32"/>
          <w:lang w:val="en-US" w:eastAsia="zh-CN"/>
        </w:rPr>
        <w:t>803.49</w:t>
      </w:r>
      <w:r>
        <w:rPr>
          <w:rFonts w:hint="eastAsia" w:ascii="仿宋" w:hAnsi="仿宋" w:eastAsia="仿宋" w:cs="仿宋"/>
          <w:sz w:val="32"/>
          <w:szCs w:val="32"/>
        </w:rPr>
        <w:t>万元，文化体育与传媒支出0万元，社会保障和就业支出</w:t>
      </w:r>
      <w:r>
        <w:rPr>
          <w:rFonts w:hint="eastAsia" w:ascii="仿宋" w:hAnsi="仿宋" w:eastAsia="仿宋" w:cs="仿宋"/>
          <w:sz w:val="32"/>
          <w:szCs w:val="32"/>
          <w:lang w:val="en-US" w:eastAsia="zh-CN"/>
        </w:rPr>
        <w:t>127.96</w:t>
      </w:r>
      <w:r>
        <w:rPr>
          <w:rFonts w:hint="eastAsia" w:ascii="仿宋" w:hAnsi="仿宋" w:eastAsia="仿宋" w:cs="仿宋"/>
          <w:sz w:val="32"/>
          <w:szCs w:val="32"/>
        </w:rPr>
        <w:t>万元，卫生</w:t>
      </w:r>
      <w:r>
        <w:rPr>
          <w:rFonts w:hint="eastAsia" w:ascii="仿宋" w:hAnsi="仿宋" w:eastAsia="仿宋" w:cs="仿宋"/>
          <w:sz w:val="32"/>
          <w:szCs w:val="32"/>
          <w:lang w:eastAsia="zh-CN"/>
        </w:rPr>
        <w:t>健康</w:t>
      </w:r>
      <w:r>
        <w:rPr>
          <w:rFonts w:hint="eastAsia" w:ascii="仿宋" w:hAnsi="仿宋" w:eastAsia="仿宋" w:cs="仿宋"/>
          <w:sz w:val="32"/>
          <w:szCs w:val="32"/>
        </w:rPr>
        <w:t>支出</w:t>
      </w:r>
      <w:r>
        <w:rPr>
          <w:rFonts w:hint="eastAsia" w:ascii="仿宋" w:hAnsi="仿宋" w:eastAsia="仿宋" w:cs="仿宋"/>
          <w:sz w:val="32"/>
          <w:szCs w:val="32"/>
          <w:lang w:val="en-US" w:eastAsia="zh-CN"/>
        </w:rPr>
        <w:t>61.41</w:t>
      </w:r>
      <w:r>
        <w:rPr>
          <w:rFonts w:hint="eastAsia" w:ascii="仿宋" w:hAnsi="仿宋" w:eastAsia="仿宋" w:cs="仿宋"/>
          <w:sz w:val="32"/>
          <w:szCs w:val="32"/>
        </w:rPr>
        <w:t>万元，住房保障支出</w:t>
      </w:r>
      <w:r>
        <w:rPr>
          <w:rFonts w:hint="eastAsia" w:ascii="仿宋" w:hAnsi="仿宋" w:eastAsia="仿宋" w:cs="仿宋"/>
          <w:sz w:val="32"/>
          <w:szCs w:val="32"/>
          <w:lang w:val="en-US" w:eastAsia="zh-CN"/>
        </w:rPr>
        <w:t>77.08</w:t>
      </w:r>
      <w:r>
        <w:rPr>
          <w:rFonts w:hint="eastAsia" w:ascii="仿宋" w:hAnsi="仿宋" w:eastAsia="仿宋" w:cs="仿宋"/>
          <w:sz w:val="32"/>
          <w:szCs w:val="32"/>
        </w:rPr>
        <w:t>万元。</w:t>
      </w:r>
    </w:p>
    <w:p w14:paraId="4585CBA4">
      <w:pPr>
        <w:spacing w:line="540" w:lineRule="exact"/>
        <w:ind w:firstLine="640" w:firstLineChars="200"/>
        <w:rPr>
          <w:rFonts w:ascii="仿宋_GB2312" w:eastAsia="仿宋_GB2312"/>
          <w:sz w:val="32"/>
          <w:szCs w:val="32"/>
        </w:rPr>
      </w:pPr>
    </w:p>
    <w:p w14:paraId="1681DD1F">
      <w:pPr>
        <w:ind w:firstLine="640" w:firstLineChars="200"/>
        <w:rPr>
          <w:rFonts w:ascii="黑体" w:eastAsia="黑体"/>
          <w:sz w:val="32"/>
          <w:szCs w:val="32"/>
        </w:rPr>
      </w:pPr>
      <w:r>
        <w:rPr>
          <w:rFonts w:hint="eastAsia" w:ascii="黑体" w:eastAsia="黑体"/>
          <w:sz w:val="32"/>
          <w:szCs w:val="32"/>
        </w:rPr>
        <w:t>五、一般公共预算当年拨款情况说明</w:t>
      </w:r>
    </w:p>
    <w:p w14:paraId="02ACB544">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38A2EE1F">
      <w:pPr>
        <w:pStyle w:val="12"/>
        <w:spacing w:before="0" w:line="360" w:lineRule="auto"/>
        <w:ind w:firstLine="660"/>
        <w:rPr>
          <w:rFonts w:cs="仿宋_GB2312"/>
          <w:kern w:val="2"/>
          <w:sz w:val="32"/>
          <w:szCs w:val="32"/>
        </w:rPr>
      </w:pPr>
      <w:r>
        <w:rPr>
          <w:rFonts w:hint="eastAsia" w:cs="仿宋_GB2312"/>
          <w:kern w:val="2"/>
          <w:sz w:val="32"/>
          <w:szCs w:val="32"/>
          <w:lang w:eastAsia="zh-CN"/>
        </w:rPr>
        <w:t>州教科所</w:t>
      </w:r>
      <w:r>
        <w:rPr>
          <w:rFonts w:hint="eastAsia" w:cs="宋体"/>
          <w:sz w:val="32"/>
          <w:szCs w:val="32"/>
        </w:rPr>
        <w:t>2025年一般公共预算当年拨款</w:t>
      </w:r>
      <w:r>
        <w:rPr>
          <w:rFonts w:hint="eastAsia" w:cs="宋体"/>
          <w:sz w:val="32"/>
          <w:szCs w:val="32"/>
          <w:lang w:val="en-US" w:eastAsia="zh-CN"/>
        </w:rPr>
        <w:t>1069.94</w:t>
      </w:r>
      <w:r>
        <w:rPr>
          <w:rFonts w:hint="eastAsia" w:cs="宋体"/>
          <w:sz w:val="32"/>
          <w:szCs w:val="32"/>
        </w:rPr>
        <w:t>万元，比2024年预算数增加</w:t>
      </w:r>
      <w:r>
        <w:rPr>
          <w:rFonts w:hint="eastAsia" w:cs="宋体"/>
          <w:sz w:val="32"/>
          <w:szCs w:val="32"/>
          <w:lang w:val="en-US" w:eastAsia="zh-CN"/>
        </w:rPr>
        <w:t>158.35</w:t>
      </w:r>
      <w:r>
        <w:rPr>
          <w:rFonts w:hint="eastAsia" w:cs="宋体"/>
          <w:sz w:val="32"/>
          <w:szCs w:val="32"/>
        </w:rPr>
        <w:t>万元，主要原因:</w:t>
      </w:r>
      <w:r>
        <w:rPr>
          <w:rFonts w:hint="eastAsia" w:ascii="仿宋_GB2312" w:eastAsia="仿宋_GB2312"/>
          <w:sz w:val="32"/>
          <w:szCs w:val="32"/>
          <w:lang w:eastAsia="zh-CN"/>
        </w:rPr>
        <w:t>机构改革州教仪站</w:t>
      </w:r>
      <w:r>
        <w:rPr>
          <w:rFonts w:hint="eastAsia" w:ascii="仿宋_GB2312" w:eastAsia="仿宋_GB2312"/>
          <w:sz w:val="32"/>
          <w:szCs w:val="32"/>
          <w:lang w:val="en-US" w:eastAsia="zh-CN"/>
        </w:rPr>
        <w:t>13人</w:t>
      </w:r>
      <w:r>
        <w:rPr>
          <w:rFonts w:hint="eastAsia" w:ascii="仿宋_GB2312" w:eastAsia="仿宋_GB2312"/>
          <w:sz w:val="32"/>
          <w:szCs w:val="32"/>
          <w:lang w:eastAsia="zh-CN"/>
        </w:rPr>
        <w:t>连人待编并入我所后各类经费有所增加。</w:t>
      </w:r>
      <w:r>
        <w:rPr>
          <w:rFonts w:hint="eastAsia" w:cs="仿宋_GB2312"/>
          <w:kern w:val="2"/>
          <w:sz w:val="32"/>
          <w:szCs w:val="32"/>
        </w:rPr>
        <w:t>　</w:t>
      </w:r>
    </w:p>
    <w:p w14:paraId="5CE6C063">
      <w:pPr>
        <w:pStyle w:val="12"/>
        <w:spacing w:before="0" w:line="360" w:lineRule="auto"/>
        <w:ind w:firstLine="660"/>
        <w:rPr>
          <w:rFonts w:hint="eastAsia" w:ascii="楷体" w:eastAsia="楷体" w:cs="仿宋_GB2312"/>
          <w:kern w:val="2"/>
          <w:sz w:val="32"/>
          <w:szCs w:val="32"/>
          <w:lang w:eastAsia="zh-CN"/>
        </w:rPr>
      </w:pPr>
      <w:r>
        <w:rPr>
          <w:rFonts w:hint="eastAsia" w:ascii="楷体" w:eastAsia="楷体" w:cs="仿宋_GB2312"/>
          <w:kern w:val="2"/>
          <w:sz w:val="32"/>
          <w:szCs w:val="32"/>
        </w:rPr>
        <w:t>（二）一般公共预算当年拨款结构情况</w:t>
      </w:r>
    </w:p>
    <w:p w14:paraId="62B96BD1">
      <w:pPr>
        <w:pStyle w:val="12"/>
        <w:spacing w:before="0" w:line="360" w:lineRule="auto"/>
        <w:ind w:firstLine="640" w:firstLineChars="200"/>
        <w:jc w:val="left"/>
        <w:rPr>
          <w:rFonts w:hint="eastAsia" w:eastAsia="仿宋_GB2312" w:cs="仿宋_GB2312"/>
          <w:kern w:val="2"/>
          <w:sz w:val="32"/>
          <w:szCs w:val="32"/>
          <w:lang w:eastAsia="zh-CN"/>
        </w:rPr>
      </w:pPr>
      <w:r>
        <w:rPr>
          <w:rFonts w:hint="eastAsia" w:cs="宋体"/>
          <w:sz w:val="32"/>
          <w:szCs w:val="32"/>
        </w:rPr>
        <w:t>一般公共服务支出</w:t>
      </w:r>
      <w:r>
        <w:rPr>
          <w:rFonts w:hint="eastAsia" w:cs="宋体"/>
          <w:sz w:val="32"/>
          <w:szCs w:val="32"/>
          <w:lang w:val="en-US" w:eastAsia="zh-CN"/>
        </w:rPr>
        <w:t>0</w:t>
      </w:r>
      <w:r>
        <w:rPr>
          <w:rFonts w:hint="eastAsia" w:cs="宋体"/>
          <w:sz w:val="32"/>
          <w:szCs w:val="32"/>
        </w:rPr>
        <w:t>万元，占</w:t>
      </w:r>
      <w:r>
        <w:rPr>
          <w:rFonts w:hint="eastAsia" w:cs="宋体"/>
          <w:sz w:val="32"/>
          <w:szCs w:val="32"/>
          <w:lang w:val="en-US" w:eastAsia="zh-CN"/>
        </w:rPr>
        <w:t>0</w:t>
      </w:r>
      <w:r>
        <w:rPr>
          <w:rFonts w:hint="eastAsia" w:cs="宋体"/>
          <w:sz w:val="32"/>
          <w:szCs w:val="32"/>
        </w:rPr>
        <w:t>%；</w:t>
      </w:r>
      <w:r>
        <w:rPr>
          <w:rFonts w:hint="eastAsia" w:cs="宋体"/>
          <w:sz w:val="32"/>
          <w:szCs w:val="32"/>
          <w:lang w:eastAsia="zh-CN"/>
        </w:rPr>
        <w:t>教育支出为</w:t>
      </w:r>
      <w:r>
        <w:rPr>
          <w:rFonts w:hint="eastAsia" w:cs="宋体"/>
          <w:sz w:val="32"/>
          <w:szCs w:val="32"/>
          <w:lang w:val="en-US" w:eastAsia="zh-CN"/>
        </w:rPr>
        <w:t>803.49万元，占75.1%；</w:t>
      </w:r>
      <w:r>
        <w:rPr>
          <w:rFonts w:hint="eastAsia" w:cs="宋体"/>
          <w:sz w:val="32"/>
          <w:szCs w:val="32"/>
        </w:rPr>
        <w:t>社会保障和就业支</w:t>
      </w:r>
      <w:r>
        <w:rPr>
          <w:rFonts w:hint="eastAsia" w:cs="宋体"/>
          <w:sz w:val="32"/>
          <w:szCs w:val="32"/>
          <w:lang w:eastAsia="zh-CN"/>
        </w:rPr>
        <w:t>出为</w:t>
      </w:r>
      <w:r>
        <w:rPr>
          <w:rFonts w:hint="eastAsia" w:cs="宋体"/>
          <w:sz w:val="32"/>
          <w:szCs w:val="32"/>
          <w:lang w:val="en-US" w:eastAsia="zh-CN"/>
        </w:rPr>
        <w:t>127.96万元，</w:t>
      </w:r>
      <w:r>
        <w:rPr>
          <w:rFonts w:hint="eastAsia" w:cs="宋体"/>
          <w:sz w:val="32"/>
          <w:szCs w:val="32"/>
        </w:rPr>
        <w:t>占</w:t>
      </w:r>
      <w:r>
        <w:rPr>
          <w:rFonts w:hint="eastAsia" w:cs="宋体"/>
          <w:sz w:val="32"/>
          <w:szCs w:val="32"/>
          <w:lang w:val="en-US" w:eastAsia="zh-CN"/>
        </w:rPr>
        <w:t>12</w:t>
      </w:r>
      <w:r>
        <w:rPr>
          <w:rFonts w:hint="eastAsia" w:cs="宋体"/>
          <w:sz w:val="32"/>
          <w:szCs w:val="32"/>
        </w:rPr>
        <w:t>%；</w:t>
      </w:r>
      <w:r>
        <w:rPr>
          <w:rFonts w:hint="eastAsia" w:cs="宋体"/>
          <w:sz w:val="32"/>
          <w:szCs w:val="32"/>
          <w:lang w:eastAsia="zh-CN"/>
        </w:rPr>
        <w:t>卫生健康支出</w:t>
      </w:r>
      <w:r>
        <w:rPr>
          <w:rFonts w:hint="eastAsia" w:cs="宋体"/>
          <w:sz w:val="32"/>
          <w:szCs w:val="32"/>
          <w:lang w:val="en-US" w:eastAsia="zh-CN"/>
        </w:rPr>
        <w:t>61.41万元，占5.7%；</w:t>
      </w:r>
      <w:r>
        <w:rPr>
          <w:rFonts w:hint="eastAsia" w:cs="宋体"/>
          <w:sz w:val="32"/>
          <w:szCs w:val="32"/>
        </w:rPr>
        <w:t>住房保障支出</w:t>
      </w:r>
      <w:r>
        <w:rPr>
          <w:rFonts w:hint="eastAsia" w:cs="宋体"/>
          <w:sz w:val="32"/>
          <w:szCs w:val="32"/>
          <w:lang w:val="en-US" w:eastAsia="zh-CN"/>
        </w:rPr>
        <w:t>77.08</w:t>
      </w:r>
      <w:r>
        <w:rPr>
          <w:rFonts w:hint="eastAsia" w:cs="宋体"/>
          <w:sz w:val="32"/>
          <w:szCs w:val="32"/>
        </w:rPr>
        <w:t>万元，占</w:t>
      </w:r>
      <w:r>
        <w:rPr>
          <w:rFonts w:hint="eastAsia" w:cs="宋体"/>
          <w:sz w:val="32"/>
          <w:szCs w:val="32"/>
          <w:lang w:val="en-US" w:eastAsia="zh-CN"/>
        </w:rPr>
        <w:t>7.2</w:t>
      </w:r>
      <w:r>
        <w:rPr>
          <w:rFonts w:hint="eastAsia" w:cs="宋体"/>
          <w:sz w:val="32"/>
          <w:szCs w:val="32"/>
        </w:rPr>
        <w:t>%</w:t>
      </w:r>
      <w:r>
        <w:rPr>
          <w:rFonts w:hint="eastAsia" w:cs="宋体"/>
          <w:sz w:val="32"/>
          <w:szCs w:val="32"/>
          <w:lang w:eastAsia="zh-CN"/>
        </w:rPr>
        <w:t>；</w:t>
      </w:r>
    </w:p>
    <w:p w14:paraId="3539A1B3">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7C2536C0">
      <w:pPr>
        <w:pStyle w:val="12"/>
        <w:spacing w:before="0" w:line="360" w:lineRule="auto"/>
        <w:ind w:firstLine="63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其他教育支出205（类）99（款）99（项）：202</w:t>
      </w:r>
      <w:r>
        <w:rPr>
          <w:rFonts w:hint="eastAsia" w:ascii="仿宋" w:hAnsi="仿宋" w:eastAsia="仿宋" w:cs="仿宋"/>
          <w:sz w:val="32"/>
          <w:szCs w:val="32"/>
          <w:lang w:val="en-US" w:eastAsia="zh-CN"/>
        </w:rPr>
        <w:t>5</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803.49</w:t>
      </w:r>
      <w:r>
        <w:rPr>
          <w:rFonts w:hint="eastAsia" w:ascii="仿宋" w:hAnsi="仿宋" w:eastAsia="仿宋" w:cs="仿宋"/>
          <w:sz w:val="32"/>
          <w:szCs w:val="32"/>
        </w:rPr>
        <w:t>万元</w:t>
      </w:r>
      <w:r>
        <w:rPr>
          <w:rFonts w:hint="eastAsia" w:ascii="仿宋" w:hAnsi="仿宋" w:eastAsia="仿宋" w:cs="仿宋"/>
          <w:sz w:val="32"/>
          <w:szCs w:val="32"/>
          <w:lang w:eastAsia="zh-CN"/>
        </w:rPr>
        <w:t>，主要用于：其他教育相关支出。</w:t>
      </w:r>
    </w:p>
    <w:p w14:paraId="4205EDE9">
      <w:pPr>
        <w:pStyle w:val="12"/>
        <w:spacing w:before="0"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机关事业养老保险缴费208（类）05（款）05（项）：</w:t>
      </w:r>
      <w:r>
        <w:rPr>
          <w:rFonts w:hint="eastAsia" w:ascii="仿宋" w:hAnsi="仿宋" w:eastAsia="仿宋" w:cs="仿宋"/>
          <w:sz w:val="32"/>
          <w:szCs w:val="32"/>
          <w:lang w:val="en-US" w:eastAsia="zh-CN"/>
        </w:rPr>
        <w:t>85.31</w:t>
      </w:r>
      <w:r>
        <w:rPr>
          <w:rFonts w:hint="eastAsia" w:ascii="仿宋" w:hAnsi="仿宋" w:eastAsia="仿宋" w:cs="仿宋"/>
          <w:sz w:val="32"/>
          <w:szCs w:val="32"/>
        </w:rPr>
        <w:t>万元</w:t>
      </w:r>
      <w:r>
        <w:rPr>
          <w:rFonts w:hint="eastAsia" w:ascii="仿宋" w:hAnsi="仿宋" w:eastAsia="仿宋" w:cs="仿宋"/>
          <w:sz w:val="32"/>
          <w:szCs w:val="32"/>
          <w:lang w:eastAsia="zh-CN"/>
        </w:rPr>
        <w:t>，主要用于：单位实施养老保险制度由单位缴纳的基本养老保险费用。</w:t>
      </w:r>
    </w:p>
    <w:p w14:paraId="78BD8B2F">
      <w:pPr>
        <w:pStyle w:val="12"/>
        <w:spacing w:before="0" w:line="360" w:lineRule="auto"/>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机关事业单位职业年金缴费支出208（类）05（款）　06（项）：</w:t>
      </w:r>
      <w:r>
        <w:rPr>
          <w:rFonts w:hint="eastAsia" w:ascii="仿宋" w:hAnsi="仿宋" w:eastAsia="仿宋" w:cs="仿宋"/>
          <w:sz w:val="32"/>
          <w:szCs w:val="32"/>
          <w:lang w:val="en-US" w:eastAsia="zh-CN"/>
        </w:rPr>
        <w:t>42.65</w:t>
      </w:r>
      <w:r>
        <w:rPr>
          <w:rFonts w:hint="eastAsia" w:ascii="仿宋" w:hAnsi="仿宋" w:eastAsia="仿宋" w:cs="仿宋"/>
          <w:sz w:val="32"/>
          <w:szCs w:val="32"/>
        </w:rPr>
        <w:t>万元。</w:t>
      </w:r>
      <w:r>
        <w:rPr>
          <w:rFonts w:hint="eastAsia" w:ascii="仿宋" w:hAnsi="仿宋" w:eastAsia="仿宋" w:cs="仿宋"/>
          <w:sz w:val="32"/>
          <w:szCs w:val="32"/>
          <w:lang w:eastAsia="zh-CN"/>
        </w:rPr>
        <w:t>主要用于：由单位缴纳的职业年金费用。</w:t>
      </w:r>
    </w:p>
    <w:p w14:paraId="7835BD20">
      <w:pPr>
        <w:pStyle w:val="12"/>
        <w:spacing w:before="0" w:line="360" w:lineRule="auto"/>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事业单位医疗210（类）11（款）02（项）：</w:t>
      </w:r>
      <w:r>
        <w:rPr>
          <w:rFonts w:hint="eastAsia" w:ascii="仿宋" w:hAnsi="仿宋" w:eastAsia="仿宋" w:cs="仿宋"/>
          <w:sz w:val="32"/>
          <w:szCs w:val="32"/>
          <w:lang w:val="en-US" w:eastAsia="zh-CN"/>
        </w:rPr>
        <w:t>46.05</w:t>
      </w:r>
      <w:r>
        <w:rPr>
          <w:rFonts w:hint="eastAsia" w:ascii="仿宋" w:hAnsi="仿宋" w:eastAsia="仿宋" w:cs="仿宋"/>
          <w:sz w:val="32"/>
          <w:szCs w:val="32"/>
        </w:rPr>
        <w:t>万元。</w:t>
      </w:r>
      <w:r>
        <w:rPr>
          <w:rFonts w:hint="eastAsia" w:ascii="仿宋" w:hAnsi="仿宋" w:eastAsia="仿宋" w:cs="仿宋"/>
          <w:sz w:val="32"/>
          <w:szCs w:val="32"/>
          <w:lang w:eastAsia="zh-CN"/>
        </w:rPr>
        <w:t>主要用于：单位基本医疗保险费用缴纳。</w:t>
      </w:r>
    </w:p>
    <w:p w14:paraId="12910167">
      <w:pPr>
        <w:pStyle w:val="12"/>
        <w:spacing w:before="0" w:line="360" w:lineRule="auto"/>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）其他行政事业单位医疗支出</w:t>
      </w:r>
      <w:r>
        <w:rPr>
          <w:rFonts w:hint="eastAsia" w:ascii="仿宋" w:hAnsi="仿宋" w:eastAsia="仿宋" w:cs="仿宋"/>
          <w:sz w:val="32"/>
          <w:szCs w:val="32"/>
        </w:rPr>
        <w:t>210（类）11（款）</w:t>
      </w:r>
      <w:r>
        <w:rPr>
          <w:rFonts w:hint="eastAsia" w:ascii="仿宋" w:hAnsi="仿宋" w:eastAsia="仿宋" w:cs="仿宋"/>
          <w:sz w:val="32"/>
          <w:szCs w:val="32"/>
          <w:lang w:val="en-US" w:eastAsia="zh-CN"/>
        </w:rPr>
        <w:t>99</w:t>
      </w:r>
      <w:r>
        <w:rPr>
          <w:rFonts w:hint="eastAsia" w:ascii="仿宋" w:hAnsi="仿宋" w:eastAsia="仿宋" w:cs="仿宋"/>
          <w:sz w:val="32"/>
          <w:szCs w:val="32"/>
        </w:rPr>
        <w:t>（项）：</w:t>
      </w:r>
      <w:r>
        <w:rPr>
          <w:rFonts w:hint="eastAsia" w:ascii="仿宋" w:hAnsi="仿宋" w:eastAsia="仿宋" w:cs="仿宋"/>
          <w:sz w:val="32"/>
          <w:szCs w:val="32"/>
          <w:lang w:val="en-US" w:eastAsia="zh-CN"/>
        </w:rPr>
        <w:t>15.36</w:t>
      </w:r>
      <w:r>
        <w:rPr>
          <w:rFonts w:hint="eastAsia" w:ascii="仿宋" w:hAnsi="仿宋" w:eastAsia="仿宋" w:cs="仿宋"/>
          <w:sz w:val="32"/>
          <w:szCs w:val="32"/>
        </w:rPr>
        <w:t>万元。</w:t>
      </w:r>
      <w:r>
        <w:rPr>
          <w:rFonts w:hint="eastAsia" w:ascii="仿宋" w:hAnsi="仿宋" w:eastAsia="仿宋" w:cs="仿宋"/>
          <w:sz w:val="32"/>
          <w:szCs w:val="32"/>
          <w:lang w:eastAsia="zh-CN"/>
        </w:rPr>
        <w:t>主要用于：单位基本医疗保险费用缴纳。</w:t>
      </w:r>
    </w:p>
    <w:p w14:paraId="31779176">
      <w:pPr>
        <w:pStyle w:val="12"/>
        <w:spacing w:before="0" w:line="360" w:lineRule="auto"/>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住房公积金221（类）02（款）01（项）：</w:t>
      </w:r>
      <w:r>
        <w:rPr>
          <w:rFonts w:hint="eastAsia" w:ascii="仿宋" w:hAnsi="仿宋" w:eastAsia="仿宋" w:cs="仿宋"/>
          <w:sz w:val="32"/>
          <w:szCs w:val="32"/>
          <w:lang w:val="en-US" w:eastAsia="zh-CN"/>
        </w:rPr>
        <w:t>77.08</w:t>
      </w:r>
      <w:r>
        <w:rPr>
          <w:rFonts w:hint="eastAsia" w:ascii="仿宋" w:hAnsi="仿宋" w:eastAsia="仿宋" w:cs="仿宋"/>
          <w:sz w:val="32"/>
          <w:szCs w:val="32"/>
        </w:rPr>
        <w:t>万元。</w:t>
      </w:r>
      <w:r>
        <w:rPr>
          <w:rFonts w:hint="eastAsia" w:ascii="仿宋" w:hAnsi="仿宋" w:eastAsia="仿宋" w:cs="仿宋"/>
          <w:sz w:val="32"/>
          <w:szCs w:val="32"/>
          <w:lang w:eastAsia="zh-CN"/>
        </w:rPr>
        <w:t>主要用于：单位住房公积金费用支出。</w:t>
      </w:r>
    </w:p>
    <w:p w14:paraId="7586A3E6">
      <w:pPr>
        <w:rPr>
          <w:rFonts w:hint="eastAsia" w:ascii="仿宋" w:hAnsi="仿宋" w:eastAsia="仿宋" w:cs="仿宋"/>
          <w:sz w:val="32"/>
          <w:szCs w:val="32"/>
          <w:lang w:eastAsia="zh-CN"/>
        </w:rPr>
      </w:pPr>
    </w:p>
    <w:p w14:paraId="5F0AEE5B">
      <w:pPr>
        <w:pStyle w:val="12"/>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4BE348AF">
      <w:pPr>
        <w:pStyle w:val="12"/>
        <w:spacing w:before="0" w:line="360" w:lineRule="auto"/>
        <w:ind w:firstLine="640" w:firstLineChars="200"/>
        <w:rPr>
          <w:rFonts w:cs="仿宋_GB2312"/>
          <w:kern w:val="2"/>
          <w:sz w:val="32"/>
          <w:szCs w:val="32"/>
        </w:rPr>
      </w:pPr>
      <w:r>
        <w:rPr>
          <w:rFonts w:hint="eastAsia" w:cs="仿宋_GB2312"/>
          <w:kern w:val="2"/>
          <w:sz w:val="32"/>
          <w:szCs w:val="32"/>
        </w:rPr>
        <w:t>部门（单位）2025年一般公共预算基本支出</w:t>
      </w:r>
      <w:r>
        <w:rPr>
          <w:rFonts w:hint="eastAsia" w:cs="仿宋_GB2312"/>
          <w:kern w:val="2"/>
          <w:sz w:val="32"/>
          <w:szCs w:val="32"/>
          <w:lang w:val="en-US" w:eastAsia="zh-CN"/>
        </w:rPr>
        <w:t>1006.94</w:t>
      </w:r>
      <w:r>
        <w:rPr>
          <w:rFonts w:hint="eastAsia" w:cs="仿宋_GB2312"/>
          <w:kern w:val="2"/>
          <w:sz w:val="32"/>
          <w:szCs w:val="32"/>
        </w:rPr>
        <w:t>万元，其中：人员经费</w:t>
      </w:r>
      <w:r>
        <w:rPr>
          <w:rFonts w:hint="eastAsia" w:cs="仿宋_GB2312"/>
          <w:kern w:val="2"/>
          <w:sz w:val="32"/>
          <w:szCs w:val="32"/>
          <w:lang w:val="en-US" w:eastAsia="zh-CN"/>
        </w:rPr>
        <w:t>915.28</w:t>
      </w:r>
      <w:r>
        <w:rPr>
          <w:rFonts w:hint="eastAsia" w:cs="仿宋_GB2312"/>
          <w:kern w:val="2"/>
          <w:sz w:val="32"/>
          <w:szCs w:val="32"/>
        </w:rPr>
        <w:t>万元，主要包括：基本工资、津贴补贴、奖金、其他社会保障缴费、绩效工资、机关事业单位基本养老保险缴费、职业年金缴费、其他工资福利支出、住房公积金、其他对个人和家庭的补助支出。</w:t>
      </w:r>
    </w:p>
    <w:p w14:paraId="6D82A427">
      <w:pPr>
        <w:pStyle w:val="12"/>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公用经费</w:t>
      </w:r>
      <w:r>
        <w:rPr>
          <w:rFonts w:hint="eastAsia" w:cs="仿宋_GB2312"/>
          <w:kern w:val="2"/>
          <w:sz w:val="32"/>
          <w:szCs w:val="32"/>
          <w:lang w:val="en-US" w:eastAsia="zh-CN"/>
        </w:rPr>
        <w:t>91.66</w:t>
      </w:r>
      <w:r>
        <w:rPr>
          <w:rFonts w:hint="eastAsia" w:cs="仿宋_GB2312"/>
          <w:kern w:val="2"/>
          <w:sz w:val="32"/>
          <w:szCs w:val="32"/>
        </w:rPr>
        <w:t>万元，主要包括：办公费、水费、</w:t>
      </w:r>
      <w:r>
        <w:rPr>
          <w:rFonts w:hint="eastAsia" w:cs="仿宋_GB2312"/>
          <w:kern w:val="2"/>
          <w:sz w:val="32"/>
          <w:szCs w:val="32"/>
          <w:lang w:eastAsia="zh-CN"/>
        </w:rPr>
        <w:t>取暖</w:t>
      </w:r>
      <w:r>
        <w:rPr>
          <w:rFonts w:hint="eastAsia" w:cs="仿宋_GB2312"/>
          <w:kern w:val="2"/>
          <w:sz w:val="32"/>
          <w:szCs w:val="32"/>
        </w:rPr>
        <w:t>费、邮电费、差旅费、维修（护）费、培训费、福利费、其</w:t>
      </w:r>
      <w:r>
        <w:rPr>
          <w:rFonts w:hint="eastAsia" w:cs="仿宋_GB2312"/>
          <w:kern w:val="2"/>
          <w:sz w:val="32"/>
          <w:szCs w:val="32"/>
          <w:lang w:eastAsia="zh-CN"/>
        </w:rPr>
        <w:t>公务用车</w:t>
      </w:r>
      <w:r>
        <w:rPr>
          <w:rFonts w:hint="eastAsia" w:cs="仿宋_GB2312"/>
          <w:kern w:val="2"/>
          <w:sz w:val="32"/>
          <w:szCs w:val="32"/>
        </w:rPr>
        <w:t>运行维护费、其他商品和服务支出。</w:t>
      </w:r>
    </w:p>
    <w:p w14:paraId="4CA92690">
      <w:pPr>
        <w:pStyle w:val="12"/>
        <w:spacing w:before="0" w:line="360" w:lineRule="auto"/>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14:paraId="3DAEF0CD">
      <w:pPr>
        <w:pStyle w:val="12"/>
        <w:spacing w:before="0" w:line="360" w:lineRule="auto"/>
        <w:ind w:firstLine="640" w:firstLineChars="200"/>
        <w:rPr>
          <w:rFonts w:cs="仿宋_GB2312"/>
          <w:kern w:val="2"/>
          <w:sz w:val="32"/>
          <w:szCs w:val="32"/>
        </w:rPr>
      </w:pPr>
      <w:r>
        <w:rPr>
          <w:rFonts w:hint="eastAsia" w:cs="仿宋_GB2312"/>
          <w:kern w:val="2"/>
          <w:sz w:val="32"/>
          <w:szCs w:val="32"/>
          <w:lang w:eastAsia="zh-CN"/>
        </w:rPr>
        <w:t>州教科所</w:t>
      </w:r>
      <w:r>
        <w:rPr>
          <w:rFonts w:hint="eastAsia" w:cs="仿宋_GB2312"/>
          <w:kern w:val="2"/>
          <w:sz w:val="32"/>
          <w:szCs w:val="32"/>
        </w:rPr>
        <w:t>2025年“三公”经费财政拨款预算数</w:t>
      </w:r>
      <w:r>
        <w:rPr>
          <w:rFonts w:hint="eastAsia" w:cs="仿宋_GB2312"/>
          <w:kern w:val="2"/>
          <w:sz w:val="32"/>
          <w:szCs w:val="32"/>
          <w:lang w:val="en-US" w:eastAsia="zh-CN"/>
        </w:rPr>
        <w:t>6.01</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0.97</w:t>
      </w:r>
      <w:r>
        <w:rPr>
          <w:rFonts w:hint="eastAsia" w:cs="仿宋_GB2312"/>
          <w:kern w:val="2"/>
          <w:sz w:val="32"/>
          <w:szCs w:val="32"/>
        </w:rPr>
        <w:t>万元，公务用车购置及运行维护费</w:t>
      </w:r>
      <w:r>
        <w:rPr>
          <w:rFonts w:hint="eastAsia" w:cs="仿宋_GB2312"/>
          <w:kern w:val="2"/>
          <w:sz w:val="32"/>
          <w:szCs w:val="32"/>
          <w:lang w:val="en-US" w:eastAsia="zh-CN"/>
        </w:rPr>
        <w:t>5.04</w:t>
      </w:r>
      <w:r>
        <w:rPr>
          <w:rFonts w:hint="eastAsia" w:cs="仿宋_GB2312"/>
          <w:kern w:val="2"/>
          <w:sz w:val="32"/>
          <w:szCs w:val="32"/>
        </w:rPr>
        <w:t>万元。</w:t>
      </w:r>
    </w:p>
    <w:p w14:paraId="68A0BD48">
      <w:pPr>
        <w:pStyle w:val="12"/>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14:paraId="0DAD1B9D">
      <w:pPr>
        <w:pStyle w:val="12"/>
        <w:spacing w:before="0" w:line="360" w:lineRule="auto"/>
        <w:ind w:firstLine="660"/>
        <w:rPr>
          <w:rFonts w:cs="仿宋_GB2312"/>
          <w:kern w:val="2"/>
          <w:sz w:val="32"/>
          <w:szCs w:val="32"/>
        </w:rPr>
      </w:pPr>
      <w:r>
        <w:rPr>
          <w:rFonts w:hint="eastAsia" w:cs="仿宋_GB2312"/>
          <w:kern w:val="2"/>
          <w:sz w:val="32"/>
          <w:szCs w:val="32"/>
        </w:rPr>
        <w:t>（二）</w:t>
      </w:r>
      <w:r>
        <w:rPr>
          <w:rFonts w:hint="eastAsia" w:cs="仿宋_GB2312"/>
          <w:color w:val="000000"/>
          <w:kern w:val="2"/>
          <w:sz w:val="32"/>
          <w:szCs w:val="32"/>
        </w:rPr>
        <w:t>2025年公务接待经费</w:t>
      </w:r>
      <w:r>
        <w:rPr>
          <w:rFonts w:hint="eastAsia" w:cs="仿宋_GB2312"/>
          <w:color w:val="000000"/>
          <w:kern w:val="2"/>
          <w:sz w:val="32"/>
          <w:szCs w:val="32"/>
          <w:lang w:val="en-US" w:eastAsia="zh-CN"/>
        </w:rPr>
        <w:t>0.97</w:t>
      </w:r>
      <w:r>
        <w:rPr>
          <w:rFonts w:hint="eastAsia" w:cs="仿宋_GB2312"/>
          <w:color w:val="000000"/>
          <w:kern w:val="2"/>
          <w:sz w:val="32"/>
          <w:szCs w:val="32"/>
        </w:rPr>
        <w:t>万元。较2024年预算经费</w:t>
      </w:r>
      <w:r>
        <w:rPr>
          <w:rFonts w:hint="eastAsia" w:cs="宋体"/>
          <w:sz w:val="32"/>
          <w:szCs w:val="32"/>
        </w:rPr>
        <w:t>增加</w:t>
      </w:r>
      <w:r>
        <w:rPr>
          <w:rFonts w:hint="eastAsia" w:cs="宋体"/>
          <w:sz w:val="32"/>
          <w:szCs w:val="32"/>
          <w:lang w:val="en-US" w:eastAsia="zh-CN"/>
        </w:rPr>
        <w:t>0.34</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53</w:t>
      </w:r>
      <w:r>
        <w:rPr>
          <w:rFonts w:hint="eastAsia" w:cs="仿宋_GB2312"/>
          <w:color w:val="000000"/>
          <w:kern w:val="2"/>
          <w:sz w:val="32"/>
          <w:szCs w:val="32"/>
        </w:rPr>
        <w:t>%，主要原因</w:t>
      </w:r>
      <w:r>
        <w:rPr>
          <w:rFonts w:hint="eastAsia" w:ascii="仿宋_GB2312" w:eastAsia="仿宋_GB2312"/>
          <w:sz w:val="32"/>
          <w:szCs w:val="32"/>
          <w:lang w:eastAsia="zh-CN"/>
        </w:rPr>
        <w:t>机构改革州教仪站</w:t>
      </w:r>
      <w:r>
        <w:rPr>
          <w:rFonts w:hint="eastAsia" w:ascii="仿宋_GB2312" w:eastAsia="仿宋_GB2312"/>
          <w:sz w:val="32"/>
          <w:szCs w:val="32"/>
          <w:lang w:val="en-US" w:eastAsia="zh-CN"/>
        </w:rPr>
        <w:t>13人</w:t>
      </w:r>
      <w:r>
        <w:rPr>
          <w:rFonts w:hint="eastAsia" w:ascii="仿宋_GB2312" w:eastAsia="仿宋_GB2312"/>
          <w:sz w:val="32"/>
          <w:szCs w:val="32"/>
          <w:lang w:eastAsia="zh-CN"/>
        </w:rPr>
        <w:t>连人待编并入我所后各类经费有所增加。</w:t>
      </w:r>
      <w:r>
        <w:rPr>
          <w:rFonts w:hint="eastAsia" w:cs="仿宋_GB2312"/>
          <w:kern w:val="2"/>
          <w:sz w:val="32"/>
          <w:szCs w:val="32"/>
        </w:rPr>
        <w:t>　</w:t>
      </w:r>
    </w:p>
    <w:p w14:paraId="7B62CB11">
      <w:pPr>
        <w:pStyle w:val="12"/>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color w:val="000000"/>
          <w:kern w:val="2"/>
          <w:sz w:val="32"/>
          <w:szCs w:val="32"/>
        </w:rPr>
        <w:t>（三）2025年公务用车购置及运行维护费</w:t>
      </w:r>
      <w:r>
        <w:rPr>
          <w:rFonts w:hint="eastAsia" w:cs="仿宋_GB2312"/>
          <w:color w:val="000000"/>
          <w:kern w:val="2"/>
          <w:sz w:val="32"/>
          <w:szCs w:val="32"/>
          <w:lang w:val="en-US" w:eastAsia="zh-CN"/>
        </w:rPr>
        <w:t>5.04</w:t>
      </w:r>
      <w:r>
        <w:rPr>
          <w:rFonts w:hint="eastAsia" w:cs="仿宋_GB2312"/>
          <w:color w:val="000000"/>
          <w:kern w:val="2"/>
          <w:sz w:val="32"/>
          <w:szCs w:val="32"/>
        </w:rPr>
        <w:t>万元。较2024年预算经费减少</w:t>
      </w:r>
      <w:r>
        <w:rPr>
          <w:rFonts w:hint="eastAsia" w:cs="仿宋_GB2312"/>
          <w:color w:val="000000"/>
          <w:kern w:val="2"/>
          <w:sz w:val="32"/>
          <w:szCs w:val="32"/>
          <w:lang w:val="en-US" w:eastAsia="zh-CN"/>
        </w:rPr>
        <w:t>8</w:t>
      </w:r>
      <w:r>
        <w:rPr>
          <w:rFonts w:hint="eastAsia" w:cs="仿宋_GB2312"/>
          <w:color w:val="000000"/>
          <w:kern w:val="2"/>
          <w:sz w:val="32"/>
          <w:szCs w:val="32"/>
        </w:rPr>
        <w:t>万元，</w:t>
      </w:r>
      <w:r>
        <w:rPr>
          <w:rFonts w:hint="eastAsia" w:cs="仿宋_GB2312"/>
          <w:color w:val="000000"/>
          <w:kern w:val="2"/>
          <w:sz w:val="32"/>
          <w:szCs w:val="32"/>
          <w:lang w:eastAsia="zh-CN"/>
        </w:rPr>
        <w:t>减少</w:t>
      </w:r>
      <w:r>
        <w:rPr>
          <w:rFonts w:hint="eastAsia" w:cs="仿宋_GB2312"/>
          <w:color w:val="000000"/>
          <w:kern w:val="2"/>
          <w:sz w:val="32"/>
          <w:szCs w:val="32"/>
          <w:lang w:val="en-US" w:eastAsia="zh-CN"/>
        </w:rPr>
        <w:t>61</w:t>
      </w:r>
      <w:r>
        <w:rPr>
          <w:rFonts w:hint="eastAsia" w:cs="仿宋_GB2312"/>
          <w:color w:val="000000"/>
          <w:kern w:val="2"/>
          <w:sz w:val="32"/>
          <w:szCs w:val="32"/>
        </w:rPr>
        <w:t>%，主要原因</w:t>
      </w:r>
      <w:r>
        <w:rPr>
          <w:rFonts w:hint="eastAsia" w:cs="仿宋_GB2312"/>
          <w:color w:val="000000"/>
          <w:kern w:val="2"/>
          <w:sz w:val="32"/>
          <w:szCs w:val="32"/>
          <w:lang w:eastAsia="zh-CN"/>
        </w:rPr>
        <w:t>：上年度有公务用车运行维护费的项目资金</w:t>
      </w:r>
      <w:r>
        <w:rPr>
          <w:rFonts w:hint="eastAsia" w:cs="仿宋_GB2312"/>
          <w:color w:val="000000"/>
          <w:kern w:val="2"/>
          <w:sz w:val="32"/>
          <w:szCs w:val="32"/>
          <w:lang w:val="en-US" w:eastAsia="zh-CN"/>
        </w:rPr>
        <w:t>8万元，本年度没有。</w:t>
      </w:r>
    </w:p>
    <w:p w14:paraId="3B6B0945">
      <w:pPr>
        <w:pStyle w:val="12"/>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10C8BD4F">
      <w:pPr>
        <w:pStyle w:val="12"/>
        <w:spacing w:before="0" w:line="360" w:lineRule="auto"/>
        <w:ind w:firstLine="640" w:firstLineChars="200"/>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州教科所</w:t>
      </w:r>
      <w:r>
        <w:rPr>
          <w:rFonts w:hint="eastAsia" w:ascii="仿宋" w:hAnsi="仿宋" w:eastAsia="仿宋" w:cs="仿宋"/>
          <w:kern w:val="2"/>
          <w:sz w:val="32"/>
          <w:szCs w:val="32"/>
        </w:rPr>
        <w:t>202</w:t>
      </w: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年</w:t>
      </w:r>
      <w:r>
        <w:rPr>
          <w:rFonts w:hint="eastAsia" w:ascii="仿宋" w:hAnsi="仿宋" w:eastAsia="仿宋" w:cs="仿宋"/>
          <w:kern w:val="2"/>
          <w:sz w:val="32"/>
          <w:szCs w:val="32"/>
          <w:lang w:eastAsia="zh-CN"/>
        </w:rPr>
        <w:t>没有使用</w:t>
      </w:r>
      <w:r>
        <w:rPr>
          <w:rFonts w:hint="eastAsia" w:ascii="仿宋" w:hAnsi="仿宋" w:eastAsia="仿宋" w:cs="仿宋"/>
          <w:kern w:val="2"/>
          <w:sz w:val="32"/>
          <w:szCs w:val="32"/>
        </w:rPr>
        <w:t>政府性基金预算拨款安排的支出</w:t>
      </w:r>
      <w:r>
        <w:rPr>
          <w:rFonts w:hint="eastAsia" w:ascii="仿宋" w:hAnsi="仿宋" w:eastAsia="仿宋" w:cs="仿宋"/>
          <w:kern w:val="2"/>
          <w:sz w:val="32"/>
          <w:szCs w:val="32"/>
          <w:lang w:eastAsia="zh-CN"/>
        </w:rPr>
        <w:t>。</w:t>
      </w:r>
    </w:p>
    <w:p w14:paraId="7FACE674">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4F968729">
      <w:pPr>
        <w:pStyle w:val="12"/>
        <w:spacing w:before="0" w:line="360" w:lineRule="auto"/>
        <w:ind w:firstLine="640" w:firstLineChars="200"/>
        <w:rPr>
          <w:rFonts w:hint="eastAsia" w:ascii="楷体" w:eastAsia="楷体" w:cs="仿宋_GB2312"/>
          <w:kern w:val="2"/>
          <w:sz w:val="32"/>
          <w:szCs w:val="32"/>
          <w:lang w:eastAsia="zh-CN"/>
        </w:rPr>
      </w:pPr>
      <w:r>
        <w:rPr>
          <w:rFonts w:hint="eastAsia" w:ascii="楷体" w:eastAsia="楷体" w:cs="仿宋_GB2312"/>
          <w:kern w:val="2"/>
          <w:sz w:val="32"/>
          <w:szCs w:val="32"/>
        </w:rPr>
        <w:t>（一）机关运行经费</w:t>
      </w:r>
    </w:p>
    <w:p w14:paraId="676A4462">
      <w:pPr>
        <w:pStyle w:val="12"/>
        <w:spacing w:before="0" w:line="360" w:lineRule="auto"/>
        <w:ind w:firstLine="640" w:firstLineChars="200"/>
        <w:rPr>
          <w:rFonts w:hint="eastAsia" w:ascii="仿宋" w:hAnsi="仿宋" w:eastAsia="仿宋" w:cs="仿宋"/>
          <w:kern w:val="2"/>
          <w:sz w:val="32"/>
          <w:szCs w:val="32"/>
          <w:lang w:eastAsia="zh-CN"/>
        </w:rPr>
      </w:pPr>
      <w:r>
        <w:rPr>
          <w:rFonts w:hint="eastAsia" w:cs="仿宋_GB2312"/>
          <w:kern w:val="2"/>
          <w:sz w:val="32"/>
          <w:szCs w:val="32"/>
        </w:rPr>
        <w:t>　</w:t>
      </w:r>
      <w:bookmarkStart w:id="0" w:name="OLE_LINK1"/>
      <w:r>
        <w:rPr>
          <w:rFonts w:hint="eastAsia" w:cs="仿宋_GB2312"/>
          <w:kern w:val="2"/>
          <w:sz w:val="32"/>
          <w:szCs w:val="32"/>
        </w:rPr>
        <w:t xml:space="preserve"> </w:t>
      </w:r>
      <w:r>
        <w:rPr>
          <w:rFonts w:hint="eastAsia" w:ascii="仿宋" w:hAnsi="仿宋" w:eastAsia="仿宋" w:cs="仿宋"/>
          <w:kern w:val="2"/>
          <w:sz w:val="32"/>
          <w:szCs w:val="32"/>
          <w:lang w:eastAsia="zh-CN"/>
        </w:rPr>
        <w:t>州教科所</w:t>
      </w:r>
      <w:r>
        <w:rPr>
          <w:rFonts w:hint="eastAsia" w:ascii="仿宋" w:hAnsi="仿宋" w:eastAsia="仿宋" w:cs="仿宋"/>
          <w:kern w:val="2"/>
          <w:sz w:val="32"/>
          <w:szCs w:val="32"/>
        </w:rPr>
        <w:t>202</w:t>
      </w:r>
      <w:r>
        <w:rPr>
          <w:rFonts w:hint="eastAsia" w:ascii="仿宋" w:hAnsi="仿宋" w:eastAsia="仿宋" w:cs="仿宋"/>
          <w:kern w:val="2"/>
          <w:sz w:val="32"/>
          <w:szCs w:val="32"/>
          <w:lang w:val="en-US" w:eastAsia="zh-CN"/>
        </w:rPr>
        <w:t>5</w:t>
      </w:r>
      <w:bookmarkEnd w:id="0"/>
      <w:r>
        <w:rPr>
          <w:rFonts w:hint="eastAsia" w:ascii="仿宋" w:hAnsi="仿宋" w:eastAsia="仿宋" w:cs="仿宋"/>
          <w:kern w:val="2"/>
          <w:sz w:val="32"/>
          <w:szCs w:val="32"/>
        </w:rPr>
        <w:t>年</w:t>
      </w:r>
      <w:r>
        <w:rPr>
          <w:rFonts w:hint="eastAsia" w:ascii="仿宋" w:hAnsi="仿宋" w:eastAsia="仿宋" w:cs="仿宋"/>
          <w:kern w:val="2"/>
          <w:sz w:val="32"/>
          <w:szCs w:val="32"/>
          <w:lang w:eastAsia="zh-CN"/>
        </w:rPr>
        <w:t>无</w:t>
      </w:r>
      <w:r>
        <w:rPr>
          <w:rFonts w:hint="eastAsia" w:ascii="仿宋" w:hAnsi="仿宋" w:eastAsia="仿宋" w:cs="仿宋"/>
          <w:kern w:val="2"/>
          <w:sz w:val="32"/>
          <w:szCs w:val="32"/>
        </w:rPr>
        <w:t>机关运行经费财政拨款预算</w:t>
      </w:r>
      <w:r>
        <w:rPr>
          <w:rFonts w:hint="eastAsia" w:ascii="仿宋" w:hAnsi="仿宋" w:eastAsia="仿宋" w:cs="仿宋"/>
          <w:kern w:val="2"/>
          <w:sz w:val="32"/>
          <w:szCs w:val="32"/>
          <w:lang w:eastAsia="zh-CN"/>
        </w:rPr>
        <w:t>。</w:t>
      </w:r>
    </w:p>
    <w:p w14:paraId="59C01A66">
      <w:pPr>
        <w:pStyle w:val="12"/>
        <w:spacing w:before="0" w:line="360" w:lineRule="auto"/>
        <w:ind w:firstLine="640" w:firstLineChars="200"/>
        <w:rPr>
          <w:rFonts w:hint="eastAsia" w:ascii="楷体" w:eastAsia="楷体" w:cs="仿宋_GB2312"/>
          <w:kern w:val="2"/>
          <w:sz w:val="32"/>
          <w:szCs w:val="32"/>
          <w:lang w:eastAsia="zh-CN"/>
        </w:rPr>
      </w:pPr>
      <w:r>
        <w:rPr>
          <w:rFonts w:hint="eastAsia" w:ascii="楷体" w:eastAsia="楷体" w:cs="仿宋_GB2312"/>
          <w:kern w:val="2"/>
          <w:sz w:val="32"/>
          <w:szCs w:val="32"/>
        </w:rPr>
        <w:t>（二）政府采购情况</w:t>
      </w:r>
    </w:p>
    <w:p w14:paraId="7994D754">
      <w:pPr>
        <w:pStyle w:val="12"/>
        <w:spacing w:before="0" w:line="360" w:lineRule="auto"/>
        <w:ind w:firstLine="640" w:firstLineChars="200"/>
        <w:rPr>
          <w:rFonts w:hint="eastAsia" w:ascii="仿宋" w:hAnsi="仿宋" w:eastAsia="仿宋" w:cs="仿宋"/>
          <w:color w:val="000000"/>
          <w:kern w:val="2"/>
          <w:sz w:val="32"/>
          <w:szCs w:val="32"/>
          <w:lang w:val="en-US" w:eastAsia="zh-CN"/>
        </w:rPr>
      </w:pPr>
      <w:r>
        <w:rPr>
          <w:rFonts w:hint="eastAsia" w:cs="仿宋_GB2312"/>
          <w:kern w:val="2"/>
          <w:sz w:val="32"/>
          <w:szCs w:val="32"/>
        </w:rPr>
        <w:t xml:space="preserve">　 </w:t>
      </w:r>
      <w:r>
        <w:rPr>
          <w:rFonts w:hint="eastAsia" w:ascii="仿宋" w:hAnsi="仿宋" w:eastAsia="仿宋" w:cs="仿宋"/>
          <w:kern w:val="2"/>
          <w:sz w:val="32"/>
          <w:szCs w:val="32"/>
          <w:lang w:eastAsia="zh-CN"/>
        </w:rPr>
        <w:t>州教科所</w:t>
      </w:r>
      <w:r>
        <w:rPr>
          <w:rFonts w:hint="eastAsia" w:ascii="仿宋" w:hAnsi="仿宋" w:eastAsia="仿宋" w:cs="仿宋"/>
          <w:kern w:val="2"/>
          <w:sz w:val="32"/>
          <w:szCs w:val="32"/>
        </w:rPr>
        <w:t>202</w:t>
      </w:r>
      <w:r>
        <w:rPr>
          <w:rFonts w:hint="eastAsia" w:ascii="仿宋" w:hAnsi="仿宋" w:eastAsia="仿宋" w:cs="仿宋"/>
          <w:kern w:val="2"/>
          <w:sz w:val="32"/>
          <w:szCs w:val="32"/>
          <w:lang w:val="en-US" w:eastAsia="zh-CN"/>
        </w:rPr>
        <w:t>5</w:t>
      </w:r>
      <w:r>
        <w:rPr>
          <w:rFonts w:hint="eastAsia" w:ascii="仿宋" w:hAnsi="仿宋" w:eastAsia="仿宋" w:cs="仿宋"/>
          <w:color w:val="000000"/>
          <w:kern w:val="2"/>
          <w:sz w:val="32"/>
          <w:szCs w:val="32"/>
          <w:lang w:val="en-US" w:eastAsia="zh-CN"/>
        </w:rPr>
        <w:t>年无</w:t>
      </w:r>
      <w:r>
        <w:rPr>
          <w:rFonts w:hint="eastAsia" w:ascii="仿宋" w:hAnsi="仿宋" w:eastAsia="仿宋" w:cs="仿宋"/>
          <w:color w:val="000000"/>
          <w:kern w:val="2"/>
          <w:sz w:val="32"/>
          <w:szCs w:val="32"/>
        </w:rPr>
        <w:t>政府采购预算</w:t>
      </w:r>
      <w:r>
        <w:rPr>
          <w:rFonts w:hint="eastAsia" w:ascii="仿宋" w:hAnsi="仿宋" w:eastAsia="仿宋" w:cs="仿宋"/>
          <w:color w:val="000000"/>
          <w:kern w:val="2"/>
          <w:sz w:val="32"/>
          <w:szCs w:val="32"/>
          <w:lang w:val="en-US" w:eastAsia="zh-CN"/>
        </w:rPr>
        <w:t>安排。</w:t>
      </w:r>
    </w:p>
    <w:p w14:paraId="5F654902">
      <w:pPr>
        <w:pStyle w:val="12"/>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1041674F">
      <w:pPr>
        <w:pStyle w:val="12"/>
        <w:spacing w:before="0" w:line="360" w:lineRule="auto"/>
        <w:ind w:firstLine="640" w:firstLineChars="200"/>
        <w:rPr>
          <w:rFonts w:hint="eastAsia" w:eastAsia="仿宋" w:cs="仿宋_GB2312"/>
          <w:kern w:val="2"/>
          <w:sz w:val="32"/>
          <w:szCs w:val="32"/>
          <w:lang w:val="en-US" w:eastAsia="zh-CN"/>
        </w:rPr>
      </w:pPr>
      <w:r>
        <w:rPr>
          <w:rFonts w:hint="eastAsia" w:cs="仿宋_GB2312"/>
          <w:kern w:val="2"/>
          <w:sz w:val="32"/>
          <w:szCs w:val="32"/>
        </w:rPr>
        <w:t>截至2024年12月31日，我单位固定资产</w:t>
      </w:r>
      <w:r>
        <w:rPr>
          <w:rFonts w:hint="eastAsia" w:cs="仿宋_GB2312"/>
          <w:kern w:val="2"/>
          <w:sz w:val="32"/>
          <w:szCs w:val="32"/>
          <w:lang w:val="en-US" w:eastAsia="zh-CN"/>
        </w:rPr>
        <w:t>1202.51</w:t>
      </w:r>
      <w:r>
        <w:rPr>
          <w:rFonts w:hint="eastAsia" w:cs="仿宋_GB2312"/>
          <w:kern w:val="2"/>
          <w:sz w:val="32"/>
          <w:szCs w:val="32"/>
        </w:rPr>
        <w:t>万元。</w:t>
      </w:r>
      <w:r>
        <w:rPr>
          <w:rFonts w:hint="eastAsia" w:ascii="仿宋" w:hAnsi="仿宋" w:eastAsia="仿宋" w:cs="仿宋"/>
          <w:kern w:val="2"/>
          <w:sz w:val="32"/>
          <w:szCs w:val="32"/>
          <w:lang w:eastAsia="zh-CN"/>
        </w:rPr>
        <w:t>无</w:t>
      </w:r>
      <w:r>
        <w:rPr>
          <w:rFonts w:hint="eastAsia" w:ascii="仿宋" w:hAnsi="仿宋" w:eastAsia="仿宋" w:cs="仿宋"/>
          <w:kern w:val="2"/>
          <w:sz w:val="32"/>
          <w:szCs w:val="32"/>
          <w:lang w:val="en-US" w:eastAsia="zh-CN"/>
        </w:rPr>
        <w:t>200万以上的大型设备。共有车辆2辆。</w:t>
      </w:r>
    </w:p>
    <w:p w14:paraId="19A9649B">
      <w:pPr>
        <w:pStyle w:val="12"/>
        <w:spacing w:before="0" w:line="360" w:lineRule="auto"/>
        <w:ind w:firstLine="640" w:firstLineChars="200"/>
        <w:rPr>
          <w:rFonts w:hint="eastAsia" w:ascii="楷体" w:eastAsia="楷体" w:cs="仿宋_GB2312"/>
          <w:kern w:val="2"/>
          <w:sz w:val="32"/>
          <w:szCs w:val="32"/>
          <w:lang w:eastAsia="zh-CN"/>
        </w:rPr>
      </w:pPr>
      <w:r>
        <w:rPr>
          <w:rFonts w:hint="eastAsia" w:ascii="楷体" w:eastAsia="楷体" w:cs="仿宋_GB2312"/>
          <w:kern w:val="2"/>
          <w:sz w:val="32"/>
          <w:szCs w:val="32"/>
        </w:rPr>
        <w:t>（四）绩效目标设置情况</w:t>
      </w:r>
    </w:p>
    <w:p w14:paraId="018A4DD8">
      <w:pPr>
        <w:pStyle w:val="12"/>
        <w:spacing w:before="0" w:line="360" w:lineRule="auto"/>
        <w:ind w:firstLine="640" w:firstLineChars="200"/>
        <w:rPr>
          <w:rFonts w:ascii="黑体" w:eastAsia="黑体"/>
          <w:sz w:val="32"/>
          <w:szCs w:val="32"/>
        </w:rPr>
      </w:pPr>
      <w:r>
        <w:rPr>
          <w:rFonts w:hint="eastAsia" w:cs="仿宋_GB2312"/>
          <w:kern w:val="2"/>
          <w:sz w:val="32"/>
          <w:szCs w:val="32"/>
        </w:rPr>
        <w:t>　　2025年</w:t>
      </w:r>
      <w:r>
        <w:rPr>
          <w:rFonts w:hint="eastAsia" w:cs="仿宋_GB2312"/>
          <w:kern w:val="2"/>
          <w:sz w:val="32"/>
          <w:szCs w:val="32"/>
          <w:lang w:eastAsia="zh-CN"/>
        </w:rPr>
        <w:t>州教科所</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1069.94</w:t>
      </w:r>
      <w:r>
        <w:rPr>
          <w:rFonts w:hint="eastAsia" w:cs="仿宋_GB2312"/>
          <w:kern w:val="2"/>
          <w:sz w:val="32"/>
          <w:szCs w:val="32"/>
        </w:rPr>
        <w:t>万元。</w:t>
      </w:r>
      <w:r>
        <w:rPr>
          <w:rFonts w:hint="eastAsia" w:ascii="仿宋" w:hAnsi="仿宋" w:eastAsia="仿宋" w:cs="仿宋"/>
          <w:kern w:val="2"/>
          <w:sz w:val="32"/>
          <w:szCs w:val="32"/>
        </w:rPr>
        <w:t>　202</w:t>
      </w: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年</w:t>
      </w:r>
      <w:r>
        <w:rPr>
          <w:rFonts w:hint="eastAsia" w:ascii="仿宋" w:hAnsi="仿宋" w:eastAsia="仿宋" w:cs="仿宋"/>
          <w:kern w:val="2"/>
          <w:sz w:val="32"/>
          <w:szCs w:val="32"/>
          <w:lang w:eastAsia="zh-CN"/>
        </w:rPr>
        <w:t>州教科所开展绩效目标管理的项目共</w:t>
      </w:r>
      <w:r>
        <w:rPr>
          <w:rFonts w:hint="eastAsia" w:ascii="仿宋" w:hAnsi="仿宋" w:eastAsia="仿宋" w:cs="仿宋"/>
          <w:kern w:val="2"/>
          <w:sz w:val="32"/>
          <w:szCs w:val="32"/>
          <w:lang w:val="en-US" w:eastAsia="zh-CN"/>
        </w:rPr>
        <w:t>8个，涉及预算资金1069.94万元。其中：人员类项目1个，涉及预算资金915.28万元；运转类项目1个，涉及预算资金91.66万元；特定目标类项目6个，涉及预算资金63万元。</w:t>
      </w:r>
    </w:p>
    <w:p w14:paraId="4974E85E">
      <w:pPr>
        <w:pStyle w:val="12"/>
        <w:spacing w:before="0" w:line="360" w:lineRule="auto"/>
        <w:ind w:firstLine="640" w:firstLineChars="200"/>
        <w:rPr>
          <w:rFonts w:hint="eastAsia" w:ascii="黑体" w:eastAsia="黑体"/>
          <w:sz w:val="32"/>
          <w:szCs w:val="32"/>
          <w:lang w:eastAsia="zh-CN"/>
        </w:rPr>
      </w:pPr>
      <w:r>
        <w:rPr>
          <w:rFonts w:hint="eastAsia" w:ascii="黑体" w:eastAsia="黑体"/>
          <w:sz w:val="32"/>
          <w:szCs w:val="32"/>
        </w:rPr>
        <w:t xml:space="preserve">十、名称解释 </w:t>
      </w:r>
    </w:p>
    <w:p w14:paraId="72FD6142">
      <w:pPr>
        <w:pStyle w:val="12"/>
        <w:spacing w:before="0" w:line="360" w:lineRule="auto"/>
        <w:ind w:firstLine="320" w:firstLineChars="200"/>
        <w:rPr>
          <w:rFonts w:hint="eastAsia" w:eastAsia="仿宋_GB2312" w:cs="仿宋_GB2312"/>
          <w:kern w:val="2"/>
          <w:sz w:val="32"/>
          <w:szCs w:val="32"/>
          <w:lang w:eastAsia="zh-CN"/>
        </w:rPr>
      </w:pP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14:paraId="216EEB6C">
      <w:pPr>
        <w:pStyle w:val="12"/>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p>
    <w:p w14:paraId="702068ED">
      <w:pPr>
        <w:pStyle w:val="12"/>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14:paraId="63D9C190">
      <w:pPr>
        <w:pStyle w:val="12"/>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6D918F38">
      <w:pPr>
        <w:pStyle w:val="12"/>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73B5CD00">
      <w:pPr>
        <w:pStyle w:val="12"/>
        <w:spacing w:before="0" w:line="360" w:lineRule="auto"/>
        <w:ind w:firstLine="640" w:firstLineChars="200"/>
        <w:rPr>
          <w:rFonts w:cs="仿宋_GB2312"/>
          <w:kern w:val="2"/>
          <w:sz w:val="32"/>
          <w:szCs w:val="32"/>
        </w:rPr>
      </w:pP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60DB73A8">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7F53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5989693A"/>
    <w:multiLevelType w:val="singleLevel"/>
    <w:tmpl w:val="5989693A"/>
    <w:lvl w:ilvl="0" w:tentative="0">
      <w:start w:val="2"/>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TFjYTZkZGNjNTBhYzM3MDA5OWUxOTlhZmNiY2ZkODEifQ=="/>
  </w:docVars>
  <w:rsids>
    <w:rsidRoot w:val="00000000"/>
    <w:rsid w:val="09D30A5C"/>
    <w:rsid w:val="21AE0326"/>
    <w:rsid w:val="5FE937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2796</Words>
  <Characters>3105</Characters>
  <Lines>124</Lines>
  <Paragraphs>51</Paragraphs>
  <TotalTime>2</TotalTime>
  <ScaleCrop>false</ScaleCrop>
  <LinksUpToDate>false</LinksUpToDate>
  <CharactersWithSpaces>3140</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王礼容</cp:lastModifiedBy>
  <cp:lastPrinted>2018-01-30T09:39:00Z</cp:lastPrinted>
  <dcterms:modified xsi:type="dcterms:W3CDTF">2025-02-09T08:41:43Z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1ACCD61990B44053A5FA0F6425ABF553_12</vt:lpwstr>
  </property>
</Properties>
</file>