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5636">
      <w:pPr>
        <w:jc w:val="both"/>
        <w:rPr>
          <w:rFonts w:hint="eastAsia" w:ascii="黑体" w:eastAsia="黑体"/>
          <w:sz w:val="32"/>
          <w:szCs w:val="32"/>
        </w:rPr>
      </w:pPr>
      <w:r>
        <w:rPr>
          <w:rFonts w:hint="eastAsia" w:ascii="黑体" w:eastAsia="黑体"/>
          <w:sz w:val="32"/>
          <w:szCs w:val="32"/>
        </w:rPr>
        <w:t>附件2</w:t>
      </w:r>
    </w:p>
    <w:p w14:paraId="3AD93240">
      <w:pPr>
        <w:jc w:val="both"/>
      </w:pPr>
    </w:p>
    <w:p w14:paraId="0DF40265">
      <w:pPr>
        <w:jc w:val="both"/>
      </w:pPr>
    </w:p>
    <w:p w14:paraId="1073A390">
      <w:pPr>
        <w:jc w:val="both"/>
      </w:pPr>
    </w:p>
    <w:p w14:paraId="40832C5E">
      <w:pPr>
        <w:ind w:firstLine="1050" w:firstLineChars="500"/>
        <w:jc w:val="both"/>
      </w:pPr>
    </w:p>
    <w:p w14:paraId="548CD0B5">
      <w:pPr>
        <w:ind w:firstLine="1050" w:firstLineChars="500"/>
        <w:jc w:val="both"/>
      </w:pPr>
    </w:p>
    <w:p w14:paraId="1AD5C4BF">
      <w:pPr>
        <w:ind w:firstLine="1760" w:firstLineChars="400"/>
        <w:jc w:val="both"/>
        <w:rPr>
          <w:rFonts w:ascii="黑体" w:eastAsia="黑体"/>
          <w:sz w:val="44"/>
          <w:szCs w:val="44"/>
        </w:rPr>
      </w:pPr>
    </w:p>
    <w:p w14:paraId="3A5643EF">
      <w:pPr>
        <w:ind w:firstLine="1760" w:firstLineChars="400"/>
        <w:jc w:val="center"/>
        <w:rPr>
          <w:rFonts w:ascii="黑体" w:eastAsia="黑体"/>
          <w:sz w:val="44"/>
          <w:szCs w:val="44"/>
        </w:rPr>
      </w:pPr>
    </w:p>
    <w:p w14:paraId="0F460F01">
      <w:pPr>
        <w:jc w:val="center"/>
        <w:rPr>
          <w:rFonts w:hint="eastAsia" w:ascii="黑体" w:eastAsia="黑体"/>
          <w:sz w:val="44"/>
          <w:szCs w:val="44"/>
          <w:lang w:eastAsia="zh-CN"/>
        </w:rPr>
      </w:pPr>
      <w:r>
        <w:rPr>
          <w:rFonts w:hint="eastAsia" w:ascii="黑体" w:eastAsia="黑体"/>
          <w:sz w:val="44"/>
          <w:szCs w:val="44"/>
          <w:lang w:val="en-US" w:eastAsia="zh-CN"/>
        </w:rPr>
        <w:t>四川省威州民族师范学校</w:t>
      </w:r>
    </w:p>
    <w:p w14:paraId="2C1080DC">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14:paraId="3C16CC7D">
      <w:pPr>
        <w:ind w:firstLine="1760" w:firstLineChars="400"/>
        <w:jc w:val="center"/>
        <w:rPr>
          <w:rFonts w:ascii="黑体" w:eastAsia="黑体"/>
          <w:sz w:val="44"/>
          <w:szCs w:val="44"/>
        </w:rPr>
      </w:pPr>
    </w:p>
    <w:p w14:paraId="18129039">
      <w:pPr>
        <w:ind w:firstLine="1760" w:firstLineChars="400"/>
        <w:jc w:val="both"/>
        <w:rPr>
          <w:rFonts w:ascii="黑体" w:eastAsia="黑体"/>
          <w:sz w:val="44"/>
          <w:szCs w:val="44"/>
        </w:rPr>
      </w:pPr>
    </w:p>
    <w:p w14:paraId="26951B55">
      <w:pPr>
        <w:ind w:firstLine="1760" w:firstLineChars="400"/>
        <w:jc w:val="both"/>
        <w:rPr>
          <w:rFonts w:ascii="黑体" w:eastAsia="黑体"/>
          <w:sz w:val="44"/>
          <w:szCs w:val="44"/>
        </w:rPr>
      </w:pPr>
    </w:p>
    <w:p w14:paraId="343AAD15">
      <w:pPr>
        <w:ind w:firstLine="1760" w:firstLineChars="400"/>
        <w:jc w:val="both"/>
        <w:rPr>
          <w:rFonts w:ascii="黑体" w:eastAsia="黑体"/>
          <w:sz w:val="44"/>
          <w:szCs w:val="44"/>
        </w:rPr>
      </w:pPr>
    </w:p>
    <w:p w14:paraId="204081A6">
      <w:pPr>
        <w:ind w:firstLine="1760" w:firstLineChars="400"/>
        <w:jc w:val="both"/>
        <w:rPr>
          <w:rFonts w:ascii="黑体" w:eastAsia="黑体"/>
          <w:sz w:val="44"/>
          <w:szCs w:val="44"/>
        </w:rPr>
      </w:pPr>
    </w:p>
    <w:p w14:paraId="2BC1B49A">
      <w:pPr>
        <w:ind w:firstLine="1760" w:firstLineChars="400"/>
        <w:jc w:val="both"/>
        <w:rPr>
          <w:rFonts w:ascii="黑体" w:eastAsia="黑体"/>
          <w:sz w:val="44"/>
          <w:szCs w:val="44"/>
        </w:rPr>
      </w:pPr>
    </w:p>
    <w:p w14:paraId="0646F7EC">
      <w:pPr>
        <w:ind w:firstLine="1760" w:firstLineChars="400"/>
        <w:jc w:val="both"/>
        <w:rPr>
          <w:rFonts w:ascii="黑体" w:eastAsia="黑体"/>
          <w:sz w:val="44"/>
          <w:szCs w:val="44"/>
        </w:rPr>
      </w:pPr>
    </w:p>
    <w:p w14:paraId="6E11334A">
      <w:pPr>
        <w:ind w:firstLine="1760" w:firstLineChars="400"/>
        <w:jc w:val="both"/>
        <w:rPr>
          <w:rFonts w:ascii="黑体" w:eastAsia="黑体"/>
          <w:sz w:val="44"/>
          <w:szCs w:val="44"/>
        </w:rPr>
      </w:pPr>
    </w:p>
    <w:p w14:paraId="14277AA5">
      <w:pPr>
        <w:ind w:firstLine="1760" w:firstLineChars="400"/>
        <w:jc w:val="both"/>
        <w:rPr>
          <w:rFonts w:ascii="黑体" w:eastAsia="黑体"/>
          <w:sz w:val="44"/>
          <w:szCs w:val="44"/>
        </w:rPr>
      </w:pPr>
    </w:p>
    <w:p w14:paraId="77DD4B7E">
      <w:pPr>
        <w:ind w:firstLine="1760" w:firstLineChars="400"/>
        <w:jc w:val="both"/>
        <w:rPr>
          <w:rFonts w:ascii="黑体" w:eastAsia="黑体"/>
          <w:sz w:val="44"/>
          <w:szCs w:val="44"/>
        </w:rPr>
      </w:pPr>
    </w:p>
    <w:p w14:paraId="497FECA6">
      <w:pPr>
        <w:ind w:firstLine="1760" w:firstLineChars="400"/>
        <w:jc w:val="both"/>
        <w:rPr>
          <w:rFonts w:hint="eastAsia" w:ascii="黑体" w:eastAsia="黑体"/>
          <w:sz w:val="44"/>
          <w:szCs w:val="44"/>
        </w:rPr>
      </w:pPr>
    </w:p>
    <w:p w14:paraId="4F654CDE">
      <w:pPr>
        <w:ind w:firstLine="1760" w:firstLineChars="400"/>
        <w:jc w:val="both"/>
        <w:rPr>
          <w:rFonts w:ascii="黑体" w:eastAsia="黑体"/>
          <w:sz w:val="44"/>
          <w:szCs w:val="44"/>
        </w:rPr>
      </w:pPr>
    </w:p>
    <w:p w14:paraId="5C516E09">
      <w:pPr>
        <w:ind w:firstLine="1760" w:firstLineChars="400"/>
        <w:jc w:val="both"/>
        <w:rPr>
          <w:rFonts w:ascii="黑体" w:eastAsia="黑体"/>
          <w:sz w:val="44"/>
          <w:szCs w:val="44"/>
        </w:rPr>
      </w:pPr>
    </w:p>
    <w:p w14:paraId="41D2EE4B">
      <w:pPr>
        <w:ind w:firstLine="1760" w:firstLineChars="400"/>
        <w:jc w:val="both"/>
        <w:rPr>
          <w:rFonts w:ascii="黑体" w:eastAsia="黑体"/>
          <w:sz w:val="44"/>
          <w:szCs w:val="44"/>
        </w:rPr>
      </w:pPr>
    </w:p>
    <w:p w14:paraId="3C1805F2">
      <w:pPr>
        <w:jc w:val="both"/>
        <w:rPr>
          <w:rFonts w:ascii="黑体" w:eastAsia="黑体"/>
          <w:sz w:val="44"/>
          <w:szCs w:val="44"/>
        </w:rPr>
      </w:pPr>
    </w:p>
    <w:p w14:paraId="1D00B210">
      <w:pPr>
        <w:ind w:firstLine="3120" w:firstLineChars="600"/>
        <w:jc w:val="both"/>
        <w:rPr>
          <w:rFonts w:ascii="黑体" w:eastAsia="黑体"/>
          <w:sz w:val="52"/>
          <w:szCs w:val="52"/>
        </w:rPr>
      </w:pPr>
      <w:r>
        <w:rPr>
          <w:rFonts w:hint="eastAsia" w:ascii="黑体" w:eastAsia="黑体"/>
          <w:sz w:val="52"/>
          <w:szCs w:val="52"/>
        </w:rPr>
        <w:t>目录</w:t>
      </w:r>
    </w:p>
    <w:p w14:paraId="4E89E7D2">
      <w:pPr>
        <w:ind w:firstLine="3080" w:firstLineChars="700"/>
        <w:jc w:val="both"/>
        <w:rPr>
          <w:rFonts w:ascii="黑体" w:eastAsia="黑体"/>
          <w:sz w:val="44"/>
          <w:szCs w:val="44"/>
        </w:rPr>
      </w:pPr>
    </w:p>
    <w:p w14:paraId="0B819E70">
      <w:pPr>
        <w:pStyle w:val="11"/>
        <w:ind w:firstLine="0" w:firstLineChars="0"/>
        <w:jc w:val="both"/>
        <w:rPr>
          <w:rFonts w:ascii="黑体" w:eastAsia="黑体"/>
          <w:sz w:val="32"/>
          <w:szCs w:val="32"/>
        </w:rPr>
      </w:pPr>
      <w:r>
        <w:rPr>
          <w:rFonts w:hint="eastAsia" w:ascii="黑体" w:eastAsia="黑体"/>
          <w:sz w:val="32"/>
          <w:szCs w:val="32"/>
        </w:rPr>
        <w:t>一、基本职能及主要工作</w:t>
      </w:r>
    </w:p>
    <w:p w14:paraId="196D6D9B">
      <w:pPr>
        <w:jc w:val="both"/>
        <w:rPr>
          <w:rFonts w:ascii="仿宋_GB2312" w:eastAsia="仿宋_GB2312"/>
          <w:sz w:val="32"/>
          <w:szCs w:val="32"/>
        </w:rPr>
      </w:pPr>
      <w:r>
        <w:rPr>
          <w:rFonts w:hint="eastAsia" w:ascii="仿宋_GB2312" w:eastAsia="仿宋_GB2312"/>
          <w:sz w:val="32"/>
          <w:szCs w:val="32"/>
        </w:rPr>
        <w:t>（一）部门职能简介</w:t>
      </w:r>
    </w:p>
    <w:p w14:paraId="79E44921">
      <w:pPr>
        <w:jc w:val="both"/>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年重点工作</w:t>
      </w:r>
    </w:p>
    <w:p w14:paraId="644F315A">
      <w:pPr>
        <w:jc w:val="both"/>
        <w:rPr>
          <w:rFonts w:ascii="黑体" w:eastAsia="黑体"/>
          <w:sz w:val="32"/>
          <w:szCs w:val="32"/>
        </w:rPr>
      </w:pPr>
      <w:r>
        <w:rPr>
          <w:rFonts w:hint="eastAsia" w:ascii="黑体" w:eastAsia="黑体"/>
          <w:sz w:val="32"/>
          <w:szCs w:val="32"/>
        </w:rPr>
        <w:t>二、部门预算单位构成</w:t>
      </w:r>
    </w:p>
    <w:p w14:paraId="799A0C22">
      <w:pPr>
        <w:jc w:val="both"/>
        <w:rPr>
          <w:rFonts w:ascii="黑体" w:eastAsia="黑体"/>
          <w:sz w:val="32"/>
          <w:szCs w:val="32"/>
        </w:rPr>
      </w:pPr>
      <w:r>
        <w:rPr>
          <w:rFonts w:hint="eastAsia" w:ascii="黑体" w:eastAsia="黑体"/>
          <w:sz w:val="32"/>
          <w:szCs w:val="32"/>
        </w:rPr>
        <w:t>三、收支预算情况说明</w:t>
      </w:r>
    </w:p>
    <w:p w14:paraId="2EFBF78D">
      <w:pPr>
        <w:jc w:val="both"/>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14:paraId="72D0F936">
      <w:pPr>
        <w:jc w:val="both"/>
        <w:rPr>
          <w:rFonts w:ascii="仿宋_GB2312" w:eastAsia="仿宋_GB2312"/>
          <w:sz w:val="32"/>
          <w:szCs w:val="32"/>
        </w:rPr>
      </w:pPr>
      <w:r>
        <w:rPr>
          <w:rFonts w:hint="eastAsia" w:ascii="仿宋_GB2312" w:eastAsia="仿宋_GB2312"/>
          <w:sz w:val="32"/>
          <w:szCs w:val="32"/>
        </w:rPr>
        <w:t>（二）支出预算情况</w:t>
      </w:r>
    </w:p>
    <w:p w14:paraId="04B764A4">
      <w:pPr>
        <w:jc w:val="both"/>
        <w:rPr>
          <w:rFonts w:ascii="黑体" w:eastAsia="黑体"/>
          <w:sz w:val="32"/>
          <w:szCs w:val="32"/>
        </w:rPr>
      </w:pPr>
      <w:r>
        <w:rPr>
          <w:rFonts w:hint="eastAsia" w:ascii="黑体" w:eastAsia="黑体"/>
          <w:sz w:val="32"/>
          <w:szCs w:val="32"/>
        </w:rPr>
        <w:t>四、财政拨款收支预算情况说明</w:t>
      </w:r>
    </w:p>
    <w:p w14:paraId="1F910CD0">
      <w:pPr>
        <w:jc w:val="both"/>
        <w:rPr>
          <w:rFonts w:ascii="黑体" w:eastAsia="黑体"/>
          <w:sz w:val="32"/>
          <w:szCs w:val="32"/>
        </w:rPr>
      </w:pPr>
      <w:r>
        <w:rPr>
          <w:rFonts w:hint="eastAsia" w:ascii="黑体" w:eastAsia="黑体"/>
          <w:sz w:val="32"/>
          <w:szCs w:val="32"/>
        </w:rPr>
        <w:t>五、一般公共预算当年拨款情况说明</w:t>
      </w:r>
    </w:p>
    <w:p w14:paraId="72E5E7D7">
      <w:pPr>
        <w:jc w:val="both"/>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EF02CC0">
      <w:pPr>
        <w:jc w:val="both"/>
        <w:rPr>
          <w:rFonts w:ascii="黑体" w:eastAsia="黑体"/>
          <w:sz w:val="32"/>
          <w:szCs w:val="32"/>
        </w:rPr>
      </w:pPr>
    </w:p>
    <w:p w14:paraId="48A84667">
      <w:pPr>
        <w:widowControl/>
        <w:shd w:val="clear" w:color="auto" w:fill="FFFFFF"/>
        <w:spacing w:before="100" w:beforeAutospacing="1" w:after="100" w:afterAutospacing="1" w:line="290" w:lineRule="atLeast"/>
        <w:ind w:right="300"/>
        <w:jc w:val="both"/>
        <w:rPr>
          <w:rFonts w:ascii="??" w:hAnsi="??" w:cs="宋体"/>
          <w:kern w:val="0"/>
          <w:sz w:val="12"/>
          <w:szCs w:val="12"/>
        </w:rPr>
      </w:pPr>
    </w:p>
    <w:p w14:paraId="7C4AAEAF">
      <w:pPr>
        <w:pStyle w:val="11"/>
        <w:ind w:firstLine="640" w:firstLineChars="200"/>
        <w:jc w:val="both"/>
        <w:rPr>
          <w:rFonts w:ascii="黑体" w:eastAsia="黑体"/>
          <w:sz w:val="32"/>
          <w:szCs w:val="32"/>
        </w:rPr>
      </w:pPr>
      <w:r>
        <w:rPr>
          <w:rFonts w:hint="eastAsia" w:ascii="黑体" w:eastAsia="黑体"/>
          <w:sz w:val="32"/>
          <w:szCs w:val="32"/>
        </w:rPr>
        <w:t>一、基本职能及主要工作</w:t>
      </w:r>
    </w:p>
    <w:p w14:paraId="0B5E6715">
      <w:pPr>
        <w:numPr>
          <w:ilvl w:val="0"/>
          <w:numId w:val="0"/>
        </w:numPr>
        <w:ind w:leftChars="0" w:firstLine="643" w:firstLineChars="200"/>
        <w:jc w:val="both"/>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部门职能简介</w:t>
      </w:r>
    </w:p>
    <w:p w14:paraId="5DC0E3A8">
      <w:pPr>
        <w:spacing w:line="560" w:lineRule="exact"/>
        <w:ind w:firstLine="640" w:firstLineChars="200"/>
        <w:jc w:val="both"/>
        <w:rPr>
          <w:rFonts w:hint="eastAsia" w:ascii="仿宋" w:hAnsi="仿宋" w:eastAsia="仿宋" w:cs="仿宋"/>
          <w:snapToGrid/>
          <w:spacing w:val="-2"/>
          <w:kern w:val="2"/>
          <w:sz w:val="32"/>
          <w:szCs w:val="32"/>
        </w:rPr>
      </w:pPr>
      <w:r>
        <w:rPr>
          <w:rFonts w:hint="eastAsia" w:ascii="仿宋" w:hAnsi="仿宋" w:eastAsia="仿宋" w:cs="仿宋"/>
          <w:sz w:val="32"/>
          <w:szCs w:val="32"/>
        </w:rPr>
        <w:t>本单位的职能、职责是培养政治立场坚定、对党忠诚、拥护党的路线方针政策、爱岗敬业、勇于创新、专特兼备、知识够用、技能过硬、德智体美劳全面发展、善于在农牧区教书育人、具有专科（中专）学历的小学及幼儿园教师，促进民族教育事业健康发展</w:t>
      </w:r>
      <w:r>
        <w:rPr>
          <w:rFonts w:hint="eastAsia" w:ascii="仿宋" w:hAnsi="仿宋" w:eastAsia="仿宋" w:cs="仿宋"/>
          <w:sz w:val="32"/>
          <w:szCs w:val="32"/>
          <w:lang w:eastAsia="zh-CN"/>
        </w:rPr>
        <w:t>；</w:t>
      </w:r>
      <w:r>
        <w:rPr>
          <w:rFonts w:hint="eastAsia" w:ascii="仿宋" w:hAnsi="仿宋" w:eastAsia="仿宋" w:cs="仿宋"/>
          <w:sz w:val="32"/>
          <w:szCs w:val="32"/>
        </w:rPr>
        <w:t>组织全校教师积极从事教育学、政治学、数学等学科中专学历教育和小学教学研究、幼儿教学研究；积极开展在职小学教师和在职幼儿教师学历补偿教育、继续教育等。</w:t>
      </w:r>
    </w:p>
    <w:p w14:paraId="38CB8E5A">
      <w:pPr>
        <w:ind w:firstLine="640" w:firstLineChars="200"/>
        <w:jc w:val="both"/>
        <w:rPr>
          <w:rFonts w:hint="eastAsia" w:ascii="楷体" w:hAnsi="楷体" w:eastAsia="楷体" w:cs="楷体"/>
          <w:sz w:val="32"/>
          <w:szCs w:val="32"/>
        </w:rPr>
      </w:pPr>
      <w:r>
        <w:rPr>
          <w:rFonts w:hint="eastAsia" w:ascii="楷体" w:hAnsi="楷体" w:eastAsia="楷体" w:cs="楷体"/>
          <w:sz w:val="32"/>
          <w:szCs w:val="32"/>
        </w:rPr>
        <w:t>（二）202</w:t>
      </w:r>
      <w:r>
        <w:rPr>
          <w:rFonts w:hint="eastAsia" w:ascii="楷体" w:hAnsi="楷体" w:eastAsia="楷体" w:cs="楷体"/>
          <w:sz w:val="32"/>
          <w:szCs w:val="32"/>
          <w:lang w:val="en-US" w:eastAsia="zh-CN"/>
        </w:rPr>
        <w:t>5</w:t>
      </w:r>
      <w:r>
        <w:rPr>
          <w:rFonts w:hint="eastAsia" w:ascii="楷体" w:hAnsi="楷体" w:eastAsia="楷体" w:cs="楷体"/>
          <w:sz w:val="32"/>
          <w:szCs w:val="32"/>
        </w:rPr>
        <w:t>年重点工作</w:t>
      </w:r>
    </w:p>
    <w:p w14:paraId="316E393F">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32" w:firstLineChars="200"/>
        <w:jc w:val="both"/>
        <w:textAlignment w:val="auto"/>
        <w:outlineLvl w:val="9"/>
        <w:rPr>
          <w:rFonts w:hint="eastAsia" w:ascii="仿宋_GB2312" w:eastAsia="仿宋_GB2312"/>
          <w:bCs/>
          <w:kern w:val="2"/>
          <w:sz w:val="32"/>
          <w:szCs w:val="32"/>
          <w:lang w:val="en-US" w:eastAsia="zh-CN"/>
        </w:rPr>
      </w:pPr>
      <w:r>
        <w:rPr>
          <w:rFonts w:hint="eastAsia" w:ascii="仿宋" w:hAnsi="仿宋" w:eastAsia="仿宋" w:cs="仿宋"/>
          <w:snapToGrid/>
          <w:spacing w:val="-2"/>
          <w:kern w:val="2"/>
          <w:sz w:val="32"/>
          <w:szCs w:val="32"/>
        </w:rPr>
        <w:t xml:space="preserve"> </w:t>
      </w:r>
      <w:r>
        <w:rPr>
          <w:rFonts w:hint="eastAsia" w:ascii="仿宋" w:hAnsi="仿宋" w:eastAsia="仿宋" w:cs="仿宋"/>
          <w:snapToGrid/>
          <w:spacing w:val="-2"/>
          <w:kern w:val="2"/>
          <w:sz w:val="32"/>
          <w:szCs w:val="32"/>
          <w:lang w:val="en-US" w:eastAsia="zh-CN"/>
        </w:rPr>
        <w:t>2025年，我校</w:t>
      </w:r>
      <w:r>
        <w:rPr>
          <w:rFonts w:hint="eastAsia" w:ascii="仿宋_GB2312" w:eastAsia="仿宋_GB2312"/>
          <w:bCs/>
          <w:kern w:val="2"/>
          <w:sz w:val="32"/>
          <w:szCs w:val="32"/>
          <w:lang w:val="en-US" w:eastAsia="zh-CN"/>
        </w:rPr>
        <w:t>继续完成资源整合、拓展办学空间、扩大办学规模等目标任务；继续推进“三名工程”建设；推进教学质量诊断与改进制度建设工作，继续开展“五个威师”建设；学校牢固树立“立德树人”的宗旨，着力践行“学高为师、身正为范”的师范理念，继续实施“1+6工程”、“校风建设年”、师德师风教育。</w:t>
      </w:r>
    </w:p>
    <w:p w14:paraId="54CBF1F0">
      <w:pPr>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仿宋_GB2312" w:eastAsia="仿宋_GB2312"/>
          <w:bCs/>
          <w:kern w:val="2"/>
          <w:sz w:val="32"/>
          <w:szCs w:val="32"/>
          <w:lang w:val="en-US" w:eastAsia="zh-CN"/>
        </w:rPr>
      </w:pPr>
      <w:r>
        <w:rPr>
          <w:rFonts w:hint="eastAsia" w:ascii="仿宋_GB2312" w:eastAsia="仿宋_GB2312"/>
          <w:bCs/>
          <w:kern w:val="2"/>
          <w:sz w:val="32"/>
          <w:szCs w:val="32"/>
          <w:lang w:val="en-US" w:eastAsia="zh-CN"/>
        </w:rPr>
        <w:t>结合贯彻落实党的二十大精神，学校坚持以教育教学为中心，着力加强人才培养、学科建设和促进产教融合，实现学校规模、质量、结构、效益的进一步协调发展，全面提高办学水平、办学质量，全力打造“五个威师”。</w:t>
      </w:r>
      <w:r>
        <w:rPr>
          <w:rFonts w:hint="eastAsia" w:ascii="仿宋" w:hAnsi="仿宋" w:eastAsia="仿宋" w:cs="仿宋"/>
          <w:b w:val="0"/>
          <w:bCs/>
          <w:kern w:val="2"/>
          <w:sz w:val="32"/>
          <w:szCs w:val="32"/>
          <w:lang w:val="en-US" w:eastAsia="zh-CN"/>
        </w:rPr>
        <w:t>以“诚信威师”为核心，狠抓教育教学质量“诊改”。以“魅力威师”为抓手，大力实施文明校风“1+6”工程。以“品牌威师”为目标，着力彰显“师范性、民族性、艺术性”的办学特色。以“品位威师”为导向，积极开展对外交流、合作，着力提升学校发展内涵。以“绿色环保威师”为宗旨，努力让校园更美丽、和谐。</w:t>
      </w:r>
    </w:p>
    <w:p w14:paraId="207AE697">
      <w:pPr>
        <w:kinsoku/>
        <w:autoSpaceDE w:val="0"/>
        <w:autoSpaceDN w:val="0"/>
        <w:snapToGrid w:val="0"/>
        <w:spacing w:line="336" w:lineRule="auto"/>
        <w:ind w:firstLine="640" w:firstLineChars="200"/>
        <w:jc w:val="both"/>
        <w:rPr>
          <w:rFonts w:hint="eastAsia" w:ascii="仿宋" w:hAnsi="仿宋" w:eastAsia="仿宋" w:cs="仿宋"/>
          <w:snapToGrid/>
          <w:spacing w:val="-2"/>
          <w:kern w:val="2"/>
          <w:sz w:val="32"/>
          <w:szCs w:val="32"/>
          <w:lang w:eastAsia="zh-CN"/>
        </w:rPr>
      </w:pPr>
      <w:r>
        <w:rPr>
          <w:rFonts w:hint="eastAsia" w:ascii="仿宋" w:hAnsi="仿宋" w:eastAsia="仿宋" w:cs="仿宋"/>
          <w:kern w:val="0"/>
          <w:sz w:val="32"/>
          <w:szCs w:val="32"/>
          <w:lang w:val="zh-CN"/>
        </w:rPr>
        <w:t>本年度我校严格执行国家和教育系统有关学校管理的财政规定，收支和开支管理均受相关法规和正常的制约，在阿坝州财政局的关心和帮助下，学校利用下达的财政预算不断地完善学校基础设施，为师生创造了更好的学习、教学环境，硬件在明显改善，比如按照师生配备标准采购教育教学设备使我校师生有了现代化教育设备，不仅激励了师生们教育教学积极性而且更多的应届初中毕业生积极报读我校。在基本支出中保证了学校正常开支，最大限度地调动了教职员工的积极性，提高资金的使用效益。全校教职工不但能够更好的完成基本工作也确保了教职工的继续教育培训，为学校的教学工作更好地服务，让我校为全州教育事业输送更多的人才。</w:t>
      </w:r>
    </w:p>
    <w:p w14:paraId="42639E29">
      <w:pPr>
        <w:ind w:firstLine="640" w:firstLineChars="200"/>
        <w:jc w:val="both"/>
        <w:rPr>
          <w:rFonts w:hint="eastAsia" w:ascii="仿宋" w:hAnsi="仿宋" w:eastAsia="仿宋" w:cs="仿宋"/>
          <w:snapToGrid/>
          <w:spacing w:val="-2"/>
          <w:kern w:val="2"/>
          <w:sz w:val="32"/>
          <w:szCs w:val="32"/>
          <w:lang w:eastAsia="zh-CN"/>
        </w:rPr>
      </w:pPr>
      <w:r>
        <w:rPr>
          <w:rFonts w:hint="eastAsia" w:ascii="黑体" w:eastAsia="黑体"/>
          <w:sz w:val="32"/>
          <w:szCs w:val="32"/>
        </w:rPr>
        <w:t>二、部门预算单位构成</w:t>
      </w:r>
    </w:p>
    <w:p w14:paraId="1C911F98">
      <w:pPr>
        <w:spacing w:line="540" w:lineRule="exact"/>
        <w:ind w:firstLine="632" w:firstLineChars="200"/>
        <w:jc w:val="both"/>
        <w:rPr>
          <w:rFonts w:ascii="仿宋_GB2312" w:eastAsia="仿宋_GB2312"/>
          <w:sz w:val="32"/>
          <w:szCs w:val="32"/>
        </w:rPr>
      </w:pPr>
      <w:r>
        <w:rPr>
          <w:rFonts w:hint="eastAsia" w:ascii="仿宋" w:hAnsi="仿宋" w:eastAsia="仿宋" w:cs="仿宋"/>
          <w:snapToGrid/>
          <w:spacing w:val="-2"/>
          <w:kern w:val="2"/>
          <w:sz w:val="32"/>
          <w:szCs w:val="32"/>
          <w:lang w:eastAsia="zh-CN"/>
        </w:rPr>
        <w:t>我单位为独立核算的一级预算</w:t>
      </w:r>
      <w:r>
        <w:rPr>
          <w:rFonts w:hint="eastAsia" w:ascii="仿宋" w:hAnsi="仿宋" w:eastAsia="仿宋" w:cs="仿宋"/>
          <w:snapToGrid/>
          <w:spacing w:val="-2"/>
          <w:kern w:val="2"/>
          <w:sz w:val="32"/>
          <w:szCs w:val="32"/>
          <w:lang w:val="en-US" w:eastAsia="zh-CN"/>
        </w:rPr>
        <w:t>事业</w:t>
      </w:r>
      <w:r>
        <w:rPr>
          <w:rFonts w:hint="eastAsia" w:ascii="仿宋" w:hAnsi="仿宋" w:eastAsia="仿宋" w:cs="仿宋"/>
          <w:snapToGrid/>
          <w:spacing w:val="-2"/>
          <w:kern w:val="2"/>
          <w:sz w:val="32"/>
          <w:szCs w:val="32"/>
          <w:lang w:eastAsia="zh-CN"/>
        </w:rPr>
        <w:t>单位，机编单位</w:t>
      </w:r>
      <w:r>
        <w:rPr>
          <w:rFonts w:hint="eastAsia" w:ascii="仿宋" w:hAnsi="仿宋" w:eastAsia="仿宋" w:cs="仿宋"/>
          <w:snapToGrid/>
          <w:spacing w:val="-2"/>
          <w:kern w:val="2"/>
          <w:sz w:val="32"/>
          <w:szCs w:val="32"/>
          <w:lang w:val="en-US" w:eastAsia="zh-CN"/>
        </w:rPr>
        <w:t>1个，无下属二级单位，与上年相比无变化。</w:t>
      </w:r>
    </w:p>
    <w:p w14:paraId="4600EA55">
      <w:pPr>
        <w:ind w:firstLine="640" w:firstLineChars="200"/>
        <w:jc w:val="both"/>
        <w:rPr>
          <w:rFonts w:hint="eastAsia"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收支预算情况说明</w:t>
      </w:r>
    </w:p>
    <w:p w14:paraId="0C66EA55">
      <w:pPr>
        <w:pStyle w:val="11"/>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按照综合预算的原则，本单位所有收入和支出均纳入部门预算管理。收入包括：一般公共预算拨款收入</w:t>
      </w:r>
      <w:r>
        <w:rPr>
          <w:rFonts w:hint="eastAsia" w:ascii="仿宋_GB2312" w:hAnsi="仿宋_GB2312" w:eastAsia="仿宋_GB2312" w:cs="仿宋_GB2312"/>
          <w:sz w:val="32"/>
          <w:szCs w:val="32"/>
          <w:lang w:val="en-US" w:eastAsia="zh-CN"/>
        </w:rPr>
        <w:t>2674.12</w:t>
      </w:r>
      <w:r>
        <w:rPr>
          <w:rFonts w:hint="eastAsia" w:ascii="仿宋_GB2312" w:hAnsi="仿宋_GB2312" w:eastAsia="仿宋_GB2312" w:cs="仿宋_GB2312"/>
          <w:sz w:val="32"/>
          <w:szCs w:val="32"/>
        </w:rPr>
        <w:t>万元，事业收入</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无其他收入。</w:t>
      </w:r>
      <w:r>
        <w:rPr>
          <w:rFonts w:hint="eastAsia" w:ascii="仿宋_GB2312" w:hAnsi="仿宋_GB2312" w:eastAsia="仿宋_GB2312" w:cs="仿宋_GB2312"/>
          <w:sz w:val="32"/>
          <w:szCs w:val="32"/>
        </w:rPr>
        <w:t>支出包括：教育支出</w:t>
      </w:r>
      <w:r>
        <w:rPr>
          <w:rFonts w:hint="eastAsia" w:ascii="仿宋_GB2312" w:hAnsi="仿宋_GB2312" w:eastAsia="仿宋_GB2312" w:cs="仿宋_GB2312"/>
          <w:sz w:val="32"/>
          <w:szCs w:val="32"/>
          <w:lang w:val="en-US" w:eastAsia="zh-CN"/>
        </w:rPr>
        <w:t>2023.08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万元，医疗卫生与计划生育支出</w:t>
      </w:r>
      <w:r>
        <w:rPr>
          <w:rFonts w:hint="eastAsia" w:ascii="仿宋_GB2312" w:hAnsi="仿宋_GB2312" w:eastAsia="仿宋_GB2312" w:cs="仿宋_GB2312"/>
          <w:sz w:val="32"/>
          <w:szCs w:val="32"/>
          <w:lang w:val="en-US" w:eastAsia="zh-CN"/>
        </w:rPr>
        <w:t>153.47</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197.27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事业收入结转8万元</w:t>
      </w:r>
      <w:r>
        <w:rPr>
          <w:rFonts w:hint="eastAsia" w:ascii="仿宋_GB2312" w:hAnsi="仿宋_GB2312" w:eastAsia="仿宋_GB2312" w:cs="仿宋_GB2312"/>
          <w:sz w:val="32"/>
          <w:szCs w:val="32"/>
        </w:rPr>
        <w:t>。本单位20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年收支总预算2704.12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　比20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val="en-US" w:eastAsia="zh-CN"/>
        </w:rPr>
        <w:t>减少8.2</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本年度我校学生人数教职工人数</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，使得教育支出、事业单位医疗支出等变化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二是学生人数减少，事业收入减少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 w:hAnsi="楷体" w:eastAsia="楷体" w:cs="楷体"/>
          <w:b/>
          <w:bCs/>
          <w:sz w:val="32"/>
          <w:szCs w:val="32"/>
        </w:rPr>
        <w:t>（一）收入预算情况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本单位20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年收入预算2704.12万元，其中：一般公共预算拨款收入</w:t>
      </w:r>
      <w:r>
        <w:rPr>
          <w:rFonts w:hint="eastAsia" w:ascii="仿宋_GB2312" w:hAnsi="仿宋_GB2312" w:eastAsia="仿宋_GB2312" w:cs="仿宋_GB2312"/>
          <w:sz w:val="32"/>
          <w:szCs w:val="32"/>
          <w:lang w:val="en-US" w:eastAsia="zh-CN"/>
        </w:rPr>
        <w:t>2674.12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98.89</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其他收入。</w:t>
      </w:r>
    </w:p>
    <w:p w14:paraId="446BCC26">
      <w:pPr>
        <w:pStyle w:val="8"/>
        <w:widowControl/>
        <w:spacing w:before="300" w:beforeLines="0" w:beforeAutospacing="0" w:after="226" w:afterLines="0" w:afterAutospacing="0" w:line="3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b/>
          <w:bCs/>
          <w:sz w:val="32"/>
          <w:szCs w:val="32"/>
        </w:rPr>
        <w:t>（二）支出预算情况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本单位20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年支出预算2696.1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2624.12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97.33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2.67</w:t>
      </w:r>
      <w:r>
        <w:rPr>
          <w:rFonts w:hint="eastAsia" w:ascii="仿宋_GB2312" w:hAnsi="仿宋_GB2312" w:eastAsia="仿宋_GB2312" w:cs="仿宋_GB2312"/>
          <w:sz w:val="32"/>
          <w:szCs w:val="32"/>
        </w:rPr>
        <w:t>%。</w:t>
      </w:r>
    </w:p>
    <w:p w14:paraId="43741FE0">
      <w:pPr>
        <w:ind w:firstLine="640" w:firstLineChars="200"/>
        <w:jc w:val="both"/>
        <w:rPr>
          <w:rFonts w:hint="eastAsia" w:ascii="黑体" w:eastAsia="黑体"/>
          <w:sz w:val="32"/>
          <w:szCs w:val="32"/>
        </w:rPr>
      </w:pPr>
      <w:r>
        <w:rPr>
          <w:rFonts w:hint="eastAsia" w:ascii="黑体" w:eastAsia="黑体"/>
          <w:sz w:val="32"/>
          <w:szCs w:val="32"/>
        </w:rPr>
        <w:t>四、财政拨款收支预算情况说明</w:t>
      </w:r>
    </w:p>
    <w:p w14:paraId="79836910">
      <w:pPr>
        <w:ind w:firstLine="640" w:firstLineChars="200"/>
        <w:jc w:val="both"/>
        <w:rPr>
          <w:rFonts w:ascii="黑体" w:eastAsia="黑体"/>
          <w:sz w:val="32"/>
          <w:szCs w:val="32"/>
        </w:rPr>
      </w:pPr>
      <w:r>
        <w:rPr>
          <w:rFonts w:hint="eastAsia" w:ascii="仿宋_GB2312" w:eastAsia="仿宋_GB2312"/>
          <w:sz w:val="32"/>
          <w:szCs w:val="32"/>
          <w:lang w:val="en-US" w:eastAsia="zh-CN"/>
        </w:rPr>
        <w:t>本单位</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w:t>
      </w:r>
      <w:r>
        <w:rPr>
          <w:rFonts w:hint="eastAsia" w:ascii="仿宋_GB2312" w:hAnsi="仿宋_GB2312" w:eastAsia="仿宋_GB2312" w:cs="仿宋_GB2312"/>
          <w:sz w:val="32"/>
          <w:szCs w:val="32"/>
          <w:lang w:val="en-US" w:eastAsia="zh-CN"/>
        </w:rPr>
        <w:t>2674.12</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增加11.8</w:t>
      </w:r>
      <w:r>
        <w:rPr>
          <w:rFonts w:hint="eastAsia" w:ascii="仿宋_GB2312" w:eastAsia="仿宋_GB2312"/>
          <w:sz w:val="32"/>
          <w:szCs w:val="32"/>
        </w:rPr>
        <w:t>万元，主要原因:</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教学楼厕所及管道改造项目。</w:t>
      </w:r>
    </w:p>
    <w:p w14:paraId="613D570D">
      <w:pPr>
        <w:spacing w:line="540" w:lineRule="exact"/>
        <w:ind w:firstLine="640" w:firstLineChars="200"/>
        <w:jc w:val="both"/>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仿宋_GB2312" w:eastAsia="仿宋_GB2312" w:cs="仿宋_GB2312"/>
          <w:sz w:val="32"/>
          <w:szCs w:val="32"/>
        </w:rPr>
        <w:t>教育支出</w:t>
      </w:r>
      <w:r>
        <w:rPr>
          <w:rFonts w:hint="eastAsia" w:ascii="仿宋_GB2312" w:hAnsi="仿宋_GB2312" w:eastAsia="仿宋_GB2312" w:cs="仿宋_GB2312"/>
          <w:sz w:val="32"/>
          <w:szCs w:val="32"/>
          <w:lang w:val="en-US" w:eastAsia="zh-CN"/>
        </w:rPr>
        <w:t>2001.08</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万元，医疗卫生与计划生育支出</w:t>
      </w:r>
      <w:r>
        <w:rPr>
          <w:rFonts w:hint="eastAsia" w:ascii="仿宋_GB2312" w:hAnsi="仿宋_GB2312" w:eastAsia="仿宋_GB2312" w:cs="仿宋_GB2312"/>
          <w:sz w:val="32"/>
          <w:szCs w:val="32"/>
          <w:lang w:val="en-US" w:eastAsia="zh-CN"/>
        </w:rPr>
        <w:t>153.47</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197.27</w:t>
      </w:r>
      <w:r>
        <w:rPr>
          <w:rFonts w:hint="eastAsia" w:ascii="仿宋_GB2312" w:hAnsi="仿宋_GB2312" w:eastAsia="仿宋_GB2312" w:cs="仿宋_GB2312"/>
          <w:sz w:val="32"/>
          <w:szCs w:val="32"/>
        </w:rPr>
        <w:t>万元。</w:t>
      </w:r>
    </w:p>
    <w:p w14:paraId="4F33F3D3">
      <w:pPr>
        <w:ind w:firstLine="640" w:firstLineChars="200"/>
        <w:jc w:val="both"/>
        <w:rPr>
          <w:rFonts w:ascii="黑体" w:eastAsia="黑体"/>
          <w:sz w:val="32"/>
          <w:szCs w:val="32"/>
        </w:rPr>
      </w:pPr>
      <w:r>
        <w:rPr>
          <w:rFonts w:hint="eastAsia" w:ascii="黑体" w:eastAsia="黑体"/>
          <w:sz w:val="32"/>
          <w:szCs w:val="32"/>
        </w:rPr>
        <w:t>五、一般公共预算当年拨款情况说明</w:t>
      </w:r>
    </w:p>
    <w:p w14:paraId="110BEB2F">
      <w:pPr>
        <w:pStyle w:val="12"/>
        <w:spacing w:before="0" w:line="360" w:lineRule="auto"/>
        <w:ind w:firstLine="660"/>
        <w:jc w:val="both"/>
        <w:rPr>
          <w:rFonts w:hint="eastAsia" w:ascii="楷体" w:hAnsi="楷体" w:eastAsia="楷体" w:cs="楷体"/>
          <w:b/>
          <w:bCs/>
          <w:kern w:val="2"/>
          <w:sz w:val="32"/>
          <w:szCs w:val="32"/>
        </w:rPr>
      </w:pPr>
      <w:r>
        <w:rPr>
          <w:rFonts w:hint="eastAsia" w:ascii="楷体" w:hAnsi="楷体" w:eastAsia="楷体" w:cs="楷体"/>
          <w:b/>
          <w:bCs/>
          <w:kern w:val="2"/>
          <w:sz w:val="32"/>
          <w:szCs w:val="32"/>
        </w:rPr>
        <w:t>（一）一般公共预算当年拨款规模变化情况</w:t>
      </w:r>
    </w:p>
    <w:p w14:paraId="612C1708">
      <w:pPr>
        <w:ind w:firstLine="640" w:firstLineChars="200"/>
        <w:jc w:val="both"/>
        <w:rPr>
          <w:rFonts w:ascii="黑体" w:eastAsia="黑体"/>
          <w:sz w:val="32"/>
          <w:szCs w:val="32"/>
        </w:rPr>
      </w:pPr>
      <w:r>
        <w:rPr>
          <w:rFonts w:hint="eastAsia" w:ascii="仿宋_GB2312" w:eastAsia="仿宋_GB2312"/>
          <w:sz w:val="32"/>
          <w:szCs w:val="32"/>
          <w:lang w:val="en-US" w:eastAsia="zh-CN"/>
        </w:rPr>
        <w:t>本单位</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年一般公共预算当年拨款</w:t>
      </w:r>
      <w:r>
        <w:rPr>
          <w:rFonts w:hint="eastAsia" w:ascii="仿宋_GB2312" w:hAnsi="仿宋_GB2312" w:eastAsia="仿宋_GB2312" w:cs="仿宋_GB2312"/>
          <w:sz w:val="32"/>
          <w:szCs w:val="32"/>
          <w:lang w:val="en-US" w:eastAsia="zh-CN"/>
        </w:rPr>
        <w:t>2674.12</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增加11.8</w:t>
      </w:r>
      <w:r>
        <w:rPr>
          <w:rFonts w:hint="eastAsia" w:ascii="仿宋_GB2312" w:eastAsia="仿宋_GB2312"/>
          <w:sz w:val="32"/>
          <w:szCs w:val="32"/>
        </w:rPr>
        <w:t>万元，主要原因:</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教学楼厕所及管道改造项目。</w:t>
      </w:r>
    </w:p>
    <w:p w14:paraId="26321901">
      <w:pPr>
        <w:pStyle w:val="12"/>
        <w:spacing w:before="0" w:line="360" w:lineRule="auto"/>
        <w:ind w:firstLine="660"/>
        <w:jc w:val="both"/>
        <w:rPr>
          <w:rFonts w:hint="eastAsia" w:ascii="楷体" w:hAnsi="楷体" w:eastAsia="楷体" w:cs="楷体"/>
          <w:b/>
          <w:bCs/>
          <w:kern w:val="2"/>
          <w:sz w:val="32"/>
          <w:szCs w:val="32"/>
        </w:rPr>
      </w:pPr>
      <w:r>
        <w:rPr>
          <w:rFonts w:hint="eastAsia" w:ascii="楷体" w:hAnsi="楷体" w:eastAsia="楷体" w:cs="楷体"/>
          <w:b/>
          <w:bCs/>
          <w:kern w:val="2"/>
          <w:sz w:val="32"/>
          <w:szCs w:val="32"/>
        </w:rPr>
        <w:t>（二）一般公共预算当年拨款结构情况</w:t>
      </w:r>
    </w:p>
    <w:p w14:paraId="6A836325">
      <w:pPr>
        <w:ind w:firstLine="640" w:firstLineChars="200"/>
        <w:jc w:val="both"/>
        <w:rPr>
          <w:rFonts w:cs="仿宋_GB2312"/>
          <w:kern w:val="2"/>
          <w:sz w:val="32"/>
          <w:szCs w:val="32"/>
        </w:rPr>
      </w:pPr>
      <w:r>
        <w:rPr>
          <w:rFonts w:hint="eastAsia" w:ascii="仿宋_GB2312" w:hAnsi="仿宋_GB2312" w:eastAsia="仿宋_GB2312" w:cs="仿宋_GB2312"/>
          <w:sz w:val="32"/>
          <w:szCs w:val="32"/>
        </w:rPr>
        <w:t>教育支出</w:t>
      </w:r>
      <w:r>
        <w:rPr>
          <w:rFonts w:hint="eastAsia" w:ascii="仿宋_GB2312" w:hAnsi="仿宋_GB2312" w:eastAsia="仿宋_GB2312" w:cs="仿宋_GB2312"/>
          <w:sz w:val="32"/>
          <w:szCs w:val="32"/>
          <w:lang w:val="en-US" w:eastAsia="zh-CN"/>
        </w:rPr>
        <w:t>2001.08</w:t>
      </w:r>
      <w:r>
        <w:rPr>
          <w:rFonts w:hint="eastAsia" w:ascii="仿宋_GB2312" w:hAnsi="仿宋_GB2312" w:eastAsia="仿宋_GB2312" w:cs="仿宋_GB2312"/>
          <w:sz w:val="32"/>
          <w:szCs w:val="32"/>
        </w:rPr>
        <w:t>万元，</w:t>
      </w:r>
      <w:r>
        <w:rPr>
          <w:rFonts w:hint="eastAsia" w:cs="宋体"/>
          <w:sz w:val="32"/>
          <w:szCs w:val="32"/>
        </w:rPr>
        <w:t>占</w:t>
      </w:r>
      <w:r>
        <w:rPr>
          <w:rFonts w:hint="eastAsia" w:cs="宋体"/>
          <w:sz w:val="32"/>
          <w:szCs w:val="32"/>
          <w:lang w:val="en-US" w:eastAsia="zh-CN"/>
        </w:rPr>
        <w:t>74.83</w:t>
      </w:r>
      <w:r>
        <w:rPr>
          <w:rFonts w:hint="eastAsia" w:cs="宋体"/>
          <w:sz w:val="32"/>
          <w:szCs w:val="32"/>
        </w:rPr>
        <w:t>%</w:t>
      </w:r>
      <w:r>
        <w:rPr>
          <w:rFonts w:hint="eastAsia" w:cs="宋体"/>
          <w:sz w:val="32"/>
          <w:szCs w:val="32"/>
          <w:lang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w:t>
      </w:r>
      <w:r>
        <w:rPr>
          <w:rFonts w:hint="eastAsia" w:cs="宋体"/>
          <w:sz w:val="32"/>
          <w:szCs w:val="32"/>
        </w:rPr>
        <w:t>占</w:t>
      </w:r>
      <w:r>
        <w:rPr>
          <w:rFonts w:hint="eastAsia" w:cs="宋体"/>
          <w:sz w:val="32"/>
          <w:szCs w:val="32"/>
          <w:lang w:val="en-US" w:eastAsia="zh-CN"/>
        </w:rPr>
        <w:t>12.05</w:t>
      </w:r>
      <w:r>
        <w:rPr>
          <w:rFonts w:hint="eastAsia" w:cs="宋体"/>
          <w:sz w:val="32"/>
          <w:szCs w:val="32"/>
        </w:rPr>
        <w:t>%</w:t>
      </w:r>
      <w:r>
        <w:rPr>
          <w:rFonts w:hint="eastAsia" w:cs="宋体"/>
          <w:sz w:val="32"/>
          <w:szCs w:val="32"/>
          <w:lang w:eastAsia="zh-CN"/>
        </w:rPr>
        <w:t>；</w:t>
      </w:r>
      <w:r>
        <w:rPr>
          <w:rFonts w:hint="eastAsia" w:ascii="仿宋_GB2312" w:hAnsi="仿宋_GB2312" w:eastAsia="仿宋_GB2312" w:cs="仿宋_GB2312"/>
          <w:sz w:val="32"/>
          <w:szCs w:val="32"/>
        </w:rPr>
        <w:t>医疗卫生与计划生育支出</w:t>
      </w:r>
      <w:r>
        <w:rPr>
          <w:rFonts w:hint="eastAsia" w:ascii="仿宋_GB2312" w:hAnsi="仿宋_GB2312" w:eastAsia="仿宋_GB2312" w:cs="仿宋_GB2312"/>
          <w:sz w:val="32"/>
          <w:szCs w:val="32"/>
          <w:lang w:val="en-US" w:eastAsia="zh-CN"/>
        </w:rPr>
        <w:t>153.47</w:t>
      </w:r>
      <w:r>
        <w:rPr>
          <w:rFonts w:hint="eastAsia" w:ascii="仿宋_GB2312" w:hAnsi="仿宋_GB2312" w:eastAsia="仿宋_GB2312" w:cs="仿宋_GB2312"/>
          <w:sz w:val="32"/>
          <w:szCs w:val="32"/>
        </w:rPr>
        <w:t>万元，</w:t>
      </w:r>
      <w:r>
        <w:rPr>
          <w:rFonts w:hint="eastAsia" w:cs="宋体"/>
          <w:sz w:val="32"/>
          <w:szCs w:val="32"/>
        </w:rPr>
        <w:t>占</w:t>
      </w:r>
      <w:r>
        <w:rPr>
          <w:rFonts w:hint="eastAsia" w:cs="宋体"/>
          <w:sz w:val="32"/>
          <w:szCs w:val="32"/>
          <w:lang w:val="en-US" w:eastAsia="zh-CN"/>
        </w:rPr>
        <w:t>5.74</w:t>
      </w:r>
      <w:r>
        <w:rPr>
          <w:rFonts w:hint="eastAsia" w:cs="宋体"/>
          <w:sz w:val="32"/>
          <w:szCs w:val="32"/>
        </w:rPr>
        <w:t>%</w:t>
      </w:r>
      <w:r>
        <w:rPr>
          <w:rFonts w:hint="eastAsia" w:cs="宋体"/>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197.27</w:t>
      </w:r>
      <w:r>
        <w:rPr>
          <w:rFonts w:hint="eastAsia" w:ascii="仿宋_GB2312" w:hAnsi="仿宋_GB2312" w:eastAsia="仿宋_GB2312" w:cs="仿宋_GB2312"/>
          <w:sz w:val="32"/>
          <w:szCs w:val="32"/>
        </w:rPr>
        <w:t>万元</w:t>
      </w:r>
      <w:r>
        <w:rPr>
          <w:rFonts w:hint="eastAsia" w:cs="宋体"/>
          <w:sz w:val="32"/>
          <w:szCs w:val="32"/>
        </w:rPr>
        <w:t>占</w:t>
      </w:r>
      <w:r>
        <w:rPr>
          <w:rFonts w:hint="eastAsia" w:cs="宋体"/>
          <w:sz w:val="32"/>
          <w:szCs w:val="32"/>
          <w:lang w:val="en-US" w:eastAsia="zh-CN"/>
        </w:rPr>
        <w:t>7.38</w:t>
      </w:r>
      <w:r>
        <w:rPr>
          <w:rFonts w:hint="eastAsia" w:cs="宋体"/>
          <w:sz w:val="32"/>
          <w:szCs w:val="32"/>
        </w:rPr>
        <w:t>%</w:t>
      </w:r>
      <w:r>
        <w:rPr>
          <w:rFonts w:hint="eastAsia" w:ascii="仿宋_GB2312" w:hAnsi="仿宋_GB2312" w:eastAsia="仿宋_GB2312" w:cs="仿宋_GB2312"/>
          <w:sz w:val="32"/>
          <w:szCs w:val="32"/>
        </w:rPr>
        <w:t>。</w:t>
      </w:r>
    </w:p>
    <w:p w14:paraId="4451EF21">
      <w:pPr>
        <w:pStyle w:val="12"/>
        <w:spacing w:before="0" w:line="360" w:lineRule="auto"/>
        <w:ind w:firstLine="660"/>
        <w:jc w:val="both"/>
        <w:rPr>
          <w:rFonts w:hint="eastAsia" w:ascii="楷体" w:hAnsi="楷体" w:eastAsia="楷体" w:cs="楷体"/>
          <w:b/>
          <w:bCs/>
          <w:kern w:val="2"/>
          <w:sz w:val="32"/>
          <w:szCs w:val="32"/>
        </w:rPr>
      </w:pPr>
      <w:r>
        <w:rPr>
          <w:rFonts w:hint="eastAsia" w:ascii="楷体" w:hAnsi="楷体" w:eastAsia="楷体" w:cs="楷体"/>
          <w:b/>
          <w:bCs/>
          <w:kern w:val="2"/>
          <w:sz w:val="32"/>
          <w:szCs w:val="32"/>
        </w:rPr>
        <w:t>（三）一般公共预算当年拨款具体使用情况</w:t>
      </w:r>
    </w:p>
    <w:p w14:paraId="22A54453">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1．一般公共服务（类）教育支出20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2001.08</w:t>
      </w:r>
      <w:r>
        <w:rPr>
          <w:rFonts w:hint="eastAsia" w:ascii="仿宋_GB2312" w:hAnsi="仿宋_GB2312" w:eastAsia="仿宋_GB2312" w:cs="仿宋_GB2312"/>
          <w:sz w:val="32"/>
          <w:szCs w:val="32"/>
        </w:rPr>
        <w:t>万元，主要用于 :人员工资、行政运行费用。</w:t>
      </w:r>
    </w:p>
    <w:p w14:paraId="35BBE1EB">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社会保障就业支出</w:t>
      </w:r>
      <w:r>
        <w:rPr>
          <w:rFonts w:hint="eastAsia" w:ascii="仿宋_GB2312" w:hAnsi="仿宋_GB2312" w:eastAsia="仿宋_GB2312" w:cs="仿宋_GB2312"/>
          <w:sz w:val="32"/>
          <w:szCs w:val="32"/>
          <w:lang w:val="en-US" w:eastAsia="zh-CN"/>
        </w:rPr>
        <w:t>322.3</w:t>
      </w:r>
      <w:r>
        <w:rPr>
          <w:rFonts w:hint="eastAsia" w:ascii="仿宋_GB2312" w:hAnsi="仿宋_GB2312" w:eastAsia="仿宋_GB2312" w:cs="仿宋_GB2312"/>
          <w:sz w:val="32"/>
          <w:szCs w:val="32"/>
        </w:rPr>
        <w:t>万元，主要用于养老保险和职业年金缴费。</w:t>
      </w:r>
    </w:p>
    <w:p w14:paraId="6EDACAE8">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3.医疗卫生与计划生育支出</w:t>
      </w:r>
      <w:r>
        <w:rPr>
          <w:rFonts w:hint="eastAsia" w:ascii="仿宋_GB2312" w:hAnsi="仿宋_GB2312" w:eastAsia="仿宋_GB2312" w:cs="仿宋_GB2312"/>
          <w:sz w:val="32"/>
          <w:szCs w:val="32"/>
          <w:lang w:val="en-US" w:eastAsia="zh-CN"/>
        </w:rPr>
        <w:t>153.47</w:t>
      </w:r>
      <w:r>
        <w:rPr>
          <w:rFonts w:hint="eastAsia" w:ascii="仿宋_GB2312" w:hAnsi="仿宋_GB2312" w:eastAsia="仿宋_GB2312" w:cs="仿宋_GB2312"/>
          <w:sz w:val="32"/>
          <w:szCs w:val="32"/>
        </w:rPr>
        <w:t>万元，主要用于医疗保险。</w:t>
      </w:r>
    </w:p>
    <w:p w14:paraId="7A13A118">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 w:lineRule="atLeast"/>
        <w:ind w:firstLine="640" w:firstLineChars="200"/>
        <w:jc w:val="both"/>
        <w:textAlignment w:val="auto"/>
        <w:rPr>
          <w:rFonts w:cs="仿宋_GB2312"/>
          <w:kern w:val="2"/>
          <w:sz w:val="32"/>
          <w:szCs w:val="32"/>
        </w:rPr>
      </w:pPr>
      <w:r>
        <w:rPr>
          <w:rFonts w:hint="eastAsia" w:ascii="仿宋_GB2312" w:hAnsi="仿宋_GB2312" w:eastAsia="仿宋_GB2312" w:cs="仿宋_GB2312"/>
          <w:sz w:val="32"/>
          <w:szCs w:val="32"/>
        </w:rPr>
        <w:t>4.住房保障支出</w:t>
      </w:r>
      <w:r>
        <w:rPr>
          <w:rFonts w:hint="eastAsia" w:ascii="仿宋_GB2312" w:hAnsi="仿宋_GB2312" w:eastAsia="仿宋_GB2312" w:cs="仿宋_GB2312"/>
          <w:sz w:val="32"/>
          <w:szCs w:val="32"/>
          <w:lang w:val="en-US" w:eastAsia="zh-CN"/>
        </w:rPr>
        <w:t>197.27</w:t>
      </w:r>
      <w:r>
        <w:rPr>
          <w:rFonts w:hint="eastAsia" w:ascii="仿宋_GB2312" w:hAnsi="仿宋_GB2312" w:eastAsia="仿宋_GB2312" w:cs="仿宋_GB2312"/>
          <w:sz w:val="32"/>
          <w:szCs w:val="32"/>
        </w:rPr>
        <w:t>万元，主要用于住房公积金缴费。</w:t>
      </w:r>
    </w:p>
    <w:p w14:paraId="1D8699DE">
      <w:pPr>
        <w:pStyle w:val="12"/>
        <w:spacing w:before="0" w:line="360" w:lineRule="auto"/>
        <w:ind w:firstLine="660"/>
        <w:jc w:val="both"/>
        <w:rPr>
          <w:rFonts w:ascii="黑体" w:eastAsia="黑体"/>
          <w:sz w:val="32"/>
          <w:szCs w:val="32"/>
        </w:rPr>
      </w:pPr>
      <w:r>
        <w:rPr>
          <w:rFonts w:hint="eastAsia" w:ascii="黑体" w:eastAsia="黑体"/>
          <w:sz w:val="32"/>
          <w:szCs w:val="32"/>
        </w:rPr>
        <w:t>六、一般公共预算基本支出情况说明</w:t>
      </w:r>
    </w:p>
    <w:p w14:paraId="0593316A">
      <w:pPr>
        <w:pStyle w:val="12"/>
        <w:spacing w:before="0" w:line="360" w:lineRule="auto"/>
        <w:ind w:firstLine="640" w:firstLineChars="200"/>
        <w:jc w:val="both"/>
        <w:rPr>
          <w:rFonts w:cs="仿宋_GB2312"/>
          <w:kern w:val="2"/>
          <w:sz w:val="32"/>
          <w:szCs w:val="32"/>
        </w:rPr>
      </w:pPr>
      <w:r>
        <w:rPr>
          <w:rFonts w:hint="eastAsia" w:cs="仿宋_GB2312"/>
          <w:kern w:val="2"/>
          <w:sz w:val="32"/>
          <w:szCs w:val="32"/>
          <w:lang w:val="en-US" w:eastAsia="zh-CN"/>
        </w:rPr>
        <w:t>本单位</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仿宋_GB2312" w:hAnsi="仿宋_GB2312" w:eastAsia="仿宋_GB2312" w:cs="仿宋_GB2312"/>
          <w:sz w:val="32"/>
          <w:szCs w:val="32"/>
          <w:lang w:val="en-US" w:eastAsia="zh-CN"/>
        </w:rPr>
        <w:t>2624.12</w:t>
      </w:r>
      <w:r>
        <w:rPr>
          <w:rFonts w:hint="eastAsia" w:cs="仿宋_GB2312"/>
          <w:kern w:val="2"/>
          <w:sz w:val="32"/>
          <w:szCs w:val="32"/>
        </w:rPr>
        <w:t>万元，其中：人员经费</w:t>
      </w:r>
      <w:r>
        <w:rPr>
          <w:rFonts w:hint="eastAsia" w:cs="仿宋_GB2312"/>
          <w:kern w:val="2"/>
          <w:sz w:val="32"/>
          <w:szCs w:val="32"/>
          <w:lang w:val="en-US" w:eastAsia="zh-CN"/>
        </w:rPr>
        <w:t>2357.78</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298196C2">
      <w:pPr>
        <w:pStyle w:val="12"/>
        <w:spacing w:before="0" w:line="360" w:lineRule="auto"/>
        <w:ind w:firstLine="640" w:firstLineChars="200"/>
        <w:jc w:val="both"/>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266.35</w:t>
      </w:r>
      <w:r>
        <w:rPr>
          <w:rFonts w:hint="eastAsia" w:cs="仿宋_GB2312"/>
          <w:kern w:val="2"/>
          <w:sz w:val="32"/>
          <w:szCs w:val="32"/>
        </w:rPr>
        <w:t>万元，主要包括：办公费、印刷费、手续费、水费、电费、邮电费、差旅费、维修（护）费、租赁费、会议费、培训费、劳务费、工会经费、福利费、其他商品和服务支出。</w:t>
      </w:r>
      <w:r>
        <w:rPr>
          <w:rFonts w:hint="eastAsia" w:cs="仿宋_GB2312"/>
          <w:kern w:val="2"/>
          <w:sz w:val="32"/>
          <w:szCs w:val="32"/>
        </w:rPr>
        <w:br w:type="textWrapping"/>
      </w:r>
      <w:r>
        <w:rPr>
          <w:rFonts w:hint="eastAsia" w:cs="仿宋_GB2312"/>
          <w:kern w:val="2"/>
          <w:sz w:val="32"/>
          <w:szCs w:val="32"/>
          <w:lang w:val="en-US" w:eastAsia="zh-CN"/>
        </w:rPr>
        <w:t xml:space="preserve">    </w:t>
      </w:r>
      <w:r>
        <w:rPr>
          <w:rFonts w:hint="eastAsia" w:ascii="黑体" w:eastAsia="黑体"/>
          <w:sz w:val="32"/>
          <w:szCs w:val="32"/>
        </w:rPr>
        <w:t>七、“三公”经费财政拨款预算安排情况说明</w:t>
      </w:r>
    </w:p>
    <w:p w14:paraId="3392F9B2">
      <w:pPr>
        <w:pStyle w:val="12"/>
        <w:spacing w:before="0" w:line="360" w:lineRule="auto"/>
        <w:ind w:firstLine="640" w:firstLineChars="200"/>
        <w:jc w:val="both"/>
        <w:rPr>
          <w:rFonts w:cs="仿宋_GB2312"/>
          <w:kern w:val="2"/>
          <w:sz w:val="32"/>
          <w:szCs w:val="32"/>
        </w:rPr>
      </w:pPr>
      <w:r>
        <w:rPr>
          <w:rFonts w:hint="eastAsia" w:cs="仿宋_GB2312"/>
          <w:kern w:val="2"/>
          <w:sz w:val="32"/>
          <w:szCs w:val="32"/>
          <w:lang w:val="en-US" w:eastAsia="zh-CN"/>
        </w:rPr>
        <w:t>本单位</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13.3</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3.22</w:t>
      </w:r>
      <w:r>
        <w:rPr>
          <w:rFonts w:hint="eastAsia" w:cs="仿宋_GB2312"/>
          <w:kern w:val="2"/>
          <w:sz w:val="32"/>
          <w:szCs w:val="32"/>
        </w:rPr>
        <w:t>万元，公务用车购置及运行维护费</w:t>
      </w:r>
      <w:r>
        <w:rPr>
          <w:rFonts w:hint="eastAsia" w:cs="仿宋_GB2312"/>
          <w:kern w:val="2"/>
          <w:sz w:val="32"/>
          <w:szCs w:val="32"/>
          <w:lang w:val="en-US" w:eastAsia="zh-CN"/>
        </w:rPr>
        <w:t>10.08</w:t>
      </w:r>
      <w:r>
        <w:rPr>
          <w:rFonts w:hint="eastAsia" w:cs="仿宋_GB2312"/>
          <w:kern w:val="2"/>
          <w:sz w:val="32"/>
          <w:szCs w:val="32"/>
        </w:rPr>
        <w:t>万元。</w:t>
      </w:r>
    </w:p>
    <w:p w14:paraId="642F8BE2">
      <w:pPr>
        <w:pStyle w:val="12"/>
        <w:spacing w:before="0" w:line="360" w:lineRule="auto"/>
        <w:ind w:firstLine="640" w:firstLineChars="200"/>
        <w:jc w:val="both"/>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7538F3F6">
      <w:pPr>
        <w:pStyle w:val="12"/>
        <w:spacing w:before="0" w:line="360" w:lineRule="auto"/>
        <w:ind w:firstLine="640" w:firstLineChars="200"/>
        <w:jc w:val="both"/>
        <w:rPr>
          <w:rFonts w:hint="eastAsia" w:cs="宋体"/>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3.22</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减少0.06</w:t>
      </w:r>
      <w:r>
        <w:rPr>
          <w:rFonts w:hint="eastAsia" w:cs="仿宋_GB2312"/>
          <w:color w:val="000000"/>
          <w:kern w:val="2"/>
          <w:sz w:val="32"/>
          <w:szCs w:val="32"/>
        </w:rPr>
        <w:t>万元。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10.08</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val="en-US" w:eastAsia="zh-CN"/>
        </w:rPr>
        <w:t>无变化。</w:t>
      </w:r>
    </w:p>
    <w:p w14:paraId="1CFAD9EC">
      <w:pPr>
        <w:pStyle w:val="12"/>
        <w:spacing w:before="0" w:line="360" w:lineRule="auto"/>
        <w:ind w:firstLine="640" w:firstLineChars="200"/>
        <w:jc w:val="both"/>
        <w:rPr>
          <w:rFonts w:ascii="黑体" w:eastAsia="黑体"/>
          <w:sz w:val="32"/>
          <w:szCs w:val="32"/>
        </w:rPr>
      </w:pPr>
      <w:r>
        <w:rPr>
          <w:rFonts w:hint="eastAsia" w:ascii="黑体" w:eastAsia="黑体"/>
          <w:sz w:val="32"/>
          <w:szCs w:val="32"/>
        </w:rPr>
        <w:t>八、政府性基金</w:t>
      </w:r>
      <w:r>
        <w:rPr>
          <w:rFonts w:hint="eastAsia" w:ascii="黑体" w:eastAsia="黑体" w:cs="Times New Roman"/>
          <w:sz w:val="32"/>
          <w:szCs w:val="32"/>
        </w:rPr>
        <w:t>预算</w:t>
      </w:r>
      <w:r>
        <w:rPr>
          <w:rFonts w:hint="eastAsia" w:ascii="黑体" w:eastAsia="黑体"/>
          <w:sz w:val="32"/>
          <w:szCs w:val="32"/>
        </w:rPr>
        <w:t>支出情况说明</w:t>
      </w:r>
    </w:p>
    <w:p w14:paraId="0A37C6E6">
      <w:pPr>
        <w:pStyle w:val="12"/>
        <w:spacing w:before="0" w:line="360" w:lineRule="auto"/>
        <w:ind w:firstLine="640" w:firstLineChars="200"/>
        <w:jc w:val="both"/>
        <w:rPr>
          <w:rFonts w:cs="仿宋_GB2312"/>
          <w:kern w:val="2"/>
          <w:sz w:val="32"/>
          <w:szCs w:val="32"/>
        </w:rPr>
      </w:pPr>
      <w:r>
        <w:rPr>
          <w:rFonts w:hint="eastAsia" w:cs="仿宋_GB2312"/>
          <w:kern w:val="2"/>
          <w:sz w:val="32"/>
          <w:szCs w:val="32"/>
          <w:lang w:val="en-US" w:eastAsia="zh-CN"/>
        </w:rPr>
        <w:t>本单位</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w:t>
      </w:r>
      <w:r>
        <w:rPr>
          <w:rFonts w:hint="eastAsia" w:cs="宋体"/>
          <w:sz w:val="32"/>
          <w:szCs w:val="32"/>
          <w:lang w:val="en-US" w:eastAsia="zh-CN"/>
        </w:rPr>
        <w:t>无变化</w:t>
      </w:r>
      <w:r>
        <w:rPr>
          <w:rFonts w:hint="eastAsia" w:cs="仿宋_GB2312"/>
          <w:kern w:val="2"/>
          <w:sz w:val="32"/>
          <w:szCs w:val="32"/>
        </w:rPr>
        <w:t>。</w:t>
      </w:r>
    </w:p>
    <w:p w14:paraId="42E6D468">
      <w:pPr>
        <w:pStyle w:val="12"/>
        <w:spacing w:before="0" w:line="360" w:lineRule="auto"/>
        <w:ind w:firstLine="640" w:firstLineChars="200"/>
        <w:jc w:val="both"/>
        <w:rPr>
          <w:rFonts w:ascii="黑体" w:eastAsia="黑体"/>
          <w:sz w:val="32"/>
          <w:szCs w:val="32"/>
        </w:rPr>
      </w:pPr>
      <w:r>
        <w:rPr>
          <w:rFonts w:hint="eastAsia" w:ascii="黑体" w:eastAsia="黑体"/>
          <w:sz w:val="32"/>
          <w:szCs w:val="32"/>
        </w:rPr>
        <w:t>九、其他重要事项的情况说明</w:t>
      </w:r>
    </w:p>
    <w:p w14:paraId="55165A77">
      <w:pPr>
        <w:pStyle w:val="12"/>
        <w:spacing w:before="0" w:line="360" w:lineRule="auto"/>
        <w:ind w:firstLine="643" w:firstLineChars="200"/>
        <w:jc w:val="both"/>
        <w:rPr>
          <w:rFonts w:cs="仿宋_GB2312"/>
          <w:color w:val="FF0000"/>
          <w:kern w:val="2"/>
          <w:sz w:val="32"/>
          <w:szCs w:val="32"/>
        </w:rPr>
      </w:pPr>
      <w:r>
        <w:rPr>
          <w:rFonts w:hint="eastAsia" w:ascii="楷体" w:hAnsi="楷体" w:eastAsia="楷体" w:cs="楷体"/>
          <w:b/>
          <w:bCs/>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我校</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年机关运行经费财政拨款预算为</w:t>
      </w:r>
      <w:r>
        <w:rPr>
          <w:rFonts w:hint="eastAsia" w:cs="仿宋_GB2312"/>
          <w:kern w:val="2"/>
          <w:sz w:val="32"/>
          <w:szCs w:val="32"/>
          <w:lang w:val="en-US" w:eastAsia="zh-CN"/>
        </w:rPr>
        <w:t>266.35</w:t>
      </w:r>
      <w:r>
        <w:rPr>
          <w:rFonts w:hint="eastAsia" w:cs="仿宋_GB2312"/>
          <w:kern w:val="2"/>
          <w:sz w:val="32"/>
          <w:szCs w:val="32"/>
        </w:rPr>
        <w:t>万元，比202</w:t>
      </w:r>
      <w:r>
        <w:rPr>
          <w:rFonts w:hint="eastAsia" w:cs="仿宋_GB2312"/>
          <w:kern w:val="2"/>
          <w:sz w:val="32"/>
          <w:szCs w:val="32"/>
          <w:lang w:val="en-US" w:eastAsia="zh-CN"/>
        </w:rPr>
        <w:t>4</w:t>
      </w:r>
      <w:r>
        <w:rPr>
          <w:rFonts w:hint="eastAsia" w:cs="仿宋_GB2312"/>
          <w:kern w:val="2"/>
          <w:sz w:val="32"/>
          <w:szCs w:val="32"/>
        </w:rPr>
        <w:t>年预算</w:t>
      </w:r>
      <w:r>
        <w:rPr>
          <w:rFonts w:hint="eastAsia" w:cs="仿宋_GB2312"/>
          <w:kern w:val="2"/>
          <w:sz w:val="32"/>
          <w:szCs w:val="32"/>
          <w:lang w:val="en-US" w:eastAsia="zh-CN"/>
        </w:rPr>
        <w:t>减少89.3</w:t>
      </w:r>
      <w:r>
        <w:rPr>
          <w:rFonts w:hint="eastAsia" w:cs="宋体"/>
          <w:sz w:val="32"/>
          <w:szCs w:val="32"/>
          <w:lang w:val="en-US" w:eastAsia="zh-CN"/>
        </w:rPr>
        <w:t>万元</w:t>
      </w:r>
      <w:r>
        <w:rPr>
          <w:rFonts w:hint="eastAsia" w:cs="仿宋_GB2312"/>
          <w:color w:val="000000"/>
          <w:kern w:val="2"/>
          <w:sz w:val="32"/>
          <w:szCs w:val="32"/>
        </w:rPr>
        <w:t xml:space="preserve">。 </w:t>
      </w:r>
    </w:p>
    <w:p w14:paraId="33A4D704">
      <w:pPr>
        <w:pStyle w:val="12"/>
        <w:spacing w:before="0" w:line="360" w:lineRule="auto"/>
        <w:ind w:firstLine="643" w:firstLineChars="200"/>
        <w:jc w:val="both"/>
        <w:rPr>
          <w:rFonts w:hint="eastAsia" w:ascii="仿宋_GB2312" w:hAnsi="仿宋_GB2312" w:eastAsia="仿宋_GB2312" w:cs="仿宋_GB2312"/>
          <w:sz w:val="32"/>
          <w:szCs w:val="32"/>
          <w:lang w:eastAsia="zh-CN"/>
        </w:rPr>
      </w:pPr>
      <w:r>
        <w:rPr>
          <w:rFonts w:hint="eastAsia" w:ascii="楷体" w:hAnsi="楷体" w:eastAsia="楷体" w:cs="楷体"/>
          <w:b/>
          <w:bCs/>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ascii="仿宋_GB2312" w:hAnsi="仿宋_GB2312" w:eastAsia="仿宋_GB2312" w:cs="仿宋_GB2312"/>
          <w:sz w:val="32"/>
          <w:szCs w:val="32"/>
        </w:rPr>
        <w:t>本单位安排政府采购预算</w:t>
      </w:r>
      <w:r>
        <w:rPr>
          <w:rFonts w:hint="eastAsia" w:hAnsi="仿宋_GB2312" w:cs="仿宋_GB2312"/>
          <w:sz w:val="32"/>
          <w:szCs w:val="32"/>
          <w:lang w:val="en-US" w:eastAsia="zh-CN"/>
        </w:rPr>
        <w:t>0万元</w:t>
      </w:r>
      <w:r>
        <w:rPr>
          <w:rFonts w:hint="eastAsia" w:hAnsi="仿宋_GB2312" w:cs="仿宋_GB2312"/>
          <w:sz w:val="32"/>
          <w:szCs w:val="32"/>
          <w:lang w:eastAsia="zh-CN"/>
        </w:rPr>
        <w:t>。</w:t>
      </w:r>
    </w:p>
    <w:p w14:paraId="77973F2B">
      <w:pPr>
        <w:pStyle w:val="12"/>
        <w:spacing w:before="0" w:line="360" w:lineRule="auto"/>
        <w:ind w:firstLine="643" w:firstLineChars="200"/>
        <w:jc w:val="both"/>
        <w:rPr>
          <w:rFonts w:hint="eastAsia" w:ascii="楷体" w:hAnsi="楷体" w:eastAsia="楷体" w:cs="楷体"/>
          <w:b/>
          <w:bCs/>
          <w:kern w:val="2"/>
          <w:sz w:val="32"/>
          <w:szCs w:val="32"/>
        </w:rPr>
      </w:pPr>
      <w:r>
        <w:rPr>
          <w:rFonts w:hint="eastAsia" w:ascii="楷体" w:hAnsi="楷体" w:eastAsia="楷体" w:cs="楷体"/>
          <w:b/>
          <w:bCs/>
          <w:kern w:val="2"/>
          <w:sz w:val="32"/>
          <w:szCs w:val="32"/>
        </w:rPr>
        <w:t>（三）国有资产占有使用情况</w:t>
      </w:r>
    </w:p>
    <w:p w14:paraId="37C59380">
      <w:pPr>
        <w:pStyle w:val="12"/>
        <w:spacing w:before="0" w:line="360" w:lineRule="auto"/>
        <w:ind w:firstLine="640" w:firstLineChars="200"/>
        <w:jc w:val="both"/>
        <w:rPr>
          <w:rFonts w:hint="default" w:eastAsia="仿宋_GB2312" w:cs="仿宋_GB2312"/>
          <w:kern w:val="2"/>
          <w:sz w:val="32"/>
          <w:szCs w:val="32"/>
          <w:lang w:val="en-US" w:eastAsia="zh-CN"/>
        </w:rPr>
      </w:pPr>
      <w:r>
        <w:rPr>
          <w:rFonts w:hint="eastAsia" w:cs="仿宋_GB2312"/>
          <w:kern w:val="2"/>
          <w:sz w:val="32"/>
          <w:szCs w:val="32"/>
        </w:rPr>
        <w:t>截至202</w:t>
      </w:r>
      <w:r>
        <w:rPr>
          <w:rFonts w:hint="eastAsia" w:cs="仿宋_GB2312"/>
          <w:kern w:val="2"/>
          <w:sz w:val="32"/>
          <w:szCs w:val="32"/>
          <w:lang w:val="en-US" w:eastAsia="zh-CN"/>
        </w:rPr>
        <w:t>4</w:t>
      </w:r>
      <w:r>
        <w:rPr>
          <w:rFonts w:hint="eastAsia" w:cs="仿宋_GB2312"/>
          <w:kern w:val="2"/>
          <w:sz w:val="32"/>
          <w:szCs w:val="32"/>
        </w:rPr>
        <w:t>年12月31日，我单位资产</w:t>
      </w:r>
      <w:r>
        <w:rPr>
          <w:rFonts w:hint="eastAsia" w:cs="仿宋_GB2312"/>
          <w:kern w:val="2"/>
          <w:sz w:val="32"/>
          <w:szCs w:val="32"/>
          <w:lang w:val="en-US" w:eastAsia="zh-CN"/>
        </w:rPr>
        <w:t>总值8649.82</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其中：房屋及构筑物5325.00万元、设备2456.51万元、文物陈列78.63万元、图书17万元、家具用具630.99万元、无形资产141.69万元。</w:t>
      </w:r>
    </w:p>
    <w:p w14:paraId="1B2E1B6A">
      <w:pPr>
        <w:pStyle w:val="12"/>
        <w:numPr>
          <w:ilvl w:val="0"/>
          <w:numId w:val="0"/>
        </w:numPr>
        <w:spacing w:before="0" w:line="360" w:lineRule="auto"/>
        <w:ind w:firstLine="643" w:firstLineChars="200"/>
        <w:jc w:val="both"/>
        <w:rPr>
          <w:rFonts w:ascii="黑体" w:eastAsia="黑体"/>
          <w:sz w:val="32"/>
          <w:szCs w:val="32"/>
        </w:rPr>
      </w:pPr>
      <w:r>
        <w:rPr>
          <w:rFonts w:hint="eastAsia" w:ascii="楷体" w:hAnsi="楷体" w:eastAsia="楷体" w:cs="楷体"/>
          <w:b/>
          <w:bCs/>
          <w:kern w:val="2"/>
          <w:sz w:val="32"/>
          <w:szCs w:val="32"/>
          <w:lang w:eastAsia="zh-CN"/>
        </w:rPr>
        <w:t>（</w:t>
      </w:r>
      <w:r>
        <w:rPr>
          <w:rFonts w:hint="eastAsia" w:ascii="楷体" w:hAnsi="楷体" w:eastAsia="楷体" w:cs="楷体"/>
          <w:b/>
          <w:bCs/>
          <w:kern w:val="2"/>
          <w:sz w:val="32"/>
          <w:szCs w:val="32"/>
          <w:lang w:val="en-US" w:eastAsia="zh-CN"/>
        </w:rPr>
        <w:t>四</w:t>
      </w:r>
      <w:r>
        <w:rPr>
          <w:rFonts w:hint="eastAsia" w:ascii="楷体" w:hAnsi="楷体" w:eastAsia="楷体" w:cs="楷体"/>
          <w:b/>
          <w:bCs/>
          <w:kern w:val="2"/>
          <w:sz w:val="32"/>
          <w:szCs w:val="32"/>
          <w:lang w:eastAsia="zh-CN"/>
        </w:rPr>
        <w:t>）</w:t>
      </w:r>
      <w:r>
        <w:rPr>
          <w:rFonts w:hint="eastAsia" w:ascii="楷体" w:hAnsi="楷体" w:eastAsia="楷体" w:cs="楷体"/>
          <w:b/>
          <w:bCs/>
          <w:kern w:val="2"/>
          <w:sz w:val="32"/>
          <w:szCs w:val="32"/>
        </w:rPr>
        <w:t>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5</w:t>
      </w:r>
      <w:r>
        <w:rPr>
          <w:rFonts w:hint="eastAsia" w:cs="仿宋_GB2312"/>
          <w:kern w:val="2"/>
          <w:sz w:val="32"/>
          <w:szCs w:val="32"/>
        </w:rPr>
        <w:t>年</w:t>
      </w:r>
      <w:r>
        <w:rPr>
          <w:rFonts w:hint="eastAsia" w:cs="仿宋_GB2312"/>
          <w:kern w:val="2"/>
          <w:sz w:val="32"/>
          <w:szCs w:val="32"/>
          <w:lang w:val="en-US" w:eastAsia="zh-CN"/>
        </w:rPr>
        <w:t>我校</w:t>
      </w:r>
      <w:r>
        <w:rPr>
          <w:rFonts w:hint="eastAsia" w:cs="仿宋_GB2312"/>
          <w:kern w:val="2"/>
          <w:sz w:val="32"/>
          <w:szCs w:val="32"/>
        </w:rPr>
        <w:t>通用项目和专用项目均按要求实行绩效目标管理，涉及一般公共预算当年拨款</w:t>
      </w:r>
      <w:r>
        <w:rPr>
          <w:rFonts w:hint="eastAsia" w:ascii="仿宋_GB2312" w:hAnsi="仿宋_GB2312" w:eastAsia="仿宋_GB2312" w:cs="仿宋_GB2312"/>
          <w:sz w:val="32"/>
          <w:szCs w:val="32"/>
        </w:rPr>
        <w:t>2696.13</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其中</w:t>
      </w:r>
      <w:bookmarkStart w:id="0" w:name="_GoBack"/>
      <w:bookmarkEnd w:id="0"/>
      <w:r>
        <w:rPr>
          <w:rFonts w:hint="eastAsia" w:cs="仿宋_GB2312"/>
          <w:kern w:val="2"/>
          <w:sz w:val="32"/>
          <w:szCs w:val="32"/>
          <w:lang w:val="en-US" w:eastAsia="zh-CN"/>
        </w:rPr>
        <w:t>：人员类6个，涉及预算2357.78万元；运转类2个，涉及预算266.35万元；特定目标类3个，涉及预算72万元</w:t>
      </w:r>
      <w:r>
        <w:rPr>
          <w:rFonts w:hint="eastAsia" w:cs="仿宋_GB2312"/>
          <w:kern w:val="2"/>
          <w:sz w:val="32"/>
          <w:szCs w:val="32"/>
        </w:rPr>
        <w:t>。</w:t>
      </w:r>
    </w:p>
    <w:p w14:paraId="55ABDA02">
      <w:pPr>
        <w:pStyle w:val="12"/>
        <w:spacing w:before="0" w:line="360" w:lineRule="auto"/>
        <w:ind w:firstLine="640" w:firstLineChars="200"/>
        <w:jc w:val="both"/>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 w:hAnsi="??" w:eastAsia="宋体" w:cs="宋体"/>
          <w:sz w:val="16"/>
          <w:lang w:val="en-US" w:eastAsia="zh-CN"/>
        </w:rPr>
        <w:t xml:space="preserve"> </w:t>
      </w:r>
      <w:r>
        <w:rPr>
          <w:rFonts w:hint="eastAsia" w:cs="仿宋_GB2312"/>
          <w:kern w:val="2"/>
          <w:sz w:val="32"/>
          <w:szCs w:val="32"/>
        </w:rPr>
        <w:t>（一）财政拨款收入：指由财政拨款形成的部门收入。按现行管理制度，部门预算中反映的财政拨款仅包括一般公共预算拨款和政府性基金预算拨款。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（二）事业收入：指所属事业单位开展专业业务活动及辅助活动所取得的收入。</w:t>
      </w:r>
      <w:r>
        <w:rPr>
          <w:rFonts w:cs="仿宋_GB2312"/>
          <w:kern w:val="2"/>
          <w:sz w:val="32"/>
          <w:szCs w:val="32"/>
        </w:rPr>
        <w:br w:type="textWrapping"/>
      </w:r>
      <w:r>
        <w:rPr>
          <w:rFonts w:hint="eastAsia" w:cs="仿宋_GB2312"/>
          <w:kern w:val="2"/>
          <w:sz w:val="32"/>
          <w:szCs w:val="32"/>
        </w:rPr>
        <w:t>　　（三）事业单位经营收入：指所属事业单位在专业业务活动及其辅助活动之外开展非独立核算经营活动取得的收入。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14:paraId="583CEE0A">
      <w:pPr>
        <w:jc w:val="both"/>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C95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7A15"/>
    <w:rsid w:val="04CC31C9"/>
    <w:rsid w:val="07DC5B3C"/>
    <w:rsid w:val="0D9539AC"/>
    <w:rsid w:val="11F91688"/>
    <w:rsid w:val="16D1588B"/>
    <w:rsid w:val="187B2C33"/>
    <w:rsid w:val="1BC33A6E"/>
    <w:rsid w:val="1CA9790D"/>
    <w:rsid w:val="351C6782"/>
    <w:rsid w:val="36C55FDF"/>
    <w:rsid w:val="3A5E5C28"/>
    <w:rsid w:val="3B827EA3"/>
    <w:rsid w:val="3D547BE3"/>
    <w:rsid w:val="3E224E7E"/>
    <w:rsid w:val="3FCA1B8B"/>
    <w:rsid w:val="4C8B131F"/>
    <w:rsid w:val="4E0D7714"/>
    <w:rsid w:val="5A1B28F5"/>
    <w:rsid w:val="60884DDB"/>
    <w:rsid w:val="60FA7AD7"/>
    <w:rsid w:val="61CB47FD"/>
    <w:rsid w:val="714C4D55"/>
    <w:rsid w:val="748B7B8E"/>
    <w:rsid w:val="79CA2D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Lines="0" w:beforeAutospacing="1" w:after="100" w:afterLines="0" w:afterAutospacing="1"/>
      <w:jc w:val="left"/>
    </w:pPr>
    <w:rPr>
      <w:rFonts w:hint="default"/>
      <w:kern w:val="0"/>
      <w:sz w:val="24"/>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2937</Words>
  <Characters>3254</Characters>
  <Lines>124</Lines>
  <Paragraphs>48</Paragraphs>
  <TotalTime>15</TotalTime>
  <ScaleCrop>false</ScaleCrop>
  <LinksUpToDate>false</LinksUpToDate>
  <CharactersWithSpaces>3293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LD</cp:lastModifiedBy>
  <cp:lastPrinted>2018-01-30T09:39:00Z</cp:lastPrinted>
  <dcterms:modified xsi:type="dcterms:W3CDTF">2025-02-20T09:02:55Z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eyJoZGlkIjoiYWQ2OTYzYTlmNjI2OGMwNmRiOWIyMTAyOWY4MDY1YTkiLCJ1c2VySWQiOiIxNjMyMTE3MzM1In0=</vt:lpwstr>
  </property>
  <property fmtid="{D5CDD505-2E9C-101B-9397-08002B2CF9AE}" pid="4" name="ICV">
    <vt:lpwstr>A635E16F977F451E997794C75551F261_12</vt:lpwstr>
  </property>
</Properties>
</file>