
<file path=[Content_Types].xml><?xml version="1.0" encoding="utf-8"?>
<Types xmlns="http://schemas.openxmlformats.org/package/2006/content-types">
  <Default Extension="rels" ContentType="application/vnd.openxmlformats-package.relationships+xml"/>
  <Default Extension="xml" ContentType="application/xml"/>
  <Default Extension="bmp" ContentType="image/bmp"/>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pStyle w:val="18"/>
        <w:rPr>
          <w:rFonts w:ascii="Times New Roman" w:eastAsia="方正小标宋简体" w:cs="Times New Roman" w:hAnsi="Times New Roman" w:hint="eastAsia"/>
          <w:color w:val="auto"/>
          <w:kern w:val="2"/>
          <w:sz w:val="44"/>
          <w:szCs w:val="44"/>
          <w:lang w:val="en-US" w:eastAsia="zh-CN" w:bidi="ar-SA"/>
          <w:highlight w:val="auto"/>
        </w:rPr>
      </w:pPr>
      <w:bookmarkStart w:id="0" w:name="_Toc15377193"/>
      <w:bookmarkStart w:id="1" w:name="_Toc15396475"/>
      <w:bookmarkStart w:id="2" w:name="_Toc15377425"/>
      <w:bookmarkStart w:id="3" w:name="_Toc15378441"/>
      <w:bookmarkStart w:id="4" w:name="_Toc15396597"/>
      <w:bookmarkStart w:id="5" w:name="_Toc15306267"/>
    </w:p>
    <w:p>
      <w:pPr>
        <w:pStyle w:val="18"/>
        <w:jc w:val="center"/>
        <w:rPr>
          <w:rFonts w:ascii="Times New Roman" w:eastAsia="方正小标宋简体" w:cs="Times New Roman" w:hAnsi="Times New Roman"/>
          <w:color w:val="auto"/>
          <w:kern w:val="2"/>
          <w:sz w:val="44"/>
          <w:szCs w:val="44"/>
          <w:lang w:val="en-US" w:eastAsia="zh-CN" w:bidi="ar-SA"/>
          <w:highlight w:val="auto"/>
        </w:rPr>
      </w:pPr>
    </w:p>
    <w:p>
      <w:pPr>
        <w:pStyle w:val="18"/>
        <w:jc w:val="center"/>
        <w:rPr>
          <w:rFonts w:ascii="Times New Roman" w:eastAsia="方正小标宋简体" w:cs="Times New Roman" w:hAnsi="Times New Roman"/>
          <w:color w:val="auto"/>
          <w:kern w:val="2"/>
          <w:sz w:val="44"/>
          <w:szCs w:val="44"/>
          <w:lang w:val="en-US" w:eastAsia="zh-CN" w:bidi="ar-SA"/>
          <w:highlight w:val="auto"/>
        </w:rPr>
      </w:pPr>
    </w:p>
    <w:p>
      <w:pPr>
        <w:pStyle w:val="18"/>
        <w:jc w:val="center"/>
        <w:rPr>
          <w:rFonts w:ascii="Times New Roman" w:eastAsia="方正小标宋简体" w:cs="Times New Roman" w:hAnsi="Times New Roman" w:hint="eastAsia"/>
          <w:color w:val="auto"/>
          <w:kern w:val="2"/>
          <w:sz w:val="44"/>
          <w:szCs w:val="44"/>
          <w:lang w:val="en-US" w:eastAsia="zh-CN" w:bidi="ar-SA"/>
          <w:highlight w:val="auto"/>
        </w:rPr>
      </w:pPr>
    </w:p>
    <w:p>
      <w:pPr>
        <w:pStyle w:val="18"/>
        <w:jc w:val="center"/>
        <w:rPr>
          <w:rFonts w:ascii="Times New Roman" w:eastAsia="方正小标宋简体" w:hAnsi="Times New Roman"/>
          <w:kern w:val="2"/>
          <w:sz w:val="44"/>
          <w:szCs w:val="44"/>
          <w:highlight w:val="auto"/>
        </w:rPr>
      </w:pPr>
      <w:bookmarkStart w:id="6" w:name="_Toc15377194"/>
      <w:bookmarkStart w:id="7" w:name="_Toc15396476"/>
      <w:bookmarkStart w:id="8" w:name="_Toc15396598"/>
      <w:bookmarkStart w:id="9" w:name="_Toc15377426"/>
      <w:bookmarkStart w:id="10" w:name="_Toc15378442"/>
      <w:bookmarkEnd w:id="0"/>
      <w:bookmarkEnd w:id="1"/>
      <w:bookmarkEnd w:id="2"/>
      <w:bookmarkEnd w:id="3"/>
      <w:bookmarkEnd w:id="4"/>
      <w:r>
        <w:rPr>
          <w:rFonts w:ascii="Times New Roman" w:eastAsia="方正小标宋简体" w:hAnsi="Times New Roman" w:hint="eastAsia"/>
          <w:kern w:val="2"/>
          <w:sz w:val="44"/>
          <w:szCs w:val="44"/>
          <w:highlight w:val="auto"/>
        </w:rPr>
        <w:t>2024年度</w:t>
      </w:r>
    </w:p>
    <w:p>
      <w:pPr>
        <w:pStyle w:val="18"/>
        <w:jc w:val="center"/>
        <w:rPr>
          <w:rFonts w:ascii="Times New Roman" w:eastAsia="方正小标宋简体" w:cs="Times New Roman" w:hAnsi="Times New Roman" w:hint="eastAsia"/>
          <w:color w:val="auto"/>
          <w:kern w:val="2"/>
          <w:sz w:val="44"/>
          <w:szCs w:val="44"/>
          <w:lang w:val="en-US" w:eastAsia="zh-CN" w:bidi="ar-SA"/>
          <w:highlight w:val="auto"/>
        </w:rPr>
      </w:pPr>
      <w:r>
        <w:rPr>
          <w:rFonts w:ascii="Times New Roman" w:eastAsia="方正小标宋简体" w:cs="Times New Roman" w:hAnsi="Times New Roman" w:hint="eastAsia"/>
          <w:color w:val="auto"/>
          <w:kern w:val="2"/>
          <w:sz w:val="44"/>
          <w:szCs w:val="44"/>
          <w:lang w:val="en-US" w:eastAsia="zh-CN" w:bidi="ar-SA"/>
          <w:highlight w:val="auto"/>
        </w:rPr>
        <w:t>四川省</w:t>
      </w:r>
      <w:bookmarkStart w:id="11" w:name="_Toc15306268"/>
      <w:bookmarkEnd w:id="5"/>
      <w:r>
        <w:rPr>
          <w:rFonts w:ascii="Times New Roman" w:eastAsia="方正小标宋简体" w:cs="Times New Roman" w:hAnsi="Times New Roman"/>
          <w:color w:val="auto"/>
          <w:kern w:val="2"/>
          <w:sz w:val="44"/>
          <w:szCs w:val="44"/>
          <w:lang w:val="en-US" w:eastAsia="zh-CN" w:bidi="ar-SA"/>
          <w:highlight w:val="auto"/>
        </w:rPr>
        <w:t>阿坝州民族高级中学</w:t>
      </w:r>
      <w:r>
        <w:rPr>
          <w:rFonts w:ascii="Times New Roman" w:eastAsia="方正小标宋简体" w:cs="Times New Roman" w:hAnsi="Times New Roman" w:hint="eastAsia"/>
          <w:color w:val="auto"/>
          <w:kern w:val="2"/>
          <w:sz w:val="44"/>
          <w:szCs w:val="44"/>
          <w:lang w:val="en-US" w:eastAsia="zh-CN" w:bidi="ar-SA"/>
          <w:highlight w:val="auto"/>
        </w:rPr>
        <w:t>决算</w:t>
      </w:r>
      <w:bookmarkEnd w:id="6"/>
      <w:bookmarkEnd w:id="7"/>
      <w:bookmarkEnd w:id="8"/>
      <w:bookmarkEnd w:id="9"/>
      <w:bookmarkEnd w:id="10"/>
      <w:bookmarkEnd w:id="11"/>
      <w:r>
        <w:rPr>
          <w:rFonts w:ascii="Times New Roman" w:eastAsia="方正小标宋简体" w:cs="Times New Roman" w:hAnsi="Times New Roman"/>
          <w:color w:val="auto"/>
          <w:kern w:val="2"/>
          <w:sz w:val="44"/>
          <w:szCs w:val="44"/>
          <w:lang w:val="en-US" w:eastAsia="zh-CN" w:bidi="ar-SA"/>
          <w:highlight w:val="auto"/>
        </w:rPr>
        <w:t>公开</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lang w:val="en-US" w:eastAsia="zh-CN"/>
          <w:highlight w:val="auto"/>
        </w:rPr>
      </w:pPr>
      <w:r>
        <w:rPr>
          <w:rFonts w:ascii="Times New Roman" w:eastAsia="仿宋_GB2312" w:cs="仿宋_GB2312" w:hAnsi="Times New Roman" w:hint="eastAsia"/>
          <w:color w:val="auto"/>
          <w:sz w:val="32"/>
          <w:szCs w:val="32"/>
          <w:lang w:val="en-US" w:eastAsia="zh-CN"/>
          <w:highlight w:val="auto"/>
        </w:rPr>
        <w:t>（注：</w:t>
      </w:r>
      <w:r>
        <w:rPr>
          <w:rFonts w:eastAsia="仿宋_GB2312" w:cs="仿宋_GB2312" w:hint="eastAsia"/>
          <w:color w:val="auto"/>
          <w:sz w:val="32"/>
          <w:szCs w:val="32"/>
          <w:lang w:val="en-US" w:eastAsia="zh-CN"/>
          <w:highlight w:val="auto"/>
        </w:rPr>
        <w:t>以下为部门公开范本。单位公开内容应参照部门公开内容和报表格式，并与部门公开内容做好衔接）</w:t>
      </w:r>
    </w:p>
    <w:p>
      <w:pPr>
        <w:widowControl/>
        <w:jc w:val="center"/>
        <w:rPr>
          <w:rFonts w:ascii="Times New Roman" w:eastAsia="黑体" w:hAnsi="Times New Roman"/>
          <w:color w:val="auto"/>
          <w:sz w:val="48"/>
          <w:szCs w:val="48"/>
          <w:highlight w:val="auto"/>
        </w:rPr>
      </w:pPr>
      <w:r>
        <w:rPr>
          <w:rFonts w:ascii="Times New Roman" w:eastAsia="方正小标宋简体" w:hAnsi="Times New Roman"/>
          <w:color w:val="auto"/>
          <w:sz w:val="36"/>
          <w:szCs w:val="36"/>
          <w:highlight w:val="auto"/>
        </w:rPr>
        <w:br w:type="page"/>
      </w:r>
      <w:r>
        <w:rPr>
          <w:rFonts w:ascii="Times New Roman" w:eastAsia="黑体" w:hAnsi="Times New Roman" w:hint="eastAsia"/>
          <w:color w:val="auto"/>
          <w:sz w:val="48"/>
          <w:szCs w:val="48"/>
          <w:highlight w:val="auto"/>
        </w:rPr>
        <w:t>目录</w:t>
      </w:r>
    </w:p>
    <w:p>
      <w:pPr>
        <w:widowControl/>
        <w:jc w:val="center"/>
        <w:rPr>
          <w:rFonts w:ascii="Times New Roman" w:eastAsia="黑体" w:cs="Arial" w:hAnsi="Times New Roman"/>
          <w:color w:val="auto"/>
          <w:sz w:val="28"/>
          <w:szCs w:val="28"/>
          <w:highlight w:val="auto"/>
        </w:rPr>
      </w:pPr>
    </w:p>
    <w:p>
      <w:pPr>
        <w:pStyle w:val="23"/>
        <w:tabs>
          <w:tab w:val="right" w:leader="dot" w:pos="8296"/>
        </w:tabs>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公开时间：20</w:t>
      </w:r>
      <w:r>
        <w:rPr>
          <w:rFonts w:ascii="Times New Roman" w:eastAsia="仿宋_GB2312" w:cs="仿宋_GB2312" w:hAnsi="Times New Roman" w:hint="eastAsia"/>
          <w:color w:val="auto"/>
          <w:sz w:val="32"/>
          <w:szCs w:val="32"/>
          <w:lang w:val="en-US" w:eastAsia="zh-CN"/>
          <w:highlight w:val="auto"/>
        </w:rPr>
        <w:t>24</w:t>
      </w:r>
      <w:r>
        <w:rPr>
          <w:rFonts w:ascii="Times New Roman" w:eastAsia="仿宋_GB2312" w:cs="仿宋_GB2312" w:hAnsi="Times New Roman" w:hint="eastAsia"/>
          <w:color w:val="auto"/>
          <w:sz w:val="32"/>
          <w:szCs w:val="32"/>
          <w:highlight w:val="auto"/>
        </w:rPr>
        <w:t>年</w:t>
      </w:r>
      <w:r>
        <w:rPr>
          <w:rFonts w:ascii="Times New Roman" w:eastAsia="仿宋_GB2312" w:cs="仿宋_GB2312" w:hAnsi="Times New Roman" w:hint="eastAsia"/>
          <w:color w:val="auto"/>
          <w:sz w:val="32"/>
          <w:szCs w:val="32"/>
          <w:lang w:val="en-US" w:eastAsia="zh-CN"/>
          <w:highlight w:val="auto"/>
        </w:rPr>
        <w:t xml:space="preserve"> </w:t>
      </w:r>
      <w:r>
        <w:rPr>
          <w:rFonts w:ascii="Times New Roman" w:eastAsia="仿宋_GB2312" w:cs="仿宋_GB2312" w:hAnsi="Times New Roman"/>
          <w:color w:val="auto"/>
          <w:sz w:val="32"/>
          <w:szCs w:val="32"/>
          <w:lang w:val="en-US" w:eastAsia="zh-CN"/>
          <w:highlight w:val="auto"/>
        </w:rPr>
        <w:t>9</w:t>
      </w:r>
      <w:r>
        <w:rPr>
          <w:rFonts w:ascii="Times New Roman" w:eastAsia="仿宋_GB2312" w:cs="仿宋_GB2312" w:hAnsi="Times New Roman" w:hint="eastAsia"/>
          <w:color w:val="auto"/>
          <w:sz w:val="32"/>
          <w:szCs w:val="32"/>
          <w:lang w:val="en-US" w:eastAsia="zh-CN"/>
          <w:highlight w:val="auto"/>
        </w:rPr>
        <w:t xml:space="preserve"> </w:t>
      </w:r>
      <w:r>
        <w:rPr>
          <w:rFonts w:ascii="Times New Roman" w:eastAsia="仿宋_GB2312" w:cs="仿宋_GB2312" w:hAnsi="Times New Roman" w:hint="eastAsia"/>
          <w:color w:val="auto"/>
          <w:sz w:val="32"/>
          <w:szCs w:val="32"/>
          <w:highlight w:val="auto"/>
        </w:rPr>
        <w:t>月</w:t>
      </w:r>
      <w:r>
        <w:rPr>
          <w:rFonts w:ascii="Times New Roman" w:eastAsia="仿宋_GB2312" w:cs="仿宋_GB2312" w:hAnsi="Times New Roman" w:hint="eastAsia"/>
          <w:color w:val="auto"/>
          <w:sz w:val="32"/>
          <w:szCs w:val="32"/>
          <w:lang w:val="en-US" w:eastAsia="zh-CN"/>
          <w:highlight w:val="auto"/>
        </w:rPr>
        <w:t xml:space="preserve"> </w:t>
      </w:r>
      <w:r>
        <w:rPr>
          <w:rFonts w:ascii="Times New Roman" w:eastAsia="仿宋_GB2312" w:cs="仿宋_GB2312" w:hAnsi="Times New Roman"/>
          <w:color w:val="auto"/>
          <w:sz w:val="32"/>
          <w:szCs w:val="32"/>
          <w:lang w:val="en-US" w:eastAsia="zh-CN"/>
          <w:highlight w:val="auto"/>
        </w:rPr>
        <w:t>10</w:t>
      </w:r>
      <w:r>
        <w:rPr>
          <w:rFonts w:ascii="Times New Roman" w:eastAsia="仿宋_GB2312" w:cs="仿宋_GB2312" w:hAnsi="Times New Roman" w:hint="eastAsia"/>
          <w:color w:val="auto"/>
          <w:sz w:val="32"/>
          <w:szCs w:val="32"/>
          <w:lang w:val="en-US" w:eastAsia="zh-CN"/>
          <w:highlight w:val="auto"/>
        </w:rPr>
        <w:t xml:space="preserve"> </w:t>
      </w:r>
      <w:r>
        <w:rPr>
          <w:rFonts w:ascii="Times New Roman" w:eastAsia="仿宋_GB2312" w:cs="仿宋_GB2312" w:hAnsi="Times New Roman" w:hint="eastAsia"/>
          <w:color w:val="auto"/>
          <w:sz w:val="32"/>
          <w:szCs w:val="32"/>
          <w:highlight w:val="auto"/>
        </w:rPr>
        <w:t>日</w:t>
      </w:r>
    </w:p>
    <w:p>
      <w:pPr>
        <w:rPr>
          <w:rFonts w:ascii="Times New Roman" w:hAnsi="Times New Roman"/>
          <w:color w:val="auto"/>
          <w:highlight w:val="auto"/>
        </w:rPr>
      </w:pPr>
    </w:p>
    <w:p>
      <w:pPr>
        <w:pStyle w:val="23"/>
        <w:keepNext w:val="0"/>
        <w:keepLines w:val="0"/>
        <w:pageBreakBefore w:val="0"/>
        <w:widowControl w:val="0"/>
        <w:tabs>
          <w:tab w:val="right" w:leader="dot" w:pos="8296"/>
        </w:tabs>
        <w:kinsoku/>
        <w:wordWrap/>
        <w:overflowPunct/>
        <w:topLinePunct w:val="0"/>
        <w:autoSpaceDE/>
        <w:autoSpaceDN/>
        <w:bidi w:val="0"/>
        <w:adjustRightInd w:val="0"/>
        <w:snapToGrid w:val="0"/>
        <w:spacing w:before="0" w:line="560" w:lineRule="exact"/>
        <w:jc w:val="left"/>
        <w:textAlignment w:val="auto"/>
        <w:rPr>
          <w:rFonts w:ascii="Times New Roman" w:eastAsia="黑体" w:cs="黑体" w:hAnsi="Times New Roman" w:hint="eastAsia"/>
          <w:color w:val="auto"/>
          <w:sz w:val="32"/>
          <w:szCs w:val="32"/>
          <w:highlight w:val="auto"/>
        </w:rPr>
      </w:pPr>
      <w:r>
        <w:rPr>
          <w:rFonts w:ascii="Times New Roman" w:eastAsia="黑体" w:cs="黑体" w:hAnsi="Times New Roman" w:hint="eastAsia"/>
          <w:color w:val="auto"/>
          <w:sz w:val="32"/>
          <w:szCs w:val="32"/>
          <w:highlight w:val="auto"/>
        </w:rPr>
        <w:t>第一部分 部门概况</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一、</w:t>
      </w:r>
      <w:r>
        <w:rPr>
          <w:rFonts w:ascii="Times New Roman" w:eastAsia="仿宋_GB2312" w:cs="仿宋_GB2312" w:hAnsi="Times New Roman" w:hint="eastAsia"/>
          <w:color w:val="auto"/>
          <w:sz w:val="32"/>
          <w:szCs w:val="32"/>
          <w:lang w:eastAsia="zh-CN"/>
          <w:highlight w:val="auto"/>
        </w:rPr>
        <w:t>部门职责</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二、机构设置</w:t>
      </w:r>
    </w:p>
    <w:p>
      <w:pPr>
        <w:pStyle w:val="23"/>
        <w:keepNext w:val="0"/>
        <w:keepLines w:val="0"/>
        <w:pageBreakBefore w:val="0"/>
        <w:widowControl w:val="0"/>
        <w:tabs>
          <w:tab w:val="right" w:leader="dot" w:pos="8296"/>
        </w:tabs>
        <w:kinsoku/>
        <w:wordWrap/>
        <w:overflowPunct/>
        <w:topLinePunct w:val="0"/>
        <w:autoSpaceDE/>
        <w:autoSpaceDN/>
        <w:bidi w:val="0"/>
        <w:adjustRightInd w:val="0"/>
        <w:snapToGrid w:val="0"/>
        <w:spacing w:before="0" w:line="560" w:lineRule="exact"/>
        <w:jc w:val="left"/>
        <w:textAlignment w:val="auto"/>
        <w:rPr>
          <w:rFonts w:ascii="Times New Roman" w:eastAsia="黑体" w:cs="黑体" w:hAnsi="Times New Roman" w:hint="eastAsia"/>
          <w:color w:val="auto"/>
          <w:sz w:val="32"/>
          <w:szCs w:val="32"/>
          <w:highlight w:val="auto"/>
        </w:rPr>
      </w:pPr>
      <w:r>
        <w:rPr>
          <w:rFonts w:ascii="Times New Roman" w:eastAsia="黑体" w:cs="黑体" w:hAnsi="Times New Roman" w:hint="eastAsia"/>
          <w:color w:val="auto"/>
          <w:sz w:val="32"/>
          <w:szCs w:val="32"/>
          <w:highlight w:val="auto"/>
        </w:rPr>
        <w:t>第二部分</w:t>
      </w:r>
      <w:r>
        <w:rPr>
          <w:rFonts w:ascii="Times New Roman" w:eastAsia="黑体" w:cs="黑体" w:hAnsi="Times New Roman" w:hint="eastAsia"/>
          <w:color w:val="auto"/>
          <w:sz w:val="32"/>
          <w:szCs w:val="32"/>
          <w:lang w:val="en-US" w:eastAsia="zh-CN"/>
          <w:highlight w:val="auto"/>
        </w:rPr>
        <w:t xml:space="preserve"> 2024年度</w:t>
      </w:r>
      <w:r>
        <w:rPr>
          <w:rFonts w:ascii="Times New Roman" w:eastAsia="黑体" w:cs="黑体" w:hAnsi="Times New Roman" w:hint="eastAsia"/>
          <w:color w:val="auto"/>
          <w:sz w:val="32"/>
          <w:szCs w:val="32"/>
          <w:highlight w:val="auto"/>
        </w:rPr>
        <w:t>部门决算情况说明</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一、收入支出决算总体情况说明</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二、收入决算情况说明</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三、支出决算情况说明</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四、财政拨款收入支出决算总体情况说明</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五、一般公共预算财政拨款支出决算情况说明</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六、一般公共预算财政拨款基本支出决算情况说明</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七、财政拨款</w:t>
      </w:r>
      <w:r>
        <w:rPr>
          <w:rFonts w:ascii="Times New Roman" w:eastAsia="仿宋_GB2312" w:cs="仿宋_GB2312" w:hAnsi="Times New Roman" w:hint="eastAsia"/>
          <w:color w:val="auto"/>
          <w:sz w:val="32"/>
          <w:szCs w:val="32"/>
          <w:lang w:eastAsia="zh-CN"/>
          <w:highlight w:val="auto"/>
        </w:rPr>
        <w:t>“</w:t>
      </w:r>
      <w:r>
        <w:rPr>
          <w:rFonts w:ascii="Times New Roman" w:eastAsia="仿宋_GB2312" w:cs="仿宋_GB2312" w:hAnsi="Times New Roman" w:hint="eastAsia"/>
          <w:color w:val="auto"/>
          <w:sz w:val="32"/>
          <w:szCs w:val="32"/>
          <w:highlight w:val="auto"/>
        </w:rPr>
        <w:t>三公”经费支出决算情况说明</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八、政府性基金预算支出决算情况说明</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九、</w:t>
      </w:r>
      <w:r>
        <w:rPr>
          <w:rFonts w:ascii="Times New Roman" w:eastAsia="仿宋_GB2312" w:cs="仿宋_GB2312" w:hAnsi="Times New Roman" w:hint="eastAsia"/>
          <w:color w:val="auto"/>
          <w:sz w:val="32"/>
          <w:szCs w:val="32"/>
          <w:lang w:eastAsia="zh-CN"/>
          <w:highlight w:val="auto"/>
        </w:rPr>
        <w:t>国</w:t>
      </w:r>
      <w:r>
        <w:rPr>
          <w:rFonts w:ascii="Times New Roman" w:eastAsia="仿宋_GB2312" w:cs="仿宋_GB2312" w:hAnsi="Times New Roman" w:hint="eastAsia"/>
          <w:color w:val="auto"/>
          <w:sz w:val="32"/>
          <w:szCs w:val="32"/>
          <w:highlight w:val="auto"/>
        </w:rPr>
        <w:t>有资本经营预算支出决算情况说明</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lang w:eastAsia="zh-CN"/>
          <w:highlight w:val="auto"/>
        </w:rPr>
        <w:t>十</w:t>
      </w:r>
      <w:r>
        <w:rPr>
          <w:rFonts w:ascii="Times New Roman" w:eastAsia="仿宋_GB2312" w:cs="仿宋_GB2312" w:hAnsi="Times New Roman" w:hint="eastAsia"/>
          <w:color w:val="auto"/>
          <w:sz w:val="32"/>
          <w:szCs w:val="32"/>
          <w:highlight w:val="auto"/>
        </w:rPr>
        <w:t>、其他重要事项的情况说明</w:t>
      </w:r>
    </w:p>
    <w:p>
      <w:pPr>
        <w:pStyle w:val="23"/>
        <w:keepNext w:val="0"/>
        <w:keepLines w:val="0"/>
        <w:pageBreakBefore w:val="0"/>
        <w:widowControl w:val="0"/>
        <w:tabs>
          <w:tab w:val="right" w:leader="dot" w:pos="8296"/>
        </w:tabs>
        <w:kinsoku/>
        <w:wordWrap/>
        <w:overflowPunct/>
        <w:topLinePunct w:val="0"/>
        <w:autoSpaceDE/>
        <w:autoSpaceDN/>
        <w:bidi w:val="0"/>
        <w:adjustRightInd w:val="0"/>
        <w:snapToGrid w:val="0"/>
        <w:spacing w:before="0" w:line="560" w:lineRule="exact"/>
        <w:jc w:val="left"/>
        <w:textAlignment w:val="auto"/>
        <w:rPr>
          <w:rFonts w:ascii="Times New Roman" w:eastAsia="黑体" w:cs="黑体" w:hAnsi="Times New Roman" w:hint="eastAsia"/>
          <w:color w:val="auto"/>
          <w:sz w:val="32"/>
          <w:szCs w:val="32"/>
          <w:highlight w:val="auto"/>
        </w:rPr>
      </w:pPr>
      <w:r>
        <w:rPr>
          <w:rFonts w:ascii="Times New Roman" w:eastAsia="黑体" w:cs="黑体" w:hAnsi="Times New Roman" w:hint="eastAsia"/>
          <w:color w:val="auto"/>
          <w:sz w:val="32"/>
          <w:szCs w:val="32"/>
          <w:highlight w:val="auto"/>
        </w:rPr>
        <w:t>第三部分 名词解释</w:t>
      </w:r>
    </w:p>
    <w:p>
      <w:pPr>
        <w:pStyle w:val="23"/>
        <w:keepNext w:val="0"/>
        <w:keepLines w:val="0"/>
        <w:pageBreakBefore w:val="0"/>
        <w:widowControl w:val="0"/>
        <w:tabs>
          <w:tab w:val="right" w:leader="dot" w:pos="8296"/>
        </w:tabs>
        <w:kinsoku/>
        <w:wordWrap/>
        <w:overflowPunct/>
        <w:topLinePunct w:val="0"/>
        <w:autoSpaceDE/>
        <w:autoSpaceDN/>
        <w:bidi w:val="0"/>
        <w:adjustRightInd w:val="0"/>
        <w:snapToGrid w:val="0"/>
        <w:spacing w:before="0" w:line="560" w:lineRule="exact"/>
        <w:jc w:val="left"/>
        <w:textAlignment w:val="auto"/>
        <w:rPr>
          <w:rFonts w:ascii="Times New Roman" w:eastAsia="黑体" w:cs="黑体" w:hAnsi="Times New Roman" w:hint="eastAsia"/>
          <w:color w:val="auto"/>
          <w:sz w:val="32"/>
          <w:szCs w:val="32"/>
          <w:highlight w:val="auto"/>
        </w:rPr>
      </w:pPr>
      <w:r>
        <w:rPr>
          <w:rFonts w:ascii="Times New Roman" w:eastAsia="黑体" w:cs="黑体" w:hAnsi="Times New Roman" w:hint="eastAsia"/>
          <w:color w:val="auto"/>
          <w:sz w:val="32"/>
          <w:szCs w:val="32"/>
          <w:highlight w:val="auto"/>
        </w:rPr>
        <w:t>第四部分 附件</w:t>
      </w:r>
    </w:p>
    <w:p>
      <w:pPr>
        <w:pStyle w:val="23"/>
        <w:keepNext w:val="0"/>
        <w:keepLines w:val="0"/>
        <w:pageBreakBefore w:val="0"/>
        <w:widowControl w:val="0"/>
        <w:tabs>
          <w:tab w:val="right" w:leader="dot" w:pos="8296"/>
        </w:tabs>
        <w:kinsoku/>
        <w:wordWrap/>
        <w:overflowPunct/>
        <w:topLinePunct w:val="0"/>
        <w:autoSpaceDE/>
        <w:autoSpaceDN/>
        <w:bidi w:val="0"/>
        <w:adjustRightInd w:val="0"/>
        <w:snapToGrid w:val="0"/>
        <w:spacing w:before="0" w:line="560" w:lineRule="exact"/>
        <w:jc w:val="left"/>
        <w:textAlignment w:val="auto"/>
        <w:rPr>
          <w:rFonts w:ascii="Times New Roman" w:eastAsia="黑体" w:cs="黑体" w:hAnsi="Times New Roman" w:hint="eastAsia"/>
          <w:color w:val="auto"/>
          <w:sz w:val="32"/>
          <w:szCs w:val="32"/>
          <w:highlight w:val="auto"/>
        </w:rPr>
      </w:pPr>
      <w:r>
        <w:rPr>
          <w:rFonts w:ascii="Times New Roman" w:eastAsia="黑体" w:cs="黑体" w:hAnsi="Times New Roman" w:hint="eastAsia"/>
          <w:color w:val="auto"/>
          <w:sz w:val="32"/>
          <w:szCs w:val="32"/>
          <w:highlight w:val="auto"/>
        </w:rPr>
        <w:t>第五部分 附表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一、收入支出决算总表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二、收入决算表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三、支出决算表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四、财政拨款收入支出决算总表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五、财政拨款支出决算明细表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六、一般公共预算财政拨款支出决算表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七、一般公共预算财政拨款支出决算明细表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八、一般公共预算财政拨款基本支出决算</w:t>
      </w:r>
      <w:r>
        <w:rPr>
          <w:rFonts w:ascii="Times New Roman" w:eastAsia="仿宋_GB2312" w:cs="仿宋_GB2312" w:hAnsi="Times New Roman" w:hint="eastAsia"/>
          <w:color w:val="auto"/>
          <w:sz w:val="32"/>
          <w:szCs w:val="32"/>
          <w:lang w:eastAsia="zh-CN"/>
          <w:highlight w:val="auto"/>
        </w:rPr>
        <w:t>明细</w:t>
      </w:r>
      <w:r>
        <w:rPr>
          <w:rFonts w:ascii="Times New Roman" w:eastAsia="仿宋_GB2312" w:cs="仿宋_GB2312" w:hAnsi="Times New Roman" w:hint="eastAsia"/>
          <w:color w:val="auto"/>
          <w:sz w:val="32"/>
          <w:szCs w:val="32"/>
          <w:highlight w:val="auto"/>
        </w:rPr>
        <w:t>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九、一般公共预算财政拨款项目支出决算表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十、政府性基金预算财政拨款收入支出决算表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十一、国有资本经营预算财政拨款收入支出决算表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十二、</w:t>
      </w:r>
      <w:r>
        <w:rPr>
          <w:rFonts w:ascii="Times New Roman" w:eastAsia="仿宋_GB2312" w:cs="仿宋_GB2312" w:hAnsi="Times New Roman" w:hint="eastAsia"/>
          <w:color w:val="auto"/>
          <w:sz w:val="32"/>
          <w:szCs w:val="32"/>
          <w:lang w:val="en-US" w:eastAsia="zh-CN"/>
          <w:highlight w:val="auto"/>
        </w:rPr>
        <w:t>国有资本经营预算财政拨款支出决算表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十三、财政拨款“三公”经费支出决算表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b/>
          <w:bCs/>
          <w:color w:val="auto"/>
          <w:sz w:val="32"/>
          <w:szCs w:val="32"/>
          <w:lang w:eastAsia="zh-CN"/>
          <w:highlight w:val="auto"/>
        </w:rPr>
      </w:pPr>
      <w:r>
        <w:rPr>
          <w:rFonts w:ascii="Times New Roman" w:eastAsia="仿宋_GB2312" w:cs="仿宋_GB2312" w:hAnsi="Times New Roman" w:hint="eastAsia"/>
          <w:b/>
          <w:bCs/>
          <w:color w:val="auto"/>
          <w:sz w:val="32"/>
          <w:szCs w:val="32"/>
          <w:lang w:eastAsia="zh-CN"/>
          <w:highlight w:val="auto"/>
        </w:rPr>
        <w:t>（</w:t>
      </w:r>
      <w:r>
        <w:rPr>
          <w:rFonts w:ascii="Times New Roman" w:eastAsia="仿宋_GB2312" w:cs="仿宋_GB2312" w:hAnsi="Times New Roman" w:hint="eastAsia"/>
          <w:b/>
          <w:bCs/>
          <w:color w:val="auto"/>
          <w:sz w:val="32"/>
          <w:szCs w:val="32"/>
          <w:highlight w:val="auto"/>
        </w:rPr>
        <w:t>注：请部门根据实际注明页码</w:t>
      </w:r>
      <w:r>
        <w:rPr>
          <w:rFonts w:ascii="Times New Roman" w:eastAsia="仿宋_GB2312" w:cs="仿宋_GB2312" w:hAnsi="Times New Roman" w:hint="eastAsia"/>
          <w:b/>
          <w:bCs/>
          <w:color w:val="auto"/>
          <w:sz w:val="32"/>
          <w:szCs w:val="32"/>
          <w:lang w:eastAsia="zh-CN"/>
          <w:highlight w:val="auto"/>
        </w:rPr>
        <w:t>）</w:t>
      </w:r>
    </w:p>
    <w:p>
      <w:pPr>
        <w:keepNext w:val="0"/>
        <w:keepLines w:val="0"/>
        <w:pageBreakBefore w:val="0"/>
        <w:widowControl/>
        <w:kinsoku/>
        <w:wordWrap/>
        <w:overflowPunct/>
        <w:topLinePunct w:val="0"/>
        <w:autoSpaceDE/>
        <w:autoSpaceDN/>
        <w:bidi w:val="0"/>
        <w:spacing w:line="560" w:lineRule="exact"/>
        <w:jc w:val="left"/>
        <w:textAlignment w:val="auto"/>
        <w:rPr>
          <w:rFonts w:ascii="Times New Roman" w:eastAsia="仿宋_GB2312" w:cs="仿宋_GB2312" w:hAnsi="Times New Roman" w:hint="eastAsia"/>
          <w:bCs/>
          <w:color w:val="auto"/>
          <w:kern w:val="44"/>
          <w:sz w:val="32"/>
          <w:szCs w:val="32"/>
          <w:highlight w:val="auto"/>
        </w:rPr>
      </w:pPr>
      <w:bookmarkStart w:id="12" w:name="_Toc15377196"/>
      <w:bookmarkStart w:id="13" w:name="_Toc15396599"/>
      <w:r>
        <w:rPr>
          <w:rFonts w:ascii="Times New Roman" w:eastAsia="仿宋_GB2312" w:cs="仿宋_GB2312" w:hAnsi="Times New Roman" w:hint="eastAsia"/>
          <w:b/>
          <w:color w:val="auto"/>
          <w:sz w:val="32"/>
          <w:szCs w:val="32"/>
          <w:highlight w:val="auto"/>
        </w:rPr>
        <w:br w:type="page"/>
      </w:r>
    </w:p>
    <w:p>
      <w:pPr>
        <w:pStyle w:val="1"/>
        <w:jc w:val="center"/>
        <w:rPr>
          <w:rStyle w:val="1Char"/>
          <w:rFonts w:ascii="Times New Roman" w:eastAsia="方正小标宋简体" w:cs="方正小标宋简体" w:hAnsi="Times New Roman" w:hint="eastAsia"/>
          <w:b/>
          <w:bCs w:val="0"/>
          <w:color w:val="auto"/>
          <w:highlight w:val="auto"/>
        </w:rPr>
      </w:pPr>
      <w:r>
        <w:rPr>
          <w:rFonts w:ascii="Times New Roman" w:eastAsia="方正小标宋简体" w:cs="方正小标宋简体" w:hAnsi="Times New Roman" w:hint="eastAsia"/>
          <w:b w:val="0"/>
          <w:color w:val="auto"/>
          <w:highlight w:val="auto"/>
        </w:rPr>
        <w:t>第一部分</w:t>
      </w:r>
      <w:r>
        <w:rPr>
          <w:rFonts w:ascii="Times New Roman" w:eastAsia="方正小标宋简体" w:cs="方正小标宋简体" w:hAnsi="Times New Roman" w:hint="eastAsia"/>
          <w:b w:val="0"/>
          <w:color w:val="auto"/>
          <w:lang w:val="en-US" w:eastAsia="zh-CN"/>
          <w:highlight w:val="auto"/>
        </w:rPr>
        <w:t xml:space="preserve"> </w:t>
      </w:r>
      <w:r>
        <w:rPr>
          <w:rFonts w:ascii="Times New Roman" w:eastAsia="方正小标宋简体" w:cs="方正小标宋简体" w:hAnsi="Times New Roman" w:hint="eastAsia"/>
          <w:b w:val="0"/>
          <w:color w:val="auto"/>
          <w:highlight w:val="auto"/>
        </w:rPr>
        <w:t xml:space="preserve"> </w:t>
      </w:r>
      <w:r>
        <w:rPr>
          <w:rStyle w:val="1Char"/>
          <w:rFonts w:ascii="Times New Roman" w:eastAsia="方正小标宋简体" w:cs="方正小标宋简体" w:hAnsi="Times New Roman" w:hint="eastAsia"/>
          <w:b w:val="0"/>
          <w:bCs w:val="0"/>
          <w:color w:val="auto"/>
          <w:highlight w:val="auto"/>
        </w:rPr>
        <w:t>部门概况</w:t>
      </w:r>
      <w:bookmarkEnd w:id="12"/>
      <w:bookmarkEnd w:id="13"/>
    </w:p>
    <w:p>
      <w:pPr>
        <w:widowControl/>
        <w:jc w:val="left"/>
        <w:rPr>
          <w:rFonts w:ascii="Times New Roman" w:eastAsia="黑体" w:hAnsi="Times New Roman"/>
          <w:color w:val="auto"/>
          <w:sz w:val="32"/>
          <w:szCs w:val="32"/>
          <w:highlight w:val="auto"/>
        </w:rPr>
      </w:pPr>
    </w:p>
    <w:p>
      <w:pPr>
        <w:pStyle w:val="2"/>
        <w:rPr>
          <w:rStyle w:val="2Char"/>
          <w:rFonts w:ascii="Times New Roman" w:eastAsia="黑体" w:hAnsi="Times New Roman" w:hint="eastAsia"/>
          <w:b w:val="0"/>
          <w:bCs w:val="0"/>
          <w:color w:val="auto"/>
          <w:lang w:eastAsia="zh-CN"/>
          <w:highlight w:val="auto"/>
        </w:rPr>
      </w:pPr>
      <w:bookmarkStart w:id="14" w:name="_Toc15377197"/>
      <w:bookmarkStart w:id="15" w:name="_Toc15396600"/>
      <w:r>
        <w:rPr>
          <w:rFonts w:ascii="Times New Roman" w:eastAsia="黑体" w:hAnsi="Times New Roman" w:hint="eastAsia"/>
          <w:b w:val="0"/>
          <w:color w:val="auto"/>
          <w:highlight w:val="auto"/>
        </w:rPr>
        <w:t>一、</w:t>
      </w:r>
      <w:bookmarkEnd w:id="14"/>
      <w:bookmarkEnd w:id="15"/>
      <w:r>
        <w:rPr>
          <w:rFonts w:ascii="Times New Roman" w:eastAsia="黑体" w:hAnsi="Times New Roman" w:hint="eastAsia"/>
          <w:b w:val="0"/>
          <w:color w:val="auto"/>
          <w:lang w:eastAsia="zh-CN"/>
          <w:highlight w:val="auto"/>
        </w:rPr>
        <w:t>部门职责</w:t>
      </w:r>
    </w:p>
    <w:p>
      <w:pPr>
        <w:pStyle w:val="2"/>
        <w:rPr>
          <w:rStyle w:val="2Char"/>
          <w:rFonts w:ascii="Times New Roman" w:hAnsi="Times New Roman"/>
          <w:b w:val="0"/>
          <w:bCs w:val="0"/>
          <w:color w:val="auto"/>
          <w:highlight w:val="auto"/>
        </w:rPr>
      </w:pPr>
      <w:bookmarkStart w:id="16" w:name="_Toc15396601"/>
      <w:bookmarkStart w:id="17" w:name="_Toc15377200"/>
      <w:r>
        <w:rPr>
          <w:rFonts w:ascii="Times New Roman" w:eastAsia="黑体" w:hAnsi="Times New Roman" w:hint="eastAsia"/>
          <w:b w:val="0"/>
          <w:color w:val="auto"/>
          <w:highlight w:val="auto"/>
        </w:rPr>
        <w:t>二、机</w:t>
      </w:r>
      <w:r>
        <w:rPr>
          <w:rStyle w:val="2Char"/>
          <w:rFonts w:ascii="Times New Roman" w:eastAsia="黑体" w:hAnsi="Times New Roman" w:hint="eastAsia"/>
          <w:b w:val="0"/>
          <w:bCs w:val="0"/>
          <w:color w:val="auto"/>
          <w:highlight w:val="auto"/>
        </w:rPr>
        <w:t>构设置</w:t>
      </w:r>
      <w:bookmarkEnd w:id="16"/>
      <w:bookmarkEnd w:id="17"/>
    </w:p>
    <w:p>
      <w:pPr>
        <w:ind w:firstLineChars="250" w:firstLine="800"/>
        <w:rPr>
          <w:rFonts w:ascii="Times New Roman" w:eastAsia="仿宋_GB2312" w:cs="仿宋_GB2312" w:hAnsi="Times New Roman" w:hint="eastAsia"/>
          <w:color w:val="auto"/>
          <w:sz w:val="32"/>
          <w:szCs w:val="32"/>
          <w:highlight w:val="auto"/>
        </w:rPr>
      </w:pPr>
      <w:r>
        <w:rPr>
          <w:rFonts w:ascii="仿宋_GB2312" w:eastAsia="仿宋_GB2312" w:cs="仿宋_GB2312" w:hint="eastAsia"/>
          <w:color w:val="auto"/>
          <w:sz w:val="32"/>
          <w:szCs w:val="32"/>
          <w:highlight w:val="auto"/>
        </w:rPr>
        <w:t>四川省阿坝州民族高级中学</w:t>
      </w:r>
      <w:r>
        <w:rPr>
          <w:rFonts w:ascii="Times New Roman" w:eastAsia="仿宋_GB2312" w:cs="仿宋_GB2312" w:hAnsi="Times New Roman" w:hint="eastAsia"/>
          <w:color w:val="auto"/>
          <w:sz w:val="32"/>
          <w:szCs w:val="32"/>
          <w:highlight w:val="auto"/>
        </w:rPr>
        <w:t>下属二级</w:t>
      </w:r>
      <w:r>
        <w:rPr>
          <w:rFonts w:ascii="Times New Roman" w:eastAsia="仿宋_GB2312" w:cs="仿宋_GB2312" w:hAnsi="Times New Roman" w:hint="eastAsia"/>
          <w:color w:val="auto"/>
          <w:sz w:val="32"/>
          <w:szCs w:val="32"/>
          <w:lang w:eastAsia="zh-CN"/>
          <w:highlight w:val="auto"/>
        </w:rPr>
        <w:t>预算</w:t>
      </w:r>
      <w:r>
        <w:rPr>
          <w:rFonts w:ascii="Times New Roman" w:eastAsia="仿宋_GB2312" w:cs="仿宋_GB2312" w:hAnsi="Times New Roman" w:hint="eastAsia"/>
          <w:color w:val="auto"/>
          <w:sz w:val="32"/>
          <w:szCs w:val="32"/>
          <w:highlight w:val="auto"/>
        </w:rPr>
        <w:t>单位</w:t>
      </w:r>
      <w:r>
        <w:rPr>
          <w:rFonts w:ascii="Times New Roman" w:eastAsia="仿宋_GB2312" w:cs="仿宋_GB2312" w:hAnsi="Times New Roman"/>
          <w:color w:val="auto"/>
          <w:sz w:val="32"/>
          <w:szCs w:val="32"/>
          <w:highlight w:val="auto"/>
        </w:rPr>
        <w:t>0</w:t>
      </w:r>
      <w:r>
        <w:rPr>
          <w:rFonts w:ascii="Times New Roman" w:eastAsia="仿宋_GB2312" w:cs="仿宋_GB2312" w:hAnsi="Times New Roman" w:hint="eastAsia"/>
          <w:color w:val="auto"/>
          <w:sz w:val="32"/>
          <w:szCs w:val="32"/>
          <w:highlight w:val="auto"/>
        </w:rPr>
        <w:t>个，其中行政单位</w:t>
      </w:r>
      <w:r>
        <w:rPr>
          <w:rFonts w:ascii="Times New Roman" w:eastAsia="仿宋_GB2312" w:cs="仿宋_GB2312" w:hAnsi="Times New Roman"/>
          <w:color w:val="auto"/>
          <w:sz w:val="32"/>
          <w:szCs w:val="32"/>
          <w:highlight w:val="auto"/>
        </w:rPr>
        <w:t>0</w:t>
      </w:r>
      <w:r>
        <w:rPr>
          <w:rFonts w:ascii="Times New Roman" w:eastAsia="仿宋_GB2312" w:cs="仿宋_GB2312" w:hAnsi="Times New Roman" w:hint="eastAsia"/>
          <w:color w:val="auto"/>
          <w:sz w:val="32"/>
          <w:szCs w:val="32"/>
          <w:highlight w:val="auto"/>
        </w:rPr>
        <w:t>个，参照公务员法管理的事业单位</w:t>
      </w:r>
      <w:r>
        <w:rPr>
          <w:rFonts w:ascii="Times New Roman" w:eastAsia="仿宋_GB2312" w:cs="仿宋_GB2312" w:hAnsi="Times New Roman"/>
          <w:bCs/>
          <w:color w:val="auto"/>
          <w:sz w:val="32"/>
          <w:szCs w:val="32"/>
          <w:highlight w:val="auto"/>
        </w:rPr>
        <w:t>0</w:t>
      </w:r>
      <w:r>
        <w:rPr>
          <w:rFonts w:ascii="Times New Roman" w:eastAsia="仿宋_GB2312" w:cs="仿宋_GB2312" w:hAnsi="Times New Roman" w:hint="eastAsia"/>
          <w:color w:val="auto"/>
          <w:sz w:val="32"/>
          <w:szCs w:val="32"/>
          <w:highlight w:val="auto"/>
        </w:rPr>
        <w:t>个，其他事业单位</w:t>
      </w:r>
      <w:r>
        <w:rPr>
          <w:rFonts w:ascii="Times New Roman" w:eastAsia="仿宋_GB2312" w:cs="仿宋_GB2312" w:hAnsi="Times New Roman"/>
          <w:color w:val="auto"/>
          <w:sz w:val="32"/>
          <w:szCs w:val="32"/>
          <w:highlight w:val="auto"/>
        </w:rPr>
        <w:t>0</w:t>
      </w:r>
      <w:r>
        <w:rPr>
          <w:rFonts w:ascii="Times New Roman" w:eastAsia="仿宋_GB2312" w:cs="仿宋_GB2312" w:hAnsi="Times New Roman" w:hint="eastAsia"/>
          <w:color w:val="auto"/>
          <w:sz w:val="32"/>
          <w:szCs w:val="32"/>
          <w:highlight w:val="auto"/>
        </w:rPr>
        <w:t>个。</w:t>
      </w:r>
    </w:p>
    <w:p>
      <w:pPr>
        <w:pStyle w:val="1"/>
        <w:jc w:val="center"/>
        <w:rPr>
          <w:rFonts w:ascii="Times New Roman" w:eastAsia="方正小标宋简体" w:cs="方正小标宋简体" w:hAnsi="Times New Roman" w:hint="eastAsia"/>
          <w:b w:val="0"/>
          <w:color w:val="auto"/>
          <w:highlight w:val="auto"/>
        </w:rPr>
      </w:pPr>
      <w:bookmarkStart w:id="18" w:name="_Toc15377204"/>
      <w:bookmarkStart w:id="19" w:name="_Toc15396602"/>
      <w:r>
        <w:rPr>
          <w:rFonts w:ascii="Times New Roman" w:eastAsia="方正小标宋简体" w:cs="方正小标宋简体" w:hAnsi="Times New Roman" w:hint="eastAsia"/>
          <w:b w:val="0"/>
          <w:color w:val="auto"/>
          <w:highlight w:val="auto"/>
        </w:rPr>
        <w:t>第二部分</w:t>
      </w:r>
      <w:r>
        <w:rPr>
          <w:rFonts w:ascii="Times New Roman" w:eastAsia="方正小标宋简体" w:cs="方正小标宋简体" w:hAnsi="Times New Roman" w:hint="eastAsia"/>
          <w:b w:val="0"/>
          <w:color w:val="auto"/>
          <w:lang w:val="en-US" w:eastAsia="zh-CN"/>
          <w:highlight w:val="auto"/>
        </w:rPr>
        <w:t xml:space="preserve"> </w:t>
      </w:r>
      <w:r>
        <w:rPr>
          <w:rFonts w:ascii="Times New Roman" w:eastAsia="方正小标宋简体" w:cs="方正小标宋简体" w:hAnsi="Times New Roman" w:hint="eastAsia"/>
          <w:b w:val="0"/>
          <w:color w:val="auto"/>
          <w:highlight w:val="auto"/>
        </w:rPr>
        <w:t xml:space="preserve"> </w:t>
      </w:r>
      <w:r>
        <w:rPr>
          <w:rFonts w:ascii="Times New Roman" w:eastAsia="方正小标宋简体" w:cs="方正小标宋简体" w:hAnsi="Times New Roman" w:hint="eastAsia"/>
          <w:b w:val="0"/>
          <w:color w:val="auto"/>
          <w:lang w:val="en-US" w:eastAsia="zh-CN"/>
          <w:highlight w:val="auto"/>
        </w:rPr>
        <w:t>2024年度</w:t>
      </w:r>
      <w:r>
        <w:rPr>
          <w:rFonts w:ascii="Times New Roman" w:eastAsia="方正小标宋简体" w:cs="方正小标宋简体" w:hAnsi="Times New Roman" w:hint="eastAsia"/>
          <w:b w:val="0"/>
          <w:color w:val="auto"/>
          <w:highlight w:val="auto"/>
        </w:rPr>
        <w:t>部门决算情况说明</w:t>
      </w:r>
      <w:bookmarkEnd w:id="18"/>
      <w:bookmarkEnd w:id="19"/>
    </w:p>
    <w:p>
      <w:pPr>
        <w:rPr>
          <w:rFonts w:ascii="Times New Roman" w:hAnsi="Times New Roman"/>
          <w:color w:val="auto"/>
          <w:highlight w:val="auto"/>
        </w:rPr>
      </w:pPr>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Style w:val="2Char"/>
          <w:rFonts w:ascii="Times New Roman" w:eastAsia="黑体" w:hAnsi="Times New Roman" w:hint="eastAsia"/>
          <w:b w:val="0"/>
          <w:color w:val="auto"/>
          <w:highlight w:val="auto"/>
        </w:rPr>
      </w:pPr>
      <w:bookmarkStart w:id="20" w:name="_Toc15377205"/>
      <w:bookmarkStart w:id="21" w:name="_Toc15396603"/>
      <w:r>
        <w:rPr>
          <w:rFonts w:ascii="Times New Roman" w:eastAsia="黑体" w:hAnsi="Times New Roman" w:hint="eastAsia"/>
          <w:color w:val="auto"/>
          <w:sz w:val="32"/>
          <w:szCs w:val="32"/>
          <w:lang w:eastAsia="zh-CN"/>
          <w:highlight w:val="auto"/>
        </w:rPr>
        <w:t>一、</w:t>
      </w:r>
      <w:r>
        <w:rPr>
          <w:rFonts w:ascii="Times New Roman" w:eastAsia="黑体" w:hAnsi="Times New Roman" w:hint="eastAsia"/>
          <w:color w:val="auto"/>
          <w:sz w:val="32"/>
          <w:szCs w:val="32"/>
          <w:highlight w:val="auto"/>
        </w:rPr>
        <w:t>收</w:t>
      </w:r>
      <w:r>
        <w:rPr>
          <w:rStyle w:val="2Char"/>
          <w:rFonts w:ascii="Times New Roman" w:eastAsia="黑体" w:hAnsi="Times New Roman" w:hint="eastAsia"/>
          <w:b w:val="0"/>
          <w:color w:val="auto"/>
          <w:highlight w:val="auto"/>
        </w:rPr>
        <w:t>入支出决算总体情况说明</w:t>
      </w:r>
      <w:bookmarkEnd w:id="20"/>
      <w:bookmarkEnd w:id="21"/>
    </w:p>
    <w:p>
      <w:pPr>
        <w:pStyle w:val="32"/>
        <w:keepNext w:val="0"/>
        <w:keepLines w:val="0"/>
        <w:pageBreakBefore w:val="0"/>
        <w:widowControl w:val="0"/>
        <w:kinsoku/>
        <w:wordWrap/>
        <w:overflowPunct/>
        <w:topLinePunct w:val="0"/>
        <w:autoSpaceDE/>
        <w:autoSpaceDN/>
        <w:bidi w:val="0"/>
        <w:adjustRightInd/>
        <w:snapToGrid/>
        <w:spacing w:line="600" w:lineRule="exact"/>
        <w:ind w:firstLineChars="200" w:firstLine="640"/>
        <w:outlineLvl w:val="1"/>
        <w:rPr>
          <w:rFonts w:ascii="Times New Roman" w:eastAsia="仿宋_GB2312" w:cs="仿宋_GB2312" w:hAnsi="Times New Roman" w:hint="eastAsia"/>
          <w:color w:val="auto"/>
          <w:sz w:val="32"/>
          <w:szCs w:val="32"/>
          <w:lang w:eastAsia="zh-CN"/>
          <w:highlight w:val="auto"/>
        </w:rPr>
      </w:pPr>
      <w:r>
        <w:rPr>
          <w:rFonts w:ascii="Times New Roman" w:eastAsia="仿宋_GB2312" w:cs="仿宋_GB2312" w:hAnsi="Times New Roman" w:hint="eastAsia"/>
          <w:color w:val="auto"/>
          <w:sz w:val="32"/>
          <w:szCs w:val="32"/>
          <w:lang w:eastAsia="zh-CN"/>
          <w:highlight w:val="auto"/>
        </w:rPr>
        <w:t>2024年度收入</w:t>
      </w:r>
      <w:r>
        <w:rPr>
          <w:rFonts w:ascii="Times New Roman" w:eastAsia="仿宋_GB2312" w:cs="仿宋_GB2312" w:hAnsi="Times New Roman" w:hint="eastAsia"/>
          <w:color w:val="auto"/>
          <w:sz w:val="32"/>
          <w:szCs w:val="32"/>
          <w:highlight w:val="auto"/>
        </w:rPr>
        <w:t>、</w:t>
      </w:r>
      <w:r>
        <w:rPr>
          <w:rFonts w:ascii="Times New Roman" w:eastAsia="仿宋_GB2312" w:cs="仿宋_GB2312" w:hAnsi="Times New Roman" w:hint="eastAsia"/>
          <w:color w:val="auto"/>
          <w:sz w:val="32"/>
          <w:szCs w:val="32"/>
          <w:lang w:eastAsia="zh-CN"/>
          <w:highlight w:val="auto"/>
        </w:rPr>
        <w:t>支出</w:t>
      </w:r>
      <w:r>
        <w:rPr>
          <w:rFonts w:ascii="Times New Roman" w:eastAsia="仿宋_GB2312" w:cs="仿宋_GB2312" w:hAnsi="Times New Roman" w:hint="eastAsia"/>
          <w:color w:val="auto"/>
          <w:sz w:val="32"/>
          <w:szCs w:val="32"/>
          <w:highlight w:val="auto"/>
        </w:rPr>
        <w:t>总计</w:t>
      </w:r>
      <w:r>
        <w:rPr>
          <w:rFonts w:ascii="Times New Roman" w:eastAsia="仿宋_GB2312" w:cs="仿宋_GB2312" w:hAnsi="Times New Roman" w:hint="eastAsia"/>
          <w:color w:val="auto"/>
          <w:sz w:val="32"/>
          <w:szCs w:val="32"/>
          <w:lang w:eastAsia="zh-CN"/>
          <w:highlight w:val="auto"/>
        </w:rPr>
        <w:t>均为</w:t>
      </w:r>
      <w:r>
        <w:rPr>
          <w:rFonts w:ascii="仿宋_GB2312" w:eastAsia="仿宋_GB2312" w:cs="仿宋_GB2312" w:hint="eastAsia"/>
          <w:sz w:val="32"/>
          <w:szCs w:val="32"/>
        </w:rPr>
        <w:t>5585.54</w:t>
      </w:r>
      <w:r>
        <w:rPr>
          <w:rFonts w:ascii="Times New Roman" w:eastAsia="仿宋_GB2312" w:cs="仿宋_GB2312" w:hAnsi="Times New Roman" w:hint="eastAsia"/>
          <w:color w:val="auto"/>
          <w:sz w:val="32"/>
          <w:szCs w:val="32"/>
          <w:highlight w:val="auto"/>
        </w:rPr>
        <w:t>万元。与</w:t>
      </w:r>
      <w:r>
        <w:rPr>
          <w:rFonts w:ascii="Times New Roman" w:eastAsia="仿宋_GB2312" w:cs="仿宋_GB2312" w:hAnsi="Times New Roman" w:hint="eastAsia"/>
          <w:color w:val="auto"/>
          <w:sz w:val="32"/>
          <w:szCs w:val="32"/>
          <w:lang w:eastAsia="zh-CN"/>
          <w:highlight w:val="auto"/>
        </w:rPr>
        <w:t>202</w:t>
      </w:r>
      <w:r>
        <w:rPr>
          <w:rFonts w:ascii="Times New Roman" w:eastAsia="仿宋_GB2312" w:cs="仿宋_GB2312" w:hAnsi="Times New Roman" w:hint="eastAsia"/>
          <w:color w:val="auto"/>
          <w:sz w:val="32"/>
          <w:szCs w:val="32"/>
          <w:lang w:val="en-US" w:eastAsia="zh-CN"/>
          <w:highlight w:val="auto"/>
        </w:rPr>
        <w:t>3</w:t>
      </w:r>
      <w:r>
        <w:rPr>
          <w:rFonts w:ascii="Times New Roman" w:eastAsia="仿宋_GB2312" w:cs="仿宋_GB2312" w:hAnsi="Times New Roman" w:hint="eastAsia"/>
          <w:color w:val="auto"/>
          <w:sz w:val="32"/>
          <w:szCs w:val="32"/>
          <w:highlight w:val="auto"/>
        </w:rPr>
        <w:t>年</w:t>
      </w:r>
      <w:r>
        <w:rPr>
          <w:rFonts w:ascii="Times New Roman" w:eastAsia="仿宋_GB2312" w:cs="仿宋_GB2312" w:hAnsi="Times New Roman" w:hint="eastAsia"/>
          <w:color w:val="auto"/>
          <w:sz w:val="32"/>
          <w:szCs w:val="32"/>
          <w:lang w:eastAsia="zh-CN"/>
          <w:highlight w:val="auto"/>
        </w:rPr>
        <w:t>度</w:t>
      </w:r>
      <w:r>
        <w:rPr>
          <w:rFonts w:ascii="Times New Roman" w:eastAsia="仿宋_GB2312" w:cs="仿宋_GB2312" w:hAnsi="Times New Roman"/>
          <w:color w:val="auto"/>
          <w:sz w:val="32"/>
          <w:szCs w:val="32"/>
        </w:rPr>
        <w:t>7673.05万元</w:t>
      </w:r>
      <w:r>
        <w:rPr>
          <w:rFonts w:ascii="Times New Roman" w:eastAsia="仿宋_GB2312" w:cs="仿宋_GB2312" w:hAnsi="Times New Roman" w:hint="eastAsia"/>
          <w:color w:val="auto"/>
          <w:sz w:val="32"/>
          <w:szCs w:val="32"/>
          <w:highlight w:val="auto"/>
        </w:rPr>
        <w:t>相比，</w:t>
      </w:r>
      <w:r>
        <w:rPr>
          <w:rFonts w:ascii="Times New Roman" w:eastAsia="仿宋_GB2312" w:cs="仿宋_GB2312" w:hAnsi="Times New Roman" w:hint="eastAsia"/>
          <w:color w:val="auto"/>
          <w:sz w:val="32"/>
          <w:szCs w:val="32"/>
          <w:lang w:eastAsia="zh-CN"/>
          <w:highlight w:val="auto"/>
        </w:rPr>
        <w:t>收入</w:t>
      </w:r>
      <w:r>
        <w:rPr>
          <w:rFonts w:ascii="Times New Roman" w:eastAsia="仿宋_GB2312" w:cs="仿宋_GB2312" w:hAnsi="Times New Roman" w:hint="eastAsia"/>
          <w:color w:val="auto"/>
          <w:sz w:val="32"/>
          <w:szCs w:val="32"/>
          <w:highlight w:val="auto"/>
        </w:rPr>
        <w:t>、</w:t>
      </w:r>
      <w:r>
        <w:rPr>
          <w:rFonts w:ascii="Times New Roman" w:eastAsia="仿宋_GB2312" w:cs="仿宋_GB2312" w:hAnsi="Times New Roman" w:hint="eastAsia"/>
          <w:color w:val="auto"/>
          <w:sz w:val="32"/>
          <w:szCs w:val="32"/>
          <w:lang w:eastAsia="zh-CN"/>
          <w:highlight w:val="auto"/>
        </w:rPr>
        <w:t>支出</w:t>
      </w:r>
      <w:r>
        <w:rPr>
          <w:rFonts w:ascii="Times New Roman" w:eastAsia="仿宋_GB2312" w:cs="仿宋_GB2312" w:hAnsi="Times New Roman" w:hint="eastAsia"/>
          <w:color w:val="auto"/>
          <w:sz w:val="32"/>
          <w:szCs w:val="32"/>
          <w:highlight w:val="auto"/>
        </w:rPr>
        <w:t>总计各减少</w:t>
      </w:r>
      <w:r>
        <w:rPr>
          <w:rFonts w:ascii="Times New Roman" w:eastAsia="仿宋_GB2312" w:cs="仿宋_GB2312" w:hAnsi="Times New Roman"/>
          <w:color w:val="auto"/>
          <w:sz w:val="32"/>
          <w:szCs w:val="32"/>
          <w:highlight w:val="auto"/>
        </w:rPr>
        <w:t>2087.51</w:t>
      </w:r>
      <w:r>
        <w:rPr>
          <w:rFonts w:ascii="Times New Roman" w:eastAsia="仿宋_GB2312" w:cs="仿宋_GB2312" w:hAnsi="Times New Roman" w:hint="eastAsia"/>
          <w:color w:val="auto"/>
          <w:sz w:val="32"/>
          <w:szCs w:val="32"/>
          <w:highlight w:val="auto"/>
        </w:rPr>
        <w:t>万元，下降</w:t>
      </w:r>
      <w:r>
        <w:rPr>
          <w:rFonts w:ascii="Times New Roman" w:eastAsia="仿宋_GB2312" w:cs="仿宋_GB2312" w:hAnsi="Times New Roman"/>
          <w:color w:val="auto"/>
          <w:sz w:val="32"/>
          <w:szCs w:val="32"/>
          <w:highlight w:val="auto"/>
        </w:rPr>
        <w:t>27.20</w:t>
      </w:r>
      <w:r>
        <w:rPr>
          <w:rFonts w:ascii="Times New Roman" w:eastAsia="仿宋_GB2312" w:cs="仿宋_GB2312" w:hAnsi="Times New Roman" w:hint="eastAsia"/>
          <w:color w:val="auto"/>
          <w:sz w:val="32"/>
          <w:szCs w:val="32"/>
          <w:highlight w:val="auto"/>
        </w:rPr>
        <w:t>%。主要变动原因是</w:t>
      </w:r>
      <w:r>
        <w:rPr>
          <w:rStyle w:val="0"/>
          <w:rFonts w:eastAsia="仿宋_GB2312" w:cs="仿宋_GB2312"/>
          <w:sz w:val="32"/>
          <w:szCs w:val="32"/>
          <w:lang w:bidi="ar-SA"/>
        </w:rPr>
        <w:t>2023</w:t>
      </w:r>
      <w:r>
        <w:rPr>
          <w:rStyle w:val="0"/>
          <w:rFonts w:eastAsia="仿宋_GB2312" w:cs="仿宋_GB2312" w:hint="eastAsia"/>
          <w:sz w:val="32"/>
          <w:szCs w:val="32"/>
          <w:lang w:bidi="ar-SA"/>
        </w:rPr>
        <w:t>年度因州庆活动主会场在我校，大型项目较多且资金量大</w:t>
      </w:r>
      <w:r>
        <w:rPr>
          <w:rFonts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ind w:firstLineChars="200" w:firstLine="640"/>
        <w:textAlignment w:val="auto"/>
        <w:rPr>
          <w:rFonts w:ascii="Times New Roman" w:eastAsia="仿宋_GB2312" w:cs="仿宋_GB2312" w:hAnsi="Times New Roman"/>
          <w:color w:val="auto"/>
          <w:sz w:val="32"/>
          <w:szCs w:val="32"/>
          <w:highlight w:val="auto"/>
        </w:rPr>
      </w:pPr>
      <w:r>
        <w:rPr>
          <w:rFonts w:ascii="Times New Roman" w:eastAsia="仿宋_GB2312" w:cs="仿宋_GB2312" w:hAnsi="Times New Roman" w:hint="eastAsia"/>
          <w:color w:val="auto"/>
          <w:sz w:val="32"/>
          <w:szCs w:val="32"/>
          <w:highlight w:val="auto"/>
        </w:rPr>
        <w:t>（图1：</w:t>
      </w:r>
      <w:r>
        <w:rPr>
          <w:rFonts w:ascii="Times New Roman" w:eastAsia="仿宋_GB2312" w:cs="仿宋_GB2312" w:hAnsi="Times New Roman" w:hint="eastAsia"/>
          <w:color w:val="auto"/>
          <w:sz w:val="32"/>
          <w:szCs w:val="32"/>
          <w:lang w:eastAsia="zh-CN"/>
          <w:highlight w:val="auto"/>
        </w:rPr>
        <w:t>收入</w:t>
      </w:r>
      <w:r>
        <w:rPr>
          <w:rFonts w:ascii="Times New Roman" w:eastAsia="仿宋_GB2312" w:cs="仿宋_GB2312" w:hAnsi="Times New Roman" w:hint="eastAsia"/>
          <w:color w:val="auto"/>
          <w:sz w:val="32"/>
          <w:szCs w:val="32"/>
          <w:highlight w:val="auto"/>
        </w:rPr>
        <w:t>、</w:t>
      </w:r>
      <w:r>
        <w:rPr>
          <w:rFonts w:ascii="Times New Roman" w:eastAsia="仿宋_GB2312" w:cs="仿宋_GB2312" w:hAnsi="Times New Roman" w:hint="eastAsia"/>
          <w:color w:val="auto"/>
          <w:sz w:val="32"/>
          <w:szCs w:val="32"/>
          <w:lang w:eastAsia="zh-CN"/>
          <w:highlight w:val="auto"/>
        </w:rPr>
        <w:t>支出</w:t>
      </w:r>
      <w:r>
        <w:rPr>
          <w:rFonts w:ascii="Times New Roman" w:eastAsia="仿宋_GB2312" w:cs="仿宋_GB2312" w:hAnsi="Times New Roman" w:hint="eastAsia"/>
          <w:color w:val="auto"/>
          <w:sz w:val="32"/>
          <w:szCs w:val="32"/>
          <w:highlight w:val="auto"/>
        </w:rPr>
        <w:t>决算总计变动情况图）（柱状图）</w:t>
      </w:r>
    </w:p>
    <w:p>
      <w:pPr>
        <w:pStyle w:val="15"/>
        <w:keepNext w:val="0"/>
        <w:keepLines w:val="0"/>
        <w:pageBreakBefore w:val="0"/>
        <w:widowControl w:val="0"/>
        <w:adjustRightInd/>
        <w:snapToGrid w:val="0"/>
        <w:contextualSpacing w:val="0"/>
        <w:rPr>
          <w:rFonts w:hint="eastAsia"/>
        </w:rPr>
      </w:pPr>
      <w:r>
        <w:drawing>
          <wp:inline distT="0" distB="0" distL="85723" distR="85723">
            <wp:extent cx="4292517" cy="2434936"/>
            <wp:effectExtent l="0" t="0" r="46" b="2"/>
            <wp:docPr id="1" name="图片"/>
            <wp:cNvGraphicFramePr>
              <a:graphicFrameLocks noChangeAspect="1"/>
            </wp:cNvGraphicFramePr>
            <a:graphic>
              <a:graphicData uri="http://schemas.openxmlformats.org/drawingml/2006/picture">
                <pic:pic>
                  <pic:nvPicPr>
                    <pic:cNvPr id="3" name="图片 3"/>
                    <pic:cNvPicPr/>
                  </pic:nvPicPr>
                  <pic:blipFill>
                    <a:blip r:embed="rId4"/>
                    <a:stretch>
                      <a:fillRect/>
                    </a:stretch>
                  </pic:blipFill>
                  <pic:spPr>
                    <a:xfrm rot="0">
                      <a:off x="0" y="0"/>
                      <a:ext cx="4292517" cy="2434936"/>
                    </a:xfrm>
                    <a:prstGeom prst="rect"/>
                    <a:noFill/>
                    <a:ln w="9525" cmpd="sng" cap="flat">
                      <a:noFill/>
                      <a:prstDash val="solid"/>
                      <a:miter/>
                    </a:ln>
                  </pic:spPr>
                </pic:pic>
              </a:graphicData>
            </a:graphic>
          </wp:inline>
        </w:drawing>
      </w:r>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黑体" w:hAnsi="Times New Roman" w:hint="eastAsia"/>
          <w:color w:val="auto"/>
          <w:sz w:val="32"/>
          <w:szCs w:val="32"/>
          <w:lang w:eastAsia="zh-CN"/>
          <w:highlight w:val="auto"/>
        </w:rPr>
      </w:pPr>
      <w:bookmarkStart w:id="22" w:name="_Toc15377206"/>
      <w:bookmarkStart w:id="23" w:name="_Toc15396604"/>
      <w:r>
        <w:rPr>
          <w:rFonts w:ascii="Times New Roman" w:eastAsia="黑体" w:hAnsi="Times New Roman" w:hint="eastAsia"/>
          <w:color w:val="auto"/>
          <w:sz w:val="32"/>
          <w:szCs w:val="32"/>
          <w:lang w:eastAsia="zh-CN"/>
          <w:highlight w:val="auto"/>
        </w:rPr>
        <w:t>二、收入决算情况说明</w:t>
      </w:r>
      <w:bookmarkEnd w:id="22"/>
      <w:bookmarkEnd w:id="23"/>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jc w:val="left"/>
        <w:textAlignment w:val="auto"/>
        <w:outlineLvl w:val="1"/>
        <w:rPr>
          <w:rFonts w:ascii="Times New Roman" w:eastAsia="仿宋_GB2312" w:cs="仿宋_GB2312" w:hAnsi="Times New Roman" w:hint="eastAsia"/>
          <w:b/>
          <w:bCs/>
          <w:color w:val="auto"/>
          <w:sz w:val="32"/>
          <w:szCs w:val="32"/>
          <w:lang w:eastAsia="zh-CN"/>
          <w:highlight w:val="auto"/>
        </w:rPr>
      </w:pPr>
      <w:r>
        <w:rPr>
          <w:rFonts w:ascii="仿宋_GB2312" w:eastAsia="仿宋_GB2312" w:cs="仿宋_GB2312" w:hint="eastAsia"/>
          <w:color w:val="auto"/>
          <w:sz w:val="32"/>
          <w:szCs w:val="32"/>
          <w:lang w:eastAsia="zh-CN"/>
          <w:highlight w:val="auto"/>
        </w:rPr>
        <w:t>2024年度本年收入合计</w:t>
      </w:r>
      <w:r>
        <w:rPr>
          <w:rFonts w:ascii="仿宋_GB2312" w:eastAsia="仿宋_GB2312" w:cs="仿宋_GB2312" w:hint="eastAsia"/>
          <w:sz w:val="32"/>
          <w:szCs w:val="32"/>
        </w:rPr>
        <w:t>5585.54万元，其中：一般公共预算财政拨款收入4946.68</w:t>
      </w:r>
      <w:r>
        <w:rPr>
          <w:rFonts w:ascii="仿宋_GB2312" w:eastAsia="仿宋_GB2312" w:cs="仿宋_GB2312" w:hint="eastAsia"/>
          <w:color w:val="auto"/>
          <w:sz w:val="32"/>
          <w:szCs w:val="32"/>
          <w:lang w:eastAsia="zh-CN"/>
          <w:highlight w:val="auto"/>
        </w:rPr>
        <w:t>万元，占</w:t>
      </w:r>
      <w:r>
        <w:rPr>
          <w:rFonts w:ascii="仿宋_GB2312" w:eastAsia="仿宋_GB2312" w:cs="仿宋_GB2312" w:hint="eastAsia"/>
          <w:sz w:val="32"/>
          <w:szCs w:val="32"/>
        </w:rPr>
        <w:t>88.56</w:t>
      </w:r>
      <w:r>
        <w:rPr>
          <w:rFonts w:ascii="仿宋_GB2312" w:eastAsia="仿宋_GB2312" w:cs="仿宋_GB2312" w:hint="eastAsia"/>
          <w:color w:val="auto"/>
          <w:sz w:val="32"/>
          <w:szCs w:val="32"/>
          <w:lang w:eastAsia="zh-CN"/>
          <w:highlight w:val="auto"/>
        </w:rPr>
        <w:t>%；政府性基金预算财政拨款收入</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万元，占</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%；国有资本经营预算财政拨款收入</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万元，占</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%；上级补助收入</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万元，占</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%；事业收入</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万元，占</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%；经营收入</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万元，占</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%；附属单位上缴收入</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万元，占</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%；其他收入</w:t>
      </w:r>
      <w:r>
        <w:rPr>
          <w:rFonts w:ascii="仿宋_GB2312" w:eastAsia="仿宋_GB2312" w:cs="仿宋_GB2312" w:hint="eastAsia"/>
          <w:sz w:val="32"/>
          <w:szCs w:val="32"/>
        </w:rPr>
        <w:t>638.86</w:t>
      </w:r>
      <w:r>
        <w:rPr>
          <w:rFonts w:ascii="仿宋_GB2312" w:eastAsia="仿宋_GB2312" w:cs="仿宋_GB2312" w:hint="eastAsia"/>
          <w:color w:val="auto"/>
          <w:sz w:val="32"/>
          <w:szCs w:val="32"/>
          <w:lang w:eastAsia="zh-CN"/>
          <w:highlight w:val="auto"/>
        </w:rPr>
        <w:t>万元，占</w:t>
      </w:r>
      <w:r>
        <w:rPr>
          <w:rFonts w:ascii="仿宋_GB2312" w:eastAsia="仿宋_GB2312" w:cs="仿宋_GB2312" w:hint="eastAsia"/>
          <w:sz w:val="32"/>
          <w:szCs w:val="32"/>
        </w:rPr>
        <w:t>11.43</w:t>
      </w:r>
      <w:r>
        <w:rPr>
          <w:rFonts w:ascii="仿宋_GB2312" w:eastAsia="仿宋_GB2312" w:cs="仿宋_GB2312" w:hint="eastAsia"/>
          <w:color w:val="auto"/>
          <w:sz w:val="32"/>
          <w:szCs w:val="32"/>
          <w:lang w:eastAsia="zh-CN"/>
          <w:highlight w:val="auto"/>
        </w:rPr>
        <w:t>%。</w:t>
      </w:r>
      <w:r>
        <w:rPr>
          <w:rFonts w:ascii="Times New Roman" w:eastAsia="仿宋_GB2312" w:cs="仿宋_GB2312" w:hAnsi="Times New Roman" w:hint="eastAsia"/>
          <w:b/>
          <w:bCs/>
          <w:color w:val="auto"/>
          <w:sz w:val="32"/>
          <w:szCs w:val="32"/>
          <w:lang w:eastAsia="zh-CN"/>
          <w:highlight w:val="auto"/>
        </w:rPr>
        <w:t>（注：仅罗列本部门涉及的收入）</w:t>
      </w:r>
    </w:p>
    <w:p>
      <w:pPr>
        <w:ind w:firstLineChars="250" w:firstLine="800"/>
        <w:rPr>
          <w:rFonts w:ascii="Times New Roman" w:eastAsia="仿宋_GB2312" w:cs="仿宋_GB2312" w:hAnsi="Times New Roman"/>
          <w:color w:val="auto"/>
          <w:sz w:val="32"/>
          <w:szCs w:val="32"/>
          <w:lang w:eastAsia="zh-CN"/>
          <w:highlight w:val="auto"/>
        </w:rPr>
      </w:pPr>
      <w:r>
        <w:rPr>
          <w:rFonts w:ascii="Times New Roman" w:eastAsia="仿宋_GB2312" w:cs="仿宋_GB2312" w:hAnsi="Times New Roman" w:hint="eastAsia"/>
          <w:color w:val="auto"/>
          <w:sz w:val="32"/>
          <w:szCs w:val="32"/>
          <w:lang w:eastAsia="zh-CN"/>
          <w:highlight w:val="auto"/>
        </w:rPr>
        <w:t>（图2：收入决算结构图）（饼状图）</w:t>
      </w:r>
    </w:p>
    <w:p>
      <w:pPr>
        <w:pStyle w:val="15"/>
        <w:rPr>
          <w:rFonts w:hint="eastAsia"/>
        </w:rPr>
      </w:pPr>
      <w:r>
        <w:drawing>
          <wp:inline distT="0" distB="0" distL="85723" distR="85723">
            <wp:extent cx="4571929" cy="2743157"/>
            <wp:effectExtent l="0" t="0" r="1" b="1"/>
            <wp:docPr id="4" name="图片"/>
            <wp:cNvGraphicFramePr>
              <a:graphicFrameLocks noChangeAspect="1"/>
            </wp:cNvGraphicFramePr>
            <a:graphic>
              <a:graphicData uri="http://schemas.openxmlformats.org/drawingml/2006/picture">
                <pic:pic>
                  <pic:nvPicPr>
                    <pic:cNvPr id="6" name="图片 6"/>
                    <pic:cNvPicPr/>
                  </pic:nvPicPr>
                  <pic:blipFill>
                    <a:blip r:embed="rId5"/>
                    <a:stretch>
                      <a:fillRect/>
                    </a:stretch>
                  </pic:blipFill>
                  <pic:spPr>
                    <a:xfrm rot="0">
                      <a:off x="0" y="0"/>
                      <a:ext cx="4571929" cy="2743157"/>
                    </a:xfrm>
                    <a:prstGeom prst="rect"/>
                    <a:noFill/>
                    <a:ln w="9525" cmpd="sng" cap="flat">
                      <a:noFill/>
                      <a:prstDash val="solid"/>
                      <a:miter/>
                    </a:ln>
                  </pic:spPr>
                </pic:pic>
              </a:graphicData>
            </a:graphic>
          </wp:inline>
        </w:drawing>
      </w:r>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Style w:val="2Char"/>
          <w:rFonts w:ascii="Times New Roman" w:eastAsia="黑体" w:hAnsi="Times New Roman" w:hint="eastAsia"/>
          <w:b w:val="0"/>
          <w:color w:val="auto"/>
          <w:highlight w:val="auto"/>
        </w:rPr>
      </w:pPr>
      <w:bookmarkStart w:id="24" w:name="_Toc15377207"/>
      <w:bookmarkStart w:id="25" w:name="_Toc15396605"/>
      <w:r>
        <w:rPr>
          <w:rFonts w:ascii="Times New Roman" w:eastAsia="黑体" w:hAnsi="Times New Roman" w:hint="eastAsia"/>
          <w:color w:val="auto"/>
          <w:sz w:val="32"/>
          <w:szCs w:val="32"/>
          <w:lang w:eastAsia="zh-CN"/>
          <w:highlight w:val="auto"/>
        </w:rPr>
        <w:t>三、</w:t>
      </w:r>
      <w:r>
        <w:rPr>
          <w:rFonts w:ascii="Times New Roman" w:eastAsia="黑体" w:hAnsi="Times New Roman" w:hint="eastAsia"/>
          <w:color w:val="auto"/>
          <w:sz w:val="32"/>
          <w:szCs w:val="32"/>
          <w:highlight w:val="auto"/>
        </w:rPr>
        <w:t>支</w:t>
      </w:r>
      <w:r>
        <w:rPr>
          <w:rStyle w:val="2Char"/>
          <w:rFonts w:ascii="Times New Roman" w:eastAsia="黑体" w:hAnsi="Times New Roman" w:hint="eastAsia"/>
          <w:b w:val="0"/>
          <w:color w:val="auto"/>
          <w:highlight w:val="auto"/>
        </w:rPr>
        <w:t>出决算情况说明</w:t>
      </w:r>
      <w:bookmarkEnd w:id="24"/>
      <w:bookmarkEnd w:id="25"/>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jc w:val="left"/>
        <w:textAlignment w:val="auto"/>
        <w:outlineLvl w:val="1"/>
        <w:rPr>
          <w:rFonts w:ascii="Times New Roman" w:eastAsia="仿宋_GB2312" w:cs="仿宋_GB2312" w:hAnsi="Times New Roman" w:hint="eastAsia"/>
          <w:color w:val="auto"/>
          <w:sz w:val="32"/>
          <w:szCs w:val="32"/>
          <w:lang w:eastAsia="zh-CN"/>
          <w:highlight w:val="auto"/>
        </w:rPr>
      </w:pPr>
      <w:r>
        <w:rPr>
          <w:rFonts w:ascii="仿宋_GB2312" w:eastAsia="仿宋_GB2312" w:cs="仿宋_GB2312" w:hint="eastAsia"/>
          <w:color w:val="auto"/>
          <w:sz w:val="32"/>
          <w:szCs w:val="32"/>
          <w:lang w:eastAsia="zh-CN"/>
          <w:highlight w:val="auto"/>
        </w:rPr>
        <w:t>2024年度本年支出合计</w:t>
      </w:r>
      <w:r>
        <w:rPr>
          <w:rFonts w:ascii="仿宋_GB2312" w:eastAsia="仿宋_GB2312" w:cs="仿宋_GB2312" w:hint="eastAsia"/>
          <w:sz w:val="32"/>
          <w:szCs w:val="32"/>
        </w:rPr>
        <w:t>5348.56</w:t>
      </w:r>
      <w:r>
        <w:rPr>
          <w:rFonts w:ascii="仿宋_GB2312" w:eastAsia="仿宋_GB2312" w:cs="仿宋_GB2312" w:hint="eastAsia"/>
          <w:color w:val="auto"/>
          <w:sz w:val="32"/>
          <w:szCs w:val="32"/>
          <w:lang w:eastAsia="zh-CN"/>
          <w:highlight w:val="auto"/>
        </w:rPr>
        <w:t>万元，其中：基本支出</w:t>
      </w:r>
      <w:r>
        <w:rPr>
          <w:rFonts w:ascii="仿宋_GB2312" w:eastAsia="仿宋_GB2312" w:cs="仿宋_GB2312" w:hint="eastAsia"/>
          <w:sz w:val="32"/>
          <w:szCs w:val="32"/>
        </w:rPr>
        <w:t>4087.05</w:t>
      </w:r>
      <w:r>
        <w:rPr>
          <w:rFonts w:ascii="仿宋_GB2312" w:eastAsia="仿宋_GB2312" w:cs="仿宋_GB2312" w:hint="eastAsia"/>
          <w:color w:val="auto"/>
          <w:sz w:val="32"/>
          <w:szCs w:val="32"/>
          <w:lang w:eastAsia="zh-CN"/>
          <w:highlight w:val="auto"/>
        </w:rPr>
        <w:t>万元，占</w:t>
      </w:r>
      <w:r>
        <w:rPr>
          <w:rFonts w:ascii="仿宋_GB2312" w:eastAsia="仿宋_GB2312" w:cs="仿宋_GB2312" w:hint="eastAsia"/>
          <w:sz w:val="32"/>
          <w:szCs w:val="32"/>
        </w:rPr>
        <w:t>76.41</w:t>
      </w:r>
      <w:r>
        <w:rPr>
          <w:rFonts w:ascii="仿宋_GB2312" w:eastAsia="仿宋_GB2312" w:cs="仿宋_GB2312" w:hint="eastAsia"/>
          <w:color w:val="auto"/>
          <w:sz w:val="32"/>
          <w:szCs w:val="32"/>
          <w:lang w:eastAsia="zh-CN"/>
          <w:highlight w:val="auto"/>
        </w:rPr>
        <w:t>%；项目支出</w:t>
      </w:r>
      <w:r>
        <w:rPr>
          <w:rFonts w:ascii="仿宋_GB2312" w:eastAsia="仿宋_GB2312" w:cs="仿宋_GB2312" w:hint="eastAsia"/>
          <w:sz w:val="32"/>
          <w:szCs w:val="32"/>
        </w:rPr>
        <w:t>1261.51</w:t>
      </w:r>
      <w:r>
        <w:rPr>
          <w:rFonts w:ascii="仿宋_GB2312" w:eastAsia="仿宋_GB2312" w:cs="仿宋_GB2312" w:hint="eastAsia"/>
          <w:color w:val="auto"/>
          <w:sz w:val="32"/>
          <w:szCs w:val="32"/>
          <w:lang w:eastAsia="zh-CN"/>
          <w:highlight w:val="auto"/>
        </w:rPr>
        <w:t>万元，占</w:t>
      </w:r>
      <w:r>
        <w:rPr>
          <w:rFonts w:ascii="仿宋_GB2312" w:eastAsia="仿宋_GB2312" w:cs="仿宋_GB2312" w:hint="eastAsia"/>
          <w:sz w:val="32"/>
          <w:szCs w:val="32"/>
        </w:rPr>
        <w:t>23.58</w:t>
      </w:r>
      <w:r>
        <w:rPr>
          <w:rFonts w:ascii="仿宋_GB2312" w:eastAsia="仿宋_GB2312" w:cs="仿宋_GB2312" w:hint="eastAsia"/>
          <w:color w:val="auto"/>
          <w:sz w:val="32"/>
          <w:szCs w:val="32"/>
          <w:lang w:eastAsia="zh-CN"/>
          <w:highlight w:val="auto"/>
        </w:rPr>
        <w:t>%；上缴上级支出</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万元，占</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%；经营支出</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万元，占</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%；对附属单位补助支出</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万元，占</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w:t>
      </w:r>
      <w:r>
        <w:rPr>
          <w:rFonts w:ascii="Times New Roman" w:eastAsia="仿宋_GB2312" w:cs="仿宋_GB2312" w:hAnsi="Times New Roman" w:hint="eastAsia"/>
          <w:b/>
          <w:bCs/>
          <w:color w:val="auto"/>
          <w:sz w:val="32"/>
          <w:szCs w:val="32"/>
          <w:lang w:eastAsia="zh-CN"/>
          <w:highlight w:val="auto"/>
        </w:rPr>
        <w:t>（注：仅罗列本部门涉及的支出）</w:t>
      </w:r>
    </w:p>
    <w:p>
      <w:pPr>
        <w:ind w:firstLineChars="250" w:firstLine="800"/>
        <w:rPr>
          <w:rFonts w:ascii="Times New Roman" w:eastAsia="仿宋_GB2312" w:cs="仿宋_GB2312" w:hAnsi="Times New Roman"/>
          <w:color w:val="auto"/>
          <w:sz w:val="32"/>
          <w:szCs w:val="32"/>
          <w:lang w:eastAsia="zh-CN"/>
          <w:highlight w:val="auto"/>
        </w:rPr>
      </w:pPr>
      <w:r>
        <w:rPr>
          <w:rFonts w:ascii="Times New Roman" w:eastAsia="仿宋_GB2312" w:cs="仿宋_GB2312" w:hAnsi="Times New Roman" w:hint="eastAsia"/>
          <w:color w:val="auto"/>
          <w:sz w:val="32"/>
          <w:szCs w:val="32"/>
          <w:lang w:eastAsia="zh-CN"/>
          <w:highlight w:val="auto"/>
        </w:rPr>
        <w:t>（图3：支出决算结构图）（饼状图）</w:t>
      </w:r>
    </w:p>
    <w:p>
      <w:pPr>
        <w:pStyle w:val="15"/>
        <w:rPr>
          <w:rFonts w:hint="eastAsia"/>
        </w:rPr>
      </w:pPr>
      <w:r>
        <w:drawing>
          <wp:inline distT="0" distB="0" distL="85723" distR="85723">
            <wp:extent cx="4571929" cy="2743157"/>
            <wp:effectExtent l="0" t="0" r="1" b="1"/>
            <wp:docPr id="7" name="图片"/>
            <wp:cNvGraphicFramePr>
              <a:graphicFrameLocks noChangeAspect="1"/>
            </wp:cNvGraphicFramePr>
            <a:graphic>
              <a:graphicData uri="http://schemas.openxmlformats.org/drawingml/2006/picture">
                <pic:pic>
                  <pic:nvPicPr>
                    <pic:cNvPr id="9" name="图片 9"/>
                    <pic:cNvPicPr/>
                  </pic:nvPicPr>
                  <pic:blipFill>
                    <a:blip r:embed="rId6"/>
                    <a:stretch>
                      <a:fillRect/>
                    </a:stretch>
                  </pic:blipFill>
                  <pic:spPr>
                    <a:xfrm rot="0">
                      <a:off x="0" y="0"/>
                      <a:ext cx="4571929" cy="2743157"/>
                    </a:xfrm>
                    <a:prstGeom prst="rect"/>
                    <a:noFill/>
                    <a:ln w="9525" cmpd="sng" cap="flat">
                      <a:noFill/>
                      <a:prstDash val="solid"/>
                      <a:miter/>
                    </a:ln>
                  </pic:spPr>
                </pic:pic>
              </a:graphicData>
            </a:graphic>
          </wp:inline>
        </w:drawing>
      </w:r>
    </w:p>
    <w:p>
      <w:pPr>
        <w:ind w:firstLineChars="250" w:firstLine="800"/>
        <w:rPr>
          <w:rFonts w:ascii="Times New Roman" w:eastAsia="仿宋_GB2312" w:cs="仿宋_GB2312" w:hAnsi="Times New Roman" w:hint="eastAsia"/>
          <w:color w:val="auto"/>
          <w:sz w:val="32"/>
          <w:szCs w:val="32"/>
          <w:lang w:eastAsia="zh-CN"/>
          <w:highlight w:val="auto"/>
        </w:rPr>
      </w:pPr>
    </w:p>
    <w:p>
      <w:pPr>
        <w:spacing w:line="600" w:lineRule="exact"/>
        <w:ind w:firstLineChars="200" w:firstLine="640"/>
        <w:outlineLvl w:val="1"/>
        <w:rPr>
          <w:rStyle w:val="2Char"/>
          <w:rFonts w:ascii="Times New Roman" w:eastAsia="黑体" w:hAnsi="Times New Roman"/>
          <w:b w:val="0"/>
          <w:color w:val="auto"/>
          <w:highlight w:val="auto"/>
        </w:rPr>
      </w:pPr>
      <w:bookmarkStart w:id="26" w:name="_Toc15377208"/>
      <w:bookmarkStart w:id="27" w:name="_Toc15396606"/>
      <w:r>
        <w:rPr>
          <w:rFonts w:ascii="Times New Roman" w:eastAsia="黑体" w:hAnsi="Times New Roman" w:hint="eastAsia"/>
          <w:color w:val="auto"/>
          <w:sz w:val="32"/>
          <w:szCs w:val="32"/>
          <w:highlight w:val="auto"/>
        </w:rPr>
        <w:t>四、财</w:t>
      </w:r>
      <w:r>
        <w:rPr>
          <w:rStyle w:val="2Char"/>
          <w:rFonts w:ascii="Times New Roman" w:eastAsia="黑体" w:hAnsi="Times New Roman" w:hint="eastAsia"/>
          <w:b w:val="0"/>
          <w:color w:val="auto"/>
          <w:highlight w:val="auto"/>
        </w:rPr>
        <w:t>政拨款收入支出决算总体情况说明</w:t>
      </w:r>
      <w:bookmarkEnd w:id="26"/>
      <w:bookmarkEnd w:id="27"/>
    </w:p>
    <w:p>
      <w:pPr>
        <w:pStyle w:val="32"/>
        <w:keepNext w:val="0"/>
        <w:keepLines w:val="0"/>
        <w:pageBreakBefore w:val="0"/>
        <w:widowControl w:val="0"/>
        <w:kinsoku/>
        <w:wordWrap/>
        <w:overflowPunct/>
        <w:topLinePunct w:val="0"/>
        <w:autoSpaceDE/>
        <w:autoSpaceDN/>
        <w:adjustRightInd/>
        <w:snapToGrid/>
        <w:spacing w:line="600" w:lineRule="exact"/>
        <w:ind w:firstLineChars="200" w:firstLine="640"/>
        <w:outlineLvl w:val="1"/>
        <w:rPr>
          <w:rFonts w:eastAsia="仿宋_GB2312" w:cs="仿宋_GB2312" w:hint="eastAsia"/>
          <w:sz w:val="32"/>
          <w:szCs w:val="32"/>
        </w:rPr>
      </w:pPr>
      <w:r>
        <w:rPr>
          <w:rFonts w:ascii="Times New Roman" w:eastAsia="仿宋_GB2312" w:cs="仿宋_GB2312" w:hAnsi="Times New Roman" w:hint="eastAsia"/>
          <w:color w:val="auto"/>
          <w:kern w:val="2"/>
          <w:sz w:val="32"/>
          <w:szCs w:val="32"/>
          <w:lang w:val="en-US" w:eastAsia="zh-CN" w:bidi="ar-SA"/>
          <w:highlight w:val="auto"/>
        </w:rPr>
        <w:t>2024年度财政拨款收入、支出总计均为</w:t>
      </w:r>
      <w:r>
        <w:rPr>
          <w:rFonts w:ascii="仿宋_GB2312" w:eastAsia="仿宋_GB2312" w:cs="仿宋_GB2312" w:hint="eastAsia"/>
          <w:sz w:val="32"/>
          <w:szCs w:val="32"/>
        </w:rPr>
        <w:t>4946.68</w:t>
      </w:r>
      <w:r>
        <w:rPr>
          <w:rFonts w:ascii="Times New Roman" w:eastAsia="仿宋_GB2312" w:cs="仿宋_GB2312" w:hAnsi="Times New Roman" w:hint="eastAsia"/>
          <w:color w:val="auto"/>
          <w:kern w:val="2"/>
          <w:sz w:val="32"/>
          <w:szCs w:val="32"/>
          <w:lang w:val="en-US" w:eastAsia="zh-CN" w:bidi="ar-SA"/>
          <w:highlight w:val="auto"/>
        </w:rPr>
        <w:t>万元。与2023年度</w:t>
      </w:r>
      <w:r>
        <w:rPr>
          <w:rFonts w:ascii="Times New Roman" w:eastAsia="仿宋_GB2312" w:cs="仿宋_GB2312" w:hAnsi="Times New Roman"/>
          <w:color w:val="auto"/>
          <w:kern w:val="2"/>
          <w:sz w:val="32"/>
          <w:szCs w:val="32"/>
          <w:lang w:val="en-US" w:eastAsia="zh-CN" w:bidi="ar-SA"/>
        </w:rPr>
        <w:t>7653.25万元</w:t>
      </w:r>
      <w:r>
        <w:rPr>
          <w:rFonts w:ascii="Times New Roman" w:eastAsia="仿宋_GB2312" w:cs="仿宋_GB2312" w:hAnsi="Times New Roman" w:hint="eastAsia"/>
          <w:color w:val="auto"/>
          <w:kern w:val="2"/>
          <w:sz w:val="32"/>
          <w:szCs w:val="32"/>
          <w:lang w:val="en-US" w:eastAsia="zh-CN" w:bidi="ar-SA"/>
          <w:highlight w:val="auto"/>
        </w:rPr>
        <w:t>相比，财政拨款收入总计、支出总计各减少</w:t>
      </w:r>
      <w:r>
        <w:rPr>
          <w:rFonts w:ascii="Times New Roman" w:eastAsia="仿宋_GB2312" w:cs="仿宋_GB2312" w:hAnsi="Times New Roman"/>
          <w:color w:val="auto"/>
          <w:kern w:val="2"/>
          <w:sz w:val="32"/>
          <w:szCs w:val="32"/>
          <w:lang w:val="en-US" w:eastAsia="zh-CN" w:bidi="ar-SA"/>
          <w:highlight w:val="auto"/>
        </w:rPr>
        <w:t>2706.57</w:t>
      </w:r>
      <w:r>
        <w:rPr>
          <w:rFonts w:ascii="Times New Roman" w:eastAsia="仿宋_GB2312" w:cs="仿宋_GB2312" w:hAnsi="Times New Roman" w:hint="eastAsia"/>
          <w:color w:val="auto"/>
          <w:kern w:val="2"/>
          <w:sz w:val="32"/>
          <w:szCs w:val="32"/>
          <w:lang w:val="en-US" w:eastAsia="zh-CN" w:bidi="ar-SA"/>
          <w:highlight w:val="auto"/>
        </w:rPr>
        <w:t>万元，下降</w:t>
      </w:r>
      <w:r>
        <w:rPr>
          <w:rFonts w:ascii="Times New Roman" w:eastAsia="仿宋_GB2312" w:cs="仿宋_GB2312" w:hAnsi="Times New Roman"/>
          <w:color w:val="auto"/>
          <w:kern w:val="2"/>
          <w:sz w:val="32"/>
          <w:szCs w:val="32"/>
          <w:lang w:val="en-US" w:eastAsia="zh-CN" w:bidi="ar-SA"/>
          <w:highlight w:val="auto"/>
        </w:rPr>
        <w:t>35.36</w:t>
      </w:r>
      <w:r>
        <w:rPr>
          <w:rFonts w:ascii="Times New Roman" w:eastAsia="仿宋_GB2312" w:cs="仿宋_GB2312" w:hAnsi="Times New Roman" w:hint="eastAsia"/>
          <w:color w:val="auto"/>
          <w:kern w:val="2"/>
          <w:sz w:val="32"/>
          <w:szCs w:val="32"/>
          <w:lang w:val="en-US" w:eastAsia="zh-CN" w:bidi="ar-SA"/>
          <w:highlight w:val="auto"/>
        </w:rPr>
        <w:t>%。主要变动原因是</w:t>
      </w:r>
      <w:r>
        <w:rPr>
          <w:rStyle w:val="0"/>
          <w:rFonts w:eastAsia="仿宋_GB2312" w:cs="仿宋_GB2312"/>
          <w:sz w:val="32"/>
          <w:szCs w:val="32"/>
          <w:lang w:bidi="ar-SA"/>
        </w:rPr>
        <w:t>2023</w:t>
      </w:r>
      <w:r>
        <w:rPr>
          <w:rStyle w:val="0"/>
          <w:rFonts w:eastAsia="仿宋_GB2312" w:cs="仿宋_GB2312" w:hint="eastAsia"/>
          <w:sz w:val="32"/>
          <w:szCs w:val="32"/>
          <w:lang w:bidi="ar-SA"/>
        </w:rPr>
        <w:t>年度因州庆活动主会场在我校，大型项目较多且资金量大</w:t>
      </w:r>
      <w:r>
        <w:rPr>
          <w:rFonts w:eastAsia="仿宋_GB2312" w:cs="仿宋_GB2312"/>
          <w:sz w:val="32"/>
          <w:szCs w:val="32"/>
        </w:rPr>
        <w:t>。</w:t>
      </w:r>
    </w:p>
    <w:p>
      <w:pPr>
        <w:spacing w:line="600" w:lineRule="exact"/>
        <w:ind w:firstLineChars="200" w:firstLine="640"/>
        <w:rPr>
          <w:rFonts w:ascii="Times New Roman" w:eastAsia="仿宋_GB2312" w:cs="仿宋_GB2312" w:hAnsi="Times New Roman"/>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（图4：财政拨款收、支决算总计变动情况）（柱状图）</w:t>
      </w:r>
    </w:p>
    <w:p>
      <w:pPr>
        <w:pStyle w:val="15"/>
        <w:rPr>
          <w:rFonts w:hint="eastAsia"/>
        </w:rPr>
      </w:pPr>
      <w:r>
        <w:drawing>
          <wp:inline distT="0" distB="0" distL="85723" distR="85723">
            <wp:extent cx="5152946" cy="2857456"/>
            <wp:effectExtent l="0" t="0" r="0" b="0"/>
            <wp:docPr id="10" name="图片"/>
            <wp:cNvGraphicFramePr>
              <a:graphicFrameLocks noChangeAspect="1"/>
            </wp:cNvGraphicFramePr>
            <a:graphic>
              <a:graphicData uri="http://schemas.openxmlformats.org/drawingml/2006/picture">
                <pic:pic>
                  <pic:nvPicPr>
                    <pic:cNvPr id="12" name="图片 12"/>
                    <pic:cNvPicPr/>
                  </pic:nvPicPr>
                  <pic:blipFill>
                    <a:blip r:embed="rId7"/>
                    <a:stretch>
                      <a:fillRect/>
                    </a:stretch>
                  </pic:blipFill>
                  <pic:spPr>
                    <a:xfrm rot="0">
                      <a:off x="0" y="0"/>
                      <a:ext cx="5152946" cy="2857456"/>
                    </a:xfrm>
                    <a:prstGeom prst="rect"/>
                    <a:noFill/>
                    <a:ln w="9525" cmpd="sng" cap="flat">
                      <a:noFill/>
                      <a:prstDash val="solid"/>
                      <a:miter/>
                    </a:ln>
                  </pic:spPr>
                </pic:pic>
              </a:graphicData>
            </a:graphic>
          </wp:inline>
        </w:drawing>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firstLineChars="200" w:firstLine="640"/>
        <w:outlineLvl w:val="1"/>
        <w:rPr>
          <w:rStyle w:val="2Char"/>
          <w:rFonts w:ascii="Times New Roman" w:eastAsia="黑体" w:hAnsi="Times New Roman"/>
          <w:b w:val="0"/>
          <w:color w:val="auto"/>
          <w:highlight w:val="auto"/>
        </w:rPr>
      </w:pPr>
      <w:bookmarkStart w:id="28" w:name="_Toc15377209"/>
      <w:bookmarkStart w:id="29" w:name="_Toc15396607"/>
      <w:r>
        <w:rPr>
          <w:rFonts w:ascii="Times New Roman" w:eastAsia="黑体" w:hAnsi="Times New Roman" w:hint="eastAsia"/>
          <w:color w:val="auto"/>
          <w:sz w:val="32"/>
          <w:szCs w:val="32"/>
          <w:highlight w:val="auto"/>
        </w:rPr>
        <w:t>五、</w:t>
      </w:r>
      <w:r>
        <w:rPr>
          <w:rFonts w:ascii="Times New Roman" w:eastAsia="黑体" w:hAnsi="Times New Roman" w:hint="eastAsia"/>
          <w:b/>
          <w:color w:val="auto"/>
          <w:sz w:val="32"/>
          <w:szCs w:val="32"/>
          <w:highlight w:val="auto"/>
        </w:rPr>
        <w:t>一</w:t>
      </w:r>
      <w:r>
        <w:rPr>
          <w:rStyle w:val="2Char"/>
          <w:rFonts w:ascii="Times New Roman" w:eastAsia="黑体" w:hAnsi="Times New Roman" w:hint="eastAsia"/>
          <w:b w:val="0"/>
          <w:color w:val="auto"/>
          <w:highlight w:val="auto"/>
        </w:rPr>
        <w:t>般公共预算财政拨款支出决算情况说明</w:t>
      </w:r>
      <w:bookmarkEnd w:id="28"/>
      <w:bookmarkEnd w:id="29"/>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30" w:name="_Toc15377210"/>
      <w:r>
        <w:rPr>
          <w:rFonts w:ascii="Times New Roman" w:eastAsia="楷体_GB2312" w:cs="楷体_GB2312" w:hAnsi="Times New Roman" w:hint="eastAsia"/>
          <w:b/>
          <w:color w:val="auto"/>
          <w:sz w:val="32"/>
          <w:szCs w:val="32"/>
          <w:highlight w:val="auto"/>
        </w:rPr>
        <w:t>（一）一般公共预算财政拨款支出决算总体情况</w:t>
      </w:r>
      <w:bookmarkEnd w:id="30"/>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仿宋_GB2312" w:eastAsia="仿宋_GB2312" w:cs="仿宋_GB2312" w:hint="eastAsia"/>
          <w:color w:val="auto"/>
          <w:kern w:val="2"/>
          <w:sz w:val="32"/>
          <w:szCs w:val="32"/>
          <w:lang w:val="en-US" w:eastAsia="zh-CN" w:bidi="ar-SA"/>
          <w:highlight w:val="auto"/>
        </w:rPr>
        <w:t>2024年度一般公共预算财政拨款支出</w:t>
      </w:r>
      <w:r>
        <w:rPr>
          <w:rFonts w:ascii="仿宋_GB2312" w:eastAsia="仿宋_GB2312" w:cs="仿宋_GB2312" w:hint="eastAsia"/>
          <w:sz w:val="32"/>
          <w:szCs w:val="32"/>
        </w:rPr>
        <w:t>4946.68</w:t>
      </w:r>
      <w:r>
        <w:rPr>
          <w:rFonts w:ascii="仿宋_GB2312" w:eastAsia="仿宋_GB2312" w:cs="仿宋_GB2312" w:hint="eastAsia"/>
          <w:color w:val="auto"/>
          <w:kern w:val="2"/>
          <w:sz w:val="32"/>
          <w:szCs w:val="32"/>
          <w:lang w:val="en-US" w:eastAsia="zh-CN" w:bidi="ar-SA"/>
          <w:highlight w:val="auto"/>
        </w:rPr>
        <w:t>万元，占本年支出合计的</w:t>
      </w:r>
      <w:r>
        <w:rPr>
          <w:rFonts w:ascii="仿宋_GB2312" w:eastAsia="仿宋_GB2312" w:cs="仿宋_GB2312" w:hint="eastAsia"/>
          <w:sz w:val="32"/>
          <w:szCs w:val="32"/>
        </w:rPr>
        <w:t>92.48</w:t>
      </w:r>
      <w:r>
        <w:rPr>
          <w:rFonts w:ascii="仿宋_GB2312" w:eastAsia="仿宋_GB2312" w:cs="仿宋_GB2312" w:hint="eastAsia"/>
          <w:color w:val="auto"/>
          <w:kern w:val="2"/>
          <w:sz w:val="32"/>
          <w:szCs w:val="32"/>
          <w:lang w:val="en-US" w:eastAsia="zh-CN" w:bidi="ar-SA"/>
          <w:highlight w:val="auto"/>
        </w:rPr>
        <w:t>%。与2023年度</w:t>
      </w:r>
      <w:r>
        <w:rPr>
          <w:rFonts w:ascii="Times New Roman" w:eastAsia="仿宋_GB2312" w:cs="仿宋_GB2312" w:hAnsi="Times New Roman"/>
          <w:color w:val="auto"/>
          <w:kern w:val="2"/>
          <w:sz w:val="32"/>
          <w:szCs w:val="32"/>
          <w:lang w:val="en-US" w:eastAsia="zh-CN" w:bidi="ar-SA"/>
        </w:rPr>
        <w:t>7653.25万元</w:t>
      </w:r>
      <w:r>
        <w:rPr>
          <w:rFonts w:ascii="仿宋_GB2312" w:eastAsia="仿宋_GB2312" w:cs="仿宋_GB2312" w:hint="eastAsia"/>
          <w:color w:val="auto"/>
          <w:kern w:val="2"/>
          <w:sz w:val="32"/>
          <w:szCs w:val="32"/>
          <w:lang w:val="en-US" w:eastAsia="zh-CN" w:bidi="ar-SA"/>
          <w:highlight w:val="auto"/>
        </w:rPr>
        <w:t>相比，一般公共预算财政拨款支出减少</w:t>
      </w:r>
      <w:r>
        <w:rPr>
          <w:rFonts w:ascii="Times New Roman" w:eastAsia="仿宋_GB2312" w:cs="仿宋_GB2312" w:hAnsi="Times New Roman"/>
          <w:color w:val="auto"/>
          <w:kern w:val="2"/>
          <w:sz w:val="32"/>
          <w:szCs w:val="32"/>
          <w:lang w:val="en-US" w:eastAsia="zh-CN" w:bidi="ar-SA"/>
          <w:highlight w:val="auto"/>
        </w:rPr>
        <w:t>2706.57</w:t>
      </w:r>
      <w:r>
        <w:rPr>
          <w:rFonts w:ascii="仿宋_GB2312" w:eastAsia="仿宋_GB2312" w:cs="仿宋_GB2312" w:hint="eastAsia"/>
          <w:color w:val="auto"/>
          <w:kern w:val="2"/>
          <w:sz w:val="32"/>
          <w:szCs w:val="32"/>
          <w:lang w:val="en-US" w:eastAsia="zh-CN" w:bidi="ar-SA"/>
          <w:highlight w:val="auto"/>
        </w:rPr>
        <w:t>万元，下降</w:t>
      </w:r>
      <w:r>
        <w:rPr>
          <w:rFonts w:ascii="Times New Roman" w:eastAsia="仿宋_GB2312" w:cs="仿宋_GB2312" w:hAnsi="Times New Roman"/>
          <w:color w:val="auto"/>
          <w:kern w:val="2"/>
          <w:sz w:val="32"/>
          <w:szCs w:val="32"/>
          <w:lang w:val="en-US" w:eastAsia="zh-CN" w:bidi="ar-SA"/>
          <w:highlight w:val="auto"/>
        </w:rPr>
        <w:t>35.36</w:t>
      </w:r>
      <w:r>
        <w:rPr>
          <w:rFonts w:ascii="仿宋_GB2312" w:eastAsia="仿宋_GB2312" w:cs="仿宋_GB2312" w:hint="eastAsia"/>
          <w:color w:val="auto"/>
          <w:kern w:val="2"/>
          <w:sz w:val="32"/>
          <w:szCs w:val="32"/>
          <w:lang w:val="en-US" w:eastAsia="zh-CN" w:bidi="ar-SA"/>
          <w:highlight w:val="auto"/>
        </w:rPr>
        <w:t>%。主要变动原因是</w:t>
      </w:r>
      <w:r>
        <w:rPr>
          <w:rStyle w:val="0"/>
          <w:rFonts w:eastAsia="仿宋_GB2312" w:cs="仿宋_GB2312"/>
          <w:sz w:val="32"/>
          <w:szCs w:val="32"/>
          <w:lang w:bidi="ar-SA"/>
        </w:rPr>
        <w:t>2023</w:t>
      </w:r>
      <w:r>
        <w:rPr>
          <w:rStyle w:val="0"/>
          <w:rFonts w:eastAsia="仿宋_GB2312" w:cs="仿宋_GB2312" w:hint="eastAsia"/>
          <w:sz w:val="32"/>
          <w:szCs w:val="32"/>
          <w:lang w:bidi="ar-SA"/>
        </w:rPr>
        <w:t>年度因州庆活动主会场在我校，大型项目较多且资金量大</w:t>
      </w:r>
      <w:r>
        <w:rPr>
          <w:rFonts w:eastAsia="仿宋_GB2312" w:cs="仿宋_GB2312"/>
          <w:sz w:val="32"/>
          <w:szCs w:val="32"/>
        </w:rPr>
        <w:t>。</w:t>
      </w:r>
    </w:p>
    <w:p>
      <w:pPr>
        <w:spacing w:line="600" w:lineRule="exact"/>
        <w:ind w:firstLine="640"/>
        <w:rPr>
          <w:rFonts w:ascii="Times New Roman" w:eastAsia="仿宋_GB2312" w:cs="仿宋_GB2312" w:hAnsi="Times New Roman"/>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（图5：一般公共预算财政拨款支出决算变动情况）（柱状图）</w:t>
      </w:r>
    </w:p>
    <w:p>
      <w:pPr>
        <w:pStyle w:val="15"/>
        <w:rPr>
          <w:rFonts w:hint="eastAsia"/>
        </w:rPr>
      </w:pPr>
      <w:r>
        <w:drawing>
          <wp:inline distT="0" distB="0" distL="85723" distR="85723">
            <wp:extent cx="4971974" cy="2866981"/>
            <wp:effectExtent l="0" t="0" r="0" b="0"/>
            <wp:docPr id="13" name="图片"/>
            <wp:cNvGraphicFramePr>
              <a:graphicFrameLocks noChangeAspect="1"/>
            </wp:cNvGraphicFramePr>
            <a:graphic>
              <a:graphicData uri="http://schemas.openxmlformats.org/drawingml/2006/picture">
                <pic:pic>
                  <pic:nvPicPr>
                    <pic:cNvPr id="15" name="图片 15"/>
                    <pic:cNvPicPr/>
                  </pic:nvPicPr>
                  <pic:blipFill>
                    <a:blip r:embed="rId8"/>
                    <a:stretch>
                      <a:fillRect/>
                    </a:stretch>
                  </pic:blipFill>
                  <pic:spPr>
                    <a:xfrm rot="0">
                      <a:off x="0" y="0"/>
                      <a:ext cx="4971974" cy="2866981"/>
                    </a:xfrm>
                    <a:prstGeom prst="rect"/>
                    <a:noFill/>
                    <a:ln w="9525" cmpd="sng" cap="flat">
                      <a:noFill/>
                      <a:prstDash val="solid"/>
                      <a:miter/>
                    </a:ln>
                  </pic:spPr>
                </pic:pic>
              </a:graphicData>
            </a:graphic>
          </wp:inline>
        </w:drawing>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31" w:name="_Toc15377211"/>
      <w:r>
        <w:rPr>
          <w:rFonts w:ascii="Times New Roman" w:eastAsia="楷体_GB2312" w:cs="楷体_GB2312" w:hAnsi="Times New Roman" w:hint="eastAsia"/>
          <w:b/>
          <w:color w:val="auto"/>
          <w:sz w:val="32"/>
          <w:szCs w:val="32"/>
          <w:highlight w:val="auto"/>
        </w:rPr>
        <w:t>（二）一般公共预算财政拨款支出决算结构情况</w:t>
      </w:r>
      <w:bookmarkEnd w:id="31"/>
    </w:p>
    <w:p>
      <w:pPr>
        <w:spacing w:line="600" w:lineRule="exact"/>
        <w:ind w:firstLine="640"/>
        <w:rPr>
          <w:rFonts w:ascii="Times New Roman" w:eastAsia="仿宋_GB2312" w:cs="仿宋_GB2312" w:hAnsi="Times New Roman" w:hint="eastAsia"/>
          <w:b/>
          <w:bCs/>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2024年度一般公共预算财政拨款支出</w:t>
      </w:r>
      <w:r>
        <w:rPr>
          <w:rFonts w:ascii="仿宋_GB2312" w:eastAsia="仿宋_GB2312" w:cs="仿宋_GB2312" w:hint="eastAsia"/>
          <w:sz w:val="32"/>
          <w:szCs w:val="32"/>
        </w:rPr>
        <w:t>4946.68</w:t>
      </w:r>
      <w:r>
        <w:rPr>
          <w:rFonts w:ascii="仿宋_GB2312" w:eastAsia="仿宋_GB2312" w:cs="仿宋_GB2312" w:hint="eastAsia"/>
          <w:color w:val="auto"/>
          <w:kern w:val="2"/>
          <w:sz w:val="32"/>
          <w:szCs w:val="32"/>
          <w:lang w:val="en-US" w:eastAsia="zh-CN" w:bidi="ar-SA"/>
          <w:highlight w:val="auto"/>
        </w:rPr>
        <w:t>万元</w:t>
      </w:r>
      <w:r>
        <w:rPr>
          <w:rFonts w:ascii="Times New Roman" w:eastAsia="仿宋_GB2312" w:cs="仿宋_GB2312" w:hAnsi="Times New Roman" w:hint="eastAsia"/>
          <w:color w:val="auto"/>
          <w:kern w:val="2"/>
          <w:sz w:val="32"/>
          <w:szCs w:val="32"/>
          <w:lang w:val="en-US" w:eastAsia="zh-CN" w:bidi="ar-SA"/>
          <w:highlight w:val="auto"/>
        </w:rPr>
        <w:t>，主要用于以下方面</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一般公共服务支出</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万元，占</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%；教育支出</w:t>
      </w:r>
      <w:r>
        <w:rPr>
          <w:rFonts w:ascii="Times New Roman" w:eastAsia="仿宋_GB2312" w:cs="仿宋_GB2312" w:hAnsi="Times New Roman"/>
          <w:color w:val="auto"/>
          <w:kern w:val="2"/>
          <w:sz w:val="32"/>
          <w:szCs w:val="32"/>
          <w:lang w:val="en-US" w:eastAsia="zh-CN" w:bidi="ar-SA"/>
        </w:rPr>
        <w:t>3931.46</w:t>
      </w:r>
      <w:r>
        <w:rPr>
          <w:rFonts w:ascii="Times New Roman" w:eastAsia="仿宋_GB2312" w:cs="仿宋_GB2312" w:hAnsi="Times New Roman" w:hint="eastAsia"/>
          <w:color w:val="auto"/>
          <w:kern w:val="2"/>
          <w:sz w:val="32"/>
          <w:szCs w:val="32"/>
          <w:lang w:val="en-US" w:eastAsia="zh-CN" w:bidi="ar-SA"/>
          <w:highlight w:val="auto"/>
        </w:rPr>
        <w:t>万元，占</w:t>
      </w:r>
      <w:r>
        <w:rPr>
          <w:rFonts w:ascii="Times New Roman" w:eastAsia="仿宋_GB2312" w:cs="仿宋_GB2312" w:hAnsi="Times New Roman"/>
          <w:color w:val="auto"/>
          <w:kern w:val="2"/>
          <w:sz w:val="32"/>
          <w:szCs w:val="32"/>
          <w:lang w:val="en-US" w:eastAsia="zh-CN" w:bidi="ar-SA"/>
          <w:highlight w:val="auto"/>
        </w:rPr>
        <w:t>79.48</w:t>
      </w:r>
      <w:r>
        <w:rPr>
          <w:rFonts w:ascii="Times New Roman" w:eastAsia="仿宋_GB2312" w:cs="仿宋_GB2312" w:hAnsi="Times New Roman" w:hint="eastAsia"/>
          <w:color w:val="auto"/>
          <w:kern w:val="2"/>
          <w:sz w:val="32"/>
          <w:szCs w:val="32"/>
          <w:lang w:val="en-US" w:eastAsia="zh-CN" w:bidi="ar-SA"/>
          <w:highlight w:val="auto"/>
        </w:rPr>
        <w:t>%；科学技术支出</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万元，占</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%；文化旅游体育与传媒支出</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万元，占</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%；社会保障和就业支出</w:t>
      </w:r>
      <w:r>
        <w:rPr>
          <w:rFonts w:ascii="Times New Roman" w:eastAsia="仿宋_GB2312" w:cs="仿宋_GB2312" w:hAnsi="Times New Roman"/>
          <w:color w:val="auto"/>
          <w:kern w:val="2"/>
          <w:sz w:val="32"/>
          <w:szCs w:val="32"/>
          <w:lang w:val="en-US" w:eastAsia="zh-CN" w:bidi="ar-SA"/>
        </w:rPr>
        <w:t>501.86</w:t>
      </w:r>
      <w:r>
        <w:rPr>
          <w:rFonts w:ascii="Times New Roman" w:eastAsia="仿宋_GB2312" w:cs="仿宋_GB2312" w:hAnsi="Times New Roman" w:hint="eastAsia"/>
          <w:color w:val="auto"/>
          <w:kern w:val="2"/>
          <w:sz w:val="32"/>
          <w:szCs w:val="32"/>
          <w:lang w:val="en-US" w:eastAsia="zh-CN" w:bidi="ar-SA"/>
          <w:highlight w:val="auto"/>
        </w:rPr>
        <w:t>万元，占</w:t>
      </w:r>
      <w:r>
        <w:rPr>
          <w:rFonts w:ascii="Times New Roman" w:eastAsia="仿宋_GB2312" w:cs="仿宋_GB2312" w:hAnsi="Times New Roman"/>
          <w:color w:val="auto"/>
          <w:kern w:val="2"/>
          <w:sz w:val="32"/>
          <w:szCs w:val="32"/>
          <w:lang w:val="en-US" w:eastAsia="zh-CN" w:bidi="ar-SA"/>
          <w:highlight w:val="auto"/>
        </w:rPr>
        <w:t>10.15</w:t>
      </w:r>
      <w:r>
        <w:rPr>
          <w:rFonts w:ascii="Times New Roman" w:eastAsia="仿宋_GB2312" w:cs="仿宋_GB2312" w:hAnsi="Times New Roman" w:hint="eastAsia"/>
          <w:color w:val="auto"/>
          <w:kern w:val="2"/>
          <w:sz w:val="32"/>
          <w:szCs w:val="32"/>
          <w:lang w:val="en-US" w:eastAsia="zh-CN" w:bidi="ar-SA"/>
          <w:highlight w:val="auto"/>
        </w:rPr>
        <w:t>%；卫生健康支出</w:t>
      </w:r>
      <w:r>
        <w:rPr>
          <w:rFonts w:ascii="Times New Roman" w:eastAsia="仿宋_GB2312" w:cs="仿宋_GB2312" w:hAnsi="Times New Roman"/>
          <w:color w:val="auto"/>
          <w:kern w:val="2"/>
          <w:sz w:val="32"/>
          <w:szCs w:val="32"/>
          <w:lang w:val="en-US" w:eastAsia="zh-CN" w:bidi="ar-SA"/>
        </w:rPr>
        <w:t>239.08</w:t>
      </w:r>
      <w:r>
        <w:rPr>
          <w:rFonts w:ascii="Times New Roman" w:eastAsia="仿宋_GB2312" w:cs="仿宋_GB2312" w:hAnsi="Times New Roman" w:hint="eastAsia"/>
          <w:color w:val="auto"/>
          <w:kern w:val="2"/>
          <w:sz w:val="32"/>
          <w:szCs w:val="32"/>
          <w:lang w:val="en-US" w:eastAsia="zh-CN" w:bidi="ar-SA"/>
          <w:highlight w:val="auto"/>
        </w:rPr>
        <w:t>万元，占</w:t>
      </w:r>
      <w:r>
        <w:rPr>
          <w:rFonts w:ascii="Times New Roman" w:eastAsia="仿宋_GB2312" w:cs="仿宋_GB2312" w:hAnsi="Times New Roman"/>
          <w:color w:val="auto"/>
          <w:kern w:val="2"/>
          <w:sz w:val="32"/>
          <w:szCs w:val="32"/>
          <w:lang w:val="en-US" w:eastAsia="zh-CN" w:bidi="ar-SA"/>
          <w:highlight w:val="auto"/>
        </w:rPr>
        <w:t>4.83</w:t>
      </w:r>
      <w:r>
        <w:rPr>
          <w:rFonts w:ascii="Times New Roman" w:eastAsia="仿宋_GB2312" w:cs="仿宋_GB2312" w:hAnsi="Times New Roman" w:hint="eastAsia"/>
          <w:color w:val="auto"/>
          <w:kern w:val="2"/>
          <w:sz w:val="32"/>
          <w:szCs w:val="32"/>
          <w:lang w:val="en-US" w:eastAsia="zh-CN" w:bidi="ar-SA"/>
          <w:highlight w:val="auto"/>
        </w:rPr>
        <w:t>%；住房保障支出</w:t>
      </w:r>
      <w:r>
        <w:rPr>
          <w:rFonts w:ascii="Times New Roman" w:eastAsia="仿宋_GB2312" w:cs="仿宋_GB2312" w:hAnsi="Times New Roman"/>
          <w:color w:val="auto"/>
          <w:kern w:val="2"/>
          <w:sz w:val="32"/>
          <w:szCs w:val="32"/>
          <w:lang w:val="en-US" w:eastAsia="zh-CN" w:bidi="ar-SA"/>
        </w:rPr>
        <w:t>274.28</w:t>
      </w:r>
      <w:r>
        <w:rPr>
          <w:rFonts w:ascii="Times New Roman" w:eastAsia="仿宋_GB2312" w:cs="仿宋_GB2312" w:hAnsi="Times New Roman" w:hint="eastAsia"/>
          <w:color w:val="auto"/>
          <w:kern w:val="2"/>
          <w:sz w:val="32"/>
          <w:szCs w:val="32"/>
          <w:lang w:val="en-US" w:eastAsia="zh-CN" w:bidi="ar-SA"/>
          <w:highlight w:val="auto"/>
        </w:rPr>
        <w:t>万元，占</w:t>
      </w:r>
      <w:r>
        <w:rPr>
          <w:rFonts w:ascii="Times New Roman" w:eastAsia="仿宋_GB2312" w:cs="仿宋_GB2312" w:hAnsi="Times New Roman"/>
          <w:color w:val="auto"/>
          <w:kern w:val="2"/>
          <w:sz w:val="32"/>
          <w:szCs w:val="32"/>
          <w:lang w:val="en-US" w:eastAsia="zh-CN" w:bidi="ar-SA"/>
          <w:highlight w:val="auto"/>
        </w:rPr>
        <w:t>5.55</w:t>
      </w:r>
      <w:r>
        <w:rPr>
          <w:rFonts w:ascii="Times New Roman" w:eastAsia="仿宋_GB2312" w:cs="仿宋_GB2312" w:hAnsi="Times New Roman" w:hint="eastAsia"/>
          <w:color w:val="auto"/>
          <w:kern w:val="2"/>
          <w:sz w:val="32"/>
          <w:szCs w:val="32"/>
          <w:lang w:val="en-US" w:eastAsia="zh-CN" w:bidi="ar-SA"/>
          <w:highlight w:val="auto"/>
        </w:rPr>
        <w:t>%；</w:t>
      </w:r>
      <w:r>
        <w:rPr>
          <w:rFonts w:ascii="Times New Roman" w:eastAsia="仿宋_GB2312" w:cs="仿宋_GB2312" w:hAnsi="Times New Roman" w:hint="eastAsia"/>
          <w:b/>
          <w:bCs/>
          <w:color w:val="auto"/>
          <w:kern w:val="2"/>
          <w:sz w:val="32"/>
          <w:szCs w:val="32"/>
          <w:lang w:val="en-US" w:eastAsia="zh-CN" w:bidi="ar-SA"/>
          <w:highlight w:val="auto"/>
        </w:rPr>
        <w:t>（注：仅罗列本部门涉及的全部功能分类科目，至类级）</w:t>
      </w:r>
    </w:p>
    <w:p>
      <w:pPr>
        <w:spacing w:line="600" w:lineRule="exact"/>
        <w:ind w:firstLine="640"/>
        <w:rPr>
          <w:rFonts w:ascii="Times New Roman" w:eastAsia="仿宋_GB2312" w:cs="仿宋_GB2312" w:hAnsi="Times New Roman"/>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（图6：一般公共预算财政拨款支出决算结构）（饼状图）</w:t>
      </w:r>
    </w:p>
    <w:p>
      <w:pPr>
        <w:pStyle w:val="15"/>
        <w:rPr>
          <w:rFonts w:hint="eastAsia"/>
        </w:rPr>
      </w:pPr>
      <w:r>
        <w:drawing>
          <wp:inline distT="0" distB="0" distL="85723" distR="85723">
            <wp:extent cx="4571929" cy="2743157"/>
            <wp:effectExtent l="0" t="0" r="1" b="1"/>
            <wp:docPr id="16" name="图片"/>
            <wp:cNvGraphicFramePr>
              <a:graphicFrameLocks noChangeAspect="1"/>
            </wp:cNvGraphicFramePr>
            <a:graphic>
              <a:graphicData uri="http://schemas.openxmlformats.org/drawingml/2006/picture">
                <pic:pic>
                  <pic:nvPicPr>
                    <pic:cNvPr id="18" name="图片 18"/>
                    <pic:cNvPicPr/>
                  </pic:nvPicPr>
                  <pic:blipFill>
                    <a:blip r:embed="rId9"/>
                    <a:stretch>
                      <a:fillRect/>
                    </a:stretch>
                  </pic:blipFill>
                  <pic:spPr>
                    <a:xfrm rot="0">
                      <a:off x="0" y="0"/>
                      <a:ext cx="4571929" cy="2743157"/>
                    </a:xfrm>
                    <a:prstGeom prst="rect"/>
                    <a:noFill/>
                    <a:ln w="9525" cmpd="sng" cap="flat">
                      <a:noFill/>
                      <a:prstDash val="solid"/>
                      <a:miter/>
                    </a:ln>
                  </pic:spPr>
                </pic:pic>
              </a:graphicData>
            </a:graphic>
          </wp:inline>
        </w:drawing>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32" w:name="_Toc15377212"/>
      <w:r>
        <w:rPr>
          <w:rFonts w:ascii="Times New Roman" w:eastAsia="楷体_GB2312" w:cs="楷体_GB2312" w:hAnsi="Times New Roman" w:hint="eastAsia"/>
          <w:b/>
          <w:color w:val="auto"/>
          <w:sz w:val="32"/>
          <w:szCs w:val="32"/>
          <w:highlight w:val="auto"/>
        </w:rPr>
        <w:t>（三）一般公共预算财政拨款支出决算具体情况</w:t>
      </w:r>
      <w:bookmarkEnd w:id="32"/>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bookmarkStart w:id="33" w:name="_Toc15377444"/>
      <w:bookmarkStart w:id="34" w:name="_Toc15378460"/>
      <w:bookmarkStart w:id="35" w:name="_Toc15377213"/>
      <w:r>
        <w:rPr>
          <w:rFonts w:ascii="Times New Roman" w:eastAsia="仿宋_GB2312" w:cs="仿宋_GB2312" w:hAnsi="Times New Roman" w:hint="eastAsia"/>
          <w:color w:val="auto"/>
          <w:kern w:val="2"/>
          <w:sz w:val="32"/>
          <w:szCs w:val="32"/>
          <w:lang w:val="en-US" w:eastAsia="zh-CN" w:bidi="ar-SA"/>
          <w:highlight w:val="auto"/>
        </w:rPr>
        <w:t>2024年度一般公共预算财政拨款支出决算数为</w:t>
      </w:r>
      <w:r>
        <w:rPr>
          <w:rFonts w:ascii="仿宋_GB2312" w:eastAsia="仿宋_GB2312" w:cs="仿宋_GB2312" w:hint="eastAsia"/>
          <w:sz w:val="32"/>
          <w:szCs w:val="32"/>
        </w:rPr>
        <w:t>4946.68</w:t>
      </w:r>
      <w:r>
        <w:rPr>
          <w:rFonts w:ascii="仿宋_GB2312" w:eastAsia="仿宋_GB2312" w:cs="仿宋_GB2312" w:hint="eastAsia"/>
          <w:color w:val="auto"/>
          <w:kern w:val="2"/>
          <w:sz w:val="32"/>
          <w:szCs w:val="32"/>
          <w:lang w:val="en-US" w:eastAsia="zh-CN" w:bidi="ar-SA"/>
          <w:highlight w:val="auto"/>
        </w:rPr>
        <w:t>，</w:t>
      </w:r>
      <w:r>
        <w:rPr>
          <w:rFonts w:ascii="仿宋_GB2312" w:eastAsia="仿宋_GB2312" w:cs="仿宋_GB2312"/>
          <w:color w:val="auto"/>
          <w:kern w:val="2"/>
          <w:sz w:val="32"/>
          <w:szCs w:val="32"/>
          <w:lang w:val="en-US" w:eastAsia="zh-CN" w:bidi="ar-SA"/>
          <w:highlight w:val="auto"/>
        </w:rPr>
        <w:t>万元</w:t>
      </w:r>
      <w:r>
        <w:rPr>
          <w:rFonts w:ascii="Times New Roman" w:eastAsia="仿宋_GB2312" w:cs="仿宋_GB2312" w:hAnsi="Times New Roman" w:hint="eastAsia"/>
          <w:color w:val="auto"/>
          <w:kern w:val="2"/>
          <w:sz w:val="32"/>
          <w:szCs w:val="32"/>
          <w:lang w:val="en-US" w:eastAsia="zh-CN" w:bidi="ar-SA"/>
          <w:highlight w:val="auto"/>
        </w:rPr>
        <w:t>完成预算</w:t>
      </w:r>
      <w:r>
        <w:rPr>
          <w:rFonts w:ascii="Times New Roman" w:eastAsia="仿宋_GB2312" w:cs="仿宋_GB2312" w:hAnsi="Times New Roman"/>
          <w:color w:val="auto"/>
          <w:kern w:val="2"/>
          <w:sz w:val="32"/>
          <w:szCs w:val="32"/>
          <w:lang w:val="en-US" w:eastAsia="zh-CN" w:bidi="ar-SA"/>
          <w:highlight w:val="auto"/>
        </w:rPr>
        <w:t>100</w:t>
      </w:r>
      <w:r>
        <w:rPr>
          <w:rFonts w:ascii="Times New Roman" w:eastAsia="仿宋_GB2312" w:cs="仿宋_GB2312" w:hAnsi="Times New Roman" w:hint="eastAsia"/>
          <w:color w:val="auto"/>
          <w:kern w:val="2"/>
          <w:sz w:val="32"/>
          <w:szCs w:val="32"/>
          <w:lang w:val="en-US" w:eastAsia="zh-CN" w:bidi="ar-SA"/>
          <w:highlight w:val="auto"/>
        </w:rPr>
        <w:t>%。其中：</w:t>
      </w:r>
      <w:bookmarkEnd w:id="33"/>
      <w:bookmarkEnd w:id="34"/>
      <w:bookmarkEnd w:id="35"/>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1</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一般公共服务（类）</w:t>
      </w:r>
      <w:r>
        <w:rPr>
          <w:rFonts w:ascii="Times New Roman" w:eastAsia="仿宋_GB2312" w:cs="仿宋_GB2312" w:hAnsi="Times New Roman"/>
          <w:color w:val="auto"/>
          <w:kern w:val="2"/>
          <w:sz w:val="32"/>
          <w:szCs w:val="32"/>
          <w:lang w:val="en-US" w:eastAsia="zh-CN" w:bidi="ar-SA"/>
          <w:highlight w:val="auto"/>
        </w:rPr>
        <w:t>00</w:t>
      </w:r>
      <w:r>
        <w:rPr>
          <w:rFonts w:ascii="Times New Roman" w:eastAsia="仿宋_GB2312" w:cs="仿宋_GB2312" w:hAnsi="Times New Roman" w:hint="eastAsia"/>
          <w:color w:val="auto"/>
          <w:kern w:val="2"/>
          <w:sz w:val="32"/>
          <w:szCs w:val="32"/>
          <w:lang w:val="en-US" w:eastAsia="zh-CN" w:bidi="ar-SA"/>
          <w:highlight w:val="auto"/>
        </w:rPr>
        <w:t>（款）</w:t>
      </w:r>
      <w:r>
        <w:rPr>
          <w:rFonts w:ascii="Times New Roman" w:eastAsia="仿宋_GB2312" w:cs="仿宋_GB2312" w:hAnsi="Times New Roman"/>
          <w:color w:val="auto"/>
          <w:kern w:val="2"/>
          <w:sz w:val="32"/>
          <w:szCs w:val="32"/>
          <w:lang w:val="en-US" w:eastAsia="zh-CN" w:bidi="ar-SA"/>
          <w:highlight w:val="auto"/>
        </w:rPr>
        <w:t>00</w:t>
      </w:r>
      <w:r>
        <w:rPr>
          <w:rFonts w:ascii="Times New Roman" w:eastAsia="仿宋_GB2312" w:cs="仿宋_GB2312" w:hAnsi="Times New Roman" w:hint="eastAsia"/>
          <w:color w:val="auto"/>
          <w:kern w:val="2"/>
          <w:sz w:val="32"/>
          <w:szCs w:val="32"/>
          <w:lang w:val="en-US" w:eastAsia="zh-CN" w:bidi="ar-SA"/>
          <w:highlight w:val="auto"/>
        </w:rPr>
        <w:t>（项）</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支出决算为</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万元，完成预算</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%，决算数小于/等于预算数的主要原因是</w:t>
      </w:r>
      <w:r>
        <w:rPr>
          <w:rFonts w:ascii="Times New Roman" w:eastAsia="仿宋_GB2312" w:cs="仿宋_GB2312" w:hAnsi="Times New Roman"/>
          <w:color w:val="auto"/>
          <w:kern w:val="2"/>
          <w:sz w:val="32"/>
          <w:szCs w:val="32"/>
          <w:lang w:val="en-US" w:eastAsia="zh-CN" w:bidi="ar-SA"/>
          <w:highlight w:val="auto"/>
        </w:rPr>
        <w:t>无</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2.教育（类）</w:t>
      </w:r>
      <w:r>
        <w:rPr>
          <w:rFonts w:ascii="Times New Roman" w:eastAsia="仿宋_GB2312" w:cs="仿宋_GB2312" w:hAnsi="Times New Roman"/>
          <w:color w:val="auto"/>
          <w:kern w:val="2"/>
          <w:sz w:val="32"/>
          <w:szCs w:val="32"/>
          <w:lang w:val="en-US" w:eastAsia="zh-CN" w:bidi="ar-SA"/>
          <w:highlight w:val="auto"/>
        </w:rPr>
        <w:t>205</w:t>
      </w:r>
      <w:r>
        <w:rPr>
          <w:rFonts w:ascii="Times New Roman" w:eastAsia="仿宋_GB2312" w:cs="仿宋_GB2312" w:hAnsi="Times New Roman" w:hint="eastAsia"/>
          <w:color w:val="auto"/>
          <w:kern w:val="2"/>
          <w:sz w:val="32"/>
          <w:szCs w:val="32"/>
          <w:lang w:val="en-US" w:eastAsia="zh-CN" w:bidi="ar-SA"/>
          <w:highlight w:val="auto"/>
        </w:rPr>
        <w:t>（款）</w:t>
      </w:r>
      <w:r>
        <w:rPr>
          <w:rFonts w:ascii="Times New Roman" w:eastAsia="仿宋_GB2312" w:cs="仿宋_GB2312" w:hAnsi="Times New Roman"/>
          <w:color w:val="auto"/>
          <w:kern w:val="2"/>
          <w:sz w:val="32"/>
          <w:szCs w:val="32"/>
          <w:lang w:val="en-US" w:eastAsia="zh-CN" w:bidi="ar-SA"/>
          <w:highlight w:val="auto"/>
        </w:rPr>
        <w:t>02</w:t>
      </w:r>
      <w:r>
        <w:rPr>
          <w:rFonts w:ascii="Times New Roman" w:eastAsia="仿宋_GB2312" w:cs="仿宋_GB2312" w:hAnsi="Times New Roman" w:hint="eastAsia"/>
          <w:color w:val="auto"/>
          <w:kern w:val="2"/>
          <w:sz w:val="32"/>
          <w:szCs w:val="32"/>
          <w:lang w:val="en-US" w:eastAsia="zh-CN" w:bidi="ar-SA"/>
          <w:highlight w:val="auto"/>
        </w:rPr>
        <w:t>（项）: 支出决算为</w:t>
      </w:r>
      <w:r>
        <w:rPr>
          <w:rFonts w:ascii="Times New Roman" w:eastAsia="仿宋_GB2312" w:cs="仿宋_GB2312" w:hAnsi="Times New Roman"/>
          <w:color w:val="auto"/>
          <w:kern w:val="2"/>
          <w:sz w:val="32"/>
          <w:szCs w:val="32"/>
          <w:lang w:val="en-US" w:eastAsia="zh-CN" w:bidi="ar-SA"/>
        </w:rPr>
        <w:t>3931.46</w:t>
      </w:r>
      <w:r>
        <w:rPr>
          <w:rFonts w:ascii="Times New Roman" w:eastAsia="仿宋_GB2312" w:cs="仿宋_GB2312" w:hAnsi="Times New Roman" w:hint="eastAsia"/>
          <w:color w:val="auto"/>
          <w:kern w:val="2"/>
          <w:sz w:val="32"/>
          <w:szCs w:val="32"/>
          <w:lang w:val="en-US" w:eastAsia="zh-CN" w:bidi="ar-SA"/>
          <w:highlight w:val="auto"/>
        </w:rPr>
        <w:t>万元，完成预算</w:t>
      </w:r>
      <w:r>
        <w:rPr>
          <w:rFonts w:ascii="Times New Roman" w:eastAsia="仿宋_GB2312" w:cs="仿宋_GB2312" w:hAnsi="Times New Roman"/>
          <w:color w:val="auto"/>
          <w:kern w:val="2"/>
          <w:sz w:val="32"/>
          <w:szCs w:val="32"/>
          <w:lang w:val="en-US" w:eastAsia="zh-CN" w:bidi="ar-SA"/>
          <w:highlight w:val="auto"/>
        </w:rPr>
        <w:t>100%</w:t>
      </w:r>
      <w:r>
        <w:rPr>
          <w:rFonts w:ascii="Times New Roman" w:eastAsia="仿宋_GB2312" w:cs="仿宋_GB2312" w:hAnsi="Times New Roman" w:hint="eastAsia"/>
          <w:color w:val="auto"/>
          <w:kern w:val="2"/>
          <w:sz w:val="32"/>
          <w:szCs w:val="32"/>
          <w:lang w:val="en-US" w:eastAsia="zh-CN" w:bidi="ar-SA"/>
          <w:highlight w:val="auto"/>
        </w:rPr>
        <w:t>，决算数小于/等于预算数的主要原因是</w:t>
      </w:r>
      <w:r>
        <w:rPr>
          <w:rFonts w:ascii="Times New Roman" w:eastAsia="仿宋_GB2312" w:cs="仿宋_GB2312" w:hAnsi="Times New Roman"/>
          <w:color w:val="auto"/>
          <w:kern w:val="2"/>
          <w:sz w:val="32"/>
          <w:szCs w:val="32"/>
          <w:lang w:val="en-US" w:eastAsia="zh-CN" w:bidi="ar-SA"/>
          <w:highlight w:val="auto"/>
        </w:rPr>
        <w:t>无</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3.科学技术（类）</w:t>
      </w:r>
      <w:r>
        <w:rPr>
          <w:rFonts w:ascii="Times New Roman" w:eastAsia="仿宋_GB2312" w:cs="仿宋_GB2312" w:hAnsi="Times New Roman"/>
          <w:color w:val="auto"/>
          <w:kern w:val="2"/>
          <w:sz w:val="32"/>
          <w:szCs w:val="32"/>
          <w:lang w:val="en-US" w:eastAsia="zh-CN" w:bidi="ar-SA"/>
          <w:highlight w:val="auto"/>
        </w:rPr>
        <w:t>00</w:t>
      </w:r>
      <w:r>
        <w:rPr>
          <w:rFonts w:ascii="Times New Roman" w:eastAsia="仿宋_GB2312" w:cs="仿宋_GB2312" w:hAnsi="Times New Roman" w:hint="eastAsia"/>
          <w:color w:val="auto"/>
          <w:kern w:val="2"/>
          <w:sz w:val="32"/>
          <w:szCs w:val="32"/>
          <w:lang w:val="en-US" w:eastAsia="zh-CN" w:bidi="ar-SA"/>
          <w:highlight w:val="auto"/>
        </w:rPr>
        <w:t>（款）</w:t>
      </w:r>
      <w:r>
        <w:rPr>
          <w:rFonts w:ascii="Times New Roman" w:eastAsia="仿宋_GB2312" w:cs="仿宋_GB2312" w:hAnsi="Times New Roman"/>
          <w:color w:val="auto"/>
          <w:kern w:val="2"/>
          <w:sz w:val="32"/>
          <w:szCs w:val="32"/>
          <w:lang w:val="en-US" w:eastAsia="zh-CN" w:bidi="ar-SA"/>
          <w:highlight w:val="auto"/>
        </w:rPr>
        <w:t>00</w:t>
      </w:r>
      <w:r>
        <w:rPr>
          <w:rFonts w:ascii="Times New Roman" w:eastAsia="仿宋_GB2312" w:cs="仿宋_GB2312" w:hAnsi="Times New Roman" w:hint="eastAsia"/>
          <w:color w:val="auto"/>
          <w:kern w:val="2"/>
          <w:sz w:val="32"/>
          <w:szCs w:val="32"/>
          <w:lang w:val="en-US" w:eastAsia="zh-CN" w:bidi="ar-SA"/>
          <w:highlight w:val="auto"/>
        </w:rPr>
        <w:t>（项）</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支出决算为</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万元，完成预算</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%，决算数小于/等于预算数的主要原因是</w:t>
      </w:r>
      <w:r>
        <w:rPr>
          <w:rFonts w:ascii="Times New Roman" w:eastAsia="仿宋_GB2312" w:cs="仿宋_GB2312" w:hAnsi="Times New Roman"/>
          <w:color w:val="auto"/>
          <w:kern w:val="2"/>
          <w:sz w:val="32"/>
          <w:szCs w:val="32"/>
          <w:lang w:val="en-US" w:eastAsia="zh-CN" w:bidi="ar-SA"/>
          <w:highlight w:val="auto"/>
        </w:rPr>
        <w:t>无</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4.文化旅游体育与传媒（类）</w:t>
      </w:r>
      <w:r>
        <w:rPr>
          <w:rFonts w:ascii="Times New Roman" w:eastAsia="仿宋_GB2312" w:cs="仿宋_GB2312" w:hAnsi="Times New Roman"/>
          <w:color w:val="auto"/>
          <w:kern w:val="2"/>
          <w:sz w:val="32"/>
          <w:szCs w:val="32"/>
          <w:lang w:val="en-US" w:eastAsia="zh-CN" w:bidi="ar-SA"/>
          <w:highlight w:val="auto"/>
        </w:rPr>
        <w:t>00</w:t>
      </w:r>
      <w:r>
        <w:rPr>
          <w:rFonts w:ascii="Times New Roman" w:eastAsia="仿宋_GB2312" w:cs="仿宋_GB2312" w:hAnsi="Times New Roman" w:hint="eastAsia"/>
          <w:color w:val="auto"/>
          <w:kern w:val="2"/>
          <w:sz w:val="32"/>
          <w:szCs w:val="32"/>
          <w:lang w:val="en-US" w:eastAsia="zh-CN" w:bidi="ar-SA"/>
          <w:highlight w:val="auto"/>
        </w:rPr>
        <w:t>（款）</w:t>
      </w:r>
      <w:r>
        <w:rPr>
          <w:rFonts w:ascii="Times New Roman" w:eastAsia="仿宋_GB2312" w:cs="仿宋_GB2312" w:hAnsi="Times New Roman"/>
          <w:color w:val="auto"/>
          <w:kern w:val="2"/>
          <w:sz w:val="32"/>
          <w:szCs w:val="32"/>
          <w:lang w:val="en-US" w:eastAsia="zh-CN" w:bidi="ar-SA"/>
          <w:highlight w:val="auto"/>
        </w:rPr>
        <w:t>00</w:t>
      </w:r>
      <w:r>
        <w:rPr>
          <w:rFonts w:ascii="Times New Roman" w:eastAsia="仿宋_GB2312" w:cs="仿宋_GB2312" w:hAnsi="Times New Roman" w:hint="eastAsia"/>
          <w:color w:val="auto"/>
          <w:kern w:val="2"/>
          <w:sz w:val="32"/>
          <w:szCs w:val="32"/>
          <w:lang w:val="en-US" w:eastAsia="zh-CN" w:bidi="ar-SA"/>
          <w:highlight w:val="auto"/>
        </w:rPr>
        <w:t>（项）</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支出决算为</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万元，完成预算</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%，决算数小于/等于预算数的主要原因是</w:t>
      </w:r>
      <w:r>
        <w:rPr>
          <w:rFonts w:ascii="Times New Roman" w:eastAsia="仿宋_GB2312" w:cs="仿宋_GB2312" w:hAnsi="Times New Roman"/>
          <w:color w:val="auto"/>
          <w:kern w:val="2"/>
          <w:sz w:val="32"/>
          <w:szCs w:val="32"/>
          <w:lang w:val="en-US" w:eastAsia="zh-CN" w:bidi="ar-SA"/>
          <w:highlight w:val="auto"/>
        </w:rPr>
        <w:t>无</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5.社会保障和就业（类）</w:t>
      </w:r>
      <w:r>
        <w:rPr>
          <w:rFonts w:ascii="Times New Roman" w:eastAsia="仿宋_GB2312" w:cs="仿宋_GB2312" w:hAnsi="Times New Roman"/>
          <w:color w:val="auto"/>
          <w:kern w:val="2"/>
          <w:sz w:val="32"/>
          <w:szCs w:val="32"/>
          <w:lang w:val="en-US" w:eastAsia="zh-CN" w:bidi="ar-SA"/>
          <w:highlight w:val="auto"/>
        </w:rPr>
        <w:t>208</w:t>
      </w:r>
      <w:r>
        <w:rPr>
          <w:rFonts w:ascii="Times New Roman" w:eastAsia="仿宋_GB2312" w:cs="仿宋_GB2312" w:hAnsi="Times New Roman" w:hint="eastAsia"/>
          <w:color w:val="auto"/>
          <w:kern w:val="2"/>
          <w:sz w:val="32"/>
          <w:szCs w:val="32"/>
          <w:lang w:val="en-US" w:eastAsia="zh-CN" w:bidi="ar-SA"/>
          <w:highlight w:val="auto"/>
        </w:rPr>
        <w:t>（款）</w:t>
      </w:r>
      <w:r>
        <w:rPr>
          <w:rFonts w:ascii="Times New Roman" w:eastAsia="仿宋_GB2312" w:cs="仿宋_GB2312" w:hAnsi="Times New Roman"/>
          <w:color w:val="auto"/>
          <w:kern w:val="2"/>
          <w:sz w:val="32"/>
          <w:szCs w:val="32"/>
          <w:lang w:val="en-US" w:eastAsia="zh-CN" w:bidi="ar-SA"/>
          <w:highlight w:val="auto"/>
        </w:rPr>
        <w:t>05</w:t>
      </w:r>
      <w:r>
        <w:rPr>
          <w:rFonts w:ascii="Times New Roman" w:eastAsia="仿宋_GB2312" w:cs="仿宋_GB2312" w:hAnsi="Times New Roman" w:hint="eastAsia"/>
          <w:color w:val="auto"/>
          <w:kern w:val="2"/>
          <w:sz w:val="32"/>
          <w:szCs w:val="32"/>
          <w:lang w:val="en-US" w:eastAsia="zh-CN" w:bidi="ar-SA"/>
          <w:highlight w:val="auto"/>
        </w:rPr>
        <w:t>（项）</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支出决算为</w:t>
      </w:r>
      <w:r>
        <w:rPr>
          <w:rFonts w:ascii="Times New Roman" w:eastAsia="仿宋_GB2312" w:cs="仿宋_GB2312" w:hAnsi="Times New Roman"/>
          <w:color w:val="auto"/>
          <w:kern w:val="2"/>
          <w:sz w:val="32"/>
          <w:szCs w:val="32"/>
          <w:lang w:val="en-US" w:eastAsia="zh-CN" w:bidi="ar-SA"/>
        </w:rPr>
        <w:t>501.86</w:t>
      </w:r>
      <w:r>
        <w:rPr>
          <w:rFonts w:ascii="Times New Roman" w:eastAsia="仿宋_GB2312" w:cs="仿宋_GB2312" w:hAnsi="Times New Roman" w:hint="eastAsia"/>
          <w:color w:val="auto"/>
          <w:kern w:val="2"/>
          <w:sz w:val="32"/>
          <w:szCs w:val="32"/>
          <w:lang w:val="en-US" w:eastAsia="zh-CN" w:bidi="ar-SA"/>
          <w:highlight w:val="auto"/>
        </w:rPr>
        <w:t>万元，完成预算</w:t>
      </w:r>
      <w:r>
        <w:rPr>
          <w:rFonts w:ascii="Times New Roman" w:eastAsia="仿宋_GB2312" w:cs="仿宋_GB2312" w:hAnsi="Times New Roman"/>
          <w:color w:val="auto"/>
          <w:kern w:val="2"/>
          <w:sz w:val="32"/>
          <w:szCs w:val="32"/>
          <w:lang w:val="en-US" w:eastAsia="zh-CN" w:bidi="ar-SA"/>
          <w:highlight w:val="auto"/>
        </w:rPr>
        <w:t>100</w:t>
      </w:r>
      <w:r>
        <w:rPr>
          <w:rFonts w:ascii="Times New Roman" w:eastAsia="仿宋_GB2312" w:cs="仿宋_GB2312" w:hAnsi="Times New Roman" w:hint="eastAsia"/>
          <w:color w:val="auto"/>
          <w:kern w:val="2"/>
          <w:sz w:val="32"/>
          <w:szCs w:val="32"/>
          <w:lang w:val="en-US" w:eastAsia="zh-CN" w:bidi="ar-SA"/>
          <w:highlight w:val="auto"/>
        </w:rPr>
        <w:t>%，决算数小于/等于预算数的主要原因是</w:t>
      </w:r>
      <w:r>
        <w:rPr>
          <w:rFonts w:ascii="Times New Roman" w:eastAsia="仿宋_GB2312" w:cs="仿宋_GB2312" w:hAnsi="Times New Roman"/>
          <w:color w:val="auto"/>
          <w:kern w:val="2"/>
          <w:sz w:val="32"/>
          <w:szCs w:val="32"/>
          <w:lang w:val="en-US" w:eastAsia="zh-CN" w:bidi="ar-SA"/>
          <w:highlight w:val="auto"/>
        </w:rPr>
        <w:t>无</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6.卫生健康（类）</w:t>
      </w:r>
      <w:r>
        <w:rPr>
          <w:rFonts w:ascii="Times New Roman" w:eastAsia="仿宋_GB2312" w:cs="仿宋_GB2312" w:hAnsi="Times New Roman"/>
          <w:color w:val="auto"/>
          <w:kern w:val="2"/>
          <w:sz w:val="32"/>
          <w:szCs w:val="32"/>
          <w:lang w:val="en-US" w:eastAsia="zh-CN" w:bidi="ar-SA"/>
          <w:highlight w:val="auto"/>
        </w:rPr>
        <w:t>210</w:t>
      </w:r>
      <w:r>
        <w:rPr>
          <w:rFonts w:ascii="Times New Roman" w:eastAsia="仿宋_GB2312" w:cs="仿宋_GB2312" w:hAnsi="Times New Roman" w:hint="eastAsia"/>
          <w:color w:val="auto"/>
          <w:kern w:val="2"/>
          <w:sz w:val="32"/>
          <w:szCs w:val="32"/>
          <w:lang w:val="en-US" w:eastAsia="zh-CN" w:bidi="ar-SA"/>
          <w:highlight w:val="auto"/>
        </w:rPr>
        <w:t>（款）</w:t>
      </w:r>
      <w:r>
        <w:rPr>
          <w:rFonts w:ascii="Times New Roman" w:eastAsia="仿宋_GB2312" w:cs="仿宋_GB2312" w:hAnsi="Times New Roman"/>
          <w:color w:val="auto"/>
          <w:kern w:val="2"/>
          <w:sz w:val="32"/>
          <w:szCs w:val="32"/>
          <w:lang w:val="en-US" w:eastAsia="zh-CN" w:bidi="ar-SA"/>
          <w:highlight w:val="auto"/>
        </w:rPr>
        <w:t>11</w:t>
      </w:r>
      <w:r>
        <w:rPr>
          <w:rFonts w:ascii="Times New Roman" w:eastAsia="仿宋_GB2312" w:cs="仿宋_GB2312" w:hAnsi="Times New Roman" w:hint="eastAsia"/>
          <w:color w:val="auto"/>
          <w:kern w:val="2"/>
          <w:sz w:val="32"/>
          <w:szCs w:val="32"/>
          <w:lang w:val="en-US" w:eastAsia="zh-CN" w:bidi="ar-SA"/>
          <w:highlight w:val="auto"/>
        </w:rPr>
        <w:t>（项）</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支出决算为</w:t>
      </w:r>
      <w:r>
        <w:rPr>
          <w:rFonts w:ascii="Times New Roman" w:eastAsia="仿宋_GB2312" w:cs="仿宋_GB2312" w:hAnsi="Times New Roman"/>
          <w:color w:val="auto"/>
          <w:kern w:val="2"/>
          <w:sz w:val="32"/>
          <w:szCs w:val="32"/>
          <w:lang w:val="en-US" w:eastAsia="zh-CN" w:bidi="ar-SA"/>
        </w:rPr>
        <w:t>239.08</w:t>
      </w:r>
      <w:r>
        <w:rPr>
          <w:rFonts w:ascii="Times New Roman" w:eastAsia="仿宋_GB2312" w:cs="仿宋_GB2312" w:hAnsi="Times New Roman" w:hint="eastAsia"/>
          <w:color w:val="auto"/>
          <w:kern w:val="2"/>
          <w:sz w:val="32"/>
          <w:szCs w:val="32"/>
          <w:lang w:val="en-US" w:eastAsia="zh-CN" w:bidi="ar-SA"/>
          <w:highlight w:val="auto"/>
        </w:rPr>
        <w:t>万元，完成预算</w:t>
      </w:r>
      <w:r>
        <w:rPr>
          <w:rFonts w:ascii="Times New Roman" w:eastAsia="仿宋_GB2312" w:cs="仿宋_GB2312" w:hAnsi="Times New Roman"/>
          <w:color w:val="auto"/>
          <w:kern w:val="2"/>
          <w:sz w:val="32"/>
          <w:szCs w:val="32"/>
          <w:lang w:val="en-US" w:eastAsia="zh-CN" w:bidi="ar-SA"/>
          <w:highlight w:val="auto"/>
        </w:rPr>
        <w:t>100</w:t>
      </w:r>
      <w:r>
        <w:rPr>
          <w:rFonts w:ascii="Times New Roman" w:eastAsia="仿宋_GB2312" w:cs="仿宋_GB2312" w:hAnsi="Times New Roman" w:hint="eastAsia"/>
          <w:color w:val="auto"/>
          <w:kern w:val="2"/>
          <w:sz w:val="32"/>
          <w:szCs w:val="32"/>
          <w:lang w:val="en-US" w:eastAsia="zh-CN" w:bidi="ar-SA"/>
          <w:highlight w:val="auto"/>
        </w:rPr>
        <w:t>%，决算数小于/等于预算数的主要原因是</w:t>
      </w:r>
      <w:r>
        <w:rPr>
          <w:rFonts w:ascii="Times New Roman" w:eastAsia="仿宋_GB2312" w:cs="仿宋_GB2312" w:hAnsi="Times New Roman"/>
          <w:color w:val="auto"/>
          <w:kern w:val="2"/>
          <w:sz w:val="32"/>
          <w:szCs w:val="32"/>
          <w:lang w:val="en-US" w:eastAsia="zh-CN" w:bidi="ar-SA"/>
          <w:highlight w:val="auto"/>
        </w:rPr>
        <w:t>无</w:t>
      </w:r>
    </w:p>
    <w:p>
      <w:pPr>
        <w:spacing w:line="600" w:lineRule="exact"/>
        <w:ind w:firstLine="640"/>
        <w:rPr>
          <w:rFonts w:ascii="Times New Roman" w:eastAsia="仿宋_GB2312" w:cs="仿宋_GB2312" w:hAnsi="Times New Roman"/>
          <w:color w:val="auto"/>
          <w:kern w:val="2"/>
          <w:sz w:val="32"/>
          <w:szCs w:val="32"/>
          <w:lang w:val="en-US" w:eastAsia="zh-CN" w:bidi="ar-SA"/>
          <w:highlight w:val="auto"/>
        </w:rPr>
      </w:pPr>
      <w:r>
        <w:rPr>
          <w:rFonts w:ascii="Times New Roman" w:eastAsia="仿宋_GB2312" w:cs="仿宋_GB2312" w:hAnsi="Times New Roman"/>
          <w:color w:val="auto"/>
          <w:kern w:val="2"/>
          <w:sz w:val="32"/>
          <w:szCs w:val="32"/>
          <w:lang w:val="en-US" w:eastAsia="zh-CN" w:bidi="ar-SA"/>
          <w:highlight w:val="auto"/>
        </w:rPr>
        <w:t>7.</w:t>
      </w:r>
      <w:r>
        <w:rPr>
          <w:rFonts w:ascii="Times New Roman" w:eastAsia="仿宋_GB2312" w:cs="仿宋_GB2312" w:hAnsi="Times New Roman" w:hint="eastAsia"/>
          <w:color w:val="auto"/>
          <w:kern w:val="2"/>
          <w:sz w:val="32"/>
          <w:szCs w:val="32"/>
          <w:lang w:val="en-US" w:eastAsia="zh-CN" w:bidi="ar-SA"/>
          <w:highlight w:val="auto"/>
        </w:rPr>
        <w:t>住房保障</w:t>
      </w:r>
      <w:r>
        <w:rPr>
          <w:rFonts w:ascii="Times New Roman" w:eastAsia="仿宋_GB2312" w:cs="仿宋_GB2312" w:hAnsi="Times New Roman"/>
          <w:color w:val="auto"/>
          <w:kern w:val="2"/>
          <w:sz w:val="32"/>
          <w:szCs w:val="32"/>
          <w:lang w:val="en-US" w:eastAsia="zh-CN" w:bidi="ar-SA"/>
          <w:highlight w:val="auto"/>
        </w:rPr>
        <w:t>（类）221（款）02（项）</w:t>
      </w:r>
      <w:r>
        <w:rPr>
          <w:rFonts w:ascii="Times New Roman" w:eastAsia="仿宋_GB2312" w:cs="仿宋_GB2312" w:hAnsi="Times New Roman" w:hint="eastAsia"/>
          <w:color w:val="auto"/>
          <w:kern w:val="2"/>
          <w:sz w:val="32"/>
          <w:szCs w:val="32"/>
          <w:lang w:val="en-US" w:eastAsia="zh-CN" w:bidi="ar-SA"/>
          <w:highlight w:val="auto"/>
        </w:rPr>
        <w:t>支出决算为</w:t>
      </w:r>
      <w:r>
        <w:rPr>
          <w:rFonts w:ascii="Times New Roman" w:eastAsia="仿宋_GB2312" w:cs="仿宋_GB2312" w:hAnsi="Times New Roman"/>
          <w:color w:val="auto"/>
          <w:kern w:val="2"/>
          <w:sz w:val="32"/>
          <w:szCs w:val="32"/>
          <w:lang w:val="en-US" w:eastAsia="zh-CN" w:bidi="ar-SA"/>
        </w:rPr>
        <w:t>274.28</w:t>
      </w:r>
      <w:r>
        <w:rPr>
          <w:rFonts w:ascii="Times New Roman" w:eastAsia="仿宋_GB2312" w:cs="仿宋_GB2312" w:hAnsi="Times New Roman" w:hint="eastAsia"/>
          <w:color w:val="auto"/>
          <w:kern w:val="2"/>
          <w:sz w:val="32"/>
          <w:szCs w:val="32"/>
          <w:lang w:val="en-US" w:eastAsia="zh-CN" w:bidi="ar-SA"/>
          <w:highlight w:val="auto"/>
        </w:rPr>
        <w:t>万元，完成预算</w:t>
      </w:r>
      <w:r>
        <w:rPr>
          <w:rFonts w:ascii="Times New Roman" w:eastAsia="仿宋_GB2312" w:cs="仿宋_GB2312" w:hAnsi="Times New Roman"/>
          <w:color w:val="auto"/>
          <w:kern w:val="2"/>
          <w:sz w:val="32"/>
          <w:szCs w:val="32"/>
          <w:lang w:val="en-US" w:eastAsia="zh-CN" w:bidi="ar-SA"/>
          <w:highlight w:val="auto"/>
        </w:rPr>
        <w:t>100</w:t>
      </w:r>
      <w:r>
        <w:rPr>
          <w:rFonts w:ascii="Times New Roman" w:eastAsia="仿宋_GB2312" w:cs="仿宋_GB2312" w:hAnsi="Times New Roman" w:hint="eastAsia"/>
          <w:color w:val="auto"/>
          <w:kern w:val="2"/>
          <w:sz w:val="32"/>
          <w:szCs w:val="32"/>
          <w:lang w:val="en-US" w:eastAsia="zh-CN" w:bidi="ar-SA"/>
          <w:highlight w:val="auto"/>
        </w:rPr>
        <w:t>%</w:t>
      </w:r>
    </w:p>
    <w:p>
      <w:pPr>
        <w:spacing w:line="600" w:lineRule="exact"/>
        <w:ind w:firstLine="640"/>
        <w:rPr>
          <w:rFonts w:ascii="Times New Roman" w:eastAsia="仿宋_GB2312" w:cs="仿宋_GB2312" w:hAnsi="Times New Roman" w:hint="eastAsia"/>
          <w:b/>
          <w:bCs/>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（注：仅罗列本部门涉及的全部功能分类科目，至项级。上述“预算”口径为全年预算数。增减变动原因为决算数&lt;项级&gt;和全年预算数&lt;项级&gt;比较，与预算数持平可以不写原因）</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tabs>
          <w:tab w:val="right" w:pos="8306"/>
        </w:tabs>
        <w:spacing w:line="600" w:lineRule="exact"/>
        <w:ind w:firstLine="640"/>
        <w:outlineLvl w:val="1"/>
        <w:rPr>
          <w:rStyle w:val="2Char"/>
          <w:rFonts w:ascii="Times New Roman" w:hAnsi="Times New Roman"/>
          <w:color w:val="auto"/>
          <w:highlight w:val="auto"/>
        </w:rPr>
      </w:pPr>
      <w:bookmarkStart w:id="36" w:name="_Toc15396608"/>
      <w:bookmarkStart w:id="37" w:name="_Toc15377214"/>
      <w:r>
        <w:rPr>
          <w:rFonts w:ascii="Times New Roman" w:eastAsia="黑体" w:hAnsi="Times New Roman" w:hint="eastAsia"/>
          <w:color w:val="auto"/>
          <w:sz w:val="32"/>
          <w:szCs w:val="32"/>
          <w:highlight w:val="auto"/>
        </w:rPr>
        <w:t>六</w:t>
      </w:r>
      <w:r>
        <w:rPr>
          <w:rFonts w:ascii="Times New Roman" w:eastAsia="黑体" w:hAnsi="Times New Roman" w:hint="eastAsia"/>
          <w:b/>
          <w:color w:val="auto"/>
          <w:sz w:val="32"/>
          <w:szCs w:val="32"/>
          <w:highlight w:val="auto"/>
        </w:rPr>
        <w:t>、一</w:t>
      </w:r>
      <w:r>
        <w:rPr>
          <w:rStyle w:val="2Char"/>
          <w:rFonts w:ascii="Times New Roman" w:eastAsia="黑体" w:hAnsi="Times New Roman" w:hint="eastAsia"/>
          <w:b w:val="0"/>
          <w:color w:val="auto"/>
          <w:highlight w:val="auto"/>
        </w:rPr>
        <w:t>般公共预算财政拨款基本支出决算情况说明</w:t>
      </w:r>
      <w:bookmarkEnd w:id="36"/>
      <w:bookmarkEnd w:id="37"/>
      <w:r>
        <w:rPr>
          <w:rStyle w:val="2Char"/>
          <w:rFonts w:ascii="Times New Roman" w:eastAsia="黑体" w:hAnsi="Times New Roman"/>
          <w:b w:val="0"/>
          <w:color w:val="auto"/>
          <w:highlight w:val="auto"/>
        </w:rPr>
        <w:tab/>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2024年度一般公共预算财政拨款基本支出</w:t>
      </w:r>
      <w:r>
        <w:rPr>
          <w:rFonts w:ascii="仿宋_GB2312" w:eastAsia="仿宋_GB2312" w:cs="仿宋_GB2312" w:hint="eastAsia"/>
          <w:sz w:val="32"/>
          <w:szCs w:val="32"/>
        </w:rPr>
        <w:t>4087.05</w:t>
      </w:r>
      <w:r>
        <w:rPr>
          <w:rFonts w:ascii="仿宋_GB2312" w:eastAsia="仿宋_GB2312" w:cs="仿宋_GB2312" w:hint="eastAsia"/>
          <w:color w:val="auto"/>
          <w:kern w:val="2"/>
          <w:sz w:val="32"/>
          <w:szCs w:val="32"/>
          <w:lang w:val="en-US" w:eastAsia="zh-CN" w:bidi="ar-SA"/>
          <w:highlight w:val="auto"/>
        </w:rPr>
        <w:t>万</w:t>
      </w:r>
      <w:r>
        <w:rPr>
          <w:rFonts w:ascii="Times New Roman" w:eastAsia="仿宋_GB2312" w:cs="仿宋_GB2312" w:hAnsi="Times New Roman" w:hint="eastAsia"/>
          <w:color w:val="auto"/>
          <w:kern w:val="2"/>
          <w:sz w:val="32"/>
          <w:szCs w:val="32"/>
          <w:lang w:val="en-US" w:eastAsia="zh-CN" w:bidi="ar-SA"/>
          <w:highlight w:val="auto"/>
        </w:rPr>
        <w:t>元，其中：</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人员经费</w:t>
      </w:r>
      <w:r>
        <w:rPr>
          <w:rFonts w:ascii="仿宋_GB2312" w:eastAsia="仿宋_GB2312" w:cs="仿宋_GB2312" w:hint="eastAsia"/>
          <w:sz w:val="32"/>
          <w:szCs w:val="32"/>
        </w:rPr>
        <w:t>3743.1</w:t>
      </w:r>
      <w:r>
        <w:rPr>
          <w:rFonts w:ascii="仿宋_GB2312" w:eastAsia="仿宋_GB2312" w:cs="仿宋_GB2312" w:hint="eastAsia"/>
          <w:color w:val="auto"/>
          <w:kern w:val="2"/>
          <w:sz w:val="32"/>
          <w:szCs w:val="32"/>
          <w:lang w:val="en-US" w:eastAsia="zh-CN" w:bidi="ar-SA"/>
          <w:highlight w:val="auto"/>
        </w:rPr>
        <w:t>万</w:t>
      </w:r>
      <w:r>
        <w:rPr>
          <w:rFonts w:ascii="Times New Roman" w:eastAsia="仿宋_GB2312" w:cs="仿宋_GB2312" w:hAnsi="Times New Roman" w:hint="eastAsia"/>
          <w:color w:val="auto"/>
          <w:kern w:val="2"/>
          <w:sz w:val="32"/>
          <w:szCs w:val="32"/>
          <w:lang w:val="en-US" w:eastAsia="zh-CN" w:bidi="ar-SA"/>
          <w:highlight w:val="auto"/>
        </w:rPr>
        <w:t>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br/>
        <w:t>　　公用经费</w:t>
      </w:r>
      <w:r>
        <w:rPr>
          <w:rFonts w:ascii="仿宋_GB2312" w:eastAsia="仿宋_GB2312" w:cs="仿宋_GB2312" w:hint="eastAsia"/>
          <w:sz w:val="32"/>
          <w:szCs w:val="32"/>
        </w:rPr>
        <w:t>343.94</w:t>
      </w:r>
      <w:r>
        <w:rPr>
          <w:rFonts w:ascii="仿宋_GB2312" w:eastAsia="仿宋_GB2312" w:cs="仿宋_GB2312" w:hint="eastAsia"/>
          <w:color w:val="auto"/>
          <w:kern w:val="2"/>
          <w:sz w:val="32"/>
          <w:szCs w:val="32"/>
          <w:lang w:val="en-US" w:eastAsia="zh-CN" w:bidi="ar-SA"/>
          <w:highlight w:val="auto"/>
        </w:rPr>
        <w:t>万</w:t>
      </w:r>
      <w:r>
        <w:rPr>
          <w:rFonts w:ascii="Times New Roman" w:eastAsia="仿宋_GB2312" w:cs="仿宋_GB2312" w:hAnsi="Times New Roman" w:hint="eastAsia"/>
          <w:color w:val="auto"/>
          <w:kern w:val="2"/>
          <w:sz w:val="32"/>
          <w:szCs w:val="32"/>
          <w:lang w:val="en-US" w:eastAsia="zh-CN" w:bidi="ar-SA"/>
          <w:highlight w:val="auto"/>
        </w:rPr>
        <w:t>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pPr>
        <w:spacing w:line="600" w:lineRule="exact"/>
        <w:ind w:firstLine="640"/>
        <w:rPr>
          <w:rFonts w:ascii="Times New Roman" w:eastAsia="仿宋_GB2312" w:cs="仿宋_GB2312" w:hAnsi="Times New Roman" w:hint="eastAsia"/>
          <w:b/>
          <w:bCs/>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（注：仅罗列本部门实际支出涉及的经济分类科目）</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firstLine="640"/>
        <w:outlineLvl w:val="1"/>
        <w:rPr>
          <w:rStyle w:val="2Char"/>
          <w:rFonts w:ascii="Times New Roman" w:eastAsia="黑体" w:hAnsi="Times New Roman"/>
          <w:b w:val="0"/>
          <w:color w:val="auto"/>
          <w:highlight w:val="auto"/>
        </w:rPr>
      </w:pPr>
      <w:bookmarkStart w:id="38" w:name="_Toc15396609"/>
      <w:bookmarkStart w:id="39" w:name="_Toc15377215"/>
      <w:r>
        <w:rPr>
          <w:rFonts w:ascii="Times New Roman" w:eastAsia="黑体" w:hAnsi="Times New Roman" w:hint="eastAsia"/>
          <w:color w:val="auto"/>
          <w:sz w:val="32"/>
          <w:szCs w:val="32"/>
          <w:highlight w:val="auto"/>
        </w:rPr>
        <w:t>七、</w:t>
      </w:r>
      <w:r>
        <w:rPr>
          <w:rStyle w:val="2Char"/>
          <w:rFonts w:ascii="Times New Roman" w:eastAsia="黑体" w:hAnsi="Times New Roman" w:hint="eastAsia"/>
          <w:b w:val="0"/>
          <w:color w:val="auto"/>
          <w:highlight w:val="auto"/>
        </w:rPr>
        <w:t>财政拨款</w:t>
      </w:r>
      <w:r>
        <w:rPr>
          <w:rStyle w:val="2Char"/>
          <w:rFonts w:ascii="Times New Roman" w:eastAsia="黑体" w:hAnsi="Times New Roman" w:hint="eastAsia"/>
          <w:color w:val="auto"/>
          <w:highlight w:val="auto"/>
        </w:rPr>
        <w:t>“</w:t>
      </w:r>
      <w:r>
        <w:rPr>
          <w:rStyle w:val="2Char"/>
          <w:rFonts w:ascii="Times New Roman" w:eastAsia="黑体" w:hAnsi="Times New Roman" w:hint="eastAsia"/>
          <w:b w:val="0"/>
          <w:color w:val="auto"/>
          <w:highlight w:val="auto"/>
        </w:rPr>
        <w:t>三公”经费支出决算情况说明</w:t>
      </w:r>
      <w:bookmarkEnd w:id="38"/>
      <w:bookmarkEnd w:id="39"/>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40" w:name="_Toc15377216"/>
      <w:r>
        <w:rPr>
          <w:rFonts w:ascii="Times New Roman" w:eastAsia="楷体_GB2312" w:cs="楷体_GB2312" w:hAnsi="Times New Roman" w:hint="eastAsia"/>
          <w:b/>
          <w:color w:val="auto"/>
          <w:sz w:val="32"/>
          <w:szCs w:val="32"/>
          <w:highlight w:val="auto"/>
        </w:rPr>
        <w:t>（一）“三公”经费财政拨款支出决算总体情况说明</w:t>
      </w:r>
      <w:bookmarkEnd w:id="40"/>
    </w:p>
    <w:p>
      <w:pPr>
        <w:spacing w:line="600" w:lineRule="exact"/>
        <w:ind w:firstLine="640"/>
        <w:rPr>
          <w:rFonts w:ascii="Times New Roman" w:eastAsia="仿宋_GB2312" w:cs="仿宋_GB2312" w:hAnsi="Times New Roman"/>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2024年度“三公”经费财政拨款支出决算为</w:t>
      </w:r>
      <w:r>
        <w:rPr>
          <w:rFonts w:ascii="仿宋_GB2312" w:eastAsia="仿宋_GB2312" w:cs="仿宋_GB2312" w:hint="eastAsia"/>
          <w:sz w:val="32"/>
          <w:szCs w:val="32"/>
        </w:rPr>
        <w:t>75.54</w:t>
      </w:r>
      <w:r>
        <w:rPr>
          <w:rFonts w:ascii="仿宋_GB2312" w:eastAsia="仿宋_GB2312" w:cs="仿宋_GB2312" w:hint="eastAsia"/>
          <w:color w:val="auto"/>
          <w:kern w:val="2"/>
          <w:sz w:val="32"/>
          <w:szCs w:val="32"/>
          <w:lang w:val="en-US" w:eastAsia="zh-CN" w:bidi="ar-SA"/>
          <w:highlight w:val="auto"/>
        </w:rPr>
        <w:t>万元，完成预算</w:t>
      </w:r>
      <w:r>
        <w:rPr>
          <w:rFonts w:ascii="仿宋_GB2312" w:eastAsia="仿宋_GB2312" w:cs="仿宋_GB2312" w:hint="eastAsia"/>
          <w:sz w:val="32"/>
          <w:szCs w:val="32"/>
        </w:rPr>
        <w:t>94.46</w:t>
      </w:r>
      <w:r>
        <w:rPr>
          <w:rFonts w:ascii="仿宋_GB2312"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较上年度增加</w:t>
      </w:r>
      <w:r>
        <w:rPr>
          <w:rFonts w:ascii="Times New Roman" w:eastAsia="仿宋_GB2312" w:cs="仿宋_GB2312" w:hAnsi="Times New Roman"/>
          <w:color w:val="auto"/>
          <w:kern w:val="2"/>
          <w:sz w:val="32"/>
          <w:szCs w:val="32"/>
          <w:lang w:val="en-US" w:eastAsia="zh-CN" w:bidi="ar-SA"/>
        </w:rPr>
        <w:t>55.92</w:t>
      </w:r>
      <w:r>
        <w:rPr>
          <w:rFonts w:ascii="Times New Roman" w:eastAsia="仿宋_GB2312" w:cs="仿宋_GB2312" w:hAnsi="Times New Roman" w:hint="eastAsia"/>
          <w:color w:val="auto"/>
          <w:kern w:val="2"/>
          <w:sz w:val="32"/>
          <w:szCs w:val="32"/>
          <w:lang w:val="en-US" w:eastAsia="zh-CN" w:bidi="ar-SA"/>
          <w:highlight w:val="auto"/>
        </w:rPr>
        <w:t>万元，增长</w:t>
      </w:r>
      <w:r>
        <w:rPr>
          <w:rFonts w:ascii="Times New Roman" w:eastAsia="仿宋_GB2312" w:cs="仿宋_GB2312" w:hAnsi="Times New Roman"/>
          <w:color w:val="auto"/>
          <w:kern w:val="2"/>
          <w:sz w:val="32"/>
          <w:szCs w:val="32"/>
          <w:lang w:val="en-US" w:eastAsia="zh-CN" w:bidi="ar-SA"/>
        </w:rPr>
        <w:t>285.12</w:t>
      </w:r>
      <w:r>
        <w:rPr>
          <w:rFonts w:ascii="Times New Roman" w:eastAsia="仿宋_GB2312" w:cs="仿宋_GB2312" w:hAnsi="Times New Roman" w:hint="eastAsia"/>
          <w:color w:val="auto"/>
          <w:kern w:val="2"/>
          <w:sz w:val="32"/>
          <w:szCs w:val="32"/>
          <w:lang w:val="en-US" w:eastAsia="zh-CN" w:bidi="ar-SA"/>
          <w:highlight w:val="auto"/>
        </w:rPr>
        <w:t>%。决算数</w:t>
      </w:r>
      <w:r>
        <w:rPr>
          <w:rFonts w:ascii="Times New Roman" w:eastAsia="仿宋_GB2312" w:cs="仿宋_GB2312" w:hAnsi="Times New Roman"/>
          <w:color w:val="auto"/>
          <w:kern w:val="2"/>
          <w:sz w:val="32"/>
          <w:szCs w:val="32"/>
          <w:lang w:val="en-US" w:eastAsia="zh-CN" w:bidi="ar-SA"/>
          <w:highlight w:val="auto"/>
        </w:rPr>
        <w:t>大于</w:t>
      </w:r>
      <w:r>
        <w:rPr>
          <w:rFonts w:ascii="Times New Roman" w:eastAsia="仿宋_GB2312" w:cs="仿宋_GB2312" w:hAnsi="Times New Roman" w:hint="eastAsia"/>
          <w:color w:val="auto"/>
          <w:kern w:val="2"/>
          <w:sz w:val="32"/>
          <w:szCs w:val="32"/>
          <w:lang w:val="en-US" w:eastAsia="zh-CN" w:bidi="ar-SA"/>
          <w:highlight w:val="auto"/>
        </w:rPr>
        <w:t>预算数（或与预算数持平）的主要原因是</w:t>
      </w:r>
      <w:r>
        <w:rPr>
          <w:rFonts w:ascii="Times New Roman" w:eastAsia="仿宋_GB2312" w:cs="仿宋_GB2312" w:hAnsi="Times New Roman"/>
          <w:color w:val="auto"/>
          <w:kern w:val="2"/>
          <w:sz w:val="32"/>
          <w:szCs w:val="32"/>
          <w:lang w:val="en-US" w:eastAsia="zh-CN" w:bidi="ar-SA"/>
          <w:highlight w:val="auto"/>
        </w:rPr>
        <w:t>2024年新购入一台公务用车。</w:t>
      </w:r>
    </w:p>
    <w:p>
      <w:pPr>
        <w:spacing w:line="600" w:lineRule="exact"/>
        <w:ind w:left="0"/>
        <w:rPr>
          <w:rFonts w:ascii="Times New Roman" w:eastAsia="仿宋_GB2312" w:cs="仿宋_GB2312" w:hAnsi="Times New Roman" w:hint="eastAsia"/>
          <w:b/>
          <w:bCs/>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（注：上述“预算”口径为全年预算数，包括一般公共预算和政府性基金预算财政拨款支出决算情况）</w:t>
      </w: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41" w:name="_Toc15377217"/>
      <w:r>
        <w:rPr>
          <w:rFonts w:ascii="Times New Roman" w:eastAsia="楷体_GB2312" w:cs="楷体_GB2312" w:hAnsi="Times New Roman" w:hint="eastAsia"/>
          <w:b/>
          <w:color w:val="auto"/>
          <w:sz w:val="32"/>
          <w:szCs w:val="32"/>
          <w:highlight w:val="auto"/>
        </w:rPr>
        <w:t>（二）“三公”经费财政拨款支出决算具体情况说明</w:t>
      </w:r>
      <w:bookmarkEnd w:id="41"/>
    </w:p>
    <w:p>
      <w:pPr>
        <w:spacing w:line="600" w:lineRule="exact"/>
        <w:ind w:firstLine="640"/>
        <w:rPr>
          <w:rFonts w:ascii="仿宋_GB2312" w:eastAsia="仿宋_GB2312" w:cs="仿宋_GB2312" w:hint="eastAsia"/>
          <w:color w:val="auto"/>
          <w:kern w:val="2"/>
          <w:sz w:val="32"/>
          <w:szCs w:val="32"/>
          <w:lang w:val="en-US" w:eastAsia="zh-CN" w:bidi="ar-SA"/>
          <w:highlight w:val="auto"/>
        </w:rPr>
      </w:pPr>
      <w:r>
        <w:rPr>
          <w:rFonts w:ascii="仿宋_GB2312" w:eastAsia="仿宋_GB2312" w:cs="仿宋_GB2312" w:hint="eastAsia"/>
          <w:color w:val="auto"/>
          <w:kern w:val="2"/>
          <w:sz w:val="32"/>
          <w:szCs w:val="32"/>
          <w:lang w:val="en-US" w:eastAsia="zh-CN" w:bidi="ar-SA"/>
          <w:highlight w:val="auto"/>
        </w:rPr>
        <w:t>2024年度“三公”经费财政拨款支出决算中，因公出国（境）费支出决算</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万元，占</w:t>
      </w:r>
      <w:r>
        <w:rPr>
          <w:rFonts w:ascii="仿宋_GB2312" w:eastAsia="仿宋_GB2312" w:cs="仿宋_GB2312"/>
          <w:color w:val="auto"/>
          <w:kern w:val="2"/>
          <w:sz w:val="32"/>
          <w:szCs w:val="32"/>
          <w:lang w:val="en-US" w:eastAsia="zh-CN" w:bidi="ar-SA"/>
          <w:highlight w:val="auto"/>
        </w:rPr>
        <w:t>0</w:t>
      </w:r>
      <w:r>
        <w:rPr>
          <w:rFonts w:ascii="仿宋_GB2312" w:eastAsia="仿宋_GB2312" w:cs="仿宋_GB2312" w:hint="eastAsia"/>
          <w:color w:val="auto"/>
          <w:kern w:val="2"/>
          <w:sz w:val="32"/>
          <w:szCs w:val="32"/>
          <w:lang w:val="en-US" w:eastAsia="zh-CN" w:bidi="ar-SA"/>
          <w:highlight w:val="auto"/>
        </w:rPr>
        <w:t>%；公务用车购置及运行维护费支出决算</w:t>
      </w:r>
      <w:r>
        <w:rPr>
          <w:rFonts w:ascii="仿宋_GB2312" w:eastAsia="仿宋_GB2312" w:cs="仿宋_GB2312" w:hint="eastAsia"/>
          <w:sz w:val="32"/>
          <w:szCs w:val="32"/>
        </w:rPr>
        <w:t>75.17</w:t>
      </w:r>
      <w:r>
        <w:rPr>
          <w:rFonts w:ascii="仿宋_GB2312" w:eastAsia="仿宋_GB2312" w:cs="仿宋_GB2312" w:hint="eastAsia"/>
          <w:color w:val="auto"/>
          <w:kern w:val="2"/>
          <w:sz w:val="32"/>
          <w:szCs w:val="32"/>
          <w:lang w:val="en-US" w:eastAsia="zh-CN" w:bidi="ar-SA"/>
          <w:highlight w:val="auto"/>
        </w:rPr>
        <w:t>万元，占</w:t>
      </w:r>
      <w:r>
        <w:rPr>
          <w:rFonts w:ascii="仿宋_GB2312" w:eastAsia="仿宋_GB2312" w:cs="仿宋_GB2312"/>
          <w:color w:val="auto"/>
          <w:kern w:val="2"/>
          <w:sz w:val="32"/>
          <w:szCs w:val="32"/>
          <w:lang w:val="en-US" w:eastAsia="zh-CN" w:bidi="ar-SA"/>
          <w:highlight w:val="auto"/>
        </w:rPr>
        <w:t>99.5</w:t>
      </w:r>
      <w:r>
        <w:rPr>
          <w:rFonts w:ascii="仿宋_GB2312" w:eastAsia="仿宋_GB2312" w:cs="仿宋_GB2312" w:hint="eastAsia"/>
          <w:color w:val="auto"/>
          <w:kern w:val="2"/>
          <w:sz w:val="32"/>
          <w:szCs w:val="32"/>
          <w:lang w:val="en-US" w:eastAsia="zh-CN" w:bidi="ar-SA"/>
          <w:highlight w:val="auto"/>
        </w:rPr>
        <w:t>%；公务接待费支出决算</w:t>
      </w:r>
      <w:r>
        <w:rPr>
          <w:rFonts w:ascii="仿宋_GB2312" w:eastAsia="仿宋_GB2312" w:cs="仿宋_GB2312" w:hint="eastAsia"/>
          <w:sz w:val="32"/>
          <w:szCs w:val="32"/>
        </w:rPr>
        <w:t>0.37</w:t>
      </w:r>
      <w:r>
        <w:rPr>
          <w:rFonts w:ascii="仿宋_GB2312" w:eastAsia="仿宋_GB2312" w:cs="仿宋_GB2312" w:hint="eastAsia"/>
          <w:color w:val="auto"/>
          <w:kern w:val="2"/>
          <w:sz w:val="32"/>
          <w:szCs w:val="32"/>
          <w:lang w:val="en-US" w:eastAsia="zh-CN" w:bidi="ar-SA"/>
          <w:highlight w:val="auto"/>
        </w:rPr>
        <w:t>万元，占</w:t>
      </w:r>
      <w:r>
        <w:rPr>
          <w:rFonts w:ascii="仿宋_GB2312" w:eastAsia="仿宋_GB2312" w:cs="仿宋_GB2312"/>
          <w:color w:val="auto"/>
          <w:kern w:val="2"/>
          <w:sz w:val="32"/>
          <w:szCs w:val="32"/>
          <w:lang w:val="en-US" w:eastAsia="zh-CN" w:bidi="ar-SA"/>
          <w:highlight w:val="auto"/>
        </w:rPr>
        <w:t>0.5</w:t>
      </w:r>
      <w:r>
        <w:rPr>
          <w:rFonts w:ascii="仿宋_GB2312" w:eastAsia="仿宋_GB2312" w:cs="仿宋_GB2312" w:hint="eastAsia"/>
          <w:color w:val="auto"/>
          <w:kern w:val="2"/>
          <w:sz w:val="32"/>
          <w:szCs w:val="32"/>
          <w:lang w:val="en-US" w:eastAsia="zh-CN" w:bidi="ar-SA"/>
          <w:highlight w:val="auto"/>
        </w:rPr>
        <w:t>%。具体情况如下：</w:t>
      </w:r>
    </w:p>
    <w:p>
      <w:pPr>
        <w:spacing w:line="600" w:lineRule="exact"/>
        <w:ind w:firstLine="640"/>
        <w:rPr>
          <w:rFonts w:ascii="Times New Roman" w:eastAsia="仿宋_GB2312" w:cs="仿宋_GB2312" w:hAnsi="Times New Roman"/>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（图7：“三公”经费财政拨款支出结构）（饼状图）</w:t>
      </w:r>
    </w:p>
    <w:p>
      <w:pPr>
        <w:pStyle w:val="15"/>
      </w:pPr>
    </w:p>
    <w:p>
      <w:pPr>
        <w:pStyle w:val="17"/>
      </w:pPr>
    </w:p>
    <w:p>
      <w:pPr>
        <w:pStyle w:val="17"/>
      </w:pPr>
      <w:r>
        <w:drawing>
          <wp:inline distT="0" distB="0" distL="85723" distR="85723">
            <wp:extent cx="4571929" cy="2743157"/>
            <wp:effectExtent l="0" t="0" r="1" b="1"/>
            <wp:docPr id="19" name="图片"/>
            <wp:cNvGraphicFramePr>
              <a:graphicFrameLocks noChangeAspect="1"/>
            </wp:cNvGraphicFramePr>
            <a:graphic>
              <a:graphicData uri="http://schemas.openxmlformats.org/drawingml/2006/picture">
                <pic:pic>
                  <pic:nvPicPr>
                    <pic:cNvPr id="21" name="图片 21"/>
                    <pic:cNvPicPr/>
                  </pic:nvPicPr>
                  <pic:blipFill>
                    <a:blip r:embed="rId10"/>
                    <a:stretch>
                      <a:fillRect/>
                    </a:stretch>
                  </pic:blipFill>
                  <pic:spPr>
                    <a:xfrm rot="0">
                      <a:off x="0" y="0"/>
                      <a:ext cx="4571929" cy="2743157"/>
                    </a:xfrm>
                    <a:prstGeom prst="rect"/>
                    <a:noFill/>
                    <a:ln w="9525" cmpd="sng" cap="flat">
                      <a:noFill/>
                      <a:prstDash val="solid"/>
                      <a:miter/>
                    </a:ln>
                  </pic:spPr>
                </pic:pic>
              </a:graphicData>
            </a:graphic>
          </wp:inline>
        </w:drawing>
      </w:r>
    </w:p>
    <w:p>
      <w:pPr>
        <w:pStyle w:val="17"/>
      </w:pPr>
    </w:p>
    <w:p>
      <w:pPr>
        <w:pStyle w:val="17"/>
        <w:rPr>
          <w:rFonts w:hint="eastAsia"/>
        </w:rPr>
      </w:pP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1.因公出国（境）经费支出</w:t>
      </w:r>
      <w:r>
        <w:rPr>
          <w:rFonts w:ascii="Times New Roman" w:eastAsia="仿宋_GB2312" w:cs="仿宋_GB2312" w:hAnsi="Times New Roman"/>
          <w:b/>
          <w:bCs/>
          <w:color w:val="auto"/>
          <w:kern w:val="2"/>
          <w:sz w:val="32"/>
          <w:szCs w:val="32"/>
          <w:lang w:val="en-US" w:eastAsia="zh-CN" w:bidi="ar-SA"/>
          <w:highlight w:val="auto"/>
        </w:rPr>
        <w:t>0</w:t>
      </w:r>
      <w:r>
        <w:rPr>
          <w:rFonts w:ascii="Times New Roman" w:eastAsia="仿宋_GB2312" w:cs="仿宋_GB2312" w:hAnsi="Times New Roman" w:hint="eastAsia"/>
          <w:b/>
          <w:bCs/>
          <w:color w:val="auto"/>
          <w:kern w:val="2"/>
          <w:sz w:val="32"/>
          <w:szCs w:val="32"/>
          <w:lang w:val="en-US" w:eastAsia="zh-CN" w:bidi="ar-SA"/>
          <w:highlight w:val="auto"/>
        </w:rPr>
        <w:t>万元，完成预算</w:t>
      </w:r>
      <w:r>
        <w:rPr>
          <w:rFonts w:ascii="Times New Roman" w:eastAsia="仿宋_GB2312" w:cs="仿宋_GB2312" w:hAnsi="Times New Roman"/>
          <w:b/>
          <w:bCs/>
          <w:color w:val="auto"/>
          <w:kern w:val="2"/>
          <w:sz w:val="32"/>
          <w:szCs w:val="32"/>
          <w:lang w:val="en-US" w:eastAsia="zh-CN" w:bidi="ar-SA"/>
          <w:highlight w:val="auto"/>
        </w:rPr>
        <w:t>0</w:t>
      </w:r>
      <w:r>
        <w:rPr>
          <w:rFonts w:ascii="Times New Roman" w:eastAsia="仿宋_GB2312" w:cs="仿宋_GB2312" w:hAnsi="Times New Roman" w:hint="eastAsia"/>
          <w:b/>
          <w:bCs/>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全年安排因公出国（境）团</w:t>
      </w:r>
      <w:r>
        <w:rPr>
          <w:rFonts w:ascii="仿宋_GB2312" w:eastAsia="仿宋_GB2312" w:cs="仿宋_GB2312" w:hint="eastAsia"/>
          <w:color w:val="auto"/>
          <w:kern w:val="2"/>
          <w:sz w:val="32"/>
          <w:szCs w:val="32"/>
          <w:lang w:val="en-US" w:eastAsia="zh-CN" w:bidi="ar-SA"/>
          <w:highlight w:val="auto"/>
        </w:rPr>
        <w:t>组</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次，出国（境）</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人</w:t>
      </w:r>
      <w:r>
        <w:rPr>
          <w:rFonts w:ascii="Times New Roman" w:eastAsia="仿宋_GB2312" w:cs="仿宋_GB2312" w:hAnsi="Times New Roman" w:hint="eastAsia"/>
          <w:color w:val="auto"/>
          <w:kern w:val="2"/>
          <w:sz w:val="32"/>
          <w:szCs w:val="32"/>
          <w:lang w:val="en-US" w:eastAsia="zh-CN" w:bidi="ar-SA"/>
          <w:highlight w:val="auto"/>
        </w:rPr>
        <w:t>。因公出国（境）支出决算比2023年增加/减少</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万元，增长/下降</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%。主要原因是</w:t>
      </w:r>
      <w:r>
        <w:rPr>
          <w:rFonts w:ascii="Times New Roman" w:eastAsia="仿宋_GB2312" w:cs="仿宋_GB2312" w:hAnsi="Times New Roman"/>
          <w:color w:val="auto"/>
          <w:kern w:val="2"/>
          <w:sz w:val="32"/>
          <w:szCs w:val="32"/>
          <w:lang w:val="en-US" w:eastAsia="zh-CN" w:bidi="ar-SA"/>
          <w:highlight w:val="auto"/>
        </w:rPr>
        <w:t>无</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开支内容包括：……（团组名称、出访地点、取得成效等）</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2.公务用车购置及运行维护费支出</w:t>
      </w:r>
      <w:r>
        <w:rPr>
          <w:rFonts w:ascii="仿宋_GB2312" w:eastAsia="仿宋_GB2312" w:cs="仿宋_GB2312" w:hint="eastAsia"/>
          <w:b/>
          <w:bCs/>
          <w:color w:val="auto"/>
          <w:kern w:val="2"/>
          <w:sz w:val="32"/>
          <w:szCs w:val="32"/>
          <w:lang w:val="en-US" w:eastAsia="zh-CN" w:bidi="ar-SA"/>
          <w:highlight w:val="auto"/>
        </w:rPr>
        <w:t>75.17万</w:t>
      </w:r>
      <w:r>
        <w:rPr>
          <w:rFonts w:ascii="Times New Roman" w:eastAsia="仿宋_GB2312" w:cs="仿宋_GB2312" w:hAnsi="Times New Roman" w:hint="eastAsia"/>
          <w:b/>
          <w:bCs/>
          <w:color w:val="auto"/>
          <w:kern w:val="2"/>
          <w:sz w:val="32"/>
          <w:szCs w:val="32"/>
          <w:lang w:val="en-US" w:eastAsia="zh-CN" w:bidi="ar-SA"/>
          <w:highlight w:val="auto"/>
        </w:rPr>
        <w:t>元</w:t>
      </w:r>
      <w:r>
        <w:rPr>
          <w:rFonts w:eastAsia="仿宋_GB2312" w:cs="仿宋_GB2312" w:hint="eastAsia"/>
          <w:b/>
          <w:bCs/>
          <w:color w:val="auto"/>
          <w:kern w:val="2"/>
          <w:sz w:val="32"/>
          <w:szCs w:val="32"/>
          <w:lang w:val="en-US" w:eastAsia="zh-CN" w:bidi="ar-SA"/>
          <w:highlight w:val="auto"/>
        </w:rPr>
        <w:t>，</w:t>
      </w:r>
      <w:r>
        <w:rPr>
          <w:rFonts w:ascii="Times New Roman" w:eastAsia="仿宋_GB2312" w:cs="仿宋_GB2312" w:hAnsi="Times New Roman" w:hint="eastAsia"/>
          <w:b/>
          <w:bCs/>
          <w:color w:val="auto"/>
          <w:kern w:val="2"/>
          <w:sz w:val="32"/>
          <w:szCs w:val="32"/>
          <w:lang w:val="en-US" w:eastAsia="zh-CN" w:bidi="ar-SA"/>
          <w:highlight w:val="auto"/>
        </w:rPr>
        <w:t>完成预算</w:t>
      </w:r>
      <w:r>
        <w:rPr>
          <w:rFonts w:ascii="Times New Roman" w:eastAsia="仿宋_GB2312" w:cs="仿宋_GB2312" w:hAnsi="Times New Roman"/>
          <w:b/>
          <w:bCs/>
          <w:color w:val="auto"/>
          <w:kern w:val="2"/>
          <w:sz w:val="32"/>
          <w:szCs w:val="32"/>
          <w:lang w:val="en-US" w:eastAsia="zh-CN" w:bidi="ar-SA"/>
          <w:highlight w:val="auto"/>
        </w:rPr>
        <w:t>100</w:t>
      </w:r>
      <w:r>
        <w:rPr>
          <w:rFonts w:ascii="Times New Roman" w:eastAsia="仿宋_GB2312" w:cs="仿宋_GB2312" w:hAnsi="Times New Roman" w:hint="eastAsia"/>
          <w:b/>
          <w:bCs/>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公务用车购置及运行维护费支出决算比2023年度增加</w:t>
      </w:r>
      <w:r>
        <w:rPr>
          <w:rFonts w:ascii="Times New Roman" w:eastAsia="仿宋_GB2312" w:cs="仿宋_GB2312" w:hAnsi="Times New Roman"/>
          <w:color w:val="auto"/>
          <w:kern w:val="2"/>
          <w:sz w:val="32"/>
          <w:szCs w:val="32"/>
          <w:lang w:val="en-US" w:eastAsia="zh-CN" w:bidi="ar-SA"/>
          <w:highlight w:val="auto"/>
        </w:rPr>
        <w:t>57.37</w:t>
      </w:r>
      <w:r>
        <w:rPr>
          <w:rFonts w:ascii="Times New Roman" w:eastAsia="仿宋_GB2312" w:cs="仿宋_GB2312" w:hAnsi="Times New Roman" w:hint="eastAsia"/>
          <w:color w:val="auto"/>
          <w:kern w:val="2"/>
          <w:sz w:val="32"/>
          <w:szCs w:val="32"/>
          <w:lang w:val="en-US" w:eastAsia="zh-CN" w:bidi="ar-SA"/>
          <w:highlight w:val="auto"/>
        </w:rPr>
        <w:t>万元，增长</w:t>
      </w:r>
      <w:r>
        <w:rPr>
          <w:rFonts w:ascii="Times New Roman" w:eastAsia="仿宋_GB2312" w:cs="仿宋_GB2312" w:hAnsi="Times New Roman"/>
          <w:color w:val="auto"/>
          <w:kern w:val="2"/>
          <w:sz w:val="32"/>
          <w:szCs w:val="32"/>
          <w:lang w:val="en-US" w:eastAsia="zh-CN" w:bidi="ar-SA"/>
          <w:highlight w:val="auto"/>
        </w:rPr>
        <w:t>322.3</w:t>
      </w:r>
      <w:r>
        <w:rPr>
          <w:rFonts w:ascii="Times New Roman" w:eastAsia="仿宋_GB2312" w:cs="仿宋_GB2312" w:hAnsi="Times New Roman" w:hint="eastAsia"/>
          <w:color w:val="auto"/>
          <w:kern w:val="2"/>
          <w:sz w:val="32"/>
          <w:szCs w:val="32"/>
          <w:lang w:val="en-US" w:eastAsia="zh-CN" w:bidi="ar-SA"/>
          <w:highlight w:val="auto"/>
        </w:rPr>
        <w:t>%。主要原因是</w:t>
      </w:r>
      <w:r>
        <w:rPr>
          <w:rFonts w:ascii="Times New Roman" w:eastAsia="仿宋_GB2312" w:cs="仿宋_GB2312" w:hAnsi="Times New Roman"/>
          <w:color w:val="auto"/>
          <w:kern w:val="2"/>
          <w:sz w:val="32"/>
          <w:szCs w:val="32"/>
          <w:lang w:val="en-US" w:eastAsia="zh-CN" w:bidi="ar-SA"/>
          <w:highlight w:val="auto"/>
        </w:rPr>
        <w:t>2024年新购入一台公务用车</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其中：公务用车购置支</w:t>
      </w:r>
      <w:r>
        <w:rPr>
          <w:rFonts w:ascii="仿宋_GB2312" w:eastAsia="仿宋_GB2312" w:cs="仿宋_GB2312" w:hint="eastAsia"/>
          <w:color w:val="auto"/>
          <w:kern w:val="2"/>
          <w:sz w:val="32"/>
          <w:szCs w:val="32"/>
          <w:lang w:val="en-US" w:eastAsia="zh-CN" w:bidi="ar-SA"/>
          <w:highlight w:val="auto"/>
        </w:rPr>
        <w:t>出</w:t>
      </w:r>
      <w:r>
        <w:rPr>
          <w:rFonts w:ascii="仿宋_GB2312" w:eastAsia="仿宋_GB2312" w:cs="仿宋_GB2312" w:hint="eastAsia"/>
          <w:sz w:val="32"/>
          <w:szCs w:val="32"/>
        </w:rPr>
        <w:t>65.09</w:t>
      </w:r>
      <w:r>
        <w:rPr>
          <w:rFonts w:ascii="Times New Roman" w:eastAsia="仿宋_GB2312" w:cs="仿宋_GB2312" w:hAnsi="Times New Roman" w:hint="eastAsia"/>
          <w:color w:val="auto"/>
          <w:kern w:val="2"/>
          <w:sz w:val="32"/>
          <w:szCs w:val="32"/>
          <w:lang w:val="en-US" w:eastAsia="zh-CN" w:bidi="ar-SA"/>
          <w:highlight w:val="auto"/>
        </w:rPr>
        <w:t>万元。全年按规定更新购置公务用车</w:t>
      </w:r>
      <w:r>
        <w:rPr>
          <w:rFonts w:ascii="Times New Roman" w:eastAsia="仿宋_GB2312" w:cs="仿宋_GB2312" w:hAnsi="Times New Roman"/>
          <w:color w:val="auto"/>
          <w:kern w:val="2"/>
          <w:sz w:val="32"/>
          <w:szCs w:val="32"/>
          <w:lang w:val="en-US" w:eastAsia="zh-CN" w:bidi="ar-SA"/>
          <w:highlight w:val="auto"/>
        </w:rPr>
        <w:t>1</w:t>
      </w:r>
      <w:r>
        <w:rPr>
          <w:rFonts w:ascii="Times New Roman" w:eastAsia="仿宋_GB2312" w:cs="仿宋_GB2312" w:hAnsi="Times New Roman" w:hint="eastAsia"/>
          <w:color w:val="auto"/>
          <w:kern w:val="2"/>
          <w:sz w:val="32"/>
          <w:szCs w:val="32"/>
          <w:lang w:val="en-US" w:eastAsia="zh-CN" w:bidi="ar-SA"/>
          <w:highlight w:val="auto"/>
        </w:rPr>
        <w:t>辆，其中：轿车</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辆、金额</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万元，越野车</w:t>
      </w:r>
      <w:r>
        <w:rPr>
          <w:rFonts w:ascii="Times New Roman" w:eastAsia="仿宋_GB2312" w:cs="仿宋_GB2312" w:hAnsi="Times New Roman"/>
          <w:color w:val="auto"/>
          <w:kern w:val="2"/>
          <w:sz w:val="32"/>
          <w:szCs w:val="32"/>
          <w:lang w:val="en-US" w:eastAsia="zh-CN" w:bidi="ar-SA"/>
          <w:highlight w:val="auto"/>
        </w:rPr>
        <w:t>1</w:t>
      </w:r>
      <w:r>
        <w:rPr>
          <w:rFonts w:ascii="Times New Roman" w:eastAsia="仿宋_GB2312" w:cs="仿宋_GB2312" w:hAnsi="Times New Roman" w:hint="eastAsia"/>
          <w:color w:val="auto"/>
          <w:kern w:val="2"/>
          <w:sz w:val="32"/>
          <w:szCs w:val="32"/>
          <w:lang w:val="en-US" w:eastAsia="zh-CN" w:bidi="ar-SA"/>
          <w:highlight w:val="auto"/>
        </w:rPr>
        <w:t>辆、金额</w:t>
      </w:r>
      <w:r>
        <w:rPr>
          <w:rFonts w:ascii="Times New Roman" w:eastAsia="仿宋_GB2312" w:cs="仿宋_GB2312" w:hAnsi="Times New Roman"/>
          <w:color w:val="auto"/>
          <w:kern w:val="2"/>
          <w:sz w:val="32"/>
          <w:szCs w:val="32"/>
          <w:lang w:val="en-US" w:eastAsia="zh-CN" w:bidi="ar-SA"/>
          <w:highlight w:val="auto"/>
        </w:rPr>
        <w:t>65.09</w:t>
      </w:r>
      <w:r>
        <w:rPr>
          <w:rFonts w:ascii="Times New Roman" w:eastAsia="仿宋_GB2312" w:cs="仿宋_GB2312" w:hAnsi="Times New Roman" w:hint="eastAsia"/>
          <w:color w:val="auto"/>
          <w:kern w:val="2"/>
          <w:sz w:val="32"/>
          <w:szCs w:val="32"/>
          <w:lang w:val="en-US" w:eastAsia="zh-CN" w:bidi="ar-SA"/>
          <w:highlight w:val="auto"/>
        </w:rPr>
        <w:t>万元，载客汽车</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辆、金额</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万元，主要用于……。截至2024年12月31日，单位共有公务用车</w:t>
      </w:r>
      <w:r>
        <w:rPr>
          <w:rFonts w:ascii="Times New Roman" w:eastAsia="仿宋_GB2312" w:cs="仿宋_GB2312" w:hAnsi="Times New Roman"/>
          <w:color w:val="auto"/>
          <w:kern w:val="2"/>
          <w:sz w:val="32"/>
          <w:szCs w:val="32"/>
          <w:lang w:val="en-US" w:eastAsia="zh-CN" w:bidi="ar-SA"/>
          <w:highlight w:val="auto"/>
        </w:rPr>
        <w:t>3</w:t>
      </w:r>
      <w:r>
        <w:rPr>
          <w:rFonts w:ascii="Times New Roman" w:eastAsia="仿宋_GB2312" w:cs="仿宋_GB2312" w:hAnsi="Times New Roman" w:hint="eastAsia"/>
          <w:color w:val="auto"/>
          <w:kern w:val="2"/>
          <w:sz w:val="32"/>
          <w:szCs w:val="32"/>
          <w:lang w:val="en-US" w:eastAsia="zh-CN" w:bidi="ar-SA"/>
          <w:highlight w:val="auto"/>
        </w:rPr>
        <w:t>辆，其中：轿车</w:t>
      </w:r>
      <w:r>
        <w:rPr>
          <w:rFonts w:ascii="Times New Roman" w:eastAsia="仿宋_GB2312" w:cs="仿宋_GB2312" w:hAnsi="Times New Roman"/>
          <w:color w:val="auto"/>
          <w:kern w:val="2"/>
          <w:sz w:val="32"/>
          <w:szCs w:val="32"/>
          <w:lang w:val="en-US" w:eastAsia="zh-CN" w:bidi="ar-SA"/>
          <w:highlight w:val="auto"/>
        </w:rPr>
        <w:t>1</w:t>
      </w:r>
      <w:r>
        <w:rPr>
          <w:rFonts w:ascii="Times New Roman" w:eastAsia="仿宋_GB2312" w:cs="仿宋_GB2312" w:hAnsi="Times New Roman" w:hint="eastAsia"/>
          <w:color w:val="auto"/>
          <w:kern w:val="2"/>
          <w:sz w:val="32"/>
          <w:szCs w:val="32"/>
          <w:lang w:val="en-US" w:eastAsia="zh-CN" w:bidi="ar-SA"/>
          <w:highlight w:val="auto"/>
        </w:rPr>
        <w:t>辆、越野车</w:t>
      </w:r>
      <w:r>
        <w:rPr>
          <w:rFonts w:ascii="Times New Roman" w:eastAsia="仿宋_GB2312" w:cs="仿宋_GB2312" w:hAnsi="Times New Roman"/>
          <w:color w:val="auto"/>
          <w:kern w:val="2"/>
          <w:sz w:val="32"/>
          <w:szCs w:val="32"/>
          <w:lang w:val="en-US" w:eastAsia="zh-CN" w:bidi="ar-SA"/>
          <w:highlight w:val="auto"/>
        </w:rPr>
        <w:t>2</w:t>
      </w:r>
      <w:r>
        <w:rPr>
          <w:rFonts w:ascii="Times New Roman" w:eastAsia="仿宋_GB2312" w:cs="仿宋_GB2312" w:hAnsi="Times New Roman" w:hint="eastAsia"/>
          <w:color w:val="auto"/>
          <w:kern w:val="2"/>
          <w:sz w:val="32"/>
          <w:szCs w:val="32"/>
          <w:lang w:val="en-US" w:eastAsia="zh-CN" w:bidi="ar-SA"/>
          <w:highlight w:val="auto"/>
        </w:rPr>
        <w:t>辆、载客汽车</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公务用车运行维护费支</w:t>
      </w:r>
      <w:r>
        <w:rPr>
          <w:rFonts w:ascii="仿宋_GB2312" w:eastAsia="仿宋_GB2312" w:cs="仿宋_GB2312" w:hint="eastAsia"/>
          <w:color w:val="auto"/>
          <w:kern w:val="2"/>
          <w:sz w:val="32"/>
          <w:szCs w:val="32"/>
          <w:lang w:val="en-US" w:eastAsia="zh-CN" w:bidi="ar-SA"/>
          <w:highlight w:val="auto"/>
        </w:rPr>
        <w:t>出</w:t>
      </w:r>
      <w:r>
        <w:rPr>
          <w:rFonts w:ascii="仿宋_GB2312" w:eastAsia="仿宋_GB2312" w:cs="仿宋_GB2312" w:hint="eastAsia"/>
          <w:sz w:val="32"/>
          <w:szCs w:val="32"/>
        </w:rPr>
        <w:t>10.08</w:t>
      </w:r>
      <w:r>
        <w:rPr>
          <w:rFonts w:ascii="Times New Roman" w:eastAsia="仿宋_GB2312" w:cs="仿宋_GB2312" w:hAnsi="Times New Roman" w:hint="eastAsia"/>
          <w:color w:val="auto"/>
          <w:kern w:val="2"/>
          <w:sz w:val="32"/>
          <w:szCs w:val="32"/>
          <w:lang w:val="en-US" w:eastAsia="zh-CN" w:bidi="ar-SA"/>
          <w:highlight w:val="auto"/>
        </w:rPr>
        <w:t>万元。主要用于</w:t>
      </w:r>
      <w:r>
        <w:rPr>
          <w:rFonts w:ascii="Times New Roman" w:eastAsia="仿宋_GB2312" w:cs="仿宋_GB2312" w:hAnsi="Times New Roman"/>
          <w:color w:val="auto"/>
          <w:kern w:val="2"/>
          <w:sz w:val="32"/>
          <w:szCs w:val="32"/>
          <w:lang w:val="en-US" w:eastAsia="zh-CN" w:bidi="ar-SA"/>
          <w:highlight w:val="auto"/>
        </w:rPr>
        <w:t>外出会议、参加各类活动、家访等日常活动</w:t>
      </w:r>
      <w:r>
        <w:rPr>
          <w:rFonts w:ascii="Times New Roman" w:eastAsia="仿宋_GB2312" w:cs="仿宋_GB2312" w:hAnsi="Times New Roman" w:hint="eastAsia"/>
          <w:color w:val="auto"/>
          <w:kern w:val="2"/>
          <w:sz w:val="32"/>
          <w:szCs w:val="32"/>
          <w:lang w:val="en-US" w:eastAsia="zh-CN" w:bidi="ar-SA"/>
          <w:highlight w:val="auto"/>
        </w:rPr>
        <w:t>所需的公务用车燃料费、维修费、过路过桥费、保险费等支出。</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3.公务接待费支出</w:t>
      </w:r>
      <w:r>
        <w:rPr>
          <w:rFonts w:ascii="仿宋_GB2312" w:eastAsia="仿宋_GB2312" w:cs="仿宋_GB2312" w:hint="eastAsia"/>
          <w:b/>
          <w:bCs/>
          <w:color w:val="auto"/>
          <w:kern w:val="2"/>
          <w:sz w:val="32"/>
          <w:szCs w:val="32"/>
          <w:lang w:val="en-US" w:eastAsia="zh-CN" w:bidi="ar-SA"/>
          <w:highlight w:val="auto"/>
        </w:rPr>
        <w:t>0.37万</w:t>
      </w:r>
      <w:r>
        <w:rPr>
          <w:rFonts w:ascii="Times New Roman" w:eastAsia="仿宋_GB2312" w:cs="仿宋_GB2312" w:hAnsi="Times New Roman" w:hint="eastAsia"/>
          <w:b/>
          <w:bCs/>
          <w:color w:val="auto"/>
          <w:kern w:val="2"/>
          <w:sz w:val="32"/>
          <w:szCs w:val="32"/>
          <w:lang w:val="en-US" w:eastAsia="zh-CN" w:bidi="ar-SA"/>
          <w:highlight w:val="auto"/>
        </w:rPr>
        <w:t>元，完成预算</w:t>
      </w:r>
      <w:r>
        <w:rPr>
          <w:rFonts w:ascii="Times New Roman" w:eastAsia="仿宋_GB2312" w:cs="仿宋_GB2312" w:hAnsi="Times New Roman"/>
          <w:b/>
          <w:bCs/>
          <w:color w:val="auto"/>
          <w:kern w:val="2"/>
          <w:sz w:val="32"/>
          <w:szCs w:val="32"/>
          <w:lang w:val="en-US" w:eastAsia="zh-CN" w:bidi="ar-SA"/>
          <w:highlight w:val="auto"/>
        </w:rPr>
        <w:t>8</w:t>
      </w:r>
      <w:r>
        <w:rPr>
          <w:rFonts w:ascii="Times New Roman" w:eastAsia="仿宋_GB2312" w:cs="仿宋_GB2312" w:hAnsi="Times New Roman" w:hint="eastAsia"/>
          <w:b/>
          <w:bCs/>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公务接待费支出决算比2023年度增加</w:t>
      </w:r>
      <w:r>
        <w:rPr>
          <w:rFonts w:ascii="Times New Roman" w:eastAsia="仿宋_GB2312" w:cs="仿宋_GB2312" w:hAnsi="Times New Roman"/>
          <w:color w:val="auto"/>
          <w:kern w:val="2"/>
          <w:sz w:val="32"/>
          <w:szCs w:val="32"/>
          <w:lang w:val="en-US" w:eastAsia="zh-CN" w:bidi="ar-SA"/>
          <w:highlight w:val="auto"/>
        </w:rPr>
        <w:t>1.45</w:t>
      </w:r>
      <w:r>
        <w:rPr>
          <w:rFonts w:ascii="Times New Roman" w:eastAsia="仿宋_GB2312" w:cs="仿宋_GB2312" w:hAnsi="Times New Roman" w:hint="eastAsia"/>
          <w:color w:val="auto"/>
          <w:kern w:val="2"/>
          <w:sz w:val="32"/>
          <w:szCs w:val="32"/>
          <w:lang w:val="en-US" w:eastAsia="zh-CN" w:bidi="ar-SA"/>
          <w:highlight w:val="auto"/>
        </w:rPr>
        <w:t>万元，下降</w:t>
      </w:r>
      <w:r>
        <w:rPr>
          <w:rFonts w:ascii="Times New Roman" w:eastAsia="仿宋_GB2312" w:cs="仿宋_GB2312" w:hAnsi="Times New Roman"/>
          <w:color w:val="auto"/>
          <w:kern w:val="2"/>
          <w:sz w:val="32"/>
          <w:szCs w:val="32"/>
          <w:lang w:val="en-US" w:eastAsia="zh-CN" w:bidi="ar-SA"/>
          <w:highlight w:val="auto"/>
        </w:rPr>
        <w:t>79.8</w:t>
      </w:r>
      <w:r>
        <w:rPr>
          <w:rFonts w:ascii="Times New Roman" w:eastAsia="仿宋_GB2312" w:cs="仿宋_GB2312" w:hAnsi="Times New Roman" w:hint="eastAsia"/>
          <w:color w:val="auto"/>
          <w:kern w:val="2"/>
          <w:sz w:val="32"/>
          <w:szCs w:val="32"/>
          <w:lang w:val="en-US" w:eastAsia="zh-CN" w:bidi="ar-SA"/>
          <w:highlight w:val="auto"/>
        </w:rPr>
        <w:t>%。主要原因是</w:t>
      </w:r>
      <w:r>
        <w:rPr>
          <w:rFonts w:ascii="Times New Roman" w:eastAsia="仿宋_GB2312" w:cs="仿宋_GB2312" w:hAnsi="Times New Roman"/>
          <w:color w:val="auto"/>
          <w:kern w:val="2"/>
          <w:sz w:val="32"/>
          <w:szCs w:val="32"/>
          <w:lang w:val="en-US" w:eastAsia="zh-CN" w:bidi="ar-SA"/>
          <w:highlight w:val="auto"/>
        </w:rPr>
        <w:t>部分</w:t>
      </w:r>
      <w:r>
        <w:rPr>
          <w:rFonts w:ascii="Times New Roman" w:eastAsia="仿宋_GB2312" w:cs="仿宋_GB2312" w:hAnsi="Times New Roman" w:hint="eastAsia"/>
          <w:color w:val="auto"/>
          <w:kern w:val="2"/>
          <w:sz w:val="32"/>
          <w:szCs w:val="32"/>
          <w:lang w:val="en-US" w:eastAsia="zh-CN" w:bidi="ar-SA"/>
          <w:highlight w:val="auto"/>
        </w:rPr>
        <w:t>。其中：</w:t>
      </w:r>
      <w:r>
        <w:rPr>
          <w:rFonts w:ascii="Times New Roman" w:eastAsia="仿宋_GB2312" w:cs="仿宋_GB2312" w:hAnsi="Times New Roman"/>
          <w:color w:val="auto"/>
          <w:kern w:val="2"/>
          <w:sz w:val="32"/>
          <w:szCs w:val="32"/>
          <w:lang w:val="en-US" w:eastAsia="zh-CN" w:bidi="ar-SA"/>
          <w:highlight w:val="auto"/>
        </w:rPr>
        <w:t>部分原本需要实地开展的交流活动，出于提升效率、降低成本、灵活安排等多方面考虑，改为线上形式，极大减少了线下接待频次。</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国内公务接待支</w:t>
      </w:r>
      <w:r>
        <w:rPr>
          <w:rFonts w:ascii="仿宋_GB2312" w:eastAsia="仿宋_GB2312" w:cs="仿宋_GB2312" w:hint="eastAsia"/>
          <w:color w:val="auto"/>
          <w:kern w:val="2"/>
          <w:sz w:val="32"/>
          <w:szCs w:val="32"/>
          <w:lang w:val="en-US" w:eastAsia="zh-CN" w:bidi="ar-SA"/>
          <w:highlight w:val="auto"/>
        </w:rPr>
        <w:t>出</w:t>
      </w:r>
      <w:r>
        <w:rPr>
          <w:rFonts w:ascii="仿宋_GB2312" w:eastAsia="仿宋_GB2312" w:cs="仿宋_GB2312" w:hint="eastAsia"/>
          <w:sz w:val="32"/>
          <w:szCs w:val="32"/>
        </w:rPr>
        <w:t>0.37</w:t>
      </w:r>
      <w:r>
        <w:rPr>
          <w:rFonts w:ascii="仿宋_GB2312" w:eastAsia="仿宋_GB2312" w:cs="仿宋_GB2312" w:hint="eastAsia"/>
          <w:color w:val="auto"/>
          <w:kern w:val="2"/>
          <w:sz w:val="32"/>
          <w:szCs w:val="32"/>
          <w:lang w:val="en-US" w:eastAsia="zh-CN" w:bidi="ar-SA"/>
          <w:highlight w:val="auto"/>
        </w:rPr>
        <w:t>万</w:t>
      </w:r>
      <w:r>
        <w:rPr>
          <w:rFonts w:ascii="Times New Roman" w:eastAsia="仿宋_GB2312" w:cs="仿宋_GB2312" w:hAnsi="Times New Roman" w:hint="eastAsia"/>
          <w:color w:val="auto"/>
          <w:kern w:val="2"/>
          <w:sz w:val="32"/>
          <w:szCs w:val="32"/>
          <w:lang w:val="en-US" w:eastAsia="zh-CN" w:bidi="ar-SA"/>
          <w:highlight w:val="auto"/>
        </w:rPr>
        <w:t>元，主要用于</w:t>
      </w:r>
      <w:r>
        <w:rPr>
          <w:rFonts w:eastAsia="仿宋_GB2312" w:cs="仿宋_GB2312"/>
          <w:sz w:val="32"/>
          <w:szCs w:val="32"/>
        </w:rPr>
        <w:t>万泰益馨疫苗公益行接待费，春蕾计划项目接待活动</w:t>
      </w:r>
      <w:r>
        <w:rPr>
          <w:rFonts w:ascii="Times New Roman" w:eastAsia="仿宋_GB2312" w:cs="仿宋_GB2312" w:hAnsi="Times New Roman" w:hint="eastAsia"/>
          <w:color w:val="auto"/>
          <w:kern w:val="2"/>
          <w:sz w:val="32"/>
          <w:szCs w:val="32"/>
          <w:lang w:val="en-US" w:eastAsia="zh-CN" w:bidi="ar-SA"/>
          <w:highlight w:val="auto"/>
        </w:rPr>
        <w:t>餐费。国内公务接</w:t>
      </w:r>
      <w:r>
        <w:rPr>
          <w:rFonts w:ascii="仿宋_GB2312" w:eastAsia="仿宋_GB2312" w:cs="仿宋_GB2312" w:hint="eastAsia"/>
          <w:color w:val="auto"/>
          <w:kern w:val="2"/>
          <w:sz w:val="32"/>
          <w:szCs w:val="32"/>
          <w:lang w:val="en-US" w:eastAsia="zh-CN" w:bidi="ar-SA"/>
          <w:highlight w:val="auto"/>
        </w:rPr>
        <w:t>待</w:t>
      </w:r>
      <w:r>
        <w:rPr>
          <w:rFonts w:ascii="仿宋_GB2312" w:eastAsia="仿宋_GB2312" w:cs="仿宋_GB2312" w:hint="eastAsia"/>
          <w:sz w:val="32"/>
          <w:szCs w:val="32"/>
        </w:rPr>
        <w:t>2</w:t>
      </w:r>
      <w:r>
        <w:rPr>
          <w:rFonts w:ascii="仿宋_GB2312" w:eastAsia="仿宋_GB2312" w:cs="仿宋_GB2312" w:hint="eastAsia"/>
          <w:color w:val="auto"/>
          <w:kern w:val="2"/>
          <w:sz w:val="32"/>
          <w:szCs w:val="32"/>
          <w:lang w:val="en-US" w:eastAsia="zh-CN" w:bidi="ar-SA"/>
          <w:highlight w:val="auto"/>
        </w:rPr>
        <w:t>批次，</w:t>
      </w:r>
      <w:r>
        <w:rPr>
          <w:rFonts w:ascii="仿宋_GB2312" w:eastAsia="仿宋_GB2312" w:cs="仿宋_GB2312" w:hint="eastAsia"/>
          <w:sz w:val="32"/>
          <w:szCs w:val="32"/>
        </w:rPr>
        <w:t>35</w:t>
      </w:r>
      <w:r>
        <w:rPr>
          <w:rFonts w:ascii="Times New Roman" w:eastAsia="仿宋_GB2312" w:cs="仿宋_GB2312" w:hAnsi="Times New Roman" w:hint="eastAsia"/>
          <w:color w:val="auto"/>
          <w:kern w:val="2"/>
          <w:sz w:val="32"/>
          <w:szCs w:val="32"/>
          <w:lang w:val="en-US" w:eastAsia="zh-CN" w:bidi="ar-SA"/>
          <w:highlight w:val="auto"/>
        </w:rPr>
        <w:t>人次（不包括陪同人员），共计支出</w:t>
      </w:r>
      <w:r>
        <w:rPr>
          <w:rFonts w:ascii="Times New Roman" w:eastAsia="仿宋_GB2312" w:cs="仿宋_GB2312" w:hAnsi="Times New Roman"/>
          <w:color w:val="auto"/>
          <w:kern w:val="2"/>
          <w:sz w:val="32"/>
          <w:szCs w:val="32"/>
          <w:lang w:val="en-US" w:eastAsia="zh-CN" w:bidi="ar-SA"/>
          <w:highlight w:val="auto"/>
        </w:rPr>
        <w:t>0.37</w:t>
      </w:r>
      <w:r>
        <w:rPr>
          <w:rFonts w:ascii="Times New Roman" w:eastAsia="仿宋_GB2312" w:cs="仿宋_GB2312" w:hAnsi="Times New Roman" w:hint="eastAsia"/>
          <w:color w:val="auto"/>
          <w:kern w:val="2"/>
          <w:sz w:val="32"/>
          <w:szCs w:val="32"/>
          <w:lang w:val="en-US" w:eastAsia="zh-CN" w:bidi="ar-SA"/>
          <w:highlight w:val="auto"/>
        </w:rPr>
        <w:t>万元，具体内容包括：</w:t>
      </w:r>
      <w:r>
        <w:rPr>
          <w:rFonts w:eastAsia="仿宋_GB2312" w:cs="仿宋_GB2312"/>
          <w:sz w:val="32"/>
          <w:szCs w:val="32"/>
        </w:rPr>
        <w:t>万泰益馨疫苗公益行接待餐费0.0711万元，春蕾计划项目接待活动</w:t>
      </w:r>
      <w:r>
        <w:rPr>
          <w:rFonts w:ascii="Times New Roman" w:eastAsia="仿宋_GB2312" w:cs="仿宋_GB2312" w:hAnsi="Times New Roman" w:hint="eastAsia"/>
          <w:color w:val="auto"/>
          <w:kern w:val="2"/>
          <w:sz w:val="32"/>
          <w:szCs w:val="32"/>
          <w:lang w:val="en-US" w:eastAsia="zh-CN" w:bidi="ar-SA"/>
          <w:highlight w:val="auto"/>
        </w:rPr>
        <w:t>餐费</w:t>
      </w:r>
      <w:r>
        <w:rPr>
          <w:rFonts w:ascii="Times New Roman" w:eastAsia="仿宋_GB2312" w:cs="仿宋_GB2312" w:hAnsi="Times New Roman"/>
          <w:color w:val="auto"/>
          <w:kern w:val="2"/>
          <w:sz w:val="32"/>
          <w:szCs w:val="32"/>
          <w:lang w:val="en-US" w:eastAsia="zh-CN" w:bidi="ar-SA"/>
          <w:highlight w:val="auto"/>
        </w:rPr>
        <w:t>0.2952万元</w:t>
      </w:r>
      <w:r>
        <w:rPr>
          <w:rFonts w:ascii="Times New Roman" w:eastAsia="仿宋_GB2312" w:cs="仿宋_GB2312" w:hAnsi="Times New Roman" w:hint="eastAsia"/>
          <w:color w:val="auto"/>
          <w:kern w:val="2"/>
          <w:sz w:val="32"/>
          <w:szCs w:val="32"/>
          <w:lang w:val="en-US" w:eastAsia="zh-CN" w:bidi="ar-SA"/>
          <w:highlight w:val="auto"/>
        </w:rPr>
        <w:t>。</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外事接待支</w:t>
      </w:r>
      <w:r>
        <w:rPr>
          <w:rFonts w:ascii="仿宋_GB2312" w:eastAsia="仿宋_GB2312" w:cs="仿宋_GB2312" w:hint="eastAsia"/>
          <w:color w:val="auto"/>
          <w:kern w:val="2"/>
          <w:sz w:val="32"/>
          <w:szCs w:val="32"/>
          <w:lang w:val="en-US" w:eastAsia="zh-CN" w:bidi="ar-SA"/>
          <w:highlight w:val="auto"/>
        </w:rPr>
        <w:t>出</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万元，主要用于</w:t>
      </w:r>
      <w:r>
        <w:rPr>
          <w:rFonts w:ascii="仿宋_GB2312" w:eastAsia="仿宋_GB2312" w:cs="仿宋_GB2312"/>
          <w:color w:val="auto"/>
          <w:kern w:val="2"/>
          <w:sz w:val="32"/>
          <w:szCs w:val="32"/>
          <w:lang w:val="en-US" w:eastAsia="zh-CN" w:bidi="ar-SA"/>
          <w:highlight w:val="auto"/>
        </w:rPr>
        <w:t>无</w:t>
      </w:r>
      <w:r>
        <w:rPr>
          <w:rFonts w:ascii="仿宋_GB2312" w:eastAsia="仿宋_GB2312" w:cs="仿宋_GB2312" w:hint="eastAsia"/>
          <w:color w:val="auto"/>
          <w:kern w:val="2"/>
          <w:sz w:val="32"/>
          <w:szCs w:val="32"/>
          <w:lang w:val="en-US" w:eastAsia="zh-CN" w:bidi="ar-SA"/>
          <w:highlight w:val="auto"/>
        </w:rPr>
        <w:t>（具体项目）。外事接待</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批次，</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人次（不包括陪同人员），共计支出</w:t>
      </w:r>
      <w:r>
        <w:rPr>
          <w:rFonts w:ascii="仿宋_GB2312" w:eastAsia="仿宋_GB2312" w:cs="仿宋_GB2312"/>
          <w:color w:val="auto"/>
          <w:kern w:val="2"/>
          <w:sz w:val="32"/>
          <w:szCs w:val="32"/>
          <w:lang w:val="en-US" w:eastAsia="zh-CN" w:bidi="ar-SA"/>
          <w:highlight w:val="auto"/>
        </w:rPr>
        <w:t>0</w:t>
      </w:r>
      <w:r>
        <w:rPr>
          <w:rFonts w:ascii="仿宋_GB2312" w:eastAsia="仿宋_GB2312" w:cs="仿宋_GB2312" w:hint="eastAsia"/>
          <w:color w:val="auto"/>
          <w:kern w:val="2"/>
          <w:sz w:val="32"/>
          <w:szCs w:val="32"/>
          <w:lang w:val="en-US" w:eastAsia="zh-CN" w:bidi="ar-SA"/>
          <w:highlight w:val="auto"/>
        </w:rPr>
        <w:t>万</w:t>
      </w:r>
      <w:r>
        <w:rPr>
          <w:rFonts w:ascii="Times New Roman" w:eastAsia="仿宋_GB2312" w:cs="仿宋_GB2312" w:hAnsi="Times New Roman" w:hint="eastAsia"/>
          <w:color w:val="auto"/>
          <w:kern w:val="2"/>
          <w:sz w:val="32"/>
          <w:szCs w:val="32"/>
          <w:lang w:val="en-US" w:eastAsia="zh-CN" w:bidi="ar-SA"/>
          <w:highlight w:val="auto"/>
        </w:rPr>
        <w:t>元。</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bookmarkStart w:id="42" w:name="_Toc15377218"/>
      <w:bookmarkStart w:id="43" w:name="_Toc15396610"/>
    </w:p>
    <w:p>
      <w:pPr>
        <w:spacing w:line="600" w:lineRule="exact"/>
        <w:ind w:firstLine="640"/>
        <w:outlineLvl w:val="1"/>
        <w:rPr>
          <w:rStyle w:val="2Char"/>
          <w:rFonts w:ascii="Times New Roman" w:eastAsia="黑体" w:hAnsi="Times New Roman"/>
          <w:color w:val="auto"/>
          <w:highlight w:val="auto"/>
        </w:rPr>
      </w:pPr>
      <w:r>
        <w:rPr>
          <w:rFonts w:ascii="Times New Roman" w:eastAsia="黑体" w:hAnsi="Times New Roman" w:hint="eastAsia"/>
          <w:color w:val="auto"/>
          <w:sz w:val="32"/>
          <w:szCs w:val="32"/>
          <w:highlight w:val="auto"/>
        </w:rPr>
        <w:t>八、</w:t>
      </w:r>
      <w:r>
        <w:rPr>
          <w:rStyle w:val="2Char"/>
          <w:rFonts w:ascii="Times New Roman" w:eastAsia="黑体" w:hAnsi="Times New Roman" w:hint="eastAsia"/>
          <w:b w:val="0"/>
          <w:color w:val="auto"/>
          <w:highlight w:val="auto"/>
        </w:rPr>
        <w:t>政府性基金预算支出决算情况说明</w:t>
      </w:r>
      <w:bookmarkEnd w:id="42"/>
      <w:bookmarkEnd w:id="43"/>
    </w:p>
    <w:p>
      <w:pPr>
        <w:spacing w:line="600" w:lineRule="exact"/>
        <w:ind w:firstLine="640"/>
        <w:rPr>
          <w:rFonts w:ascii="Times New Roman" w:eastAsia="仿宋_GB2312" w:cs="仿宋_GB2312" w:hAnsi="Times New Roman" w:hint="eastAsia"/>
          <w:b/>
          <w:bCs/>
          <w:color w:val="auto"/>
          <w:kern w:val="2"/>
          <w:sz w:val="32"/>
          <w:szCs w:val="32"/>
          <w:lang w:val="en-US" w:eastAsia="zh-CN" w:bidi="ar-SA"/>
          <w:highlight w:val="auto"/>
        </w:rPr>
      </w:pPr>
      <w:r>
        <w:rPr>
          <w:rFonts w:ascii="仿宋_GB2312" w:eastAsia="仿宋_GB2312" w:cs="仿宋_GB2312" w:hint="eastAsia"/>
          <w:color w:val="auto"/>
          <w:kern w:val="2"/>
          <w:sz w:val="32"/>
          <w:szCs w:val="32"/>
          <w:lang w:val="en-US" w:eastAsia="zh-CN" w:bidi="ar-SA"/>
          <w:highlight w:val="auto"/>
        </w:rPr>
        <w:t>2024年度政府性基金预算财政拨款支出</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万元，占本年支出合计的</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。与2023年度相比，政府性基金预算财政拨款支出增加/减少</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万元，增长/下降</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%。主要变动原因是</w:t>
      </w:r>
      <w:r>
        <w:rPr>
          <w:rFonts w:ascii="Times New Roman" w:eastAsia="仿宋_GB2312" w:cs="仿宋_GB2312" w:hAnsi="Times New Roman"/>
          <w:color w:val="auto"/>
          <w:kern w:val="2"/>
          <w:sz w:val="32"/>
          <w:szCs w:val="32"/>
          <w:lang w:val="en-US" w:eastAsia="zh-CN" w:bidi="ar-SA"/>
          <w:highlight w:val="auto"/>
        </w:rPr>
        <w:t>无</w:t>
      </w:r>
      <w:r>
        <w:rPr>
          <w:rFonts w:ascii="Times New Roman" w:eastAsia="仿宋_GB2312" w:cs="仿宋_GB2312" w:hAnsi="Times New Roman" w:hint="eastAsia"/>
          <w:b/>
          <w:bCs/>
          <w:color w:val="auto"/>
          <w:kern w:val="2"/>
          <w:sz w:val="32"/>
          <w:szCs w:val="32"/>
          <w:lang w:val="en-US" w:eastAsia="zh-CN" w:bidi="ar-SA"/>
          <w:highlight w:val="auto"/>
        </w:rPr>
        <w:t>（注：支出数与上年持平可以不写原因）</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left="630"/>
        <w:outlineLvl w:val="1"/>
        <w:rPr>
          <w:rStyle w:val="2Char"/>
          <w:rFonts w:ascii="Times New Roman" w:eastAsia="黑体" w:hAnsi="Times New Roman"/>
          <w:b w:val="0"/>
          <w:color w:val="auto"/>
          <w:highlight w:val="auto"/>
        </w:rPr>
      </w:pPr>
      <w:bookmarkStart w:id="44" w:name="_Toc15396611"/>
      <w:bookmarkStart w:id="45" w:name="_Toc15377219"/>
      <w:r>
        <w:rPr>
          <w:rStyle w:val="2Char"/>
          <w:rFonts w:ascii="Times New Roman" w:eastAsia="黑体" w:hAnsi="Times New Roman" w:hint="eastAsia"/>
          <w:b w:val="0"/>
          <w:color w:val="auto"/>
          <w:lang w:eastAsia="zh-CN"/>
          <w:highlight w:val="auto"/>
        </w:rPr>
        <w:t>九、</w:t>
      </w:r>
      <w:r>
        <w:rPr>
          <w:rStyle w:val="2Char"/>
          <w:rFonts w:ascii="Times New Roman" w:eastAsia="黑体" w:hAnsi="Times New Roman" w:hint="eastAsia"/>
          <w:b w:val="0"/>
          <w:color w:val="auto"/>
          <w:highlight w:val="auto"/>
        </w:rPr>
        <w:t>国有资本经营预算支出决算情况说明</w:t>
      </w:r>
      <w:bookmarkEnd w:id="44"/>
      <w:bookmarkEnd w:id="45"/>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2024年度国有资本经营预算财政拨款支出</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万元，占本年支出合计的</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。与2023年度相比，国有资本经营预算财政拨款支出增加/减少</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万元，增长/下降</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%。主要变动原因是</w:t>
      </w:r>
      <w:r>
        <w:rPr>
          <w:rFonts w:ascii="Times New Roman" w:eastAsia="仿宋_GB2312" w:cs="仿宋_GB2312" w:hAnsi="Times New Roman"/>
          <w:color w:val="auto"/>
          <w:kern w:val="2"/>
          <w:sz w:val="32"/>
          <w:szCs w:val="32"/>
          <w:lang w:val="en-US" w:eastAsia="zh-CN" w:bidi="ar-SA"/>
          <w:highlight w:val="auto"/>
        </w:rPr>
        <w:t>无</w:t>
      </w:r>
      <w:r>
        <w:rPr>
          <w:rFonts w:ascii="Times New Roman" w:eastAsia="仿宋_GB2312" w:cs="仿宋_GB2312" w:hAnsi="Times New Roman" w:hint="eastAsia"/>
          <w:b/>
          <w:bCs/>
          <w:color w:val="auto"/>
          <w:kern w:val="2"/>
          <w:sz w:val="32"/>
          <w:szCs w:val="32"/>
          <w:lang w:val="en-US" w:eastAsia="zh-CN" w:bidi="ar-SA"/>
          <w:highlight w:val="auto"/>
        </w:rPr>
        <w:t>（注：支出数与上年持平可以不写原因）</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left="630"/>
        <w:outlineLvl w:val="1"/>
        <w:rPr>
          <w:rStyle w:val="2Char"/>
          <w:rFonts w:ascii="Times New Roman" w:eastAsia="黑体" w:hAnsi="Times New Roman" w:hint="eastAsia"/>
          <w:b w:val="0"/>
          <w:color w:val="auto"/>
          <w:highlight w:val="auto"/>
        </w:rPr>
      </w:pPr>
      <w:bookmarkStart w:id="46" w:name="_Toc15396612"/>
      <w:bookmarkStart w:id="47" w:name="_Toc15377221"/>
      <w:r>
        <w:rPr>
          <w:rStyle w:val="2Char"/>
          <w:rFonts w:ascii="Times New Roman" w:eastAsia="黑体" w:hAnsi="Times New Roman" w:hint="eastAsia"/>
          <w:b w:val="0"/>
          <w:color w:val="auto"/>
          <w:lang w:eastAsia="zh-CN"/>
          <w:highlight w:val="auto"/>
        </w:rPr>
        <w:t>十、</w:t>
      </w:r>
      <w:r>
        <w:rPr>
          <w:rStyle w:val="2Char"/>
          <w:rFonts w:ascii="Times New Roman" w:eastAsia="黑体" w:hAnsi="Times New Roman" w:hint="eastAsia"/>
          <w:b w:val="0"/>
          <w:color w:val="auto"/>
          <w:highlight w:val="auto"/>
        </w:rPr>
        <w:t>其他重要事项的情况说明</w:t>
      </w:r>
      <w:bookmarkEnd w:id="46"/>
      <w:bookmarkEnd w:id="47"/>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48" w:name="_Toc15377222"/>
      <w:r>
        <w:rPr>
          <w:rFonts w:ascii="Times New Roman" w:eastAsia="楷体_GB2312" w:cs="楷体_GB2312" w:hAnsi="Times New Roman" w:hint="eastAsia"/>
          <w:b/>
          <w:color w:val="auto"/>
          <w:sz w:val="32"/>
          <w:szCs w:val="32"/>
          <w:highlight w:val="auto"/>
        </w:rPr>
        <w:t>（一）机关运行经费支出情况</w:t>
      </w:r>
      <w:bookmarkEnd w:id="48"/>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2024年度</w:t>
      </w:r>
      <w:r>
        <w:rPr>
          <w:rFonts w:ascii="仿宋_GB2312" w:eastAsia="仿宋_GB2312" w:cs="仿宋_GB2312" w:hint="eastAsia"/>
          <w:color w:val="auto"/>
          <w:kern w:val="2"/>
          <w:sz w:val="32"/>
          <w:szCs w:val="32"/>
          <w:lang w:val="en-US" w:eastAsia="zh-CN" w:bidi="ar-SA"/>
          <w:highlight w:val="auto"/>
        </w:rPr>
        <w:t>，</w:t>
      </w:r>
      <w:r>
        <w:rPr>
          <w:rFonts w:ascii="仿宋_GB2312" w:eastAsia="仿宋_GB2312" w:cs="仿宋_GB2312" w:hint="eastAsia"/>
          <w:sz w:val="32"/>
          <w:szCs w:val="32"/>
        </w:rPr>
        <w:t>四川省阿坝州民族高级中学</w:t>
      </w:r>
      <w:r>
        <w:rPr>
          <w:rFonts w:ascii="仿宋_GB2312" w:eastAsia="仿宋_GB2312" w:cs="仿宋_GB2312" w:hint="eastAsia"/>
          <w:color w:val="auto"/>
          <w:kern w:val="2"/>
          <w:sz w:val="32"/>
          <w:szCs w:val="32"/>
          <w:lang w:val="en-US" w:eastAsia="zh-CN" w:bidi="ar-SA"/>
          <w:highlight w:val="auto"/>
        </w:rPr>
        <w:t>机关运行经费支出</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万</w:t>
      </w:r>
      <w:r>
        <w:rPr>
          <w:rFonts w:ascii="Times New Roman" w:eastAsia="仿宋_GB2312" w:cs="仿宋_GB2312" w:hAnsi="Times New Roman" w:hint="eastAsia"/>
          <w:color w:val="auto"/>
          <w:kern w:val="2"/>
          <w:sz w:val="32"/>
          <w:szCs w:val="32"/>
          <w:lang w:val="en-US" w:eastAsia="zh-CN" w:bidi="ar-SA"/>
          <w:highlight w:val="auto"/>
        </w:rPr>
        <w:t>元，比2023年度增加/减少</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万元，增长/下降</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%（或与2023年度决算数持平）。主要原因是</w:t>
      </w:r>
      <w:r>
        <w:rPr>
          <w:rFonts w:ascii="Times New Roman" w:eastAsia="仿宋_GB2312" w:cs="仿宋_GB2312" w:hAnsi="Times New Roman"/>
          <w:color w:val="auto"/>
          <w:kern w:val="2"/>
          <w:sz w:val="32"/>
          <w:szCs w:val="32"/>
          <w:lang w:val="en-US" w:eastAsia="zh-CN" w:bidi="ar-SA"/>
          <w:highlight w:val="auto"/>
        </w:rPr>
        <w:t>无</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49" w:name="_Toc15377223"/>
      <w:r>
        <w:rPr>
          <w:rFonts w:ascii="Times New Roman" w:eastAsia="楷体_GB2312" w:cs="楷体_GB2312" w:hAnsi="Times New Roman" w:hint="eastAsia"/>
          <w:b/>
          <w:color w:val="auto"/>
          <w:sz w:val="32"/>
          <w:szCs w:val="32"/>
          <w:highlight w:val="auto"/>
        </w:rPr>
        <w:t>（二）政府采购支出情况</w:t>
      </w:r>
      <w:bookmarkEnd w:id="49"/>
    </w:p>
    <w:p>
      <w:pPr>
        <w:spacing w:line="600" w:lineRule="exact"/>
        <w:ind w:firstLine="640"/>
        <w:rPr>
          <w:rFonts w:ascii="仿宋_GB2312" w:eastAsia="仿宋_GB2312" w:cs="仿宋_GB2312" w:hint="eastAsia"/>
          <w:color w:val="auto"/>
          <w:kern w:val="2"/>
          <w:sz w:val="32"/>
          <w:szCs w:val="32"/>
          <w:lang w:val="en-US" w:eastAsia="zh-CN" w:bidi="ar-SA"/>
          <w:highlight w:val="auto"/>
        </w:rPr>
      </w:pPr>
      <w:r>
        <w:rPr>
          <w:rFonts w:ascii="仿宋_GB2312" w:eastAsia="仿宋_GB2312" w:cs="仿宋_GB2312" w:hint="eastAsia"/>
          <w:color w:val="auto"/>
          <w:kern w:val="2"/>
          <w:sz w:val="32"/>
          <w:szCs w:val="32"/>
          <w:lang w:val="en-US" w:eastAsia="zh-CN" w:bidi="ar-SA"/>
          <w:highlight w:val="auto"/>
        </w:rPr>
        <w:t>2024年度，</w:t>
      </w:r>
      <w:r>
        <w:rPr>
          <w:rFonts w:ascii="仿宋_GB2312" w:eastAsia="仿宋_GB2312" w:cs="仿宋_GB2312" w:hint="eastAsia"/>
          <w:sz w:val="32"/>
          <w:szCs w:val="32"/>
        </w:rPr>
        <w:t>四川省阿坝州民族高级中学</w:t>
      </w:r>
      <w:r>
        <w:rPr>
          <w:rFonts w:ascii="仿宋_GB2312" w:eastAsia="仿宋_GB2312" w:cs="仿宋_GB2312" w:hint="eastAsia"/>
          <w:color w:val="auto"/>
          <w:kern w:val="2"/>
          <w:sz w:val="32"/>
          <w:szCs w:val="32"/>
          <w:lang w:val="en-US" w:eastAsia="zh-CN" w:bidi="ar-SA"/>
          <w:highlight w:val="auto"/>
        </w:rPr>
        <w:t>政府采购支出总额</w:t>
      </w:r>
      <w:r>
        <w:rPr>
          <w:rFonts w:ascii="仿宋_GB2312" w:eastAsia="仿宋_GB2312" w:cs="仿宋_GB2312" w:hint="eastAsia"/>
          <w:sz w:val="32"/>
          <w:szCs w:val="32"/>
        </w:rPr>
        <w:t>43.94</w:t>
      </w:r>
      <w:r>
        <w:rPr>
          <w:rFonts w:ascii="仿宋_GB2312" w:eastAsia="仿宋_GB2312" w:cs="仿宋_GB2312" w:hint="eastAsia"/>
          <w:color w:val="auto"/>
          <w:kern w:val="2"/>
          <w:sz w:val="32"/>
          <w:szCs w:val="32"/>
          <w:lang w:val="en-US" w:eastAsia="zh-CN" w:bidi="ar-SA"/>
          <w:highlight w:val="auto"/>
        </w:rPr>
        <w:t>万元，其中：政府采购货物支出</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万元、政府采购工程支出</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万元、政府采购服务支出</w:t>
      </w:r>
      <w:r>
        <w:rPr>
          <w:rFonts w:ascii="仿宋_GB2312" w:eastAsia="仿宋_GB2312" w:cs="仿宋_GB2312" w:hint="eastAsia"/>
          <w:sz w:val="32"/>
          <w:szCs w:val="32"/>
        </w:rPr>
        <w:t>43.94</w:t>
      </w:r>
      <w:r>
        <w:rPr>
          <w:rFonts w:ascii="仿宋_GB2312" w:eastAsia="仿宋_GB2312" w:cs="仿宋_GB2312" w:hint="eastAsia"/>
          <w:color w:val="auto"/>
          <w:kern w:val="2"/>
          <w:sz w:val="32"/>
          <w:szCs w:val="32"/>
          <w:lang w:val="en-US" w:eastAsia="zh-CN" w:bidi="ar-SA"/>
          <w:highlight w:val="auto"/>
        </w:rPr>
        <w:t>万元。主要用于</w:t>
      </w:r>
      <w:r>
        <w:rPr>
          <w:rFonts w:ascii="仿宋_GB2312" w:eastAsia="仿宋_GB2312" w:cs="仿宋_GB2312"/>
          <w:color w:val="auto"/>
          <w:kern w:val="2"/>
          <w:sz w:val="32"/>
          <w:szCs w:val="32"/>
          <w:lang w:val="en-US" w:eastAsia="zh-CN" w:bidi="ar-SA"/>
          <w:highlight w:val="auto"/>
        </w:rPr>
        <w:t>学校临聘服务项目，食堂聘用人员工资</w:t>
      </w:r>
      <w:r>
        <w:rPr>
          <w:rFonts w:ascii="仿宋_GB2312" w:eastAsia="仿宋_GB2312" w:cs="仿宋_GB2312" w:hint="eastAsia"/>
          <w:color w:val="auto"/>
          <w:kern w:val="2"/>
          <w:sz w:val="32"/>
          <w:szCs w:val="32"/>
          <w:lang w:val="en-US" w:eastAsia="zh-CN" w:bidi="ar-SA"/>
          <w:highlight w:val="auto"/>
        </w:rPr>
        <w:t>。授予中小企业合同金额</w:t>
      </w:r>
      <w:r>
        <w:rPr>
          <w:rFonts w:ascii="仿宋_GB2312" w:eastAsia="仿宋_GB2312" w:cs="仿宋_GB2312" w:hint="eastAsia"/>
          <w:sz w:val="32"/>
          <w:szCs w:val="32"/>
        </w:rPr>
        <w:t>43.94</w:t>
      </w:r>
      <w:r>
        <w:rPr>
          <w:rFonts w:ascii="仿宋_GB2312" w:eastAsia="仿宋_GB2312" w:cs="仿宋_GB2312" w:hint="eastAsia"/>
          <w:color w:val="auto"/>
          <w:kern w:val="2"/>
          <w:sz w:val="32"/>
          <w:szCs w:val="32"/>
          <w:lang w:val="en-US" w:eastAsia="zh-CN" w:bidi="ar-SA"/>
          <w:highlight w:val="auto"/>
        </w:rPr>
        <w:t>万元，占政府采购支出总额的</w:t>
      </w:r>
      <w:r>
        <w:rPr>
          <w:rFonts w:ascii="仿宋_GB2312" w:eastAsia="仿宋_GB2312" w:cs="仿宋_GB2312" w:hint="eastAsia"/>
          <w:sz w:val="32"/>
          <w:szCs w:val="32"/>
        </w:rPr>
        <w:t>100</w:t>
      </w:r>
      <w:r>
        <w:rPr>
          <w:rFonts w:ascii="仿宋_GB2312" w:eastAsia="仿宋_GB2312" w:cs="仿宋_GB2312" w:hint="eastAsia"/>
          <w:color w:val="auto"/>
          <w:kern w:val="2"/>
          <w:sz w:val="32"/>
          <w:szCs w:val="32"/>
          <w:lang w:val="en-US" w:eastAsia="zh-CN" w:bidi="ar-SA"/>
          <w:highlight w:val="auto"/>
        </w:rPr>
        <w:t>%，其中：授予小微企业合同金额</w:t>
      </w:r>
      <w:r>
        <w:rPr>
          <w:rFonts w:ascii="仿宋_GB2312" w:eastAsia="仿宋_GB2312" w:cs="仿宋_GB2312" w:hint="eastAsia"/>
          <w:sz w:val="32"/>
          <w:szCs w:val="32"/>
        </w:rPr>
        <w:t>43.94</w:t>
      </w:r>
      <w:r>
        <w:rPr>
          <w:rFonts w:ascii="仿宋_GB2312" w:eastAsia="仿宋_GB2312" w:cs="仿宋_GB2312" w:hint="eastAsia"/>
          <w:color w:val="auto"/>
          <w:kern w:val="2"/>
          <w:sz w:val="32"/>
          <w:szCs w:val="32"/>
          <w:lang w:val="en-US" w:eastAsia="zh-CN" w:bidi="ar-SA"/>
          <w:highlight w:val="auto"/>
        </w:rPr>
        <w:t>万元，占政府采购支出总额的</w:t>
      </w:r>
      <w:r>
        <w:rPr>
          <w:rFonts w:ascii="仿宋_GB2312" w:eastAsia="仿宋_GB2312" w:cs="仿宋_GB2312" w:hint="eastAsia"/>
          <w:sz w:val="32"/>
          <w:szCs w:val="32"/>
        </w:rPr>
        <w:t>100</w:t>
      </w:r>
      <w:r>
        <w:rPr>
          <w:rFonts w:ascii="仿宋_GB2312" w:eastAsia="仿宋_GB2312" w:cs="仿宋_GB2312" w:hint="eastAsia"/>
          <w:color w:val="auto"/>
          <w:kern w:val="2"/>
          <w:sz w:val="32"/>
          <w:szCs w:val="32"/>
          <w:lang w:val="en-US" w:eastAsia="zh-CN" w:bidi="ar-SA"/>
          <w:highlight w:val="auto"/>
        </w:rPr>
        <w:t>%。</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50" w:name="_Toc15377224"/>
      <w:r>
        <w:rPr>
          <w:rFonts w:ascii="Times New Roman" w:eastAsia="楷体_GB2312" w:cs="楷体_GB2312" w:hAnsi="Times New Roman" w:hint="eastAsia"/>
          <w:b/>
          <w:color w:val="auto"/>
          <w:sz w:val="32"/>
          <w:szCs w:val="32"/>
          <w:highlight w:val="auto"/>
        </w:rPr>
        <w:t>（三）国有资产占有使用情况</w:t>
      </w:r>
      <w:bookmarkEnd w:id="50"/>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仿宋_GB2312" w:eastAsia="仿宋_GB2312" w:cs="仿宋_GB2312" w:hint="eastAsia"/>
          <w:color w:val="auto"/>
          <w:kern w:val="2"/>
          <w:sz w:val="32"/>
          <w:szCs w:val="32"/>
          <w:lang w:val="en-US" w:eastAsia="zh-CN" w:bidi="ar-SA"/>
          <w:highlight w:val="auto"/>
        </w:rPr>
        <w:t>截至2024年12月31日，</w:t>
      </w:r>
      <w:r>
        <w:rPr>
          <w:rFonts w:ascii="仿宋_GB2312" w:eastAsia="仿宋_GB2312" w:cs="仿宋_GB2312" w:hint="eastAsia"/>
          <w:sz w:val="32"/>
          <w:szCs w:val="32"/>
        </w:rPr>
        <w:t>四川省阿坝州民族高级中学</w:t>
      </w:r>
      <w:r>
        <w:rPr>
          <w:rFonts w:ascii="仿宋_GB2312" w:eastAsia="仿宋_GB2312" w:cs="仿宋_GB2312" w:hint="eastAsia"/>
          <w:color w:val="auto"/>
          <w:kern w:val="2"/>
          <w:sz w:val="32"/>
          <w:szCs w:val="32"/>
          <w:lang w:val="en-US" w:eastAsia="zh-CN" w:bidi="ar-SA"/>
          <w:highlight w:val="auto"/>
        </w:rPr>
        <w:t>共有车辆</w:t>
      </w:r>
      <w:r>
        <w:rPr>
          <w:rFonts w:ascii="仿宋_GB2312" w:eastAsia="仿宋_GB2312" w:cs="仿宋_GB2312" w:hint="eastAsia"/>
          <w:sz w:val="32"/>
          <w:szCs w:val="32"/>
        </w:rPr>
        <w:t>3</w:t>
      </w:r>
      <w:r>
        <w:rPr>
          <w:rFonts w:ascii="仿宋_GB2312" w:eastAsia="仿宋_GB2312" w:cs="仿宋_GB2312" w:hint="eastAsia"/>
          <w:color w:val="auto"/>
          <w:kern w:val="2"/>
          <w:sz w:val="32"/>
          <w:szCs w:val="32"/>
          <w:lang w:val="en-US" w:eastAsia="zh-CN" w:bidi="ar-SA"/>
          <w:highlight w:val="auto"/>
        </w:rPr>
        <w:t>辆，其中：主要负责人用车</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辆、机要通信用车</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辆、应急保障用车</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辆、其他用车</w:t>
      </w:r>
      <w:r>
        <w:rPr>
          <w:rFonts w:ascii="仿宋_GB2312" w:eastAsia="仿宋_GB2312" w:cs="仿宋_GB2312" w:hint="eastAsia"/>
          <w:sz w:val="32"/>
          <w:szCs w:val="32"/>
        </w:rPr>
        <w:t>3</w:t>
      </w:r>
      <w:r>
        <w:rPr>
          <w:rFonts w:ascii="仿宋_GB2312" w:eastAsia="仿宋_GB2312" w:cs="仿宋_GB2312" w:hint="eastAsia"/>
          <w:color w:val="auto"/>
          <w:kern w:val="2"/>
          <w:sz w:val="32"/>
          <w:szCs w:val="32"/>
          <w:lang w:val="en-US" w:eastAsia="zh-CN" w:bidi="ar-SA"/>
          <w:highlight w:val="auto"/>
        </w:rPr>
        <w:t>辆，其他用车主要是用于</w:t>
      </w:r>
      <w:r>
        <w:rPr>
          <w:rFonts w:ascii="仿宋_GB2312" w:eastAsia="仿宋_GB2312" w:cs="仿宋_GB2312"/>
          <w:color w:val="auto"/>
          <w:kern w:val="2"/>
          <w:sz w:val="32"/>
          <w:szCs w:val="32"/>
          <w:lang w:val="en-US" w:eastAsia="zh-CN" w:bidi="ar-SA"/>
          <w:highlight w:val="auto"/>
        </w:rPr>
        <w:t>无</w:t>
      </w:r>
      <w:r>
        <w:rPr>
          <w:rFonts w:ascii="仿宋_GB2312" w:eastAsia="仿宋_GB2312" w:cs="仿宋_GB2312" w:hint="eastAsia"/>
          <w:color w:val="auto"/>
          <w:kern w:val="2"/>
          <w:sz w:val="32"/>
          <w:szCs w:val="32"/>
          <w:lang w:val="en-US" w:eastAsia="zh-CN" w:bidi="ar-SA"/>
          <w:highlight w:val="auto"/>
        </w:rPr>
        <w:t>。单价100万元（含）以上设备（不含车辆）</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台（套）</w:t>
      </w:r>
      <w:r>
        <w:rPr>
          <w:rFonts w:ascii="Times New Roman" w:eastAsia="仿宋_GB2312" w:cs="仿宋_GB2312" w:hAnsi="Times New Roman" w:hint="eastAsia"/>
          <w:color w:val="auto"/>
          <w:kern w:val="2"/>
          <w:sz w:val="32"/>
          <w:szCs w:val="32"/>
          <w:lang w:val="en-US" w:eastAsia="zh-CN" w:bidi="ar-SA"/>
          <w:highlight w:val="auto"/>
        </w:rPr>
        <w:t>。</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r>
        <w:rPr>
          <w:rFonts w:ascii="Times New Roman" w:eastAsia="楷体_GB2312" w:cs="楷体_GB2312" w:hAnsi="Times New Roman" w:hint="eastAsia"/>
          <w:b/>
          <w:color w:val="auto"/>
          <w:sz w:val="32"/>
          <w:szCs w:val="32"/>
          <w:highlight w:val="auto"/>
        </w:rPr>
        <w:t>（四）预算绩效管理情况</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根据预算绩效管理要求，</w:t>
      </w:r>
      <w:r>
        <w:rPr>
          <w:rFonts w:ascii="Times New Roman" w:eastAsia="仿宋_GB2312" w:cs="仿宋_GB2312" w:hAnsi="Times New Roman"/>
          <w:color w:val="auto"/>
          <w:kern w:val="2"/>
          <w:sz w:val="32"/>
          <w:szCs w:val="32"/>
          <w:lang w:val="en-US" w:eastAsia="zh-CN" w:bidi="ar-SA"/>
          <w:highlight w:val="auto"/>
        </w:rPr>
        <w:t>本单位</w:t>
      </w:r>
      <w:r>
        <w:rPr>
          <w:rFonts w:ascii="Times New Roman" w:eastAsia="仿宋_GB2312" w:cs="仿宋_GB2312" w:hAnsi="Times New Roman" w:hint="eastAsia"/>
          <w:color w:val="auto"/>
          <w:kern w:val="2"/>
          <w:sz w:val="32"/>
          <w:szCs w:val="32"/>
          <w:lang w:val="en-US" w:eastAsia="zh-CN" w:bidi="ar-SA"/>
          <w:highlight w:val="auto"/>
        </w:rPr>
        <w:t>在2024年度预算编制阶段，组织对</w:t>
      </w:r>
      <w:r>
        <w:rPr>
          <w:rFonts w:ascii="Times New Roman" w:eastAsia="仿宋_GB2312" w:cs="仿宋_GB2312" w:hAnsi="Times New Roman"/>
          <w:color w:val="auto"/>
          <w:kern w:val="2"/>
          <w:sz w:val="32"/>
          <w:szCs w:val="32"/>
          <w:lang w:val="en-US" w:eastAsia="zh-CN" w:bidi="ar-SA"/>
          <w:highlight w:val="auto"/>
        </w:rPr>
        <w:t>四川省阿坝州民族高级中学校志编撰</w:t>
      </w:r>
      <w:r>
        <w:rPr>
          <w:rFonts w:ascii="Times New Roman" w:eastAsia="仿宋_GB2312" w:cs="仿宋_GB2312" w:hAnsi="Times New Roman" w:hint="eastAsia"/>
          <w:color w:val="auto"/>
          <w:kern w:val="2"/>
          <w:sz w:val="32"/>
          <w:szCs w:val="32"/>
          <w:lang w:val="en-US" w:eastAsia="zh-CN" w:bidi="ar-SA"/>
          <w:highlight w:val="auto"/>
        </w:rPr>
        <w:t>（项目名称）等</w:t>
      </w:r>
      <w:r>
        <w:rPr>
          <w:rFonts w:ascii="Times New Roman" w:eastAsia="仿宋_GB2312" w:cs="仿宋_GB2312" w:hAnsi="Times New Roman"/>
          <w:color w:val="auto"/>
          <w:kern w:val="2"/>
          <w:sz w:val="32"/>
          <w:szCs w:val="32"/>
          <w:lang w:val="en-US" w:eastAsia="zh-CN" w:bidi="ar-SA"/>
          <w:highlight w:val="auto"/>
        </w:rPr>
        <w:t>16</w:t>
      </w:r>
      <w:r>
        <w:rPr>
          <w:rFonts w:ascii="Times New Roman" w:eastAsia="仿宋_GB2312" w:cs="仿宋_GB2312" w:hAnsi="Times New Roman" w:hint="eastAsia"/>
          <w:color w:val="auto"/>
          <w:kern w:val="2"/>
          <w:sz w:val="32"/>
          <w:szCs w:val="32"/>
          <w:lang w:val="en-US" w:eastAsia="zh-CN" w:bidi="ar-SA"/>
          <w:highlight w:val="auto"/>
        </w:rPr>
        <w:t>个项目开展了预算事前绩效评估，对</w:t>
      </w:r>
      <w:r>
        <w:rPr>
          <w:rFonts w:ascii="Times New Roman" w:eastAsia="仿宋_GB2312" w:cs="仿宋_GB2312" w:hAnsi="Times New Roman"/>
          <w:color w:val="auto"/>
          <w:kern w:val="2"/>
          <w:sz w:val="32"/>
          <w:szCs w:val="32"/>
          <w:lang w:val="en-US" w:eastAsia="zh-CN" w:bidi="ar-SA"/>
          <w:highlight w:val="auto"/>
        </w:rPr>
        <w:t>16</w:t>
      </w:r>
      <w:r>
        <w:rPr>
          <w:rFonts w:ascii="Times New Roman" w:eastAsia="仿宋_GB2312" w:cs="仿宋_GB2312" w:hAnsi="Times New Roman" w:hint="eastAsia"/>
          <w:color w:val="auto"/>
          <w:kern w:val="2"/>
          <w:sz w:val="32"/>
          <w:szCs w:val="32"/>
          <w:lang w:val="en-US" w:eastAsia="zh-CN" w:bidi="ar-SA"/>
          <w:highlight w:val="auto"/>
        </w:rPr>
        <w:t>个项目编制了绩效目标，预算执行过程中，选取</w:t>
      </w:r>
      <w:r>
        <w:rPr>
          <w:rFonts w:ascii="Times New Roman" w:eastAsia="仿宋_GB2312" w:cs="仿宋_GB2312" w:hAnsi="Times New Roman"/>
          <w:color w:val="auto"/>
          <w:kern w:val="2"/>
          <w:sz w:val="32"/>
          <w:szCs w:val="32"/>
          <w:lang w:val="en-US" w:eastAsia="zh-CN" w:bidi="ar-SA"/>
          <w:highlight w:val="auto"/>
        </w:rPr>
        <w:t>16</w:t>
      </w:r>
      <w:r>
        <w:rPr>
          <w:rFonts w:ascii="Times New Roman" w:eastAsia="仿宋_GB2312" w:cs="仿宋_GB2312" w:hAnsi="Times New Roman" w:hint="eastAsia"/>
          <w:color w:val="auto"/>
          <w:kern w:val="2"/>
          <w:sz w:val="32"/>
          <w:szCs w:val="32"/>
          <w:lang w:val="en-US" w:eastAsia="zh-CN" w:bidi="ar-SA"/>
          <w:highlight w:val="auto"/>
        </w:rPr>
        <w:t>个项目开展绩效监控。</w:t>
      </w:r>
    </w:p>
    <w:p>
      <w:pPr>
        <w:jc w:val="left"/>
        <w:rPr>
          <w:rFonts w:eastAsia="楷体_GB2312" w:cs="宋体" w:hint="eastAsia"/>
          <w:b/>
          <w:bCs/>
          <w:sz w:val="32"/>
          <w:szCs w:val="32"/>
        </w:rPr>
      </w:pPr>
      <w:r>
        <w:rPr>
          <w:rFonts w:ascii="Times New Roman" w:eastAsia="仿宋_GB2312" w:cs="仿宋_GB2312" w:hAnsi="Times New Roman" w:hint="eastAsia"/>
          <w:color w:val="auto"/>
          <w:kern w:val="2"/>
          <w:sz w:val="32"/>
          <w:szCs w:val="32"/>
          <w:lang w:val="en-US" w:eastAsia="zh-CN" w:bidi="ar-SA"/>
          <w:highlight w:val="auto"/>
        </w:rPr>
        <w:t>组织对2024年度一般公共预算、政府性基金预算、国有资本经营预算、社会保险基金预算以及资本资产、债券资金等全面开展绩效自评，形成</w:t>
      </w:r>
      <w:r>
        <w:rPr>
          <w:rFonts w:ascii="Times New Roman" w:eastAsia="仿宋_GB2312" w:cs="仿宋_GB2312" w:hAnsi="Times New Roman"/>
          <w:color w:val="auto"/>
          <w:kern w:val="2"/>
          <w:sz w:val="32"/>
          <w:szCs w:val="32"/>
          <w:lang w:val="en-US" w:eastAsia="zh-CN" w:bidi="ar-SA"/>
          <w:highlight w:val="auto"/>
        </w:rPr>
        <w:t>四川省阿坝州民族高级中学</w:t>
      </w:r>
      <w:r>
        <w:rPr>
          <w:rFonts w:ascii="Times New Roman" w:eastAsia="仿宋_GB2312" w:cs="仿宋_GB2312" w:hAnsi="Times New Roman" w:hint="eastAsia"/>
          <w:color w:val="auto"/>
          <w:kern w:val="2"/>
          <w:sz w:val="32"/>
          <w:szCs w:val="32"/>
          <w:lang w:val="en-US" w:eastAsia="zh-CN" w:bidi="ar-SA"/>
          <w:highlight w:val="auto"/>
        </w:rPr>
        <w:t>部门整体（含部门预算项目）绩效自评报告、</w:t>
      </w:r>
      <w:r>
        <w:rPr>
          <w:rFonts w:ascii="Times New Roman" w:eastAsia="仿宋_GB2312" w:cs="仿宋_GB2312" w:hAnsi="Times New Roman"/>
          <w:color w:val="auto"/>
          <w:kern w:val="2"/>
          <w:sz w:val="32"/>
          <w:szCs w:val="32"/>
          <w:lang w:val="en-US" w:eastAsia="zh-CN" w:bidi="ar-SA"/>
          <w:highlight w:val="auto"/>
        </w:rPr>
        <w:t>四川省阿坝州民族高级中学校志编撰</w:t>
      </w:r>
      <w:r>
        <w:rPr>
          <w:rFonts w:ascii="Times New Roman" w:eastAsia="仿宋_GB2312" w:cs="仿宋_GB2312" w:hAnsi="Times New Roman" w:hint="eastAsia"/>
          <w:color w:val="auto"/>
          <w:kern w:val="2"/>
          <w:sz w:val="32"/>
          <w:szCs w:val="32"/>
          <w:lang w:val="en-US" w:eastAsia="zh-CN" w:bidi="ar-SA"/>
          <w:highlight w:val="auto"/>
        </w:rPr>
        <w:t>等专项预算项目绩效自评报告，其中，</w:t>
      </w:r>
      <w:r>
        <w:rPr>
          <w:rFonts w:ascii="Times New Roman" w:eastAsia="仿宋_GB2312" w:cs="仿宋_GB2312" w:hAnsi="Times New Roman"/>
          <w:color w:val="auto"/>
          <w:kern w:val="2"/>
          <w:sz w:val="32"/>
          <w:szCs w:val="32"/>
          <w:lang w:val="en-US" w:eastAsia="zh-CN" w:bidi="ar-SA"/>
          <w:highlight w:val="auto"/>
        </w:rPr>
        <w:t>四川省阿坝州民族高级中学</w:t>
      </w:r>
      <w:r>
        <w:rPr>
          <w:rFonts w:ascii="Times New Roman" w:eastAsia="仿宋_GB2312" w:cs="仿宋_GB2312" w:hAnsi="Times New Roman" w:hint="eastAsia"/>
          <w:color w:val="auto"/>
          <w:kern w:val="2"/>
          <w:sz w:val="32"/>
          <w:szCs w:val="32"/>
          <w:lang w:val="en-US" w:eastAsia="zh-CN" w:bidi="ar-SA"/>
          <w:highlight w:val="auto"/>
        </w:rPr>
        <w:t>部门整体（含部门预算项目）绩效自评得分为</w:t>
      </w:r>
      <w:r>
        <w:rPr>
          <w:rFonts w:ascii="Times New Roman" w:eastAsia="仿宋_GB2312" w:cs="仿宋_GB2312" w:hAnsi="Times New Roman"/>
          <w:color w:val="auto"/>
          <w:kern w:val="2"/>
          <w:sz w:val="32"/>
          <w:szCs w:val="32"/>
          <w:lang w:val="en-US" w:eastAsia="zh-CN" w:bidi="ar-SA"/>
          <w:highlight w:val="auto"/>
        </w:rPr>
        <w:t>90.26</w:t>
      </w:r>
      <w:r>
        <w:rPr>
          <w:rFonts w:ascii="Times New Roman" w:eastAsia="仿宋_GB2312" w:cs="仿宋_GB2312" w:hAnsi="Times New Roman" w:hint="eastAsia"/>
          <w:color w:val="auto"/>
          <w:kern w:val="2"/>
          <w:sz w:val="32"/>
          <w:szCs w:val="32"/>
          <w:lang w:val="en-US" w:eastAsia="zh-CN" w:bidi="ar-SA"/>
          <w:highlight w:val="auto"/>
        </w:rPr>
        <w:t>分，绩效自评综述</w:t>
      </w:r>
      <w:r>
        <w:rPr>
          <w:rFonts w:eastAsia="仿宋_GB2312" w:cs="仿宋_GB2312"/>
          <w:sz w:val="32"/>
          <w:szCs w:val="32"/>
          <w:lang w:val="en-US" w:eastAsia="zh-CN"/>
        </w:rPr>
        <w:t>提升教育教学质量与师资水平，促进学生全面且个性化发展，优化智慧管理与服务体系，深化家校社协同育人，打造特色教育品牌，实现学校整体办学水平与社会影响力的全面提升</w:t>
      </w:r>
      <w:r>
        <w:rPr>
          <w:rFonts w:ascii="Times New Roman" w:eastAsia="仿宋_GB2312" w:cs="仿宋_GB2312" w:hAnsi="Times New Roman" w:hint="eastAsia"/>
          <w:color w:val="auto"/>
          <w:kern w:val="2"/>
          <w:sz w:val="32"/>
          <w:szCs w:val="32"/>
          <w:lang w:val="en-US" w:eastAsia="zh-CN" w:bidi="ar-SA"/>
          <w:highlight w:val="auto"/>
        </w:rPr>
        <w:t>；</w:t>
      </w:r>
      <w:r>
        <w:rPr>
          <w:rFonts w:eastAsia="仿宋_GB2312" w:cs="仿宋_GB2312"/>
          <w:bCs/>
          <w:sz w:val="32"/>
          <w:szCs w:val="32"/>
          <w:lang w:val="en-US"/>
          <w:highlight w:val="auto"/>
        </w:rPr>
        <w:t>追加州级部门公务用车更新、购置经费</w:t>
      </w:r>
      <w:r>
        <w:rPr>
          <w:rStyle w:val="0"/>
          <w:rFonts w:ascii="??" w:eastAsia="仿宋_GB2312" w:cs="仿宋_GB2312" w:hAnsi="??" w:hint="eastAsia"/>
          <w:color w:val="000000"/>
          <w:kern w:val="0"/>
          <w:sz w:val="32"/>
          <w:szCs w:val="32"/>
          <w:lang w:bidi="ar-SA"/>
          <w:highlight w:val="auto"/>
        </w:rPr>
        <w:t>专</w:t>
      </w:r>
      <w:r>
        <w:rPr>
          <w:rFonts w:ascii="Times New Roman" w:eastAsia="仿宋_GB2312" w:cs="仿宋_GB2312" w:hAnsi="Times New Roman" w:hint="eastAsia"/>
          <w:color w:val="auto"/>
          <w:kern w:val="2"/>
          <w:sz w:val="32"/>
          <w:szCs w:val="32"/>
          <w:lang w:val="en-US" w:eastAsia="zh-CN" w:bidi="ar-SA"/>
          <w:highlight w:val="auto"/>
        </w:rPr>
        <w:t>项预算项目绩效自评得分为</w:t>
      </w:r>
      <w:r>
        <w:rPr>
          <w:rFonts w:ascii="Times New Roman" w:eastAsia="仿宋_GB2312" w:cs="仿宋_GB2312" w:hAnsi="Times New Roman"/>
          <w:color w:val="auto"/>
          <w:kern w:val="2"/>
          <w:sz w:val="32"/>
          <w:szCs w:val="32"/>
          <w:lang w:val="en-US" w:eastAsia="zh-CN" w:bidi="ar-SA"/>
          <w:highlight w:val="auto"/>
        </w:rPr>
        <w:t>95</w:t>
      </w:r>
      <w:r>
        <w:rPr>
          <w:rFonts w:ascii="Times New Roman" w:eastAsia="仿宋_GB2312" w:cs="仿宋_GB2312" w:hAnsi="Times New Roman" w:hint="eastAsia"/>
          <w:color w:val="auto"/>
          <w:kern w:val="2"/>
          <w:sz w:val="32"/>
          <w:szCs w:val="32"/>
          <w:lang w:val="en-US" w:eastAsia="zh-CN" w:bidi="ar-SA"/>
          <w:highlight w:val="auto"/>
        </w:rPr>
        <w:t>分，绩效自评综述</w:t>
      </w:r>
      <w:r>
        <w:rPr>
          <w:rFonts w:ascii="Times New Roman" w:eastAsia="仿宋_GB2312" w:cs="仿宋_GB2312" w:hAnsi="Times New Roman"/>
          <w:color w:val="auto"/>
          <w:kern w:val="2"/>
          <w:sz w:val="32"/>
          <w:szCs w:val="32"/>
          <w:lang w:val="en-US" w:eastAsia="zh-CN" w:bidi="ar-SA"/>
          <w:highlight w:val="auto"/>
        </w:rPr>
        <w:t>更新购置公务用车后，有效提升了部门公务出行的效率和服务质量，车辆的合理配置和良好维护，可保证长期稳定运行，为单位工作提供持续保障；</w:t>
      </w:r>
      <w:r>
        <w:rPr>
          <w:rFonts w:eastAsia="仿宋_GB2312" w:cs="仿宋_GB2312"/>
          <w:bCs/>
          <w:sz w:val="32"/>
          <w:szCs w:val="32"/>
        </w:rPr>
        <w:t>四川省阿坝州民族高级中学校志编撰服务专项预算绩效</w:t>
      </w:r>
      <w:r>
        <w:rPr>
          <w:rFonts w:eastAsia="仿宋_GB2312" w:cs="仿宋_GB2312" w:hint="eastAsia"/>
          <w:sz w:val="32"/>
          <w:szCs w:val="32"/>
          <w:highlight w:val="auto"/>
        </w:rPr>
        <w:t>项目</w:t>
      </w:r>
      <w:r>
        <w:rPr>
          <w:rFonts w:ascii="Times New Roman" w:eastAsia="仿宋_GB2312" w:cs="仿宋_GB2312" w:hAnsi="Times New Roman" w:hint="eastAsia"/>
          <w:color w:val="auto"/>
          <w:kern w:val="2"/>
          <w:sz w:val="32"/>
          <w:szCs w:val="32"/>
          <w:lang w:val="en-US" w:eastAsia="zh-CN" w:bidi="ar-SA"/>
          <w:highlight w:val="auto"/>
        </w:rPr>
        <w:t>自评得分为</w:t>
      </w:r>
      <w:r>
        <w:rPr>
          <w:rFonts w:ascii="Times New Roman" w:eastAsia="仿宋_GB2312" w:cs="仿宋_GB2312" w:hAnsi="Times New Roman"/>
          <w:color w:val="auto"/>
          <w:kern w:val="2"/>
          <w:sz w:val="32"/>
          <w:szCs w:val="32"/>
          <w:lang w:val="en-US" w:eastAsia="zh-CN" w:bidi="ar-SA"/>
          <w:highlight w:val="auto"/>
        </w:rPr>
        <w:t>87</w:t>
      </w:r>
      <w:r>
        <w:rPr>
          <w:rFonts w:ascii="Times New Roman" w:eastAsia="仿宋_GB2312" w:cs="仿宋_GB2312" w:hAnsi="Times New Roman" w:hint="eastAsia"/>
          <w:color w:val="auto"/>
          <w:kern w:val="2"/>
          <w:sz w:val="32"/>
          <w:szCs w:val="32"/>
          <w:lang w:val="en-US" w:eastAsia="zh-CN" w:bidi="ar-SA"/>
          <w:highlight w:val="auto"/>
        </w:rPr>
        <w:t>分，绩效自评综述</w:t>
      </w:r>
      <w:r>
        <w:rPr>
          <w:rFonts w:ascii="Times New Roman" w:eastAsia="仿宋_GB2312" w:cs="仿宋_GB2312" w:hAnsi="Times New Roman"/>
          <w:color w:val="auto"/>
          <w:kern w:val="2"/>
          <w:sz w:val="32"/>
          <w:szCs w:val="32"/>
          <w:lang w:val="en-US" w:eastAsia="zh-CN" w:bidi="ar-SA"/>
          <w:highlight w:val="auto"/>
        </w:rPr>
        <w:t>梳理办学历程、总结办学经验、传承民族教育特色、彰显学校文化底蕴，在民族教育、人才培养文化传承等方面积累了吩咐历史资料；</w:t>
      </w:r>
      <w:r>
        <w:rPr>
          <w:rFonts w:ascii="Times New Roman" w:eastAsia="仿宋_GB2312" w:cs="仿宋_GB2312" w:hAnsi="Times New Roman" w:hint="eastAsia"/>
          <w:color w:val="auto"/>
          <w:kern w:val="2"/>
          <w:sz w:val="32"/>
          <w:szCs w:val="32"/>
          <w:lang w:val="en-US" w:eastAsia="zh-CN" w:bidi="ar-SA"/>
          <w:highlight w:val="auto"/>
        </w:rPr>
        <w:t>绩效自评报告详见附件。</w:t>
      </w:r>
      <w:r>
        <w:rPr>
          <w:rFonts w:ascii="Times New Roman" w:eastAsia="仿宋_GB2312" w:cs="仿宋_GB2312" w:hAnsi="Times New Roman" w:hint="eastAsia"/>
          <w:b/>
          <w:bCs/>
          <w:color w:val="auto"/>
          <w:kern w:val="2"/>
          <w:sz w:val="32"/>
          <w:szCs w:val="32"/>
          <w:lang w:val="en-US" w:eastAsia="zh-CN" w:bidi="ar-SA"/>
          <w:highlight w:val="auto"/>
        </w:rPr>
        <w:t>（</w:t>
      </w:r>
      <w:r>
        <w:rPr>
          <w:rFonts w:eastAsia="仿宋_GB2312" w:cs="仿宋_GB2312" w:hint="eastAsia"/>
          <w:b/>
          <w:bCs/>
          <w:color w:val="auto"/>
          <w:kern w:val="2"/>
          <w:sz w:val="32"/>
          <w:szCs w:val="32"/>
          <w:lang w:val="en-US" w:eastAsia="zh-CN" w:bidi="ar-SA"/>
          <w:highlight w:val="auto"/>
        </w:rPr>
        <w:t>注：</w:t>
      </w:r>
      <w:r>
        <w:rPr>
          <w:rFonts w:ascii="Times New Roman" w:eastAsia="仿宋_GB2312" w:cs="仿宋_GB2312" w:hAnsi="Times New Roman" w:hint="eastAsia"/>
          <w:b/>
          <w:bCs/>
          <w:color w:val="auto"/>
          <w:kern w:val="2"/>
          <w:sz w:val="32"/>
          <w:szCs w:val="32"/>
          <w:lang w:val="en-US" w:eastAsia="zh-CN" w:bidi="ar-SA"/>
          <w:highlight w:val="auto"/>
        </w:rPr>
        <w:t>如不涉及，可根据实际修改表述。）</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jc w:val="center"/>
        <w:outlineLvl w:val="0"/>
        <w:rPr>
          <w:rFonts w:ascii="Times New Roman" w:eastAsia="黑体" w:hAnsi="Times New Roman" w:hint="eastAsia"/>
          <w:color w:val="auto"/>
          <w:sz w:val="44"/>
          <w:szCs w:val="44"/>
          <w:highlight w:val="auto"/>
        </w:rPr>
      </w:pPr>
      <w:bookmarkStart w:id="51" w:name="_Toc15377225"/>
      <w:bookmarkStart w:id="52" w:name="_Toc15396613"/>
      <w:r>
        <w:rPr>
          <w:rFonts w:ascii="Times New Roman" w:eastAsia="黑体" w:hAnsi="Times New Roman" w:hint="eastAsia"/>
          <w:color w:val="auto"/>
          <w:sz w:val="44"/>
          <w:szCs w:val="44"/>
          <w:highlight w:val="auto"/>
        </w:rPr>
        <w:t>第</w:t>
      </w:r>
      <w:r>
        <w:rPr>
          <w:rFonts w:eastAsia="黑体" w:hint="eastAsia"/>
          <w:color w:val="auto"/>
          <w:sz w:val="44"/>
          <w:szCs w:val="44"/>
          <w:lang w:eastAsia="zh-CN"/>
          <w:highlight w:val="auto"/>
        </w:rPr>
        <w:t>三</w:t>
      </w:r>
      <w:r>
        <w:rPr>
          <w:rFonts w:ascii="Times New Roman" w:eastAsia="黑体" w:hAnsi="Times New Roman" w:hint="eastAsia"/>
          <w:color w:val="auto"/>
          <w:sz w:val="44"/>
          <w:szCs w:val="44"/>
          <w:highlight w:val="auto"/>
        </w:rPr>
        <w:t>部分</w:t>
      </w:r>
      <w:r>
        <w:rPr>
          <w:rFonts w:ascii="Times New Roman" w:eastAsia="黑体" w:hAnsi="Times New Roman" w:hint="eastAsia"/>
          <w:color w:val="auto"/>
          <w:sz w:val="44"/>
          <w:szCs w:val="44"/>
          <w:lang w:val="en-US" w:eastAsia="zh-CN"/>
          <w:highlight w:val="auto"/>
        </w:rPr>
        <w:t xml:space="preserve"> </w:t>
      </w:r>
      <w:r>
        <w:rPr>
          <w:rFonts w:eastAsia="黑体" w:hint="eastAsia"/>
          <w:color w:val="auto"/>
          <w:sz w:val="44"/>
          <w:szCs w:val="44"/>
          <w:lang w:val="en-US" w:eastAsia="zh-CN"/>
          <w:highlight w:val="auto"/>
        </w:rPr>
        <w:t xml:space="preserve"> </w:t>
      </w:r>
      <w:r>
        <w:rPr>
          <w:rFonts w:ascii="Times New Roman" w:eastAsia="黑体" w:hAnsi="Times New Roman" w:hint="eastAsia"/>
          <w:color w:val="auto"/>
          <w:sz w:val="44"/>
          <w:szCs w:val="44"/>
          <w:highlight w:val="auto"/>
        </w:rPr>
        <w:t>名词解释</w:t>
      </w:r>
      <w:bookmarkEnd w:id="51"/>
      <w:bookmarkEnd w:id="52"/>
    </w:p>
    <w:p>
      <w:pPr>
        <w:spacing w:line="600" w:lineRule="exact"/>
        <w:jc w:val="left"/>
        <w:rPr>
          <w:rFonts w:ascii="Times New Roman" w:hAnsi="Times New Roman"/>
          <w:b/>
          <w:color w:val="auto"/>
          <w:sz w:val="44"/>
          <w:szCs w:val="44"/>
          <w:highlight w:val="auto"/>
        </w:rPr>
      </w:pP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1.财政拨款收入：指单位从同级财政部门取得的财政预算资金。</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2.事业收入：指事业单位开展专业业务活动及辅助活动取得的收入。如……（二级预算单位事业收入情况）等。</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3.经营收入：指事业单位在专业业务活动及其辅助活动之外开展非独立核算经营活动取得的收入。如……（二级预算单位经营收入情况）等。</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 xml:space="preserve">4.其他收入：指单位取得的除上述收入以外的各项收入。主要是……（收入类型）等。 </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 xml:space="preserve">5.使用非财政拨款结余（含专用结余）：指事业单位使用以前年度积累的非财政拨款结余弥补当年收支差额的金额。 </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 xml:space="preserve">6.年初结转和结余：指以前年度尚未完成、结转到本年按有关规定继续使用的资金。 </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7.结余分配：指事业单位按照会计制度规定缴纳的所得税、提取的专用结余以及转入非财政拨款结余的金额等。</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8.年末结转和结余：指单位按有关规定结转到下年或以后年度继续使用的资金。</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9.一般公共服务（类）</w:t>
      </w:r>
      <w:r>
        <w:rPr>
          <w:rFonts w:ascii="Times New Roman" w:eastAsia="仿宋_GB2312" w:cs="仿宋_GB2312" w:hAnsi="Times New Roman"/>
          <w:color w:val="auto"/>
          <w:kern w:val="2"/>
          <w:sz w:val="32"/>
          <w:szCs w:val="32"/>
          <w:lang w:val="en-US" w:eastAsia="zh-CN" w:bidi="ar-SA"/>
          <w:highlight w:val="auto"/>
        </w:rPr>
        <w:t>00</w:t>
      </w:r>
      <w:r>
        <w:rPr>
          <w:rFonts w:ascii="Times New Roman" w:eastAsia="仿宋_GB2312" w:cs="仿宋_GB2312" w:hAnsi="Times New Roman" w:hint="eastAsia"/>
          <w:color w:val="auto"/>
          <w:kern w:val="2"/>
          <w:sz w:val="32"/>
          <w:szCs w:val="32"/>
          <w:lang w:val="en-US" w:eastAsia="zh-CN" w:bidi="ar-SA"/>
          <w:highlight w:val="auto"/>
        </w:rPr>
        <w:t>（款）</w:t>
      </w:r>
      <w:r>
        <w:rPr>
          <w:rFonts w:ascii="Times New Roman" w:eastAsia="仿宋_GB2312" w:cs="仿宋_GB2312" w:hAnsi="Times New Roman"/>
          <w:color w:val="auto"/>
          <w:kern w:val="2"/>
          <w:sz w:val="32"/>
          <w:szCs w:val="32"/>
          <w:lang w:val="en-US" w:eastAsia="zh-CN" w:bidi="ar-SA"/>
          <w:highlight w:val="auto"/>
        </w:rPr>
        <w:t>00</w:t>
      </w:r>
      <w:r>
        <w:rPr>
          <w:rFonts w:ascii="Times New Roman" w:eastAsia="仿宋_GB2312" w:cs="仿宋_GB2312" w:hAnsi="Times New Roman" w:hint="eastAsia"/>
          <w:color w:val="auto"/>
          <w:kern w:val="2"/>
          <w:sz w:val="32"/>
          <w:szCs w:val="32"/>
          <w:lang w:val="en-US" w:eastAsia="zh-CN" w:bidi="ar-SA"/>
          <w:highlight w:val="auto"/>
        </w:rPr>
        <w:t>（项）：指</w:t>
      </w:r>
      <w:r>
        <w:rPr>
          <w:rFonts w:ascii="Times New Roman" w:eastAsia="仿宋_GB2312" w:cs="仿宋_GB2312" w:hAnsi="Times New Roman"/>
          <w:color w:val="auto"/>
          <w:kern w:val="2"/>
          <w:sz w:val="32"/>
          <w:szCs w:val="32"/>
          <w:lang w:val="en-US" w:eastAsia="zh-CN" w:bidi="ar-SA"/>
          <w:highlight w:val="auto"/>
        </w:rPr>
        <w:t>无</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10.外交（类）</w:t>
      </w:r>
      <w:r>
        <w:rPr>
          <w:rFonts w:ascii="Times New Roman" w:eastAsia="仿宋_GB2312" w:cs="仿宋_GB2312" w:hAnsi="Times New Roman"/>
          <w:color w:val="auto"/>
          <w:kern w:val="2"/>
          <w:sz w:val="32"/>
          <w:szCs w:val="32"/>
          <w:lang w:val="en-US" w:eastAsia="zh-CN" w:bidi="ar-SA"/>
          <w:highlight w:val="auto"/>
        </w:rPr>
        <w:t>00</w:t>
      </w:r>
      <w:r>
        <w:rPr>
          <w:rFonts w:ascii="Times New Roman" w:eastAsia="仿宋_GB2312" w:cs="仿宋_GB2312" w:hAnsi="Times New Roman" w:hint="eastAsia"/>
          <w:color w:val="auto"/>
          <w:kern w:val="2"/>
          <w:sz w:val="32"/>
          <w:szCs w:val="32"/>
          <w:lang w:val="en-US" w:eastAsia="zh-CN" w:bidi="ar-SA"/>
          <w:highlight w:val="auto"/>
        </w:rPr>
        <w:t>（款）</w:t>
      </w:r>
      <w:r>
        <w:rPr>
          <w:rFonts w:ascii="Times New Roman" w:eastAsia="仿宋_GB2312" w:cs="仿宋_GB2312" w:hAnsi="Times New Roman"/>
          <w:color w:val="auto"/>
          <w:kern w:val="2"/>
          <w:sz w:val="32"/>
          <w:szCs w:val="32"/>
          <w:lang w:val="en-US" w:eastAsia="zh-CN" w:bidi="ar-SA"/>
          <w:highlight w:val="auto"/>
        </w:rPr>
        <w:t>00</w:t>
      </w:r>
      <w:r>
        <w:rPr>
          <w:rFonts w:ascii="Times New Roman" w:eastAsia="仿宋_GB2312" w:cs="仿宋_GB2312" w:hAnsi="Times New Roman" w:hint="eastAsia"/>
          <w:color w:val="auto"/>
          <w:kern w:val="2"/>
          <w:sz w:val="32"/>
          <w:szCs w:val="32"/>
          <w:lang w:val="en-US" w:eastAsia="zh-CN" w:bidi="ar-SA"/>
          <w:highlight w:val="auto"/>
        </w:rPr>
        <w:t>（项）：指</w:t>
      </w:r>
      <w:r>
        <w:rPr>
          <w:rFonts w:ascii="Times New Roman" w:eastAsia="仿宋_GB2312" w:cs="仿宋_GB2312" w:hAnsi="Times New Roman"/>
          <w:color w:val="auto"/>
          <w:kern w:val="2"/>
          <w:sz w:val="32"/>
          <w:szCs w:val="32"/>
          <w:lang w:val="en-US" w:eastAsia="zh-CN" w:bidi="ar-SA"/>
          <w:highlight w:val="auto"/>
        </w:rPr>
        <w:t>无</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11.公共安全（类）</w:t>
      </w:r>
      <w:r>
        <w:rPr>
          <w:rFonts w:ascii="Times New Roman" w:eastAsia="仿宋_GB2312" w:cs="仿宋_GB2312" w:hAnsi="Times New Roman"/>
          <w:color w:val="auto"/>
          <w:kern w:val="2"/>
          <w:sz w:val="32"/>
          <w:szCs w:val="32"/>
          <w:lang w:val="en-US" w:eastAsia="zh-CN" w:bidi="ar-SA"/>
          <w:highlight w:val="auto"/>
        </w:rPr>
        <w:t>00</w:t>
      </w:r>
      <w:r>
        <w:rPr>
          <w:rFonts w:ascii="Times New Roman" w:eastAsia="仿宋_GB2312" w:cs="仿宋_GB2312" w:hAnsi="Times New Roman" w:hint="eastAsia"/>
          <w:color w:val="auto"/>
          <w:kern w:val="2"/>
          <w:sz w:val="32"/>
          <w:szCs w:val="32"/>
          <w:lang w:val="en-US" w:eastAsia="zh-CN" w:bidi="ar-SA"/>
          <w:highlight w:val="auto"/>
        </w:rPr>
        <w:t>（款）</w:t>
      </w:r>
      <w:r>
        <w:rPr>
          <w:rFonts w:ascii="Times New Roman" w:eastAsia="仿宋_GB2312" w:cs="仿宋_GB2312" w:hAnsi="Times New Roman"/>
          <w:color w:val="auto"/>
          <w:kern w:val="2"/>
          <w:sz w:val="32"/>
          <w:szCs w:val="32"/>
          <w:lang w:val="en-US" w:eastAsia="zh-CN" w:bidi="ar-SA"/>
          <w:highlight w:val="auto"/>
        </w:rPr>
        <w:t>00</w:t>
      </w:r>
      <w:r>
        <w:rPr>
          <w:rFonts w:ascii="Times New Roman" w:eastAsia="仿宋_GB2312" w:cs="仿宋_GB2312" w:hAnsi="Times New Roman" w:hint="eastAsia"/>
          <w:color w:val="auto"/>
          <w:kern w:val="2"/>
          <w:sz w:val="32"/>
          <w:szCs w:val="32"/>
          <w:lang w:val="en-US" w:eastAsia="zh-CN" w:bidi="ar-SA"/>
          <w:highlight w:val="auto"/>
        </w:rPr>
        <w:t>（项）：指</w:t>
      </w:r>
      <w:r>
        <w:rPr>
          <w:rFonts w:ascii="Times New Roman" w:eastAsia="仿宋_GB2312" w:cs="仿宋_GB2312" w:hAnsi="Times New Roman"/>
          <w:color w:val="auto"/>
          <w:kern w:val="2"/>
          <w:sz w:val="32"/>
          <w:szCs w:val="32"/>
          <w:lang w:val="en-US" w:eastAsia="zh-CN" w:bidi="ar-SA"/>
          <w:highlight w:val="auto"/>
        </w:rPr>
        <w:t>无</w:t>
      </w:r>
    </w:p>
    <w:p>
      <w:pPr>
        <w:ind w:firstLineChars="200" w:firstLine="640"/>
        <w:rPr>
          <w:rFonts w:ascii="仿宋_GB2312" w:eastAsia="仿宋_GB2312"/>
          <w:sz w:val="32"/>
          <w:szCs w:val="32"/>
        </w:rPr>
      </w:pPr>
      <w:r>
        <w:rPr>
          <w:rFonts w:ascii="Times New Roman" w:eastAsia="仿宋_GB2312" w:cs="仿宋_GB2312" w:hAnsi="Times New Roman" w:hint="eastAsia"/>
          <w:color w:val="auto"/>
          <w:kern w:val="2"/>
          <w:sz w:val="32"/>
          <w:szCs w:val="32"/>
          <w:lang w:val="en-US" w:eastAsia="zh-CN" w:bidi="ar-SA"/>
          <w:highlight w:val="auto"/>
        </w:rPr>
        <w:t>12.</w:t>
      </w:r>
      <w:r>
        <w:rPr>
          <w:rFonts w:ascii="仿宋_GB2312" w:eastAsia="仿宋_GB2312" w:hint="eastAsia"/>
          <w:sz w:val="32"/>
          <w:szCs w:val="32"/>
        </w:rPr>
        <w:t>教育（类）</w:t>
      </w:r>
      <w:r>
        <w:rPr>
          <w:rFonts w:ascii="仿宋_GB2312" w:eastAsia="仿宋_GB2312" w:hint="eastAsia"/>
          <w:sz w:val="32"/>
          <w:szCs w:val="32"/>
          <w:lang w:val="en-US" w:eastAsia="zh-CN"/>
        </w:rPr>
        <w:t>205</w:t>
      </w:r>
      <w:r>
        <w:rPr>
          <w:rFonts w:ascii="仿宋_GB2312" w:eastAsia="仿宋_GB2312" w:hint="eastAsia"/>
          <w:sz w:val="32"/>
          <w:szCs w:val="32"/>
        </w:rPr>
        <w:t>（款）</w:t>
      </w:r>
      <w:r>
        <w:rPr>
          <w:rFonts w:ascii="仿宋_GB2312" w:eastAsia="仿宋_GB2312" w:hint="eastAsia"/>
          <w:sz w:val="32"/>
          <w:szCs w:val="32"/>
          <w:lang w:val="en-US" w:eastAsia="zh-CN"/>
        </w:rPr>
        <w:t>02/99</w:t>
      </w:r>
      <w:r>
        <w:rPr>
          <w:rFonts w:ascii="仿宋_GB2312" w:eastAsia="仿宋_GB2312" w:hint="eastAsia"/>
          <w:sz w:val="32"/>
          <w:szCs w:val="32"/>
        </w:rPr>
        <w:t>（项）：指20502</w:t>
      </w:r>
      <w:r>
        <w:rPr>
          <w:rFonts w:ascii="仿宋_GB2312" w:eastAsia="仿宋_GB2312"/>
          <w:sz w:val="32"/>
          <w:szCs w:val="32"/>
        </w:rPr>
        <w:t>04</w:t>
      </w:r>
      <w:r>
        <w:rPr>
          <w:rFonts w:ascii="仿宋_GB2312" w:eastAsia="仿宋_GB2312" w:hint="eastAsia"/>
          <w:sz w:val="32"/>
          <w:szCs w:val="32"/>
          <w:lang w:eastAsia="zh-CN"/>
        </w:rPr>
        <w:t>高中教育，</w:t>
      </w:r>
      <w:r>
        <w:rPr>
          <w:rFonts w:ascii="仿宋_GB2312" w:eastAsia="仿宋_GB2312"/>
          <w:sz w:val="32"/>
          <w:szCs w:val="32"/>
          <w:lang w:eastAsia="zh-CN"/>
        </w:rPr>
        <w:t>2059999</w:t>
      </w:r>
      <w:r>
        <w:rPr>
          <w:rFonts w:ascii="仿宋_GB2312" w:eastAsia="仿宋_GB2312" w:hint="eastAsia"/>
          <w:sz w:val="32"/>
          <w:szCs w:val="32"/>
          <w:lang w:eastAsia="zh-CN"/>
        </w:rPr>
        <w:t>其他教育支出</w:t>
      </w:r>
      <w:r>
        <w:rPr>
          <w:rFonts w:ascii="仿宋_GB2312" w:eastAsia="仿宋_GB2312" w:hint="eastAsia"/>
          <w:sz w:val="32"/>
          <w:szCs w:val="32"/>
        </w:rPr>
        <w:t>。</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13.科学技术（类）</w:t>
      </w:r>
      <w:r>
        <w:rPr>
          <w:rFonts w:ascii="Times New Roman" w:eastAsia="仿宋_GB2312" w:cs="仿宋_GB2312" w:hAnsi="Times New Roman"/>
          <w:color w:val="auto"/>
          <w:kern w:val="2"/>
          <w:sz w:val="32"/>
          <w:szCs w:val="32"/>
          <w:lang w:val="en-US" w:eastAsia="zh-CN" w:bidi="ar-SA"/>
          <w:highlight w:val="auto"/>
        </w:rPr>
        <w:t>00</w:t>
      </w:r>
      <w:r>
        <w:rPr>
          <w:rFonts w:ascii="Times New Roman" w:eastAsia="仿宋_GB2312" w:cs="仿宋_GB2312" w:hAnsi="Times New Roman" w:hint="eastAsia"/>
          <w:color w:val="auto"/>
          <w:kern w:val="2"/>
          <w:sz w:val="32"/>
          <w:szCs w:val="32"/>
          <w:lang w:val="en-US" w:eastAsia="zh-CN" w:bidi="ar-SA"/>
          <w:highlight w:val="auto"/>
        </w:rPr>
        <w:t>（款）</w:t>
      </w:r>
      <w:r>
        <w:rPr>
          <w:rFonts w:ascii="Times New Roman" w:eastAsia="仿宋_GB2312" w:cs="仿宋_GB2312" w:hAnsi="Times New Roman"/>
          <w:color w:val="auto"/>
          <w:kern w:val="2"/>
          <w:sz w:val="32"/>
          <w:szCs w:val="32"/>
          <w:lang w:val="en-US" w:eastAsia="zh-CN" w:bidi="ar-SA"/>
          <w:highlight w:val="auto"/>
        </w:rPr>
        <w:t>00</w:t>
      </w:r>
      <w:r>
        <w:rPr>
          <w:rFonts w:ascii="Times New Roman" w:eastAsia="仿宋_GB2312" w:cs="仿宋_GB2312" w:hAnsi="Times New Roman" w:hint="eastAsia"/>
          <w:color w:val="auto"/>
          <w:kern w:val="2"/>
          <w:sz w:val="32"/>
          <w:szCs w:val="32"/>
          <w:lang w:val="en-US" w:eastAsia="zh-CN" w:bidi="ar-SA"/>
          <w:highlight w:val="auto"/>
        </w:rPr>
        <w:t>（项）：</w:t>
      </w:r>
      <w:r>
        <w:rPr>
          <w:rFonts w:ascii="Times New Roman" w:eastAsia="仿宋_GB2312" w:cs="仿宋_GB2312" w:hAnsi="Times New Roman"/>
          <w:color w:val="auto"/>
          <w:kern w:val="2"/>
          <w:sz w:val="32"/>
          <w:szCs w:val="32"/>
          <w:lang w:val="en-US" w:eastAsia="zh-CN" w:bidi="ar-SA"/>
          <w:highlight w:val="auto"/>
        </w:rPr>
        <w:t>指无</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14.文化旅游体育与传媒（类）</w:t>
      </w:r>
      <w:r>
        <w:rPr>
          <w:rFonts w:ascii="Times New Roman" w:eastAsia="仿宋_GB2312" w:cs="仿宋_GB2312" w:hAnsi="Times New Roman"/>
          <w:color w:val="auto"/>
          <w:kern w:val="2"/>
          <w:sz w:val="32"/>
          <w:szCs w:val="32"/>
          <w:lang w:val="en-US" w:eastAsia="zh-CN" w:bidi="ar-SA"/>
          <w:highlight w:val="auto"/>
        </w:rPr>
        <w:t>00</w:t>
      </w:r>
      <w:r>
        <w:rPr>
          <w:rFonts w:ascii="Times New Roman" w:eastAsia="仿宋_GB2312" w:cs="仿宋_GB2312" w:hAnsi="Times New Roman" w:hint="eastAsia"/>
          <w:color w:val="auto"/>
          <w:kern w:val="2"/>
          <w:sz w:val="32"/>
          <w:szCs w:val="32"/>
          <w:lang w:val="en-US" w:eastAsia="zh-CN" w:bidi="ar-SA"/>
          <w:highlight w:val="auto"/>
        </w:rPr>
        <w:t>（款）</w:t>
      </w:r>
      <w:r>
        <w:rPr>
          <w:rFonts w:ascii="Times New Roman" w:eastAsia="仿宋_GB2312" w:cs="仿宋_GB2312" w:hAnsi="Times New Roman"/>
          <w:color w:val="auto"/>
          <w:kern w:val="2"/>
          <w:sz w:val="32"/>
          <w:szCs w:val="32"/>
          <w:lang w:val="en-US" w:eastAsia="zh-CN" w:bidi="ar-SA"/>
          <w:highlight w:val="auto"/>
        </w:rPr>
        <w:t>00</w:t>
      </w:r>
      <w:r>
        <w:rPr>
          <w:rFonts w:ascii="Times New Roman" w:eastAsia="仿宋_GB2312" w:cs="仿宋_GB2312" w:hAnsi="Times New Roman" w:hint="eastAsia"/>
          <w:color w:val="auto"/>
          <w:kern w:val="2"/>
          <w:sz w:val="32"/>
          <w:szCs w:val="32"/>
          <w:lang w:val="en-US" w:eastAsia="zh-CN" w:bidi="ar-SA"/>
          <w:highlight w:val="auto"/>
        </w:rPr>
        <w:t>（项）：指</w:t>
      </w:r>
      <w:r>
        <w:rPr>
          <w:rFonts w:ascii="Times New Roman" w:eastAsia="仿宋_GB2312" w:cs="仿宋_GB2312" w:hAnsi="Times New Roman"/>
          <w:color w:val="auto"/>
          <w:kern w:val="2"/>
          <w:sz w:val="32"/>
          <w:szCs w:val="32"/>
          <w:lang w:val="en-US" w:eastAsia="zh-CN" w:bidi="ar-SA"/>
          <w:highlight w:val="auto"/>
        </w:rPr>
        <w:t>无</w:t>
      </w:r>
    </w:p>
    <w:p>
      <w:pPr>
        <w:spacing w:line="600" w:lineRule="exact"/>
        <w:ind w:firstLine="640"/>
        <w:rPr>
          <w:rFonts w:ascii="Times New Roman" w:eastAsia="仿宋_GB2312" w:cs="仿宋_GB2312" w:hAnsi="Times New Roman"/>
          <w:color w:val="auto"/>
          <w:kern w:val="2"/>
          <w:sz w:val="32"/>
          <w:szCs w:val="32"/>
          <w:lang w:val="en-US" w:eastAsia="zh-CN" w:bidi="ar-SA"/>
        </w:rPr>
      </w:pPr>
      <w:r>
        <w:rPr>
          <w:rFonts w:ascii="Times New Roman" w:eastAsia="仿宋_GB2312" w:cs="仿宋_GB2312" w:hAnsi="Times New Roman" w:hint="eastAsia"/>
          <w:color w:val="auto"/>
          <w:kern w:val="2"/>
          <w:sz w:val="32"/>
          <w:szCs w:val="32"/>
          <w:lang w:val="en-US" w:eastAsia="zh-CN" w:bidi="ar-SA"/>
          <w:highlight w:val="auto"/>
        </w:rPr>
        <w:t>15.社会保障和就业（类）</w:t>
      </w:r>
      <w:r>
        <w:rPr>
          <w:rFonts w:ascii="Times New Roman" w:eastAsia="仿宋_GB2312" w:cs="仿宋_GB2312" w:hAnsi="Times New Roman"/>
          <w:color w:val="auto"/>
          <w:kern w:val="2"/>
          <w:sz w:val="32"/>
          <w:szCs w:val="32"/>
          <w:lang w:val="en-US" w:eastAsia="zh-CN" w:bidi="ar-SA"/>
          <w:highlight w:val="auto"/>
        </w:rPr>
        <w:t>208</w:t>
      </w:r>
      <w:r>
        <w:rPr>
          <w:rFonts w:ascii="Times New Roman" w:eastAsia="仿宋_GB2312" w:cs="仿宋_GB2312" w:hAnsi="Times New Roman" w:hint="eastAsia"/>
          <w:color w:val="auto"/>
          <w:kern w:val="2"/>
          <w:sz w:val="32"/>
          <w:szCs w:val="32"/>
          <w:lang w:val="en-US" w:eastAsia="zh-CN" w:bidi="ar-SA"/>
          <w:highlight w:val="auto"/>
        </w:rPr>
        <w:t>（款）</w:t>
      </w:r>
      <w:r>
        <w:rPr>
          <w:rFonts w:ascii="Times New Roman" w:eastAsia="仿宋_GB2312" w:cs="仿宋_GB2312" w:hAnsi="Times New Roman"/>
          <w:color w:val="auto"/>
          <w:kern w:val="2"/>
          <w:sz w:val="32"/>
          <w:szCs w:val="32"/>
          <w:lang w:val="en-US" w:eastAsia="zh-CN" w:bidi="ar-SA"/>
          <w:highlight w:val="auto"/>
        </w:rPr>
        <w:t>05</w:t>
      </w:r>
      <w:r>
        <w:rPr>
          <w:rFonts w:ascii="Times New Roman" w:eastAsia="仿宋_GB2312" w:cs="仿宋_GB2312" w:hAnsi="Times New Roman" w:hint="eastAsia"/>
          <w:color w:val="auto"/>
          <w:kern w:val="2"/>
          <w:sz w:val="32"/>
          <w:szCs w:val="32"/>
          <w:lang w:val="en-US" w:eastAsia="zh-CN" w:bidi="ar-SA"/>
          <w:highlight w:val="auto"/>
        </w:rPr>
        <w:t>（项）：指</w:t>
      </w:r>
      <w:r>
        <w:rPr>
          <w:rFonts w:ascii="Times New Roman" w:eastAsia="仿宋_GB2312" w:cs="仿宋_GB2312" w:hAnsi="Times New Roman"/>
          <w:color w:val="auto"/>
          <w:kern w:val="2"/>
          <w:sz w:val="32"/>
          <w:szCs w:val="32"/>
          <w:lang w:val="en-US" w:eastAsia="zh-CN" w:bidi="ar-SA"/>
        </w:rPr>
        <w:t>2080502</w:t>
      </w:r>
    </w:p>
    <w:p>
      <w:pPr>
        <w:spacing w:line="600" w:lineRule="exact"/>
        <w:ind w:firstLine="640"/>
        <w:rPr>
          <w:rFonts w:ascii="Times New Roman" w:eastAsia="仿宋_GB2312" w:cs="仿宋_GB2312" w:hAnsi="Times New Roman"/>
          <w:color w:val="auto"/>
          <w:kern w:val="2"/>
          <w:sz w:val="32"/>
          <w:szCs w:val="32"/>
          <w:lang w:val="en-US" w:eastAsia="zh-CN" w:bidi="ar-SA"/>
        </w:rPr>
      </w:pPr>
      <w:r>
        <w:rPr>
          <w:rFonts w:ascii="Times New Roman" w:eastAsia="仿宋_GB2312" w:cs="仿宋_GB2312" w:hAnsi="Times New Roman"/>
          <w:color w:val="auto"/>
          <w:kern w:val="2"/>
          <w:sz w:val="32"/>
          <w:szCs w:val="32"/>
          <w:lang w:val="en-US" w:eastAsia="zh-CN" w:bidi="ar-SA"/>
        </w:rPr>
        <w:t>事业单位离退休,2080505机关事业单位基本养老保险缴费支出,2080506机关事业单位职业年金缴费支出</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16.卫生健康（类）</w:t>
      </w:r>
      <w:r>
        <w:rPr>
          <w:rFonts w:ascii="Times New Roman" w:eastAsia="仿宋_GB2312" w:cs="仿宋_GB2312" w:hAnsi="Times New Roman"/>
          <w:color w:val="auto"/>
          <w:kern w:val="2"/>
          <w:sz w:val="32"/>
          <w:szCs w:val="32"/>
          <w:lang w:val="en-US" w:eastAsia="zh-CN" w:bidi="ar-SA"/>
          <w:highlight w:val="auto"/>
        </w:rPr>
        <w:t>210</w:t>
      </w:r>
      <w:r>
        <w:rPr>
          <w:rFonts w:ascii="Times New Roman" w:eastAsia="仿宋_GB2312" w:cs="仿宋_GB2312" w:hAnsi="Times New Roman" w:hint="eastAsia"/>
          <w:color w:val="auto"/>
          <w:kern w:val="2"/>
          <w:sz w:val="32"/>
          <w:szCs w:val="32"/>
          <w:lang w:val="en-US" w:eastAsia="zh-CN" w:bidi="ar-SA"/>
          <w:highlight w:val="auto"/>
        </w:rPr>
        <w:t>（款）</w:t>
      </w:r>
      <w:r>
        <w:rPr>
          <w:rFonts w:ascii="Times New Roman" w:eastAsia="仿宋_GB2312" w:cs="仿宋_GB2312" w:hAnsi="Times New Roman"/>
          <w:color w:val="auto"/>
          <w:kern w:val="2"/>
          <w:sz w:val="32"/>
          <w:szCs w:val="32"/>
          <w:lang w:val="en-US" w:eastAsia="zh-CN" w:bidi="ar-SA"/>
          <w:highlight w:val="auto"/>
        </w:rPr>
        <w:t>11</w:t>
      </w:r>
      <w:r>
        <w:rPr>
          <w:rFonts w:ascii="Times New Roman" w:eastAsia="仿宋_GB2312" w:cs="仿宋_GB2312" w:hAnsi="Times New Roman" w:hint="eastAsia"/>
          <w:color w:val="auto"/>
          <w:kern w:val="2"/>
          <w:sz w:val="32"/>
          <w:szCs w:val="32"/>
          <w:lang w:val="en-US" w:eastAsia="zh-CN" w:bidi="ar-SA"/>
          <w:highlight w:val="auto"/>
        </w:rPr>
        <w:t>（项）：指</w:t>
      </w:r>
      <w:r>
        <w:rPr>
          <w:rFonts w:ascii="Times New Roman" w:eastAsia="仿宋_GB2312" w:cs="仿宋_GB2312" w:hAnsi="Times New Roman"/>
          <w:color w:val="auto"/>
          <w:kern w:val="2"/>
          <w:sz w:val="32"/>
          <w:szCs w:val="32"/>
          <w:lang w:val="en-US" w:eastAsia="zh-CN" w:bidi="ar-SA"/>
        </w:rPr>
        <w:t>2101102事业单位医疗,2101199其他行政事业单位医疗支出</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17.节能环保（类）</w:t>
      </w:r>
      <w:r>
        <w:rPr>
          <w:rFonts w:ascii="Times New Roman" w:eastAsia="仿宋_GB2312" w:cs="仿宋_GB2312" w:hAnsi="Times New Roman"/>
          <w:color w:val="auto"/>
          <w:kern w:val="2"/>
          <w:sz w:val="32"/>
          <w:szCs w:val="32"/>
          <w:lang w:val="en-US" w:eastAsia="zh-CN" w:bidi="ar-SA"/>
          <w:highlight w:val="auto"/>
        </w:rPr>
        <w:t>00</w:t>
      </w:r>
      <w:r>
        <w:rPr>
          <w:rFonts w:ascii="Times New Roman" w:eastAsia="仿宋_GB2312" w:cs="仿宋_GB2312" w:hAnsi="Times New Roman" w:hint="eastAsia"/>
          <w:color w:val="auto"/>
          <w:kern w:val="2"/>
          <w:sz w:val="32"/>
          <w:szCs w:val="32"/>
          <w:lang w:val="en-US" w:eastAsia="zh-CN" w:bidi="ar-SA"/>
          <w:highlight w:val="auto"/>
        </w:rPr>
        <w:t>（款）</w:t>
      </w:r>
      <w:r>
        <w:rPr>
          <w:rFonts w:ascii="Times New Roman" w:eastAsia="仿宋_GB2312" w:cs="仿宋_GB2312" w:hAnsi="Times New Roman"/>
          <w:color w:val="auto"/>
          <w:kern w:val="2"/>
          <w:sz w:val="32"/>
          <w:szCs w:val="32"/>
          <w:lang w:val="en-US" w:eastAsia="zh-CN" w:bidi="ar-SA"/>
          <w:highlight w:val="auto"/>
        </w:rPr>
        <w:t>00</w:t>
      </w:r>
      <w:r>
        <w:rPr>
          <w:rFonts w:ascii="Times New Roman" w:eastAsia="仿宋_GB2312" w:cs="仿宋_GB2312" w:hAnsi="Times New Roman" w:hint="eastAsia"/>
          <w:color w:val="auto"/>
          <w:kern w:val="2"/>
          <w:sz w:val="32"/>
          <w:szCs w:val="32"/>
          <w:lang w:val="en-US" w:eastAsia="zh-CN" w:bidi="ar-SA"/>
          <w:highlight w:val="auto"/>
        </w:rPr>
        <w:t>（项）</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指</w:t>
      </w:r>
      <w:r>
        <w:rPr>
          <w:rFonts w:ascii="Times New Roman" w:eastAsia="仿宋_GB2312" w:cs="仿宋_GB2312" w:hAnsi="Times New Roman"/>
          <w:color w:val="auto"/>
          <w:kern w:val="2"/>
          <w:sz w:val="32"/>
          <w:szCs w:val="32"/>
          <w:lang w:val="en-US" w:eastAsia="zh-CN" w:bidi="ar-SA"/>
          <w:highlight w:val="auto"/>
        </w:rPr>
        <w:t>无</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18.城乡社区（类）</w:t>
      </w:r>
      <w:r>
        <w:rPr>
          <w:rFonts w:ascii="Times New Roman" w:eastAsia="仿宋_GB2312" w:cs="仿宋_GB2312" w:hAnsi="Times New Roman"/>
          <w:color w:val="auto"/>
          <w:kern w:val="2"/>
          <w:sz w:val="32"/>
          <w:szCs w:val="32"/>
          <w:lang w:val="en-US" w:eastAsia="zh-CN" w:bidi="ar-SA"/>
          <w:highlight w:val="auto"/>
        </w:rPr>
        <w:t>00</w:t>
      </w:r>
      <w:r>
        <w:rPr>
          <w:rFonts w:ascii="Times New Roman" w:eastAsia="仿宋_GB2312" w:cs="仿宋_GB2312" w:hAnsi="Times New Roman" w:hint="eastAsia"/>
          <w:color w:val="auto"/>
          <w:kern w:val="2"/>
          <w:sz w:val="32"/>
          <w:szCs w:val="32"/>
          <w:lang w:val="en-US" w:eastAsia="zh-CN" w:bidi="ar-SA"/>
          <w:highlight w:val="auto"/>
        </w:rPr>
        <w:t>（款）</w:t>
      </w:r>
      <w:r>
        <w:rPr>
          <w:rFonts w:ascii="Times New Roman" w:eastAsia="仿宋_GB2312" w:cs="仿宋_GB2312" w:hAnsi="Times New Roman"/>
          <w:color w:val="auto"/>
          <w:kern w:val="2"/>
          <w:sz w:val="32"/>
          <w:szCs w:val="32"/>
          <w:lang w:val="en-US" w:eastAsia="zh-CN" w:bidi="ar-SA"/>
          <w:highlight w:val="auto"/>
        </w:rPr>
        <w:t>00</w:t>
      </w:r>
      <w:r>
        <w:rPr>
          <w:rFonts w:ascii="Times New Roman" w:eastAsia="仿宋_GB2312" w:cs="仿宋_GB2312" w:hAnsi="Times New Roman" w:hint="eastAsia"/>
          <w:color w:val="auto"/>
          <w:kern w:val="2"/>
          <w:sz w:val="32"/>
          <w:szCs w:val="32"/>
          <w:lang w:val="en-US" w:eastAsia="zh-CN" w:bidi="ar-SA"/>
          <w:highlight w:val="auto"/>
        </w:rPr>
        <w:t>（项）：指</w:t>
      </w:r>
      <w:r>
        <w:rPr>
          <w:rFonts w:ascii="Times New Roman" w:eastAsia="仿宋_GB2312" w:cs="仿宋_GB2312" w:hAnsi="Times New Roman"/>
          <w:color w:val="auto"/>
          <w:kern w:val="2"/>
          <w:sz w:val="32"/>
          <w:szCs w:val="32"/>
          <w:lang w:val="en-US" w:eastAsia="zh-CN" w:bidi="ar-SA"/>
          <w:highlight w:val="auto"/>
        </w:rPr>
        <w:t>无</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19.农林水（类）</w:t>
      </w:r>
      <w:r>
        <w:rPr>
          <w:rFonts w:ascii="Times New Roman" w:eastAsia="仿宋_GB2312" w:cs="仿宋_GB2312" w:hAnsi="Times New Roman"/>
          <w:color w:val="auto"/>
          <w:kern w:val="2"/>
          <w:sz w:val="32"/>
          <w:szCs w:val="32"/>
          <w:lang w:val="en-US" w:eastAsia="zh-CN" w:bidi="ar-SA"/>
          <w:highlight w:val="auto"/>
        </w:rPr>
        <w:t>00</w:t>
      </w:r>
      <w:r>
        <w:rPr>
          <w:rFonts w:ascii="Times New Roman" w:eastAsia="仿宋_GB2312" w:cs="仿宋_GB2312" w:hAnsi="Times New Roman" w:hint="eastAsia"/>
          <w:color w:val="auto"/>
          <w:kern w:val="2"/>
          <w:sz w:val="32"/>
          <w:szCs w:val="32"/>
          <w:lang w:val="en-US" w:eastAsia="zh-CN" w:bidi="ar-SA"/>
          <w:highlight w:val="auto"/>
        </w:rPr>
        <w:t>（款）</w:t>
      </w:r>
      <w:r>
        <w:rPr>
          <w:rFonts w:ascii="Times New Roman" w:eastAsia="仿宋_GB2312" w:cs="仿宋_GB2312" w:hAnsi="Times New Roman"/>
          <w:color w:val="auto"/>
          <w:kern w:val="2"/>
          <w:sz w:val="32"/>
          <w:szCs w:val="32"/>
          <w:lang w:val="en-US" w:eastAsia="zh-CN" w:bidi="ar-SA"/>
          <w:highlight w:val="auto"/>
        </w:rPr>
        <w:t>00</w:t>
      </w:r>
      <w:r>
        <w:rPr>
          <w:rFonts w:ascii="Times New Roman" w:eastAsia="仿宋_GB2312" w:cs="仿宋_GB2312" w:hAnsi="Times New Roman" w:hint="eastAsia"/>
          <w:color w:val="auto"/>
          <w:kern w:val="2"/>
          <w:sz w:val="32"/>
          <w:szCs w:val="32"/>
          <w:lang w:val="en-US" w:eastAsia="zh-CN" w:bidi="ar-SA"/>
          <w:highlight w:val="auto"/>
        </w:rPr>
        <w:t>（项）：指</w:t>
      </w:r>
      <w:r>
        <w:rPr>
          <w:rFonts w:ascii="Times New Roman" w:eastAsia="仿宋_GB2312" w:cs="仿宋_GB2312" w:hAnsi="Times New Roman"/>
          <w:color w:val="auto"/>
          <w:kern w:val="2"/>
          <w:sz w:val="32"/>
          <w:szCs w:val="32"/>
          <w:lang w:val="en-US" w:eastAsia="zh-CN" w:bidi="ar-SA"/>
          <w:highlight w:val="auto"/>
        </w:rPr>
        <w:t>无</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20.交通运输（类）</w:t>
      </w:r>
      <w:r>
        <w:rPr>
          <w:rFonts w:ascii="Times New Roman" w:eastAsia="仿宋_GB2312" w:cs="仿宋_GB2312" w:hAnsi="Times New Roman"/>
          <w:color w:val="auto"/>
          <w:kern w:val="2"/>
          <w:sz w:val="32"/>
          <w:szCs w:val="32"/>
          <w:lang w:val="en-US" w:eastAsia="zh-CN" w:bidi="ar-SA"/>
          <w:highlight w:val="auto"/>
        </w:rPr>
        <w:t>00</w:t>
      </w:r>
      <w:r>
        <w:rPr>
          <w:rFonts w:ascii="Times New Roman" w:eastAsia="仿宋_GB2312" w:cs="仿宋_GB2312" w:hAnsi="Times New Roman" w:hint="eastAsia"/>
          <w:color w:val="auto"/>
          <w:kern w:val="2"/>
          <w:sz w:val="32"/>
          <w:szCs w:val="32"/>
          <w:lang w:val="en-US" w:eastAsia="zh-CN" w:bidi="ar-SA"/>
          <w:highlight w:val="auto"/>
        </w:rPr>
        <w:t>（款）</w:t>
      </w:r>
      <w:r>
        <w:rPr>
          <w:rFonts w:ascii="Times New Roman" w:eastAsia="仿宋_GB2312" w:cs="仿宋_GB2312" w:hAnsi="Times New Roman"/>
          <w:color w:val="auto"/>
          <w:kern w:val="2"/>
          <w:sz w:val="32"/>
          <w:szCs w:val="32"/>
          <w:lang w:val="en-US" w:eastAsia="zh-CN" w:bidi="ar-SA"/>
          <w:highlight w:val="auto"/>
        </w:rPr>
        <w:t>00</w:t>
      </w:r>
      <w:r>
        <w:rPr>
          <w:rFonts w:ascii="Times New Roman" w:eastAsia="仿宋_GB2312" w:cs="仿宋_GB2312" w:hAnsi="Times New Roman" w:hint="eastAsia"/>
          <w:color w:val="auto"/>
          <w:kern w:val="2"/>
          <w:sz w:val="32"/>
          <w:szCs w:val="32"/>
          <w:lang w:val="en-US" w:eastAsia="zh-CN" w:bidi="ar-SA"/>
          <w:highlight w:val="auto"/>
        </w:rPr>
        <w:t>（项）：指</w:t>
      </w:r>
      <w:r>
        <w:rPr>
          <w:rFonts w:ascii="Times New Roman" w:eastAsia="仿宋_GB2312" w:cs="仿宋_GB2312" w:hAnsi="Times New Roman"/>
          <w:color w:val="auto"/>
          <w:kern w:val="2"/>
          <w:sz w:val="32"/>
          <w:szCs w:val="32"/>
          <w:lang w:val="en-US" w:eastAsia="zh-CN" w:bidi="ar-SA"/>
          <w:highlight w:val="auto"/>
        </w:rPr>
        <w:t>无</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21.资源勘探工业信息等（类）</w:t>
      </w:r>
      <w:r>
        <w:rPr>
          <w:rFonts w:ascii="Times New Roman" w:eastAsia="仿宋_GB2312" w:cs="仿宋_GB2312" w:hAnsi="Times New Roman"/>
          <w:color w:val="auto"/>
          <w:kern w:val="2"/>
          <w:sz w:val="32"/>
          <w:szCs w:val="32"/>
          <w:lang w:val="en-US" w:eastAsia="zh-CN" w:bidi="ar-SA"/>
          <w:highlight w:val="auto"/>
        </w:rPr>
        <w:t>00</w:t>
      </w:r>
      <w:r>
        <w:rPr>
          <w:rFonts w:ascii="Times New Roman" w:eastAsia="仿宋_GB2312" w:cs="仿宋_GB2312" w:hAnsi="Times New Roman" w:hint="eastAsia"/>
          <w:color w:val="auto"/>
          <w:kern w:val="2"/>
          <w:sz w:val="32"/>
          <w:szCs w:val="32"/>
          <w:lang w:val="en-US" w:eastAsia="zh-CN" w:bidi="ar-SA"/>
          <w:highlight w:val="auto"/>
        </w:rPr>
        <w:t>（款）</w:t>
      </w:r>
      <w:r>
        <w:rPr>
          <w:rFonts w:ascii="Times New Roman" w:eastAsia="仿宋_GB2312" w:cs="仿宋_GB2312" w:hAnsi="Times New Roman"/>
          <w:color w:val="auto"/>
          <w:kern w:val="2"/>
          <w:sz w:val="32"/>
          <w:szCs w:val="32"/>
          <w:lang w:val="en-US" w:eastAsia="zh-CN" w:bidi="ar-SA"/>
          <w:highlight w:val="auto"/>
        </w:rPr>
        <w:t>00</w:t>
      </w:r>
      <w:r>
        <w:rPr>
          <w:rFonts w:ascii="Times New Roman" w:eastAsia="仿宋_GB2312" w:cs="仿宋_GB2312" w:hAnsi="Times New Roman" w:hint="eastAsia"/>
          <w:color w:val="auto"/>
          <w:kern w:val="2"/>
          <w:sz w:val="32"/>
          <w:szCs w:val="32"/>
          <w:lang w:val="en-US" w:eastAsia="zh-CN" w:bidi="ar-SA"/>
          <w:highlight w:val="auto"/>
        </w:rPr>
        <w:t>（项）：指</w:t>
      </w:r>
      <w:r>
        <w:rPr>
          <w:rFonts w:ascii="Times New Roman" w:eastAsia="仿宋_GB2312" w:cs="仿宋_GB2312" w:hAnsi="Times New Roman"/>
          <w:color w:val="auto"/>
          <w:kern w:val="2"/>
          <w:sz w:val="32"/>
          <w:szCs w:val="32"/>
          <w:lang w:val="en-US" w:eastAsia="zh-CN" w:bidi="ar-SA"/>
          <w:highlight w:val="auto"/>
        </w:rPr>
        <w:t>无</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22.商业服务业（类）</w:t>
      </w:r>
      <w:r>
        <w:rPr>
          <w:rFonts w:ascii="Times New Roman" w:eastAsia="仿宋_GB2312" w:cs="仿宋_GB2312" w:hAnsi="Times New Roman"/>
          <w:color w:val="auto"/>
          <w:kern w:val="2"/>
          <w:sz w:val="32"/>
          <w:szCs w:val="32"/>
          <w:lang w:val="en-US" w:eastAsia="zh-CN" w:bidi="ar-SA"/>
          <w:highlight w:val="auto"/>
        </w:rPr>
        <w:t>00</w:t>
      </w:r>
      <w:r>
        <w:rPr>
          <w:rFonts w:ascii="Times New Roman" w:eastAsia="仿宋_GB2312" w:cs="仿宋_GB2312" w:hAnsi="Times New Roman" w:hint="eastAsia"/>
          <w:color w:val="auto"/>
          <w:kern w:val="2"/>
          <w:sz w:val="32"/>
          <w:szCs w:val="32"/>
          <w:lang w:val="en-US" w:eastAsia="zh-CN" w:bidi="ar-SA"/>
          <w:highlight w:val="auto"/>
        </w:rPr>
        <w:t>（款）</w:t>
      </w:r>
      <w:r>
        <w:rPr>
          <w:rFonts w:ascii="Times New Roman" w:eastAsia="仿宋_GB2312" w:cs="仿宋_GB2312" w:hAnsi="Times New Roman"/>
          <w:color w:val="auto"/>
          <w:kern w:val="2"/>
          <w:sz w:val="32"/>
          <w:szCs w:val="32"/>
          <w:lang w:val="en-US" w:eastAsia="zh-CN" w:bidi="ar-SA"/>
          <w:highlight w:val="auto"/>
        </w:rPr>
        <w:t>00</w:t>
      </w:r>
      <w:r>
        <w:rPr>
          <w:rFonts w:ascii="Times New Roman" w:eastAsia="仿宋_GB2312" w:cs="仿宋_GB2312" w:hAnsi="Times New Roman" w:hint="eastAsia"/>
          <w:color w:val="auto"/>
          <w:kern w:val="2"/>
          <w:sz w:val="32"/>
          <w:szCs w:val="32"/>
          <w:lang w:val="en-US" w:eastAsia="zh-CN" w:bidi="ar-SA"/>
          <w:highlight w:val="auto"/>
        </w:rPr>
        <w:t>（项）：指</w:t>
      </w:r>
      <w:r>
        <w:rPr>
          <w:rFonts w:ascii="Times New Roman" w:eastAsia="仿宋_GB2312" w:cs="仿宋_GB2312" w:hAnsi="Times New Roman"/>
          <w:color w:val="auto"/>
          <w:kern w:val="2"/>
          <w:sz w:val="32"/>
          <w:szCs w:val="32"/>
          <w:lang w:val="en-US" w:eastAsia="zh-CN" w:bidi="ar-SA"/>
          <w:highlight w:val="auto"/>
        </w:rPr>
        <w:t>无</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23.金融（类）</w:t>
      </w:r>
      <w:r>
        <w:rPr>
          <w:rFonts w:ascii="Times New Roman" w:eastAsia="仿宋_GB2312" w:cs="仿宋_GB2312" w:hAnsi="Times New Roman"/>
          <w:color w:val="auto"/>
          <w:kern w:val="2"/>
          <w:sz w:val="32"/>
          <w:szCs w:val="32"/>
          <w:lang w:val="en-US" w:eastAsia="zh-CN" w:bidi="ar-SA"/>
          <w:highlight w:val="auto"/>
        </w:rPr>
        <w:t>00</w:t>
      </w:r>
      <w:r>
        <w:rPr>
          <w:rFonts w:ascii="Times New Roman" w:eastAsia="仿宋_GB2312" w:cs="仿宋_GB2312" w:hAnsi="Times New Roman" w:hint="eastAsia"/>
          <w:color w:val="auto"/>
          <w:kern w:val="2"/>
          <w:sz w:val="32"/>
          <w:szCs w:val="32"/>
          <w:lang w:val="en-US" w:eastAsia="zh-CN" w:bidi="ar-SA"/>
          <w:highlight w:val="auto"/>
        </w:rPr>
        <w:t>（款）</w:t>
      </w:r>
      <w:r>
        <w:rPr>
          <w:rFonts w:ascii="Times New Roman" w:eastAsia="仿宋_GB2312" w:cs="仿宋_GB2312" w:hAnsi="Times New Roman"/>
          <w:color w:val="auto"/>
          <w:kern w:val="2"/>
          <w:sz w:val="32"/>
          <w:szCs w:val="32"/>
          <w:lang w:val="en-US" w:eastAsia="zh-CN" w:bidi="ar-SA"/>
          <w:highlight w:val="auto"/>
        </w:rPr>
        <w:t>00</w:t>
      </w:r>
      <w:r>
        <w:rPr>
          <w:rFonts w:ascii="Times New Roman" w:eastAsia="仿宋_GB2312" w:cs="仿宋_GB2312" w:hAnsi="Times New Roman" w:hint="eastAsia"/>
          <w:color w:val="auto"/>
          <w:kern w:val="2"/>
          <w:sz w:val="32"/>
          <w:szCs w:val="32"/>
          <w:lang w:val="en-US" w:eastAsia="zh-CN" w:bidi="ar-SA"/>
          <w:highlight w:val="auto"/>
        </w:rPr>
        <w:t>（项）：指</w:t>
      </w:r>
      <w:r>
        <w:rPr>
          <w:rFonts w:ascii="Times New Roman" w:eastAsia="仿宋_GB2312" w:cs="仿宋_GB2312" w:hAnsi="Times New Roman"/>
          <w:color w:val="auto"/>
          <w:kern w:val="2"/>
          <w:sz w:val="32"/>
          <w:szCs w:val="32"/>
          <w:lang w:val="en-US" w:eastAsia="zh-CN" w:bidi="ar-SA"/>
          <w:highlight w:val="auto"/>
        </w:rPr>
        <w:t>无</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24.自然资源海洋气象等（类）</w:t>
      </w:r>
      <w:r>
        <w:rPr>
          <w:rFonts w:ascii="Times New Roman" w:eastAsia="仿宋_GB2312" w:cs="仿宋_GB2312" w:hAnsi="Times New Roman"/>
          <w:color w:val="auto"/>
          <w:kern w:val="2"/>
          <w:sz w:val="32"/>
          <w:szCs w:val="32"/>
          <w:lang w:val="en-US" w:eastAsia="zh-CN" w:bidi="ar-SA"/>
          <w:highlight w:val="auto"/>
        </w:rPr>
        <w:t>00</w:t>
      </w:r>
      <w:r>
        <w:rPr>
          <w:rFonts w:ascii="Times New Roman" w:eastAsia="仿宋_GB2312" w:cs="仿宋_GB2312" w:hAnsi="Times New Roman" w:hint="eastAsia"/>
          <w:color w:val="auto"/>
          <w:kern w:val="2"/>
          <w:sz w:val="32"/>
          <w:szCs w:val="32"/>
          <w:lang w:val="en-US" w:eastAsia="zh-CN" w:bidi="ar-SA"/>
          <w:highlight w:val="auto"/>
        </w:rPr>
        <w:t>（款）</w:t>
      </w:r>
      <w:r>
        <w:rPr>
          <w:rFonts w:ascii="Times New Roman" w:eastAsia="仿宋_GB2312" w:cs="仿宋_GB2312" w:hAnsi="Times New Roman"/>
          <w:color w:val="auto"/>
          <w:kern w:val="2"/>
          <w:sz w:val="32"/>
          <w:szCs w:val="32"/>
          <w:lang w:val="en-US" w:eastAsia="zh-CN" w:bidi="ar-SA"/>
          <w:highlight w:val="auto"/>
        </w:rPr>
        <w:t>00</w:t>
      </w:r>
      <w:r>
        <w:rPr>
          <w:rFonts w:ascii="Times New Roman" w:eastAsia="仿宋_GB2312" w:cs="仿宋_GB2312" w:hAnsi="Times New Roman" w:hint="eastAsia"/>
          <w:color w:val="auto"/>
          <w:kern w:val="2"/>
          <w:sz w:val="32"/>
          <w:szCs w:val="32"/>
          <w:lang w:val="en-US" w:eastAsia="zh-CN" w:bidi="ar-SA"/>
          <w:highlight w:val="auto"/>
        </w:rPr>
        <w:t>（项）：指</w:t>
      </w:r>
      <w:r>
        <w:rPr>
          <w:rFonts w:ascii="Times New Roman" w:eastAsia="仿宋_GB2312" w:cs="仿宋_GB2312" w:hAnsi="Times New Roman"/>
          <w:color w:val="auto"/>
          <w:kern w:val="2"/>
          <w:sz w:val="32"/>
          <w:szCs w:val="32"/>
          <w:lang w:val="en-US" w:eastAsia="zh-CN" w:bidi="ar-SA"/>
          <w:highlight w:val="auto"/>
        </w:rPr>
        <w:t>无</w:t>
      </w:r>
    </w:p>
    <w:p>
      <w:pPr>
        <w:spacing w:line="600" w:lineRule="exact"/>
        <w:ind w:firstLine="640"/>
        <w:rPr>
          <w:rFonts w:ascii="Times New Roman" w:eastAsia="仿宋_GB2312" w:cs="仿宋_GB2312" w:hAnsi="Times New Roman"/>
          <w:color w:val="auto"/>
          <w:kern w:val="2"/>
          <w:sz w:val="32"/>
          <w:szCs w:val="32"/>
          <w:lang w:val="en-US" w:eastAsia="zh-CN" w:bidi="ar-SA"/>
        </w:rPr>
      </w:pPr>
      <w:r>
        <w:rPr>
          <w:rFonts w:ascii="Times New Roman" w:eastAsia="仿宋_GB2312" w:cs="仿宋_GB2312" w:hAnsi="Times New Roman" w:hint="eastAsia"/>
          <w:color w:val="auto"/>
          <w:kern w:val="2"/>
          <w:sz w:val="32"/>
          <w:szCs w:val="32"/>
          <w:lang w:val="en-US" w:eastAsia="zh-CN" w:bidi="ar-SA"/>
          <w:highlight w:val="auto"/>
        </w:rPr>
        <w:t>25.住房保障（类）</w:t>
      </w:r>
      <w:r>
        <w:rPr>
          <w:rFonts w:ascii="Times New Roman" w:eastAsia="仿宋_GB2312" w:cs="仿宋_GB2312" w:hAnsi="Times New Roman"/>
          <w:color w:val="auto"/>
          <w:kern w:val="2"/>
          <w:sz w:val="32"/>
          <w:szCs w:val="32"/>
          <w:lang w:val="en-US" w:eastAsia="zh-CN" w:bidi="ar-SA"/>
          <w:highlight w:val="auto"/>
        </w:rPr>
        <w:t>221</w:t>
      </w:r>
      <w:r>
        <w:rPr>
          <w:rFonts w:ascii="Times New Roman" w:eastAsia="仿宋_GB2312" w:cs="仿宋_GB2312" w:hAnsi="Times New Roman" w:hint="eastAsia"/>
          <w:color w:val="auto"/>
          <w:kern w:val="2"/>
          <w:sz w:val="32"/>
          <w:szCs w:val="32"/>
          <w:lang w:val="en-US" w:eastAsia="zh-CN" w:bidi="ar-SA"/>
          <w:highlight w:val="auto"/>
        </w:rPr>
        <w:t>（款）</w:t>
      </w:r>
      <w:r>
        <w:rPr>
          <w:rFonts w:ascii="Times New Roman" w:eastAsia="仿宋_GB2312" w:cs="仿宋_GB2312" w:hAnsi="Times New Roman"/>
          <w:color w:val="auto"/>
          <w:kern w:val="2"/>
          <w:sz w:val="32"/>
          <w:szCs w:val="32"/>
          <w:lang w:val="en-US" w:eastAsia="zh-CN" w:bidi="ar-SA"/>
          <w:highlight w:val="auto"/>
        </w:rPr>
        <w:t>02</w:t>
      </w:r>
      <w:r>
        <w:rPr>
          <w:rFonts w:ascii="Times New Roman" w:eastAsia="仿宋_GB2312" w:cs="仿宋_GB2312" w:hAnsi="Times New Roman" w:hint="eastAsia"/>
          <w:color w:val="auto"/>
          <w:kern w:val="2"/>
          <w:sz w:val="32"/>
          <w:szCs w:val="32"/>
          <w:lang w:val="en-US" w:eastAsia="zh-CN" w:bidi="ar-SA"/>
          <w:highlight w:val="auto"/>
        </w:rPr>
        <w:t>（项）：指</w:t>
      </w:r>
      <w:r>
        <w:rPr>
          <w:rFonts w:ascii="Times New Roman" w:eastAsia="仿宋_GB2312" w:cs="仿宋_GB2312" w:hAnsi="Times New Roman"/>
          <w:color w:val="auto"/>
          <w:kern w:val="2"/>
          <w:sz w:val="32"/>
          <w:szCs w:val="32"/>
          <w:lang w:val="en-US" w:eastAsia="zh-CN" w:bidi="ar-SA"/>
        </w:rPr>
        <w:t>2210201住房公积金</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26.粮油物资储备（类）</w:t>
      </w:r>
      <w:r>
        <w:rPr>
          <w:rFonts w:ascii="Times New Roman" w:eastAsia="仿宋_GB2312" w:cs="仿宋_GB2312" w:hAnsi="Times New Roman"/>
          <w:color w:val="auto"/>
          <w:kern w:val="2"/>
          <w:sz w:val="32"/>
          <w:szCs w:val="32"/>
          <w:lang w:val="en-US" w:eastAsia="zh-CN" w:bidi="ar-SA"/>
          <w:highlight w:val="auto"/>
        </w:rPr>
        <w:t>00</w:t>
      </w:r>
      <w:r>
        <w:rPr>
          <w:rFonts w:ascii="Times New Roman" w:eastAsia="仿宋_GB2312" w:cs="仿宋_GB2312" w:hAnsi="Times New Roman" w:hint="eastAsia"/>
          <w:color w:val="auto"/>
          <w:kern w:val="2"/>
          <w:sz w:val="32"/>
          <w:szCs w:val="32"/>
          <w:lang w:val="en-US" w:eastAsia="zh-CN" w:bidi="ar-SA"/>
          <w:highlight w:val="auto"/>
        </w:rPr>
        <w:t>（款）</w:t>
      </w:r>
      <w:r>
        <w:rPr>
          <w:rFonts w:ascii="Times New Roman" w:eastAsia="仿宋_GB2312" w:cs="仿宋_GB2312" w:hAnsi="Times New Roman"/>
          <w:color w:val="auto"/>
          <w:kern w:val="2"/>
          <w:sz w:val="32"/>
          <w:szCs w:val="32"/>
          <w:lang w:val="en-US" w:eastAsia="zh-CN" w:bidi="ar-SA"/>
          <w:highlight w:val="auto"/>
        </w:rPr>
        <w:t>00</w:t>
      </w:r>
      <w:r>
        <w:rPr>
          <w:rFonts w:ascii="Times New Roman" w:eastAsia="仿宋_GB2312" w:cs="仿宋_GB2312" w:hAnsi="Times New Roman" w:hint="eastAsia"/>
          <w:color w:val="auto"/>
          <w:kern w:val="2"/>
          <w:sz w:val="32"/>
          <w:szCs w:val="32"/>
          <w:lang w:val="en-US" w:eastAsia="zh-CN" w:bidi="ar-SA"/>
          <w:highlight w:val="auto"/>
        </w:rPr>
        <w:t>（项）：指</w:t>
      </w:r>
      <w:r>
        <w:rPr>
          <w:rFonts w:ascii="Times New Roman" w:eastAsia="仿宋_GB2312" w:cs="仿宋_GB2312" w:hAnsi="Times New Roman"/>
          <w:color w:val="auto"/>
          <w:kern w:val="2"/>
          <w:sz w:val="32"/>
          <w:szCs w:val="32"/>
          <w:lang w:val="en-US" w:eastAsia="zh-CN" w:bidi="ar-SA"/>
          <w:highlight w:val="auto"/>
        </w:rPr>
        <w:t>无</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w:t>
      </w:r>
      <w:r>
        <w:rPr>
          <w:rFonts w:eastAsia="仿宋_GB2312" w:cs="仿宋_GB2312" w:hint="eastAsia"/>
          <w:b/>
          <w:bCs/>
          <w:color w:val="auto"/>
          <w:kern w:val="2"/>
          <w:sz w:val="32"/>
          <w:szCs w:val="32"/>
          <w:lang w:val="en-US" w:eastAsia="zh-CN" w:bidi="ar-SA"/>
          <w:highlight w:val="auto"/>
        </w:rPr>
        <w:t>注：</w:t>
      </w:r>
      <w:r>
        <w:rPr>
          <w:rFonts w:ascii="Times New Roman" w:eastAsia="仿宋_GB2312" w:cs="仿宋_GB2312" w:hAnsi="Times New Roman" w:hint="eastAsia"/>
          <w:b/>
          <w:bCs/>
          <w:color w:val="auto"/>
          <w:kern w:val="2"/>
          <w:sz w:val="32"/>
          <w:szCs w:val="32"/>
          <w:lang w:val="en-US" w:eastAsia="zh-CN" w:bidi="ar-SA"/>
          <w:highlight w:val="auto"/>
        </w:rPr>
        <w:t>解释本部门决算报表中涉及的全部功能分类科目至项级，不涉及的科目请自行删除。请参照</w:t>
      </w:r>
      <w:r>
        <w:rPr>
          <w:rFonts w:eastAsia="仿宋_GB2312" w:cs="仿宋_GB2312" w:hint="eastAsia"/>
          <w:b/>
          <w:bCs/>
          <w:color w:val="auto"/>
          <w:kern w:val="2"/>
          <w:sz w:val="32"/>
          <w:szCs w:val="32"/>
          <w:lang w:val="en-US" w:eastAsia="zh-CN" w:bidi="ar-SA"/>
          <w:highlight w:val="auto"/>
        </w:rPr>
        <w:t>《</w:t>
      </w:r>
      <w:r>
        <w:rPr>
          <w:rFonts w:ascii="Times New Roman" w:eastAsia="仿宋_GB2312" w:cs="仿宋_GB2312" w:hAnsi="Times New Roman" w:hint="eastAsia"/>
          <w:b/>
          <w:bCs/>
          <w:color w:val="auto"/>
          <w:kern w:val="2"/>
          <w:sz w:val="32"/>
          <w:szCs w:val="32"/>
          <w:lang w:val="en-US" w:eastAsia="zh-CN" w:bidi="ar-SA"/>
          <w:highlight w:val="auto"/>
        </w:rPr>
        <w:t>202</w:t>
      </w:r>
      <w:r>
        <w:rPr>
          <w:rFonts w:eastAsia="仿宋_GB2312" w:cs="仿宋_GB2312" w:hint="eastAsia"/>
          <w:b/>
          <w:bCs/>
          <w:color w:val="auto"/>
          <w:kern w:val="2"/>
          <w:sz w:val="32"/>
          <w:szCs w:val="32"/>
          <w:lang w:val="en-US" w:eastAsia="zh-CN" w:bidi="ar-SA"/>
          <w:highlight w:val="auto"/>
        </w:rPr>
        <w:t>4</w:t>
      </w:r>
      <w:r>
        <w:rPr>
          <w:rFonts w:ascii="Times New Roman" w:eastAsia="仿宋_GB2312" w:cs="仿宋_GB2312" w:hAnsi="Times New Roman" w:hint="eastAsia"/>
          <w:b/>
          <w:bCs/>
          <w:color w:val="auto"/>
          <w:kern w:val="2"/>
          <w:sz w:val="32"/>
          <w:szCs w:val="32"/>
          <w:lang w:val="en-US" w:eastAsia="zh-CN" w:bidi="ar-SA"/>
          <w:highlight w:val="auto"/>
        </w:rPr>
        <w:t>年政府收支分类科目</w:t>
      </w:r>
      <w:r>
        <w:rPr>
          <w:rFonts w:eastAsia="仿宋_GB2312" w:cs="仿宋_GB2312" w:hint="eastAsia"/>
          <w:b/>
          <w:bCs/>
          <w:color w:val="auto"/>
          <w:kern w:val="2"/>
          <w:sz w:val="32"/>
          <w:szCs w:val="32"/>
          <w:lang w:val="en-US" w:eastAsia="zh-CN" w:bidi="ar-SA"/>
          <w:highlight w:val="auto"/>
        </w:rPr>
        <w:t>》</w:t>
      </w:r>
      <w:r>
        <w:rPr>
          <w:rFonts w:ascii="Times New Roman" w:eastAsia="仿宋_GB2312" w:cs="仿宋_GB2312" w:hAnsi="Times New Roman" w:hint="eastAsia"/>
          <w:b/>
          <w:bCs/>
          <w:color w:val="auto"/>
          <w:kern w:val="2"/>
          <w:sz w:val="32"/>
          <w:szCs w:val="32"/>
          <w:lang w:val="en-US" w:eastAsia="zh-CN" w:bidi="ar-SA"/>
          <w:highlight w:val="auto"/>
        </w:rPr>
        <w:t>增减内容）</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27.基本支出：指为保障机构正常运转、完成日常工作任务而发生的人员支出和公用支出。</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 xml:space="preserve">28.项目支出：指在基本支出之外为完成特定行政任务和事业发展目标所发生的支出。 </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29.经营支出：指事业单位在专业业务活动及其辅助活动之外开展非独立核算经营活动发生的支出。</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30.</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三公</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32.</w:t>
      </w:r>
      <w:r>
        <w:rPr>
          <w:rFonts w:ascii="Times New Roman" w:eastAsia="仿宋_GB2312" w:cs="仿宋_GB2312" w:hAnsi="Times New Roman"/>
          <w:color w:val="auto"/>
          <w:kern w:val="2"/>
          <w:sz w:val="32"/>
          <w:szCs w:val="32"/>
          <w:lang w:val="en-US" w:eastAsia="zh-CN" w:bidi="ar-SA"/>
          <w:highlight w:val="auto"/>
        </w:rPr>
        <w:t>无</w:t>
      </w:r>
    </w:p>
    <w:p>
      <w:pPr>
        <w:spacing w:line="600" w:lineRule="exact"/>
        <w:ind w:firstLine="640"/>
        <w:rPr>
          <w:rFonts w:ascii="Times New Roman" w:eastAsia="仿宋_GB2312" w:cs="仿宋_GB2312" w:hAnsi="Times New Roman" w:hint="eastAsia"/>
          <w:b/>
          <w:bCs/>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（注：名词解释部分请根据各部门实际列支情况罗列，并根据本部门职责职能增减名词解释内容）</w:t>
      </w:r>
    </w:p>
    <w:p>
      <w:pPr>
        <w:spacing w:line="600" w:lineRule="exact"/>
        <w:contextualSpacing/>
        <w:jc w:val="center"/>
        <w:rPr>
          <w:rFonts w:eastAsia="仿宋_GB2312" w:cs="仿宋_GB2312" w:hint="eastAsia"/>
          <w:b/>
          <w:sz w:val="32"/>
          <w:szCs w:val="32"/>
        </w:rPr>
      </w:pPr>
      <w:bookmarkStart w:id="53" w:name="_Toc15377226"/>
      <w:r>
        <w:rPr>
          <w:rFonts w:ascii="Times New Roman" w:eastAsia="仿宋_GB2312" w:cs="仿宋_GB2312" w:hAnsi="Times New Roman" w:hint="eastAsia"/>
          <w:color w:val="auto"/>
          <w:kern w:val="2"/>
          <w:sz w:val="32"/>
          <w:szCs w:val="32"/>
          <w:lang w:val="en-US" w:eastAsia="zh-CN" w:bidi="ar-SA"/>
          <w:highlight w:val="auto"/>
        </w:rPr>
        <w:br w:type="page"/>
      </w:r>
      <w:r>
        <w:rPr>
          <w:rFonts w:eastAsia="仿宋_GB2312" w:cs="仿宋_GB2312" w:hint="eastAsia"/>
          <w:b/>
          <w:sz w:val="32"/>
          <w:szCs w:val="32"/>
        </w:rPr>
        <w:t>四川省阿坝州民族高级中学</w:t>
      </w:r>
    </w:p>
    <w:p>
      <w:pPr>
        <w:spacing w:line="600" w:lineRule="exact"/>
        <w:contextualSpacing/>
        <w:jc w:val="center"/>
        <w:rPr>
          <w:rFonts w:eastAsia="仿宋_GB2312" w:cs="仿宋_GB2312" w:hint="eastAsia"/>
          <w:b/>
          <w:sz w:val="32"/>
          <w:szCs w:val="32"/>
        </w:rPr>
      </w:pPr>
      <w:r>
        <w:rPr>
          <w:rFonts w:eastAsia="仿宋_GB2312" w:cs="仿宋_GB2312" w:hint="eastAsia"/>
          <w:b/>
          <w:sz w:val="32"/>
          <w:szCs w:val="32"/>
        </w:rPr>
        <w:t>202</w:t>
      </w:r>
      <w:r>
        <w:rPr>
          <w:rFonts w:eastAsia="仿宋_GB2312" w:cs="仿宋_GB2312" w:hint="eastAsia"/>
          <w:b/>
          <w:sz w:val="32"/>
          <w:szCs w:val="32"/>
          <w:lang w:val="en-US" w:eastAsia="zh-CN"/>
        </w:rPr>
        <w:t>4</w:t>
      </w:r>
      <w:r>
        <w:rPr>
          <w:rFonts w:eastAsia="仿宋_GB2312" w:cs="仿宋_GB2312" w:hint="eastAsia"/>
          <w:b/>
          <w:sz w:val="32"/>
          <w:szCs w:val="32"/>
        </w:rPr>
        <w:t>年整体支出绩效评价报告</w:t>
      </w:r>
    </w:p>
    <w:p>
      <w:pPr>
        <w:adjustRightInd w:val="0"/>
        <w:snapToGrid w:val="0"/>
        <w:spacing w:line="600" w:lineRule="exact"/>
        <w:contextualSpacing/>
        <w:jc w:val="center"/>
        <w:rPr>
          <w:rFonts w:eastAsia="仿宋_GB2312" w:cs="仿宋_GB2312" w:hint="eastAsia"/>
          <w:sz w:val="32"/>
          <w:szCs w:val="32"/>
        </w:rPr>
      </w:pPr>
    </w:p>
    <w:p>
      <w:pPr>
        <w:keepNext w:val="0"/>
        <w:keepLines w:val="0"/>
        <w:pageBreakBefore w:val="0"/>
        <w:widowControl w:val="0"/>
        <w:kinsoku/>
        <w:wordWrap/>
        <w:overflowPunct/>
        <w:topLinePunct w:val="0"/>
        <w:autoSpaceDE/>
        <w:autoSpaceDN/>
        <w:adjustRightInd w:val="0"/>
        <w:snapToGrid w:val="0"/>
        <w:spacing w:line="600" w:lineRule="exact"/>
        <w:contextualSpacing/>
        <w:jc w:val="left"/>
        <w:rPr>
          <w:rFonts w:eastAsia="仿宋_GB2312" w:cs="仿宋_GB2312" w:hint="eastAsia"/>
          <w:sz w:val="32"/>
          <w:szCs w:val="32"/>
          <w:lang w:val="zh-CN"/>
        </w:rPr>
      </w:pPr>
      <w:r>
        <w:rPr>
          <w:rFonts w:eastAsia="仿宋_GB2312" w:cs="仿宋_GB2312" w:hint="eastAsia"/>
          <w:sz w:val="32"/>
          <w:szCs w:val="32"/>
          <w:lang w:val="zh-CN"/>
        </w:rPr>
        <w:t>一、部门（单位）概况</w:t>
      </w:r>
    </w:p>
    <w:p>
      <w:pPr>
        <w:adjustRightInd w:val="0"/>
        <w:snapToGrid w:val="0"/>
        <w:spacing w:line="600" w:lineRule="exact"/>
        <w:contextualSpacing/>
        <w:jc w:val="left"/>
        <w:rPr>
          <w:rFonts w:eastAsia="仿宋_GB2312" w:cs="仿宋_GB2312" w:hint="eastAsia"/>
          <w:b/>
          <w:sz w:val="32"/>
          <w:szCs w:val="32"/>
          <w:lang w:val="zh-CN"/>
        </w:rPr>
      </w:pPr>
      <w:bookmarkStart w:id="54" w:name="OLE_LINK1"/>
      <w:r>
        <w:rPr>
          <w:rFonts w:eastAsia="仿宋_GB2312" w:cs="仿宋_GB2312" w:hint="eastAsia"/>
          <w:b/>
          <w:sz w:val="32"/>
          <w:szCs w:val="32"/>
          <w:lang w:val="zh-CN"/>
        </w:rPr>
        <w:t>（一）机构组成。</w:t>
      </w:r>
    </w:p>
    <w:p>
      <w:pPr>
        <w:adjustRightInd w:val="0"/>
        <w:snapToGrid w:val="0"/>
        <w:spacing w:line="600" w:lineRule="exact"/>
        <w:contextualSpacing/>
        <w:jc w:val="left"/>
        <w:rPr>
          <w:rFonts w:eastAsia="仿宋_GB2312" w:cs="仿宋_GB2312" w:hint="eastAsia"/>
          <w:sz w:val="32"/>
          <w:szCs w:val="32"/>
          <w:lang w:val="zh-CN"/>
        </w:rPr>
      </w:pPr>
      <w:r>
        <w:rPr>
          <w:rFonts w:eastAsia="仿宋_GB2312" w:cs="仿宋_GB2312" w:hint="eastAsia"/>
          <w:sz w:val="32"/>
          <w:szCs w:val="32"/>
        </w:rPr>
        <w:t>四川省阿坝州民族高级中学是独立的二级预算单位，学校办学宗旨是教书育人，以三语（即藏、汉、英）教育教学，为各行各业培养优秀人才。学校校编制155名，其中：行政编制0名；事业编制155名；工勤编制0名。在职人员总数</w:t>
      </w:r>
      <w:r>
        <w:rPr>
          <w:rFonts w:eastAsia="仿宋_GB2312" w:cs="仿宋_GB2312"/>
          <w:sz w:val="32"/>
          <w:szCs w:val="32"/>
        </w:rPr>
        <w:t>13</w:t>
      </w:r>
      <w:r>
        <w:rPr>
          <w:rFonts w:eastAsia="仿宋_GB2312" w:cs="仿宋_GB2312" w:hint="eastAsia"/>
          <w:sz w:val="32"/>
          <w:szCs w:val="32"/>
          <w:lang w:val="en-US" w:eastAsia="zh-CN"/>
        </w:rPr>
        <w:t>3</w:t>
      </w:r>
      <w:r>
        <w:rPr>
          <w:rFonts w:eastAsia="仿宋_GB2312" w:cs="仿宋_GB2312" w:hint="eastAsia"/>
          <w:sz w:val="32"/>
          <w:szCs w:val="32"/>
        </w:rPr>
        <w:t>人，其中：事业人员</w:t>
      </w:r>
      <w:r>
        <w:rPr>
          <w:rFonts w:eastAsia="仿宋_GB2312" w:cs="仿宋_GB2312"/>
          <w:sz w:val="32"/>
          <w:szCs w:val="32"/>
        </w:rPr>
        <w:t>13</w:t>
      </w:r>
      <w:r>
        <w:rPr>
          <w:rFonts w:eastAsia="仿宋_GB2312" w:cs="仿宋_GB2312" w:hint="eastAsia"/>
          <w:sz w:val="32"/>
          <w:szCs w:val="32"/>
          <w:lang w:val="en-US" w:eastAsia="zh-CN"/>
        </w:rPr>
        <w:t>3</w:t>
      </w:r>
      <w:r>
        <w:rPr>
          <w:rFonts w:eastAsia="仿宋_GB2312" w:cs="仿宋_GB2312" w:hint="eastAsia"/>
          <w:sz w:val="32"/>
          <w:szCs w:val="32"/>
        </w:rPr>
        <w:t>人，行政人员0人，参照公务员法管理的事业人员0人；退休人员</w:t>
      </w:r>
      <w:r>
        <w:rPr>
          <w:rFonts w:eastAsia="仿宋_GB2312" w:cs="仿宋_GB2312"/>
          <w:sz w:val="32"/>
          <w:szCs w:val="32"/>
        </w:rPr>
        <w:t>55人。</w:t>
      </w:r>
    </w:p>
    <w:p>
      <w:pPr>
        <w:adjustRightInd w:val="0"/>
        <w:snapToGrid w:val="0"/>
        <w:spacing w:line="600" w:lineRule="exact"/>
        <w:contextualSpacing/>
        <w:jc w:val="left"/>
        <w:rPr>
          <w:rFonts w:eastAsia="仿宋_GB2312" w:cs="仿宋_GB2312" w:hint="eastAsia"/>
          <w:b/>
          <w:sz w:val="32"/>
          <w:szCs w:val="32"/>
          <w:lang w:val="zh-CN"/>
        </w:rPr>
      </w:pPr>
      <w:r>
        <w:rPr>
          <w:rFonts w:eastAsia="仿宋_GB2312" w:cs="仿宋_GB2312" w:hint="eastAsia"/>
          <w:b/>
          <w:sz w:val="32"/>
          <w:szCs w:val="32"/>
          <w:lang w:val="zh-CN"/>
        </w:rPr>
        <w:t>（二）机构职能。</w:t>
      </w:r>
    </w:p>
    <w:p>
      <w:pPr>
        <w:adjustRightInd w:val="0"/>
        <w:snapToGrid w:val="0"/>
        <w:spacing w:line="600" w:lineRule="exact"/>
        <w:contextualSpacing/>
        <w:jc w:val="left"/>
        <w:rPr>
          <w:rFonts w:eastAsia="仿宋_GB2312" w:cs="仿宋_GB2312" w:hint="eastAsia"/>
          <w:b/>
          <w:bCs/>
          <w:sz w:val="32"/>
          <w:szCs w:val="32"/>
        </w:rPr>
      </w:pPr>
      <w:r>
        <w:rPr>
          <w:rFonts w:eastAsia="仿宋_GB2312" w:cs="仿宋_GB2312" w:hint="eastAsia"/>
          <w:b/>
          <w:bCs/>
          <w:sz w:val="32"/>
          <w:szCs w:val="32"/>
        </w:rPr>
        <w:t>1、凝聚人心，抓好班子建设</w:t>
      </w:r>
    </w:p>
    <w:p>
      <w:pPr>
        <w:adjustRightInd w:val="0"/>
        <w:snapToGrid w:val="0"/>
        <w:spacing w:line="600" w:lineRule="exact"/>
        <w:contextualSpacing/>
        <w:jc w:val="left"/>
        <w:rPr>
          <w:rFonts w:eastAsia="仿宋_GB2312" w:cs="仿宋_GB2312" w:hint="eastAsia"/>
          <w:bCs/>
          <w:sz w:val="32"/>
          <w:szCs w:val="32"/>
        </w:rPr>
      </w:pPr>
      <w:r>
        <w:rPr>
          <w:rFonts w:eastAsia="仿宋_GB2312" w:cs="仿宋_GB2312" w:hint="eastAsia"/>
          <w:sz w:val="32"/>
          <w:szCs w:val="32"/>
        </w:rPr>
        <w:t>学校以创建“四好”班子为载体，继续</w:t>
      </w:r>
      <w:r>
        <w:rPr>
          <w:rFonts w:eastAsia="仿宋_GB2312" w:cs="仿宋_GB2312" w:hint="eastAsia"/>
          <w:bCs/>
          <w:sz w:val="32"/>
          <w:szCs w:val="32"/>
        </w:rPr>
        <w:t>从“严”入手，深化作风建设，在民心稳定、思想统一的基础上进一步严格制度、严肃纪律、严谨工作，实现严规守纪、求真务实、创新求变的良好局面，确保各项工作的顺利开展。</w:t>
      </w:r>
    </w:p>
    <w:p>
      <w:pPr>
        <w:adjustRightInd w:val="0"/>
        <w:snapToGrid w:val="0"/>
        <w:spacing w:line="600" w:lineRule="exact"/>
        <w:contextualSpacing/>
        <w:jc w:val="left"/>
        <w:rPr>
          <w:rFonts w:eastAsia="仿宋_GB2312" w:cs="仿宋_GB2312" w:hint="eastAsia"/>
          <w:b/>
          <w:sz w:val="32"/>
          <w:szCs w:val="32"/>
        </w:rPr>
      </w:pPr>
      <w:r>
        <w:rPr>
          <w:rFonts w:eastAsia="仿宋_GB2312" w:cs="仿宋_GB2312" w:hint="eastAsia"/>
          <w:b/>
          <w:bCs/>
          <w:sz w:val="32"/>
          <w:szCs w:val="32"/>
        </w:rPr>
        <w:t>2、教学相长</w:t>
      </w:r>
      <w:r>
        <w:rPr>
          <w:rFonts w:eastAsia="仿宋_GB2312" w:cs="仿宋_GB2312" w:hint="eastAsia"/>
          <w:b/>
          <w:sz w:val="32"/>
          <w:szCs w:val="32"/>
        </w:rPr>
        <w:t>，抓好教师队伍建设</w:t>
      </w:r>
    </w:p>
    <w:p>
      <w:pPr>
        <w:adjustRightInd w:val="0"/>
        <w:snapToGrid w:val="0"/>
        <w:spacing w:line="600" w:lineRule="exact"/>
        <w:contextualSpacing/>
        <w:jc w:val="left"/>
        <w:rPr>
          <w:rFonts w:eastAsia="仿宋_GB2312" w:cs="仿宋_GB2312" w:hint="eastAsia"/>
          <w:sz w:val="32"/>
          <w:szCs w:val="32"/>
        </w:rPr>
      </w:pPr>
      <w:r>
        <w:rPr>
          <w:rFonts w:eastAsia="仿宋_GB2312" w:cs="仿宋_GB2312" w:hint="eastAsia"/>
          <w:sz w:val="32"/>
          <w:szCs w:val="32"/>
        </w:rPr>
        <w:t>通过自主招聘补充新鲜血液,强化宗旨意识，弘扬师德师风,强化内部教研和校本培训,加强校本研修力度,走出去观摩学习,深入开展教学公开课,</w:t>
      </w:r>
      <w:r>
        <w:rPr>
          <w:rFonts w:eastAsia="仿宋_GB2312" w:cs="仿宋_GB2312" w:hint="eastAsia"/>
          <w:bCs/>
          <w:sz w:val="32"/>
          <w:szCs w:val="32"/>
        </w:rPr>
        <w:t>认真做好语言文字工作,</w:t>
      </w:r>
      <w:r>
        <w:rPr>
          <w:rFonts w:eastAsia="仿宋_GB2312" w:cs="仿宋_GB2312" w:hint="eastAsia"/>
          <w:sz w:val="32"/>
          <w:szCs w:val="32"/>
        </w:rPr>
        <w:t>完成各类培训工作。</w:t>
      </w:r>
    </w:p>
    <w:p>
      <w:pPr>
        <w:adjustRightInd w:val="0"/>
        <w:snapToGrid w:val="0"/>
        <w:spacing w:line="600" w:lineRule="exact"/>
        <w:contextualSpacing/>
        <w:jc w:val="left"/>
        <w:rPr>
          <w:rFonts w:eastAsia="仿宋_GB2312" w:cs="仿宋_GB2312" w:hint="eastAsia"/>
          <w:sz w:val="32"/>
          <w:szCs w:val="32"/>
        </w:rPr>
      </w:pPr>
      <w:r>
        <w:rPr>
          <w:rFonts w:eastAsia="仿宋_GB2312" w:cs="仿宋_GB2312" w:hint="eastAsia"/>
          <w:b/>
          <w:bCs/>
          <w:sz w:val="32"/>
          <w:szCs w:val="32"/>
        </w:rPr>
        <w:t>3、质量立校</w:t>
      </w:r>
      <w:r>
        <w:rPr>
          <w:rFonts w:eastAsia="仿宋_GB2312" w:cs="仿宋_GB2312" w:hint="eastAsia"/>
          <w:b/>
          <w:sz w:val="32"/>
          <w:szCs w:val="32"/>
        </w:rPr>
        <w:t>，抓好教育教学管理</w:t>
      </w:r>
    </w:p>
    <w:p>
      <w:pPr>
        <w:adjustRightInd w:val="0"/>
        <w:snapToGrid w:val="0"/>
        <w:spacing w:line="600" w:lineRule="exact"/>
        <w:contextualSpacing/>
        <w:jc w:val="left"/>
        <w:rPr>
          <w:rFonts w:eastAsia="仿宋_GB2312" w:cs="仿宋_GB2312" w:hint="eastAsia"/>
          <w:sz w:val="32"/>
          <w:szCs w:val="32"/>
        </w:rPr>
      </w:pPr>
      <w:r>
        <w:rPr>
          <w:rFonts w:eastAsia="仿宋_GB2312" w:cs="仿宋_GB2312" w:hint="eastAsia"/>
          <w:sz w:val="32"/>
          <w:szCs w:val="32"/>
        </w:rPr>
        <w:t>认真抓好双语高中教学工作，做好了学校招考工作。明确了培养目标和教学计划，规范了办学行为和招生制度，完成了高中阶段招生统一评卷工作，按时上报招生旬报，无违规招生行为。</w:t>
      </w:r>
    </w:p>
    <w:p>
      <w:pPr>
        <w:adjustRightInd w:val="0"/>
        <w:snapToGrid w:val="0"/>
        <w:spacing w:line="600" w:lineRule="exact"/>
        <w:contextualSpacing/>
        <w:jc w:val="left"/>
        <w:rPr>
          <w:rFonts w:eastAsia="仿宋_GB2312" w:cs="仿宋_GB2312" w:hint="eastAsia"/>
          <w:b/>
          <w:bCs/>
          <w:sz w:val="32"/>
          <w:szCs w:val="32"/>
        </w:rPr>
      </w:pPr>
      <w:r>
        <w:rPr>
          <w:rFonts w:eastAsia="仿宋_GB2312" w:cs="仿宋_GB2312" w:hint="eastAsia"/>
          <w:b/>
          <w:bCs/>
          <w:sz w:val="32"/>
          <w:szCs w:val="32"/>
        </w:rPr>
        <w:t>4、立德立本，抓好安全德育管理</w:t>
      </w:r>
    </w:p>
    <w:p>
      <w:pPr>
        <w:adjustRightInd w:val="0"/>
        <w:snapToGrid w:val="0"/>
        <w:spacing w:line="600" w:lineRule="exact"/>
        <w:contextualSpacing/>
        <w:jc w:val="left"/>
        <w:rPr>
          <w:rFonts w:eastAsia="仿宋_GB2312" w:cs="仿宋_GB2312" w:hint="eastAsia"/>
          <w:sz w:val="32"/>
          <w:szCs w:val="32"/>
        </w:rPr>
      </w:pPr>
      <w:r>
        <w:rPr>
          <w:rFonts w:eastAsia="仿宋_GB2312" w:cs="仿宋_GB2312" w:hint="eastAsia"/>
          <w:sz w:val="32"/>
          <w:szCs w:val="32"/>
        </w:rPr>
        <w:t>一是认真做好德育管理工作。二是认真做好安全管理工作。</w:t>
      </w:r>
    </w:p>
    <w:p>
      <w:pPr>
        <w:adjustRightInd w:val="0"/>
        <w:snapToGrid w:val="0"/>
        <w:spacing w:line="600" w:lineRule="exact"/>
        <w:contextualSpacing/>
        <w:jc w:val="left"/>
        <w:rPr>
          <w:rFonts w:eastAsia="仿宋_GB2312" w:cs="仿宋_GB2312" w:hint="eastAsia"/>
          <w:b/>
          <w:sz w:val="32"/>
          <w:szCs w:val="32"/>
          <w:lang w:val="zh-CN"/>
        </w:rPr>
      </w:pPr>
      <w:r>
        <w:rPr>
          <w:rFonts w:eastAsia="仿宋_GB2312" w:cs="仿宋_GB2312" w:hint="eastAsia"/>
          <w:b/>
          <w:sz w:val="32"/>
          <w:szCs w:val="32"/>
          <w:lang w:val="zh-CN"/>
        </w:rPr>
        <w:t>（三）人员概况。</w:t>
      </w:r>
    </w:p>
    <w:p>
      <w:pPr>
        <w:adjustRightInd w:val="0"/>
        <w:snapToGrid w:val="0"/>
        <w:spacing w:line="600" w:lineRule="exact"/>
        <w:jc w:val="left"/>
        <w:rPr>
          <w:rFonts w:eastAsia="仿宋_GB2312" w:cs="仿宋_GB2312" w:hint="eastAsia"/>
          <w:sz w:val="32"/>
          <w:szCs w:val="32"/>
        </w:rPr>
      </w:pPr>
      <w:r>
        <w:rPr>
          <w:rFonts w:eastAsia="仿宋_GB2312" w:cs="仿宋_GB2312" w:hint="eastAsia"/>
          <w:sz w:val="32"/>
          <w:szCs w:val="32"/>
          <w:lang w:val="zh-CN"/>
        </w:rPr>
        <w:t>四川省阿坝州民族高级中学事业编制</w:t>
      </w:r>
      <w:r>
        <w:rPr>
          <w:rFonts w:eastAsia="仿宋_GB2312" w:cs="仿宋_GB2312" w:hint="eastAsia"/>
          <w:sz w:val="32"/>
          <w:szCs w:val="32"/>
        </w:rPr>
        <w:t>155个，</w:t>
      </w:r>
      <w:r>
        <w:rPr>
          <w:rFonts w:eastAsia="仿宋_GB2312" w:cs="仿宋_GB2312" w:hint="eastAsia"/>
          <w:sz w:val="32"/>
          <w:szCs w:val="32"/>
          <w:lang w:val="zh-CN"/>
        </w:rPr>
        <w:t>截止</w:t>
      </w:r>
      <w:r>
        <w:rPr>
          <w:rFonts w:eastAsia="仿宋_GB2312" w:cs="仿宋_GB2312" w:hint="eastAsia"/>
          <w:sz w:val="32"/>
          <w:szCs w:val="32"/>
        </w:rPr>
        <w:t>202</w:t>
      </w:r>
      <w:r>
        <w:rPr>
          <w:rFonts w:eastAsia="仿宋_GB2312" w:cs="仿宋_GB2312" w:hint="eastAsia"/>
          <w:sz w:val="32"/>
          <w:szCs w:val="32"/>
          <w:lang w:val="en-US" w:eastAsia="zh-CN"/>
        </w:rPr>
        <w:t>4</w:t>
      </w:r>
      <w:r>
        <w:rPr>
          <w:rFonts w:eastAsia="仿宋_GB2312" w:cs="仿宋_GB2312" w:hint="eastAsia"/>
          <w:sz w:val="32"/>
          <w:szCs w:val="32"/>
        </w:rPr>
        <w:t>年</w:t>
      </w:r>
      <w:r>
        <w:rPr>
          <w:rFonts w:eastAsia="仿宋_GB2312" w:cs="仿宋_GB2312"/>
          <w:sz w:val="32"/>
          <w:szCs w:val="32"/>
        </w:rPr>
        <w:t>末</w:t>
      </w:r>
      <w:r>
        <w:rPr>
          <w:rFonts w:eastAsia="仿宋_GB2312" w:cs="仿宋_GB2312" w:hint="eastAsia"/>
          <w:sz w:val="32"/>
          <w:szCs w:val="32"/>
        </w:rPr>
        <w:t>实有</w:t>
      </w:r>
      <w:r>
        <w:rPr>
          <w:rFonts w:eastAsia="仿宋_GB2312" w:cs="仿宋_GB2312" w:hint="eastAsia"/>
          <w:sz w:val="32"/>
          <w:szCs w:val="32"/>
          <w:lang w:val="en-US" w:eastAsia="zh-CN"/>
        </w:rPr>
        <w:t>133</w:t>
      </w:r>
      <w:r>
        <w:rPr>
          <w:rFonts w:eastAsia="仿宋_GB2312" w:cs="仿宋_GB2312" w:hint="eastAsia"/>
          <w:sz w:val="32"/>
          <w:szCs w:val="32"/>
        </w:rPr>
        <w:t>人为在编事业人员，</w:t>
      </w:r>
      <w:r>
        <w:rPr>
          <w:rStyle w:val="0"/>
          <w:rFonts w:eastAsia="仿宋_GB2312" w:cs="仿宋_GB2312" w:hint="eastAsia"/>
          <w:sz w:val="32"/>
          <w:szCs w:val="32"/>
        </w:rPr>
        <w:t>行政人员0人，参照公务员法管理的事业人员0人。</w:t>
      </w:r>
    </w:p>
    <w:p>
      <w:pPr>
        <w:keepNext w:val="0"/>
        <w:keepLines w:val="0"/>
        <w:pageBreakBefore w:val="0"/>
        <w:widowControl w:val="0"/>
        <w:kinsoku/>
        <w:wordWrap/>
        <w:overflowPunct/>
        <w:topLinePunct w:val="0"/>
        <w:autoSpaceDE/>
        <w:autoSpaceDN/>
        <w:adjustRightInd w:val="0"/>
        <w:snapToGrid w:val="0"/>
        <w:spacing w:line="600" w:lineRule="exact"/>
        <w:contextualSpacing/>
        <w:jc w:val="left"/>
        <w:rPr>
          <w:rFonts w:eastAsia="仿宋_GB2312" w:cs="仿宋_GB2312" w:hint="eastAsia"/>
          <w:sz w:val="32"/>
          <w:szCs w:val="32"/>
          <w:lang w:val="zh-CN"/>
        </w:rPr>
      </w:pPr>
      <w:bookmarkEnd w:id="54"/>
      <w:r>
        <w:rPr>
          <w:rFonts w:eastAsia="仿宋_GB2312" w:cs="仿宋_GB2312" w:hint="eastAsia"/>
          <w:sz w:val="32"/>
          <w:szCs w:val="32"/>
          <w:lang w:val="zh-CN"/>
        </w:rPr>
        <w:t>二、部门财政资金收支情况</w:t>
      </w:r>
    </w:p>
    <w:p>
      <w:pPr>
        <w:adjustRightInd w:val="0"/>
        <w:snapToGrid w:val="0"/>
        <w:spacing w:line="600" w:lineRule="exact"/>
        <w:contextualSpacing/>
        <w:jc w:val="left"/>
        <w:rPr>
          <w:rFonts w:eastAsia="仿宋_GB2312" w:cs="仿宋_GB2312" w:hint="eastAsia"/>
          <w:sz w:val="32"/>
          <w:szCs w:val="32"/>
          <w:lang w:val="zh-CN"/>
        </w:rPr>
      </w:pPr>
      <w:r>
        <w:rPr>
          <w:rFonts w:eastAsia="仿宋_GB2312" w:cs="仿宋_GB2312" w:hint="eastAsia"/>
          <w:sz w:val="32"/>
          <w:szCs w:val="32"/>
          <w:lang w:val="zh-CN"/>
        </w:rPr>
        <w:t>（</w:t>
      </w:r>
      <w:r>
        <w:rPr>
          <w:rFonts w:eastAsia="仿宋_GB2312" w:cs="仿宋_GB2312" w:hint="eastAsia"/>
          <w:b/>
          <w:sz w:val="32"/>
          <w:szCs w:val="32"/>
          <w:lang w:val="zh-CN"/>
        </w:rPr>
        <w:t>一）部门财政资金收入情况。</w:t>
      </w:r>
    </w:p>
    <w:p>
      <w:pPr>
        <w:adjustRightInd w:val="0"/>
        <w:snapToGrid w:val="0"/>
        <w:spacing w:line="600" w:lineRule="exact"/>
        <w:jc w:val="left"/>
        <w:rPr>
          <w:rFonts w:eastAsia="仿宋_GB2312" w:cs="仿宋_GB2312" w:hint="eastAsia"/>
          <w:sz w:val="32"/>
          <w:szCs w:val="32"/>
        </w:rPr>
      </w:pPr>
      <w:r>
        <w:rPr>
          <w:rFonts w:eastAsia="仿宋_GB2312" w:cs="仿宋_GB2312" w:hint="eastAsia"/>
          <w:b/>
          <w:bCs/>
          <w:sz w:val="32"/>
          <w:szCs w:val="32"/>
        </w:rPr>
        <w:t>202</w:t>
      </w:r>
      <w:r>
        <w:rPr>
          <w:rFonts w:eastAsia="仿宋_GB2312" w:cs="仿宋_GB2312"/>
          <w:b/>
          <w:bCs/>
          <w:sz w:val="32"/>
          <w:szCs w:val="32"/>
        </w:rPr>
        <w:t>3</w:t>
      </w:r>
      <w:r>
        <w:rPr>
          <w:rFonts w:eastAsia="仿宋_GB2312" w:cs="仿宋_GB2312" w:hint="eastAsia"/>
          <w:b/>
          <w:bCs/>
          <w:sz w:val="32"/>
          <w:szCs w:val="32"/>
        </w:rPr>
        <w:t>年部门财政资金收入情况：</w:t>
      </w:r>
      <w:r>
        <w:rPr>
          <w:rFonts w:eastAsia="仿宋_GB2312" w:cs="仿宋_GB2312" w:hint="eastAsia"/>
          <w:sz w:val="32"/>
          <w:szCs w:val="32"/>
        </w:rPr>
        <w:t>202</w:t>
      </w:r>
      <w:r>
        <w:rPr>
          <w:rFonts w:eastAsia="仿宋_GB2312" w:cs="仿宋_GB2312" w:hint="eastAsia"/>
          <w:sz w:val="32"/>
          <w:szCs w:val="32"/>
          <w:lang w:val="en-US" w:eastAsia="zh-CN"/>
        </w:rPr>
        <w:t>4</w:t>
      </w:r>
      <w:r>
        <w:rPr>
          <w:rFonts w:eastAsia="仿宋_GB2312" w:cs="仿宋_GB2312" w:hint="eastAsia"/>
          <w:sz w:val="32"/>
          <w:szCs w:val="32"/>
        </w:rPr>
        <w:t>年财政</w:t>
      </w:r>
      <w:r>
        <w:rPr>
          <w:rFonts w:eastAsia="仿宋_GB2312" w:cs="仿宋_GB2312"/>
          <w:sz w:val="32"/>
          <w:szCs w:val="32"/>
        </w:rPr>
        <w:t>一般公共预算数</w:t>
      </w:r>
      <w:r>
        <w:rPr>
          <w:rFonts w:eastAsia="仿宋_GB2312" w:cs="仿宋_GB2312" w:hint="eastAsia"/>
          <w:sz w:val="32"/>
          <w:szCs w:val="32"/>
          <w:lang w:val="en-US" w:eastAsia="zh-CN"/>
        </w:rPr>
        <w:t>49466806.96</w:t>
      </w:r>
      <w:r>
        <w:rPr>
          <w:rFonts w:eastAsia="仿宋_GB2312" w:cs="仿宋_GB2312"/>
          <w:sz w:val="32"/>
          <w:szCs w:val="32"/>
        </w:rPr>
        <w:t>元，</w:t>
      </w:r>
      <w:r>
        <w:rPr>
          <w:rFonts w:eastAsia="仿宋_GB2312" w:cs="仿宋_GB2312" w:hint="eastAsia"/>
          <w:sz w:val="32"/>
          <w:szCs w:val="32"/>
        </w:rPr>
        <w:t>202</w:t>
      </w:r>
      <w:r>
        <w:rPr>
          <w:rFonts w:eastAsia="仿宋_GB2312" w:cs="仿宋_GB2312" w:hint="eastAsia"/>
          <w:sz w:val="32"/>
          <w:szCs w:val="32"/>
          <w:lang w:val="en-US" w:eastAsia="zh-CN"/>
        </w:rPr>
        <w:t>3</w:t>
      </w:r>
      <w:r>
        <w:rPr>
          <w:rFonts w:eastAsia="仿宋_GB2312" w:cs="仿宋_GB2312" w:hint="eastAsia"/>
          <w:sz w:val="32"/>
          <w:szCs w:val="32"/>
        </w:rPr>
        <w:t>年一般公共预算财政拨款收入</w:t>
      </w:r>
      <w:r>
        <w:rPr>
          <w:rFonts w:eastAsia="仿宋_GB2312" w:cs="仿宋_GB2312"/>
          <w:sz w:val="32"/>
          <w:szCs w:val="32"/>
        </w:rPr>
        <w:t>77,125,554.90</w:t>
      </w:r>
      <w:r>
        <w:rPr>
          <w:rFonts w:eastAsia="仿宋_GB2312" w:cs="仿宋_GB2312" w:hint="eastAsia"/>
          <w:sz w:val="32"/>
          <w:szCs w:val="32"/>
        </w:rPr>
        <w:t>元，</w:t>
      </w:r>
      <w:r>
        <w:rPr>
          <w:rFonts w:eastAsia="仿宋_GB2312" w:cs="仿宋_GB2312"/>
          <w:sz w:val="32"/>
          <w:szCs w:val="32"/>
        </w:rPr>
        <w:t>2023年</w:t>
      </w:r>
      <w:r>
        <w:rPr>
          <w:rFonts w:eastAsia="仿宋_GB2312" w:cs="仿宋_GB2312" w:hint="eastAsia"/>
          <w:sz w:val="32"/>
          <w:szCs w:val="32"/>
        </w:rPr>
        <w:t>一般公共预算财政拨款收入较上年</w:t>
      </w:r>
      <w:r>
        <w:rPr>
          <w:rFonts w:eastAsia="仿宋_GB2312" w:cs="仿宋_GB2312" w:hint="eastAsia"/>
          <w:sz w:val="32"/>
          <w:szCs w:val="32"/>
          <w:lang w:eastAsia="zh-CN"/>
        </w:rPr>
        <w:t>减少</w:t>
      </w:r>
      <w:r>
        <w:rPr>
          <w:rFonts w:eastAsia="仿宋_GB2312" w:cs="仿宋_GB2312" w:hint="eastAsia"/>
          <w:sz w:val="32"/>
          <w:szCs w:val="32"/>
          <w:lang w:val="en-US" w:eastAsia="zh-CN"/>
        </w:rPr>
        <w:t>41754252.06</w:t>
      </w:r>
      <w:r>
        <w:rPr>
          <w:rFonts w:eastAsia="仿宋_GB2312" w:cs="仿宋_GB2312" w:hint="eastAsia"/>
          <w:sz w:val="32"/>
          <w:szCs w:val="32"/>
        </w:rPr>
        <w:t>元，主要是202</w:t>
      </w:r>
      <w:r>
        <w:rPr>
          <w:rFonts w:eastAsia="仿宋_GB2312" w:cs="仿宋_GB2312"/>
          <w:sz w:val="32"/>
          <w:szCs w:val="32"/>
        </w:rPr>
        <w:t>3</w:t>
      </w:r>
      <w:r>
        <w:rPr>
          <w:rFonts w:eastAsia="仿宋_GB2312" w:cs="仿宋_GB2312" w:hint="eastAsia"/>
          <w:sz w:val="32"/>
          <w:szCs w:val="32"/>
        </w:rPr>
        <w:t>年</w:t>
      </w:r>
      <w:r>
        <w:rPr>
          <w:rFonts w:eastAsia="仿宋_GB2312" w:cs="仿宋_GB2312"/>
          <w:sz w:val="32"/>
          <w:szCs w:val="32"/>
        </w:rPr>
        <w:t>田径场提升改造项目延续实施及州庆相关项目的开展</w:t>
      </w:r>
      <w:r>
        <w:rPr>
          <w:rFonts w:eastAsia="仿宋_GB2312" w:cs="仿宋_GB2312" w:hint="eastAsia"/>
          <w:sz w:val="32"/>
          <w:szCs w:val="32"/>
          <w:lang w:val="en-US" w:eastAsia="zh-CN"/>
        </w:rPr>
        <w:t>,2024年无相关大型项目；其他收入为6388575，为非财政拨款收入</w:t>
      </w:r>
      <w:r>
        <w:rPr>
          <w:rFonts w:eastAsia="仿宋_GB2312" w:cs="仿宋_GB2312" w:hint="eastAsia"/>
          <w:sz w:val="32"/>
          <w:szCs w:val="32"/>
        </w:rPr>
        <w:t>。</w:t>
      </w:r>
    </w:p>
    <w:p>
      <w:pPr>
        <w:adjustRightInd w:val="0"/>
        <w:snapToGrid w:val="0"/>
        <w:spacing w:line="600" w:lineRule="exact"/>
        <w:contextualSpacing/>
        <w:jc w:val="left"/>
        <w:rPr>
          <w:rFonts w:eastAsia="仿宋_GB2312" w:cs="仿宋_GB2312" w:hint="eastAsia"/>
          <w:sz w:val="32"/>
          <w:szCs w:val="32"/>
          <w:lang w:val="zh-CN"/>
        </w:rPr>
      </w:pPr>
      <w:r>
        <w:rPr>
          <w:rFonts w:eastAsia="仿宋_GB2312" w:cs="仿宋_GB2312" w:hint="eastAsia"/>
          <w:b/>
          <w:sz w:val="32"/>
          <w:szCs w:val="32"/>
          <w:lang w:val="zh-CN"/>
        </w:rPr>
        <w:t>（二）部门财政资金支出情况</w:t>
      </w:r>
      <w:r>
        <w:rPr>
          <w:rFonts w:eastAsia="仿宋_GB2312" w:cs="仿宋_GB2312" w:hint="eastAsia"/>
          <w:sz w:val="32"/>
          <w:szCs w:val="32"/>
          <w:lang w:val="zh-CN"/>
        </w:rPr>
        <w:t>。</w:t>
      </w:r>
    </w:p>
    <w:p>
      <w:pPr>
        <w:adjustRightInd w:val="0"/>
        <w:snapToGrid w:val="0"/>
        <w:spacing w:line="600" w:lineRule="exact"/>
        <w:contextualSpacing/>
        <w:jc w:val="left"/>
        <w:rPr>
          <w:rFonts w:eastAsia="仿宋_GB2312" w:cs="仿宋_GB2312"/>
          <w:sz w:val="32"/>
          <w:szCs w:val="32"/>
        </w:rPr>
      </w:pPr>
      <w:r>
        <w:rPr>
          <w:rFonts w:eastAsia="仿宋_GB2312" w:cs="仿宋_GB2312" w:hint="eastAsia"/>
          <w:sz w:val="32"/>
          <w:szCs w:val="32"/>
        </w:rPr>
        <w:t>202</w:t>
      </w:r>
      <w:r>
        <w:rPr>
          <w:rFonts w:eastAsia="仿宋_GB2312" w:cs="仿宋_GB2312" w:hint="eastAsia"/>
          <w:sz w:val="32"/>
          <w:szCs w:val="32"/>
          <w:lang w:val="en-US" w:eastAsia="zh-CN"/>
        </w:rPr>
        <w:t>4</w:t>
      </w:r>
      <w:r>
        <w:rPr>
          <w:rFonts w:eastAsia="仿宋_GB2312" w:cs="仿宋_GB2312" w:hint="eastAsia"/>
          <w:sz w:val="32"/>
          <w:szCs w:val="32"/>
        </w:rPr>
        <w:t>年支出决算数为</w:t>
      </w:r>
      <w:r>
        <w:rPr>
          <w:rFonts w:eastAsia="仿宋_GB2312" w:cs="仿宋_GB2312" w:hint="eastAsia"/>
          <w:sz w:val="32"/>
          <w:szCs w:val="32"/>
          <w:lang w:val="en-US" w:eastAsia="zh-CN"/>
        </w:rPr>
        <w:t>53485567.94</w:t>
      </w:r>
      <w:r>
        <w:rPr>
          <w:rFonts w:eastAsia="仿宋_GB2312" w:cs="仿宋_GB2312" w:hint="eastAsia"/>
          <w:sz w:val="32"/>
          <w:szCs w:val="32"/>
        </w:rPr>
        <w:t>元，</w:t>
      </w:r>
      <w:r>
        <w:rPr>
          <w:rFonts w:eastAsia="仿宋_GB2312" w:cs="仿宋_GB2312" w:hint="eastAsia"/>
          <w:sz w:val="32"/>
          <w:szCs w:val="32"/>
          <w:lang w:eastAsia="zh-CN"/>
        </w:rPr>
        <w:t>年末结转结余</w:t>
      </w:r>
      <w:r>
        <w:rPr>
          <w:rFonts w:eastAsia="仿宋_GB2312" w:cs="仿宋_GB2312" w:hint="eastAsia"/>
          <w:sz w:val="32"/>
          <w:szCs w:val="32"/>
          <w:lang w:val="en-US" w:eastAsia="zh-CN"/>
        </w:rPr>
        <w:t>2369814.02元</w:t>
      </w:r>
      <w:r>
        <w:rPr>
          <w:rFonts w:eastAsia="仿宋_GB2312" w:cs="仿宋_GB2312"/>
          <w:sz w:val="32"/>
          <w:szCs w:val="32"/>
        </w:rPr>
        <w:t>，</w:t>
      </w:r>
      <w:r>
        <w:rPr>
          <w:rFonts w:eastAsia="仿宋_GB2312" w:cs="仿宋_GB2312" w:hint="eastAsia"/>
          <w:sz w:val="32"/>
          <w:szCs w:val="32"/>
        </w:rPr>
        <w:t>其中208社会保障和就业支出</w:t>
      </w:r>
      <w:r>
        <w:rPr>
          <w:rFonts w:eastAsia="仿宋_GB2312" w:cs="仿宋_GB2312" w:hint="eastAsia"/>
          <w:sz w:val="32"/>
          <w:szCs w:val="32"/>
          <w:lang w:val="en-US" w:eastAsia="zh-CN"/>
        </w:rPr>
        <w:t>5018626.48</w:t>
      </w:r>
      <w:r>
        <w:rPr>
          <w:rFonts w:eastAsia="仿宋_GB2312" w:cs="仿宋_GB2312" w:hint="eastAsia"/>
          <w:sz w:val="32"/>
          <w:szCs w:val="32"/>
        </w:rPr>
        <w:t>元，占总收入</w:t>
      </w:r>
      <w:r>
        <w:rPr>
          <w:rFonts w:eastAsia="仿宋_GB2312" w:cs="仿宋_GB2312" w:hint="eastAsia"/>
          <w:sz w:val="32"/>
          <w:szCs w:val="32"/>
          <w:lang w:val="en-US" w:eastAsia="zh-CN"/>
        </w:rPr>
        <w:t>9.38</w:t>
      </w:r>
      <w:r>
        <w:rPr>
          <w:rFonts w:eastAsia="仿宋_GB2312" w:cs="仿宋_GB2312" w:hint="eastAsia"/>
          <w:sz w:val="32"/>
          <w:szCs w:val="32"/>
        </w:rPr>
        <w:t>%；210卫生健康支出</w:t>
      </w:r>
      <w:r>
        <w:rPr>
          <w:rFonts w:eastAsia="仿宋_GB2312" w:cs="仿宋_GB2312" w:hint="eastAsia"/>
          <w:sz w:val="32"/>
          <w:szCs w:val="32"/>
          <w:lang w:val="en-US" w:eastAsia="zh-CN"/>
        </w:rPr>
        <w:t>2390791.39</w:t>
      </w:r>
      <w:r>
        <w:rPr>
          <w:rFonts w:eastAsia="仿宋_GB2312" w:cs="仿宋_GB2312" w:hint="eastAsia"/>
          <w:sz w:val="32"/>
          <w:szCs w:val="32"/>
        </w:rPr>
        <w:t>元，占总收入</w:t>
      </w:r>
      <w:r>
        <w:rPr>
          <w:rFonts w:eastAsia="仿宋_GB2312" w:cs="仿宋_GB2312" w:hint="eastAsia"/>
          <w:sz w:val="32"/>
          <w:szCs w:val="32"/>
          <w:lang w:val="en-US" w:eastAsia="zh-CN"/>
        </w:rPr>
        <w:t>4.47</w:t>
      </w:r>
      <w:r>
        <w:rPr>
          <w:rFonts w:eastAsia="仿宋_GB2312" w:cs="仿宋_GB2312" w:hint="eastAsia"/>
          <w:sz w:val="32"/>
          <w:szCs w:val="32"/>
        </w:rPr>
        <w:t>%；221住房保障支出</w:t>
      </w:r>
      <w:r>
        <w:rPr>
          <w:rFonts w:eastAsia="仿宋_GB2312" w:cs="仿宋_GB2312" w:hint="eastAsia"/>
          <w:sz w:val="32"/>
          <w:szCs w:val="32"/>
          <w:lang w:val="en-US" w:eastAsia="zh-CN"/>
        </w:rPr>
        <w:t>2742815</w:t>
      </w:r>
      <w:r>
        <w:rPr>
          <w:rFonts w:eastAsia="仿宋_GB2312" w:cs="仿宋_GB2312" w:hint="eastAsia"/>
          <w:sz w:val="32"/>
          <w:szCs w:val="32"/>
        </w:rPr>
        <w:t>元，占总收入</w:t>
      </w:r>
      <w:r>
        <w:rPr>
          <w:rFonts w:eastAsia="仿宋_GB2312" w:cs="仿宋_GB2312" w:hint="eastAsia"/>
          <w:sz w:val="32"/>
          <w:szCs w:val="32"/>
          <w:lang w:val="en-US" w:eastAsia="zh-CN"/>
        </w:rPr>
        <w:t>4.46</w:t>
      </w:r>
      <w:r>
        <w:rPr>
          <w:rFonts w:eastAsia="仿宋_GB2312" w:cs="仿宋_GB2312" w:hint="eastAsia"/>
          <w:sz w:val="32"/>
          <w:szCs w:val="32"/>
        </w:rPr>
        <w:t>%；205教育支出</w:t>
      </w:r>
      <w:r>
        <w:rPr>
          <w:rFonts w:eastAsia="仿宋_GB2312" w:cs="仿宋_GB2312" w:hint="eastAsia"/>
          <w:sz w:val="32"/>
          <w:szCs w:val="32"/>
          <w:lang w:val="en-US" w:eastAsia="zh-CN"/>
        </w:rPr>
        <w:t>43333335.07</w:t>
      </w:r>
      <w:r>
        <w:rPr>
          <w:rFonts w:eastAsia="仿宋_GB2312" w:cs="仿宋_GB2312" w:hint="eastAsia"/>
          <w:sz w:val="32"/>
          <w:szCs w:val="32"/>
        </w:rPr>
        <w:t>元</w:t>
      </w:r>
      <w:r>
        <w:rPr>
          <w:rFonts w:eastAsia="仿宋_GB2312" w:cs="仿宋_GB2312"/>
          <w:sz w:val="32"/>
          <w:szCs w:val="32"/>
        </w:rPr>
        <w:t>，</w:t>
      </w:r>
      <w:r>
        <w:rPr>
          <w:rFonts w:eastAsia="仿宋_GB2312" w:cs="仿宋_GB2312" w:hint="eastAsia"/>
          <w:sz w:val="32"/>
          <w:szCs w:val="32"/>
        </w:rPr>
        <w:t>占总收入</w:t>
      </w:r>
      <w:r>
        <w:rPr>
          <w:rFonts w:eastAsia="仿宋_GB2312" w:cs="仿宋_GB2312" w:hint="eastAsia"/>
          <w:sz w:val="32"/>
          <w:szCs w:val="32"/>
          <w:lang w:val="en-US" w:eastAsia="zh-CN"/>
        </w:rPr>
        <w:t>81.02</w:t>
      </w:r>
      <w:r>
        <w:rPr>
          <w:rFonts w:eastAsia="仿宋_GB2312" w:cs="仿宋_GB2312" w:hint="eastAsia"/>
          <w:sz w:val="32"/>
          <w:szCs w:val="32"/>
        </w:rPr>
        <w:t>%</w:t>
      </w:r>
      <w:r>
        <w:rPr>
          <w:rFonts w:eastAsia="仿宋_GB2312" w:cs="仿宋_GB2312"/>
          <w:sz w:val="32"/>
          <w:szCs w:val="32"/>
        </w:rPr>
        <w:t>；文化旅游体育与传媒支出</w:t>
      </w:r>
      <w:r>
        <w:rPr>
          <w:rFonts w:eastAsia="仿宋_GB2312" w:cs="仿宋_GB2312" w:hint="eastAsia"/>
          <w:sz w:val="32"/>
          <w:szCs w:val="32"/>
          <w:lang w:val="en-US" w:eastAsia="zh-CN"/>
        </w:rPr>
        <w:t>0</w:t>
      </w:r>
      <w:r>
        <w:rPr>
          <w:rFonts w:eastAsia="仿宋_GB2312" w:cs="仿宋_GB2312"/>
          <w:sz w:val="32"/>
          <w:szCs w:val="32"/>
        </w:rPr>
        <w:t>元，占比</w:t>
      </w:r>
      <w:r>
        <w:rPr>
          <w:rFonts w:eastAsia="仿宋_GB2312" w:cs="仿宋_GB2312" w:hint="eastAsia"/>
          <w:sz w:val="32"/>
          <w:szCs w:val="32"/>
          <w:lang w:val="en-US" w:eastAsia="zh-CN"/>
        </w:rPr>
        <w:t>0</w:t>
      </w:r>
      <w:r>
        <w:rPr>
          <w:rFonts w:eastAsia="仿宋_GB2312" w:cs="仿宋_GB2312"/>
          <w:sz w:val="32"/>
          <w:szCs w:val="32"/>
        </w:rPr>
        <w:t>%</w:t>
      </w:r>
      <w:r>
        <w:rPr>
          <w:rFonts w:eastAsia="仿宋_GB2312" w:cs="仿宋_GB2312" w:hint="eastAsia"/>
          <w:sz w:val="32"/>
          <w:szCs w:val="32"/>
        </w:rPr>
        <w:t>。</w:t>
      </w:r>
    </w:p>
    <w:p>
      <w:pPr>
        <w:pStyle w:val="15"/>
        <w:adjustRightInd/>
        <w:snapToGrid w:val="0"/>
        <w:contextualSpacing w:val="0"/>
        <w:jc w:val="left"/>
        <w:rPr>
          <w:rFonts w:hint="eastAsia"/>
        </w:rPr>
      </w:pPr>
    </w:p>
    <w:p>
      <w:pPr>
        <w:keepNext w:val="0"/>
        <w:keepLines w:val="0"/>
        <w:pageBreakBefore w:val="0"/>
        <w:widowControl w:val="0"/>
        <w:kinsoku/>
        <w:wordWrap/>
        <w:overflowPunct/>
        <w:topLinePunct w:val="0"/>
        <w:autoSpaceDE/>
        <w:autoSpaceDN/>
        <w:adjustRightInd w:val="0"/>
        <w:snapToGrid w:val="0"/>
        <w:spacing w:line="600" w:lineRule="exact"/>
        <w:contextualSpacing/>
        <w:jc w:val="left"/>
        <w:rPr>
          <w:rFonts w:eastAsia="仿宋_GB2312" w:cs="仿宋_GB2312" w:hint="eastAsia"/>
          <w:sz w:val="32"/>
          <w:szCs w:val="32"/>
          <w:lang w:val="zh-CN"/>
        </w:rPr>
      </w:pPr>
      <w:r>
        <w:rPr>
          <w:rFonts w:eastAsia="仿宋_GB2312" w:cs="仿宋_GB2312" w:hint="eastAsia"/>
          <w:sz w:val="32"/>
          <w:szCs w:val="32"/>
          <w:lang w:val="zh-CN"/>
        </w:rPr>
        <w:t>三、部门整体预算绩效管理情况</w:t>
      </w:r>
    </w:p>
    <w:p>
      <w:pPr>
        <w:adjustRightInd w:val="0"/>
        <w:snapToGrid w:val="0"/>
        <w:spacing w:line="600" w:lineRule="exact"/>
        <w:contextualSpacing/>
        <w:jc w:val="left"/>
        <w:rPr>
          <w:rFonts w:eastAsia="仿宋_GB2312" w:cs="仿宋_GB2312"/>
          <w:b/>
          <w:bCs/>
          <w:sz w:val="32"/>
          <w:szCs w:val="32"/>
          <w:lang w:val="zh-CN"/>
          <w:highlight w:val="auto"/>
        </w:rPr>
      </w:pPr>
      <w:r>
        <w:rPr>
          <w:rFonts w:eastAsia="仿宋_GB2312" w:cs="仿宋_GB2312"/>
          <w:b/>
          <w:bCs/>
          <w:sz w:val="32"/>
          <w:szCs w:val="32"/>
          <w:lang w:val="zh-CN"/>
          <w:highlight w:val="auto"/>
        </w:rPr>
        <w:t>（一）</w:t>
      </w:r>
      <w:r>
        <w:rPr>
          <w:rFonts w:eastAsia="仿宋_GB2312" w:cs="仿宋_GB2312" w:hint="eastAsia"/>
          <w:b/>
          <w:bCs/>
          <w:sz w:val="32"/>
          <w:szCs w:val="32"/>
          <w:lang w:val="zh-CN"/>
          <w:highlight w:val="auto"/>
        </w:rPr>
        <w:t>部门预算</w:t>
      </w:r>
      <w:r>
        <w:rPr>
          <w:rFonts w:eastAsia="仿宋_GB2312" w:cs="仿宋_GB2312"/>
          <w:b/>
          <w:bCs/>
          <w:sz w:val="32"/>
          <w:szCs w:val="32"/>
          <w:lang w:val="zh-CN"/>
          <w:highlight w:val="auto"/>
        </w:rPr>
        <w:t>总体绩效分析。</w:t>
      </w:r>
    </w:p>
    <w:p>
      <w:pPr>
        <w:numPr>
          <w:ilvl w:val="0"/>
          <w:numId w:val="1"/>
        </w:numPr>
        <w:adjustRightInd w:val="0"/>
        <w:snapToGrid w:val="0"/>
        <w:spacing w:line="600" w:lineRule="exact"/>
        <w:ind w:left="0" w:firstLine="0"/>
        <w:contextualSpacing/>
        <w:jc w:val="left"/>
        <w:rPr>
          <w:rFonts w:eastAsia="仿宋_GB2312" w:cs="仿宋_GB2312" w:hint="eastAsia"/>
          <w:sz w:val="32"/>
          <w:szCs w:val="32"/>
          <w:lang w:val="zh-CN"/>
          <w:highlight w:val="auto"/>
        </w:rPr>
      </w:pPr>
      <w:r>
        <w:rPr>
          <w:rFonts w:eastAsia="仿宋_GB2312" w:cs="仿宋_GB2312" w:hint="eastAsia"/>
          <w:sz w:val="32"/>
          <w:szCs w:val="32"/>
          <w:lang w:val="zh-CN"/>
          <w:highlight w:val="auto"/>
        </w:rPr>
        <w:t>履职效能：202</w:t>
      </w:r>
      <w:r>
        <w:rPr>
          <w:rFonts w:eastAsia="仿宋_GB2312" w:cs="仿宋_GB2312" w:hint="eastAsia"/>
          <w:sz w:val="32"/>
          <w:szCs w:val="32"/>
          <w:lang w:val="en-US" w:eastAsia="zh-CN"/>
          <w:highlight w:val="auto"/>
        </w:rPr>
        <w:t>4</w:t>
      </w:r>
      <w:r>
        <w:rPr>
          <w:rFonts w:eastAsia="仿宋_GB2312" w:cs="仿宋_GB2312" w:hint="eastAsia"/>
          <w:sz w:val="32"/>
          <w:szCs w:val="32"/>
          <w:lang w:val="zh-CN"/>
          <w:highlight w:val="auto"/>
        </w:rPr>
        <w:t>年单位运转持续稳定，各项目及时按质按量完成，</w:t>
      </w:r>
      <w:r>
        <w:rPr>
          <w:rFonts w:eastAsia="仿宋_GB2312" w:cs="仿宋_GB2312" w:hint="eastAsia"/>
          <w:sz w:val="32"/>
          <w:szCs w:val="32"/>
          <w:lang w:val="zh-CN" w:eastAsia="zh-CN"/>
          <w:highlight w:val="auto"/>
        </w:rPr>
        <w:t>学校食堂自主经营，严格把控餐食安全与质量，家访等家校活动开展，建立了良好的家校沟通机制，校志编撰印刷项目实施完成是学校历史文化的重要载体，能让师生了解学校的过去，增强对学校的认同感和归属感，加强了学校形象塑造与宣传。</w:t>
      </w:r>
    </w:p>
    <w:p>
      <w:pPr>
        <w:adjustRightInd w:val="0"/>
        <w:snapToGrid w:val="0"/>
        <w:spacing w:line="600" w:lineRule="exact"/>
        <w:contextualSpacing/>
        <w:jc w:val="left"/>
        <w:rPr>
          <w:rFonts w:eastAsia="仿宋_GB2312" w:cs="仿宋_GB2312" w:hint="eastAsia"/>
          <w:sz w:val="32"/>
          <w:szCs w:val="32"/>
          <w:lang w:val="zh-CN"/>
        </w:rPr>
      </w:pPr>
      <w:r>
        <w:rPr>
          <w:rFonts w:eastAsia="仿宋_GB2312" w:cs="仿宋_GB2312" w:hint="eastAsia"/>
          <w:sz w:val="32"/>
          <w:szCs w:val="32"/>
          <w:lang w:val="zh-CN"/>
        </w:rPr>
        <w:t>教育教学履职效果：学校建筑物及附属设施的正常运转及及时维修、教学教育用具设备的购买、校园环境的绿化、先进的教育信息化软件和平台的引入，综合提升教育教学水平</w:t>
      </w:r>
      <w:r>
        <w:rPr>
          <w:rFonts w:eastAsia="仿宋_GB2312" w:cs="仿宋_GB2312"/>
          <w:sz w:val="32"/>
          <w:szCs w:val="32"/>
          <w:lang w:val="zh-CN"/>
        </w:rPr>
        <w:t>。</w:t>
      </w:r>
    </w:p>
    <w:p>
      <w:pPr>
        <w:adjustRightInd w:val="0"/>
        <w:snapToGrid w:val="0"/>
        <w:spacing w:line="600" w:lineRule="exact"/>
        <w:contextualSpacing/>
        <w:jc w:val="left"/>
        <w:rPr>
          <w:rFonts w:eastAsia="仿宋_GB2312" w:cs="仿宋_GB2312" w:hint="eastAsia"/>
          <w:sz w:val="32"/>
          <w:szCs w:val="32"/>
          <w:lang w:val="zh-CN"/>
        </w:rPr>
      </w:pPr>
      <w:r>
        <w:rPr>
          <w:rFonts w:eastAsia="仿宋_GB2312" w:cs="仿宋_GB2312" w:hint="eastAsia"/>
          <w:sz w:val="32"/>
          <w:szCs w:val="32"/>
          <w:lang w:val="zh-CN"/>
        </w:rPr>
        <w:t>师资队伍履职效果：通过专业培训外出学习，公开赛课，教案比拼竞赛和培训活动等方式不断提升教师水平，不断加强班级管理，加强团队建设，开展多样化的团队活动，促进教师之间的交流与合作，提高团队的凝聚力和战斗力更好的为学生服务了，高考录取率也逐年递增。</w:t>
      </w:r>
    </w:p>
    <w:p>
      <w:pPr>
        <w:adjustRightInd w:val="0"/>
        <w:snapToGrid w:val="0"/>
        <w:spacing w:line="600" w:lineRule="exact"/>
        <w:contextualSpacing/>
        <w:jc w:val="left"/>
        <w:rPr>
          <w:rFonts w:eastAsia="仿宋_GB2312" w:cs="仿宋_GB2312" w:hint="eastAsia"/>
          <w:sz w:val="32"/>
          <w:szCs w:val="32"/>
          <w:lang w:val="zh-CN"/>
          <w:highlight w:val="auto"/>
        </w:rPr>
      </w:pPr>
      <w:r>
        <w:rPr>
          <w:rFonts w:eastAsia="仿宋_GB2312" w:cs="仿宋_GB2312" w:hint="eastAsia"/>
          <w:sz w:val="32"/>
          <w:szCs w:val="32"/>
          <w:lang w:val="zh-CN"/>
        </w:rPr>
        <w:t>学生发展与满意度履职效果：学校外部环境的提升改变及内核师资力量的完善和提升更好的服务于学生</w:t>
      </w:r>
      <w:r>
        <w:rPr>
          <w:rFonts w:eastAsia="仿宋_GB2312" w:cs="仿宋_GB2312"/>
          <w:sz w:val="32"/>
          <w:szCs w:val="32"/>
          <w:lang w:val="zh-CN"/>
        </w:rPr>
        <w:t>，不断提升学生综合素质和能力。</w:t>
      </w:r>
    </w:p>
    <w:p>
      <w:pPr>
        <w:adjustRightInd w:val="0"/>
        <w:snapToGrid w:val="0"/>
        <w:spacing w:line="600" w:lineRule="exact"/>
        <w:contextualSpacing/>
        <w:jc w:val="left"/>
        <w:rPr>
          <w:rFonts w:eastAsia="仿宋_GB2312" w:cs="仿宋_GB2312"/>
          <w:sz w:val="32"/>
          <w:szCs w:val="32"/>
          <w:lang w:val="en-US" w:eastAsia="zh-CN"/>
        </w:rPr>
      </w:pPr>
      <w:r>
        <w:rPr>
          <w:rFonts w:eastAsia="仿宋_GB2312" w:cs="仿宋_GB2312" w:hint="eastAsia"/>
          <w:sz w:val="32"/>
          <w:szCs w:val="32"/>
          <w:lang w:val="zh-CN" w:eastAsia="zh-CN"/>
          <w:highlight w:val="auto"/>
        </w:rPr>
        <w:t>2.</w:t>
      </w:r>
      <w:r>
        <w:rPr>
          <w:rFonts w:eastAsia="仿宋_GB2312" w:cs="仿宋_GB2312" w:hint="eastAsia"/>
          <w:sz w:val="32"/>
          <w:szCs w:val="32"/>
          <w:lang w:val="zh-CN"/>
          <w:highlight w:val="auto"/>
        </w:rPr>
        <w:t>预算管理：</w:t>
      </w:r>
      <w:r>
        <w:rPr>
          <w:rFonts w:eastAsia="仿宋_GB2312" w:cs="仿宋_GB2312" w:hint="eastAsia"/>
          <w:sz w:val="32"/>
          <w:szCs w:val="32"/>
          <w:lang w:val="zh-CN"/>
        </w:rPr>
        <w:t>严格按照州级部门预算编制通知和有关要求，根据我校年度工作计划制定了202</w:t>
      </w:r>
      <w:r>
        <w:rPr>
          <w:rFonts w:eastAsia="仿宋_GB2312" w:cs="仿宋_GB2312" w:hint="eastAsia"/>
          <w:sz w:val="32"/>
          <w:szCs w:val="32"/>
          <w:lang w:val="en-US" w:eastAsia="zh-CN"/>
        </w:rPr>
        <w:t>4</w:t>
      </w:r>
      <w:r>
        <w:rPr>
          <w:rFonts w:eastAsia="仿宋_GB2312" w:cs="仿宋_GB2312" w:hint="eastAsia"/>
          <w:sz w:val="32"/>
          <w:szCs w:val="32"/>
          <w:lang w:val="zh-CN"/>
        </w:rPr>
        <w:t>年部门整体绩效目标，按时保质保量地完成预算编制工作。根据州级部门预算编制会议精神及编制要求，切实做到部门预算编准、编实、编细。预算编制填入预算编报软件，认真填写专项预算的绩效目标申请表，并附相关专项经费批准预算的文件。</w:t>
      </w:r>
      <w:r>
        <w:rPr>
          <w:rFonts w:eastAsia="仿宋_GB2312" w:cs="仿宋_GB2312" w:hint="eastAsia"/>
          <w:sz w:val="32"/>
          <w:szCs w:val="32"/>
          <w:lang w:val="en-US" w:eastAsia="zh-CN"/>
        </w:rPr>
        <w:t>2024年一般公共预算收入49466806.96元，支出49466806.96元，执行进度为100%</w:t>
      </w:r>
    </w:p>
    <w:p>
      <w:pPr>
        <w:keepNext w:val="0"/>
        <w:keepLines w:val="0"/>
        <w:pageBreakBefore w:val="0"/>
        <w:widowControl w:val="0"/>
        <w:kinsoku/>
        <w:wordWrap/>
        <w:overflowPunct/>
        <w:topLinePunct w:val="0"/>
        <w:autoSpaceDE/>
        <w:autoSpaceDN/>
        <w:bidi w:val="0"/>
        <w:adjustRightInd w:val="0"/>
        <w:snapToGrid w:val="0"/>
        <w:spacing w:line="600" w:lineRule="exact"/>
        <w:contextualSpacing/>
        <w:jc w:val="left"/>
        <w:rPr>
          <w:rFonts w:eastAsia="仿宋_GB2312" w:cs="仿宋_GB2312"/>
          <w:sz w:val="32"/>
          <w:szCs w:val="32"/>
          <w:lang w:val="zh-CN"/>
          <w:highlight w:val="auto"/>
        </w:rPr>
      </w:pPr>
      <w:r>
        <w:rPr>
          <w:rFonts w:eastAsia="仿宋_GB2312" w:cs="仿宋_GB2312" w:hint="eastAsia"/>
          <w:sz w:val="32"/>
          <w:szCs w:val="32"/>
          <w:lang w:val="zh-CN"/>
          <w:highlight w:val="auto"/>
        </w:rPr>
        <w:t>3.财务管理：我校财务管理严格贯彻执行国家有关法律法规和财务规章制度，严格实行“收支两条线”管理，加强对支出的核算和管理，严格控制支出范围和标准，确保支出真实性、合理性和合法性；岗位设置符合不相容岗位相关规定；资金支付均按预算下达目标使用不存在无预算超预算违规列支等问题。</w:t>
      </w:r>
    </w:p>
    <w:p>
      <w:pPr>
        <w:keepNext w:val="0"/>
        <w:keepLines w:val="0"/>
        <w:pageBreakBefore w:val="0"/>
        <w:widowControl w:val="0"/>
        <w:kinsoku/>
        <w:wordWrap/>
        <w:overflowPunct/>
        <w:topLinePunct w:val="0"/>
        <w:autoSpaceDE/>
        <w:autoSpaceDN/>
        <w:bidi w:val="0"/>
        <w:adjustRightInd w:val="0"/>
        <w:snapToGrid w:val="0"/>
        <w:spacing w:line="600" w:lineRule="exact"/>
        <w:contextualSpacing/>
        <w:jc w:val="left"/>
        <w:rPr>
          <w:rFonts w:eastAsia="仿宋_GB2312" w:cs="仿宋_GB2312" w:hint="eastAsia"/>
          <w:sz w:val="32"/>
          <w:szCs w:val="32"/>
          <w:lang w:val="zh-CN"/>
        </w:rPr>
      </w:pPr>
      <w:r>
        <w:rPr>
          <w:rFonts w:eastAsia="仿宋_GB2312" w:cs="仿宋_GB2312" w:hint="eastAsia"/>
          <w:sz w:val="32"/>
          <w:szCs w:val="32"/>
          <w:lang w:val="zh-CN"/>
          <w:highlight w:val="auto"/>
        </w:rPr>
        <w:t>4.</w:t>
      </w:r>
      <w:r>
        <w:rPr>
          <w:rFonts w:eastAsia="仿宋_GB2312" w:cs="仿宋_GB2312" w:hint="eastAsia"/>
          <w:bCs/>
          <w:sz w:val="32"/>
          <w:szCs w:val="32"/>
          <w:lang w:val="zh-CN" w:eastAsia="zh-CN"/>
          <w:highlight w:val="auto"/>
        </w:rPr>
        <w:t>资产管理:</w:t>
      </w:r>
      <w:r>
        <w:rPr>
          <w:rFonts w:eastAsia="仿宋_GB2312" w:cs="仿宋_GB2312" w:hint="eastAsia"/>
          <w:sz w:val="32"/>
          <w:szCs w:val="32"/>
          <w:lang w:val="en-US" w:eastAsia="zh-CN"/>
          <w:highlight w:val="auto"/>
        </w:rPr>
        <w:t>建立健全资产管理制度</w:t>
      </w:r>
      <w:r>
        <w:rPr>
          <w:rFonts w:eastAsia="仿宋_GB2312" w:cs="仿宋_GB2312"/>
          <w:sz w:val="32"/>
          <w:szCs w:val="32"/>
          <w:lang w:val="en-US" w:eastAsia="zh-CN"/>
          <w:highlight w:val="auto"/>
        </w:rPr>
        <w:t>，截止202</w:t>
      </w:r>
      <w:r>
        <w:rPr>
          <w:rFonts w:eastAsia="仿宋_GB2312" w:cs="仿宋_GB2312" w:hint="eastAsia"/>
          <w:sz w:val="32"/>
          <w:szCs w:val="32"/>
          <w:lang w:val="en-US" w:eastAsia="zh-CN"/>
          <w:highlight w:val="auto"/>
        </w:rPr>
        <w:t>4</w:t>
      </w:r>
      <w:r>
        <w:rPr>
          <w:rFonts w:eastAsia="仿宋_GB2312" w:cs="仿宋_GB2312"/>
          <w:sz w:val="32"/>
          <w:szCs w:val="32"/>
          <w:lang w:val="en-US" w:eastAsia="zh-CN"/>
          <w:highlight w:val="auto"/>
        </w:rPr>
        <w:t>年12月31日，我单位资产总额</w:t>
      </w:r>
      <w:r>
        <w:rPr>
          <w:rFonts w:eastAsia="仿宋_GB2312" w:cs="仿宋_GB2312" w:hint="eastAsia"/>
          <w:sz w:val="32"/>
          <w:szCs w:val="32"/>
          <w:lang w:val="en-US" w:eastAsia="zh-CN"/>
          <w:highlight w:val="auto"/>
        </w:rPr>
        <w:t>18154.71，2023年末总资产为</w:t>
      </w:r>
      <w:r>
        <w:rPr>
          <w:rFonts w:eastAsia="仿宋_GB2312" w:cs="仿宋_GB2312"/>
          <w:sz w:val="32"/>
          <w:szCs w:val="32"/>
          <w:lang w:val="en-US" w:eastAsia="zh-CN"/>
          <w:highlight w:val="auto"/>
        </w:rPr>
        <w:t>18373.41万元，较上年</w:t>
      </w:r>
      <w:r>
        <w:rPr>
          <w:rFonts w:eastAsia="仿宋_GB2312" w:cs="仿宋_GB2312" w:hint="eastAsia"/>
          <w:sz w:val="32"/>
          <w:szCs w:val="32"/>
          <w:lang w:val="en-US" w:eastAsia="zh-CN"/>
          <w:highlight w:val="auto"/>
        </w:rPr>
        <w:t>减少1.2</w:t>
      </w:r>
      <w:r>
        <w:rPr>
          <w:rFonts w:eastAsia="仿宋_GB2312" w:cs="仿宋_GB2312"/>
          <w:sz w:val="32"/>
          <w:szCs w:val="32"/>
          <w:lang w:val="en-US" w:eastAsia="zh-CN"/>
          <w:highlight w:val="auto"/>
        </w:rPr>
        <w:t>%。</w:t>
      </w:r>
      <w:r>
        <w:rPr>
          <w:rFonts w:eastAsia="仿宋_GB2312" w:cs="仿宋_GB2312" w:hint="eastAsia"/>
          <w:sz w:val="32"/>
          <w:szCs w:val="32"/>
          <w:lang w:val="en-US" w:eastAsia="zh-CN"/>
          <w:highlight w:val="auto"/>
        </w:rPr>
        <w:t>2024年</w:t>
      </w:r>
      <w:r>
        <w:rPr>
          <w:rFonts w:eastAsia="仿宋_GB2312" w:cs="仿宋_GB2312"/>
          <w:sz w:val="32"/>
          <w:szCs w:val="32"/>
          <w:lang w:val="en-US" w:eastAsia="zh-CN"/>
          <w:highlight w:val="auto"/>
        </w:rPr>
        <w:t>总负</w:t>
      </w:r>
      <w:r>
        <w:rPr>
          <w:rFonts w:eastAsia="仿宋_GB2312" w:cs="仿宋_GB2312" w:hint="eastAsia"/>
          <w:sz w:val="32"/>
          <w:szCs w:val="32"/>
          <w:lang w:val="en-US" w:eastAsia="zh-CN"/>
          <w:highlight w:val="auto"/>
        </w:rPr>
        <w:t>债645.01,2023年末总负债</w:t>
      </w:r>
      <w:r>
        <w:rPr>
          <w:rFonts w:eastAsia="仿宋_GB2312" w:cs="仿宋_GB2312"/>
          <w:sz w:val="32"/>
          <w:szCs w:val="32"/>
          <w:lang w:val="en-US" w:eastAsia="zh-CN"/>
          <w:highlight w:val="auto"/>
        </w:rPr>
        <w:t>419.34万元，较上年增长</w:t>
      </w:r>
      <w:r>
        <w:rPr>
          <w:rFonts w:eastAsia="仿宋_GB2312" w:cs="仿宋_GB2312" w:hint="eastAsia"/>
          <w:sz w:val="32"/>
          <w:szCs w:val="32"/>
          <w:lang w:val="en-US" w:eastAsia="zh-CN"/>
          <w:highlight w:val="auto"/>
        </w:rPr>
        <w:t>53.8</w:t>
      </w:r>
      <w:r>
        <w:rPr>
          <w:rFonts w:eastAsia="仿宋_GB2312" w:cs="仿宋_GB2312"/>
          <w:sz w:val="32"/>
          <w:szCs w:val="32"/>
          <w:lang w:val="en-US" w:eastAsia="zh-CN"/>
          <w:highlight w:val="auto"/>
        </w:rPr>
        <w:t>%。</w:t>
      </w:r>
      <w:r>
        <w:rPr>
          <w:rFonts w:eastAsia="仿宋_GB2312" w:cs="仿宋_GB2312" w:hint="eastAsia"/>
          <w:sz w:val="32"/>
          <w:szCs w:val="32"/>
          <w:lang w:val="en-US" w:eastAsia="zh-CN"/>
          <w:highlight w:val="auto"/>
        </w:rPr>
        <w:t>2024年</w:t>
      </w:r>
      <w:r>
        <w:rPr>
          <w:rFonts w:eastAsia="仿宋_GB2312" w:cs="仿宋_GB2312"/>
          <w:sz w:val="32"/>
          <w:szCs w:val="32"/>
          <w:lang w:val="en-US" w:eastAsia="zh-CN"/>
          <w:highlight w:val="auto"/>
        </w:rPr>
        <w:t>净资产</w:t>
      </w:r>
      <w:r>
        <w:rPr>
          <w:rFonts w:eastAsia="仿宋_GB2312" w:cs="仿宋_GB2312" w:hint="eastAsia"/>
          <w:sz w:val="32"/>
          <w:szCs w:val="32"/>
          <w:lang w:val="en-US" w:eastAsia="zh-CN"/>
          <w:highlight w:val="auto"/>
        </w:rPr>
        <w:t>1795.40，2023年末净资产1750.9</w:t>
      </w:r>
      <w:r>
        <w:rPr>
          <w:rFonts w:eastAsia="仿宋_GB2312" w:cs="仿宋_GB2312"/>
          <w:sz w:val="32"/>
          <w:szCs w:val="32"/>
          <w:lang w:val="en-US" w:eastAsia="zh-CN"/>
          <w:highlight w:val="auto"/>
        </w:rPr>
        <w:t>7万元，较上年增长</w:t>
      </w:r>
      <w:r>
        <w:rPr>
          <w:rFonts w:eastAsia="仿宋_GB2312" w:cs="仿宋_GB2312" w:hint="eastAsia"/>
          <w:sz w:val="32"/>
          <w:szCs w:val="32"/>
          <w:lang w:val="en-US" w:eastAsia="zh-CN"/>
          <w:highlight w:val="auto"/>
        </w:rPr>
        <w:t>2.5</w:t>
      </w:r>
      <w:r>
        <w:rPr>
          <w:rFonts w:eastAsia="仿宋_GB2312" w:cs="仿宋_GB2312"/>
          <w:sz w:val="32"/>
          <w:szCs w:val="32"/>
          <w:lang w:val="en-US" w:eastAsia="zh-CN"/>
          <w:highlight w:val="auto"/>
        </w:rPr>
        <w:t>%。</w:t>
      </w:r>
    </w:p>
    <w:p>
      <w:pPr>
        <w:keepNext w:val="0"/>
        <w:keepLines w:val="0"/>
        <w:pageBreakBefore w:val="0"/>
        <w:widowControl w:val="0"/>
        <w:kinsoku/>
        <w:wordWrap/>
        <w:overflowPunct/>
        <w:topLinePunct w:val="0"/>
        <w:autoSpaceDE/>
        <w:autoSpaceDN/>
        <w:adjustRightInd w:val="0"/>
        <w:snapToGrid w:val="0"/>
        <w:spacing w:line="600" w:lineRule="exact"/>
        <w:contextualSpacing/>
        <w:jc w:val="left"/>
        <w:rPr>
          <w:rFonts w:eastAsia="仿宋_GB2312" w:cs="仿宋_GB2312"/>
          <w:sz w:val="32"/>
          <w:szCs w:val="32"/>
          <w:lang w:val="en-US" w:eastAsia="zh-CN"/>
        </w:rPr>
      </w:pPr>
      <w:r>
        <w:rPr>
          <w:rFonts w:eastAsia="仿宋_GB2312" w:cs="仿宋_GB2312" w:hint="eastAsia"/>
          <w:sz w:val="32"/>
          <w:szCs w:val="32"/>
          <w:lang w:val="zh-CN" w:eastAsia="zh-CN"/>
          <w:highlight w:val="auto"/>
        </w:rPr>
        <w:t>5.</w:t>
      </w:r>
      <w:r>
        <w:rPr>
          <w:rFonts w:eastAsia="仿宋_GB2312" w:cs="仿宋_GB2312" w:hint="eastAsia"/>
          <w:sz w:val="32"/>
          <w:szCs w:val="32"/>
          <w:lang w:val="zh-CN"/>
          <w:highlight w:val="auto"/>
        </w:rPr>
        <w:t>采购管理：我校严格按照政府采购目录及流程进行采购，202</w:t>
      </w:r>
      <w:r>
        <w:rPr>
          <w:rFonts w:eastAsia="仿宋_GB2312" w:cs="仿宋_GB2312" w:hint="eastAsia"/>
          <w:sz w:val="32"/>
          <w:szCs w:val="32"/>
          <w:lang w:val="en-US" w:eastAsia="zh-CN"/>
          <w:highlight w:val="auto"/>
        </w:rPr>
        <w:t>4</w:t>
      </w:r>
      <w:r>
        <w:rPr>
          <w:rFonts w:eastAsia="仿宋_GB2312" w:cs="仿宋_GB2312" w:hint="eastAsia"/>
          <w:sz w:val="32"/>
          <w:szCs w:val="32"/>
          <w:lang w:val="zh-CN"/>
          <w:highlight w:val="auto"/>
        </w:rPr>
        <w:t>年共有政府采购项目</w:t>
      </w:r>
      <w:r>
        <w:rPr>
          <w:rFonts w:eastAsia="仿宋_GB2312" w:cs="仿宋_GB2312" w:hint="eastAsia"/>
          <w:sz w:val="32"/>
          <w:szCs w:val="32"/>
          <w:lang w:val="en-US" w:eastAsia="zh-CN"/>
          <w:highlight w:val="auto"/>
        </w:rPr>
        <w:t>3</w:t>
      </w:r>
      <w:r>
        <w:rPr>
          <w:rFonts w:eastAsia="仿宋_GB2312" w:cs="仿宋_GB2312" w:hint="eastAsia"/>
          <w:sz w:val="32"/>
          <w:szCs w:val="32"/>
          <w:lang w:val="zh-CN"/>
          <w:highlight w:val="auto"/>
        </w:rPr>
        <w:t>项，分别为购买笔记本电脑，学生食堂食材配送服务采购项目，学校临聘服务，</w:t>
      </w:r>
      <w:r>
        <w:rPr>
          <w:rFonts w:eastAsia="仿宋_GB2312" w:cs="仿宋_GB2312" w:hint="eastAsia"/>
          <w:sz w:val="32"/>
          <w:szCs w:val="32"/>
          <w:lang w:val="en-US" w:eastAsia="zh-CN"/>
          <w:highlight w:val="auto"/>
        </w:rPr>
        <w:t>3个项目均完成2024年预期目标。</w:t>
      </w:r>
    </w:p>
    <w:p>
      <w:pPr>
        <w:adjustRightInd w:val="0"/>
        <w:snapToGrid w:val="0"/>
        <w:spacing w:line="600" w:lineRule="exact"/>
        <w:contextualSpacing/>
        <w:jc w:val="left"/>
        <w:rPr>
          <w:rFonts w:eastAsia="仿宋_GB2312" w:cs="仿宋_GB2312"/>
          <w:b/>
          <w:bCs/>
          <w:sz w:val="32"/>
          <w:szCs w:val="32"/>
          <w:lang w:val="zh-CN"/>
          <w:highlight w:val="auto"/>
        </w:rPr>
      </w:pPr>
      <w:r>
        <w:rPr>
          <w:rFonts w:eastAsia="仿宋_GB2312" w:cs="仿宋_GB2312"/>
          <w:b/>
          <w:bCs/>
          <w:sz w:val="32"/>
          <w:szCs w:val="32"/>
          <w:lang w:val="zh-CN"/>
          <w:highlight w:val="auto"/>
        </w:rPr>
        <w:t>（二）部门预算项目绩效分析。</w:t>
      </w:r>
    </w:p>
    <w:p>
      <w:pPr>
        <w:keepNext w:val="0"/>
        <w:keepLines w:val="0"/>
        <w:pageBreakBefore w:val="0"/>
        <w:widowControl w:val="0"/>
        <w:kinsoku/>
        <w:wordWrap/>
        <w:overflowPunct/>
        <w:topLinePunct w:val="0"/>
        <w:autoSpaceDE/>
        <w:autoSpaceDN/>
        <w:bidi w:val="0"/>
        <w:adjustRightInd w:val="0"/>
        <w:snapToGrid w:val="0"/>
        <w:spacing w:line="600" w:lineRule="exact"/>
        <w:contextualSpacing/>
        <w:jc w:val="left"/>
        <w:rPr>
          <w:rFonts w:eastAsia="仿宋_GB2312" w:cs="仿宋_GB2312"/>
          <w:sz w:val="32"/>
          <w:szCs w:val="32"/>
          <w:lang w:val="zh-CN" w:eastAsia="zh-CN"/>
          <w:highlight w:val="auto"/>
        </w:rPr>
      </w:pPr>
      <w:r>
        <w:rPr>
          <w:rFonts w:eastAsia="仿宋_GB2312" w:cs="仿宋_GB2312"/>
          <w:sz w:val="32"/>
          <w:szCs w:val="32"/>
          <w:lang w:val="en-US" w:eastAsia="zh-CN"/>
          <w:highlight w:val="auto"/>
        </w:rPr>
        <w:t>常年项目绩效分析。</w:t>
      </w:r>
      <w:r>
        <w:rPr>
          <w:rFonts w:eastAsia="仿宋_GB2312" w:cs="仿宋_GB2312"/>
          <w:sz w:val="32"/>
          <w:szCs w:val="32"/>
          <w:lang w:val="zh-CN" w:eastAsia="zh-CN"/>
          <w:highlight w:val="auto"/>
        </w:rPr>
        <w:t>该类项目总数</w:t>
      </w:r>
      <w:r>
        <w:rPr>
          <w:rFonts w:eastAsia="仿宋_GB2312" w:cs="仿宋_GB2312" w:hint="eastAsia"/>
          <w:sz w:val="32"/>
          <w:szCs w:val="32"/>
          <w:lang w:val="en-US" w:eastAsia="zh-CN"/>
          <w:highlight w:val="auto"/>
        </w:rPr>
        <w:t>7</w:t>
      </w:r>
      <w:r>
        <w:rPr>
          <w:rFonts w:eastAsia="仿宋_GB2312" w:cs="仿宋_GB2312"/>
          <w:sz w:val="32"/>
          <w:szCs w:val="32"/>
          <w:lang w:val="zh-CN" w:eastAsia="zh-CN"/>
          <w:highlight w:val="auto"/>
        </w:rPr>
        <w:t>个，涉及预算总金额</w:t>
      </w:r>
      <w:r>
        <w:rPr>
          <w:rFonts w:eastAsia="仿宋_GB2312" w:cs="仿宋_GB2312"/>
          <w:sz w:val="32"/>
          <w:szCs w:val="32"/>
          <w:lang w:val="en-US" w:eastAsia="zh-CN"/>
          <w:highlight w:val="auto"/>
        </w:rPr>
        <w:t xml:space="preserve">   245.</w:t>
      </w:r>
      <w:r>
        <w:rPr>
          <w:rFonts w:eastAsia="仿宋_GB2312" w:cs="仿宋_GB2312" w:hint="eastAsia"/>
          <w:sz w:val="32"/>
          <w:szCs w:val="32"/>
          <w:lang w:val="en-US" w:eastAsia="zh-CN"/>
          <w:highlight w:val="auto"/>
        </w:rPr>
        <w:t>07</w:t>
      </w:r>
      <w:r>
        <w:rPr>
          <w:rFonts w:eastAsia="仿宋_GB2312" w:cs="仿宋_GB2312"/>
          <w:sz w:val="32"/>
          <w:szCs w:val="32"/>
          <w:lang w:val="zh-CN" w:eastAsia="zh-CN"/>
          <w:highlight w:val="auto"/>
        </w:rPr>
        <w:t>万元，</w:t>
      </w:r>
      <w:r>
        <w:rPr>
          <w:rFonts w:eastAsia="仿宋_GB2312" w:cs="仿宋_GB2312"/>
          <w:sz w:val="32"/>
          <w:szCs w:val="32"/>
          <w:lang w:val="zh-CN"/>
          <w:highlight w:val="auto"/>
        </w:rPr>
        <w:t>1</w:t>
      </w:r>
      <w:r>
        <w:rPr>
          <w:rFonts w:eastAsia="仿宋_GB2312" w:cs="仿宋_GB2312" w:hint="eastAsia"/>
          <w:sz w:val="32"/>
          <w:szCs w:val="32"/>
          <w:lang w:val="zh-CN" w:eastAsia="zh-CN"/>
          <w:highlight w:val="auto"/>
        </w:rPr>
        <w:t>—</w:t>
      </w:r>
      <w:r>
        <w:rPr>
          <w:rFonts w:eastAsia="仿宋_GB2312" w:cs="仿宋_GB2312"/>
          <w:sz w:val="32"/>
          <w:szCs w:val="32"/>
          <w:lang w:val="zh-CN"/>
          <w:highlight w:val="auto"/>
        </w:rPr>
        <w:t>1</w:t>
      </w:r>
      <w:r>
        <w:rPr>
          <w:rFonts w:eastAsia="仿宋_GB2312" w:cs="仿宋_GB2312"/>
          <w:sz w:val="32"/>
          <w:szCs w:val="32"/>
          <w:lang w:val="en-US" w:eastAsia="zh-CN"/>
          <w:highlight w:val="auto"/>
        </w:rPr>
        <w:t>2</w:t>
      </w:r>
      <w:r>
        <w:rPr>
          <w:rFonts w:eastAsia="仿宋_GB2312" w:cs="仿宋_GB2312"/>
          <w:sz w:val="32"/>
          <w:szCs w:val="32"/>
          <w:lang w:val="zh-CN"/>
          <w:highlight w:val="auto"/>
        </w:rPr>
        <w:t>月预算执行总体进度为100%，其中：</w:t>
      </w:r>
      <w:r>
        <w:rPr>
          <w:rFonts w:eastAsia="仿宋_GB2312" w:cs="仿宋_GB2312"/>
          <w:sz w:val="32"/>
          <w:szCs w:val="32"/>
          <w:lang w:val="zh-CN" w:eastAsia="zh-CN"/>
          <w:highlight w:val="auto"/>
        </w:rPr>
        <w:t>预算结余率大于</w:t>
      </w:r>
      <w:r>
        <w:rPr>
          <w:rFonts w:eastAsia="仿宋_GB2312" w:cs="仿宋_GB2312"/>
          <w:sz w:val="32"/>
          <w:szCs w:val="32"/>
          <w:lang w:val="en-US" w:eastAsia="zh-CN"/>
          <w:highlight w:val="auto"/>
        </w:rPr>
        <w:t>10%</w:t>
      </w:r>
      <w:r>
        <w:rPr>
          <w:rFonts w:eastAsia="仿宋_GB2312" w:cs="仿宋_GB2312"/>
          <w:sz w:val="32"/>
          <w:szCs w:val="32"/>
          <w:lang w:val="zh-CN" w:eastAsia="zh-CN"/>
          <w:highlight w:val="auto"/>
        </w:rPr>
        <w:t>的项目共计</w:t>
      </w:r>
      <w:r>
        <w:rPr>
          <w:rFonts w:eastAsia="仿宋_GB2312" w:cs="仿宋_GB2312"/>
          <w:sz w:val="32"/>
          <w:szCs w:val="32"/>
          <w:lang w:val="en-US" w:eastAsia="zh-CN"/>
          <w:highlight w:val="auto"/>
        </w:rPr>
        <w:t>0</w:t>
      </w:r>
      <w:r>
        <w:rPr>
          <w:rFonts w:eastAsia="仿宋_GB2312" w:cs="仿宋_GB2312"/>
          <w:sz w:val="32"/>
          <w:szCs w:val="32"/>
          <w:lang w:val="zh-CN" w:eastAsia="zh-CN"/>
          <w:highlight w:val="auto"/>
        </w:rPr>
        <w:t>个。</w:t>
      </w:r>
    </w:p>
    <w:p>
      <w:pPr>
        <w:keepNext w:val="0"/>
        <w:keepLines w:val="0"/>
        <w:pageBreakBefore w:val="0"/>
        <w:widowControl w:val="0"/>
        <w:kinsoku/>
        <w:wordWrap/>
        <w:overflowPunct/>
        <w:topLinePunct w:val="0"/>
        <w:autoSpaceDE/>
        <w:autoSpaceDN/>
        <w:bidi w:val="0"/>
        <w:adjustRightInd w:val="0"/>
        <w:snapToGrid w:val="0"/>
        <w:spacing w:line="600" w:lineRule="exact"/>
        <w:contextualSpacing/>
        <w:jc w:val="left"/>
        <w:rPr>
          <w:rFonts w:eastAsia="仿宋_GB2312" w:cs="仿宋_GB2312"/>
          <w:sz w:val="32"/>
          <w:szCs w:val="32"/>
          <w:lang w:val="zh-CN" w:eastAsia="zh-CN"/>
          <w:highlight w:val="auto"/>
        </w:rPr>
      </w:pPr>
      <w:r>
        <w:rPr>
          <w:rFonts w:eastAsia="仿宋_GB2312" w:cs="仿宋_GB2312"/>
          <w:sz w:val="32"/>
          <w:szCs w:val="32"/>
          <w:lang w:val="en-US" w:eastAsia="zh-CN"/>
          <w:highlight w:val="auto"/>
        </w:rPr>
        <w:t>阶段</w:t>
      </w:r>
      <w:r>
        <w:rPr>
          <w:rFonts w:eastAsia="仿宋_GB2312" w:cs="仿宋_GB2312" w:hint="eastAsia"/>
          <w:sz w:val="32"/>
          <w:szCs w:val="32"/>
          <w:lang w:val="en-US" w:eastAsia="zh-CN"/>
          <w:highlight w:val="auto"/>
        </w:rPr>
        <w:t>（</w:t>
      </w:r>
      <w:r>
        <w:rPr>
          <w:rFonts w:eastAsia="仿宋_GB2312" w:cs="仿宋_GB2312"/>
          <w:sz w:val="32"/>
          <w:szCs w:val="32"/>
          <w:lang w:val="en-US" w:eastAsia="zh-CN"/>
          <w:highlight w:val="auto"/>
        </w:rPr>
        <w:t>一次性</w:t>
      </w:r>
      <w:r>
        <w:rPr>
          <w:rFonts w:eastAsia="仿宋_GB2312" w:cs="仿宋_GB2312" w:hint="eastAsia"/>
          <w:sz w:val="32"/>
          <w:szCs w:val="32"/>
          <w:lang w:val="en-US" w:eastAsia="zh-CN"/>
          <w:highlight w:val="auto"/>
        </w:rPr>
        <w:t>）</w:t>
      </w:r>
      <w:r>
        <w:rPr>
          <w:rFonts w:eastAsia="仿宋_GB2312" w:cs="仿宋_GB2312"/>
          <w:sz w:val="32"/>
          <w:szCs w:val="32"/>
          <w:lang w:val="en-US" w:eastAsia="zh-CN"/>
          <w:highlight w:val="auto"/>
        </w:rPr>
        <w:t>项目绩效分析。</w:t>
      </w:r>
      <w:r>
        <w:rPr>
          <w:rFonts w:eastAsia="仿宋_GB2312" w:cs="仿宋_GB2312"/>
          <w:sz w:val="32"/>
          <w:szCs w:val="32"/>
          <w:lang w:val="zh-CN" w:eastAsia="zh-CN"/>
          <w:highlight w:val="auto"/>
        </w:rPr>
        <w:t>该类项目总数</w:t>
      </w:r>
      <w:r>
        <w:rPr>
          <w:rFonts w:eastAsia="仿宋_GB2312" w:cs="仿宋_GB2312"/>
          <w:sz w:val="32"/>
          <w:szCs w:val="32"/>
          <w:lang w:val="en-US" w:eastAsia="zh-CN"/>
          <w:highlight w:val="auto"/>
        </w:rPr>
        <w:t xml:space="preserve"> </w:t>
      </w:r>
      <w:r>
        <w:rPr>
          <w:rFonts w:eastAsia="仿宋_GB2312" w:cs="仿宋_GB2312" w:hint="eastAsia"/>
          <w:sz w:val="32"/>
          <w:szCs w:val="32"/>
          <w:lang w:val="en-US" w:eastAsia="zh-CN"/>
          <w:highlight w:val="auto"/>
        </w:rPr>
        <w:t>9</w:t>
      </w:r>
      <w:r>
        <w:rPr>
          <w:rFonts w:eastAsia="仿宋_GB2312" w:cs="仿宋_GB2312"/>
          <w:sz w:val="32"/>
          <w:szCs w:val="32"/>
          <w:lang w:val="zh-CN" w:eastAsia="zh-CN"/>
          <w:highlight w:val="auto"/>
        </w:rPr>
        <w:t>个，涉及预算总金额</w:t>
      </w:r>
      <w:r>
        <w:rPr>
          <w:rFonts w:eastAsia="仿宋_GB2312" w:cs="仿宋_GB2312"/>
          <w:sz w:val="32"/>
          <w:szCs w:val="32"/>
          <w:lang w:val="en-US" w:eastAsia="zh-CN"/>
          <w:highlight w:val="auto"/>
        </w:rPr>
        <w:t xml:space="preserve">  </w:t>
      </w:r>
      <w:r>
        <w:rPr>
          <w:rFonts w:eastAsia="仿宋_GB2312" w:cs="仿宋_GB2312" w:hint="eastAsia"/>
          <w:sz w:val="32"/>
          <w:szCs w:val="32"/>
          <w:lang w:val="en-US" w:eastAsia="zh-CN"/>
          <w:highlight w:val="auto"/>
        </w:rPr>
        <w:t>770.2</w:t>
      </w:r>
      <w:r>
        <w:rPr>
          <w:rFonts w:eastAsia="仿宋_GB2312" w:cs="仿宋_GB2312"/>
          <w:sz w:val="32"/>
          <w:szCs w:val="32"/>
          <w:lang w:val="zh-CN" w:eastAsia="zh-CN"/>
          <w:highlight w:val="auto"/>
        </w:rPr>
        <w:t>万元，</w:t>
      </w:r>
      <w:r>
        <w:rPr>
          <w:rFonts w:eastAsia="仿宋_GB2312" w:cs="仿宋_GB2312"/>
          <w:sz w:val="32"/>
          <w:szCs w:val="32"/>
          <w:lang w:val="zh-CN"/>
          <w:highlight w:val="auto"/>
        </w:rPr>
        <w:t>1</w:t>
      </w:r>
      <w:r>
        <w:rPr>
          <w:rFonts w:eastAsia="仿宋_GB2312" w:cs="仿宋_GB2312" w:hint="eastAsia"/>
          <w:sz w:val="32"/>
          <w:szCs w:val="32"/>
          <w:lang w:val="zh-CN" w:eastAsia="zh-CN"/>
          <w:highlight w:val="auto"/>
        </w:rPr>
        <w:t>—</w:t>
      </w:r>
      <w:r>
        <w:rPr>
          <w:rFonts w:eastAsia="仿宋_GB2312" w:cs="仿宋_GB2312"/>
          <w:sz w:val="32"/>
          <w:szCs w:val="32"/>
          <w:lang w:val="zh-CN"/>
          <w:highlight w:val="auto"/>
        </w:rPr>
        <w:t>1</w:t>
      </w:r>
      <w:r>
        <w:rPr>
          <w:rFonts w:eastAsia="仿宋_GB2312" w:cs="仿宋_GB2312"/>
          <w:sz w:val="32"/>
          <w:szCs w:val="32"/>
          <w:lang w:val="en-US" w:eastAsia="zh-CN"/>
          <w:highlight w:val="auto"/>
        </w:rPr>
        <w:t>2</w:t>
      </w:r>
      <w:r>
        <w:rPr>
          <w:rFonts w:eastAsia="仿宋_GB2312" w:cs="仿宋_GB2312"/>
          <w:sz w:val="32"/>
          <w:szCs w:val="32"/>
          <w:lang w:val="zh-CN"/>
          <w:highlight w:val="auto"/>
        </w:rPr>
        <w:t>月预算执行总体进度为</w:t>
      </w:r>
      <w:r>
        <w:rPr>
          <w:rFonts w:eastAsia="仿宋_GB2312" w:cs="仿宋_GB2312" w:hint="eastAsia"/>
          <w:sz w:val="32"/>
          <w:szCs w:val="32"/>
          <w:lang w:val="en-US" w:eastAsia="zh-CN"/>
          <w:highlight w:val="auto"/>
        </w:rPr>
        <w:t>100</w:t>
      </w:r>
      <w:r>
        <w:rPr>
          <w:rFonts w:eastAsia="仿宋_GB2312" w:cs="仿宋_GB2312"/>
          <w:sz w:val="32"/>
          <w:szCs w:val="32"/>
          <w:lang w:val="en-US" w:eastAsia="zh-CN"/>
          <w:highlight w:val="auto"/>
        </w:rPr>
        <w:t xml:space="preserve"> </w:t>
      </w:r>
      <w:r>
        <w:rPr>
          <w:rFonts w:eastAsia="仿宋_GB2312" w:cs="仿宋_GB2312"/>
          <w:sz w:val="32"/>
          <w:szCs w:val="32"/>
          <w:lang w:val="zh-CN"/>
          <w:highlight w:val="auto"/>
        </w:rPr>
        <w:t>%，其中：</w:t>
      </w:r>
      <w:r>
        <w:rPr>
          <w:rFonts w:eastAsia="仿宋_GB2312" w:cs="仿宋_GB2312"/>
          <w:sz w:val="32"/>
          <w:szCs w:val="32"/>
          <w:lang w:val="zh-CN" w:eastAsia="zh-CN"/>
          <w:highlight w:val="auto"/>
        </w:rPr>
        <w:t>预算结余率大于</w:t>
      </w:r>
      <w:r>
        <w:rPr>
          <w:rFonts w:eastAsia="仿宋_GB2312" w:cs="仿宋_GB2312"/>
          <w:sz w:val="32"/>
          <w:szCs w:val="32"/>
          <w:lang w:val="en-US" w:eastAsia="zh-CN"/>
          <w:highlight w:val="auto"/>
        </w:rPr>
        <w:t>10%</w:t>
      </w:r>
      <w:r>
        <w:rPr>
          <w:rFonts w:eastAsia="仿宋_GB2312" w:cs="仿宋_GB2312"/>
          <w:sz w:val="32"/>
          <w:szCs w:val="32"/>
          <w:lang w:val="zh-CN" w:eastAsia="zh-CN"/>
          <w:highlight w:val="auto"/>
        </w:rPr>
        <w:t>的项目共计</w:t>
      </w:r>
      <w:r>
        <w:rPr>
          <w:rFonts w:eastAsia="仿宋_GB2312" w:cs="仿宋_GB2312"/>
          <w:sz w:val="32"/>
          <w:szCs w:val="32"/>
          <w:lang w:val="en-US" w:eastAsia="zh-CN"/>
          <w:highlight w:val="auto"/>
        </w:rPr>
        <w:t xml:space="preserve"> </w:t>
      </w:r>
      <w:r>
        <w:rPr>
          <w:rFonts w:eastAsia="仿宋_GB2312" w:cs="仿宋_GB2312" w:hint="eastAsia"/>
          <w:sz w:val="32"/>
          <w:szCs w:val="32"/>
          <w:lang w:val="en-US" w:eastAsia="zh-CN"/>
          <w:highlight w:val="auto"/>
        </w:rPr>
        <w:t>0</w:t>
      </w:r>
      <w:r>
        <w:rPr>
          <w:rFonts w:eastAsia="仿宋_GB2312" w:cs="仿宋_GB2312"/>
          <w:sz w:val="32"/>
          <w:szCs w:val="32"/>
          <w:lang w:val="zh-CN" w:eastAsia="zh-CN"/>
          <w:highlight w:val="auto"/>
        </w:rPr>
        <w:t>个。</w:t>
      </w:r>
    </w:p>
    <w:p>
      <w:pPr>
        <w:keepNext w:val="0"/>
        <w:keepLines w:val="0"/>
        <w:pageBreakBefore w:val="0"/>
        <w:widowControl w:val="0"/>
        <w:kinsoku/>
        <w:wordWrap/>
        <w:overflowPunct/>
        <w:topLinePunct w:val="0"/>
        <w:autoSpaceDE/>
        <w:autoSpaceDN/>
        <w:bidi w:val="0"/>
        <w:adjustRightInd w:val="0"/>
        <w:snapToGrid w:val="0"/>
        <w:spacing w:line="600" w:lineRule="exact"/>
        <w:contextualSpacing/>
        <w:jc w:val="left"/>
        <w:rPr>
          <w:rFonts w:eastAsia="仿宋_GB2312" w:cs="仿宋_GB2312" w:hint="eastAsia"/>
          <w:sz w:val="32"/>
          <w:szCs w:val="32"/>
          <w:lang w:val="zh-CN"/>
          <w:highlight w:val="auto"/>
        </w:rPr>
      </w:pPr>
      <w:r>
        <w:rPr>
          <w:rFonts w:eastAsia="仿宋_GB2312" w:cs="仿宋_GB2312" w:hint="eastAsia"/>
          <w:sz w:val="32"/>
          <w:szCs w:val="32"/>
          <w:lang w:val="en-US" w:eastAsia="zh-CN"/>
          <w:highlight w:val="auto"/>
        </w:rPr>
        <w:t>1.</w:t>
      </w:r>
      <w:r>
        <w:rPr>
          <w:rFonts w:eastAsia="仿宋_GB2312" w:cs="仿宋_GB2312" w:hint="eastAsia"/>
          <w:sz w:val="32"/>
          <w:szCs w:val="32"/>
          <w:lang w:val="zh-CN"/>
          <w:highlight w:val="auto"/>
        </w:rPr>
        <w:t>项目决策。</w:t>
      </w:r>
      <w:r>
        <w:rPr>
          <w:rFonts w:eastAsia="仿宋_GB2312" w:cs="仿宋_GB2312"/>
          <w:sz w:val="32"/>
          <w:szCs w:val="32"/>
          <w:lang w:val="zh-CN"/>
          <w:highlight w:val="auto"/>
        </w:rPr>
        <w:t>对提议的项目进行可行性研究，经审批环节后填写</w:t>
      </w:r>
      <w:r>
        <w:rPr>
          <w:rFonts w:eastAsia="仿宋_GB2312" w:cs="仿宋_GB2312"/>
          <w:sz w:val="32"/>
          <w:szCs w:val="32"/>
        </w:rPr>
        <w:t>项目事前绩效评估报告，在系统中完善项目并入库。</w:t>
      </w:r>
    </w:p>
    <w:p>
      <w:pPr>
        <w:keepNext w:val="0"/>
        <w:keepLines w:val="0"/>
        <w:pageBreakBefore w:val="0"/>
        <w:widowControl w:val="0"/>
        <w:kinsoku/>
        <w:wordWrap/>
        <w:overflowPunct/>
        <w:topLinePunct w:val="0"/>
        <w:autoSpaceDE/>
        <w:autoSpaceDN/>
        <w:bidi w:val="0"/>
        <w:adjustRightInd w:val="0"/>
        <w:snapToGrid w:val="0"/>
        <w:spacing w:line="600" w:lineRule="exact"/>
        <w:contextualSpacing/>
        <w:jc w:val="left"/>
        <w:rPr>
          <w:rFonts w:eastAsia="仿宋_GB2312" w:cs="仿宋_GB2312" w:hint="eastAsia"/>
          <w:sz w:val="32"/>
          <w:szCs w:val="32"/>
          <w:lang w:val="zh-CN"/>
          <w:highlight w:val="auto"/>
        </w:rPr>
      </w:pPr>
      <w:r>
        <w:rPr>
          <w:rFonts w:eastAsia="仿宋_GB2312" w:cs="仿宋_GB2312" w:hint="eastAsia"/>
          <w:sz w:val="32"/>
          <w:szCs w:val="32"/>
          <w:lang w:val="en-US" w:eastAsia="zh-CN"/>
          <w:highlight w:val="auto"/>
        </w:rPr>
        <w:t>2.项目执行</w:t>
      </w:r>
      <w:r>
        <w:rPr>
          <w:rFonts w:eastAsia="仿宋_GB2312" w:cs="仿宋_GB2312" w:hint="eastAsia"/>
          <w:sz w:val="32"/>
          <w:szCs w:val="32"/>
          <w:lang w:val="zh-CN"/>
          <w:highlight w:val="auto"/>
        </w:rPr>
        <w:t>。</w:t>
      </w:r>
      <w:r>
        <w:rPr>
          <w:rFonts w:eastAsia="仿宋_GB2312" w:cs="仿宋_GB2312"/>
          <w:sz w:val="32"/>
          <w:szCs w:val="32"/>
          <w:lang w:val="zh-CN"/>
          <w:highlight w:val="auto"/>
        </w:rPr>
        <w:t>各项目的执行均按项目规定用途进行支付</w:t>
      </w:r>
      <w:r>
        <w:rPr>
          <w:rFonts w:eastAsia="仿宋_GB2312" w:cs="仿宋_GB2312" w:hint="eastAsia"/>
          <w:sz w:val="32"/>
          <w:szCs w:val="32"/>
          <w:lang w:val="zh-CN"/>
          <w:highlight w:val="auto"/>
        </w:rPr>
        <w:t>。</w:t>
      </w:r>
    </w:p>
    <w:p>
      <w:pPr>
        <w:keepNext w:val="0"/>
        <w:keepLines w:val="0"/>
        <w:pageBreakBefore w:val="0"/>
        <w:widowControl w:val="0"/>
        <w:kinsoku/>
        <w:wordWrap/>
        <w:overflowPunct/>
        <w:topLinePunct w:val="0"/>
        <w:autoSpaceDE/>
        <w:autoSpaceDN/>
        <w:bidi w:val="0"/>
        <w:adjustRightInd w:val="0"/>
        <w:snapToGrid w:val="0"/>
        <w:spacing w:line="600" w:lineRule="exact"/>
        <w:contextualSpacing/>
        <w:jc w:val="left"/>
        <w:rPr>
          <w:rFonts w:eastAsia="仿宋_GB2312" w:cs="仿宋_GB2312" w:hint="eastAsia"/>
          <w:sz w:val="32"/>
          <w:szCs w:val="32"/>
          <w:lang w:val="zh-CN"/>
          <w:highlight w:val="auto"/>
        </w:rPr>
      </w:pPr>
      <w:r>
        <w:rPr>
          <w:rFonts w:eastAsia="仿宋_GB2312" w:cs="仿宋_GB2312" w:hint="eastAsia"/>
          <w:sz w:val="32"/>
          <w:szCs w:val="32"/>
          <w:lang w:val="en-US" w:eastAsia="zh-CN"/>
          <w:highlight w:val="auto"/>
        </w:rPr>
        <w:t>3.</w:t>
      </w:r>
      <w:r>
        <w:rPr>
          <w:rFonts w:eastAsia="仿宋_GB2312" w:cs="仿宋_GB2312" w:hint="eastAsia"/>
          <w:sz w:val="32"/>
          <w:szCs w:val="32"/>
          <w:lang w:val="zh-CN"/>
          <w:highlight w:val="auto"/>
        </w:rPr>
        <w:t>目标实现。所有</w:t>
      </w:r>
      <w:r>
        <w:rPr>
          <w:rFonts w:eastAsia="仿宋_GB2312" w:cs="仿宋_GB2312"/>
          <w:sz w:val="32"/>
          <w:szCs w:val="32"/>
          <w:lang w:val="zh-CN"/>
          <w:highlight w:val="auto"/>
        </w:rPr>
        <w:t>项目均全部按既定目标实现。</w:t>
      </w:r>
    </w:p>
    <w:p>
      <w:pPr>
        <w:keepNext w:val="0"/>
        <w:keepLines w:val="0"/>
        <w:pageBreakBefore w:val="0"/>
        <w:widowControl w:val="0"/>
        <w:kinsoku/>
        <w:wordWrap/>
        <w:overflowPunct/>
        <w:topLinePunct w:val="0"/>
        <w:autoSpaceDE/>
        <w:autoSpaceDN/>
        <w:adjustRightInd w:val="0"/>
        <w:snapToGrid w:val="0"/>
        <w:spacing w:line="600" w:lineRule="exact"/>
        <w:contextualSpacing/>
        <w:jc w:val="left"/>
        <w:rPr>
          <w:rFonts w:eastAsia="仿宋_GB2312" w:cs="仿宋_GB2312"/>
          <w:sz w:val="32"/>
          <w:szCs w:val="32"/>
        </w:rPr>
      </w:pPr>
      <w:r>
        <w:rPr>
          <w:rFonts w:eastAsia="仿宋_GB2312" w:cs="仿宋_GB2312"/>
          <w:b/>
          <w:bCs/>
          <w:sz w:val="32"/>
          <w:szCs w:val="32"/>
          <w:lang w:val="zh-CN"/>
          <w:highlight w:val="auto"/>
        </w:rPr>
        <w:t>（</w:t>
      </w:r>
      <w:r>
        <w:rPr>
          <w:rFonts w:eastAsia="仿宋_GB2312" w:cs="仿宋_GB2312" w:hint="eastAsia"/>
          <w:b/>
          <w:bCs/>
          <w:sz w:val="32"/>
          <w:szCs w:val="32"/>
          <w:lang w:val="zh-CN"/>
          <w:highlight w:val="auto"/>
        </w:rPr>
        <w:t>三</w:t>
      </w:r>
      <w:r>
        <w:rPr>
          <w:rFonts w:eastAsia="仿宋_GB2312" w:cs="仿宋_GB2312"/>
          <w:b/>
          <w:bCs/>
          <w:sz w:val="32"/>
          <w:szCs w:val="32"/>
          <w:lang w:val="zh-CN"/>
          <w:highlight w:val="auto"/>
        </w:rPr>
        <w:t>）</w:t>
      </w:r>
      <w:r>
        <w:rPr>
          <w:rFonts w:eastAsia="仿宋_GB2312" w:cs="仿宋_GB2312"/>
          <w:b/>
          <w:bCs/>
          <w:sz w:val="32"/>
          <w:szCs w:val="32"/>
          <w:lang w:val="zh-CN" w:eastAsia="zh-CN"/>
          <w:highlight w:val="auto"/>
        </w:rPr>
        <w:t>重点领域</w:t>
      </w:r>
      <w:r>
        <w:rPr>
          <w:rFonts w:eastAsia="仿宋_GB2312" w:cs="仿宋_GB2312"/>
          <w:b/>
          <w:bCs/>
          <w:sz w:val="32"/>
          <w:szCs w:val="32"/>
          <w:lang w:val="zh-CN"/>
          <w:highlight w:val="auto"/>
        </w:rPr>
        <w:t>绩效分析</w:t>
      </w:r>
      <w:r>
        <w:rPr>
          <w:rFonts w:eastAsia="仿宋_GB2312" w:cs="仿宋_GB2312"/>
          <w:b/>
          <w:bCs/>
          <w:sz w:val="32"/>
          <w:szCs w:val="32"/>
          <w:lang w:val="zh-CN" w:eastAsia="zh-CN"/>
          <w:highlight w:val="auto"/>
        </w:rPr>
        <w:t>。</w:t>
      </w:r>
    </w:p>
    <w:p>
      <w:pPr>
        <w:adjustRightInd w:val="0"/>
        <w:snapToGrid w:val="0"/>
        <w:spacing w:line="600" w:lineRule="exact"/>
        <w:contextualSpacing/>
        <w:jc w:val="left"/>
        <w:rPr>
          <w:rFonts w:eastAsia="仿宋_GB2312" w:cs="仿宋_GB2312" w:hint="eastAsia"/>
          <w:sz w:val="32"/>
          <w:szCs w:val="32"/>
          <w:lang w:eastAsia="zh-CN"/>
        </w:rPr>
      </w:pPr>
      <w:r>
        <w:rPr>
          <w:rFonts w:eastAsia="仿宋_GB2312" w:cs="仿宋_GB2312" w:hint="eastAsia"/>
          <w:sz w:val="32"/>
          <w:szCs w:val="32"/>
          <w:lang w:eastAsia="zh-CN"/>
        </w:rPr>
        <w:t>无</w:t>
      </w:r>
    </w:p>
    <w:p>
      <w:pPr>
        <w:adjustRightInd w:val="0"/>
        <w:snapToGrid w:val="0"/>
        <w:spacing w:line="600" w:lineRule="exact"/>
        <w:contextualSpacing/>
        <w:jc w:val="left"/>
        <w:rPr>
          <w:rFonts w:eastAsia="仿宋_GB2312" w:cs="仿宋_GB2312"/>
          <w:b/>
          <w:bCs/>
          <w:sz w:val="32"/>
          <w:szCs w:val="32"/>
          <w:lang w:val="zh-CN"/>
        </w:rPr>
      </w:pPr>
      <w:r>
        <w:rPr>
          <w:rFonts w:eastAsia="仿宋_GB2312" w:cs="仿宋_GB2312"/>
          <w:b/>
          <w:bCs/>
          <w:sz w:val="32"/>
          <w:szCs w:val="32"/>
          <w:lang w:val="zh-CN"/>
        </w:rPr>
        <w:t>（四）绩效结果应用情况</w:t>
      </w:r>
      <w:r>
        <w:rPr>
          <w:rFonts w:eastAsia="仿宋_GB2312" w:cs="仿宋_GB2312" w:hint="eastAsia"/>
          <w:b/>
          <w:bCs/>
          <w:sz w:val="32"/>
          <w:szCs w:val="32"/>
          <w:lang w:val="zh-CN"/>
        </w:rPr>
        <w:t>。</w:t>
      </w:r>
    </w:p>
    <w:p>
      <w:pPr>
        <w:adjustRightInd w:val="0"/>
        <w:snapToGrid w:val="0"/>
        <w:spacing w:line="600" w:lineRule="exact"/>
        <w:ind w:firstLine="0"/>
        <w:contextualSpacing/>
        <w:jc w:val="left"/>
        <w:rPr>
          <w:rFonts w:eastAsia="仿宋_GB2312" w:cs="仿宋_GB2312" w:hint="eastAsia"/>
          <w:b/>
          <w:bCs/>
          <w:sz w:val="32"/>
          <w:szCs w:val="32"/>
          <w:lang w:val="zh-CN"/>
        </w:rPr>
      </w:pPr>
      <w:r>
        <w:rPr>
          <w:rFonts w:eastAsia="仿宋_GB2312" w:cs="仿宋_GB2312"/>
          <w:b/>
          <w:bCs/>
          <w:sz w:val="32"/>
          <w:szCs w:val="32"/>
          <w:lang w:val="zh-CN"/>
        </w:rPr>
        <w:t>1、绩效结果</w:t>
      </w:r>
      <w:r>
        <w:rPr>
          <w:rFonts w:eastAsia="仿宋_GB2312" w:cs="仿宋_GB2312" w:hint="eastAsia"/>
          <w:b/>
          <w:bCs/>
          <w:sz w:val="32"/>
          <w:szCs w:val="32"/>
          <w:lang w:val="zh-CN"/>
        </w:rPr>
        <w:t>。</w:t>
      </w:r>
    </w:p>
    <w:p>
      <w:pPr>
        <w:adjustRightInd w:val="0"/>
        <w:snapToGrid w:val="0"/>
        <w:spacing w:line="600" w:lineRule="exact"/>
        <w:contextualSpacing/>
        <w:jc w:val="left"/>
        <w:rPr>
          <w:rFonts w:eastAsia="仿宋_GB2312" w:cs="仿宋_GB2312"/>
          <w:sz w:val="32"/>
          <w:szCs w:val="32"/>
        </w:rPr>
      </w:pPr>
      <w:r>
        <w:rPr>
          <w:rFonts w:eastAsia="仿宋_GB2312" w:cs="仿宋_GB2312" w:hint="eastAsia"/>
          <w:sz w:val="32"/>
          <w:szCs w:val="32"/>
          <w:lang w:val="zh-CN"/>
        </w:rPr>
        <w:t>预算执行：</w:t>
      </w:r>
      <w:r>
        <w:rPr>
          <w:rFonts w:eastAsia="仿宋_GB2312" w:cs="仿宋_GB2312" w:hint="eastAsia"/>
          <w:sz w:val="32"/>
          <w:szCs w:val="32"/>
        </w:rPr>
        <w:t>门预算执行进度在6月达到</w:t>
      </w:r>
      <w:r>
        <w:rPr>
          <w:rFonts w:eastAsia="仿宋_GB2312" w:cs="仿宋_GB2312" w:hint="eastAsia"/>
          <w:sz w:val="32"/>
          <w:szCs w:val="32"/>
          <w:lang w:val="en-US" w:eastAsia="zh-CN"/>
        </w:rPr>
        <w:t>51.4</w:t>
      </w:r>
      <w:r>
        <w:rPr>
          <w:rFonts w:eastAsia="仿宋_GB2312" w:cs="仿宋_GB2312" w:hint="eastAsia"/>
          <w:sz w:val="32"/>
          <w:szCs w:val="32"/>
        </w:rPr>
        <w:t>%，9月达到</w:t>
      </w:r>
      <w:r>
        <w:rPr>
          <w:rFonts w:eastAsia="仿宋_GB2312" w:cs="仿宋_GB2312" w:hint="eastAsia"/>
          <w:sz w:val="32"/>
          <w:szCs w:val="32"/>
          <w:lang w:val="en-US" w:eastAsia="zh-CN"/>
        </w:rPr>
        <w:t>71.7</w:t>
      </w:r>
      <w:r>
        <w:rPr>
          <w:rFonts w:eastAsia="仿宋_GB2312" w:cs="仿宋_GB2312" w:hint="eastAsia"/>
          <w:sz w:val="32"/>
          <w:szCs w:val="32"/>
        </w:rPr>
        <w:t>%，11月达到</w:t>
      </w:r>
      <w:r>
        <w:rPr>
          <w:rFonts w:eastAsia="仿宋_GB2312" w:cs="仿宋_GB2312" w:hint="eastAsia"/>
          <w:sz w:val="32"/>
          <w:szCs w:val="32"/>
          <w:lang w:val="en-US" w:eastAsia="zh-CN"/>
        </w:rPr>
        <w:t>89.5</w:t>
      </w:r>
      <w:r>
        <w:rPr>
          <w:rFonts w:eastAsia="仿宋_GB2312" w:cs="仿宋_GB2312" w:hint="eastAsia"/>
          <w:sz w:val="32"/>
          <w:szCs w:val="32"/>
        </w:rPr>
        <w:t>%，</w:t>
      </w:r>
      <w:r>
        <w:rPr>
          <w:rFonts w:eastAsia="仿宋_GB2312" w:cs="仿宋_GB2312"/>
          <w:sz w:val="32"/>
          <w:szCs w:val="32"/>
        </w:rPr>
        <w:t>全年基本达到执行进度</w:t>
      </w:r>
      <w:r>
        <w:rPr>
          <w:rFonts w:eastAsia="仿宋_GB2312" w:cs="仿宋_GB2312" w:hint="eastAsia"/>
          <w:sz w:val="32"/>
          <w:szCs w:val="32"/>
        </w:rPr>
        <w:t>。</w:t>
      </w:r>
    </w:p>
    <w:p>
      <w:pPr>
        <w:adjustRightInd w:val="0"/>
        <w:snapToGrid w:val="0"/>
        <w:spacing w:line="600" w:lineRule="exact"/>
        <w:contextualSpacing/>
        <w:jc w:val="left"/>
        <w:rPr>
          <w:rFonts w:eastAsia="仿宋_GB2312" w:cs="仿宋_GB2312" w:hint="eastAsia"/>
          <w:b/>
          <w:sz w:val="32"/>
          <w:szCs w:val="32"/>
          <w:lang w:val="zh-CN"/>
        </w:rPr>
      </w:pPr>
      <w:r>
        <w:rPr>
          <w:rFonts w:eastAsia="仿宋_GB2312" w:cs="仿宋_GB2312" w:hint="eastAsia"/>
          <w:sz w:val="32"/>
          <w:szCs w:val="32"/>
          <w:lang w:val="zh-CN"/>
        </w:rPr>
        <w:t>202</w:t>
      </w:r>
      <w:r>
        <w:rPr>
          <w:rFonts w:eastAsia="仿宋_GB2312" w:cs="仿宋_GB2312" w:hint="eastAsia"/>
          <w:sz w:val="32"/>
          <w:szCs w:val="32"/>
          <w:lang w:val="en-US" w:eastAsia="zh-CN"/>
        </w:rPr>
        <w:t>4</w:t>
      </w:r>
      <w:r>
        <w:rPr>
          <w:rFonts w:eastAsia="仿宋_GB2312" w:cs="仿宋_GB2312" w:hint="eastAsia"/>
          <w:sz w:val="32"/>
          <w:szCs w:val="32"/>
          <w:lang w:val="zh-CN"/>
        </w:rPr>
        <w:t>年我校预算</w:t>
      </w:r>
      <w:r>
        <w:rPr>
          <w:rFonts w:eastAsia="仿宋_GB2312" w:cs="仿宋_GB2312"/>
          <w:sz w:val="32"/>
          <w:szCs w:val="32"/>
          <w:lang w:val="zh-CN"/>
        </w:rPr>
        <w:t>严格按照各项目预定目标执行，不存在目标偏离等情况，全年预算执行率为</w:t>
      </w:r>
      <w:r>
        <w:rPr>
          <w:rFonts w:eastAsia="仿宋_GB2312" w:cs="仿宋_GB2312" w:hint="eastAsia"/>
          <w:sz w:val="32"/>
          <w:szCs w:val="32"/>
          <w:lang w:val="en-US" w:eastAsia="zh-CN"/>
        </w:rPr>
        <w:t>100</w:t>
      </w:r>
      <w:r>
        <w:rPr>
          <w:rFonts w:eastAsia="仿宋_GB2312" w:cs="仿宋_GB2312"/>
          <w:sz w:val="32"/>
          <w:szCs w:val="32"/>
          <w:lang w:val="zh-CN"/>
        </w:rPr>
        <w:t>%，且</w:t>
      </w:r>
      <w:r>
        <w:rPr>
          <w:rFonts w:eastAsia="仿宋_GB2312" w:cs="仿宋_GB2312" w:hint="eastAsia"/>
          <w:sz w:val="32"/>
          <w:szCs w:val="32"/>
          <w:lang w:val="zh-CN"/>
        </w:rPr>
        <w:t>无违规记录。</w:t>
      </w:r>
    </w:p>
    <w:p>
      <w:pPr>
        <w:adjustRightInd w:val="0"/>
        <w:snapToGrid w:val="0"/>
        <w:spacing w:line="600" w:lineRule="exact"/>
        <w:contextualSpacing/>
        <w:jc w:val="left"/>
        <w:rPr>
          <w:rFonts w:eastAsia="仿宋_GB2312" w:cs="仿宋_GB2312" w:hint="eastAsia"/>
          <w:b/>
          <w:bCs/>
          <w:sz w:val="32"/>
          <w:szCs w:val="32"/>
          <w:lang w:val="zh-CN"/>
        </w:rPr>
      </w:pPr>
      <w:r>
        <w:rPr>
          <w:rFonts w:eastAsia="仿宋_GB2312" w:cs="仿宋_GB2312"/>
          <w:b/>
          <w:bCs/>
          <w:sz w:val="32"/>
          <w:szCs w:val="32"/>
          <w:lang w:val="zh-CN"/>
        </w:rPr>
        <w:t>2、</w:t>
      </w:r>
      <w:r>
        <w:rPr>
          <w:rFonts w:eastAsia="仿宋_GB2312" w:cs="仿宋_GB2312" w:hint="eastAsia"/>
          <w:b/>
          <w:bCs/>
          <w:sz w:val="32"/>
          <w:szCs w:val="32"/>
          <w:lang w:val="zh-CN"/>
        </w:rPr>
        <w:t>结果应用情况。</w:t>
      </w:r>
    </w:p>
    <w:p>
      <w:pPr>
        <w:adjustRightInd w:val="0"/>
        <w:snapToGrid w:val="0"/>
        <w:spacing w:line="600" w:lineRule="exact"/>
        <w:contextualSpacing/>
        <w:jc w:val="left"/>
        <w:rPr>
          <w:rFonts w:eastAsia="仿宋_GB2312" w:cs="仿宋_GB2312" w:hint="eastAsia"/>
          <w:sz w:val="32"/>
          <w:szCs w:val="32"/>
          <w:lang w:val="zh-CN"/>
        </w:rPr>
      </w:pPr>
      <w:r>
        <w:rPr>
          <w:rFonts w:eastAsia="仿宋_GB2312" w:cs="仿宋_GB2312" w:hint="eastAsia"/>
          <w:sz w:val="32"/>
          <w:szCs w:val="32"/>
          <w:lang w:val="en-US" w:eastAsia="zh-CN"/>
        </w:rPr>
        <w:t>我校有按要求将部门整体绩效自评情况和自行组织的评价情况将相关绩效信息随同决算公开；并针对绩效管理过程中提出的问题进行整改，将绩效管理结果与预算安排进行挂钩；且在规定时间内向财政部门反馈应用绩效结果报告。</w:t>
      </w:r>
    </w:p>
    <w:p>
      <w:pPr>
        <w:keepNext w:val="0"/>
        <w:keepLines w:val="0"/>
        <w:pageBreakBefore w:val="0"/>
        <w:widowControl w:val="0"/>
        <w:kinsoku/>
        <w:wordWrap/>
        <w:overflowPunct/>
        <w:topLinePunct w:val="0"/>
        <w:autoSpaceDE/>
        <w:autoSpaceDN/>
        <w:adjustRightInd w:val="0"/>
        <w:snapToGrid w:val="0"/>
        <w:spacing w:line="600" w:lineRule="exact"/>
        <w:contextualSpacing/>
        <w:jc w:val="left"/>
        <w:rPr>
          <w:rFonts w:eastAsia="仿宋_GB2312" w:cs="仿宋_GB2312" w:hint="eastAsia"/>
          <w:bCs/>
          <w:sz w:val="32"/>
          <w:szCs w:val="32"/>
          <w:lang w:val="zh-CN"/>
        </w:rPr>
      </w:pPr>
      <w:r>
        <w:rPr>
          <w:rFonts w:eastAsia="仿宋_GB2312" w:cs="仿宋_GB2312" w:hint="eastAsia"/>
          <w:bCs/>
          <w:sz w:val="32"/>
          <w:szCs w:val="32"/>
          <w:lang w:val="zh-CN"/>
        </w:rPr>
        <w:t>四、评价结论及建议</w:t>
      </w:r>
    </w:p>
    <w:p>
      <w:pPr>
        <w:keepNext w:val="0"/>
        <w:keepLines w:val="0"/>
        <w:pageBreakBefore w:val="0"/>
        <w:widowControl w:val="0"/>
        <w:kinsoku/>
        <w:wordWrap/>
        <w:overflowPunct/>
        <w:topLinePunct w:val="0"/>
        <w:autoSpaceDE/>
        <w:autoSpaceDN/>
        <w:adjustRightInd w:val="0"/>
        <w:snapToGrid w:val="0"/>
        <w:spacing w:line="600" w:lineRule="exact"/>
        <w:contextualSpacing/>
        <w:jc w:val="left"/>
        <w:rPr>
          <w:rFonts w:eastAsia="仿宋_GB2312" w:cs="仿宋_GB2312"/>
          <w:bCs/>
          <w:sz w:val="32"/>
          <w:szCs w:val="32"/>
          <w:lang w:val="zh-CN"/>
        </w:rPr>
      </w:pPr>
      <w:r>
        <w:rPr>
          <w:rFonts w:eastAsia="仿宋_GB2312" w:cs="仿宋_GB2312"/>
          <w:b/>
          <w:bCs/>
          <w:sz w:val="32"/>
          <w:szCs w:val="32"/>
          <w:lang w:val="zh-CN"/>
          <w:highlight w:val="auto"/>
        </w:rPr>
        <w:t>（一）评价结论。</w:t>
      </w:r>
    </w:p>
    <w:p>
      <w:pPr>
        <w:keepNext w:val="0"/>
        <w:keepLines w:val="0"/>
        <w:pageBreakBefore w:val="0"/>
        <w:widowControl w:val="0"/>
        <w:kinsoku/>
        <w:wordWrap/>
        <w:overflowPunct/>
        <w:topLinePunct w:val="0"/>
        <w:autoSpaceDE/>
        <w:autoSpaceDN/>
        <w:adjustRightInd w:val="0"/>
        <w:snapToGrid w:val="0"/>
        <w:spacing w:line="600" w:lineRule="exact"/>
        <w:contextualSpacing/>
        <w:jc w:val="left"/>
        <w:rPr>
          <w:rFonts w:eastAsia="仿宋_GB2312" w:cs="仿宋_GB2312" w:hint="eastAsia"/>
          <w:sz w:val="32"/>
          <w:szCs w:val="32"/>
        </w:rPr>
      </w:pPr>
      <w:r>
        <w:rPr>
          <w:rFonts w:eastAsia="仿宋_GB2312" w:cs="仿宋_GB2312" w:hint="eastAsia"/>
          <w:sz w:val="32"/>
          <w:szCs w:val="32"/>
          <w:lang w:val="zh-CN"/>
        </w:rPr>
        <w:t>建立健全规章制度，制度执行严格合规，会计核算符合相关规定，资金专款专用，资金支付依据和开支标准合法合规，</w:t>
      </w:r>
      <w:r>
        <w:rPr>
          <w:rFonts w:eastAsia="仿宋_GB2312" w:cs="仿宋_GB2312"/>
          <w:sz w:val="32"/>
          <w:szCs w:val="32"/>
          <w:lang w:val="zh-CN"/>
        </w:rPr>
        <w:t>支出进度总体良好，</w:t>
      </w:r>
      <w:r>
        <w:rPr>
          <w:rFonts w:eastAsia="仿宋_GB2312" w:cs="仿宋_GB2312" w:hint="eastAsia"/>
          <w:sz w:val="32"/>
          <w:szCs w:val="32"/>
          <w:lang w:val="zh-CN"/>
        </w:rPr>
        <w:t>报20</w:t>
      </w:r>
      <w:r>
        <w:rPr>
          <w:rFonts w:eastAsia="仿宋_GB2312" w:cs="仿宋_GB2312" w:hint="eastAsia"/>
          <w:sz w:val="32"/>
          <w:szCs w:val="32"/>
        </w:rPr>
        <w:t>2</w:t>
      </w:r>
      <w:r>
        <w:rPr>
          <w:rFonts w:eastAsia="仿宋_GB2312" w:cs="仿宋_GB2312" w:hint="eastAsia"/>
          <w:sz w:val="32"/>
          <w:szCs w:val="32"/>
          <w:lang w:val="en-US" w:eastAsia="zh-CN"/>
        </w:rPr>
        <w:t>4</w:t>
      </w:r>
      <w:r>
        <w:rPr>
          <w:rFonts w:eastAsia="仿宋_GB2312" w:cs="仿宋_GB2312" w:hint="eastAsia"/>
          <w:sz w:val="32"/>
          <w:szCs w:val="32"/>
          <w:lang w:val="zh-CN"/>
        </w:rPr>
        <w:t>年度</w:t>
      </w:r>
      <w:r>
        <w:rPr>
          <w:rFonts w:eastAsia="仿宋_GB2312" w:cs="仿宋_GB2312"/>
          <w:sz w:val="32"/>
          <w:szCs w:val="32"/>
          <w:lang w:val="zh-CN"/>
        </w:rPr>
        <w:t>部门预算绩效评价指标体系</w:t>
      </w:r>
      <w:r>
        <w:rPr>
          <w:rFonts w:eastAsia="仿宋_GB2312" w:cs="仿宋_GB2312" w:hint="eastAsia"/>
          <w:sz w:val="32"/>
          <w:szCs w:val="32"/>
          <w:lang w:val="zh-CN"/>
        </w:rPr>
        <w:t>，自评结论</w:t>
      </w:r>
      <w:r>
        <w:rPr>
          <w:rFonts w:eastAsia="仿宋_GB2312" w:cs="仿宋_GB2312" w:hint="eastAsia"/>
          <w:sz w:val="32"/>
          <w:szCs w:val="32"/>
          <w:lang w:val="zh-CN"/>
          <w:highlight w:val="auto"/>
        </w:rPr>
        <w:t>为</w:t>
      </w:r>
      <w:r>
        <w:rPr>
          <w:rFonts w:eastAsia="仿宋_GB2312" w:cs="仿宋_GB2312" w:hint="eastAsia"/>
          <w:sz w:val="32"/>
          <w:szCs w:val="32"/>
          <w:lang w:val="en-US" w:eastAsia="zh-CN"/>
        </w:rPr>
        <w:t>90.26分在履</w:t>
      </w:r>
      <w:r>
        <w:rPr>
          <w:rFonts w:eastAsia="仿宋_GB2312" w:cs="仿宋_GB2312"/>
          <w:sz w:val="32"/>
          <w:szCs w:val="32"/>
          <w:lang w:val="en-US" w:eastAsia="zh-CN"/>
        </w:rPr>
        <w:t>职效能</w:t>
      </w:r>
      <w:r>
        <w:rPr>
          <w:rFonts w:eastAsia="仿宋_GB2312" w:cs="仿宋_GB2312"/>
          <w:sz w:val="32"/>
          <w:szCs w:val="32"/>
          <w:lang w:val="zh-CN"/>
        </w:rPr>
        <w:t>方面，我校基本实现预期目标</w:t>
      </w:r>
      <w:r>
        <w:rPr>
          <w:rFonts w:eastAsia="仿宋_GB2312" w:cs="仿宋_GB2312"/>
          <w:sz w:val="32"/>
          <w:szCs w:val="32"/>
          <w:lang w:val="zh-CN"/>
          <w:highlight w:val="auto"/>
        </w:rPr>
        <w:t>并取得相应成果。</w:t>
      </w:r>
    </w:p>
    <w:p>
      <w:pPr>
        <w:adjustRightInd w:val="0"/>
        <w:snapToGrid w:val="0"/>
        <w:spacing w:line="600" w:lineRule="exact"/>
        <w:jc w:val="left"/>
        <w:rPr>
          <w:rFonts w:eastAsia="仿宋_GB2312" w:cs="仿宋_GB2312" w:hint="eastAsia"/>
          <w:b/>
          <w:bCs/>
          <w:sz w:val="32"/>
          <w:szCs w:val="32"/>
        </w:rPr>
      </w:pPr>
      <w:r>
        <w:rPr>
          <w:rFonts w:eastAsia="仿宋_GB2312" w:cs="仿宋_GB2312" w:hint="eastAsia"/>
          <w:b/>
          <w:bCs/>
          <w:sz w:val="32"/>
          <w:szCs w:val="32"/>
          <w:lang w:val="zh-CN"/>
        </w:rPr>
        <w:t>（二）存在问题。</w:t>
      </w:r>
    </w:p>
    <w:p>
      <w:pPr>
        <w:spacing w:line="600" w:lineRule="exact"/>
        <w:jc w:val="left"/>
        <w:rPr>
          <w:rFonts w:eastAsia="仿宋_GB2312" w:cs="仿宋_GB2312" w:hint="eastAsia"/>
          <w:b/>
          <w:bCs/>
          <w:sz w:val="32"/>
          <w:szCs w:val="32"/>
        </w:rPr>
      </w:pPr>
      <w:r>
        <w:rPr>
          <w:rFonts w:eastAsia="仿宋_GB2312" w:cs="仿宋_GB2312" w:hint="eastAsia"/>
          <w:b/>
          <w:bCs/>
          <w:sz w:val="32"/>
          <w:szCs w:val="32"/>
        </w:rPr>
        <w:t>1、部门预算执行缓慢。</w:t>
      </w:r>
    </w:p>
    <w:p>
      <w:pPr>
        <w:spacing w:line="600" w:lineRule="exact"/>
        <w:jc w:val="left"/>
        <w:rPr>
          <w:rFonts w:eastAsia="仿宋_GB2312" w:cs="仿宋_GB2312" w:hint="eastAsia"/>
          <w:sz w:val="32"/>
          <w:szCs w:val="32"/>
          <w:lang w:val="en-US" w:eastAsia="zh-CN"/>
        </w:rPr>
      </w:pPr>
      <w:r>
        <w:rPr>
          <w:rFonts w:eastAsia="仿宋_GB2312" w:cs="仿宋_GB2312" w:hint="eastAsia"/>
          <w:sz w:val="32"/>
          <w:szCs w:val="32"/>
        </w:rPr>
        <w:t>202</w:t>
      </w:r>
      <w:r>
        <w:rPr>
          <w:rFonts w:eastAsia="仿宋_GB2312" w:cs="仿宋_GB2312" w:hint="eastAsia"/>
          <w:sz w:val="32"/>
          <w:szCs w:val="32"/>
          <w:lang w:val="en-US" w:eastAsia="zh-CN"/>
        </w:rPr>
        <w:t>4</w:t>
      </w:r>
      <w:r>
        <w:rPr>
          <w:rFonts w:eastAsia="仿宋_GB2312" w:cs="仿宋_GB2312" w:hint="eastAsia"/>
          <w:sz w:val="32"/>
          <w:szCs w:val="32"/>
        </w:rPr>
        <w:t>年上半年部分资金支付缓慢，</w:t>
      </w:r>
      <w:r>
        <w:rPr>
          <w:rFonts w:eastAsia="仿宋_GB2312" w:cs="仿宋_GB2312"/>
          <w:sz w:val="32"/>
          <w:szCs w:val="32"/>
        </w:rPr>
        <w:t>整体支付进度主要存在以下问题</w:t>
      </w:r>
      <w:r>
        <w:rPr>
          <w:rFonts w:eastAsia="仿宋_GB2312" w:cs="仿宋_GB2312" w:hint="eastAsia"/>
          <w:sz w:val="32"/>
          <w:szCs w:val="32"/>
        </w:rPr>
        <w:t>：助学金因为需要评价学生等情况，不能按月及时支付，导致支付有一定的延迟；</w:t>
      </w:r>
      <w:r>
        <w:rPr>
          <w:rFonts w:eastAsia="仿宋_GB2312" w:cs="仿宋_GB2312"/>
          <w:sz w:val="32"/>
          <w:szCs w:val="32"/>
        </w:rPr>
        <w:t>部分项目</w:t>
      </w:r>
      <w:r>
        <w:rPr>
          <w:rFonts w:eastAsia="仿宋_GB2312" w:cs="仿宋_GB2312" w:hint="eastAsia"/>
          <w:sz w:val="32"/>
          <w:szCs w:val="32"/>
          <w:lang w:eastAsia="zh-CN"/>
        </w:rPr>
        <w:t>需在寒暑假等节假日开展</w:t>
      </w:r>
      <w:r>
        <w:rPr>
          <w:rFonts w:eastAsia="仿宋_GB2312" w:cs="仿宋_GB2312"/>
          <w:sz w:val="32"/>
          <w:szCs w:val="32"/>
        </w:rPr>
        <w:t>；</w:t>
      </w:r>
      <w:r>
        <w:rPr>
          <w:rFonts w:eastAsia="仿宋_GB2312" w:cs="仿宋_GB2312" w:hint="eastAsia"/>
          <w:sz w:val="32"/>
          <w:szCs w:val="32"/>
        </w:rPr>
        <w:t>部分项目资金</w:t>
      </w:r>
      <w:r>
        <w:rPr>
          <w:rFonts w:eastAsia="仿宋_GB2312" w:cs="仿宋_GB2312" w:hint="eastAsia"/>
          <w:sz w:val="32"/>
          <w:szCs w:val="32"/>
          <w:lang w:val="en-US" w:eastAsia="zh-CN"/>
        </w:rPr>
        <w:t>设计方案、调研、挂网流程缓慢，对方单位报账资料（发票等）不能尽快提供，也是支付进度执行缓慢的原因。</w:t>
      </w:r>
    </w:p>
    <w:p>
      <w:pPr>
        <w:adjustRightInd w:val="0"/>
        <w:snapToGrid w:val="0"/>
        <w:spacing w:line="600" w:lineRule="exact"/>
        <w:jc w:val="left"/>
        <w:rPr>
          <w:rFonts w:eastAsia="仿宋_GB2312" w:cs="仿宋_GB2312" w:hint="eastAsia"/>
          <w:b/>
          <w:sz w:val="32"/>
          <w:szCs w:val="32"/>
          <w:lang w:val="zh-CN"/>
        </w:rPr>
      </w:pPr>
      <w:r>
        <w:rPr>
          <w:rFonts w:eastAsia="仿宋_GB2312" w:cs="仿宋_GB2312" w:hint="eastAsia"/>
          <w:b/>
          <w:sz w:val="32"/>
          <w:szCs w:val="32"/>
          <w:lang w:val="zh-CN"/>
        </w:rPr>
        <w:t>（三）改进建议。</w:t>
      </w:r>
    </w:p>
    <w:p>
      <w:pPr>
        <w:spacing w:before="0" w:after="0" w:line="600" w:lineRule="exact"/>
        <w:jc w:val="left"/>
        <w:outlineLvl w:val="9"/>
        <w:rPr>
          <w:rFonts w:eastAsia="仿宋_GB2312" w:cs="仿宋_GB2312" w:hint="eastAsia"/>
          <w:sz w:val="32"/>
          <w:szCs w:val="32"/>
        </w:rPr>
      </w:pPr>
      <w:r>
        <w:rPr>
          <w:rFonts w:eastAsia="仿宋_GB2312" w:cs="仿宋_GB2312" w:hint="eastAsia"/>
          <w:sz w:val="32"/>
          <w:szCs w:val="32"/>
        </w:rPr>
        <w:t>1、加强预算编制准确性。</w:t>
      </w:r>
    </w:p>
    <w:p>
      <w:pPr>
        <w:keepNext w:val="0"/>
        <w:keepLines w:val="0"/>
        <w:pageBreakBefore w:val="0"/>
        <w:widowControl w:val="0"/>
        <w:kinsoku/>
        <w:wordWrap/>
        <w:overflowPunct/>
        <w:topLinePunct w:val="0"/>
        <w:autoSpaceDE/>
        <w:autoSpaceDN/>
        <w:bidi w:val="0"/>
        <w:adjustRightInd/>
        <w:snapToGrid/>
        <w:spacing w:before="0" w:after="0" w:line="600" w:lineRule="exact"/>
        <w:jc w:val="left"/>
        <w:outlineLvl w:val="9"/>
        <w:rPr>
          <w:rFonts w:eastAsia="仿宋_GB2312" w:cs="仿宋_GB2312" w:hint="eastAsia"/>
          <w:sz w:val="32"/>
          <w:szCs w:val="32"/>
        </w:rPr>
      </w:pPr>
      <w:r>
        <w:rPr>
          <w:rFonts w:eastAsia="仿宋_GB2312" w:cs="仿宋_GB2312" w:hint="eastAsia"/>
          <w:sz w:val="32"/>
          <w:szCs w:val="32"/>
        </w:rPr>
        <w:t>建议进一步强化预算编制工作，结合年度工作任务目标和项目计划实施进度，加强预算项目前期评估，提高预算编制准确性和执行进度，严禁超预算或无预算安排支出。</w:t>
      </w:r>
    </w:p>
    <w:p>
      <w:pPr>
        <w:keepNext w:val="0"/>
        <w:keepLines w:val="0"/>
        <w:pageBreakBefore w:val="0"/>
        <w:widowControl w:val="0"/>
        <w:kinsoku/>
        <w:wordWrap/>
        <w:overflowPunct/>
        <w:topLinePunct w:val="0"/>
        <w:autoSpaceDE/>
        <w:autoSpaceDN/>
        <w:bidi w:val="0"/>
        <w:adjustRightInd/>
        <w:snapToGrid/>
        <w:spacing w:line="600" w:lineRule="exact"/>
        <w:jc w:val="left"/>
        <w:rPr>
          <w:rFonts w:eastAsia="仿宋_GB2312" w:cs="仿宋_GB2312" w:hint="eastAsia"/>
          <w:sz w:val="32"/>
          <w:szCs w:val="32"/>
        </w:rPr>
      </w:pPr>
      <w:r>
        <w:rPr>
          <w:rFonts w:eastAsia="仿宋_GB2312" w:cs="仿宋_GB2312" w:hint="eastAsia"/>
          <w:b/>
          <w:bCs/>
          <w:sz w:val="32"/>
          <w:szCs w:val="32"/>
        </w:rPr>
        <w:t>2、加强预算执行力度</w:t>
      </w:r>
      <w:r>
        <w:rPr>
          <w:rFonts w:eastAsia="仿宋_GB2312" w:cs="仿宋_GB2312" w:hint="eastAsia"/>
          <w:sz w:val="32"/>
          <w:szCs w:val="32"/>
        </w:rPr>
        <w:t>。</w:t>
      </w:r>
    </w:p>
    <w:p>
      <w:pPr>
        <w:spacing w:line="600" w:lineRule="exact"/>
        <w:jc w:val="left"/>
        <w:rPr>
          <w:rFonts w:eastAsia="仿宋_GB2312" w:cs="仿宋_GB2312"/>
          <w:sz w:val="32"/>
          <w:szCs w:val="32"/>
        </w:rPr>
      </w:pPr>
      <w:r>
        <w:rPr>
          <w:rFonts w:eastAsia="仿宋_GB2312" w:cs="仿宋_GB2312" w:hint="eastAsia"/>
          <w:sz w:val="32"/>
          <w:szCs w:val="32"/>
          <w:lang w:val="en-US" w:eastAsia="zh-CN" w:bidi="ar-SA"/>
        </w:rPr>
        <w:t>在部门预算执行过程中，掌握项目进展情况，确保资金安排与项目进展一致。在以后工作中，不断加强对财经纪律的学习，切实发挥财务监督作用。</w:t>
      </w:r>
    </w:p>
    <w:p>
      <w:pPr>
        <w:keepNext w:val="0"/>
        <w:keepLines w:val="0"/>
        <w:pageBreakBefore w:val="0"/>
        <w:widowControl w:val="0"/>
        <w:kinsoku/>
        <w:wordWrap/>
        <w:overflowPunct/>
        <w:topLinePunct w:val="0"/>
        <w:autoSpaceDE/>
        <w:autoSpaceDN/>
        <w:adjustRightInd/>
        <w:snapToGrid/>
        <w:spacing w:line="600" w:lineRule="exact"/>
        <w:jc w:val="left"/>
        <w:rPr>
          <w:rFonts w:eastAsia="仿宋_GB2312" w:cs="仿宋_GB2312" w:hint="eastAsia"/>
          <w:b/>
          <w:bCs/>
          <w:sz w:val="32"/>
          <w:szCs w:val="32"/>
        </w:rPr>
      </w:pPr>
      <w:r>
        <w:rPr>
          <w:rFonts w:eastAsia="仿宋_GB2312" w:cs="仿宋_GB2312" w:hint="eastAsia"/>
          <w:b/>
          <w:bCs/>
          <w:sz w:val="32"/>
          <w:szCs w:val="32"/>
        </w:rPr>
        <w:t>3.加强绩效评价相关工作</w:t>
      </w:r>
    </w:p>
    <w:p>
      <w:pPr>
        <w:keepNext w:val="0"/>
        <w:keepLines w:val="0"/>
        <w:pageBreakBefore w:val="0"/>
        <w:widowControl w:val="0"/>
        <w:kinsoku/>
        <w:wordWrap/>
        <w:overflowPunct/>
        <w:topLinePunct w:val="0"/>
        <w:autoSpaceDE/>
        <w:autoSpaceDN/>
        <w:adjustRightInd/>
        <w:snapToGrid/>
        <w:spacing w:line="600" w:lineRule="exact"/>
        <w:jc w:val="left"/>
        <w:rPr>
          <w:rFonts w:eastAsia="仿宋_GB2312" w:cs="仿宋_GB2312" w:hint="eastAsia"/>
          <w:sz w:val="32"/>
          <w:szCs w:val="32"/>
        </w:rPr>
      </w:pPr>
      <w:r>
        <w:rPr>
          <w:rFonts w:eastAsia="仿宋_GB2312" w:cs="仿宋_GB2312" w:hint="eastAsia"/>
          <w:sz w:val="32"/>
          <w:szCs w:val="32"/>
        </w:rPr>
        <w:t>建立预算执行分析机制、定期通报预算执行情况，分析存在问题、提出改进建议，提高执行有效性，杜绝无预算、超预算支出等事项发生。</w:t>
      </w:r>
    </w:p>
    <w:p>
      <w:pPr>
        <w:spacing w:line="600" w:lineRule="exact"/>
        <w:jc w:val="left"/>
        <w:rPr>
          <w:rFonts w:eastAsia="仿宋_GB2312" w:cs="仿宋_GB2312" w:hint="eastAsia"/>
          <w:sz w:val="32"/>
          <w:szCs w:val="32"/>
        </w:rPr>
      </w:pPr>
      <w:r>
        <w:rPr>
          <w:rFonts w:eastAsia="仿宋_GB2312" w:cs="仿宋_GB2312" w:hint="eastAsia"/>
          <w:sz w:val="32"/>
          <w:szCs w:val="32"/>
        </w:rPr>
        <w:t>加大财务绩效评价工作的宣传和培训力度，制定更加科学的绩效评价指标，细化评价标准，提升对绩效评价的重视程度。</w:t>
      </w:r>
    </w:p>
    <w:p>
      <w:pPr>
        <w:spacing w:line="600" w:lineRule="exact"/>
        <w:jc w:val="left"/>
        <w:rPr>
          <w:rFonts w:eastAsia="仿宋_GB2312" w:cs="仿宋_GB2312"/>
          <w:sz w:val="32"/>
          <w:szCs w:val="32"/>
        </w:rPr>
      </w:pPr>
    </w:p>
    <w:p>
      <w:pPr>
        <w:keepNext w:val="0"/>
        <w:keepLines w:val="0"/>
        <w:pageBreakBefore w:val="0"/>
        <w:widowControl w:val="0"/>
        <w:kinsoku/>
        <w:wordWrap/>
        <w:overflowPunct/>
        <w:topLinePunct w:val="0"/>
        <w:autoSpaceDE/>
        <w:autoSpaceDN/>
        <w:bidi w:val="0"/>
        <w:spacing w:line="600" w:lineRule="exact"/>
        <w:jc w:val="left"/>
        <w:rPr>
          <w:rFonts w:eastAsia="仿宋_GB2312" w:cs="仿宋_GB2312" w:hint="eastAsia"/>
          <w:sz w:val="32"/>
          <w:szCs w:val="32"/>
          <w:lang w:val="en-US" w:eastAsia="zh-CN"/>
        </w:rPr>
      </w:pPr>
      <w:r>
        <w:rPr>
          <w:rFonts w:eastAsia="仿宋_GB2312" w:cs="仿宋_GB2312"/>
          <w:sz w:val="32"/>
          <w:szCs w:val="32"/>
          <w:lang w:val="en-US" w:eastAsia="zh-CN"/>
          <w:highlight w:val="auto"/>
        </w:rPr>
        <w:t>附表：</w:t>
      </w:r>
      <w:r>
        <w:rPr>
          <w:rFonts w:eastAsia="仿宋_GB2312" w:cs="仿宋_GB2312" w:hint="eastAsia"/>
          <w:sz w:val="32"/>
          <w:szCs w:val="32"/>
          <w:lang w:val="en-US" w:eastAsia="zh-CN"/>
          <w:highlight w:val="auto"/>
        </w:rPr>
        <w:t>1.</w:t>
      </w:r>
      <w:r>
        <w:rPr>
          <w:rFonts w:eastAsia="仿宋_GB2312" w:cs="仿宋_GB2312" w:hint="eastAsia"/>
          <w:sz w:val="32"/>
          <w:szCs w:val="32"/>
          <w:lang w:val="en-US" w:eastAsia="zh-CN"/>
        </w:rPr>
        <w:t>部门预算绩效自评打分表</w:t>
      </w:r>
    </w:p>
    <w:p>
      <w:pPr>
        <w:keepNext w:val="0"/>
        <w:keepLines w:val="0"/>
        <w:pageBreakBefore w:val="0"/>
        <w:widowControl w:val="0"/>
        <w:kinsoku/>
        <w:wordWrap/>
        <w:overflowPunct/>
        <w:topLinePunct w:val="0"/>
        <w:autoSpaceDE/>
        <w:autoSpaceDN/>
        <w:bidi w:val="0"/>
        <w:spacing w:line="600" w:lineRule="exact"/>
        <w:ind w:firstLineChars="300" w:firstLine="960"/>
        <w:jc w:val="left"/>
        <w:rPr>
          <w:rFonts w:eastAsia="仿宋_GB2312" w:cs="仿宋_GB2312"/>
          <w:sz w:val="32"/>
          <w:szCs w:val="32"/>
          <w:lang w:val="en-US" w:eastAsia="zh-CN"/>
          <w:highlight w:val="auto"/>
        </w:rPr>
      </w:pPr>
      <w:r>
        <w:rPr>
          <w:rFonts w:eastAsia="仿宋_GB2312" w:cs="仿宋_GB2312" w:hint="eastAsia"/>
          <w:sz w:val="32"/>
          <w:szCs w:val="32"/>
          <w:lang w:val="en-US" w:eastAsia="zh-CN"/>
        </w:rPr>
        <w:t>2.</w:t>
      </w:r>
      <w:r>
        <w:rPr>
          <w:rFonts w:eastAsia="仿宋_GB2312" w:cs="仿宋_GB2312"/>
          <w:sz w:val="32"/>
          <w:szCs w:val="32"/>
          <w:lang w:val="en-US" w:eastAsia="zh-CN"/>
          <w:highlight w:val="auto"/>
        </w:rPr>
        <w:t>部门整体绩效目标完成情况自评表</w:t>
      </w:r>
    </w:p>
    <w:p>
      <w:pPr>
        <w:widowControl w:val="0"/>
        <w:spacing w:before="0" w:after="0" w:line="600" w:lineRule="exact"/>
        <w:ind w:firstLineChars="300" w:firstLine="960"/>
        <w:jc w:val="left"/>
        <w:outlineLvl w:val="9"/>
        <w:rPr>
          <w:rFonts w:eastAsia="仿宋_GB2312" w:cs="仿宋_GB2312"/>
          <w:sz w:val="32"/>
          <w:szCs w:val="32"/>
          <w:lang w:eastAsia="zh-CN"/>
        </w:rPr>
      </w:pPr>
      <w:r>
        <w:rPr>
          <w:rFonts w:eastAsia="仿宋_GB2312" w:cs="仿宋_GB2312"/>
          <w:sz w:val="32"/>
          <w:szCs w:val="32"/>
          <w:lang w:eastAsia="zh-CN"/>
        </w:rPr>
        <w:t>3.部门预算项目支出绩效自评表（2024年度）</w:t>
      </w:r>
    </w:p>
    <w:p>
      <w:pPr>
        <w:pStyle w:val="15"/>
        <w:jc w:val="left"/>
      </w:pPr>
    </w:p>
    <w:p>
      <w:pPr>
        <w:pStyle w:val="17"/>
        <w:jc w:val="both"/>
      </w:pPr>
    </w:p>
    <w:p>
      <w:pPr>
        <w:tabs>
          <w:tab w:val="left" w:pos="3438"/>
        </w:tabs>
        <w:spacing w:line="600" w:lineRule="exact"/>
        <w:jc w:val="right"/>
        <w:rPr>
          <w:rFonts w:eastAsia="仿宋_GB2312" w:cs="仿宋_GB2312" w:hint="eastAsia"/>
          <w:sz w:val="32"/>
          <w:szCs w:val="32"/>
        </w:rPr>
      </w:pPr>
      <w:r>
        <w:rPr>
          <w:rFonts w:eastAsia="仿宋_GB2312" w:cs="仿宋_GB2312" w:hint="eastAsia"/>
          <w:sz w:val="32"/>
          <w:szCs w:val="32"/>
        </w:rPr>
        <w:t>四川省阿坝州民族高级中学</w:t>
      </w:r>
    </w:p>
    <w:p>
      <w:pPr>
        <w:spacing w:before="0" w:after="0" w:line="600" w:lineRule="exact"/>
        <w:jc w:val="right"/>
        <w:outlineLvl w:val="9"/>
        <w:rPr>
          <w:rFonts w:eastAsia="仿宋_GB2312" w:cs="仿宋_GB2312" w:hint="eastAsia"/>
          <w:sz w:val="32"/>
          <w:szCs w:val="32"/>
        </w:rPr>
      </w:pPr>
      <w:r>
        <w:rPr>
          <w:rFonts w:eastAsia="仿宋_GB2312" w:cs="仿宋_GB2312" w:hint="eastAsia"/>
          <w:sz w:val="32"/>
          <w:szCs w:val="32"/>
        </w:rPr>
        <w:t>202</w:t>
      </w:r>
      <w:r>
        <w:rPr>
          <w:rFonts w:eastAsia="仿宋_GB2312" w:cs="仿宋_GB2312" w:hint="eastAsia"/>
          <w:sz w:val="32"/>
          <w:szCs w:val="32"/>
          <w:lang w:val="en-US" w:eastAsia="zh-CN"/>
        </w:rPr>
        <w:t>5</w:t>
      </w:r>
      <w:r>
        <w:rPr>
          <w:rFonts w:eastAsia="仿宋_GB2312" w:cs="仿宋_GB2312" w:hint="eastAsia"/>
          <w:sz w:val="32"/>
          <w:szCs w:val="32"/>
        </w:rPr>
        <w:t>年</w:t>
      </w:r>
      <w:r>
        <w:rPr>
          <w:rFonts w:eastAsia="仿宋_GB2312" w:cs="仿宋_GB2312" w:hint="eastAsia"/>
          <w:sz w:val="32"/>
          <w:szCs w:val="32"/>
          <w:lang w:val="en-US" w:eastAsia="zh-CN"/>
        </w:rPr>
        <w:t>4</w:t>
      </w:r>
      <w:r>
        <w:rPr>
          <w:rFonts w:eastAsia="仿宋_GB2312" w:cs="仿宋_GB2312" w:hint="eastAsia"/>
          <w:sz w:val="32"/>
          <w:szCs w:val="32"/>
        </w:rPr>
        <w:t>月</w:t>
      </w:r>
      <w:r>
        <w:rPr>
          <w:rFonts w:eastAsia="仿宋_GB2312" w:cs="仿宋_GB2312" w:hint="eastAsia"/>
          <w:sz w:val="32"/>
          <w:szCs w:val="32"/>
          <w:lang w:val="en-US" w:eastAsia="zh-CN"/>
        </w:rPr>
        <w:t>23</w:t>
      </w:r>
      <w:r>
        <w:rPr>
          <w:rFonts w:eastAsia="仿宋_GB2312" w:cs="仿宋_GB2312" w:hint="eastAsia"/>
          <w:sz w:val="32"/>
          <w:szCs w:val="32"/>
        </w:rPr>
        <w:t>日</w:t>
      </w:r>
    </w:p>
    <w:p>
      <w:pPr>
        <w:keepNext w:val="0"/>
        <w:keepLines w:val="0"/>
        <w:pageBreakBefore w:val="0"/>
        <w:widowControl w:val="0"/>
        <w:kinsoku/>
        <w:wordWrap/>
        <w:overflowPunct/>
        <w:topLinePunct w:val="0"/>
        <w:autoSpaceDE/>
        <w:autoSpaceDN/>
        <w:bidi w:val="0"/>
        <w:spacing w:line="600" w:lineRule="exact"/>
        <w:jc w:val="left"/>
        <w:rPr>
          <w:rFonts w:eastAsia="仿宋_GB2312" w:cs="仿宋_GB2312" w:hint="eastAsia"/>
          <w:sz w:val="32"/>
          <w:szCs w:val="32"/>
          <w:lang w:val="en-US" w:eastAsia="zh-CN" w:bidi="ar-SA"/>
          <w:highlight w:val="auto"/>
        </w:rPr>
      </w:pPr>
      <w:r>
        <w:rPr>
          <w:rFonts w:eastAsia="仿宋_GB2312" w:cs="仿宋_GB2312"/>
          <w:sz w:val="32"/>
          <w:szCs w:val="32"/>
          <w:lang w:val="en-US" w:eastAsia="zh-CN"/>
          <w:highlight w:val="auto"/>
        </w:rPr>
        <w:br w:type="page"/>
      </w:r>
      <w:r>
        <w:rPr>
          <w:rFonts w:eastAsia="仿宋_GB2312" w:cs="仿宋_GB2312"/>
          <w:sz w:val="32"/>
          <w:szCs w:val="32"/>
          <w:lang w:val="en-US" w:eastAsia="zh-CN" w:bidi="ar-SA"/>
          <w:highlight w:val="auto"/>
        </w:rPr>
        <w:t>附表</w:t>
      </w:r>
      <w:r>
        <w:rPr>
          <w:rFonts w:eastAsia="仿宋_GB2312" w:cs="仿宋_GB2312" w:hint="eastAsia"/>
          <w:sz w:val="32"/>
          <w:szCs w:val="32"/>
          <w:lang w:val="en-US" w:eastAsia="zh-CN" w:bidi="ar-SA"/>
          <w:highlight w:val="auto"/>
        </w:rPr>
        <w:t>1</w:t>
      </w:r>
    </w:p>
    <w:tbl>
      <w:tblPr>
        <w:tblpPr w:leftFromText="180" w:rightFromText="180" w:vertAnchor="text" w:horzAnchor="page" w:tblpX="625" w:tblpY="522"/>
        <w:tblOverlap w:val="never"/>
        <w:tblW w:w="10758" w:type="dxa"/>
        <w:tblBorders>
          <w:top w:val="none" w:sz="0" w:space="0" w:color="auto"/>
          <w:left w:val="none" w:sz="0" w:space="0" w:color="auto"/>
          <w:bottom w:val="none" w:sz="0" w:space="0" w:color="auto"/>
          <w:right w:val="none" w:sz="0" w:space="0" w:color="auto"/>
        </w:tblBorders>
        <w:shd w:val="clear" w:color="auto" w:fill="auto"/>
        <w:tblLayout w:type="fixed"/>
        <w:tblCellMar>
          <w:top w:w="0" w:type="dxa"/>
          <w:left w:w="108" w:type="dxa"/>
          <w:bottom w:w="0" w:type="dxa"/>
          <w:right w:w="108" w:type="dxa"/>
        </w:tblCellMar>
      </w:tblPr>
      <w:tblGrid>
        <w:gridCol w:w="998"/>
        <w:gridCol w:w="1454"/>
        <w:gridCol w:w="1655"/>
        <w:gridCol w:w="1297"/>
        <w:gridCol w:w="4128"/>
        <w:gridCol w:w="751"/>
        <w:gridCol w:w="475"/>
      </w:tblGrid>
      <w:tr>
        <w:trPr>
          <w:trHeight w:val="268"/>
        </w:trPr>
        <w:tc>
          <w:tcPr>
            <w:tcW w:w="5404" w:type="dxa"/>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rPr>
            </w:pPr>
            <w:r>
              <w:rPr>
                <w:rFonts w:eastAsia="仿宋_GB2312" w:cs="仿宋_GB2312" w:hint="eastAsia"/>
                <w:sz w:val="32"/>
                <w:szCs w:val="32"/>
                <w:lang w:val="en-US" w:eastAsia="zh-CN"/>
              </w:rPr>
              <w:t>绩效评价指标指标分值</w:t>
            </w:r>
          </w:p>
        </w:tc>
        <w:tc>
          <w:tcPr>
            <w:tcW w:w="4128"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指标解释</w:t>
            </w:r>
          </w:p>
        </w:tc>
        <w:tc>
          <w:tcPr>
            <w:tcW w:w="751" w:type="dxa"/>
            <w:vMerge w:val="restart"/>
            <w:tcBorders>
              <w:top w:val="single" w:sz="4" w:space="0" w:color="000000"/>
              <w:left w:val="single" w:sz="4" w:space="0" w:color="000000"/>
              <w:bottom w:val="nil"/>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lang w:val="en-US" w:eastAsia="zh-CN"/>
              </w:rPr>
            </w:pPr>
            <w:r>
              <w:rPr>
                <w:rFonts w:eastAsia="仿宋_GB2312" w:cs="仿宋_GB2312" w:hint="eastAsia"/>
                <w:sz w:val="32"/>
                <w:szCs w:val="32"/>
                <w:lang w:val="en-US" w:eastAsia="zh-CN"/>
              </w:rPr>
              <w:t>自评得分</w:t>
            </w:r>
          </w:p>
        </w:tc>
        <w:tc>
          <w:tcPr>
            <w:tcW w:w="475" w:type="dxa"/>
            <w:vMerge w:val="restart"/>
            <w:tcBorders>
              <w:top w:val="single" w:sz="4" w:space="0" w:color="000000"/>
              <w:left w:val="single" w:sz="4" w:space="0" w:color="000000"/>
              <w:bottom w:val="nil"/>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lang w:val="en-US" w:eastAsia="zh-CN"/>
              </w:rPr>
            </w:pPr>
            <w:r>
              <w:rPr>
                <w:rFonts w:eastAsia="仿宋_GB2312" w:cs="仿宋_GB2312" w:hint="eastAsia"/>
                <w:sz w:val="32"/>
                <w:szCs w:val="32"/>
                <w:lang w:val="en-US" w:eastAsia="zh-CN"/>
              </w:rPr>
              <w:t>备注</w:t>
            </w:r>
          </w:p>
        </w:tc>
      </w:tr>
      <w:tr>
        <w:trPr>
          <w:trHeight w:val="525"/>
        </w:trPr>
        <w:tc>
          <w:tcPr>
            <w:tcW w:w="998" w:type="dxa"/>
            <w:tcBorders>
              <w:top w:val="single" w:sz="4" w:space="0" w:color="000000"/>
              <w:left w:val="single" w:sz="4" w:space="0" w:color="000000"/>
              <w:bottom w:val="single" w:sz="4" w:space="0" w:color="000000"/>
              <w:right w:val="nil"/>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一级指标</w:t>
            </w:r>
          </w:p>
        </w:tc>
        <w:tc>
          <w:tcPr>
            <w:tcW w:w="14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二级指标</w:t>
            </w:r>
          </w:p>
        </w:tc>
        <w:tc>
          <w:tcPr>
            <w:tcW w:w="16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三级指标</w:t>
            </w:r>
          </w:p>
        </w:tc>
        <w:tc>
          <w:tcPr>
            <w:tcW w:w="12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指标</w:t>
              <w:br/>
              <w:t>分值</w:t>
            </w:r>
          </w:p>
        </w:tc>
        <w:tc>
          <w:tcPr>
            <w:tcW w:w="412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751" w:type="dxa"/>
            <w:vMerge/>
            <w:tcBorders>
              <w:top w:val="nil"/>
              <w:left w:val="single" w:sz="4" w:space="0" w:color="000000"/>
              <w:bottom w:val="single" w:sz="4" w:space="0" w:color="000000"/>
              <w:right w:val="single" w:sz="4" w:space="0" w:color="000000"/>
            </w:tcBorders>
            <w:shd w:val="clear" w:color="auto" w:fill="auto"/>
            <w:noWrap/>
            <w:vAlign w:val="center"/>
          </w:tcPr>
          <w:p/>
        </w:tc>
        <w:tc>
          <w:tcPr>
            <w:tcW w:w="475" w:type="dxa"/>
            <w:vMerge/>
            <w:tcBorders>
              <w:top w:val="nil"/>
              <w:left w:val="single" w:sz="4" w:space="0" w:color="000000"/>
              <w:bottom w:val="single" w:sz="4" w:space="0" w:color="000000"/>
              <w:right w:val="single" w:sz="4" w:space="0" w:color="000000"/>
            </w:tcBorders>
            <w:shd w:val="clear" w:color="auto" w:fill="auto"/>
            <w:noWrap/>
            <w:vAlign w:val="center"/>
          </w:tcPr>
          <w:p/>
        </w:tc>
      </w:tr>
      <w:tr>
        <w:trPr>
          <w:trHeight w:val="525"/>
        </w:trPr>
        <w:tc>
          <w:tcPr>
            <w:tcW w:w="998"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b/>
                <w:sz w:val="32"/>
                <w:szCs w:val="32"/>
              </w:rPr>
            </w:pPr>
            <w:r>
              <w:rPr>
                <w:rFonts w:eastAsia="仿宋_GB2312" w:cs="仿宋_GB2312" w:hint="eastAsia"/>
                <w:b/>
                <w:sz w:val="32"/>
                <w:szCs w:val="32"/>
                <w:lang w:val="en-US" w:eastAsia="zh-CN"/>
              </w:rPr>
              <w:t>总体绩效</w:t>
              <w:br/>
              <w:t>（65分）</w:t>
            </w:r>
          </w:p>
        </w:tc>
        <w:tc>
          <w:tcPr>
            <w:tcW w:w="14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b/>
                <w:sz w:val="32"/>
                <w:szCs w:val="32"/>
              </w:rPr>
            </w:pPr>
            <w:r>
              <w:rPr>
                <w:rFonts w:eastAsia="仿宋_GB2312" w:cs="仿宋_GB2312" w:hint="eastAsia"/>
                <w:b/>
                <w:sz w:val="32"/>
                <w:szCs w:val="32"/>
                <w:lang w:val="en-US" w:eastAsia="zh-CN"/>
              </w:rPr>
              <w:t>履职效能</w:t>
              <w:br/>
              <w:t>（15分）</w:t>
            </w:r>
          </w:p>
        </w:tc>
        <w:tc>
          <w:tcPr>
            <w:tcW w:w="16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spacing w:line="600" w:lineRule="exact"/>
              <w:jc w:val="center"/>
              <w:rPr>
                <w:rFonts w:eastAsia="仿宋_GB2312" w:cs="仿宋_GB2312" w:hint="eastAsia"/>
                <w:sz w:val="32"/>
                <w:szCs w:val="32"/>
                <w:lang w:val="en-US" w:eastAsia="zh-CN"/>
              </w:rPr>
            </w:pPr>
            <w:r>
              <w:rPr>
                <w:rFonts w:eastAsia="仿宋_GB2312" w:cs="仿宋_GB2312" w:hint="eastAsia"/>
                <w:sz w:val="32"/>
                <w:szCs w:val="32"/>
                <w:lang w:val="en-US" w:eastAsia="zh-CN"/>
              </w:rPr>
              <w:t>1.教育教学质量履职效果</w:t>
            </w:r>
          </w:p>
          <w:p>
            <w:pPr>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2.</w:t>
            </w:r>
            <w:r>
              <w:rPr>
                <w:rFonts w:eastAsia="仿宋_GB2312" w:cs="仿宋_GB2312" w:hint="eastAsia"/>
                <w:sz w:val="32"/>
                <w:szCs w:val="32"/>
              </w:rPr>
              <w:t>师资队伍建设履职效果</w:t>
            </w:r>
          </w:p>
          <w:p>
            <w:pPr>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3.</w:t>
            </w:r>
            <w:r>
              <w:rPr>
                <w:rFonts w:eastAsia="仿宋_GB2312" w:cs="仿宋_GB2312" w:hint="eastAsia"/>
                <w:sz w:val="32"/>
                <w:szCs w:val="32"/>
              </w:rPr>
              <w:t>家校社协同履职效果</w:t>
            </w:r>
          </w:p>
        </w:tc>
        <w:tc>
          <w:tcPr>
            <w:tcW w:w="1297" w:type="dxa"/>
            <w:tcBorders>
              <w:top w:val="nil"/>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15</w:t>
            </w:r>
          </w:p>
        </w:tc>
        <w:tc>
          <w:tcPr>
            <w:tcW w:w="41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部门整体绩效目标中选定3-5个核心职能目标，反映该项职能目标完成效果情况</w:t>
            </w:r>
          </w:p>
        </w:tc>
        <w:tc>
          <w:tcPr>
            <w:tcW w:w="7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r>
              <w:rPr>
                <w:rFonts w:eastAsia="仿宋_GB2312" w:cs="仿宋_GB2312" w:hint="eastAsia"/>
                <w:sz w:val="32"/>
                <w:szCs w:val="32"/>
                <w:lang w:val="en-US" w:eastAsia="zh-CN"/>
              </w:rPr>
              <w:t>15</w:t>
            </w:r>
          </w:p>
        </w:tc>
        <w:tc>
          <w:tcPr>
            <w:tcW w:w="4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lang w:val="en-US" w:eastAsia="zh-CN"/>
              </w:rPr>
            </w:pPr>
          </w:p>
        </w:tc>
      </w:tr>
      <w:tr>
        <w:trPr>
          <w:trHeight w:val="525"/>
        </w:trPr>
        <w:tc>
          <w:tcPr>
            <w:tcW w:w="99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454"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b/>
                <w:sz w:val="32"/>
                <w:szCs w:val="32"/>
              </w:rPr>
            </w:pPr>
            <w:r>
              <w:rPr>
                <w:rFonts w:eastAsia="仿宋_GB2312" w:cs="仿宋_GB2312" w:hint="eastAsia"/>
                <w:b/>
                <w:sz w:val="32"/>
                <w:szCs w:val="32"/>
                <w:lang w:val="en-US" w:eastAsia="zh-CN"/>
              </w:rPr>
              <w:t>预算管理</w:t>
              <w:br/>
              <w:t>（25分）</w:t>
            </w:r>
          </w:p>
        </w:tc>
        <w:tc>
          <w:tcPr>
            <w:tcW w:w="16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预算编制质量</w:t>
            </w:r>
          </w:p>
        </w:tc>
        <w:tc>
          <w:tcPr>
            <w:tcW w:w="12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8</w:t>
            </w:r>
          </w:p>
        </w:tc>
        <w:tc>
          <w:tcPr>
            <w:tcW w:w="41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部门是否严格按要求编制年初部门预算，年初预算编制的科学性和准确性</w:t>
            </w:r>
          </w:p>
        </w:tc>
        <w:tc>
          <w:tcPr>
            <w:tcW w:w="7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r>
              <w:rPr>
                <w:rFonts w:eastAsia="仿宋_GB2312" w:cs="仿宋_GB2312" w:hint="eastAsia"/>
                <w:sz w:val="32"/>
                <w:szCs w:val="32"/>
                <w:lang w:val="en-US" w:eastAsia="zh-CN"/>
              </w:rPr>
              <w:t>6.8</w:t>
            </w:r>
          </w:p>
        </w:tc>
        <w:tc>
          <w:tcPr>
            <w:tcW w:w="4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lang w:val="en-US" w:eastAsia="zh-CN"/>
              </w:rPr>
            </w:pPr>
          </w:p>
        </w:tc>
      </w:tr>
      <w:tr>
        <w:trPr>
          <w:trHeight w:val="268"/>
        </w:trPr>
        <w:tc>
          <w:tcPr>
            <w:tcW w:w="99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45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6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单位收入统筹</w:t>
            </w:r>
          </w:p>
        </w:tc>
        <w:tc>
          <w:tcPr>
            <w:tcW w:w="12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4</w:t>
            </w:r>
          </w:p>
        </w:tc>
        <w:tc>
          <w:tcPr>
            <w:tcW w:w="41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部门统筹自有收入程度</w:t>
            </w:r>
          </w:p>
        </w:tc>
        <w:tc>
          <w:tcPr>
            <w:tcW w:w="7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r>
              <w:rPr>
                <w:rFonts w:eastAsia="仿宋_GB2312" w:cs="仿宋_GB2312" w:hint="eastAsia"/>
                <w:sz w:val="32"/>
                <w:szCs w:val="32"/>
                <w:lang w:val="en-US" w:eastAsia="zh-CN"/>
              </w:rPr>
              <w:t>4</w:t>
            </w:r>
          </w:p>
        </w:tc>
        <w:tc>
          <w:tcPr>
            <w:tcW w:w="4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lang w:val="en-US" w:eastAsia="zh-CN"/>
              </w:rPr>
            </w:pPr>
          </w:p>
        </w:tc>
      </w:tr>
      <w:tr>
        <w:trPr>
          <w:trHeight w:val="553"/>
        </w:trPr>
        <w:tc>
          <w:tcPr>
            <w:tcW w:w="99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45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6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支出执行进度</w:t>
            </w:r>
          </w:p>
        </w:tc>
        <w:tc>
          <w:tcPr>
            <w:tcW w:w="12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6</w:t>
            </w:r>
          </w:p>
        </w:tc>
        <w:tc>
          <w:tcPr>
            <w:tcW w:w="41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部门1至6月、1至10月预算执行情况</w:t>
            </w:r>
          </w:p>
        </w:tc>
        <w:tc>
          <w:tcPr>
            <w:tcW w:w="7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r>
              <w:rPr>
                <w:rFonts w:eastAsia="仿宋_GB2312" w:cs="仿宋_GB2312" w:hint="eastAsia"/>
                <w:sz w:val="32"/>
                <w:szCs w:val="32"/>
                <w:lang w:val="en-US" w:eastAsia="zh-CN"/>
              </w:rPr>
              <w:t>5.9</w:t>
            </w:r>
          </w:p>
        </w:tc>
        <w:tc>
          <w:tcPr>
            <w:tcW w:w="4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lang w:val="en-US" w:eastAsia="zh-CN"/>
              </w:rPr>
            </w:pPr>
          </w:p>
        </w:tc>
      </w:tr>
      <w:tr>
        <w:trPr>
          <w:trHeight w:val="400"/>
        </w:trPr>
        <w:tc>
          <w:tcPr>
            <w:tcW w:w="99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45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6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预算年终结余</w:t>
            </w:r>
          </w:p>
        </w:tc>
        <w:tc>
          <w:tcPr>
            <w:tcW w:w="12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2</w:t>
            </w:r>
          </w:p>
        </w:tc>
        <w:tc>
          <w:tcPr>
            <w:tcW w:w="41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部门整体年终预算结余情况</w:t>
            </w:r>
          </w:p>
        </w:tc>
        <w:tc>
          <w:tcPr>
            <w:tcW w:w="7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r>
              <w:rPr>
                <w:rFonts w:eastAsia="仿宋_GB2312" w:cs="仿宋_GB2312" w:hint="eastAsia"/>
                <w:sz w:val="32"/>
                <w:szCs w:val="32"/>
                <w:lang w:val="en-US" w:eastAsia="zh-CN"/>
              </w:rPr>
              <w:t>1.6</w:t>
            </w:r>
          </w:p>
        </w:tc>
        <w:tc>
          <w:tcPr>
            <w:tcW w:w="4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lang w:val="en-US" w:eastAsia="zh-CN"/>
              </w:rPr>
            </w:pPr>
          </w:p>
        </w:tc>
      </w:tr>
      <w:tr>
        <w:trPr>
          <w:trHeight w:val="783"/>
        </w:trPr>
        <w:tc>
          <w:tcPr>
            <w:tcW w:w="99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45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6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严控一般性支出</w:t>
            </w:r>
          </w:p>
        </w:tc>
        <w:tc>
          <w:tcPr>
            <w:tcW w:w="12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5</w:t>
            </w:r>
          </w:p>
        </w:tc>
        <w:tc>
          <w:tcPr>
            <w:tcW w:w="41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部门严控“三公”经费、会议、培训、差旅、办节办展、办公设备购置、信息网络及软件购置更新、课题经费等8项一般性支出情况</w:t>
            </w:r>
          </w:p>
        </w:tc>
        <w:tc>
          <w:tcPr>
            <w:tcW w:w="7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r>
              <w:rPr>
                <w:rFonts w:eastAsia="仿宋_GB2312" w:cs="仿宋_GB2312" w:hint="eastAsia"/>
                <w:sz w:val="32"/>
                <w:szCs w:val="32"/>
                <w:lang w:val="en-US" w:eastAsia="zh-CN"/>
              </w:rPr>
              <w:t>5</w:t>
            </w:r>
          </w:p>
        </w:tc>
        <w:tc>
          <w:tcPr>
            <w:tcW w:w="4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lang w:val="en-US" w:eastAsia="zh-CN"/>
              </w:rPr>
            </w:pPr>
          </w:p>
        </w:tc>
      </w:tr>
      <w:tr>
        <w:trPr>
          <w:trHeight w:val="268"/>
        </w:trPr>
        <w:tc>
          <w:tcPr>
            <w:tcW w:w="99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454"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b/>
                <w:sz w:val="32"/>
                <w:szCs w:val="32"/>
              </w:rPr>
            </w:pPr>
            <w:r>
              <w:rPr>
                <w:rFonts w:eastAsia="仿宋_GB2312" w:cs="仿宋_GB2312" w:hint="eastAsia"/>
                <w:b/>
                <w:sz w:val="32"/>
                <w:szCs w:val="32"/>
                <w:lang w:val="en-US" w:eastAsia="zh-CN"/>
              </w:rPr>
              <w:t>财务管理</w:t>
              <w:br/>
              <w:t>（10分）</w:t>
            </w:r>
          </w:p>
        </w:tc>
        <w:tc>
          <w:tcPr>
            <w:tcW w:w="16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财务管理制度</w:t>
            </w:r>
          </w:p>
        </w:tc>
        <w:tc>
          <w:tcPr>
            <w:tcW w:w="12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4</w:t>
            </w:r>
          </w:p>
        </w:tc>
        <w:tc>
          <w:tcPr>
            <w:tcW w:w="41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部门财务管理制度建立情况</w:t>
            </w:r>
          </w:p>
        </w:tc>
        <w:tc>
          <w:tcPr>
            <w:tcW w:w="7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r>
              <w:rPr>
                <w:rFonts w:eastAsia="仿宋_GB2312" w:cs="仿宋_GB2312" w:hint="eastAsia"/>
                <w:sz w:val="32"/>
                <w:szCs w:val="32"/>
                <w:lang w:val="en-US" w:eastAsia="zh-CN"/>
              </w:rPr>
              <w:t>4</w:t>
            </w:r>
          </w:p>
        </w:tc>
        <w:tc>
          <w:tcPr>
            <w:tcW w:w="4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lang w:val="en-US" w:eastAsia="zh-CN"/>
              </w:rPr>
            </w:pPr>
          </w:p>
        </w:tc>
      </w:tr>
      <w:tr>
        <w:trPr>
          <w:trHeight w:val="525"/>
        </w:trPr>
        <w:tc>
          <w:tcPr>
            <w:tcW w:w="99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45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6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财务岗位设置</w:t>
            </w:r>
          </w:p>
        </w:tc>
        <w:tc>
          <w:tcPr>
            <w:tcW w:w="12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2</w:t>
            </w:r>
          </w:p>
        </w:tc>
        <w:tc>
          <w:tcPr>
            <w:tcW w:w="41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部门财务岗位设置是否符合相关财务管理制度要求</w:t>
            </w:r>
          </w:p>
        </w:tc>
        <w:tc>
          <w:tcPr>
            <w:tcW w:w="7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r>
              <w:rPr>
                <w:rFonts w:eastAsia="仿宋_GB2312" w:cs="仿宋_GB2312" w:hint="eastAsia"/>
                <w:sz w:val="32"/>
                <w:szCs w:val="32"/>
                <w:lang w:val="en-US" w:eastAsia="zh-CN"/>
              </w:rPr>
              <w:t>2</w:t>
            </w:r>
          </w:p>
        </w:tc>
        <w:tc>
          <w:tcPr>
            <w:tcW w:w="4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lang w:val="en-US" w:eastAsia="zh-CN"/>
              </w:rPr>
            </w:pPr>
          </w:p>
        </w:tc>
      </w:tr>
      <w:tr>
        <w:trPr>
          <w:trHeight w:val="525"/>
        </w:trPr>
        <w:tc>
          <w:tcPr>
            <w:tcW w:w="99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45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6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资金使用规范</w:t>
            </w:r>
          </w:p>
        </w:tc>
        <w:tc>
          <w:tcPr>
            <w:tcW w:w="12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4</w:t>
            </w:r>
          </w:p>
        </w:tc>
        <w:tc>
          <w:tcPr>
            <w:tcW w:w="41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部门资金使用是否符合相关财务管理制度规定</w:t>
            </w:r>
          </w:p>
        </w:tc>
        <w:tc>
          <w:tcPr>
            <w:tcW w:w="7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r>
              <w:rPr>
                <w:rFonts w:eastAsia="仿宋_GB2312" w:cs="仿宋_GB2312" w:hint="eastAsia"/>
                <w:sz w:val="32"/>
                <w:szCs w:val="32"/>
                <w:lang w:val="en-US" w:eastAsia="zh-CN"/>
              </w:rPr>
              <w:t>4</w:t>
            </w:r>
          </w:p>
        </w:tc>
        <w:tc>
          <w:tcPr>
            <w:tcW w:w="4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lang w:val="en-US" w:eastAsia="zh-CN"/>
              </w:rPr>
            </w:pPr>
          </w:p>
        </w:tc>
      </w:tr>
      <w:tr>
        <w:trPr>
          <w:trHeight w:val="525"/>
        </w:trPr>
        <w:tc>
          <w:tcPr>
            <w:tcW w:w="99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454"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b/>
                <w:sz w:val="32"/>
                <w:szCs w:val="32"/>
              </w:rPr>
            </w:pPr>
            <w:r>
              <w:rPr>
                <w:rFonts w:eastAsia="仿宋_GB2312" w:cs="仿宋_GB2312" w:hint="eastAsia"/>
                <w:b/>
                <w:sz w:val="32"/>
                <w:szCs w:val="32"/>
                <w:lang w:val="en-US" w:eastAsia="zh-CN"/>
              </w:rPr>
              <w:t>资产管理</w:t>
              <w:br/>
              <w:t>（9分）</w:t>
            </w:r>
          </w:p>
        </w:tc>
        <w:tc>
          <w:tcPr>
            <w:tcW w:w="16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人均资产变化率</w:t>
            </w:r>
          </w:p>
        </w:tc>
        <w:tc>
          <w:tcPr>
            <w:tcW w:w="12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3</w:t>
            </w:r>
          </w:p>
        </w:tc>
        <w:tc>
          <w:tcPr>
            <w:tcW w:w="41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部门人均资产变化情况</w:t>
            </w:r>
          </w:p>
        </w:tc>
        <w:tc>
          <w:tcPr>
            <w:tcW w:w="7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r>
              <w:rPr>
                <w:rFonts w:eastAsia="仿宋_GB2312" w:cs="仿宋_GB2312" w:hint="eastAsia"/>
                <w:sz w:val="32"/>
                <w:szCs w:val="32"/>
                <w:lang w:val="en-US" w:eastAsia="zh-CN"/>
              </w:rPr>
              <w:t>1.8</w:t>
            </w:r>
          </w:p>
        </w:tc>
        <w:tc>
          <w:tcPr>
            <w:tcW w:w="4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lang w:val="en-US" w:eastAsia="zh-CN"/>
              </w:rPr>
            </w:pPr>
          </w:p>
        </w:tc>
      </w:tr>
      <w:tr>
        <w:trPr>
          <w:trHeight w:val="680"/>
        </w:trPr>
        <w:tc>
          <w:tcPr>
            <w:tcW w:w="99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45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6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资产利用率</w:t>
            </w:r>
          </w:p>
        </w:tc>
        <w:tc>
          <w:tcPr>
            <w:tcW w:w="12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3</w:t>
            </w:r>
          </w:p>
        </w:tc>
        <w:tc>
          <w:tcPr>
            <w:tcW w:w="41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部门资产超最低使用年限情况</w:t>
            </w:r>
          </w:p>
        </w:tc>
        <w:tc>
          <w:tcPr>
            <w:tcW w:w="7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r>
              <w:rPr>
                <w:rFonts w:eastAsia="仿宋_GB2312" w:cs="仿宋_GB2312" w:hint="eastAsia"/>
                <w:sz w:val="32"/>
                <w:szCs w:val="32"/>
                <w:lang w:val="en-US" w:eastAsia="zh-CN"/>
              </w:rPr>
              <w:t>1.4</w:t>
            </w:r>
          </w:p>
        </w:tc>
        <w:tc>
          <w:tcPr>
            <w:tcW w:w="4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lang w:val="en-US" w:eastAsia="zh-CN"/>
              </w:rPr>
            </w:pPr>
          </w:p>
        </w:tc>
      </w:tr>
      <w:tr>
        <w:trPr>
          <w:trHeight w:val="525"/>
        </w:trPr>
        <w:tc>
          <w:tcPr>
            <w:tcW w:w="998"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b/>
                <w:sz w:val="32"/>
                <w:szCs w:val="32"/>
              </w:rPr>
            </w:pPr>
            <w:r>
              <w:rPr>
                <w:rFonts w:eastAsia="仿宋_GB2312" w:cs="仿宋_GB2312" w:hint="eastAsia"/>
                <w:b/>
                <w:sz w:val="32"/>
                <w:szCs w:val="32"/>
                <w:lang w:val="en-US" w:eastAsia="zh-CN"/>
              </w:rPr>
              <w:t>总体绩效</w:t>
              <w:br/>
              <w:t>（65分）</w:t>
            </w:r>
          </w:p>
        </w:tc>
        <w:tc>
          <w:tcPr>
            <w:tcW w:w="14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b/>
                <w:sz w:val="32"/>
                <w:szCs w:val="32"/>
              </w:rPr>
            </w:pPr>
            <w:r>
              <w:rPr>
                <w:rFonts w:eastAsia="仿宋_GB2312" w:cs="仿宋_GB2312" w:hint="eastAsia"/>
                <w:b/>
                <w:sz w:val="32"/>
                <w:szCs w:val="32"/>
                <w:lang w:val="en-US" w:eastAsia="zh-CN"/>
              </w:rPr>
              <w:t>资产管理</w:t>
              <w:br/>
              <w:t>（9分）</w:t>
            </w:r>
          </w:p>
        </w:tc>
        <w:tc>
          <w:tcPr>
            <w:tcW w:w="16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资产盘活率</w:t>
            </w:r>
          </w:p>
        </w:tc>
        <w:tc>
          <w:tcPr>
            <w:tcW w:w="12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3</w:t>
            </w:r>
          </w:p>
        </w:tc>
        <w:tc>
          <w:tcPr>
            <w:tcW w:w="41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部门闲置一年以上的资产盘活情况</w:t>
            </w:r>
          </w:p>
        </w:tc>
        <w:tc>
          <w:tcPr>
            <w:tcW w:w="7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r>
              <w:rPr>
                <w:rFonts w:eastAsia="仿宋_GB2312" w:cs="仿宋_GB2312" w:hint="eastAsia"/>
                <w:sz w:val="32"/>
                <w:szCs w:val="32"/>
                <w:lang w:val="en-US" w:eastAsia="zh-CN"/>
              </w:rPr>
              <w:t>1.2</w:t>
            </w:r>
          </w:p>
        </w:tc>
        <w:tc>
          <w:tcPr>
            <w:tcW w:w="4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lang w:val="en-US" w:eastAsia="zh-CN"/>
              </w:rPr>
            </w:pPr>
          </w:p>
        </w:tc>
      </w:tr>
      <w:tr>
        <w:trPr>
          <w:trHeight w:val="525"/>
        </w:trPr>
        <w:tc>
          <w:tcPr>
            <w:tcW w:w="99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454"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b/>
                <w:sz w:val="32"/>
                <w:szCs w:val="32"/>
              </w:rPr>
            </w:pPr>
            <w:r>
              <w:rPr>
                <w:rFonts w:eastAsia="仿宋_GB2312" w:cs="仿宋_GB2312" w:hint="eastAsia"/>
                <w:b/>
                <w:sz w:val="32"/>
                <w:szCs w:val="32"/>
                <w:lang w:val="en-US" w:eastAsia="zh-CN"/>
              </w:rPr>
              <w:t>采购管理</w:t>
              <w:br/>
              <w:t>（6分）</w:t>
            </w:r>
          </w:p>
        </w:tc>
        <w:tc>
          <w:tcPr>
            <w:tcW w:w="16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支持中小企业发展</w:t>
            </w:r>
          </w:p>
        </w:tc>
        <w:tc>
          <w:tcPr>
            <w:tcW w:w="12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3</w:t>
            </w:r>
          </w:p>
        </w:tc>
        <w:tc>
          <w:tcPr>
            <w:tcW w:w="41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部门是否严格执行政府采购促进中小企业发展相关管理办法</w:t>
            </w:r>
          </w:p>
        </w:tc>
        <w:tc>
          <w:tcPr>
            <w:tcW w:w="7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r>
              <w:rPr>
                <w:rFonts w:eastAsia="仿宋_GB2312" w:cs="仿宋_GB2312" w:hint="eastAsia"/>
                <w:sz w:val="32"/>
                <w:szCs w:val="32"/>
                <w:lang w:val="en-US" w:eastAsia="zh-CN"/>
              </w:rPr>
              <w:t>3</w:t>
            </w:r>
          </w:p>
        </w:tc>
        <w:tc>
          <w:tcPr>
            <w:tcW w:w="4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lang w:val="en-US" w:eastAsia="zh-CN"/>
              </w:rPr>
            </w:pPr>
          </w:p>
        </w:tc>
      </w:tr>
      <w:tr>
        <w:trPr>
          <w:trHeight w:val="640"/>
        </w:trPr>
        <w:tc>
          <w:tcPr>
            <w:tcW w:w="99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45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6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采购执行率</w:t>
            </w:r>
          </w:p>
        </w:tc>
        <w:tc>
          <w:tcPr>
            <w:tcW w:w="12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3</w:t>
            </w:r>
          </w:p>
        </w:tc>
        <w:tc>
          <w:tcPr>
            <w:tcW w:w="41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部门政府采购项目资金支付比例情况</w:t>
            </w:r>
          </w:p>
        </w:tc>
        <w:tc>
          <w:tcPr>
            <w:tcW w:w="7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r>
              <w:rPr>
                <w:rFonts w:eastAsia="仿宋_GB2312" w:cs="仿宋_GB2312" w:hint="eastAsia"/>
                <w:sz w:val="32"/>
                <w:szCs w:val="32"/>
                <w:lang w:val="en-US" w:eastAsia="zh-CN"/>
              </w:rPr>
              <w:t>1.8</w:t>
            </w:r>
          </w:p>
        </w:tc>
        <w:tc>
          <w:tcPr>
            <w:tcW w:w="4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lang w:val="en-US" w:eastAsia="zh-CN"/>
              </w:rPr>
            </w:pPr>
          </w:p>
        </w:tc>
      </w:tr>
      <w:tr>
        <w:trPr>
          <w:trHeight w:val="525"/>
        </w:trPr>
        <w:tc>
          <w:tcPr>
            <w:tcW w:w="998"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b/>
                <w:sz w:val="32"/>
                <w:szCs w:val="32"/>
              </w:rPr>
            </w:pPr>
            <w:r>
              <w:rPr>
                <w:rFonts w:eastAsia="仿宋_GB2312" w:cs="仿宋_GB2312" w:hint="eastAsia"/>
                <w:b/>
                <w:sz w:val="32"/>
                <w:szCs w:val="32"/>
                <w:lang w:val="en-US" w:eastAsia="zh-CN"/>
              </w:rPr>
              <w:t>项目绩效</w:t>
              <w:br/>
              <w:t>（35分）</w:t>
            </w:r>
          </w:p>
        </w:tc>
        <w:tc>
          <w:tcPr>
            <w:tcW w:w="1454" w:type="dxa"/>
            <w:vMerge w:val="restart"/>
            <w:tcBorders>
              <w:top w:val="single" w:sz="4" w:space="0" w:color="000000"/>
              <w:left w:val="single" w:sz="4" w:space="0" w:color="000000"/>
              <w:bottom w:val="nil"/>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b/>
                <w:sz w:val="32"/>
                <w:szCs w:val="32"/>
              </w:rPr>
            </w:pPr>
            <w:r>
              <w:rPr>
                <w:rFonts w:eastAsia="仿宋_GB2312" w:cs="仿宋_GB2312" w:hint="eastAsia"/>
                <w:b/>
                <w:sz w:val="32"/>
                <w:szCs w:val="32"/>
                <w:lang w:val="en-US" w:eastAsia="zh-CN"/>
              </w:rPr>
              <w:t>项目决策</w:t>
              <w:br/>
              <w:t>（12分）</w:t>
            </w:r>
          </w:p>
        </w:tc>
        <w:tc>
          <w:tcPr>
            <w:tcW w:w="16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决策程序</w:t>
            </w:r>
          </w:p>
        </w:tc>
        <w:tc>
          <w:tcPr>
            <w:tcW w:w="12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4</w:t>
            </w:r>
          </w:p>
        </w:tc>
        <w:tc>
          <w:tcPr>
            <w:tcW w:w="41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部门预算项目设立是否按规定履行评估论证、申报程序</w:t>
            </w:r>
          </w:p>
        </w:tc>
        <w:tc>
          <w:tcPr>
            <w:tcW w:w="7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r>
              <w:rPr>
                <w:rFonts w:eastAsia="仿宋_GB2312" w:cs="仿宋_GB2312" w:hint="eastAsia"/>
                <w:sz w:val="32"/>
                <w:szCs w:val="32"/>
                <w:lang w:val="en-US" w:eastAsia="zh-CN"/>
              </w:rPr>
              <w:t>4</w:t>
            </w:r>
          </w:p>
        </w:tc>
        <w:tc>
          <w:tcPr>
            <w:tcW w:w="4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lang w:val="en-US" w:eastAsia="zh-CN"/>
              </w:rPr>
            </w:pPr>
          </w:p>
        </w:tc>
      </w:tr>
      <w:tr>
        <w:trPr>
          <w:trHeight w:val="1041"/>
        </w:trPr>
        <w:tc>
          <w:tcPr>
            <w:tcW w:w="99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454" w:type="dxa"/>
            <w:vMerge/>
            <w:tcBorders>
              <w:top w:val="single" w:sz="4" w:space="0" w:color="000000"/>
              <w:left w:val="single" w:sz="4" w:space="0" w:color="000000"/>
              <w:bottom w:val="nil"/>
              <w:right w:val="single" w:sz="4" w:space="0" w:color="000000"/>
            </w:tcBorders>
            <w:shd w:val="clear" w:color="auto" w:fill="auto"/>
            <w:noWrap/>
            <w:vAlign w:val="center"/>
          </w:tcPr>
          <w:p/>
        </w:tc>
        <w:tc>
          <w:tcPr>
            <w:tcW w:w="16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目标设置</w:t>
            </w:r>
          </w:p>
        </w:tc>
        <w:tc>
          <w:tcPr>
            <w:tcW w:w="12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4</w:t>
            </w:r>
          </w:p>
        </w:tc>
        <w:tc>
          <w:tcPr>
            <w:tcW w:w="41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部门预算项目绩效目标与计划期内的任务量、预算安排的资金量匹配情况，绩效目标设置是否科学合理、规范完整、量化细化、预算匹配</w:t>
            </w:r>
          </w:p>
        </w:tc>
        <w:tc>
          <w:tcPr>
            <w:tcW w:w="7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r>
              <w:rPr>
                <w:rFonts w:eastAsia="仿宋_GB2312" w:cs="仿宋_GB2312" w:hint="eastAsia"/>
                <w:sz w:val="32"/>
                <w:szCs w:val="32"/>
                <w:lang w:val="en-US" w:eastAsia="zh-CN"/>
              </w:rPr>
              <w:t>3.7</w:t>
            </w:r>
          </w:p>
        </w:tc>
        <w:tc>
          <w:tcPr>
            <w:tcW w:w="4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lang w:val="en-US" w:eastAsia="zh-CN"/>
              </w:rPr>
            </w:pPr>
          </w:p>
        </w:tc>
      </w:tr>
      <w:tr>
        <w:trPr>
          <w:trHeight w:val="525"/>
        </w:trPr>
        <w:tc>
          <w:tcPr>
            <w:tcW w:w="99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454" w:type="dxa"/>
            <w:vMerge/>
            <w:tcBorders>
              <w:top w:val="single" w:sz="4" w:space="0" w:color="000000"/>
              <w:left w:val="single" w:sz="4" w:space="0" w:color="000000"/>
              <w:bottom w:val="nil"/>
              <w:right w:val="single" w:sz="4" w:space="0" w:color="000000"/>
            </w:tcBorders>
            <w:shd w:val="clear" w:color="auto" w:fill="auto"/>
            <w:noWrap/>
            <w:vAlign w:val="center"/>
          </w:tcPr>
          <w:p/>
        </w:tc>
        <w:tc>
          <w:tcPr>
            <w:tcW w:w="16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项目入库</w:t>
            </w:r>
          </w:p>
        </w:tc>
        <w:tc>
          <w:tcPr>
            <w:tcW w:w="12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4</w:t>
            </w:r>
          </w:p>
        </w:tc>
        <w:tc>
          <w:tcPr>
            <w:tcW w:w="41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部门预算项目是否在规定时间完成项目入库</w:t>
            </w:r>
          </w:p>
        </w:tc>
        <w:tc>
          <w:tcPr>
            <w:tcW w:w="7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r>
              <w:rPr>
                <w:rFonts w:eastAsia="仿宋_GB2312" w:cs="仿宋_GB2312" w:hint="eastAsia"/>
                <w:sz w:val="32"/>
                <w:szCs w:val="32"/>
                <w:lang w:val="en-US" w:eastAsia="zh-CN"/>
              </w:rPr>
              <w:t>3.2</w:t>
            </w:r>
          </w:p>
        </w:tc>
        <w:tc>
          <w:tcPr>
            <w:tcW w:w="4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lang w:val="en-US" w:eastAsia="zh-CN"/>
              </w:rPr>
            </w:pPr>
          </w:p>
        </w:tc>
      </w:tr>
      <w:tr>
        <w:trPr>
          <w:trHeight w:val="525"/>
        </w:trPr>
        <w:tc>
          <w:tcPr>
            <w:tcW w:w="99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454" w:type="dxa"/>
            <w:vMerge w:val="restart"/>
            <w:tcBorders>
              <w:top w:val="single" w:sz="4" w:space="0" w:color="000000"/>
              <w:left w:val="single" w:sz="4" w:space="0" w:color="000000"/>
              <w:bottom w:val="nil"/>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b/>
                <w:sz w:val="32"/>
                <w:szCs w:val="32"/>
              </w:rPr>
            </w:pPr>
            <w:r>
              <w:rPr>
                <w:rFonts w:eastAsia="仿宋_GB2312" w:cs="仿宋_GB2312" w:hint="eastAsia"/>
                <w:b/>
                <w:sz w:val="32"/>
                <w:szCs w:val="32"/>
                <w:lang w:val="en-US" w:eastAsia="zh-CN"/>
              </w:rPr>
              <w:t>项目执行</w:t>
              <w:br/>
              <w:t>（12分）</w:t>
            </w:r>
          </w:p>
        </w:tc>
        <w:tc>
          <w:tcPr>
            <w:tcW w:w="16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执行同向</w:t>
            </w:r>
          </w:p>
        </w:tc>
        <w:tc>
          <w:tcPr>
            <w:tcW w:w="12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4</w:t>
            </w:r>
          </w:p>
        </w:tc>
        <w:tc>
          <w:tcPr>
            <w:tcW w:w="41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部门预算项目实际列支内容是否与绩效目标设置方向相符</w:t>
            </w:r>
          </w:p>
        </w:tc>
        <w:tc>
          <w:tcPr>
            <w:tcW w:w="7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r>
              <w:rPr>
                <w:rFonts w:eastAsia="仿宋_GB2312" w:cs="仿宋_GB2312" w:hint="eastAsia"/>
                <w:sz w:val="32"/>
                <w:szCs w:val="32"/>
                <w:lang w:val="en-US" w:eastAsia="zh-CN"/>
              </w:rPr>
              <w:t>4</w:t>
            </w:r>
          </w:p>
        </w:tc>
        <w:tc>
          <w:tcPr>
            <w:tcW w:w="4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lang w:val="en-US" w:eastAsia="zh-CN"/>
              </w:rPr>
            </w:pPr>
          </w:p>
        </w:tc>
      </w:tr>
      <w:tr>
        <w:trPr>
          <w:trHeight w:val="268"/>
        </w:trPr>
        <w:tc>
          <w:tcPr>
            <w:tcW w:w="99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454" w:type="dxa"/>
            <w:vMerge/>
            <w:tcBorders>
              <w:top w:val="single" w:sz="4" w:space="0" w:color="000000"/>
              <w:left w:val="single" w:sz="4" w:space="0" w:color="000000"/>
              <w:bottom w:val="nil"/>
              <w:right w:val="single" w:sz="4" w:space="0" w:color="000000"/>
            </w:tcBorders>
            <w:shd w:val="clear" w:color="auto" w:fill="auto"/>
            <w:noWrap/>
            <w:vAlign w:val="center"/>
          </w:tcPr>
          <w:p/>
        </w:tc>
        <w:tc>
          <w:tcPr>
            <w:tcW w:w="1655" w:type="dxa"/>
            <w:tcBorders>
              <w:top w:val="single" w:sz="4" w:space="0" w:color="000000"/>
              <w:left w:val="single" w:sz="4" w:space="0" w:color="000000"/>
              <w:bottom w:val="nil"/>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项目调整</w:t>
            </w:r>
          </w:p>
        </w:tc>
        <w:tc>
          <w:tcPr>
            <w:tcW w:w="12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4</w:t>
            </w:r>
          </w:p>
        </w:tc>
        <w:tc>
          <w:tcPr>
            <w:tcW w:w="41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部门预算项目是否采取对应调整措施</w:t>
            </w:r>
          </w:p>
        </w:tc>
        <w:tc>
          <w:tcPr>
            <w:tcW w:w="7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r>
              <w:rPr>
                <w:rFonts w:eastAsia="仿宋_GB2312" w:cs="仿宋_GB2312" w:hint="eastAsia"/>
                <w:sz w:val="32"/>
                <w:szCs w:val="32"/>
                <w:lang w:val="en-US" w:eastAsia="zh-CN"/>
              </w:rPr>
              <w:t>3.5</w:t>
            </w:r>
          </w:p>
        </w:tc>
        <w:tc>
          <w:tcPr>
            <w:tcW w:w="4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lang w:val="en-US" w:eastAsia="zh-CN"/>
              </w:rPr>
            </w:pPr>
          </w:p>
        </w:tc>
      </w:tr>
      <w:tr>
        <w:trPr>
          <w:trHeight w:val="268"/>
        </w:trPr>
        <w:tc>
          <w:tcPr>
            <w:tcW w:w="99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454" w:type="dxa"/>
            <w:vMerge/>
            <w:tcBorders>
              <w:top w:val="single" w:sz="4" w:space="0" w:color="000000"/>
              <w:left w:val="single" w:sz="4" w:space="0" w:color="000000"/>
              <w:bottom w:val="nil"/>
              <w:right w:val="single" w:sz="4" w:space="0" w:color="000000"/>
            </w:tcBorders>
            <w:shd w:val="clear" w:color="auto" w:fill="auto"/>
            <w:noWrap/>
            <w:vAlign w:val="center"/>
          </w:tcPr>
          <w:p/>
        </w:tc>
        <w:tc>
          <w:tcPr>
            <w:tcW w:w="16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执行结果</w:t>
            </w:r>
          </w:p>
        </w:tc>
        <w:tc>
          <w:tcPr>
            <w:tcW w:w="12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4</w:t>
            </w:r>
          </w:p>
        </w:tc>
        <w:tc>
          <w:tcPr>
            <w:tcW w:w="41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部门预算项目预算执行情况</w:t>
            </w:r>
          </w:p>
        </w:tc>
        <w:tc>
          <w:tcPr>
            <w:tcW w:w="7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r>
              <w:rPr>
                <w:rFonts w:eastAsia="仿宋_GB2312" w:cs="仿宋_GB2312" w:hint="eastAsia"/>
                <w:sz w:val="32"/>
                <w:szCs w:val="32"/>
                <w:lang w:val="en-US" w:eastAsia="zh-CN"/>
              </w:rPr>
              <w:t>4</w:t>
            </w:r>
          </w:p>
        </w:tc>
        <w:tc>
          <w:tcPr>
            <w:tcW w:w="4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lang w:val="en-US" w:eastAsia="zh-CN"/>
              </w:rPr>
            </w:pPr>
          </w:p>
        </w:tc>
      </w:tr>
      <w:tr>
        <w:trPr>
          <w:trHeight w:val="268"/>
        </w:trPr>
        <w:tc>
          <w:tcPr>
            <w:tcW w:w="99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454"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b/>
                <w:sz w:val="32"/>
                <w:szCs w:val="32"/>
              </w:rPr>
            </w:pPr>
            <w:r>
              <w:rPr>
                <w:rFonts w:eastAsia="仿宋_GB2312" w:cs="仿宋_GB2312" w:hint="eastAsia"/>
                <w:b/>
                <w:sz w:val="32"/>
                <w:szCs w:val="32"/>
                <w:lang w:val="en-US" w:eastAsia="zh-CN"/>
              </w:rPr>
              <w:t>目标实现</w:t>
              <w:br/>
              <w:t>（11分）</w:t>
            </w:r>
          </w:p>
        </w:tc>
        <w:tc>
          <w:tcPr>
            <w:tcW w:w="16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目标完成</w:t>
            </w:r>
          </w:p>
        </w:tc>
        <w:tc>
          <w:tcPr>
            <w:tcW w:w="12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4</w:t>
            </w:r>
          </w:p>
        </w:tc>
        <w:tc>
          <w:tcPr>
            <w:tcW w:w="41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部门预算项目绩效目标数量指标完成情况</w:t>
            </w:r>
          </w:p>
        </w:tc>
        <w:tc>
          <w:tcPr>
            <w:tcW w:w="7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r>
              <w:rPr>
                <w:rFonts w:eastAsia="仿宋_GB2312" w:cs="仿宋_GB2312" w:hint="eastAsia"/>
                <w:sz w:val="32"/>
                <w:szCs w:val="32"/>
                <w:lang w:val="en-US" w:eastAsia="zh-CN"/>
              </w:rPr>
              <w:t>3.1</w:t>
            </w:r>
          </w:p>
        </w:tc>
        <w:tc>
          <w:tcPr>
            <w:tcW w:w="4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lang w:val="en-US" w:eastAsia="zh-CN"/>
              </w:rPr>
            </w:pPr>
          </w:p>
        </w:tc>
      </w:tr>
      <w:tr>
        <w:trPr>
          <w:trHeight w:val="525"/>
        </w:trPr>
        <w:tc>
          <w:tcPr>
            <w:tcW w:w="99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45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6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目标偏离</w:t>
            </w:r>
          </w:p>
        </w:tc>
        <w:tc>
          <w:tcPr>
            <w:tcW w:w="12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4</w:t>
            </w:r>
          </w:p>
        </w:tc>
        <w:tc>
          <w:tcPr>
            <w:tcW w:w="41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部门预算项目绩效目标数量指标实现程度与预期目标的偏离情况</w:t>
            </w:r>
          </w:p>
        </w:tc>
        <w:tc>
          <w:tcPr>
            <w:tcW w:w="7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r>
              <w:rPr>
                <w:rFonts w:eastAsia="仿宋_GB2312" w:cs="仿宋_GB2312" w:hint="eastAsia"/>
                <w:sz w:val="32"/>
                <w:szCs w:val="32"/>
                <w:lang w:val="en-US" w:eastAsia="zh-CN"/>
              </w:rPr>
              <w:t>4</w:t>
            </w:r>
          </w:p>
        </w:tc>
        <w:tc>
          <w:tcPr>
            <w:tcW w:w="4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lang w:val="en-US" w:eastAsia="zh-CN"/>
              </w:rPr>
            </w:pPr>
          </w:p>
        </w:tc>
      </w:tr>
      <w:tr>
        <w:trPr>
          <w:trHeight w:val="268"/>
        </w:trPr>
        <w:tc>
          <w:tcPr>
            <w:tcW w:w="99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45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6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实现效果</w:t>
            </w:r>
          </w:p>
        </w:tc>
        <w:tc>
          <w:tcPr>
            <w:tcW w:w="12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3</w:t>
            </w:r>
          </w:p>
        </w:tc>
        <w:tc>
          <w:tcPr>
            <w:tcW w:w="41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部门预算项目绩效目标效益指标实施效果</w:t>
            </w:r>
          </w:p>
        </w:tc>
        <w:tc>
          <w:tcPr>
            <w:tcW w:w="7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r>
              <w:rPr>
                <w:rFonts w:eastAsia="仿宋_GB2312" w:cs="仿宋_GB2312" w:hint="eastAsia"/>
                <w:sz w:val="32"/>
                <w:szCs w:val="32"/>
                <w:lang w:val="en-US" w:eastAsia="zh-CN"/>
              </w:rPr>
              <w:t>3</w:t>
            </w:r>
          </w:p>
        </w:tc>
        <w:tc>
          <w:tcPr>
            <w:tcW w:w="4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lang w:val="en-US" w:eastAsia="zh-CN"/>
              </w:rPr>
            </w:pPr>
          </w:p>
        </w:tc>
      </w:tr>
      <w:tr>
        <w:trPr>
          <w:trHeight w:val="794"/>
        </w:trPr>
        <w:tc>
          <w:tcPr>
            <w:tcW w:w="99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b/>
                <w:sz w:val="32"/>
                <w:szCs w:val="32"/>
              </w:rPr>
            </w:pPr>
            <w:r>
              <w:rPr>
                <w:rFonts w:eastAsia="仿宋_GB2312" w:cs="仿宋_GB2312" w:hint="eastAsia"/>
                <w:b/>
                <w:sz w:val="32"/>
                <w:szCs w:val="32"/>
                <w:lang w:val="en-US" w:eastAsia="zh-CN"/>
              </w:rPr>
              <w:t>扣分项</w:t>
              <w:br/>
              <w:t>（10分）</w:t>
            </w:r>
          </w:p>
        </w:tc>
        <w:tc>
          <w:tcPr>
            <w:tcW w:w="3109"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被评价部门配合度</w:t>
            </w:r>
          </w:p>
        </w:tc>
        <w:tc>
          <w:tcPr>
            <w:tcW w:w="12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w:t>
            </w:r>
          </w:p>
        </w:tc>
        <w:tc>
          <w:tcPr>
            <w:tcW w:w="41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rPr>
            </w:pPr>
            <w:r>
              <w:rPr>
                <w:rFonts w:eastAsia="仿宋_GB2312" w:cs="仿宋_GB2312" w:hint="eastAsia"/>
                <w:sz w:val="32"/>
                <w:szCs w:val="32"/>
                <w:lang w:val="en-US" w:eastAsia="zh-CN"/>
              </w:rPr>
              <w:t>被评价对象工作配合情况</w:t>
            </w:r>
          </w:p>
        </w:tc>
        <w:tc>
          <w:tcPr>
            <w:tcW w:w="7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lang w:val="en-US" w:eastAsia="zh-CN"/>
              </w:rPr>
            </w:pPr>
          </w:p>
        </w:tc>
        <w:tc>
          <w:tcPr>
            <w:tcW w:w="4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lang w:val="en-US" w:eastAsia="zh-CN"/>
              </w:rPr>
            </w:pPr>
          </w:p>
        </w:tc>
      </w:tr>
    </w:tbl>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p>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p>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p>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p>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p>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p>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p>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p>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p>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p>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p>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p>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p>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p>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p>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p>
    <w:p>
      <w:pPr>
        <w:keepNext/>
        <w:keepLines/>
        <w:pageBreakBefore w:val="0"/>
        <w:widowControl w:val="0"/>
        <w:kinsoku/>
        <w:wordWrap/>
        <w:overflowPunct/>
        <w:topLinePunct w:val="0"/>
        <w:autoSpaceDE/>
        <w:autoSpaceDN/>
        <w:bidi w:val="0"/>
        <w:adjustRightInd/>
        <w:snapToGrid/>
        <w:spacing w:before="0" w:after="0" w:line="600" w:lineRule="exact"/>
        <w:outlineLvl w:val="9"/>
        <w:rPr>
          <w:rFonts w:eastAsia="仿宋_GB2312" w:cs="仿宋_GB2312"/>
          <w:sz w:val="32"/>
          <w:szCs w:val="32"/>
          <w:lang w:val="en-US" w:eastAsia="zh-CN"/>
        </w:rPr>
      </w:pPr>
    </w:p>
    <w:p>
      <w:pPr>
        <w:spacing w:line="600" w:lineRule="exact"/>
        <w:jc w:val="center"/>
        <w:rPr>
          <w:rFonts w:eastAsia="仿宋_GB2312" w:cs="仿宋_GB2312"/>
          <w:sz w:val="32"/>
          <w:szCs w:val="32"/>
          <w:lang w:val="en-US" w:eastAsia="zh-CN" w:bidi="ar-SA"/>
          <w:highlight w:val="auto"/>
        </w:rPr>
      </w:pPr>
    </w:p>
    <w:p>
      <w:pPr>
        <w:keepNext w:val="0"/>
        <w:keepLines w:val="0"/>
        <w:pageBreakBefore w:val="0"/>
        <w:widowControl w:val="0"/>
        <w:kinsoku/>
        <w:wordWrap/>
        <w:overflowPunct/>
        <w:topLinePunct w:val="0"/>
        <w:autoSpaceDE/>
        <w:autoSpaceDN/>
        <w:bidi w:val="0"/>
        <w:spacing w:line="600" w:lineRule="exact"/>
        <w:jc w:val="left"/>
        <w:rPr>
          <w:rFonts w:eastAsia="仿宋_GB2312" w:cs="仿宋_GB2312"/>
          <w:sz w:val="32"/>
          <w:szCs w:val="32"/>
          <w:lang w:val="en-US" w:eastAsia="zh-CN" w:bidi="ar-SA"/>
          <w:highlight w:val="auto"/>
        </w:rPr>
      </w:pPr>
      <w:r>
        <w:rPr>
          <w:rFonts w:eastAsia="仿宋_GB2312" w:cs="仿宋_GB2312"/>
          <w:sz w:val="32"/>
          <w:szCs w:val="32"/>
          <w:lang w:val="en-US" w:eastAsia="zh-CN" w:bidi="ar-SA"/>
          <w:highlight w:val="auto"/>
        </w:rPr>
        <w:t>附表</w:t>
      </w:r>
      <w:r>
        <w:rPr>
          <w:rFonts w:eastAsia="仿宋_GB2312" w:cs="仿宋_GB2312" w:hint="eastAsia"/>
          <w:sz w:val="32"/>
          <w:szCs w:val="32"/>
          <w:lang w:val="en-US" w:eastAsia="zh-CN" w:bidi="ar-SA"/>
          <w:highlight w:val="auto"/>
        </w:rPr>
        <w:t>2</w:t>
      </w:r>
    </w:p>
    <w:tbl>
      <w:tblPr>
        <w:jc w:val="center"/>
        <w:tblW w:w="10560" w:type="dxa"/>
        <w:tblBorders>
          <w:top w:val="none" w:sz="0" w:space="0" w:color="auto"/>
          <w:left w:val="none" w:sz="0" w:space="0" w:color="auto"/>
          <w:bottom w:val="none" w:sz="0" w:space="0" w:color="auto"/>
          <w:right w:val="none" w:sz="0" w:space="0" w:color="auto"/>
        </w:tblBorders>
        <w:shd w:val="clear" w:color="auto" w:fill="auto"/>
        <w:tblLayout w:type="fixed"/>
        <w:tblCellMar>
          <w:top w:w="15" w:type="dxa"/>
          <w:left w:w="15" w:type="dxa"/>
          <w:bottom w:w="15" w:type="dxa"/>
          <w:right w:w="15" w:type="dxa"/>
        </w:tblCellMar>
      </w:tblPr>
      <w:tblGrid>
        <w:gridCol w:w="1309"/>
        <w:gridCol w:w="1347"/>
        <w:gridCol w:w="1273"/>
        <w:gridCol w:w="1100"/>
        <w:gridCol w:w="1144"/>
        <w:gridCol w:w="1"/>
        <w:gridCol w:w="1289"/>
        <w:gridCol w:w="1058"/>
        <w:gridCol w:w="926"/>
        <w:gridCol w:w="1113"/>
      </w:tblGrid>
      <w:tr>
        <w:trPr>
          <w:trHeight w:hRule="exact" w:val="762"/>
        </w:trPr>
        <w:tc>
          <w:tcPr>
            <w:tcW w:w="10560" w:type="dxa"/>
            <w:gridSpan w:val="10"/>
            <w:tcBorders>
              <w:top w:val="nil"/>
              <w:left w:val="nil"/>
              <w:bottom w:val="nil"/>
              <w:right w:val="nil"/>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rPr>
            </w:pPr>
            <w:r>
              <w:rPr>
                <w:rFonts w:eastAsia="仿宋_GB2312" w:cs="仿宋_GB2312"/>
                <w:sz w:val="32"/>
                <w:szCs w:val="32"/>
                <w:lang w:val="en-US" w:eastAsia="zh-CN"/>
              </w:rPr>
              <w:t>部门整体绩效目标完成情况自评表</w:t>
            </w:r>
          </w:p>
        </w:tc>
      </w:tr>
      <w:tr>
        <w:trPr>
          <w:trHeight w:val="23"/>
        </w:trPr>
        <w:tc>
          <w:tcPr>
            <w:tcW w:w="10560" w:type="dxa"/>
            <w:gridSpan w:val="10"/>
            <w:tcBorders>
              <w:top w:val="nil"/>
              <w:left w:val="nil"/>
              <w:bottom w:val="nil"/>
              <w:right w:val="nil"/>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right"/>
              <w:rPr>
                <w:rFonts w:eastAsia="仿宋_GB2312" w:cs="仿宋_GB2312"/>
                <w:sz w:val="32"/>
                <w:szCs w:val="32"/>
              </w:rPr>
            </w:pPr>
            <w:r>
              <w:rPr>
                <w:rFonts w:eastAsia="仿宋_GB2312" w:cs="仿宋_GB2312"/>
                <w:sz w:val="32"/>
                <w:szCs w:val="32"/>
                <w:lang w:val="en-US" w:eastAsia="zh-CN"/>
              </w:rPr>
              <w:t>（202</w:t>
            </w:r>
            <w:r>
              <w:rPr>
                <w:rFonts w:eastAsia="仿宋_GB2312" w:cs="仿宋_GB2312" w:hint="eastAsia"/>
                <w:sz w:val="32"/>
                <w:szCs w:val="32"/>
                <w:lang w:val="en-US" w:eastAsia="zh-CN"/>
              </w:rPr>
              <w:t>4</w:t>
            </w:r>
            <w:r>
              <w:rPr>
                <w:rFonts w:eastAsia="仿宋_GB2312" w:cs="仿宋_GB2312"/>
                <w:sz w:val="32"/>
                <w:szCs w:val="32"/>
                <w:lang w:val="en-US" w:eastAsia="zh-CN"/>
              </w:rPr>
              <w:t>年度）</w:t>
            </w:r>
          </w:p>
        </w:tc>
      </w:tr>
      <w:tr>
        <w:trPr>
          <w:trHeight w:val="23"/>
        </w:trPr>
        <w:tc>
          <w:tcPr>
            <w:tcW w:w="10560" w:type="dxa"/>
            <w:gridSpan w:val="10"/>
            <w:tcBorders>
              <w:top w:val="nil"/>
              <w:left w:val="nil"/>
              <w:bottom w:val="single" w:sz="4" w:space="0" w:color="000000"/>
              <w:right w:val="nil"/>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right"/>
              <w:rPr>
                <w:rFonts w:eastAsia="仿宋_GB2312" w:cs="仿宋_GB2312"/>
                <w:sz w:val="32"/>
                <w:szCs w:val="32"/>
              </w:rPr>
            </w:pPr>
            <w:r>
              <w:rPr>
                <w:rFonts w:eastAsia="仿宋_GB2312" w:cs="仿宋_GB2312"/>
                <w:sz w:val="32"/>
                <w:szCs w:val="32"/>
                <w:lang w:val="en-US" w:eastAsia="zh-CN"/>
              </w:rPr>
              <w:t>单位：万元</w:t>
            </w:r>
          </w:p>
        </w:tc>
      </w:tr>
      <w:tr>
        <w:trPr>
          <w:trHeight w:val="23"/>
        </w:trPr>
        <w:tc>
          <w:tcPr>
            <w:tcW w:w="3929"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rPr>
            </w:pPr>
            <w:r>
              <w:rPr>
                <w:rFonts w:eastAsia="仿宋_GB2312" w:cs="仿宋_GB2312"/>
                <w:sz w:val="32"/>
                <w:szCs w:val="32"/>
                <w:lang w:val="en-US" w:eastAsia="zh-CN"/>
              </w:rPr>
              <w:t>部门名称</w:t>
            </w:r>
          </w:p>
        </w:tc>
        <w:tc>
          <w:tcPr>
            <w:tcW w:w="6631" w:type="dxa"/>
            <w:gridSpan w:val="7"/>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lang w:val="en-US" w:eastAsia="zh-CN"/>
              </w:rPr>
            </w:pPr>
            <w:r>
              <w:rPr>
                <w:rFonts w:eastAsia="仿宋_GB2312" w:cs="仿宋_GB2312" w:hint="eastAsia"/>
                <w:sz w:val="32"/>
                <w:szCs w:val="32"/>
                <w:lang w:val="en-US" w:eastAsia="zh-CN"/>
              </w:rPr>
              <w:t>四川省阿坝州民族高级中学</w:t>
            </w:r>
          </w:p>
        </w:tc>
      </w:tr>
      <w:tr>
        <w:trPr>
          <w:trHeight w:val="23"/>
        </w:trPr>
        <w:tc>
          <w:tcPr>
            <w:tcW w:w="1309"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rPr>
            </w:pPr>
            <w:r>
              <w:rPr>
                <w:rFonts w:eastAsia="仿宋_GB2312" w:cs="仿宋_GB2312"/>
                <w:sz w:val="32"/>
                <w:szCs w:val="32"/>
                <w:lang w:val="en-US" w:eastAsia="zh-CN"/>
              </w:rPr>
              <w:t>年度部门整体支出预算</w:t>
            </w:r>
          </w:p>
        </w:tc>
        <w:tc>
          <w:tcPr>
            <w:tcW w:w="262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rPr>
            </w:pPr>
            <w:r>
              <w:rPr>
                <w:rFonts w:eastAsia="仿宋_GB2312" w:cs="仿宋_GB2312"/>
                <w:sz w:val="32"/>
                <w:szCs w:val="32"/>
                <w:lang w:val="en-US" w:eastAsia="zh-CN"/>
              </w:rPr>
              <w:t>资金总额</w:t>
            </w:r>
          </w:p>
        </w:tc>
        <w:tc>
          <w:tcPr>
            <w:tcW w:w="224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rPr>
            </w:pPr>
            <w:r>
              <w:rPr>
                <w:rFonts w:eastAsia="仿宋_GB2312" w:cs="仿宋_GB2312"/>
                <w:sz w:val="32"/>
                <w:szCs w:val="32"/>
                <w:lang w:val="en-US" w:eastAsia="zh-CN"/>
              </w:rPr>
              <w:t>财政拨款</w:t>
            </w:r>
          </w:p>
        </w:tc>
        <w:tc>
          <w:tcPr>
            <w:tcW w:w="4387" w:type="dxa"/>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rPr>
            </w:pPr>
            <w:r>
              <w:rPr>
                <w:rFonts w:eastAsia="仿宋_GB2312" w:cs="仿宋_GB2312"/>
                <w:sz w:val="32"/>
                <w:szCs w:val="32"/>
                <w:lang w:val="en-US" w:eastAsia="zh-CN"/>
              </w:rPr>
              <w:t>其他资金</w:t>
            </w:r>
          </w:p>
        </w:tc>
      </w:tr>
      <w:tr>
        <w:trPr>
          <w:trHeight w:val="23"/>
        </w:trPr>
        <w:tc>
          <w:tcPr>
            <w:tcW w:w="130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62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r>
              <w:rPr>
                <w:rFonts w:eastAsia="仿宋_GB2312" w:cs="仿宋_GB2312" w:hint="eastAsia"/>
                <w:sz w:val="32"/>
                <w:szCs w:val="32"/>
                <w:lang w:val="en-US" w:eastAsia="zh-CN"/>
              </w:rPr>
              <w:t>4946.68</w:t>
            </w:r>
          </w:p>
        </w:tc>
        <w:tc>
          <w:tcPr>
            <w:tcW w:w="224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lang w:val="en-US"/>
              </w:rPr>
            </w:pPr>
            <w:r>
              <w:rPr>
                <w:rFonts w:eastAsia="仿宋_GB2312" w:cs="仿宋_GB2312" w:hint="eastAsia"/>
                <w:sz w:val="32"/>
                <w:szCs w:val="32"/>
                <w:lang w:val="en-US" w:eastAsia="zh-CN"/>
              </w:rPr>
              <w:t>4946.68</w:t>
            </w:r>
          </w:p>
        </w:tc>
        <w:tc>
          <w:tcPr>
            <w:tcW w:w="4387" w:type="dxa"/>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rPr>
            </w:pPr>
            <w:r>
              <w:rPr>
                <w:rFonts w:eastAsia="仿宋_GB2312" w:cs="仿宋_GB2312"/>
                <w:sz w:val="32"/>
                <w:szCs w:val="32"/>
                <w:lang w:val="en-US" w:eastAsia="zh-CN"/>
              </w:rPr>
              <w:t>0</w:t>
            </w:r>
          </w:p>
        </w:tc>
      </w:tr>
      <w:tr>
        <w:trPr>
          <w:trHeight w:val="23"/>
        </w:trPr>
        <w:tc>
          <w:tcPr>
            <w:tcW w:w="13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r>
              <w:rPr>
                <w:rFonts w:eastAsia="仿宋_GB2312" w:cs="仿宋_GB2312"/>
                <w:sz w:val="32"/>
                <w:szCs w:val="32"/>
                <w:lang w:val="en-US" w:eastAsia="zh-CN"/>
              </w:rPr>
              <w:t>年度总体</w:t>
            </w:r>
          </w:p>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rPr>
            </w:pPr>
            <w:r>
              <w:rPr>
                <w:rFonts w:eastAsia="仿宋_GB2312" w:cs="仿宋_GB2312"/>
                <w:sz w:val="32"/>
                <w:szCs w:val="32"/>
                <w:lang w:val="en-US" w:eastAsia="zh-CN"/>
              </w:rPr>
              <w:t>目标</w:t>
            </w:r>
          </w:p>
        </w:tc>
        <w:tc>
          <w:tcPr>
            <w:tcW w:w="9251" w:type="dxa"/>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rPr>
            </w:pPr>
            <w:r>
              <w:rPr>
                <w:rFonts w:eastAsia="仿宋_GB2312" w:cs="仿宋_GB2312"/>
                <w:sz w:val="32"/>
                <w:szCs w:val="32"/>
                <w:lang w:val="en-US" w:eastAsia="zh-CN"/>
              </w:rPr>
              <w:t>本年度致力于提升教育教学质量与师资水平，促进学生全面且个性化发展，优化智慧管理与服务体系，深化家校社协同育人，打造特色教育品牌，实现学校整体办学水平与社会影响力的全面提升。</w:t>
            </w:r>
          </w:p>
        </w:tc>
      </w:tr>
      <w:tr>
        <w:trPr>
          <w:trHeight w:val="23"/>
        </w:trPr>
        <w:tc>
          <w:tcPr>
            <w:tcW w:w="1309"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r>
              <w:rPr>
                <w:rFonts w:eastAsia="仿宋_GB2312" w:cs="仿宋_GB2312"/>
                <w:sz w:val="32"/>
                <w:szCs w:val="32"/>
                <w:lang w:val="en-US" w:eastAsia="zh-CN"/>
              </w:rPr>
              <w:t>年度主要</w:t>
            </w:r>
          </w:p>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rPr>
            </w:pPr>
            <w:r>
              <w:rPr>
                <w:rFonts w:eastAsia="仿宋_GB2312" w:cs="仿宋_GB2312"/>
                <w:sz w:val="32"/>
                <w:szCs w:val="32"/>
                <w:lang w:val="en-US" w:eastAsia="zh-CN"/>
              </w:rPr>
              <w:t>任务</w:t>
            </w:r>
          </w:p>
        </w:tc>
        <w:tc>
          <w:tcPr>
            <w:tcW w:w="262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rPr>
            </w:pPr>
            <w:r>
              <w:rPr>
                <w:rFonts w:eastAsia="仿宋_GB2312" w:cs="仿宋_GB2312"/>
                <w:sz w:val="32"/>
                <w:szCs w:val="32"/>
                <w:lang w:val="en-US" w:eastAsia="zh-CN"/>
              </w:rPr>
              <w:t>任务名称</w:t>
            </w:r>
          </w:p>
        </w:tc>
        <w:tc>
          <w:tcPr>
            <w:tcW w:w="6631" w:type="dxa"/>
            <w:gridSpan w:val="7"/>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rPr>
            </w:pPr>
            <w:r>
              <w:rPr>
                <w:rFonts w:eastAsia="仿宋_GB2312" w:cs="仿宋_GB2312"/>
                <w:sz w:val="32"/>
                <w:szCs w:val="32"/>
                <w:lang w:val="en-US" w:eastAsia="zh-CN"/>
              </w:rPr>
              <w:t>主要内容</w:t>
            </w:r>
          </w:p>
        </w:tc>
      </w:tr>
      <w:tr>
        <w:trPr>
          <w:trHeight w:val="23"/>
        </w:trPr>
        <w:tc>
          <w:tcPr>
            <w:tcW w:w="130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62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lang w:eastAsia="zh-CN"/>
              </w:rPr>
            </w:pPr>
            <w:r>
              <w:rPr>
                <w:rFonts w:eastAsia="仿宋_GB2312" w:cs="仿宋_GB2312" w:hint="eastAsia"/>
                <w:sz w:val="32"/>
                <w:szCs w:val="32"/>
                <w:lang w:eastAsia="zh-CN"/>
              </w:rPr>
              <w:t>保障学校正常运转</w:t>
            </w:r>
          </w:p>
        </w:tc>
        <w:tc>
          <w:tcPr>
            <w:tcW w:w="6631" w:type="dxa"/>
            <w:gridSpan w:val="7"/>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lang w:eastAsia="zh-CN"/>
              </w:rPr>
            </w:pPr>
            <w:r>
              <w:rPr>
                <w:rFonts w:eastAsia="仿宋_GB2312" w:cs="仿宋_GB2312" w:hint="eastAsia"/>
                <w:sz w:val="32"/>
                <w:szCs w:val="32"/>
                <w:lang w:eastAsia="zh-CN"/>
              </w:rPr>
              <w:t>职工工资及保险等足额按时发放缴纳，校园绿化维修维护，为正常教学事务提供必要物质基础</w:t>
            </w:r>
          </w:p>
        </w:tc>
      </w:tr>
      <w:tr>
        <w:trPr>
          <w:trHeight w:val="23"/>
        </w:trPr>
        <w:tc>
          <w:tcPr>
            <w:tcW w:w="130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62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600" w:lineRule="exact"/>
              <w:jc w:val="center"/>
              <w:rPr>
                <w:rFonts w:eastAsia="仿宋_GB2312" w:cs="仿宋_GB2312"/>
                <w:sz w:val="32"/>
                <w:szCs w:val="32"/>
              </w:rPr>
            </w:pPr>
          </w:p>
        </w:tc>
        <w:tc>
          <w:tcPr>
            <w:tcW w:w="6631" w:type="dxa"/>
            <w:gridSpan w:val="7"/>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600" w:lineRule="exact"/>
              <w:jc w:val="center"/>
              <w:rPr>
                <w:rFonts w:eastAsia="仿宋_GB2312" w:cs="仿宋_GB2312"/>
                <w:sz w:val="32"/>
                <w:szCs w:val="32"/>
              </w:rPr>
            </w:pPr>
          </w:p>
        </w:tc>
      </w:tr>
      <w:tr>
        <w:trPr>
          <w:trHeight w:val="23"/>
        </w:trPr>
        <w:tc>
          <w:tcPr>
            <w:tcW w:w="1309" w:type="dxa"/>
            <w:vMerge w:val="restart"/>
            <w:tcBorders>
              <w:top w:val="single" w:sz="4" w:space="0" w:color="000000"/>
              <w:left w:val="single" w:sz="4" w:space="0" w:color="000000"/>
              <w:bottom w:val="nil"/>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r>
              <w:rPr>
                <w:rFonts w:eastAsia="仿宋_GB2312" w:cs="仿宋_GB2312"/>
                <w:sz w:val="32"/>
                <w:szCs w:val="32"/>
                <w:lang w:val="en-US" w:eastAsia="zh-CN"/>
              </w:rPr>
              <w:t>年度绩效</w:t>
            </w:r>
          </w:p>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rPr>
            </w:pPr>
            <w:r>
              <w:rPr>
                <w:rFonts w:eastAsia="仿宋_GB2312" w:cs="仿宋_GB2312"/>
                <w:sz w:val="32"/>
                <w:szCs w:val="32"/>
                <w:lang w:val="en-US" w:eastAsia="zh-CN"/>
              </w:rPr>
              <w:t>指标</w:t>
            </w:r>
          </w:p>
        </w:tc>
        <w:tc>
          <w:tcPr>
            <w:tcW w:w="13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rPr>
            </w:pPr>
            <w:r>
              <w:rPr>
                <w:rFonts w:eastAsia="仿宋_GB2312" w:cs="仿宋_GB2312"/>
                <w:sz w:val="32"/>
                <w:szCs w:val="32"/>
                <w:lang w:val="en-US" w:eastAsia="zh-CN"/>
              </w:rPr>
              <w:t>一级指标</w:t>
            </w:r>
          </w:p>
        </w:tc>
        <w:tc>
          <w:tcPr>
            <w:tcW w:w="12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rPr>
            </w:pPr>
            <w:r>
              <w:rPr>
                <w:rFonts w:eastAsia="仿宋_GB2312" w:cs="仿宋_GB2312"/>
                <w:sz w:val="32"/>
                <w:szCs w:val="32"/>
                <w:lang w:val="en-US" w:eastAsia="zh-CN"/>
              </w:rPr>
              <w:t>二级指标</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rPr>
            </w:pPr>
            <w:r>
              <w:rPr>
                <w:rFonts w:eastAsia="仿宋_GB2312" w:cs="仿宋_GB2312"/>
                <w:sz w:val="32"/>
                <w:szCs w:val="32"/>
                <w:lang w:val="en-US" w:eastAsia="zh-CN"/>
              </w:rPr>
              <w:t>三级指标</w:t>
            </w:r>
          </w:p>
        </w:tc>
        <w:tc>
          <w:tcPr>
            <w:tcW w:w="1145"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r>
              <w:rPr>
                <w:rFonts w:eastAsia="仿宋_GB2312" w:cs="仿宋_GB2312"/>
                <w:sz w:val="32"/>
                <w:szCs w:val="32"/>
                <w:lang w:val="en-US" w:eastAsia="zh-CN"/>
              </w:rPr>
              <w:t>绩效指标</w:t>
            </w:r>
          </w:p>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rPr>
            </w:pPr>
            <w:r>
              <w:rPr>
                <w:rFonts w:eastAsia="仿宋_GB2312" w:cs="仿宋_GB2312"/>
                <w:sz w:val="32"/>
                <w:szCs w:val="32"/>
                <w:lang w:val="en-US" w:eastAsia="zh-CN"/>
              </w:rPr>
              <w:t>性质</w:t>
            </w:r>
          </w:p>
        </w:tc>
        <w:tc>
          <w:tcPr>
            <w:tcW w:w="12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rPr>
            </w:pPr>
            <w:r>
              <w:rPr>
                <w:rFonts w:eastAsia="仿宋_GB2312" w:cs="仿宋_GB2312"/>
                <w:sz w:val="32"/>
                <w:szCs w:val="32"/>
                <w:lang w:val="en-US" w:eastAsia="zh-CN"/>
              </w:rPr>
              <w:t>绩效指标值</w:t>
            </w:r>
          </w:p>
        </w:tc>
        <w:tc>
          <w:tcPr>
            <w:tcW w:w="1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rPr>
            </w:pPr>
            <w:r>
              <w:rPr>
                <w:rFonts w:eastAsia="仿宋_GB2312" w:cs="仿宋_GB2312"/>
                <w:sz w:val="32"/>
                <w:szCs w:val="32"/>
                <w:lang w:val="en-US" w:eastAsia="zh-CN"/>
              </w:rPr>
              <w:t>绩效度量单位</w:t>
            </w:r>
          </w:p>
        </w:tc>
        <w:tc>
          <w:tcPr>
            <w:tcW w:w="926" w:type="dxa"/>
            <w:tcBorders>
              <w:top w:val="single" w:sz="4" w:space="0" w:color="000000"/>
              <w:left w:val="single" w:sz="4" w:space="0" w:color="000000"/>
              <w:bottom w:val="single" w:sz="4" w:space="0" w:color="000000"/>
              <w:right w:val="nil"/>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rPr>
            </w:pPr>
            <w:r>
              <w:rPr>
                <w:rFonts w:eastAsia="仿宋_GB2312" w:cs="仿宋_GB2312"/>
                <w:sz w:val="32"/>
                <w:szCs w:val="32"/>
                <w:lang w:val="en-US" w:eastAsia="zh-CN"/>
              </w:rPr>
              <w:t>权重</w:t>
            </w:r>
          </w:p>
        </w:tc>
        <w:tc>
          <w:tcPr>
            <w:tcW w:w="11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r>
              <w:rPr>
                <w:rFonts w:eastAsia="仿宋_GB2312" w:cs="仿宋_GB2312"/>
                <w:sz w:val="32"/>
                <w:szCs w:val="32"/>
                <w:lang w:val="en-US" w:eastAsia="zh-CN"/>
              </w:rPr>
              <w:t>实际完成</w:t>
            </w:r>
          </w:p>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rPr>
            </w:pPr>
            <w:r>
              <w:rPr>
                <w:rFonts w:eastAsia="仿宋_GB2312" w:cs="仿宋_GB2312"/>
                <w:sz w:val="32"/>
                <w:szCs w:val="32"/>
                <w:lang w:val="en-US" w:eastAsia="zh-CN"/>
              </w:rPr>
              <w:t>指标值</w:t>
            </w:r>
          </w:p>
        </w:tc>
      </w:tr>
      <w:tr>
        <w:trPr>
          <w:trHeight w:val="23"/>
        </w:trPr>
        <w:tc>
          <w:tcPr>
            <w:tcW w:w="1309" w:type="dxa"/>
            <w:vMerge/>
            <w:tcBorders>
              <w:top w:val="nil"/>
              <w:left w:val="single" w:sz="4" w:space="0" w:color="000000"/>
              <w:bottom w:val="nil"/>
              <w:right w:val="single" w:sz="4" w:space="0" w:color="000000"/>
            </w:tcBorders>
            <w:shd w:val="clear" w:color="auto" w:fill="auto"/>
            <w:noWrap/>
            <w:vAlign w:val="center"/>
          </w:tcPr>
          <w:p/>
        </w:tc>
        <w:tc>
          <w:tcPr>
            <w:tcW w:w="13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p>
        </w:tc>
        <w:tc>
          <w:tcPr>
            <w:tcW w:w="12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p>
        </w:tc>
        <w:tc>
          <w:tcPr>
            <w:tcW w:w="1145"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p>
        </w:tc>
        <w:tc>
          <w:tcPr>
            <w:tcW w:w="12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p>
        </w:tc>
        <w:tc>
          <w:tcPr>
            <w:tcW w:w="1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p>
        </w:tc>
        <w:tc>
          <w:tcPr>
            <w:tcW w:w="926" w:type="dxa"/>
            <w:tcBorders>
              <w:top w:val="single" w:sz="4" w:space="0" w:color="000000"/>
              <w:left w:val="single" w:sz="4" w:space="0" w:color="000000"/>
              <w:bottom w:val="single" w:sz="4" w:space="0" w:color="000000"/>
              <w:right w:val="nil"/>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p>
        </w:tc>
        <w:tc>
          <w:tcPr>
            <w:tcW w:w="11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p>
        </w:tc>
      </w:tr>
      <w:tr>
        <w:trPr>
          <w:trHeight w:val="23"/>
        </w:trPr>
        <w:tc>
          <w:tcPr>
            <w:tcW w:w="1309" w:type="dxa"/>
            <w:vMerge/>
            <w:tcBorders>
              <w:top w:val="nil"/>
              <w:left w:val="single" w:sz="4" w:space="0" w:color="000000"/>
              <w:bottom w:val="nil"/>
              <w:right w:val="single" w:sz="4" w:space="0" w:color="000000"/>
            </w:tcBorders>
            <w:shd w:val="clear" w:color="auto" w:fill="auto"/>
            <w:noWrap/>
            <w:vAlign w:val="center"/>
          </w:tcPr>
          <w:p/>
        </w:tc>
        <w:tc>
          <w:tcPr>
            <w:tcW w:w="1347"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rPr>
            </w:pPr>
            <w:r>
              <w:rPr>
                <w:rFonts w:eastAsia="仿宋_GB2312" w:cs="仿宋_GB2312"/>
                <w:sz w:val="32"/>
                <w:szCs w:val="32"/>
                <w:lang w:val="en-US" w:eastAsia="zh-CN"/>
              </w:rPr>
              <w:t>产出指标</w:t>
            </w:r>
          </w:p>
        </w:tc>
        <w:tc>
          <w:tcPr>
            <w:tcW w:w="1273"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rPr>
            </w:pPr>
            <w:r>
              <w:rPr>
                <w:rFonts w:eastAsia="仿宋_GB2312" w:cs="仿宋_GB2312"/>
                <w:sz w:val="32"/>
                <w:szCs w:val="32"/>
                <w:lang w:val="en-US" w:eastAsia="zh-CN"/>
              </w:rPr>
              <w:t>数量指标</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rPr>
            </w:pPr>
            <w:r>
              <w:rPr>
                <w:rFonts w:eastAsia="仿宋_GB2312" w:cs="仿宋_GB2312" w:hint="eastAsia"/>
                <w:sz w:val="32"/>
                <w:szCs w:val="32"/>
                <w:lang w:val="en-US" w:eastAsia="zh-CN"/>
              </w:rPr>
              <w:t>项目完成个数</w:t>
            </w:r>
          </w:p>
        </w:tc>
        <w:tc>
          <w:tcPr>
            <w:tcW w:w="1145"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hint="eastAsia"/>
                <w:sz w:val="32"/>
                <w:szCs w:val="32"/>
                <w:lang w:eastAsia="zh-CN"/>
              </w:rPr>
            </w:pPr>
            <w:r>
              <w:rPr>
                <w:rFonts w:eastAsia="仿宋_GB2312" w:cs="仿宋_GB2312" w:hint="eastAsia"/>
                <w:sz w:val="32"/>
                <w:szCs w:val="32"/>
                <w:lang w:eastAsia="zh-CN"/>
              </w:rPr>
              <w:t>等于</w:t>
            </w:r>
          </w:p>
        </w:tc>
        <w:tc>
          <w:tcPr>
            <w:tcW w:w="12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lang w:val="en-US"/>
              </w:rPr>
            </w:pPr>
            <w:r>
              <w:rPr>
                <w:rFonts w:eastAsia="仿宋_GB2312" w:cs="仿宋_GB2312" w:hint="eastAsia"/>
                <w:sz w:val="32"/>
                <w:szCs w:val="32"/>
                <w:lang w:val="en-US" w:eastAsia="zh-CN"/>
              </w:rPr>
              <w:t>16</w:t>
            </w:r>
          </w:p>
        </w:tc>
        <w:tc>
          <w:tcPr>
            <w:tcW w:w="1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rPr>
            </w:pPr>
            <w:r>
              <w:rPr>
                <w:rFonts w:eastAsia="仿宋_GB2312" w:cs="仿宋_GB2312" w:hint="eastAsia"/>
                <w:sz w:val="32"/>
                <w:szCs w:val="32"/>
                <w:lang w:val="en-US" w:eastAsia="zh-CN"/>
              </w:rPr>
              <w:t>个</w:t>
            </w:r>
          </w:p>
        </w:tc>
        <w:tc>
          <w:tcPr>
            <w:tcW w:w="9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rPr>
            </w:pPr>
            <w:r>
              <w:rPr>
                <w:rFonts w:eastAsia="仿宋_GB2312" w:cs="仿宋_GB2312" w:hint="eastAsia"/>
                <w:sz w:val="32"/>
                <w:szCs w:val="32"/>
                <w:lang w:val="en-US" w:eastAsia="zh-CN"/>
              </w:rPr>
              <w:t>15</w:t>
            </w:r>
          </w:p>
        </w:tc>
        <w:tc>
          <w:tcPr>
            <w:tcW w:w="1113" w:type="dxa"/>
            <w:tcBorders>
              <w:top w:val="nil"/>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lang w:val="en-US"/>
              </w:rPr>
            </w:pPr>
            <w:r>
              <w:rPr>
                <w:rFonts w:eastAsia="仿宋_GB2312" w:cs="仿宋_GB2312" w:hint="eastAsia"/>
                <w:sz w:val="32"/>
                <w:szCs w:val="32"/>
                <w:lang w:val="en-US" w:eastAsia="zh-CN"/>
              </w:rPr>
              <w:t>16</w:t>
            </w:r>
          </w:p>
        </w:tc>
      </w:tr>
      <w:tr>
        <w:trPr>
          <w:trHeight w:val="23"/>
        </w:trPr>
        <w:tc>
          <w:tcPr>
            <w:tcW w:w="1309" w:type="dxa"/>
            <w:vMerge/>
            <w:tcBorders>
              <w:top w:val="nil"/>
              <w:left w:val="single" w:sz="4" w:space="0" w:color="000000"/>
              <w:bottom w:val="nil"/>
              <w:right w:val="single" w:sz="4" w:space="0" w:color="000000"/>
            </w:tcBorders>
            <w:shd w:val="clear" w:color="auto" w:fill="auto"/>
            <w:noWrap/>
            <w:vAlign w:val="center"/>
          </w:tcPr>
          <w:p/>
        </w:tc>
        <w:tc>
          <w:tcPr>
            <w:tcW w:w="134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273"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600" w:lineRule="exact"/>
              <w:jc w:val="left"/>
              <w:rPr>
                <w:rFonts w:eastAsia="仿宋_GB2312" w:cs="仿宋_GB2312" w:hint="eastAsia"/>
                <w:sz w:val="32"/>
                <w:szCs w:val="32"/>
                <w:lang w:eastAsia="zh-CN"/>
              </w:rPr>
            </w:pPr>
            <w:r>
              <w:rPr>
                <w:rFonts w:eastAsia="仿宋_GB2312" w:cs="仿宋_GB2312" w:hint="eastAsia"/>
                <w:sz w:val="32"/>
                <w:szCs w:val="32"/>
                <w:lang w:eastAsia="zh-CN"/>
              </w:rPr>
              <w:t>项目</w:t>
            </w:r>
            <w:r>
              <w:rPr>
                <w:rFonts w:eastAsia="仿宋_GB2312" w:cs="仿宋_GB2312"/>
                <w:sz w:val="32"/>
                <w:szCs w:val="32"/>
                <w:lang w:eastAsia="zh-CN"/>
              </w:rPr>
              <w:t>受</w:t>
            </w:r>
            <w:r>
              <w:rPr>
                <w:rFonts w:eastAsia="仿宋_GB2312" w:cs="仿宋_GB2312" w:hint="eastAsia"/>
                <w:sz w:val="32"/>
                <w:szCs w:val="32"/>
                <w:lang w:eastAsia="zh-CN"/>
              </w:rPr>
              <w:t>益师生覆盖率</w:t>
            </w:r>
          </w:p>
        </w:tc>
        <w:tc>
          <w:tcPr>
            <w:tcW w:w="1145"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600" w:lineRule="exact"/>
              <w:jc w:val="center"/>
              <w:rPr>
                <w:rFonts w:eastAsia="仿宋_GB2312" w:cs="仿宋_GB2312" w:hint="eastAsia"/>
                <w:sz w:val="32"/>
                <w:szCs w:val="32"/>
                <w:lang w:val="en-US" w:eastAsia="zh-CN"/>
              </w:rPr>
            </w:pPr>
            <w:r>
              <w:rPr>
                <w:rFonts w:eastAsia="仿宋_GB2312" w:cs="仿宋_GB2312" w:hint="eastAsia"/>
                <w:sz w:val="32"/>
                <w:szCs w:val="32"/>
              </w:rPr>
              <w:t>≧</w:t>
            </w:r>
          </w:p>
        </w:tc>
        <w:tc>
          <w:tcPr>
            <w:tcW w:w="12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r>
              <w:rPr>
                <w:rFonts w:eastAsia="仿宋_GB2312" w:cs="仿宋_GB2312" w:hint="eastAsia"/>
                <w:sz w:val="32"/>
                <w:szCs w:val="32"/>
                <w:lang w:val="en-US" w:eastAsia="zh-CN"/>
              </w:rPr>
              <w:t>95</w:t>
            </w:r>
          </w:p>
        </w:tc>
        <w:tc>
          <w:tcPr>
            <w:tcW w:w="1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600" w:lineRule="exact"/>
              <w:jc w:val="center"/>
              <w:rPr>
                <w:rFonts w:eastAsia="仿宋_GB2312" w:cs="仿宋_GB2312" w:hint="eastAsia"/>
                <w:sz w:val="32"/>
                <w:szCs w:val="32"/>
                <w:lang w:val="en-US" w:eastAsia="zh-CN"/>
              </w:rPr>
            </w:pPr>
            <w:r>
              <w:rPr>
                <w:rFonts w:eastAsia="仿宋_GB2312" w:cs="仿宋_GB2312" w:hint="eastAsia"/>
                <w:sz w:val="32"/>
                <w:szCs w:val="32"/>
                <w:lang w:val="en-US" w:eastAsia="zh-CN"/>
              </w:rPr>
              <w:t>%</w:t>
            </w:r>
          </w:p>
        </w:tc>
        <w:tc>
          <w:tcPr>
            <w:tcW w:w="9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r>
              <w:rPr>
                <w:rFonts w:eastAsia="仿宋_GB2312" w:cs="仿宋_GB2312" w:hint="eastAsia"/>
                <w:sz w:val="32"/>
                <w:szCs w:val="32"/>
                <w:lang w:val="en-US" w:eastAsia="zh-CN"/>
              </w:rPr>
              <w:t>10</w:t>
            </w:r>
          </w:p>
        </w:tc>
        <w:tc>
          <w:tcPr>
            <w:tcW w:w="11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r>
              <w:rPr>
                <w:rFonts w:eastAsia="仿宋_GB2312" w:cs="仿宋_GB2312" w:hint="eastAsia"/>
                <w:sz w:val="32"/>
                <w:szCs w:val="32"/>
                <w:lang w:val="en-US" w:eastAsia="zh-CN"/>
              </w:rPr>
              <w:t>100%</w:t>
            </w:r>
          </w:p>
        </w:tc>
      </w:tr>
      <w:tr>
        <w:trPr>
          <w:trHeight w:val="23"/>
        </w:trPr>
        <w:tc>
          <w:tcPr>
            <w:tcW w:w="1309" w:type="dxa"/>
            <w:vMerge/>
            <w:tcBorders>
              <w:top w:val="nil"/>
              <w:left w:val="single" w:sz="4" w:space="0" w:color="000000"/>
              <w:bottom w:val="nil"/>
              <w:right w:val="single" w:sz="4" w:space="0" w:color="000000"/>
            </w:tcBorders>
            <w:shd w:val="clear" w:color="auto" w:fill="auto"/>
            <w:noWrap/>
            <w:vAlign w:val="center"/>
          </w:tcPr>
          <w:p/>
        </w:tc>
        <w:tc>
          <w:tcPr>
            <w:tcW w:w="134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2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rPr>
            </w:pPr>
            <w:r>
              <w:rPr>
                <w:rFonts w:eastAsia="仿宋_GB2312" w:cs="仿宋_GB2312"/>
                <w:sz w:val="32"/>
                <w:szCs w:val="32"/>
                <w:lang w:val="en-US" w:eastAsia="zh-CN"/>
              </w:rPr>
              <w:t>质量指标</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600" w:lineRule="exact"/>
              <w:jc w:val="center"/>
              <w:rPr>
                <w:rFonts w:eastAsia="仿宋_GB2312" w:cs="仿宋_GB2312" w:hint="eastAsia"/>
                <w:sz w:val="32"/>
                <w:szCs w:val="32"/>
                <w:lang w:eastAsia="zh-CN"/>
              </w:rPr>
            </w:pPr>
            <w:r>
              <w:rPr>
                <w:rFonts w:eastAsia="仿宋_GB2312" w:cs="仿宋_GB2312" w:hint="eastAsia"/>
                <w:sz w:val="32"/>
                <w:szCs w:val="32"/>
                <w:lang w:eastAsia="zh-CN"/>
              </w:rPr>
              <w:t>按预算目标完成合格率</w:t>
            </w:r>
          </w:p>
        </w:tc>
        <w:tc>
          <w:tcPr>
            <w:tcW w:w="1145"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600" w:lineRule="exact"/>
              <w:jc w:val="center"/>
              <w:rPr>
                <w:rFonts w:eastAsia="仿宋_GB2312" w:cs="仿宋_GB2312"/>
                <w:sz w:val="32"/>
                <w:szCs w:val="32"/>
              </w:rPr>
            </w:pPr>
            <w:r>
              <w:rPr>
                <w:rFonts w:eastAsia="仿宋_GB2312" w:cs="仿宋_GB2312" w:hint="eastAsia"/>
                <w:sz w:val="32"/>
                <w:szCs w:val="32"/>
              </w:rPr>
              <w:t>≧</w:t>
            </w:r>
          </w:p>
        </w:tc>
        <w:tc>
          <w:tcPr>
            <w:tcW w:w="12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r>
              <w:rPr>
                <w:rFonts w:eastAsia="仿宋_GB2312" w:cs="仿宋_GB2312" w:hint="eastAsia"/>
                <w:sz w:val="32"/>
                <w:szCs w:val="32"/>
                <w:lang w:val="en-US" w:eastAsia="zh-CN"/>
              </w:rPr>
              <w:t>95</w:t>
            </w:r>
          </w:p>
        </w:tc>
        <w:tc>
          <w:tcPr>
            <w:tcW w:w="1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600" w:lineRule="exact"/>
              <w:jc w:val="center"/>
              <w:rPr>
                <w:rFonts w:eastAsia="仿宋_GB2312" w:cs="仿宋_GB2312" w:hint="eastAsia"/>
                <w:sz w:val="32"/>
                <w:szCs w:val="32"/>
                <w:lang w:val="en-US" w:eastAsia="zh-CN"/>
              </w:rPr>
            </w:pPr>
            <w:r>
              <w:rPr>
                <w:rFonts w:eastAsia="仿宋_GB2312" w:cs="仿宋_GB2312" w:hint="eastAsia"/>
                <w:sz w:val="32"/>
                <w:szCs w:val="32"/>
                <w:lang w:val="en-US" w:eastAsia="zh-CN"/>
              </w:rPr>
              <w:t>%</w:t>
            </w:r>
          </w:p>
        </w:tc>
        <w:tc>
          <w:tcPr>
            <w:tcW w:w="9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r>
              <w:rPr>
                <w:rFonts w:eastAsia="仿宋_GB2312" w:cs="仿宋_GB2312" w:hint="eastAsia"/>
                <w:sz w:val="32"/>
                <w:szCs w:val="32"/>
                <w:lang w:val="en-US" w:eastAsia="zh-CN"/>
              </w:rPr>
              <w:t>20</w:t>
            </w:r>
          </w:p>
        </w:tc>
        <w:tc>
          <w:tcPr>
            <w:tcW w:w="11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r>
              <w:rPr>
                <w:rFonts w:eastAsia="仿宋_GB2312" w:cs="仿宋_GB2312" w:hint="eastAsia"/>
                <w:sz w:val="32"/>
                <w:szCs w:val="32"/>
                <w:lang w:val="en-US" w:eastAsia="zh-CN"/>
              </w:rPr>
              <w:t>100%</w:t>
            </w:r>
          </w:p>
        </w:tc>
      </w:tr>
      <w:tr>
        <w:trPr>
          <w:trHeight w:val="23"/>
        </w:trPr>
        <w:tc>
          <w:tcPr>
            <w:tcW w:w="1309" w:type="dxa"/>
            <w:vMerge/>
            <w:tcBorders>
              <w:top w:val="nil"/>
              <w:left w:val="single" w:sz="4" w:space="0" w:color="000000"/>
              <w:bottom w:val="nil"/>
              <w:right w:val="single" w:sz="4" w:space="0" w:color="000000"/>
            </w:tcBorders>
            <w:shd w:val="clear" w:color="auto" w:fill="auto"/>
            <w:noWrap/>
            <w:vAlign w:val="center"/>
          </w:tcPr>
          <w:p/>
        </w:tc>
        <w:tc>
          <w:tcPr>
            <w:tcW w:w="134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2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rPr>
            </w:pPr>
            <w:r>
              <w:rPr>
                <w:rFonts w:eastAsia="仿宋_GB2312" w:cs="仿宋_GB2312"/>
                <w:sz w:val="32"/>
                <w:szCs w:val="32"/>
                <w:lang w:val="en-US" w:eastAsia="zh-CN"/>
              </w:rPr>
              <w:t>时效指标</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600" w:lineRule="exact"/>
              <w:jc w:val="center"/>
              <w:rPr>
                <w:rFonts w:eastAsia="仿宋_GB2312" w:cs="仿宋_GB2312" w:hint="eastAsia"/>
                <w:sz w:val="32"/>
                <w:szCs w:val="32"/>
                <w:lang w:eastAsia="zh-CN"/>
              </w:rPr>
            </w:pPr>
            <w:r>
              <w:rPr>
                <w:rFonts w:eastAsia="仿宋_GB2312" w:cs="仿宋_GB2312" w:hint="eastAsia"/>
                <w:sz w:val="32"/>
                <w:szCs w:val="32"/>
                <w:lang w:eastAsia="zh-CN"/>
              </w:rPr>
              <w:t>项目及时完成率</w:t>
            </w:r>
          </w:p>
        </w:tc>
        <w:tc>
          <w:tcPr>
            <w:tcW w:w="1145"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600" w:lineRule="exact"/>
              <w:jc w:val="center"/>
              <w:rPr>
                <w:rFonts w:eastAsia="仿宋_GB2312" w:cs="仿宋_GB2312"/>
                <w:sz w:val="32"/>
                <w:szCs w:val="32"/>
              </w:rPr>
            </w:pPr>
            <w:bookmarkStart w:id="55" w:name="OLE_LINK2"/>
            <w:r>
              <w:rPr>
                <w:rFonts w:eastAsia="仿宋_GB2312" w:cs="仿宋_GB2312" w:hint="eastAsia"/>
                <w:sz w:val="32"/>
                <w:szCs w:val="32"/>
              </w:rPr>
              <w:t>≧</w:t>
            </w:r>
            <w:bookmarkEnd w:id="55"/>
          </w:p>
        </w:tc>
        <w:tc>
          <w:tcPr>
            <w:tcW w:w="12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r>
              <w:rPr>
                <w:rFonts w:eastAsia="仿宋_GB2312" w:cs="仿宋_GB2312" w:hint="eastAsia"/>
                <w:sz w:val="32"/>
                <w:szCs w:val="32"/>
                <w:lang w:val="en-US" w:eastAsia="zh-CN"/>
              </w:rPr>
              <w:t>96</w:t>
            </w:r>
          </w:p>
        </w:tc>
        <w:tc>
          <w:tcPr>
            <w:tcW w:w="1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600" w:lineRule="exact"/>
              <w:jc w:val="center"/>
              <w:rPr>
                <w:rFonts w:eastAsia="仿宋_GB2312" w:cs="仿宋_GB2312" w:hint="eastAsia"/>
                <w:sz w:val="32"/>
                <w:szCs w:val="32"/>
                <w:lang w:val="en-US" w:eastAsia="zh-CN"/>
              </w:rPr>
            </w:pPr>
            <w:r>
              <w:rPr>
                <w:rFonts w:eastAsia="仿宋_GB2312" w:cs="仿宋_GB2312" w:hint="eastAsia"/>
                <w:sz w:val="32"/>
                <w:szCs w:val="32"/>
                <w:lang w:val="en-US" w:eastAsia="zh-CN"/>
              </w:rPr>
              <w:t>%</w:t>
            </w:r>
          </w:p>
        </w:tc>
        <w:tc>
          <w:tcPr>
            <w:tcW w:w="9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r>
              <w:rPr>
                <w:rFonts w:eastAsia="仿宋_GB2312" w:cs="仿宋_GB2312" w:hint="eastAsia"/>
                <w:sz w:val="32"/>
                <w:szCs w:val="32"/>
                <w:lang w:val="en-US" w:eastAsia="zh-CN"/>
              </w:rPr>
              <w:t>10</w:t>
            </w:r>
          </w:p>
        </w:tc>
        <w:tc>
          <w:tcPr>
            <w:tcW w:w="11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r>
              <w:rPr>
                <w:rFonts w:eastAsia="仿宋_GB2312" w:cs="仿宋_GB2312" w:hint="eastAsia"/>
                <w:sz w:val="32"/>
                <w:szCs w:val="32"/>
                <w:lang w:val="en-US" w:eastAsia="zh-CN"/>
              </w:rPr>
              <w:t>100%</w:t>
            </w:r>
          </w:p>
        </w:tc>
      </w:tr>
      <w:tr>
        <w:trPr>
          <w:trHeight w:val="23"/>
        </w:trPr>
        <w:tc>
          <w:tcPr>
            <w:tcW w:w="1309" w:type="dxa"/>
            <w:vMerge/>
            <w:tcBorders>
              <w:top w:val="nil"/>
              <w:left w:val="single" w:sz="4" w:space="0" w:color="000000"/>
              <w:bottom w:val="nil"/>
              <w:right w:val="single" w:sz="4" w:space="0" w:color="000000"/>
            </w:tcBorders>
            <w:shd w:val="clear" w:color="auto" w:fill="auto"/>
            <w:noWrap/>
            <w:vAlign w:val="center"/>
          </w:tcPr>
          <w:p/>
        </w:tc>
        <w:tc>
          <w:tcPr>
            <w:tcW w:w="134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2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rPr>
            </w:pPr>
            <w:r>
              <w:rPr>
                <w:rFonts w:eastAsia="仿宋_GB2312" w:cs="仿宋_GB2312"/>
                <w:sz w:val="32"/>
                <w:szCs w:val="32"/>
                <w:lang w:val="en-US" w:eastAsia="zh-CN"/>
              </w:rPr>
              <w:t>……</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600" w:lineRule="exact"/>
              <w:jc w:val="center"/>
              <w:rPr>
                <w:rFonts w:eastAsia="仿宋_GB2312" w:cs="仿宋_GB2312"/>
                <w:sz w:val="32"/>
                <w:szCs w:val="32"/>
              </w:rPr>
            </w:pPr>
          </w:p>
        </w:tc>
        <w:tc>
          <w:tcPr>
            <w:tcW w:w="1145"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600" w:lineRule="exact"/>
              <w:jc w:val="center"/>
              <w:rPr>
                <w:rFonts w:eastAsia="仿宋_GB2312" w:cs="仿宋_GB2312"/>
                <w:sz w:val="32"/>
                <w:szCs w:val="32"/>
              </w:rPr>
            </w:pPr>
          </w:p>
        </w:tc>
        <w:tc>
          <w:tcPr>
            <w:tcW w:w="12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600" w:lineRule="exact"/>
              <w:jc w:val="center"/>
              <w:rPr>
                <w:rFonts w:eastAsia="仿宋_GB2312" w:cs="仿宋_GB2312"/>
                <w:sz w:val="32"/>
                <w:szCs w:val="32"/>
              </w:rPr>
            </w:pPr>
          </w:p>
        </w:tc>
        <w:tc>
          <w:tcPr>
            <w:tcW w:w="1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600" w:lineRule="exact"/>
              <w:jc w:val="center"/>
              <w:rPr>
                <w:rFonts w:eastAsia="仿宋_GB2312" w:cs="仿宋_GB2312"/>
                <w:sz w:val="32"/>
                <w:szCs w:val="32"/>
              </w:rPr>
            </w:pPr>
          </w:p>
        </w:tc>
        <w:tc>
          <w:tcPr>
            <w:tcW w:w="9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600" w:lineRule="exact"/>
              <w:jc w:val="center"/>
              <w:rPr>
                <w:rFonts w:eastAsia="仿宋_GB2312" w:cs="仿宋_GB2312"/>
                <w:sz w:val="32"/>
                <w:szCs w:val="32"/>
              </w:rPr>
            </w:pPr>
          </w:p>
        </w:tc>
        <w:tc>
          <w:tcPr>
            <w:tcW w:w="11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600" w:lineRule="exact"/>
              <w:jc w:val="center"/>
              <w:rPr>
                <w:rFonts w:eastAsia="仿宋_GB2312" w:cs="仿宋_GB2312"/>
                <w:sz w:val="32"/>
                <w:szCs w:val="32"/>
              </w:rPr>
            </w:pPr>
          </w:p>
        </w:tc>
      </w:tr>
      <w:tr>
        <w:trPr>
          <w:trHeight w:val="23"/>
        </w:trPr>
        <w:tc>
          <w:tcPr>
            <w:tcW w:w="1309" w:type="dxa"/>
            <w:vMerge/>
            <w:tcBorders>
              <w:top w:val="nil"/>
              <w:left w:val="single" w:sz="4" w:space="0" w:color="000000"/>
              <w:bottom w:val="nil"/>
              <w:right w:val="single" w:sz="4" w:space="0" w:color="000000"/>
            </w:tcBorders>
            <w:shd w:val="clear" w:color="auto" w:fill="auto"/>
            <w:noWrap/>
            <w:vAlign w:val="center"/>
          </w:tcPr>
          <w:p/>
        </w:tc>
        <w:tc>
          <w:tcPr>
            <w:tcW w:w="1347"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rPr>
            </w:pPr>
            <w:r>
              <w:rPr>
                <w:rFonts w:eastAsia="仿宋_GB2312" w:cs="仿宋_GB2312"/>
                <w:sz w:val="32"/>
                <w:szCs w:val="32"/>
                <w:lang w:val="en-US" w:eastAsia="zh-CN"/>
              </w:rPr>
              <w:t>效益指标</w:t>
            </w:r>
          </w:p>
        </w:tc>
        <w:tc>
          <w:tcPr>
            <w:tcW w:w="1273" w:type="dxa"/>
            <w:vMerge w:val="restart"/>
            <w:tcBorders>
              <w:top w:val="single" w:sz="4" w:space="0" w:color="000000"/>
              <w:left w:val="single" w:sz="4" w:space="0" w:color="000000"/>
              <w:bottom w:val="nil"/>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r>
              <w:rPr>
                <w:rFonts w:eastAsia="仿宋_GB2312" w:cs="仿宋_GB2312"/>
                <w:sz w:val="32"/>
                <w:szCs w:val="32"/>
                <w:lang w:val="en-US" w:eastAsia="zh-CN"/>
              </w:rPr>
              <w:t>社会效益</w:t>
            </w:r>
          </w:p>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rPr>
            </w:pPr>
            <w:r>
              <w:rPr>
                <w:rFonts w:eastAsia="仿宋_GB2312" w:cs="仿宋_GB2312"/>
                <w:sz w:val="32"/>
                <w:szCs w:val="32"/>
                <w:lang w:val="en-US" w:eastAsia="zh-CN"/>
              </w:rPr>
              <w:t>指标</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600" w:lineRule="exact"/>
              <w:jc w:val="center"/>
              <w:rPr>
                <w:rFonts w:eastAsia="仿宋_GB2312" w:cs="仿宋_GB2312" w:hint="eastAsia"/>
                <w:sz w:val="32"/>
                <w:szCs w:val="32"/>
                <w:lang w:eastAsia="zh-CN"/>
              </w:rPr>
            </w:pPr>
            <w:r>
              <w:rPr>
                <w:rFonts w:eastAsia="仿宋_GB2312" w:cs="仿宋_GB2312" w:hint="eastAsia"/>
                <w:sz w:val="32"/>
                <w:szCs w:val="32"/>
                <w:lang w:eastAsia="zh-CN"/>
              </w:rPr>
              <w:t>运转保障率</w:t>
            </w:r>
          </w:p>
        </w:tc>
        <w:tc>
          <w:tcPr>
            <w:tcW w:w="1145"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r>
              <w:rPr>
                <w:rFonts w:eastAsia="仿宋_GB2312" w:cs="仿宋_GB2312" w:hint="eastAsia"/>
                <w:sz w:val="32"/>
                <w:szCs w:val="32"/>
                <w:lang w:val="en-US" w:eastAsia="zh-CN"/>
              </w:rPr>
              <w:t>=</w:t>
            </w:r>
          </w:p>
        </w:tc>
        <w:tc>
          <w:tcPr>
            <w:tcW w:w="12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r>
              <w:rPr>
                <w:rFonts w:eastAsia="仿宋_GB2312" w:cs="仿宋_GB2312" w:hint="eastAsia"/>
                <w:sz w:val="32"/>
                <w:szCs w:val="32"/>
                <w:lang w:val="en-US" w:eastAsia="zh-CN"/>
              </w:rPr>
              <w:t>100</w:t>
            </w:r>
          </w:p>
        </w:tc>
        <w:tc>
          <w:tcPr>
            <w:tcW w:w="1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600" w:lineRule="exact"/>
              <w:jc w:val="center"/>
              <w:rPr>
                <w:rFonts w:eastAsia="仿宋_GB2312" w:cs="仿宋_GB2312" w:hint="eastAsia"/>
                <w:sz w:val="32"/>
                <w:szCs w:val="32"/>
                <w:lang w:val="en-US" w:eastAsia="zh-CN"/>
              </w:rPr>
            </w:pPr>
            <w:r>
              <w:rPr>
                <w:rFonts w:eastAsia="仿宋_GB2312" w:cs="仿宋_GB2312" w:hint="eastAsia"/>
                <w:sz w:val="32"/>
                <w:szCs w:val="32"/>
                <w:lang w:val="en-US" w:eastAsia="zh-CN"/>
              </w:rPr>
              <w:t>%</w:t>
            </w:r>
          </w:p>
        </w:tc>
        <w:tc>
          <w:tcPr>
            <w:tcW w:w="9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r>
              <w:rPr>
                <w:rFonts w:eastAsia="仿宋_GB2312" w:cs="仿宋_GB2312" w:hint="eastAsia"/>
                <w:sz w:val="32"/>
                <w:szCs w:val="32"/>
                <w:lang w:val="en-US" w:eastAsia="zh-CN"/>
              </w:rPr>
              <w:t>15</w:t>
            </w:r>
          </w:p>
        </w:tc>
        <w:tc>
          <w:tcPr>
            <w:tcW w:w="11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r>
              <w:rPr>
                <w:rFonts w:eastAsia="仿宋_GB2312" w:cs="仿宋_GB2312" w:hint="eastAsia"/>
                <w:sz w:val="32"/>
                <w:szCs w:val="32"/>
                <w:lang w:val="en-US" w:eastAsia="zh-CN"/>
              </w:rPr>
              <w:t>100%</w:t>
            </w:r>
          </w:p>
        </w:tc>
      </w:tr>
      <w:tr>
        <w:trPr>
          <w:trHeight w:val="23"/>
        </w:trPr>
        <w:tc>
          <w:tcPr>
            <w:tcW w:w="1309" w:type="dxa"/>
            <w:vMerge/>
            <w:tcBorders>
              <w:top w:val="nil"/>
              <w:left w:val="single" w:sz="4" w:space="0" w:color="000000"/>
              <w:bottom w:val="nil"/>
              <w:right w:val="single" w:sz="4" w:space="0" w:color="000000"/>
            </w:tcBorders>
            <w:shd w:val="clear" w:color="auto" w:fill="auto"/>
            <w:noWrap/>
            <w:vAlign w:val="center"/>
          </w:tcPr>
          <w:p/>
        </w:tc>
        <w:tc>
          <w:tcPr>
            <w:tcW w:w="134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273" w:type="dxa"/>
            <w:vMerge/>
            <w:tcBorders>
              <w:top w:val="single" w:sz="4" w:space="0" w:color="000000"/>
              <w:left w:val="single" w:sz="4" w:space="0" w:color="000000"/>
              <w:bottom w:val="nil"/>
              <w:right w:val="single" w:sz="4" w:space="0" w:color="000000"/>
            </w:tcBorders>
            <w:shd w:val="clear" w:color="auto" w:fill="auto"/>
            <w:noWrap/>
            <w:vAlign w:val="center"/>
          </w:tcP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600" w:lineRule="exact"/>
              <w:jc w:val="center"/>
              <w:rPr>
                <w:rFonts w:eastAsia="仿宋_GB2312" w:cs="仿宋_GB2312"/>
                <w:sz w:val="32"/>
                <w:szCs w:val="32"/>
              </w:rPr>
            </w:pPr>
          </w:p>
        </w:tc>
        <w:tc>
          <w:tcPr>
            <w:tcW w:w="1145"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600" w:lineRule="exact"/>
              <w:jc w:val="center"/>
              <w:rPr>
                <w:rFonts w:eastAsia="仿宋_GB2312" w:cs="仿宋_GB2312"/>
                <w:sz w:val="32"/>
                <w:szCs w:val="32"/>
              </w:rPr>
            </w:pPr>
          </w:p>
        </w:tc>
        <w:tc>
          <w:tcPr>
            <w:tcW w:w="12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600" w:lineRule="exact"/>
              <w:jc w:val="center"/>
              <w:rPr>
                <w:rFonts w:eastAsia="仿宋_GB2312" w:cs="仿宋_GB2312"/>
                <w:sz w:val="32"/>
                <w:szCs w:val="32"/>
              </w:rPr>
            </w:pPr>
          </w:p>
        </w:tc>
        <w:tc>
          <w:tcPr>
            <w:tcW w:w="1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600" w:lineRule="exact"/>
              <w:jc w:val="center"/>
              <w:rPr>
                <w:rFonts w:eastAsia="仿宋_GB2312" w:cs="仿宋_GB2312"/>
                <w:sz w:val="32"/>
                <w:szCs w:val="32"/>
              </w:rPr>
            </w:pPr>
          </w:p>
        </w:tc>
        <w:tc>
          <w:tcPr>
            <w:tcW w:w="9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600" w:lineRule="exact"/>
              <w:jc w:val="center"/>
              <w:rPr>
                <w:rFonts w:eastAsia="仿宋_GB2312" w:cs="仿宋_GB2312"/>
                <w:sz w:val="32"/>
                <w:szCs w:val="32"/>
              </w:rPr>
            </w:pPr>
          </w:p>
        </w:tc>
        <w:tc>
          <w:tcPr>
            <w:tcW w:w="11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600" w:lineRule="exact"/>
              <w:jc w:val="center"/>
              <w:rPr>
                <w:rFonts w:eastAsia="仿宋_GB2312" w:cs="仿宋_GB2312"/>
                <w:sz w:val="32"/>
                <w:szCs w:val="32"/>
              </w:rPr>
            </w:pPr>
          </w:p>
        </w:tc>
      </w:tr>
      <w:tr>
        <w:trPr>
          <w:trHeight w:val="23"/>
        </w:trPr>
        <w:tc>
          <w:tcPr>
            <w:tcW w:w="1309" w:type="dxa"/>
            <w:vMerge/>
            <w:tcBorders>
              <w:top w:val="nil"/>
              <w:left w:val="single" w:sz="4" w:space="0" w:color="000000"/>
              <w:bottom w:val="nil"/>
              <w:right w:val="single" w:sz="4" w:space="0" w:color="000000"/>
            </w:tcBorders>
            <w:shd w:val="clear" w:color="auto" w:fill="auto"/>
            <w:noWrap/>
            <w:vAlign w:val="center"/>
          </w:tcPr>
          <w:p/>
        </w:tc>
        <w:tc>
          <w:tcPr>
            <w:tcW w:w="134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2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rPr>
            </w:pPr>
            <w:r>
              <w:rPr>
                <w:rFonts w:eastAsia="仿宋_GB2312" w:cs="仿宋_GB2312"/>
                <w:sz w:val="32"/>
                <w:szCs w:val="32"/>
                <w:lang w:val="en-US" w:eastAsia="zh-CN"/>
              </w:rPr>
              <w:t>……</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600" w:lineRule="exact"/>
              <w:jc w:val="center"/>
              <w:rPr>
                <w:rFonts w:eastAsia="仿宋_GB2312" w:cs="仿宋_GB2312"/>
                <w:sz w:val="32"/>
                <w:szCs w:val="32"/>
              </w:rPr>
            </w:pPr>
          </w:p>
        </w:tc>
        <w:tc>
          <w:tcPr>
            <w:tcW w:w="1145"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600" w:lineRule="exact"/>
              <w:jc w:val="center"/>
              <w:rPr>
                <w:rFonts w:eastAsia="仿宋_GB2312" w:cs="仿宋_GB2312"/>
                <w:sz w:val="32"/>
                <w:szCs w:val="32"/>
              </w:rPr>
            </w:pPr>
          </w:p>
        </w:tc>
        <w:tc>
          <w:tcPr>
            <w:tcW w:w="12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600" w:lineRule="exact"/>
              <w:jc w:val="center"/>
              <w:rPr>
                <w:rFonts w:eastAsia="仿宋_GB2312" w:cs="仿宋_GB2312"/>
                <w:sz w:val="32"/>
                <w:szCs w:val="32"/>
              </w:rPr>
            </w:pPr>
          </w:p>
        </w:tc>
        <w:tc>
          <w:tcPr>
            <w:tcW w:w="1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600" w:lineRule="exact"/>
              <w:jc w:val="center"/>
              <w:rPr>
                <w:rFonts w:eastAsia="仿宋_GB2312" w:cs="仿宋_GB2312"/>
                <w:sz w:val="32"/>
                <w:szCs w:val="32"/>
              </w:rPr>
            </w:pPr>
          </w:p>
        </w:tc>
        <w:tc>
          <w:tcPr>
            <w:tcW w:w="9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600" w:lineRule="exact"/>
              <w:jc w:val="center"/>
              <w:rPr>
                <w:rFonts w:eastAsia="仿宋_GB2312" w:cs="仿宋_GB2312"/>
                <w:sz w:val="32"/>
                <w:szCs w:val="32"/>
              </w:rPr>
            </w:pPr>
          </w:p>
        </w:tc>
        <w:tc>
          <w:tcPr>
            <w:tcW w:w="11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600" w:lineRule="exact"/>
              <w:jc w:val="center"/>
              <w:rPr>
                <w:rFonts w:eastAsia="仿宋_GB2312" w:cs="仿宋_GB2312"/>
                <w:sz w:val="32"/>
                <w:szCs w:val="32"/>
              </w:rPr>
            </w:pPr>
          </w:p>
        </w:tc>
      </w:tr>
      <w:tr>
        <w:trPr>
          <w:trHeight w:val="23"/>
        </w:trPr>
        <w:tc>
          <w:tcPr>
            <w:tcW w:w="1309" w:type="dxa"/>
            <w:vMerge/>
            <w:tcBorders>
              <w:top w:val="nil"/>
              <w:left w:val="single" w:sz="4" w:space="0" w:color="000000"/>
              <w:bottom w:val="nil"/>
              <w:right w:val="single" w:sz="4" w:space="0" w:color="000000"/>
            </w:tcBorders>
            <w:shd w:val="clear" w:color="auto" w:fill="auto"/>
            <w:noWrap/>
            <w:vAlign w:val="center"/>
          </w:tcPr>
          <w:p/>
        </w:tc>
        <w:tc>
          <w:tcPr>
            <w:tcW w:w="13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rPr>
            </w:pPr>
            <w:r>
              <w:rPr>
                <w:rFonts w:eastAsia="仿宋_GB2312" w:cs="仿宋_GB2312"/>
                <w:sz w:val="32"/>
                <w:szCs w:val="32"/>
                <w:lang w:val="en-US" w:eastAsia="zh-CN"/>
              </w:rPr>
              <w:t>满意度指标</w:t>
            </w:r>
          </w:p>
        </w:tc>
        <w:tc>
          <w:tcPr>
            <w:tcW w:w="12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rPr>
            </w:pPr>
            <w:r>
              <w:rPr>
                <w:rFonts w:eastAsia="仿宋_GB2312" w:cs="仿宋_GB2312"/>
                <w:sz w:val="32"/>
                <w:szCs w:val="32"/>
                <w:lang w:val="en-US" w:eastAsia="zh-CN"/>
              </w:rPr>
              <w:t>满意度指标</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600" w:lineRule="exact"/>
              <w:jc w:val="center"/>
              <w:rPr>
                <w:rFonts w:eastAsia="仿宋_GB2312" w:cs="仿宋_GB2312" w:hint="eastAsia"/>
                <w:sz w:val="32"/>
                <w:szCs w:val="32"/>
                <w:lang w:eastAsia="zh-CN"/>
              </w:rPr>
            </w:pPr>
            <w:r>
              <w:rPr>
                <w:rFonts w:eastAsia="仿宋_GB2312" w:cs="仿宋_GB2312" w:hint="eastAsia"/>
                <w:sz w:val="32"/>
                <w:szCs w:val="32"/>
                <w:lang w:eastAsia="zh-CN"/>
              </w:rPr>
              <w:t>师生满意度</w:t>
            </w:r>
          </w:p>
        </w:tc>
        <w:tc>
          <w:tcPr>
            <w:tcW w:w="1145"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600" w:lineRule="exact"/>
              <w:jc w:val="center"/>
              <w:rPr>
                <w:rFonts w:eastAsia="仿宋_GB2312" w:cs="仿宋_GB2312"/>
                <w:sz w:val="32"/>
                <w:szCs w:val="32"/>
              </w:rPr>
            </w:pPr>
            <w:bookmarkStart w:id="56" w:name="OLE_LINK4"/>
            <w:r>
              <w:rPr>
                <w:rFonts w:eastAsia="仿宋_GB2312" w:cs="仿宋_GB2312" w:hint="eastAsia"/>
                <w:sz w:val="32"/>
                <w:szCs w:val="32"/>
              </w:rPr>
              <w:t>≧</w:t>
            </w:r>
            <w:bookmarkEnd w:id="56"/>
          </w:p>
        </w:tc>
        <w:tc>
          <w:tcPr>
            <w:tcW w:w="12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r>
              <w:rPr>
                <w:rFonts w:eastAsia="仿宋_GB2312" w:cs="仿宋_GB2312" w:hint="eastAsia"/>
                <w:sz w:val="32"/>
                <w:szCs w:val="32"/>
                <w:lang w:val="en-US" w:eastAsia="zh-CN"/>
              </w:rPr>
              <w:t>95</w:t>
            </w:r>
          </w:p>
        </w:tc>
        <w:tc>
          <w:tcPr>
            <w:tcW w:w="1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600" w:lineRule="exact"/>
              <w:jc w:val="center"/>
              <w:rPr>
                <w:rFonts w:eastAsia="仿宋_GB2312" w:cs="仿宋_GB2312" w:hint="eastAsia"/>
                <w:sz w:val="32"/>
                <w:szCs w:val="32"/>
                <w:lang w:val="en-US" w:eastAsia="zh-CN"/>
              </w:rPr>
            </w:pPr>
            <w:r>
              <w:rPr>
                <w:rFonts w:eastAsia="仿宋_GB2312" w:cs="仿宋_GB2312" w:hint="eastAsia"/>
                <w:sz w:val="32"/>
                <w:szCs w:val="32"/>
                <w:lang w:val="en-US" w:eastAsia="zh-CN"/>
              </w:rPr>
              <w:t>%</w:t>
            </w:r>
          </w:p>
        </w:tc>
        <w:tc>
          <w:tcPr>
            <w:tcW w:w="9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r>
              <w:rPr>
                <w:rFonts w:eastAsia="仿宋_GB2312" w:cs="仿宋_GB2312" w:hint="eastAsia"/>
                <w:sz w:val="32"/>
                <w:szCs w:val="32"/>
                <w:lang w:val="en-US" w:eastAsia="zh-CN"/>
              </w:rPr>
              <w:t>10</w:t>
            </w:r>
          </w:p>
        </w:tc>
        <w:tc>
          <w:tcPr>
            <w:tcW w:w="11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r>
              <w:rPr>
                <w:rFonts w:eastAsia="仿宋_GB2312" w:cs="仿宋_GB2312" w:hint="eastAsia"/>
                <w:sz w:val="32"/>
                <w:szCs w:val="32"/>
                <w:lang w:val="en-US" w:eastAsia="zh-CN"/>
              </w:rPr>
              <w:t>100%</w:t>
            </w:r>
          </w:p>
        </w:tc>
      </w:tr>
      <w:tr>
        <w:trPr>
          <w:trHeight w:val="23"/>
        </w:trPr>
        <w:tc>
          <w:tcPr>
            <w:tcW w:w="1309" w:type="dxa"/>
            <w:vMerge/>
            <w:tcBorders>
              <w:top w:val="nil"/>
              <w:left w:val="single" w:sz="4" w:space="0" w:color="000000"/>
              <w:bottom w:val="single" w:sz="4" w:space="0" w:color="000000"/>
              <w:right w:val="single" w:sz="4" w:space="0" w:color="000000"/>
            </w:tcBorders>
            <w:shd w:val="clear" w:color="auto" w:fill="auto"/>
            <w:noWrap/>
            <w:vAlign w:val="center"/>
          </w:tcPr>
          <w:p/>
        </w:tc>
        <w:tc>
          <w:tcPr>
            <w:tcW w:w="13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r>
              <w:rPr>
                <w:rFonts w:eastAsia="仿宋_GB2312" w:cs="仿宋_GB2312" w:hint="eastAsia"/>
                <w:sz w:val="32"/>
                <w:szCs w:val="32"/>
                <w:lang w:val="en-US" w:eastAsia="zh-CN"/>
              </w:rPr>
              <w:t>成本指标</w:t>
            </w:r>
          </w:p>
        </w:tc>
        <w:tc>
          <w:tcPr>
            <w:tcW w:w="12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r>
              <w:rPr>
                <w:rFonts w:eastAsia="仿宋_GB2312" w:cs="仿宋_GB2312" w:hint="eastAsia"/>
                <w:sz w:val="32"/>
                <w:szCs w:val="32"/>
                <w:lang w:val="en-US" w:eastAsia="zh-CN"/>
              </w:rPr>
              <w:t>经济成本指标</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600" w:lineRule="exact"/>
              <w:jc w:val="center"/>
              <w:rPr>
                <w:rFonts w:eastAsia="仿宋_GB2312" w:cs="仿宋_GB2312" w:hint="eastAsia"/>
                <w:sz w:val="32"/>
                <w:szCs w:val="32"/>
                <w:lang w:eastAsia="zh-CN"/>
              </w:rPr>
            </w:pPr>
            <w:r>
              <w:rPr>
                <w:rFonts w:eastAsia="仿宋_GB2312" w:cs="仿宋_GB2312" w:hint="eastAsia"/>
                <w:sz w:val="32"/>
                <w:szCs w:val="32"/>
                <w:lang w:eastAsia="zh-CN"/>
              </w:rPr>
              <w:t>单位整体运行成本</w:t>
            </w:r>
          </w:p>
        </w:tc>
        <w:tc>
          <w:tcPr>
            <w:tcW w:w="1145"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600" w:lineRule="exact"/>
              <w:jc w:val="center"/>
              <w:rPr>
                <w:rFonts w:eastAsia="仿宋_GB2312" w:cs="仿宋_GB2312"/>
                <w:sz w:val="32"/>
                <w:szCs w:val="32"/>
              </w:rPr>
            </w:pPr>
            <w:bookmarkStart w:id="57" w:name="OLE_LINK3"/>
            <w:r>
              <w:rPr>
                <w:rFonts w:eastAsia="仿宋_GB2312" w:cs="仿宋_GB2312" w:hint="eastAsia"/>
                <w:sz w:val="32"/>
                <w:szCs w:val="32"/>
              </w:rPr>
              <w:t>≦</w:t>
            </w:r>
            <w:bookmarkEnd w:id="57"/>
          </w:p>
        </w:tc>
        <w:tc>
          <w:tcPr>
            <w:tcW w:w="12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r>
              <w:rPr>
                <w:rFonts w:eastAsia="仿宋_GB2312" w:cs="仿宋_GB2312" w:hint="eastAsia"/>
                <w:sz w:val="32"/>
                <w:szCs w:val="32"/>
                <w:lang w:val="en-US" w:eastAsia="zh-CN"/>
              </w:rPr>
              <w:t>4946.68</w:t>
            </w:r>
          </w:p>
        </w:tc>
        <w:tc>
          <w:tcPr>
            <w:tcW w:w="1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600" w:lineRule="exact"/>
              <w:jc w:val="center"/>
              <w:rPr>
                <w:rFonts w:eastAsia="仿宋_GB2312" w:cs="仿宋_GB2312" w:hint="eastAsia"/>
                <w:sz w:val="32"/>
                <w:szCs w:val="32"/>
                <w:lang w:val="en-US" w:eastAsia="zh-CN"/>
              </w:rPr>
            </w:pPr>
            <w:r>
              <w:rPr>
                <w:rFonts w:eastAsia="仿宋_GB2312" w:cs="仿宋_GB2312" w:hint="eastAsia"/>
                <w:sz w:val="32"/>
                <w:szCs w:val="32"/>
                <w:lang w:val="en-US" w:eastAsia="zh-CN"/>
              </w:rPr>
              <w:t>万元</w:t>
            </w:r>
          </w:p>
        </w:tc>
        <w:tc>
          <w:tcPr>
            <w:tcW w:w="9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600" w:lineRule="exact"/>
              <w:jc w:val="center"/>
              <w:rPr>
                <w:rFonts w:eastAsia="仿宋_GB2312" w:cs="仿宋_GB2312"/>
                <w:sz w:val="32"/>
                <w:szCs w:val="32"/>
                <w:lang w:val="en-US" w:eastAsia="zh-CN"/>
              </w:rPr>
            </w:pPr>
            <w:r>
              <w:rPr>
                <w:rFonts w:eastAsia="仿宋_GB2312" w:cs="仿宋_GB2312" w:hint="eastAsia"/>
                <w:sz w:val="32"/>
                <w:szCs w:val="32"/>
                <w:lang w:val="en-US" w:eastAsia="zh-CN"/>
              </w:rPr>
              <w:t>20</w:t>
            </w:r>
          </w:p>
        </w:tc>
        <w:tc>
          <w:tcPr>
            <w:tcW w:w="11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600" w:lineRule="exact"/>
              <w:jc w:val="center"/>
              <w:rPr>
                <w:rFonts w:eastAsia="仿宋_GB2312" w:cs="仿宋_GB2312" w:hint="eastAsia"/>
                <w:sz w:val="32"/>
                <w:szCs w:val="32"/>
                <w:lang w:val="en-US" w:eastAsia="zh-CN"/>
              </w:rPr>
            </w:pPr>
            <w:r>
              <w:rPr>
                <w:rFonts w:eastAsia="仿宋_GB2312" w:cs="仿宋_GB2312" w:hint="eastAsia"/>
                <w:sz w:val="32"/>
                <w:szCs w:val="32"/>
                <w:lang w:val="en-US" w:eastAsia="zh-CN"/>
              </w:rPr>
              <w:t>4946.68万元</w:t>
            </w:r>
          </w:p>
        </w:tc>
      </w:tr>
    </w:tbl>
    <w:p>
      <w:pPr>
        <w:spacing w:line="600" w:lineRule="exact"/>
        <w:rPr>
          <w:rFonts w:eastAsia="仿宋_GB2312" w:cs="仿宋_GB2312"/>
          <w:sz w:val="32"/>
          <w:szCs w:val="32"/>
          <w:lang w:val="en-US" w:eastAsia="zh-CN"/>
          <w:highlight w:val="auto"/>
        </w:rPr>
      </w:pPr>
    </w:p>
    <w:p>
      <w:pPr>
        <w:spacing w:line="600" w:lineRule="exact"/>
        <w:rPr>
          <w:rFonts w:eastAsia="仿宋_GB2312" w:cs="仿宋_GB2312"/>
          <w:sz w:val="32"/>
          <w:szCs w:val="32"/>
          <w:lang w:val="en-US" w:eastAsia="zh-CN"/>
          <w:highlight w:val="auto"/>
        </w:rPr>
      </w:pPr>
    </w:p>
    <w:p>
      <w:pPr>
        <w:pStyle w:val="15"/>
      </w:pPr>
    </w:p>
    <w:p>
      <w:pPr>
        <w:pStyle w:val="17"/>
      </w:pPr>
    </w:p>
    <w:p>
      <w:pPr>
        <w:pStyle w:val="17"/>
      </w:pPr>
    </w:p>
    <w:tbl>
      <w:tblPr>
        <w:jc w:val="left"/>
        <w:tblInd w:w="0" w:type="dxa"/>
        <w:tblW w:w="8438"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646"/>
        <w:gridCol w:w="1069"/>
        <w:gridCol w:w="926"/>
        <w:gridCol w:w="1175"/>
        <w:gridCol w:w="444"/>
        <w:gridCol w:w="881"/>
        <w:gridCol w:w="444"/>
        <w:gridCol w:w="646"/>
        <w:gridCol w:w="444"/>
        <w:gridCol w:w="444"/>
        <w:gridCol w:w="1318"/>
      </w:tblGrid>
      <w:tr>
        <w:trPr>
          <w:trHeight w:val="329"/>
        </w:trPr>
        <w:tc>
          <w:tcPr>
            <w:tcW w:w="3816" w:type="dxa"/>
            <w:gridSpan w:val="4"/>
            <w:tcBorders>
              <w:top w:val="nil"/>
              <w:left w:val="nil"/>
              <w:bottom w:val="nil"/>
              <w:right w:val="nil"/>
              <w:tl2br w:val="nil"/>
              <w:tr2bl w:val="nil"/>
            </w:tcBorders>
            <w:noWrap/>
            <w:vAlign w:val="center"/>
          </w:tcPr>
          <w:p>
            <w:pPr>
              <w:jc w:val="center"/>
              <w:rPr>
                <w:rFonts w:ascii="SimSun" w:eastAsia="SimSun" w:cs="Arial"/>
                <w:color w:val="C0C0C0"/>
                <w:sz w:val="20"/>
              </w:rPr>
            </w:pPr>
            <w:r>
              <w:rPr>
                <w:rFonts w:ascii="SimSun" w:eastAsia="SimSun" w:cs="Arial"/>
                <w:color w:val="C0C0C0"/>
                <w:sz w:val="20"/>
              </w:rPr>
              <w:t>报表编号：510000_0013zp</w:t>
            </w:r>
          </w:p>
        </w:tc>
        <w:tc>
          <w:tcPr>
            <w:tcW w:w="444" w:type="dxa"/>
            <w:tcBorders>
              <w:top w:val="nil"/>
              <w:left w:val="nil"/>
              <w:bottom w:val="nil"/>
              <w:right w:val="nil"/>
              <w:tl2br w:val="nil"/>
              <w:tr2bl w:val="nil"/>
            </w:tcBorders>
            <w:noWrap/>
            <w:vAlign w:val="center"/>
          </w:tcPr>
          <w:p>
            <w:pPr>
              <w:rPr>
                <w:rFonts w:ascii="Times New Roman" w:eastAsia="宋体" w:hAnsi="Times New Roman"/>
                <w:sz w:val="24"/>
              </w:rPr>
            </w:pPr>
          </w:p>
        </w:tc>
        <w:tc>
          <w:tcPr>
            <w:tcW w:w="1971" w:type="dxa"/>
            <w:gridSpan w:val="3"/>
            <w:tcBorders>
              <w:top w:val="nil"/>
              <w:left w:val="nil"/>
              <w:bottom w:val="nil"/>
              <w:right w:val="nil"/>
              <w:tl2br w:val="nil"/>
              <w:tr2bl w:val="nil"/>
            </w:tcBorders>
            <w:noWrap/>
            <w:vAlign w:val="center"/>
          </w:tcPr>
          <w:p>
            <w:pPr>
              <w:rPr>
                <w:rFonts w:ascii="SimSun" w:eastAsia="SimSun" w:cs="Arial"/>
                <w:color w:val="000000"/>
                <w:sz w:val="20"/>
              </w:rPr>
            </w:pPr>
          </w:p>
        </w:tc>
        <w:tc>
          <w:tcPr>
            <w:tcW w:w="444" w:type="dxa"/>
            <w:tcBorders>
              <w:top w:val="nil"/>
              <w:left w:val="nil"/>
              <w:bottom w:val="nil"/>
              <w:right w:val="nil"/>
              <w:tl2br w:val="nil"/>
              <w:tr2bl w:val="nil"/>
            </w:tcBorders>
            <w:noWrap/>
            <w:vAlign w:val="center"/>
          </w:tcPr>
          <w:p>
            <w:pPr>
              <w:rPr>
                <w:rFonts w:ascii="Times New Roman" w:eastAsia="宋体" w:hAnsi="Times New Roman"/>
                <w:sz w:val="24"/>
              </w:rPr>
            </w:pPr>
          </w:p>
        </w:tc>
        <w:tc>
          <w:tcPr>
            <w:tcW w:w="444" w:type="dxa"/>
            <w:tcBorders>
              <w:top w:val="nil"/>
              <w:left w:val="nil"/>
              <w:bottom w:val="nil"/>
              <w:right w:val="nil"/>
              <w:tl2br w:val="nil"/>
              <w:tr2bl w:val="nil"/>
            </w:tcBorders>
            <w:noWrap/>
            <w:vAlign w:val="center"/>
          </w:tcPr>
          <w:p>
            <w:pPr>
              <w:rPr>
                <w:rFonts w:ascii="Times New Roman" w:eastAsia="宋体" w:hAnsi="Times New Roman"/>
                <w:sz w:val="24"/>
              </w:rPr>
            </w:pPr>
          </w:p>
        </w:tc>
        <w:tc>
          <w:tcPr>
            <w:tcW w:w="1318" w:type="dxa"/>
            <w:tcBorders>
              <w:top w:val="nil"/>
              <w:left w:val="nil"/>
              <w:bottom w:val="nil"/>
              <w:right w:val="nil"/>
              <w:tl2br w:val="nil"/>
              <w:tr2bl w:val="nil"/>
            </w:tcBorders>
            <w:noWrap/>
            <w:vAlign w:val="center"/>
          </w:tcPr>
          <w:p>
            <w:pPr>
              <w:rPr>
                <w:rFonts w:ascii="Times New Roman" w:eastAsia="宋体" w:hAnsi="Times New Roman"/>
                <w:sz w:val="24"/>
              </w:rPr>
            </w:pPr>
          </w:p>
        </w:tc>
      </w:tr>
      <w:tr>
        <w:trPr>
          <w:trHeight w:val="659"/>
        </w:trPr>
        <w:tc>
          <w:tcPr>
            <w:tcW w:w="8438"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部门预算项目支出绩效自评表（2024年度）</w:t>
            </w:r>
          </w:p>
        </w:tc>
      </w:tr>
      <w:tr>
        <w:trPr>
          <w:trHeight w:val="329"/>
        </w:trPr>
        <w:tc>
          <w:tcPr>
            <w:tcW w:w="171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6722"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51320021T000000045778-学生公用经费</w:t>
            </w:r>
          </w:p>
        </w:tc>
      </w:tr>
      <w:tr>
        <w:trPr>
          <w:trHeight w:val="1319"/>
        </w:trPr>
        <w:tc>
          <w:tcPr>
            <w:tcW w:w="171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387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州教育局部门</w:t>
            </w:r>
          </w:p>
        </w:tc>
        <w:tc>
          <w:tcPr>
            <w:tcW w:w="646" w:type="dxa"/>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2206"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马师校</w:t>
            </w:r>
          </w:p>
        </w:tc>
      </w:tr>
      <w:tr>
        <w:trPr>
          <w:trHeight w:val="329"/>
        </w:trPr>
        <w:tc>
          <w:tcPr>
            <w:tcW w:w="646"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1069"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387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2853"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659"/>
        </w:trPr>
        <w:tc>
          <w:tcPr>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87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　为学生购买学习用品等。</w:t>
            </w:r>
          </w:p>
        </w:tc>
        <w:tc>
          <w:tcPr>
            <w:tcW w:w="2853"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对照年度目标，说明相关任务目标的完成情况（100字以内）</w:t>
            </w:r>
          </w:p>
        </w:tc>
      </w:tr>
      <w:tr>
        <w:trPr>
          <w:trHeight w:val="989"/>
        </w:trPr>
        <w:tc>
          <w:tcPr>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06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6722"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学生公用经费项目实施内容含学生资料打印、教学器材购买保障日常教学运转。</w:t>
            </w:r>
          </w:p>
        </w:tc>
      </w:tr>
      <w:tr>
        <w:trPr>
          <w:trHeight w:val="989"/>
        </w:trPr>
        <w:tc>
          <w:tcPr>
            <w:tcW w:w="646"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106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92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11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1769"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64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4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4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131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659"/>
        </w:trPr>
        <w:tc>
          <w:tcPr>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06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92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10.15</w:t>
            </w:r>
          </w:p>
        </w:tc>
        <w:tc>
          <w:tcPr>
            <w:tcW w:w="11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10.14</w:t>
            </w:r>
          </w:p>
        </w:tc>
        <w:tc>
          <w:tcPr>
            <w:tcW w:w="1769"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10.14</w:t>
            </w:r>
          </w:p>
        </w:tc>
        <w:tc>
          <w:tcPr>
            <w:tcW w:w="64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4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4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31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659"/>
        </w:trPr>
        <w:tc>
          <w:tcPr>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06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92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10.15</w:t>
            </w:r>
          </w:p>
        </w:tc>
        <w:tc>
          <w:tcPr>
            <w:tcW w:w="11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10.14</w:t>
            </w:r>
          </w:p>
        </w:tc>
        <w:tc>
          <w:tcPr>
            <w:tcW w:w="1769"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10.14</w:t>
            </w:r>
          </w:p>
        </w:tc>
        <w:tc>
          <w:tcPr>
            <w:tcW w:w="64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4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4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659"/>
        </w:trPr>
        <w:tc>
          <w:tcPr>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06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92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769"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64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4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4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659"/>
        </w:trPr>
        <w:tc>
          <w:tcPr>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06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92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1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769"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64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4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4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2575"/>
        </w:trPr>
        <w:tc>
          <w:tcPr>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06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92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1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769"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64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4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4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1319"/>
        </w:trPr>
        <w:tc>
          <w:tcPr>
            <w:tcW w:w="646"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106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92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11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4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88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4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64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4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4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131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659"/>
        </w:trPr>
        <w:tc>
          <w:tcPr>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069"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产出指标</w:t>
            </w:r>
          </w:p>
        </w:tc>
        <w:tc>
          <w:tcPr>
            <w:tcW w:w="92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数量指标</w:t>
            </w:r>
          </w:p>
        </w:tc>
        <w:tc>
          <w:tcPr>
            <w:tcW w:w="11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购置工作完成率</w:t>
            </w:r>
          </w:p>
        </w:tc>
        <w:tc>
          <w:tcPr>
            <w:tcW w:w="4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8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4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64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95</w:t>
            </w:r>
          </w:p>
        </w:tc>
        <w:tc>
          <w:tcPr>
            <w:tcW w:w="4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18</w:t>
            </w:r>
          </w:p>
        </w:tc>
        <w:tc>
          <w:tcPr>
            <w:tcW w:w="4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18</w:t>
            </w:r>
          </w:p>
        </w:tc>
        <w:tc>
          <w:tcPr>
            <w:tcW w:w="131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659"/>
        </w:trPr>
        <w:tc>
          <w:tcPr>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92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质量指标</w:t>
            </w:r>
          </w:p>
        </w:tc>
        <w:tc>
          <w:tcPr>
            <w:tcW w:w="11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产品合格率</w:t>
            </w:r>
          </w:p>
        </w:tc>
        <w:tc>
          <w:tcPr>
            <w:tcW w:w="4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8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4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64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95</w:t>
            </w:r>
          </w:p>
        </w:tc>
        <w:tc>
          <w:tcPr>
            <w:tcW w:w="4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4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31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659"/>
        </w:trPr>
        <w:tc>
          <w:tcPr>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92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时效指标</w:t>
            </w:r>
          </w:p>
        </w:tc>
        <w:tc>
          <w:tcPr>
            <w:tcW w:w="11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学习用品购置及时率</w:t>
            </w:r>
          </w:p>
        </w:tc>
        <w:tc>
          <w:tcPr>
            <w:tcW w:w="4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8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4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64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95</w:t>
            </w:r>
          </w:p>
        </w:tc>
        <w:tc>
          <w:tcPr>
            <w:tcW w:w="4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4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131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517"/>
        </w:trPr>
        <w:tc>
          <w:tcPr>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069"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效益指标</w:t>
            </w:r>
          </w:p>
        </w:tc>
        <w:tc>
          <w:tcPr>
            <w:tcW w:w="92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社会效益指标</w:t>
            </w:r>
          </w:p>
        </w:tc>
        <w:tc>
          <w:tcPr>
            <w:tcW w:w="11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保障教育发展</w:t>
            </w:r>
          </w:p>
        </w:tc>
        <w:tc>
          <w:tcPr>
            <w:tcW w:w="4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定性</w:t>
            </w:r>
          </w:p>
        </w:tc>
        <w:tc>
          <w:tcPr>
            <w:tcW w:w="88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有效保障</w:t>
            </w:r>
          </w:p>
        </w:tc>
        <w:tc>
          <w:tcPr>
            <w:tcW w:w="4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64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有效保障</w:t>
            </w:r>
          </w:p>
        </w:tc>
        <w:tc>
          <w:tcPr>
            <w:tcW w:w="4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4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131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989"/>
        </w:trPr>
        <w:tc>
          <w:tcPr>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92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可持续影响指标</w:t>
            </w:r>
          </w:p>
        </w:tc>
        <w:tc>
          <w:tcPr>
            <w:tcW w:w="11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提升学生学习积极性</w:t>
            </w:r>
          </w:p>
        </w:tc>
        <w:tc>
          <w:tcPr>
            <w:tcW w:w="4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定性</w:t>
            </w:r>
          </w:p>
        </w:tc>
        <w:tc>
          <w:tcPr>
            <w:tcW w:w="88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有效</w:t>
            </w:r>
          </w:p>
        </w:tc>
        <w:tc>
          <w:tcPr>
            <w:tcW w:w="4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64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有效保障</w:t>
            </w:r>
          </w:p>
        </w:tc>
        <w:tc>
          <w:tcPr>
            <w:tcW w:w="4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4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31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989"/>
        </w:trPr>
        <w:tc>
          <w:tcPr>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06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满意度指标</w:t>
            </w:r>
          </w:p>
        </w:tc>
        <w:tc>
          <w:tcPr>
            <w:tcW w:w="92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服务对象满意度指标</w:t>
            </w:r>
          </w:p>
        </w:tc>
        <w:tc>
          <w:tcPr>
            <w:tcW w:w="11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师生满意度</w:t>
            </w:r>
          </w:p>
        </w:tc>
        <w:tc>
          <w:tcPr>
            <w:tcW w:w="4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8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4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64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90</w:t>
            </w:r>
          </w:p>
        </w:tc>
        <w:tc>
          <w:tcPr>
            <w:tcW w:w="4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4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31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659"/>
        </w:trPr>
        <w:tc>
          <w:tcPr>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06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成本指标</w:t>
            </w:r>
          </w:p>
        </w:tc>
        <w:tc>
          <w:tcPr>
            <w:tcW w:w="92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经济成本指标</w:t>
            </w:r>
          </w:p>
        </w:tc>
        <w:tc>
          <w:tcPr>
            <w:tcW w:w="11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成本控制范围</w:t>
            </w:r>
          </w:p>
        </w:tc>
        <w:tc>
          <w:tcPr>
            <w:tcW w:w="4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8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10.15</w:t>
            </w:r>
          </w:p>
        </w:tc>
        <w:tc>
          <w:tcPr>
            <w:tcW w:w="4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万元</w:t>
            </w:r>
          </w:p>
        </w:tc>
        <w:tc>
          <w:tcPr>
            <w:tcW w:w="64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10.15</w:t>
            </w:r>
          </w:p>
        </w:tc>
        <w:tc>
          <w:tcPr>
            <w:tcW w:w="4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4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31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659"/>
        </w:trPr>
        <w:tc>
          <w:tcPr>
            <w:tcW w:w="6231"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4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4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SimSun" w:eastAsia="SimSun" w:cs="Arial"/>
                <w:color w:val="000000"/>
                <w:sz w:val="18"/>
              </w:rPr>
            </w:pPr>
            <w:r>
              <w:rPr>
                <w:rFonts w:ascii="SimSun" w:eastAsia="SimSun" w:cs="Arial"/>
                <w:color w:val="000000"/>
                <w:sz w:val="18"/>
              </w:rPr>
              <w:t>100</w:t>
            </w:r>
          </w:p>
        </w:tc>
        <w:tc>
          <w:tcPr>
            <w:tcW w:w="131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659"/>
        </w:trPr>
        <w:tc>
          <w:tcPr>
            <w:tcW w:w="64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7792"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普通高中学生公用经费项目执行良好，资金足额到位、精准使用，保障教学运转，师生满意度高，有力推动教育质量提升。</w:t>
            </w:r>
          </w:p>
        </w:tc>
      </w:tr>
      <w:tr>
        <w:trPr>
          <w:trHeight w:val="659"/>
        </w:trPr>
        <w:tc>
          <w:tcPr>
            <w:tcW w:w="64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7792"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59"/>
        </w:trPr>
        <w:tc>
          <w:tcPr>
            <w:tcW w:w="64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7792"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加强资金监管</w:t>
            </w:r>
          </w:p>
        </w:tc>
      </w:tr>
      <w:tr>
        <w:trPr>
          <w:trHeight w:val="329"/>
        </w:trPr>
        <w:tc>
          <w:tcPr>
            <w:tcW w:w="426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项目负责人：陈阳</w:t>
            </w:r>
          </w:p>
        </w:tc>
        <w:tc>
          <w:tcPr>
            <w:tcW w:w="417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财务负责人：陈波</w:t>
            </w:r>
          </w:p>
        </w:tc>
      </w:tr>
    </w:tbl>
    <w:p>
      <w:r>
        <w:rPr>
          <w:rFonts w:ascii="SimSun" w:eastAsia="SimSun"/>
          <w:color w:val="000000"/>
          <w:sz w:val="18"/>
        </w:rPr>
        <w:br w:type="page"/>
      </w:r>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431"/>
        <w:gridCol w:w="1199"/>
        <w:gridCol w:w="1039"/>
        <w:gridCol w:w="1317"/>
        <w:gridCol w:w="338"/>
        <w:gridCol w:w="988"/>
        <w:gridCol w:w="338"/>
        <w:gridCol w:w="659"/>
        <w:gridCol w:w="329"/>
        <w:gridCol w:w="295"/>
        <w:gridCol w:w="1479"/>
      </w:tblGrid>
      <w:tr>
        <w:trPr>
          <w:trHeight w:val="284"/>
        </w:trPr>
        <w:tc>
          <w:tcPr>
            <w:tcW w:w="255" w:type="pct"/>
            <w:tcBorders>
              <w:top w:val="nil"/>
              <w:left w:val="nil"/>
              <w:bottom w:val="nil"/>
              <w:right w:val="nil"/>
              <w:tl2br w:val="nil"/>
              <w:tr2bl w:val="nil"/>
            </w:tcBorders>
            <w:noWrap/>
            <w:vAlign w:val="center"/>
          </w:tcPr>
          <w:p>
            <w:pPr>
              <w:rPr>
                <w:rFonts w:ascii="SimSun" w:eastAsia="SimSun"/>
                <w:color w:val="000000"/>
                <w:sz w:val="18"/>
              </w:rPr>
            </w:pPr>
          </w:p>
        </w:tc>
        <w:tc>
          <w:tcPr>
            <w:tcW w:w="712" w:type="pct"/>
            <w:tcBorders>
              <w:top w:val="nil"/>
              <w:left w:val="nil"/>
              <w:bottom w:val="nil"/>
              <w:right w:val="nil"/>
              <w:tl2br w:val="nil"/>
              <w:tr2bl w:val="nil"/>
            </w:tcBorders>
            <w:noWrap/>
            <w:vAlign w:val="center"/>
          </w:tcPr>
          <w:p>
            <w:pPr>
              <w:rPr>
                <w:rFonts w:ascii="SimSun" w:eastAsia="SimSun"/>
                <w:color w:val="000000"/>
                <w:sz w:val="18"/>
              </w:rPr>
            </w:pPr>
          </w:p>
        </w:tc>
        <w:tc>
          <w:tcPr>
            <w:tcW w:w="617" w:type="pct"/>
            <w:tcBorders>
              <w:top w:val="nil"/>
              <w:left w:val="nil"/>
              <w:bottom w:val="nil"/>
              <w:right w:val="nil"/>
              <w:tl2br w:val="nil"/>
              <w:tr2bl w:val="nil"/>
            </w:tcBorders>
            <w:noWrap/>
            <w:vAlign w:val="center"/>
          </w:tcPr>
          <w:p>
            <w:pPr>
              <w:rPr>
                <w:rFonts w:ascii="SimSun" w:eastAsia="SimSun"/>
                <w:color w:val="000000"/>
                <w:sz w:val="18"/>
              </w:rPr>
            </w:pPr>
          </w:p>
        </w:tc>
        <w:tc>
          <w:tcPr>
            <w:tcW w:w="783" w:type="pct"/>
            <w:tcBorders>
              <w:top w:val="nil"/>
              <w:left w:val="nil"/>
              <w:bottom w:val="nil"/>
              <w:right w:val="nil"/>
              <w:tl2br w:val="nil"/>
              <w:tr2bl w:val="nil"/>
            </w:tcBorders>
            <w:noWrap/>
            <w:vAlign w:val="center"/>
          </w:tcPr>
          <w:p>
            <w:pPr>
              <w:rPr>
                <w:rFonts w:ascii="SimSun" w:eastAsia="SimSun"/>
                <w:color w:val="000000"/>
                <w:sz w:val="18"/>
              </w:rPr>
            </w:pPr>
          </w:p>
        </w:tc>
        <w:tc>
          <w:tcPr>
            <w:tcW w:w="200" w:type="pct"/>
            <w:tcBorders>
              <w:top w:val="nil"/>
              <w:left w:val="nil"/>
              <w:bottom w:val="nil"/>
              <w:right w:val="nil"/>
              <w:tl2br w:val="nil"/>
              <w:tr2bl w:val="nil"/>
            </w:tcBorders>
            <w:noWrap/>
            <w:vAlign w:val="center"/>
          </w:tcPr>
          <w:p>
            <w:pPr>
              <w:rPr>
                <w:rFonts w:ascii="SimSun" w:eastAsia="SimSun"/>
                <w:color w:val="000000"/>
                <w:sz w:val="18"/>
              </w:rPr>
            </w:pPr>
          </w:p>
        </w:tc>
        <w:tc>
          <w:tcPr>
            <w:tcW w:w="587" w:type="pct"/>
            <w:tcBorders>
              <w:top w:val="nil"/>
              <w:left w:val="nil"/>
              <w:bottom w:val="nil"/>
              <w:right w:val="nil"/>
              <w:tl2br w:val="nil"/>
              <w:tr2bl w:val="nil"/>
            </w:tcBorders>
            <w:noWrap/>
            <w:vAlign w:val="center"/>
          </w:tcPr>
          <w:p>
            <w:pPr>
              <w:rPr>
                <w:rFonts w:ascii="SimSun" w:eastAsia="SimSun"/>
                <w:color w:val="000000"/>
                <w:sz w:val="18"/>
              </w:rPr>
            </w:pPr>
          </w:p>
        </w:tc>
        <w:tc>
          <w:tcPr>
            <w:tcW w:w="200" w:type="pct"/>
            <w:tcBorders>
              <w:top w:val="nil"/>
              <w:left w:val="nil"/>
              <w:bottom w:val="nil"/>
              <w:right w:val="nil"/>
              <w:tl2br w:val="nil"/>
              <w:tr2bl w:val="nil"/>
            </w:tcBorders>
            <w:noWrap/>
            <w:vAlign w:val="center"/>
          </w:tcPr>
          <w:p>
            <w:pPr>
              <w:rPr>
                <w:rFonts w:ascii="SimSun" w:eastAsia="SimSun"/>
                <w:color w:val="000000"/>
                <w:sz w:val="18"/>
              </w:rPr>
            </w:pPr>
          </w:p>
        </w:tc>
        <w:tc>
          <w:tcPr>
            <w:tcW w:w="391" w:type="pct"/>
            <w:tcBorders>
              <w:top w:val="nil"/>
              <w:left w:val="nil"/>
              <w:bottom w:val="nil"/>
              <w:right w:val="nil"/>
              <w:tl2br w:val="nil"/>
              <w:tr2bl w:val="nil"/>
            </w:tcBorders>
            <w:noWrap/>
            <w:vAlign w:val="center"/>
          </w:tcPr>
          <w:p>
            <w:pPr>
              <w:rPr>
                <w:rFonts w:ascii="SimSun" w:eastAsia="SimSun"/>
                <w:color w:val="000000"/>
                <w:sz w:val="18"/>
              </w:rPr>
            </w:pPr>
          </w:p>
        </w:tc>
        <w:tc>
          <w:tcPr>
            <w:tcW w:w="195" w:type="pct"/>
            <w:tcBorders>
              <w:top w:val="nil"/>
              <w:left w:val="nil"/>
              <w:bottom w:val="nil"/>
              <w:right w:val="nil"/>
              <w:tl2br w:val="nil"/>
              <w:tr2bl w:val="nil"/>
            </w:tcBorders>
            <w:noWrap/>
            <w:vAlign w:val="center"/>
          </w:tcPr>
          <w:p>
            <w:pPr>
              <w:rPr>
                <w:rFonts w:ascii="SimSun" w:eastAsia="SimSun"/>
                <w:color w:val="000000"/>
                <w:sz w:val="18"/>
              </w:rPr>
            </w:pPr>
          </w:p>
        </w:tc>
        <w:tc>
          <w:tcPr>
            <w:tcW w:w="175" w:type="pct"/>
            <w:tcBorders>
              <w:top w:val="nil"/>
              <w:left w:val="nil"/>
              <w:bottom w:val="nil"/>
              <w:right w:val="nil"/>
              <w:tl2br w:val="nil"/>
              <w:tr2bl w:val="nil"/>
            </w:tcBorders>
            <w:noWrap/>
            <w:vAlign w:val="center"/>
          </w:tcPr>
          <w:p>
            <w:pPr>
              <w:rPr>
                <w:rFonts w:ascii="SimSun" w:eastAsia="SimSun"/>
                <w:color w:val="000000"/>
                <w:sz w:val="18"/>
              </w:rPr>
            </w:pPr>
          </w:p>
        </w:tc>
        <w:tc>
          <w:tcPr>
            <w:tcW w:w="878" w:type="pct"/>
            <w:tcBorders>
              <w:top w:val="nil"/>
              <w:left w:val="nil"/>
              <w:bottom w:val="nil"/>
              <w:right w:val="nil"/>
              <w:tl2br w:val="nil"/>
              <w:tr2bl w:val="nil"/>
            </w:tcBorders>
            <w:noWrap/>
            <w:vAlign w:val="center"/>
          </w:tcPr>
          <w:p>
            <w:pPr>
              <w:rPr>
                <w:rFonts w:ascii="SimSun" w:eastAsia="SimSun"/>
                <w:color w:val="000000"/>
                <w:sz w:val="18"/>
              </w:rPr>
            </w:pPr>
          </w:p>
        </w:tc>
      </w:tr>
      <w:tr>
        <w:trPr>
          <w:trHeight w:val="899"/>
        </w:trPr>
        <w:tc>
          <w:tcPr>
            <w:tcW w:w="5000" w:type="pct"/>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部门预算项目支出绩效自评表（2024年度）</w:t>
            </w:r>
          </w:p>
        </w:tc>
      </w:tr>
      <w:tr>
        <w:trPr>
          <w:trHeight w:val="284"/>
        </w:trPr>
        <w:tc>
          <w:tcPr>
            <w:tcW w:w="968"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4031" w:type="pct"/>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51320021T000000045830-高中信息技术费</w:t>
            </w:r>
          </w:p>
        </w:tc>
      </w:tr>
      <w:tr>
        <w:trPr>
          <w:trHeight w:val="509"/>
        </w:trPr>
        <w:tc>
          <w:tcPr>
            <w:tcW w:w="968"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238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州教育局部门</w:t>
            </w:r>
          </w:p>
        </w:tc>
        <w:tc>
          <w:tcPr>
            <w:tcW w:w="391" w:type="pct"/>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1250"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马师校</w:t>
            </w:r>
          </w:p>
        </w:tc>
      </w:tr>
      <w:tr>
        <w:trPr>
          <w:trHeight w:val="284"/>
        </w:trPr>
        <w:tc>
          <w:tcPr>
            <w:tcW w:w="255"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712"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238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1641" w:type="pct"/>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70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8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高中信息技术费</w:t>
            </w:r>
          </w:p>
        </w:tc>
        <w:tc>
          <w:tcPr>
            <w:tcW w:w="1641" w:type="pct"/>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对照年度目标，说明相关任务目标的完成情况（100字以内）</w:t>
            </w:r>
          </w:p>
        </w:tc>
      </w:tr>
      <w:tr>
        <w:trPr>
          <w:trHeight w:val="68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4031" w:type="pct"/>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高中信息技术费用于软件及教学资源，排课系统等，满足教学实践与学习需求。</w:t>
            </w:r>
          </w:p>
        </w:tc>
      </w:tr>
      <w:tr>
        <w:trPr>
          <w:trHeight w:val="359"/>
        </w:trPr>
        <w:tc>
          <w:tcPr>
            <w:tcW w:w="255"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87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10.15</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10.05</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10.05</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878"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10.15</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10.05</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10.05</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255"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87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产出指标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数量指标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任务完成率</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95</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87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质量指标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网络覆盖率</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95</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87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时效指标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及时完成率</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95</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28</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28</w:t>
            </w:r>
          </w:p>
        </w:tc>
        <w:tc>
          <w:tcPr>
            <w:tcW w:w="87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效益指标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社会效益指标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促进教育发展</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定性</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有效促进</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有效促进</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87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可持续影响指标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提升教学质量</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定性</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有效</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有效保障</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87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满意度指标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服务对象满意度指标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师生满意度</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87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成本指标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经济成本指标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成本范围控制</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10.15</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万元</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10.15</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87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3749" w:type="pct"/>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SimSun" w:eastAsia="SimSun" w:cs="Arial"/>
                <w:color w:val="000000"/>
                <w:sz w:val="18"/>
              </w:rPr>
            </w:pPr>
            <w:r>
              <w:rPr>
                <w:rFonts w:ascii="SimSun" w:eastAsia="SimSun" w:cs="Arial"/>
                <w:color w:val="000000"/>
                <w:sz w:val="18"/>
              </w:rPr>
              <w:t>100</w:t>
            </w:r>
          </w:p>
        </w:tc>
        <w:tc>
          <w:tcPr>
            <w:tcW w:w="878"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599"/>
        </w:trPr>
        <w:tc>
          <w:tcPr>
            <w:tcW w:w="2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4744"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10.15万元高中信息技术费项目，资金使用合规，资源配置到位，满足教学需求，提升信息教学质量，项目实施成效良好。</w:t>
            </w:r>
          </w:p>
        </w:tc>
      </w:tr>
      <w:tr>
        <w:trPr>
          <w:trHeight w:val="569"/>
        </w:trPr>
        <w:tc>
          <w:tcPr>
            <w:tcW w:w="2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4744"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trPr>
        <w:tc>
          <w:tcPr>
            <w:tcW w:w="2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4744"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加强资金执行进度监控</w:t>
            </w:r>
          </w:p>
        </w:tc>
      </w:tr>
      <w:tr>
        <w:trPr>
          <w:trHeight w:val="284"/>
        </w:trPr>
        <w:tc>
          <w:tcPr>
            <w:tcW w:w="2570"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项目负责人：陈阳</w:t>
            </w:r>
          </w:p>
        </w:tc>
        <w:tc>
          <w:tcPr>
            <w:tcW w:w="2429" w:type="pct"/>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财务负责人：陈波</w:t>
            </w:r>
          </w:p>
        </w:tc>
      </w:tr>
    </w:tbl>
    <w:p>
      <w:r>
        <w:rPr>
          <w:rFonts w:ascii="SimSun" w:eastAsia="SimSun"/>
          <w:color w:val="000000"/>
          <w:sz w:val="18"/>
        </w:rPr>
        <w:br w:type="page"/>
      </w:r>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431"/>
        <w:gridCol w:w="1199"/>
        <w:gridCol w:w="1039"/>
        <w:gridCol w:w="1317"/>
        <w:gridCol w:w="338"/>
        <w:gridCol w:w="988"/>
        <w:gridCol w:w="338"/>
        <w:gridCol w:w="659"/>
        <w:gridCol w:w="329"/>
        <w:gridCol w:w="295"/>
        <w:gridCol w:w="1479"/>
      </w:tblGrid>
      <w:tr>
        <w:trPr>
          <w:trHeight w:val="284"/>
        </w:trPr>
        <w:tc>
          <w:tcPr>
            <w:tcW w:w="255" w:type="pct"/>
            <w:tcBorders>
              <w:top w:val="nil"/>
              <w:left w:val="nil"/>
              <w:bottom w:val="nil"/>
              <w:right w:val="nil"/>
              <w:tl2br w:val="nil"/>
              <w:tr2bl w:val="nil"/>
            </w:tcBorders>
            <w:noWrap/>
            <w:vAlign w:val="center"/>
          </w:tcPr>
          <w:p>
            <w:pPr>
              <w:rPr>
                <w:rFonts w:ascii="SimSun" w:eastAsia="SimSun"/>
                <w:color w:val="000000"/>
                <w:sz w:val="18"/>
              </w:rPr>
            </w:pPr>
          </w:p>
        </w:tc>
        <w:tc>
          <w:tcPr>
            <w:tcW w:w="712" w:type="pct"/>
            <w:tcBorders>
              <w:top w:val="nil"/>
              <w:left w:val="nil"/>
              <w:bottom w:val="nil"/>
              <w:right w:val="nil"/>
              <w:tl2br w:val="nil"/>
              <w:tr2bl w:val="nil"/>
            </w:tcBorders>
            <w:noWrap/>
            <w:vAlign w:val="center"/>
          </w:tcPr>
          <w:p>
            <w:pPr>
              <w:rPr>
                <w:rFonts w:ascii="SimSun" w:eastAsia="SimSun"/>
                <w:color w:val="000000"/>
                <w:sz w:val="18"/>
              </w:rPr>
            </w:pPr>
          </w:p>
        </w:tc>
        <w:tc>
          <w:tcPr>
            <w:tcW w:w="617" w:type="pct"/>
            <w:tcBorders>
              <w:top w:val="nil"/>
              <w:left w:val="nil"/>
              <w:bottom w:val="nil"/>
              <w:right w:val="nil"/>
              <w:tl2br w:val="nil"/>
              <w:tr2bl w:val="nil"/>
            </w:tcBorders>
            <w:noWrap/>
            <w:vAlign w:val="center"/>
          </w:tcPr>
          <w:p>
            <w:pPr>
              <w:rPr>
                <w:rFonts w:ascii="SimSun" w:eastAsia="SimSun"/>
                <w:color w:val="000000"/>
                <w:sz w:val="18"/>
              </w:rPr>
            </w:pPr>
          </w:p>
        </w:tc>
        <w:tc>
          <w:tcPr>
            <w:tcW w:w="783" w:type="pct"/>
            <w:tcBorders>
              <w:top w:val="nil"/>
              <w:left w:val="nil"/>
              <w:bottom w:val="nil"/>
              <w:right w:val="nil"/>
              <w:tl2br w:val="nil"/>
              <w:tr2bl w:val="nil"/>
            </w:tcBorders>
            <w:noWrap/>
            <w:vAlign w:val="center"/>
          </w:tcPr>
          <w:p>
            <w:pPr>
              <w:rPr>
                <w:rFonts w:ascii="SimSun" w:eastAsia="SimSun"/>
                <w:color w:val="000000"/>
                <w:sz w:val="18"/>
              </w:rPr>
            </w:pPr>
          </w:p>
        </w:tc>
        <w:tc>
          <w:tcPr>
            <w:tcW w:w="200" w:type="pct"/>
            <w:tcBorders>
              <w:top w:val="nil"/>
              <w:left w:val="nil"/>
              <w:bottom w:val="nil"/>
              <w:right w:val="nil"/>
              <w:tl2br w:val="nil"/>
              <w:tr2bl w:val="nil"/>
            </w:tcBorders>
            <w:noWrap/>
            <w:vAlign w:val="center"/>
          </w:tcPr>
          <w:p>
            <w:pPr>
              <w:rPr>
                <w:rFonts w:ascii="SimSun" w:eastAsia="SimSun"/>
                <w:color w:val="000000"/>
                <w:sz w:val="18"/>
              </w:rPr>
            </w:pPr>
          </w:p>
        </w:tc>
        <w:tc>
          <w:tcPr>
            <w:tcW w:w="587" w:type="pct"/>
            <w:tcBorders>
              <w:top w:val="nil"/>
              <w:left w:val="nil"/>
              <w:bottom w:val="nil"/>
              <w:right w:val="nil"/>
              <w:tl2br w:val="nil"/>
              <w:tr2bl w:val="nil"/>
            </w:tcBorders>
            <w:noWrap/>
            <w:vAlign w:val="center"/>
          </w:tcPr>
          <w:p>
            <w:pPr>
              <w:rPr>
                <w:rFonts w:ascii="SimSun" w:eastAsia="SimSun"/>
                <w:color w:val="000000"/>
                <w:sz w:val="18"/>
              </w:rPr>
            </w:pPr>
          </w:p>
        </w:tc>
        <w:tc>
          <w:tcPr>
            <w:tcW w:w="200" w:type="pct"/>
            <w:tcBorders>
              <w:top w:val="nil"/>
              <w:left w:val="nil"/>
              <w:bottom w:val="nil"/>
              <w:right w:val="nil"/>
              <w:tl2br w:val="nil"/>
              <w:tr2bl w:val="nil"/>
            </w:tcBorders>
            <w:noWrap/>
            <w:vAlign w:val="center"/>
          </w:tcPr>
          <w:p>
            <w:pPr>
              <w:rPr>
                <w:rFonts w:ascii="SimSun" w:eastAsia="SimSun"/>
                <w:color w:val="000000"/>
                <w:sz w:val="18"/>
              </w:rPr>
            </w:pPr>
          </w:p>
        </w:tc>
        <w:tc>
          <w:tcPr>
            <w:tcW w:w="391" w:type="pct"/>
            <w:tcBorders>
              <w:top w:val="nil"/>
              <w:left w:val="nil"/>
              <w:bottom w:val="nil"/>
              <w:right w:val="nil"/>
              <w:tl2br w:val="nil"/>
              <w:tr2bl w:val="nil"/>
            </w:tcBorders>
            <w:noWrap/>
            <w:vAlign w:val="center"/>
          </w:tcPr>
          <w:p>
            <w:pPr>
              <w:rPr>
                <w:rFonts w:ascii="SimSun" w:eastAsia="SimSun"/>
                <w:color w:val="000000"/>
                <w:sz w:val="18"/>
              </w:rPr>
            </w:pPr>
          </w:p>
        </w:tc>
        <w:tc>
          <w:tcPr>
            <w:tcW w:w="195" w:type="pct"/>
            <w:tcBorders>
              <w:top w:val="nil"/>
              <w:left w:val="nil"/>
              <w:bottom w:val="nil"/>
              <w:right w:val="nil"/>
              <w:tl2br w:val="nil"/>
              <w:tr2bl w:val="nil"/>
            </w:tcBorders>
            <w:noWrap/>
            <w:vAlign w:val="center"/>
          </w:tcPr>
          <w:p>
            <w:pPr>
              <w:rPr>
                <w:rFonts w:ascii="SimSun" w:eastAsia="SimSun"/>
                <w:color w:val="000000"/>
                <w:sz w:val="18"/>
              </w:rPr>
            </w:pPr>
          </w:p>
        </w:tc>
        <w:tc>
          <w:tcPr>
            <w:tcW w:w="175" w:type="pct"/>
            <w:tcBorders>
              <w:top w:val="nil"/>
              <w:left w:val="nil"/>
              <w:bottom w:val="nil"/>
              <w:right w:val="nil"/>
              <w:tl2br w:val="nil"/>
              <w:tr2bl w:val="nil"/>
            </w:tcBorders>
            <w:noWrap/>
            <w:vAlign w:val="center"/>
          </w:tcPr>
          <w:p>
            <w:pPr>
              <w:rPr>
                <w:rFonts w:ascii="SimSun" w:eastAsia="SimSun"/>
                <w:color w:val="000000"/>
                <w:sz w:val="18"/>
              </w:rPr>
            </w:pPr>
          </w:p>
        </w:tc>
        <w:tc>
          <w:tcPr>
            <w:tcW w:w="878" w:type="pct"/>
            <w:tcBorders>
              <w:top w:val="nil"/>
              <w:left w:val="nil"/>
              <w:bottom w:val="nil"/>
              <w:right w:val="nil"/>
              <w:tl2br w:val="nil"/>
              <w:tr2bl w:val="nil"/>
            </w:tcBorders>
            <w:noWrap/>
            <w:vAlign w:val="center"/>
          </w:tcPr>
          <w:p>
            <w:pPr>
              <w:rPr>
                <w:rFonts w:ascii="SimSun" w:eastAsia="SimSun"/>
                <w:color w:val="000000"/>
                <w:sz w:val="18"/>
              </w:rPr>
            </w:pPr>
          </w:p>
        </w:tc>
      </w:tr>
      <w:tr>
        <w:trPr>
          <w:trHeight w:val="899"/>
        </w:trPr>
        <w:tc>
          <w:tcPr>
            <w:tcW w:w="5000" w:type="pct"/>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部门预算项目支出绩效自评表（2024年度）</w:t>
            </w:r>
          </w:p>
        </w:tc>
      </w:tr>
      <w:tr>
        <w:trPr>
          <w:trHeight w:val="284"/>
        </w:trPr>
        <w:tc>
          <w:tcPr>
            <w:tcW w:w="968"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4031" w:type="pct"/>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51320021T000000046341--学生取暖费</w:t>
            </w:r>
          </w:p>
        </w:tc>
      </w:tr>
      <w:tr>
        <w:trPr>
          <w:trHeight w:val="509"/>
        </w:trPr>
        <w:tc>
          <w:tcPr>
            <w:tcW w:w="968"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238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州教育局部门</w:t>
            </w:r>
          </w:p>
        </w:tc>
        <w:tc>
          <w:tcPr>
            <w:tcW w:w="391" w:type="pct"/>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1250"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马师校</w:t>
            </w:r>
          </w:p>
        </w:tc>
      </w:tr>
      <w:tr>
        <w:trPr>
          <w:trHeight w:val="284"/>
        </w:trPr>
        <w:tc>
          <w:tcPr>
            <w:tcW w:w="255"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712"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238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1641" w:type="pct"/>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70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8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　学生取暖</w:t>
            </w:r>
          </w:p>
        </w:tc>
        <w:tc>
          <w:tcPr>
            <w:tcW w:w="1641" w:type="pct"/>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对照年度目标，说明相关任务目标的完成情况（100字以内）</w:t>
            </w:r>
          </w:p>
        </w:tc>
      </w:tr>
      <w:tr>
        <w:trPr>
          <w:trHeight w:val="68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4031" w:type="pct"/>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普通高中学生取暖费项目，主要用于支付取暖电费及燃气费，按时供暖，过程中严格监管资金流向，保障温暖过冬。</w:t>
            </w:r>
          </w:p>
        </w:tc>
      </w:tr>
      <w:tr>
        <w:trPr>
          <w:trHeight w:val="359"/>
        </w:trPr>
        <w:tc>
          <w:tcPr>
            <w:tcW w:w="255"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87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4.06</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4.06</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4.06</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878"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4.06</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4.06</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4.06</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255"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87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产出指标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数量指标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取暖任务完成率</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95</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87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质量指标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学生取暖覆盖率</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95</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87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时效指标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取暖工作完成及时率</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95</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87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效益指标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社会效益指标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保障学生日常取暖</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定性</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有效保障</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有效保障</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87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生态效益指标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取暖污染排放率</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5</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87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满意度指标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服务对象满意度指标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学生满意度</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87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成本指标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生态环境成本指标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清洁能源减少污染</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定性</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减少污染</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减少污染</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87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3749" w:type="pct"/>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SimSun" w:eastAsia="SimSun" w:cs="Arial"/>
                <w:color w:val="000000"/>
                <w:sz w:val="18"/>
              </w:rPr>
            </w:pPr>
            <w:r>
              <w:rPr>
                <w:rFonts w:ascii="SimSun" w:eastAsia="SimSun" w:cs="Arial"/>
                <w:color w:val="000000"/>
                <w:sz w:val="18"/>
              </w:rPr>
              <w:t>100</w:t>
            </w:r>
          </w:p>
        </w:tc>
        <w:tc>
          <w:tcPr>
            <w:tcW w:w="878"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599"/>
        </w:trPr>
        <w:tc>
          <w:tcPr>
            <w:tcW w:w="2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4744"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普通高中学生取暖费项目，资金使用合规，按需求完成，供暖及时且温度达标，保障了冬季教学秩序，满足师生取暖需求，项目实施高效，成效良好。</w:t>
            </w:r>
          </w:p>
        </w:tc>
      </w:tr>
      <w:tr>
        <w:trPr>
          <w:trHeight w:val="569"/>
        </w:trPr>
        <w:tc>
          <w:tcPr>
            <w:tcW w:w="2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4744"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trPr>
        <w:tc>
          <w:tcPr>
            <w:tcW w:w="2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4744"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284"/>
        </w:trPr>
        <w:tc>
          <w:tcPr>
            <w:tcW w:w="2570"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项目负责人：谢然热知</w:t>
            </w:r>
          </w:p>
        </w:tc>
        <w:tc>
          <w:tcPr>
            <w:tcW w:w="2429" w:type="pct"/>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财务负责人：陈波</w:t>
            </w:r>
          </w:p>
        </w:tc>
      </w:tr>
    </w:tbl>
    <w:p>
      <w:r>
        <w:rPr>
          <w:rFonts w:ascii="SimSun" w:eastAsia="SimSun"/>
          <w:color w:val="000000"/>
          <w:sz w:val="18"/>
        </w:rPr>
        <w:br w:type="page"/>
      </w:r>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431"/>
        <w:gridCol w:w="1199"/>
        <w:gridCol w:w="1039"/>
        <w:gridCol w:w="1317"/>
        <w:gridCol w:w="338"/>
        <w:gridCol w:w="988"/>
        <w:gridCol w:w="338"/>
        <w:gridCol w:w="659"/>
        <w:gridCol w:w="329"/>
        <w:gridCol w:w="295"/>
        <w:gridCol w:w="1479"/>
      </w:tblGrid>
      <w:tr>
        <w:trPr>
          <w:trHeight w:val="284"/>
        </w:trPr>
        <w:tc>
          <w:tcPr>
            <w:tcW w:w="255" w:type="pct"/>
            <w:tcBorders>
              <w:top w:val="nil"/>
              <w:left w:val="nil"/>
              <w:bottom w:val="nil"/>
              <w:right w:val="nil"/>
              <w:tl2br w:val="nil"/>
              <w:tr2bl w:val="nil"/>
            </w:tcBorders>
            <w:noWrap/>
            <w:vAlign w:val="center"/>
          </w:tcPr>
          <w:p>
            <w:pPr>
              <w:rPr>
                <w:rFonts w:ascii="SimSun" w:eastAsia="SimSun"/>
                <w:color w:val="000000"/>
                <w:sz w:val="18"/>
              </w:rPr>
            </w:pPr>
          </w:p>
        </w:tc>
        <w:tc>
          <w:tcPr>
            <w:tcW w:w="712" w:type="pct"/>
            <w:tcBorders>
              <w:top w:val="nil"/>
              <w:left w:val="nil"/>
              <w:bottom w:val="nil"/>
              <w:right w:val="nil"/>
              <w:tl2br w:val="nil"/>
              <w:tr2bl w:val="nil"/>
            </w:tcBorders>
            <w:noWrap/>
            <w:vAlign w:val="center"/>
          </w:tcPr>
          <w:p>
            <w:pPr>
              <w:rPr>
                <w:rFonts w:ascii="SimSun" w:eastAsia="SimSun"/>
                <w:color w:val="000000"/>
                <w:sz w:val="18"/>
              </w:rPr>
            </w:pPr>
          </w:p>
        </w:tc>
        <w:tc>
          <w:tcPr>
            <w:tcW w:w="617" w:type="pct"/>
            <w:tcBorders>
              <w:top w:val="nil"/>
              <w:left w:val="nil"/>
              <w:bottom w:val="nil"/>
              <w:right w:val="nil"/>
              <w:tl2br w:val="nil"/>
              <w:tr2bl w:val="nil"/>
            </w:tcBorders>
            <w:noWrap/>
            <w:vAlign w:val="center"/>
          </w:tcPr>
          <w:p>
            <w:pPr>
              <w:rPr>
                <w:rFonts w:ascii="SimSun" w:eastAsia="SimSun"/>
                <w:color w:val="000000"/>
                <w:sz w:val="18"/>
              </w:rPr>
            </w:pPr>
          </w:p>
        </w:tc>
        <w:tc>
          <w:tcPr>
            <w:tcW w:w="783" w:type="pct"/>
            <w:tcBorders>
              <w:top w:val="nil"/>
              <w:left w:val="nil"/>
              <w:bottom w:val="nil"/>
              <w:right w:val="nil"/>
              <w:tl2br w:val="nil"/>
              <w:tr2bl w:val="nil"/>
            </w:tcBorders>
            <w:noWrap/>
            <w:vAlign w:val="center"/>
          </w:tcPr>
          <w:p>
            <w:pPr>
              <w:rPr>
                <w:rFonts w:ascii="SimSun" w:eastAsia="SimSun"/>
                <w:color w:val="000000"/>
                <w:sz w:val="18"/>
              </w:rPr>
            </w:pPr>
          </w:p>
        </w:tc>
        <w:tc>
          <w:tcPr>
            <w:tcW w:w="200" w:type="pct"/>
            <w:tcBorders>
              <w:top w:val="nil"/>
              <w:left w:val="nil"/>
              <w:bottom w:val="nil"/>
              <w:right w:val="nil"/>
              <w:tl2br w:val="nil"/>
              <w:tr2bl w:val="nil"/>
            </w:tcBorders>
            <w:noWrap/>
            <w:vAlign w:val="center"/>
          </w:tcPr>
          <w:p>
            <w:pPr>
              <w:rPr>
                <w:rFonts w:ascii="SimSun" w:eastAsia="SimSun"/>
                <w:color w:val="000000"/>
                <w:sz w:val="18"/>
              </w:rPr>
            </w:pPr>
          </w:p>
        </w:tc>
        <w:tc>
          <w:tcPr>
            <w:tcW w:w="587" w:type="pct"/>
            <w:tcBorders>
              <w:top w:val="nil"/>
              <w:left w:val="nil"/>
              <w:bottom w:val="nil"/>
              <w:right w:val="nil"/>
              <w:tl2br w:val="nil"/>
              <w:tr2bl w:val="nil"/>
            </w:tcBorders>
            <w:noWrap/>
            <w:vAlign w:val="center"/>
          </w:tcPr>
          <w:p>
            <w:pPr>
              <w:rPr>
                <w:rFonts w:ascii="SimSun" w:eastAsia="SimSun"/>
                <w:color w:val="000000"/>
                <w:sz w:val="18"/>
              </w:rPr>
            </w:pPr>
          </w:p>
        </w:tc>
        <w:tc>
          <w:tcPr>
            <w:tcW w:w="200" w:type="pct"/>
            <w:tcBorders>
              <w:top w:val="nil"/>
              <w:left w:val="nil"/>
              <w:bottom w:val="nil"/>
              <w:right w:val="nil"/>
              <w:tl2br w:val="nil"/>
              <w:tr2bl w:val="nil"/>
            </w:tcBorders>
            <w:noWrap/>
            <w:vAlign w:val="center"/>
          </w:tcPr>
          <w:p>
            <w:pPr>
              <w:rPr>
                <w:rFonts w:ascii="SimSun" w:eastAsia="SimSun"/>
                <w:color w:val="000000"/>
                <w:sz w:val="18"/>
              </w:rPr>
            </w:pPr>
          </w:p>
        </w:tc>
        <w:tc>
          <w:tcPr>
            <w:tcW w:w="391" w:type="pct"/>
            <w:tcBorders>
              <w:top w:val="nil"/>
              <w:left w:val="nil"/>
              <w:bottom w:val="nil"/>
              <w:right w:val="nil"/>
              <w:tl2br w:val="nil"/>
              <w:tr2bl w:val="nil"/>
            </w:tcBorders>
            <w:noWrap/>
            <w:vAlign w:val="center"/>
          </w:tcPr>
          <w:p>
            <w:pPr>
              <w:rPr>
                <w:rFonts w:ascii="SimSun" w:eastAsia="SimSun"/>
                <w:color w:val="000000"/>
                <w:sz w:val="18"/>
              </w:rPr>
            </w:pPr>
          </w:p>
        </w:tc>
        <w:tc>
          <w:tcPr>
            <w:tcW w:w="195" w:type="pct"/>
            <w:tcBorders>
              <w:top w:val="nil"/>
              <w:left w:val="nil"/>
              <w:bottom w:val="nil"/>
              <w:right w:val="nil"/>
              <w:tl2br w:val="nil"/>
              <w:tr2bl w:val="nil"/>
            </w:tcBorders>
            <w:noWrap/>
            <w:vAlign w:val="center"/>
          </w:tcPr>
          <w:p>
            <w:pPr>
              <w:rPr>
                <w:rFonts w:ascii="SimSun" w:eastAsia="SimSun"/>
                <w:color w:val="000000"/>
                <w:sz w:val="18"/>
              </w:rPr>
            </w:pPr>
          </w:p>
        </w:tc>
        <w:tc>
          <w:tcPr>
            <w:tcW w:w="175" w:type="pct"/>
            <w:tcBorders>
              <w:top w:val="nil"/>
              <w:left w:val="nil"/>
              <w:bottom w:val="nil"/>
              <w:right w:val="nil"/>
              <w:tl2br w:val="nil"/>
              <w:tr2bl w:val="nil"/>
            </w:tcBorders>
            <w:noWrap/>
            <w:vAlign w:val="center"/>
          </w:tcPr>
          <w:p>
            <w:pPr>
              <w:rPr>
                <w:rFonts w:ascii="SimSun" w:eastAsia="SimSun"/>
                <w:color w:val="000000"/>
                <w:sz w:val="18"/>
              </w:rPr>
            </w:pPr>
          </w:p>
        </w:tc>
        <w:tc>
          <w:tcPr>
            <w:tcW w:w="878" w:type="pct"/>
            <w:tcBorders>
              <w:top w:val="nil"/>
              <w:left w:val="nil"/>
              <w:bottom w:val="nil"/>
              <w:right w:val="nil"/>
              <w:tl2br w:val="nil"/>
              <w:tr2bl w:val="nil"/>
            </w:tcBorders>
            <w:noWrap/>
            <w:vAlign w:val="center"/>
          </w:tcPr>
          <w:p>
            <w:pPr>
              <w:rPr>
                <w:rFonts w:ascii="SimSun" w:eastAsia="SimSun"/>
                <w:color w:val="000000"/>
                <w:sz w:val="18"/>
              </w:rPr>
            </w:pPr>
          </w:p>
        </w:tc>
      </w:tr>
      <w:tr>
        <w:trPr>
          <w:trHeight w:val="899"/>
        </w:trPr>
        <w:tc>
          <w:tcPr>
            <w:tcW w:w="5000" w:type="pct"/>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部门预算项目支出绩效自评表（2024年度）</w:t>
            </w:r>
          </w:p>
        </w:tc>
      </w:tr>
      <w:tr>
        <w:trPr>
          <w:trHeight w:val="284"/>
        </w:trPr>
        <w:tc>
          <w:tcPr>
            <w:tcW w:w="968"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4031" w:type="pct"/>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51320021T000000046442-基本目标奖</w:t>
            </w:r>
          </w:p>
        </w:tc>
      </w:tr>
      <w:tr>
        <w:trPr>
          <w:trHeight w:val="509"/>
        </w:trPr>
        <w:tc>
          <w:tcPr>
            <w:tcW w:w="968"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238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州教育局部门</w:t>
            </w:r>
          </w:p>
        </w:tc>
        <w:tc>
          <w:tcPr>
            <w:tcW w:w="391" w:type="pct"/>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1250"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马师校</w:t>
            </w:r>
          </w:p>
        </w:tc>
      </w:tr>
      <w:tr>
        <w:trPr>
          <w:trHeight w:val="284"/>
        </w:trPr>
        <w:tc>
          <w:tcPr>
            <w:tcW w:w="255"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712"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238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1641" w:type="pct"/>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70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8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基本目标奖</w:t>
            </w:r>
          </w:p>
        </w:tc>
        <w:tc>
          <w:tcPr>
            <w:tcW w:w="1641" w:type="pct"/>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对照年度目标，说明相关任务目标的完成情况（100字以内）</w:t>
            </w:r>
          </w:p>
        </w:tc>
      </w:tr>
      <w:tr>
        <w:trPr>
          <w:trHeight w:val="68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4031" w:type="pct"/>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教师周工作量为12节，音、体、美教师周工作量为14节”的规定，统计教师工作量，超出标准工作量的付基本目标奖</w:t>
            </w:r>
          </w:p>
        </w:tc>
      </w:tr>
      <w:tr>
        <w:trPr>
          <w:trHeight w:val="359"/>
        </w:trPr>
        <w:tc>
          <w:tcPr>
            <w:tcW w:w="255"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87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153.00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153.00</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153.00</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878"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153.00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153.00</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153.00</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255"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87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产出指标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数量指标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基本目标奖发放人数</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136</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人</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136</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87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质量指标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基本目标奖发放覆盖率</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95</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87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时效指标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目标奖发放及时率</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95</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87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效益指标</w:t>
            </w:r>
          </w:p>
        </w:tc>
        <w:tc>
          <w:tcPr>
            <w:tcW w:w="617"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社会效益指标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保障教职工工作积极性</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定性</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有效保障</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有效保障</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87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17"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提高教师工作积极性</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定性</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有效提高</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有效提高</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87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满意度指标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服务对象满意度指标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师生满意度</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95</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87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成本指标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经济成本指标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成本范围控制</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172.13</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万元</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153</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87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3749" w:type="pct"/>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SimSun" w:eastAsia="SimSun" w:cs="Arial"/>
                <w:color w:val="000000"/>
                <w:sz w:val="18"/>
              </w:rPr>
            </w:pPr>
            <w:r>
              <w:rPr>
                <w:rFonts w:ascii="SimSun" w:eastAsia="SimSun" w:cs="Arial"/>
                <w:color w:val="000000"/>
                <w:sz w:val="18"/>
              </w:rPr>
              <w:t>100</w:t>
            </w:r>
          </w:p>
        </w:tc>
        <w:tc>
          <w:tcPr>
            <w:tcW w:w="878"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599"/>
        </w:trPr>
        <w:tc>
          <w:tcPr>
            <w:tcW w:w="2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4744"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超出工作量教学工作任务的教师提供保障，有效促进教育发展，保障学校教育、教学相关工作的正常运转，项目为单位常年性项目，项目往年执行率100%，师生满意度90%以上，自评得分95分。</w:t>
            </w:r>
          </w:p>
        </w:tc>
      </w:tr>
      <w:tr>
        <w:trPr>
          <w:trHeight w:val="569"/>
        </w:trPr>
        <w:tc>
          <w:tcPr>
            <w:tcW w:w="2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4744"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trPr>
        <w:tc>
          <w:tcPr>
            <w:tcW w:w="2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4744"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284"/>
        </w:trPr>
        <w:tc>
          <w:tcPr>
            <w:tcW w:w="2570"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项目负责人：陈阳</w:t>
            </w:r>
          </w:p>
        </w:tc>
        <w:tc>
          <w:tcPr>
            <w:tcW w:w="2429" w:type="pct"/>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财务负责人：陈波</w:t>
            </w:r>
          </w:p>
        </w:tc>
      </w:tr>
    </w:tbl>
    <w:p>
      <w:r>
        <w:rPr>
          <w:rFonts w:ascii="SimSun" w:eastAsia="SimSun"/>
          <w:color w:val="000000"/>
          <w:sz w:val="18"/>
        </w:rPr>
        <w:br w:type="page"/>
      </w:r>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431"/>
        <w:gridCol w:w="1199"/>
        <w:gridCol w:w="1039"/>
        <w:gridCol w:w="1317"/>
        <w:gridCol w:w="338"/>
        <w:gridCol w:w="988"/>
        <w:gridCol w:w="338"/>
        <w:gridCol w:w="659"/>
        <w:gridCol w:w="329"/>
        <w:gridCol w:w="295"/>
        <w:gridCol w:w="1479"/>
      </w:tblGrid>
      <w:tr>
        <w:trPr>
          <w:trHeight w:val="284"/>
        </w:trPr>
        <w:tc>
          <w:tcPr>
            <w:tcW w:w="255" w:type="pct"/>
            <w:tcBorders>
              <w:top w:val="nil"/>
              <w:left w:val="nil"/>
              <w:bottom w:val="nil"/>
              <w:right w:val="nil"/>
              <w:tl2br w:val="nil"/>
              <w:tr2bl w:val="nil"/>
            </w:tcBorders>
            <w:noWrap/>
            <w:vAlign w:val="center"/>
          </w:tcPr>
          <w:p>
            <w:pPr>
              <w:rPr>
                <w:rFonts w:ascii="SimSun" w:eastAsia="SimSun"/>
                <w:color w:val="000000"/>
                <w:sz w:val="18"/>
              </w:rPr>
            </w:pPr>
          </w:p>
        </w:tc>
        <w:tc>
          <w:tcPr>
            <w:tcW w:w="712" w:type="pct"/>
            <w:tcBorders>
              <w:top w:val="nil"/>
              <w:left w:val="nil"/>
              <w:bottom w:val="nil"/>
              <w:right w:val="nil"/>
              <w:tl2br w:val="nil"/>
              <w:tr2bl w:val="nil"/>
            </w:tcBorders>
            <w:noWrap/>
            <w:vAlign w:val="center"/>
          </w:tcPr>
          <w:p>
            <w:pPr>
              <w:rPr>
                <w:rFonts w:ascii="SimSun" w:eastAsia="SimSun"/>
                <w:color w:val="000000"/>
                <w:sz w:val="18"/>
              </w:rPr>
            </w:pPr>
          </w:p>
        </w:tc>
        <w:tc>
          <w:tcPr>
            <w:tcW w:w="617" w:type="pct"/>
            <w:tcBorders>
              <w:top w:val="nil"/>
              <w:left w:val="nil"/>
              <w:bottom w:val="nil"/>
              <w:right w:val="nil"/>
              <w:tl2br w:val="nil"/>
              <w:tr2bl w:val="nil"/>
            </w:tcBorders>
            <w:noWrap/>
            <w:vAlign w:val="center"/>
          </w:tcPr>
          <w:p>
            <w:pPr>
              <w:rPr>
                <w:rFonts w:ascii="SimSun" w:eastAsia="SimSun"/>
                <w:color w:val="000000"/>
                <w:sz w:val="18"/>
              </w:rPr>
            </w:pPr>
          </w:p>
        </w:tc>
        <w:tc>
          <w:tcPr>
            <w:tcW w:w="783" w:type="pct"/>
            <w:tcBorders>
              <w:top w:val="nil"/>
              <w:left w:val="nil"/>
              <w:bottom w:val="nil"/>
              <w:right w:val="nil"/>
              <w:tl2br w:val="nil"/>
              <w:tr2bl w:val="nil"/>
            </w:tcBorders>
            <w:noWrap/>
            <w:vAlign w:val="center"/>
          </w:tcPr>
          <w:p>
            <w:pPr>
              <w:rPr>
                <w:rFonts w:ascii="SimSun" w:eastAsia="SimSun"/>
                <w:color w:val="000000"/>
                <w:sz w:val="18"/>
              </w:rPr>
            </w:pPr>
          </w:p>
        </w:tc>
        <w:tc>
          <w:tcPr>
            <w:tcW w:w="200" w:type="pct"/>
            <w:tcBorders>
              <w:top w:val="nil"/>
              <w:left w:val="nil"/>
              <w:bottom w:val="nil"/>
              <w:right w:val="nil"/>
              <w:tl2br w:val="nil"/>
              <w:tr2bl w:val="nil"/>
            </w:tcBorders>
            <w:noWrap/>
            <w:vAlign w:val="center"/>
          </w:tcPr>
          <w:p>
            <w:pPr>
              <w:rPr>
                <w:rFonts w:ascii="SimSun" w:eastAsia="SimSun"/>
                <w:color w:val="000000"/>
                <w:sz w:val="18"/>
              </w:rPr>
            </w:pPr>
          </w:p>
        </w:tc>
        <w:tc>
          <w:tcPr>
            <w:tcW w:w="587" w:type="pct"/>
            <w:tcBorders>
              <w:top w:val="nil"/>
              <w:left w:val="nil"/>
              <w:bottom w:val="nil"/>
              <w:right w:val="nil"/>
              <w:tl2br w:val="nil"/>
              <w:tr2bl w:val="nil"/>
            </w:tcBorders>
            <w:noWrap/>
            <w:vAlign w:val="center"/>
          </w:tcPr>
          <w:p>
            <w:pPr>
              <w:rPr>
                <w:rFonts w:ascii="SimSun" w:eastAsia="SimSun"/>
                <w:color w:val="000000"/>
                <w:sz w:val="18"/>
              </w:rPr>
            </w:pPr>
          </w:p>
        </w:tc>
        <w:tc>
          <w:tcPr>
            <w:tcW w:w="200" w:type="pct"/>
            <w:tcBorders>
              <w:top w:val="nil"/>
              <w:left w:val="nil"/>
              <w:bottom w:val="nil"/>
              <w:right w:val="nil"/>
              <w:tl2br w:val="nil"/>
              <w:tr2bl w:val="nil"/>
            </w:tcBorders>
            <w:noWrap/>
            <w:vAlign w:val="center"/>
          </w:tcPr>
          <w:p>
            <w:pPr>
              <w:rPr>
                <w:rFonts w:ascii="SimSun" w:eastAsia="SimSun"/>
                <w:color w:val="000000"/>
                <w:sz w:val="18"/>
              </w:rPr>
            </w:pPr>
          </w:p>
        </w:tc>
        <w:tc>
          <w:tcPr>
            <w:tcW w:w="391" w:type="pct"/>
            <w:tcBorders>
              <w:top w:val="nil"/>
              <w:left w:val="nil"/>
              <w:bottom w:val="nil"/>
              <w:right w:val="nil"/>
              <w:tl2br w:val="nil"/>
              <w:tr2bl w:val="nil"/>
            </w:tcBorders>
            <w:noWrap/>
            <w:vAlign w:val="center"/>
          </w:tcPr>
          <w:p>
            <w:pPr>
              <w:rPr>
                <w:rFonts w:ascii="SimSun" w:eastAsia="SimSun"/>
                <w:color w:val="000000"/>
                <w:sz w:val="18"/>
              </w:rPr>
            </w:pPr>
          </w:p>
        </w:tc>
        <w:tc>
          <w:tcPr>
            <w:tcW w:w="195" w:type="pct"/>
            <w:tcBorders>
              <w:top w:val="nil"/>
              <w:left w:val="nil"/>
              <w:bottom w:val="nil"/>
              <w:right w:val="nil"/>
              <w:tl2br w:val="nil"/>
              <w:tr2bl w:val="nil"/>
            </w:tcBorders>
            <w:noWrap/>
            <w:vAlign w:val="center"/>
          </w:tcPr>
          <w:p>
            <w:pPr>
              <w:rPr>
                <w:rFonts w:ascii="SimSun" w:eastAsia="SimSun"/>
                <w:color w:val="000000"/>
                <w:sz w:val="18"/>
              </w:rPr>
            </w:pPr>
          </w:p>
        </w:tc>
        <w:tc>
          <w:tcPr>
            <w:tcW w:w="175" w:type="pct"/>
            <w:tcBorders>
              <w:top w:val="nil"/>
              <w:left w:val="nil"/>
              <w:bottom w:val="nil"/>
              <w:right w:val="nil"/>
              <w:tl2br w:val="nil"/>
              <w:tr2bl w:val="nil"/>
            </w:tcBorders>
            <w:noWrap/>
            <w:vAlign w:val="center"/>
          </w:tcPr>
          <w:p>
            <w:pPr>
              <w:rPr>
                <w:rFonts w:ascii="SimSun" w:eastAsia="SimSun"/>
                <w:color w:val="000000"/>
                <w:sz w:val="18"/>
              </w:rPr>
            </w:pPr>
          </w:p>
        </w:tc>
        <w:tc>
          <w:tcPr>
            <w:tcW w:w="879" w:type="pct"/>
            <w:tcBorders>
              <w:top w:val="nil"/>
              <w:left w:val="nil"/>
              <w:bottom w:val="nil"/>
              <w:right w:val="nil"/>
              <w:tl2br w:val="nil"/>
              <w:tr2bl w:val="nil"/>
            </w:tcBorders>
            <w:noWrap/>
            <w:vAlign w:val="center"/>
          </w:tcPr>
          <w:p>
            <w:pPr>
              <w:rPr>
                <w:rFonts w:ascii="SimSun" w:eastAsia="SimSun"/>
                <w:color w:val="000000"/>
                <w:sz w:val="18"/>
              </w:rPr>
            </w:pPr>
          </w:p>
        </w:tc>
      </w:tr>
      <w:tr>
        <w:trPr>
          <w:trHeight w:val="899"/>
        </w:trPr>
        <w:tc>
          <w:tcPr>
            <w:tcW w:w="5000" w:type="pct"/>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部门预算项目支出绩效自评表（2024年度）</w:t>
            </w:r>
          </w:p>
        </w:tc>
      </w:tr>
      <w:tr>
        <w:trPr>
          <w:trHeight w:val="284"/>
        </w:trPr>
        <w:tc>
          <w:tcPr>
            <w:tcW w:w="968"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4031" w:type="pct"/>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51320022R000005202861-追加州级部门一次性抚恤金及丧葬费</w:t>
            </w:r>
          </w:p>
        </w:tc>
      </w:tr>
      <w:tr>
        <w:trPr>
          <w:trHeight w:val="509"/>
        </w:trPr>
        <w:tc>
          <w:tcPr>
            <w:tcW w:w="968"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238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州教育局部门</w:t>
            </w:r>
          </w:p>
        </w:tc>
        <w:tc>
          <w:tcPr>
            <w:tcW w:w="391" w:type="pct"/>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1250"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马师校</w:t>
            </w:r>
          </w:p>
        </w:tc>
      </w:tr>
      <w:tr>
        <w:trPr>
          <w:trHeight w:val="284"/>
        </w:trPr>
        <w:tc>
          <w:tcPr>
            <w:tcW w:w="255"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712"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238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1641" w:type="pct"/>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70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8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严格执行相关政策，保障工资及时、足额发放或社保及时、足额缴纳，预算编制科学合理，减少结余资金</w:t>
            </w:r>
          </w:p>
        </w:tc>
        <w:tc>
          <w:tcPr>
            <w:tcW w:w="1641" w:type="pct"/>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对照年度目标，说明相关任务目标的完成情况（100字以内）</w:t>
            </w:r>
          </w:p>
        </w:tc>
      </w:tr>
      <w:tr>
        <w:trPr>
          <w:trHeight w:val="68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4031" w:type="pct"/>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退休去世职工丧葬费</w:t>
            </w:r>
          </w:p>
        </w:tc>
      </w:tr>
      <w:tr>
        <w:trPr>
          <w:trHeight w:val="359"/>
        </w:trPr>
        <w:tc>
          <w:tcPr>
            <w:tcW w:w="255"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6.13</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6.13</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879"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6.13</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6.13</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255"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产出指标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数量指标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发放（缴纳）覆盖率</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60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60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效益指标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社会效益指标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足额保障率（参保率）</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3749" w:type="pct"/>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SimSun" w:eastAsia="SimSun" w:cs="Arial"/>
                <w:color w:val="000000"/>
                <w:sz w:val="18"/>
              </w:rPr>
            </w:pPr>
            <w:r>
              <w:rPr>
                <w:rFonts w:ascii="SimSun" w:eastAsia="SimSun" w:cs="Arial"/>
                <w:color w:val="000000"/>
                <w:sz w:val="18"/>
              </w:rPr>
              <w:t>100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599"/>
        </w:trPr>
        <w:tc>
          <w:tcPr>
            <w:tcW w:w="2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4744"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及时将丧葬补贴发放到去世退休亲属</w:t>
            </w:r>
          </w:p>
        </w:tc>
      </w:tr>
      <w:tr>
        <w:trPr>
          <w:trHeight w:val="569"/>
        </w:trPr>
        <w:tc>
          <w:tcPr>
            <w:tcW w:w="2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4744"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trPr>
        <w:tc>
          <w:tcPr>
            <w:tcW w:w="2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4744"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284"/>
        </w:trPr>
        <w:tc>
          <w:tcPr>
            <w:tcW w:w="2570"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项目负责人：王鑫宇</w:t>
            </w:r>
          </w:p>
        </w:tc>
        <w:tc>
          <w:tcPr>
            <w:tcW w:w="2429" w:type="pct"/>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财务负责人：陈波</w:t>
            </w:r>
          </w:p>
        </w:tc>
      </w:tr>
    </w:tbl>
    <w:p>
      <w:r>
        <w:rPr>
          <w:rFonts w:ascii="SimSun" w:eastAsia="SimSun"/>
          <w:color w:val="000000"/>
          <w:sz w:val="18"/>
        </w:rPr>
        <w:br w:type="page"/>
      </w:r>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431"/>
        <w:gridCol w:w="1199"/>
        <w:gridCol w:w="1039"/>
        <w:gridCol w:w="1317"/>
        <w:gridCol w:w="338"/>
        <w:gridCol w:w="988"/>
        <w:gridCol w:w="338"/>
        <w:gridCol w:w="659"/>
        <w:gridCol w:w="329"/>
        <w:gridCol w:w="295"/>
        <w:gridCol w:w="1479"/>
      </w:tblGrid>
      <w:tr>
        <w:trPr>
          <w:trHeight w:val="284"/>
        </w:trPr>
        <w:tc>
          <w:tcPr>
            <w:tcW w:w="255" w:type="pct"/>
            <w:tcBorders>
              <w:top w:val="nil"/>
              <w:left w:val="nil"/>
              <w:bottom w:val="nil"/>
              <w:right w:val="nil"/>
              <w:tl2br w:val="nil"/>
              <w:tr2bl w:val="nil"/>
            </w:tcBorders>
            <w:noWrap/>
            <w:vAlign w:val="center"/>
          </w:tcPr>
          <w:p>
            <w:pPr>
              <w:rPr>
                <w:rFonts w:ascii="SimSun" w:eastAsia="SimSun"/>
                <w:color w:val="000000"/>
                <w:sz w:val="18"/>
              </w:rPr>
            </w:pPr>
          </w:p>
        </w:tc>
        <w:tc>
          <w:tcPr>
            <w:tcW w:w="712" w:type="pct"/>
            <w:tcBorders>
              <w:top w:val="nil"/>
              <w:left w:val="nil"/>
              <w:bottom w:val="nil"/>
              <w:right w:val="nil"/>
              <w:tl2br w:val="nil"/>
              <w:tr2bl w:val="nil"/>
            </w:tcBorders>
            <w:noWrap/>
            <w:vAlign w:val="center"/>
          </w:tcPr>
          <w:p>
            <w:pPr>
              <w:rPr>
                <w:rFonts w:ascii="SimSun" w:eastAsia="SimSun"/>
                <w:color w:val="000000"/>
                <w:sz w:val="18"/>
              </w:rPr>
            </w:pPr>
          </w:p>
        </w:tc>
        <w:tc>
          <w:tcPr>
            <w:tcW w:w="617" w:type="pct"/>
            <w:tcBorders>
              <w:top w:val="nil"/>
              <w:left w:val="nil"/>
              <w:bottom w:val="nil"/>
              <w:right w:val="nil"/>
              <w:tl2br w:val="nil"/>
              <w:tr2bl w:val="nil"/>
            </w:tcBorders>
            <w:noWrap/>
            <w:vAlign w:val="center"/>
          </w:tcPr>
          <w:p>
            <w:pPr>
              <w:rPr>
                <w:rFonts w:ascii="SimSun" w:eastAsia="SimSun"/>
                <w:color w:val="000000"/>
                <w:sz w:val="18"/>
              </w:rPr>
            </w:pPr>
          </w:p>
        </w:tc>
        <w:tc>
          <w:tcPr>
            <w:tcW w:w="783" w:type="pct"/>
            <w:tcBorders>
              <w:top w:val="nil"/>
              <w:left w:val="nil"/>
              <w:bottom w:val="nil"/>
              <w:right w:val="nil"/>
              <w:tl2br w:val="nil"/>
              <w:tr2bl w:val="nil"/>
            </w:tcBorders>
            <w:noWrap/>
            <w:vAlign w:val="center"/>
          </w:tcPr>
          <w:p>
            <w:pPr>
              <w:rPr>
                <w:rFonts w:ascii="SimSun" w:eastAsia="SimSun"/>
                <w:color w:val="000000"/>
                <w:sz w:val="18"/>
              </w:rPr>
            </w:pPr>
          </w:p>
        </w:tc>
        <w:tc>
          <w:tcPr>
            <w:tcW w:w="200" w:type="pct"/>
            <w:tcBorders>
              <w:top w:val="nil"/>
              <w:left w:val="nil"/>
              <w:bottom w:val="nil"/>
              <w:right w:val="nil"/>
              <w:tl2br w:val="nil"/>
              <w:tr2bl w:val="nil"/>
            </w:tcBorders>
            <w:noWrap/>
            <w:vAlign w:val="center"/>
          </w:tcPr>
          <w:p>
            <w:pPr>
              <w:rPr>
                <w:rFonts w:ascii="SimSun" w:eastAsia="SimSun"/>
                <w:color w:val="000000"/>
                <w:sz w:val="18"/>
              </w:rPr>
            </w:pPr>
          </w:p>
        </w:tc>
        <w:tc>
          <w:tcPr>
            <w:tcW w:w="587" w:type="pct"/>
            <w:tcBorders>
              <w:top w:val="nil"/>
              <w:left w:val="nil"/>
              <w:bottom w:val="nil"/>
              <w:right w:val="nil"/>
              <w:tl2br w:val="nil"/>
              <w:tr2bl w:val="nil"/>
            </w:tcBorders>
            <w:noWrap/>
            <w:vAlign w:val="center"/>
          </w:tcPr>
          <w:p>
            <w:pPr>
              <w:rPr>
                <w:rFonts w:ascii="SimSun" w:eastAsia="SimSun"/>
                <w:color w:val="000000"/>
                <w:sz w:val="18"/>
              </w:rPr>
            </w:pPr>
          </w:p>
        </w:tc>
        <w:tc>
          <w:tcPr>
            <w:tcW w:w="200" w:type="pct"/>
            <w:tcBorders>
              <w:top w:val="nil"/>
              <w:left w:val="nil"/>
              <w:bottom w:val="nil"/>
              <w:right w:val="nil"/>
              <w:tl2br w:val="nil"/>
              <w:tr2bl w:val="nil"/>
            </w:tcBorders>
            <w:noWrap/>
            <w:vAlign w:val="center"/>
          </w:tcPr>
          <w:p>
            <w:pPr>
              <w:rPr>
                <w:rFonts w:ascii="SimSun" w:eastAsia="SimSun"/>
                <w:color w:val="000000"/>
                <w:sz w:val="18"/>
              </w:rPr>
            </w:pPr>
          </w:p>
        </w:tc>
        <w:tc>
          <w:tcPr>
            <w:tcW w:w="391" w:type="pct"/>
            <w:tcBorders>
              <w:top w:val="nil"/>
              <w:left w:val="nil"/>
              <w:bottom w:val="nil"/>
              <w:right w:val="nil"/>
              <w:tl2br w:val="nil"/>
              <w:tr2bl w:val="nil"/>
            </w:tcBorders>
            <w:noWrap/>
            <w:vAlign w:val="center"/>
          </w:tcPr>
          <w:p>
            <w:pPr>
              <w:rPr>
                <w:rFonts w:ascii="SimSun" w:eastAsia="SimSun"/>
                <w:color w:val="000000"/>
                <w:sz w:val="18"/>
              </w:rPr>
            </w:pPr>
          </w:p>
        </w:tc>
        <w:tc>
          <w:tcPr>
            <w:tcW w:w="195" w:type="pct"/>
            <w:tcBorders>
              <w:top w:val="nil"/>
              <w:left w:val="nil"/>
              <w:bottom w:val="nil"/>
              <w:right w:val="nil"/>
              <w:tl2br w:val="nil"/>
              <w:tr2bl w:val="nil"/>
            </w:tcBorders>
            <w:noWrap/>
            <w:vAlign w:val="center"/>
          </w:tcPr>
          <w:p>
            <w:pPr>
              <w:rPr>
                <w:rFonts w:ascii="SimSun" w:eastAsia="SimSun"/>
                <w:color w:val="000000"/>
                <w:sz w:val="18"/>
              </w:rPr>
            </w:pPr>
          </w:p>
        </w:tc>
        <w:tc>
          <w:tcPr>
            <w:tcW w:w="175" w:type="pct"/>
            <w:tcBorders>
              <w:top w:val="nil"/>
              <w:left w:val="nil"/>
              <w:bottom w:val="nil"/>
              <w:right w:val="nil"/>
              <w:tl2br w:val="nil"/>
              <w:tr2bl w:val="nil"/>
            </w:tcBorders>
            <w:noWrap/>
            <w:vAlign w:val="center"/>
          </w:tcPr>
          <w:p>
            <w:pPr>
              <w:rPr>
                <w:rFonts w:ascii="SimSun" w:eastAsia="SimSun"/>
                <w:color w:val="000000"/>
                <w:sz w:val="18"/>
              </w:rPr>
            </w:pPr>
          </w:p>
        </w:tc>
        <w:tc>
          <w:tcPr>
            <w:tcW w:w="879" w:type="pct"/>
            <w:tcBorders>
              <w:top w:val="nil"/>
              <w:left w:val="nil"/>
              <w:bottom w:val="nil"/>
              <w:right w:val="nil"/>
              <w:tl2br w:val="nil"/>
              <w:tr2bl w:val="nil"/>
            </w:tcBorders>
            <w:noWrap/>
            <w:vAlign w:val="center"/>
          </w:tcPr>
          <w:p>
            <w:pPr>
              <w:rPr>
                <w:rFonts w:ascii="SimSun" w:eastAsia="SimSun"/>
                <w:color w:val="000000"/>
                <w:sz w:val="18"/>
              </w:rPr>
            </w:pPr>
          </w:p>
        </w:tc>
      </w:tr>
      <w:tr>
        <w:trPr>
          <w:trHeight w:val="899"/>
        </w:trPr>
        <w:tc>
          <w:tcPr>
            <w:tcW w:w="5000" w:type="pct"/>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部门预算项目支出绩效自评表（2024年度）</w:t>
            </w:r>
          </w:p>
        </w:tc>
      </w:tr>
      <w:tr>
        <w:trPr>
          <w:trHeight w:val="284"/>
        </w:trPr>
        <w:tc>
          <w:tcPr>
            <w:tcW w:w="968"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4031" w:type="pct"/>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51320022R000005203810-追加州级部门建房补贴</w:t>
            </w:r>
          </w:p>
        </w:tc>
      </w:tr>
      <w:tr>
        <w:trPr>
          <w:trHeight w:val="509"/>
        </w:trPr>
        <w:tc>
          <w:tcPr>
            <w:tcW w:w="968"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238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州教育局部门</w:t>
            </w:r>
          </w:p>
        </w:tc>
        <w:tc>
          <w:tcPr>
            <w:tcW w:w="391" w:type="pct"/>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1250"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马师校</w:t>
            </w:r>
          </w:p>
        </w:tc>
      </w:tr>
      <w:tr>
        <w:trPr>
          <w:trHeight w:val="284"/>
        </w:trPr>
        <w:tc>
          <w:tcPr>
            <w:tcW w:w="255"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712"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238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1641" w:type="pct"/>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70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8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建房补贴</w:t>
            </w:r>
          </w:p>
        </w:tc>
        <w:tc>
          <w:tcPr>
            <w:tcW w:w="1641" w:type="pct"/>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对照年度目标，说明相关任务目标的完成情况（100字以内）</w:t>
            </w:r>
          </w:p>
        </w:tc>
      </w:tr>
      <w:tr>
        <w:trPr>
          <w:trHeight w:val="68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4031" w:type="pct"/>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退休困难职工建房补贴</w:t>
            </w:r>
          </w:p>
        </w:tc>
      </w:tr>
      <w:tr>
        <w:trPr>
          <w:trHeight w:val="359"/>
        </w:trPr>
        <w:tc>
          <w:tcPr>
            <w:tcW w:w="255"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5.40</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5.40</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879"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5.40</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5.40</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255"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3749" w:type="pct"/>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SimSun" w:eastAsia="SimSun" w:cs="Arial"/>
                <w:color w:val="000000"/>
                <w:sz w:val="18"/>
              </w:rPr>
            </w:pPr>
            <w:r>
              <w:rPr>
                <w:rFonts w:ascii="SimSun" w:eastAsia="SimSun" w:cs="Arial"/>
                <w:color w:val="000000"/>
                <w:sz w:val="18"/>
              </w:rPr>
              <w:t>100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599"/>
        </w:trPr>
        <w:tc>
          <w:tcPr>
            <w:tcW w:w="2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4744"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及时申请发放退休困难职工建房补贴</w:t>
            </w:r>
          </w:p>
        </w:tc>
      </w:tr>
      <w:tr>
        <w:trPr>
          <w:trHeight w:val="569"/>
        </w:trPr>
        <w:tc>
          <w:tcPr>
            <w:tcW w:w="2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4744"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trPr>
        <w:tc>
          <w:tcPr>
            <w:tcW w:w="2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4744"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284"/>
        </w:trPr>
        <w:tc>
          <w:tcPr>
            <w:tcW w:w="2570"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项目负责人：王鑫宇</w:t>
            </w:r>
          </w:p>
        </w:tc>
        <w:tc>
          <w:tcPr>
            <w:tcW w:w="2429" w:type="pct"/>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财务负责人：陈波</w:t>
            </w:r>
          </w:p>
        </w:tc>
      </w:tr>
    </w:tbl>
    <w:p>
      <w:r>
        <w:rPr>
          <w:rFonts w:ascii="SimSun" w:eastAsia="SimSun"/>
          <w:color w:val="000000"/>
          <w:sz w:val="18"/>
        </w:rPr>
        <w:br w:type="page"/>
      </w:r>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431"/>
        <w:gridCol w:w="1199"/>
        <w:gridCol w:w="1039"/>
        <w:gridCol w:w="1317"/>
        <w:gridCol w:w="338"/>
        <w:gridCol w:w="988"/>
        <w:gridCol w:w="338"/>
        <w:gridCol w:w="659"/>
        <w:gridCol w:w="329"/>
        <w:gridCol w:w="295"/>
        <w:gridCol w:w="1479"/>
      </w:tblGrid>
      <w:tr>
        <w:trPr>
          <w:trHeight w:val="284"/>
        </w:trPr>
        <w:tc>
          <w:tcPr>
            <w:tcW w:w="255" w:type="pct"/>
            <w:tcBorders>
              <w:top w:val="nil"/>
              <w:left w:val="nil"/>
              <w:bottom w:val="nil"/>
              <w:right w:val="nil"/>
              <w:tl2br w:val="nil"/>
              <w:tr2bl w:val="nil"/>
            </w:tcBorders>
            <w:noWrap/>
            <w:vAlign w:val="center"/>
          </w:tcPr>
          <w:p>
            <w:pPr>
              <w:rPr>
                <w:rFonts w:ascii="SimSun" w:eastAsia="SimSun"/>
                <w:color w:val="000000"/>
                <w:sz w:val="18"/>
              </w:rPr>
            </w:pPr>
          </w:p>
        </w:tc>
        <w:tc>
          <w:tcPr>
            <w:tcW w:w="712" w:type="pct"/>
            <w:tcBorders>
              <w:top w:val="nil"/>
              <w:left w:val="nil"/>
              <w:bottom w:val="nil"/>
              <w:right w:val="nil"/>
              <w:tl2br w:val="nil"/>
              <w:tr2bl w:val="nil"/>
            </w:tcBorders>
            <w:noWrap/>
            <w:vAlign w:val="center"/>
          </w:tcPr>
          <w:p>
            <w:pPr>
              <w:rPr>
                <w:rFonts w:ascii="SimSun" w:eastAsia="SimSun"/>
                <w:color w:val="000000"/>
                <w:sz w:val="18"/>
              </w:rPr>
            </w:pPr>
          </w:p>
        </w:tc>
        <w:tc>
          <w:tcPr>
            <w:tcW w:w="617" w:type="pct"/>
            <w:tcBorders>
              <w:top w:val="nil"/>
              <w:left w:val="nil"/>
              <w:bottom w:val="nil"/>
              <w:right w:val="nil"/>
              <w:tl2br w:val="nil"/>
              <w:tr2bl w:val="nil"/>
            </w:tcBorders>
            <w:noWrap/>
            <w:vAlign w:val="center"/>
          </w:tcPr>
          <w:p>
            <w:pPr>
              <w:rPr>
                <w:rFonts w:ascii="SimSun" w:eastAsia="SimSun"/>
                <w:color w:val="000000"/>
                <w:sz w:val="18"/>
              </w:rPr>
            </w:pPr>
          </w:p>
        </w:tc>
        <w:tc>
          <w:tcPr>
            <w:tcW w:w="783" w:type="pct"/>
            <w:tcBorders>
              <w:top w:val="nil"/>
              <w:left w:val="nil"/>
              <w:bottom w:val="nil"/>
              <w:right w:val="nil"/>
              <w:tl2br w:val="nil"/>
              <w:tr2bl w:val="nil"/>
            </w:tcBorders>
            <w:noWrap/>
            <w:vAlign w:val="center"/>
          </w:tcPr>
          <w:p>
            <w:pPr>
              <w:rPr>
                <w:rFonts w:ascii="SimSun" w:eastAsia="SimSun"/>
                <w:color w:val="000000"/>
                <w:sz w:val="18"/>
              </w:rPr>
            </w:pPr>
          </w:p>
        </w:tc>
        <w:tc>
          <w:tcPr>
            <w:tcW w:w="200" w:type="pct"/>
            <w:tcBorders>
              <w:top w:val="nil"/>
              <w:left w:val="nil"/>
              <w:bottom w:val="nil"/>
              <w:right w:val="nil"/>
              <w:tl2br w:val="nil"/>
              <w:tr2bl w:val="nil"/>
            </w:tcBorders>
            <w:noWrap/>
            <w:vAlign w:val="center"/>
          </w:tcPr>
          <w:p>
            <w:pPr>
              <w:rPr>
                <w:rFonts w:ascii="SimSun" w:eastAsia="SimSun"/>
                <w:color w:val="000000"/>
                <w:sz w:val="18"/>
              </w:rPr>
            </w:pPr>
          </w:p>
        </w:tc>
        <w:tc>
          <w:tcPr>
            <w:tcW w:w="587" w:type="pct"/>
            <w:tcBorders>
              <w:top w:val="nil"/>
              <w:left w:val="nil"/>
              <w:bottom w:val="nil"/>
              <w:right w:val="nil"/>
              <w:tl2br w:val="nil"/>
              <w:tr2bl w:val="nil"/>
            </w:tcBorders>
            <w:noWrap/>
            <w:vAlign w:val="center"/>
          </w:tcPr>
          <w:p>
            <w:pPr>
              <w:rPr>
                <w:rFonts w:ascii="SimSun" w:eastAsia="SimSun"/>
                <w:color w:val="000000"/>
                <w:sz w:val="18"/>
              </w:rPr>
            </w:pPr>
          </w:p>
        </w:tc>
        <w:tc>
          <w:tcPr>
            <w:tcW w:w="200" w:type="pct"/>
            <w:tcBorders>
              <w:top w:val="nil"/>
              <w:left w:val="nil"/>
              <w:bottom w:val="nil"/>
              <w:right w:val="nil"/>
              <w:tl2br w:val="nil"/>
              <w:tr2bl w:val="nil"/>
            </w:tcBorders>
            <w:noWrap/>
            <w:vAlign w:val="center"/>
          </w:tcPr>
          <w:p>
            <w:pPr>
              <w:rPr>
                <w:rFonts w:ascii="SimSun" w:eastAsia="SimSun"/>
                <w:color w:val="000000"/>
                <w:sz w:val="18"/>
              </w:rPr>
            </w:pPr>
          </w:p>
        </w:tc>
        <w:tc>
          <w:tcPr>
            <w:tcW w:w="391" w:type="pct"/>
            <w:tcBorders>
              <w:top w:val="nil"/>
              <w:left w:val="nil"/>
              <w:bottom w:val="nil"/>
              <w:right w:val="nil"/>
              <w:tl2br w:val="nil"/>
              <w:tr2bl w:val="nil"/>
            </w:tcBorders>
            <w:noWrap/>
            <w:vAlign w:val="center"/>
          </w:tcPr>
          <w:p>
            <w:pPr>
              <w:rPr>
                <w:rFonts w:ascii="SimSun" w:eastAsia="SimSun"/>
                <w:color w:val="000000"/>
                <w:sz w:val="18"/>
              </w:rPr>
            </w:pPr>
          </w:p>
        </w:tc>
        <w:tc>
          <w:tcPr>
            <w:tcW w:w="195" w:type="pct"/>
            <w:tcBorders>
              <w:top w:val="nil"/>
              <w:left w:val="nil"/>
              <w:bottom w:val="nil"/>
              <w:right w:val="nil"/>
              <w:tl2br w:val="nil"/>
              <w:tr2bl w:val="nil"/>
            </w:tcBorders>
            <w:noWrap/>
            <w:vAlign w:val="center"/>
          </w:tcPr>
          <w:p>
            <w:pPr>
              <w:rPr>
                <w:rFonts w:ascii="SimSun" w:eastAsia="SimSun"/>
                <w:color w:val="000000"/>
                <w:sz w:val="18"/>
              </w:rPr>
            </w:pPr>
          </w:p>
        </w:tc>
        <w:tc>
          <w:tcPr>
            <w:tcW w:w="175" w:type="pct"/>
            <w:tcBorders>
              <w:top w:val="nil"/>
              <w:left w:val="nil"/>
              <w:bottom w:val="nil"/>
              <w:right w:val="nil"/>
              <w:tl2br w:val="nil"/>
              <w:tr2bl w:val="nil"/>
            </w:tcBorders>
            <w:noWrap/>
            <w:vAlign w:val="center"/>
          </w:tcPr>
          <w:p>
            <w:pPr>
              <w:rPr>
                <w:rFonts w:ascii="SimSun" w:eastAsia="SimSun"/>
                <w:color w:val="000000"/>
                <w:sz w:val="18"/>
              </w:rPr>
            </w:pPr>
          </w:p>
        </w:tc>
        <w:tc>
          <w:tcPr>
            <w:tcW w:w="879" w:type="pct"/>
            <w:tcBorders>
              <w:top w:val="nil"/>
              <w:left w:val="nil"/>
              <w:bottom w:val="nil"/>
              <w:right w:val="nil"/>
              <w:tl2br w:val="nil"/>
              <w:tr2bl w:val="nil"/>
            </w:tcBorders>
            <w:noWrap/>
            <w:vAlign w:val="center"/>
          </w:tcPr>
          <w:p>
            <w:pPr>
              <w:rPr>
                <w:rFonts w:ascii="SimSun" w:eastAsia="SimSun"/>
                <w:color w:val="000000"/>
                <w:sz w:val="18"/>
              </w:rPr>
            </w:pPr>
          </w:p>
        </w:tc>
      </w:tr>
      <w:tr>
        <w:trPr>
          <w:trHeight w:val="899"/>
        </w:trPr>
        <w:tc>
          <w:tcPr>
            <w:tcW w:w="5000" w:type="pct"/>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部门预算项目支出绩效自评表（2024年度）</w:t>
            </w:r>
          </w:p>
        </w:tc>
      </w:tr>
      <w:tr>
        <w:trPr>
          <w:trHeight w:val="284"/>
        </w:trPr>
        <w:tc>
          <w:tcPr>
            <w:tcW w:w="968"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4031" w:type="pct"/>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51320022R000005969462-追加州级部门编内退休人员一次性退休补贴</w:t>
            </w:r>
          </w:p>
        </w:tc>
      </w:tr>
      <w:tr>
        <w:trPr>
          <w:trHeight w:val="509"/>
        </w:trPr>
        <w:tc>
          <w:tcPr>
            <w:tcW w:w="968"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238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州教育局部门</w:t>
            </w:r>
          </w:p>
        </w:tc>
        <w:tc>
          <w:tcPr>
            <w:tcW w:w="391" w:type="pct"/>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1250"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马师校</w:t>
            </w:r>
          </w:p>
        </w:tc>
      </w:tr>
      <w:tr>
        <w:trPr>
          <w:trHeight w:val="284"/>
        </w:trPr>
        <w:tc>
          <w:tcPr>
            <w:tcW w:w="255"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712"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238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1641" w:type="pct"/>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70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8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追加州级部门编内退休人员一次性退休补贴</w:t>
            </w:r>
          </w:p>
        </w:tc>
        <w:tc>
          <w:tcPr>
            <w:tcW w:w="1641" w:type="pct"/>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对照年度目标，说明相关任务目标的完成情况（100字以内）</w:t>
            </w:r>
          </w:p>
        </w:tc>
      </w:tr>
      <w:tr>
        <w:trPr>
          <w:trHeight w:val="68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4031" w:type="pct"/>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退休困难职工一次性退休建房补贴</w:t>
            </w:r>
          </w:p>
        </w:tc>
      </w:tr>
      <w:tr>
        <w:trPr>
          <w:trHeight w:val="359"/>
        </w:trPr>
        <w:tc>
          <w:tcPr>
            <w:tcW w:w="255"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33.26</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33.26</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879"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33.26</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33.26</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255"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3749" w:type="pct"/>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SimSun" w:eastAsia="SimSun" w:cs="Arial"/>
                <w:color w:val="000000"/>
                <w:sz w:val="18"/>
              </w:rPr>
            </w:pPr>
            <w:r>
              <w:rPr>
                <w:rFonts w:ascii="SimSun" w:eastAsia="SimSun" w:cs="Arial"/>
                <w:color w:val="000000"/>
                <w:sz w:val="18"/>
              </w:rPr>
              <w:t>100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599"/>
        </w:trPr>
        <w:tc>
          <w:tcPr>
            <w:tcW w:w="2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4744"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及时申请发放退休困难职工建房补贴</w:t>
            </w:r>
          </w:p>
        </w:tc>
      </w:tr>
      <w:tr>
        <w:trPr>
          <w:trHeight w:val="569"/>
        </w:trPr>
        <w:tc>
          <w:tcPr>
            <w:tcW w:w="2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4744"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trPr>
        <w:tc>
          <w:tcPr>
            <w:tcW w:w="2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4744"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284"/>
        </w:trPr>
        <w:tc>
          <w:tcPr>
            <w:tcW w:w="2570"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项目负责人：王鑫宇</w:t>
            </w:r>
          </w:p>
        </w:tc>
        <w:tc>
          <w:tcPr>
            <w:tcW w:w="2429" w:type="pct"/>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财务负责人：陈波</w:t>
            </w:r>
          </w:p>
        </w:tc>
      </w:tr>
    </w:tbl>
    <w:p>
      <w:r>
        <w:rPr>
          <w:rFonts w:ascii="SimSun" w:eastAsia="SimSun"/>
          <w:color w:val="000000"/>
          <w:sz w:val="18"/>
        </w:rPr>
        <w:br w:type="page"/>
      </w:r>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431"/>
        <w:gridCol w:w="1199"/>
        <w:gridCol w:w="1039"/>
        <w:gridCol w:w="1317"/>
        <w:gridCol w:w="338"/>
        <w:gridCol w:w="988"/>
        <w:gridCol w:w="338"/>
        <w:gridCol w:w="659"/>
        <w:gridCol w:w="329"/>
        <w:gridCol w:w="295"/>
        <w:gridCol w:w="1479"/>
      </w:tblGrid>
      <w:tr>
        <w:trPr>
          <w:trHeight w:val="284"/>
        </w:trPr>
        <w:tc>
          <w:tcPr>
            <w:tcW w:w="255" w:type="pct"/>
            <w:tcBorders>
              <w:top w:val="nil"/>
              <w:left w:val="nil"/>
              <w:bottom w:val="nil"/>
              <w:right w:val="nil"/>
              <w:tl2br w:val="nil"/>
              <w:tr2bl w:val="nil"/>
            </w:tcBorders>
            <w:noWrap/>
            <w:vAlign w:val="center"/>
          </w:tcPr>
          <w:p>
            <w:pPr>
              <w:rPr>
                <w:rFonts w:ascii="SimSun" w:eastAsia="SimSun"/>
                <w:color w:val="000000"/>
                <w:sz w:val="18"/>
              </w:rPr>
            </w:pPr>
          </w:p>
        </w:tc>
        <w:tc>
          <w:tcPr>
            <w:tcW w:w="712" w:type="pct"/>
            <w:tcBorders>
              <w:top w:val="nil"/>
              <w:left w:val="nil"/>
              <w:bottom w:val="nil"/>
              <w:right w:val="nil"/>
              <w:tl2br w:val="nil"/>
              <w:tr2bl w:val="nil"/>
            </w:tcBorders>
            <w:noWrap/>
            <w:vAlign w:val="center"/>
          </w:tcPr>
          <w:p>
            <w:pPr>
              <w:rPr>
                <w:rFonts w:ascii="SimSun" w:eastAsia="SimSun"/>
                <w:color w:val="000000"/>
                <w:sz w:val="18"/>
              </w:rPr>
            </w:pPr>
          </w:p>
        </w:tc>
        <w:tc>
          <w:tcPr>
            <w:tcW w:w="617" w:type="pct"/>
            <w:tcBorders>
              <w:top w:val="nil"/>
              <w:left w:val="nil"/>
              <w:bottom w:val="nil"/>
              <w:right w:val="nil"/>
              <w:tl2br w:val="nil"/>
              <w:tr2bl w:val="nil"/>
            </w:tcBorders>
            <w:noWrap/>
            <w:vAlign w:val="center"/>
          </w:tcPr>
          <w:p>
            <w:pPr>
              <w:rPr>
                <w:rFonts w:ascii="SimSun" w:eastAsia="SimSun"/>
                <w:color w:val="000000"/>
                <w:sz w:val="18"/>
              </w:rPr>
            </w:pPr>
          </w:p>
        </w:tc>
        <w:tc>
          <w:tcPr>
            <w:tcW w:w="783" w:type="pct"/>
            <w:tcBorders>
              <w:top w:val="nil"/>
              <w:left w:val="nil"/>
              <w:bottom w:val="nil"/>
              <w:right w:val="nil"/>
              <w:tl2br w:val="nil"/>
              <w:tr2bl w:val="nil"/>
            </w:tcBorders>
            <w:noWrap/>
            <w:vAlign w:val="center"/>
          </w:tcPr>
          <w:p>
            <w:pPr>
              <w:rPr>
                <w:rFonts w:ascii="SimSun" w:eastAsia="SimSun"/>
                <w:color w:val="000000"/>
                <w:sz w:val="18"/>
              </w:rPr>
            </w:pPr>
          </w:p>
        </w:tc>
        <w:tc>
          <w:tcPr>
            <w:tcW w:w="200" w:type="pct"/>
            <w:tcBorders>
              <w:top w:val="nil"/>
              <w:left w:val="nil"/>
              <w:bottom w:val="nil"/>
              <w:right w:val="nil"/>
              <w:tl2br w:val="nil"/>
              <w:tr2bl w:val="nil"/>
            </w:tcBorders>
            <w:noWrap/>
            <w:vAlign w:val="center"/>
          </w:tcPr>
          <w:p>
            <w:pPr>
              <w:rPr>
                <w:rFonts w:ascii="SimSun" w:eastAsia="SimSun"/>
                <w:color w:val="000000"/>
                <w:sz w:val="18"/>
              </w:rPr>
            </w:pPr>
          </w:p>
        </w:tc>
        <w:tc>
          <w:tcPr>
            <w:tcW w:w="587" w:type="pct"/>
            <w:tcBorders>
              <w:top w:val="nil"/>
              <w:left w:val="nil"/>
              <w:bottom w:val="nil"/>
              <w:right w:val="nil"/>
              <w:tl2br w:val="nil"/>
              <w:tr2bl w:val="nil"/>
            </w:tcBorders>
            <w:noWrap/>
            <w:vAlign w:val="center"/>
          </w:tcPr>
          <w:p>
            <w:pPr>
              <w:rPr>
                <w:rFonts w:ascii="SimSun" w:eastAsia="SimSun"/>
                <w:color w:val="000000"/>
                <w:sz w:val="18"/>
              </w:rPr>
            </w:pPr>
          </w:p>
        </w:tc>
        <w:tc>
          <w:tcPr>
            <w:tcW w:w="200" w:type="pct"/>
            <w:tcBorders>
              <w:top w:val="nil"/>
              <w:left w:val="nil"/>
              <w:bottom w:val="nil"/>
              <w:right w:val="nil"/>
              <w:tl2br w:val="nil"/>
              <w:tr2bl w:val="nil"/>
            </w:tcBorders>
            <w:noWrap/>
            <w:vAlign w:val="center"/>
          </w:tcPr>
          <w:p>
            <w:pPr>
              <w:rPr>
                <w:rFonts w:ascii="SimSun" w:eastAsia="SimSun"/>
                <w:color w:val="000000"/>
                <w:sz w:val="18"/>
              </w:rPr>
            </w:pPr>
          </w:p>
        </w:tc>
        <w:tc>
          <w:tcPr>
            <w:tcW w:w="391" w:type="pct"/>
            <w:tcBorders>
              <w:top w:val="nil"/>
              <w:left w:val="nil"/>
              <w:bottom w:val="nil"/>
              <w:right w:val="nil"/>
              <w:tl2br w:val="nil"/>
              <w:tr2bl w:val="nil"/>
            </w:tcBorders>
            <w:noWrap/>
            <w:vAlign w:val="center"/>
          </w:tcPr>
          <w:p>
            <w:pPr>
              <w:rPr>
                <w:rFonts w:ascii="SimSun" w:eastAsia="SimSun"/>
                <w:color w:val="000000"/>
                <w:sz w:val="18"/>
              </w:rPr>
            </w:pPr>
          </w:p>
        </w:tc>
        <w:tc>
          <w:tcPr>
            <w:tcW w:w="195" w:type="pct"/>
            <w:tcBorders>
              <w:top w:val="nil"/>
              <w:left w:val="nil"/>
              <w:bottom w:val="nil"/>
              <w:right w:val="nil"/>
              <w:tl2br w:val="nil"/>
              <w:tr2bl w:val="nil"/>
            </w:tcBorders>
            <w:noWrap/>
            <w:vAlign w:val="center"/>
          </w:tcPr>
          <w:p>
            <w:pPr>
              <w:rPr>
                <w:rFonts w:ascii="SimSun" w:eastAsia="SimSun"/>
                <w:color w:val="000000"/>
                <w:sz w:val="18"/>
              </w:rPr>
            </w:pPr>
          </w:p>
        </w:tc>
        <w:tc>
          <w:tcPr>
            <w:tcW w:w="175" w:type="pct"/>
            <w:tcBorders>
              <w:top w:val="nil"/>
              <w:left w:val="nil"/>
              <w:bottom w:val="nil"/>
              <w:right w:val="nil"/>
              <w:tl2br w:val="nil"/>
              <w:tr2bl w:val="nil"/>
            </w:tcBorders>
            <w:noWrap/>
            <w:vAlign w:val="center"/>
          </w:tcPr>
          <w:p>
            <w:pPr>
              <w:rPr>
                <w:rFonts w:ascii="SimSun" w:eastAsia="SimSun"/>
                <w:color w:val="000000"/>
                <w:sz w:val="18"/>
              </w:rPr>
            </w:pPr>
          </w:p>
        </w:tc>
        <w:tc>
          <w:tcPr>
            <w:tcW w:w="879" w:type="pct"/>
            <w:tcBorders>
              <w:top w:val="nil"/>
              <w:left w:val="nil"/>
              <w:bottom w:val="nil"/>
              <w:right w:val="nil"/>
              <w:tl2br w:val="nil"/>
              <w:tr2bl w:val="nil"/>
            </w:tcBorders>
            <w:noWrap/>
            <w:vAlign w:val="center"/>
          </w:tcPr>
          <w:p>
            <w:pPr>
              <w:rPr>
                <w:rFonts w:ascii="SimSun" w:eastAsia="SimSun"/>
                <w:color w:val="000000"/>
                <w:sz w:val="18"/>
              </w:rPr>
            </w:pPr>
          </w:p>
        </w:tc>
      </w:tr>
      <w:tr>
        <w:trPr>
          <w:trHeight w:val="899"/>
        </w:trPr>
        <w:tc>
          <w:tcPr>
            <w:tcW w:w="5000" w:type="pct"/>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部门预算项目支出绩效自评表（2024年度）</w:t>
            </w:r>
          </w:p>
        </w:tc>
      </w:tr>
      <w:tr>
        <w:trPr>
          <w:trHeight w:val="284"/>
        </w:trPr>
        <w:tc>
          <w:tcPr>
            <w:tcW w:w="968"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4031" w:type="pct"/>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51320022T000000354681-学校临聘服务</w:t>
            </w:r>
          </w:p>
        </w:tc>
      </w:tr>
      <w:tr>
        <w:trPr>
          <w:trHeight w:val="509"/>
        </w:trPr>
        <w:tc>
          <w:tcPr>
            <w:tcW w:w="968"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238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州教育局部门</w:t>
            </w:r>
          </w:p>
        </w:tc>
        <w:tc>
          <w:tcPr>
            <w:tcW w:w="391" w:type="pct"/>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1250"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马师校</w:t>
            </w:r>
          </w:p>
        </w:tc>
      </w:tr>
      <w:tr>
        <w:trPr>
          <w:trHeight w:val="284"/>
        </w:trPr>
        <w:tc>
          <w:tcPr>
            <w:tcW w:w="255"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712"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238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1641" w:type="pct"/>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70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8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学校食堂劳务费</w:t>
            </w:r>
          </w:p>
        </w:tc>
        <w:tc>
          <w:tcPr>
            <w:tcW w:w="1641" w:type="pct"/>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对照年度目标，说明相关任务目标的完成情况（100字以内）</w:t>
            </w:r>
          </w:p>
        </w:tc>
      </w:tr>
      <w:tr>
        <w:trPr>
          <w:trHeight w:val="68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4031" w:type="pct"/>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根据《四川省民族地区寄宿制学校管理办法》（川教〔2015〕190号）第四章第二十八条规定：“寄宿制学校原则上应按每60名用餐学生配1名食堂工作人员的标准配足”，学校食堂工勤人员面向社会招聘，学校与被招聘人员依法签订劳动合同，并按劳动合同管理；《农村义务教育学校食堂管理暂行办法》（教财〔2012〕2号 附件三）第一章第四条规定本办法所称学校食堂，是指为学生（含教职工）提供就餐服务，按要求具有相对独立的原料存放、食品加工操作、食品出售及就餐空间的场所；第二章第十条规定学校应根据学生就餐规模，切实做好定岗、定责、定薪工作，合理配置人员。学校应按照不相容岗位分设的要求，设置采购、加工、保管、会计、出纳、食品安全管理等工作岗位，建立岗位责任制，明确岗位职责。根据以上相关规定，我校师生员工共计1340人，应配备食堂工作人员21人。</w:t>
            </w:r>
          </w:p>
        </w:tc>
      </w:tr>
      <w:tr>
        <w:trPr>
          <w:trHeight w:val="359"/>
        </w:trPr>
        <w:tc>
          <w:tcPr>
            <w:tcW w:w="255"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85.00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43.94</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43.94</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879"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85.00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43.94</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43.94</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255"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产出指标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数量指标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食堂临聘人数</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21</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人</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21</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质量指标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食堂劳务工作覆盖率</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95</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时效指标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劳务费用发放及时率</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95</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效益指标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社会效益指标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提高临聘人员工作积极性性</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定性</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有效提高</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有效提升</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满意度指标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服务对象满意度指标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学生满意度</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95</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成本指标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经济成本指标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成本控制范围</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98.28</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万元</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43.94</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社会成本指标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保障师生就餐安全健康</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定性</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有效保障</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有效保障</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3749" w:type="pct"/>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SimSun" w:eastAsia="SimSun" w:cs="Arial"/>
                <w:color w:val="000000"/>
                <w:sz w:val="18"/>
              </w:rPr>
            </w:pPr>
            <w:r>
              <w:rPr>
                <w:rFonts w:ascii="SimSun" w:eastAsia="SimSun" w:cs="Arial"/>
                <w:color w:val="000000"/>
                <w:sz w:val="18"/>
              </w:rPr>
              <w:t>100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599"/>
        </w:trPr>
        <w:tc>
          <w:tcPr>
            <w:tcW w:w="2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4744"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食堂聘用人员工资，主要目标是支付食堂工作人员工资，让全校师生“吃得饱”“吃得好”，保障食品卫生、安全，也为保障学校教育、教学相关工作的正常运转。</w:t>
            </w:r>
          </w:p>
        </w:tc>
      </w:tr>
      <w:tr>
        <w:trPr>
          <w:trHeight w:val="569"/>
        </w:trPr>
        <w:tc>
          <w:tcPr>
            <w:tcW w:w="2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4744"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trPr>
        <w:tc>
          <w:tcPr>
            <w:tcW w:w="2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4744"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284"/>
        </w:trPr>
        <w:tc>
          <w:tcPr>
            <w:tcW w:w="2570"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项目负责人：谢然热知</w:t>
            </w:r>
          </w:p>
        </w:tc>
        <w:tc>
          <w:tcPr>
            <w:tcW w:w="2429" w:type="pct"/>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财务负责人：陈波</w:t>
            </w:r>
          </w:p>
        </w:tc>
      </w:tr>
    </w:tbl>
    <w:p>
      <w:r>
        <w:rPr>
          <w:rFonts w:ascii="SimSun" w:eastAsia="SimSun"/>
          <w:color w:val="000000"/>
          <w:sz w:val="18"/>
        </w:rPr>
        <w:br w:type="page"/>
      </w:r>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431"/>
        <w:gridCol w:w="1199"/>
        <w:gridCol w:w="1039"/>
        <w:gridCol w:w="1317"/>
        <w:gridCol w:w="338"/>
        <w:gridCol w:w="988"/>
        <w:gridCol w:w="338"/>
        <w:gridCol w:w="659"/>
        <w:gridCol w:w="329"/>
        <w:gridCol w:w="295"/>
        <w:gridCol w:w="1479"/>
      </w:tblGrid>
      <w:tr>
        <w:trPr>
          <w:trHeight w:val="284"/>
        </w:trPr>
        <w:tc>
          <w:tcPr>
            <w:tcW w:w="255" w:type="pct"/>
            <w:tcBorders>
              <w:top w:val="nil"/>
              <w:left w:val="nil"/>
              <w:bottom w:val="nil"/>
              <w:right w:val="nil"/>
              <w:tl2br w:val="nil"/>
              <w:tr2bl w:val="nil"/>
            </w:tcBorders>
            <w:noWrap/>
            <w:vAlign w:val="center"/>
          </w:tcPr>
          <w:p>
            <w:pPr>
              <w:rPr>
                <w:rFonts w:ascii="SimSun" w:eastAsia="SimSun"/>
                <w:color w:val="000000"/>
                <w:sz w:val="18"/>
              </w:rPr>
            </w:pPr>
          </w:p>
        </w:tc>
        <w:tc>
          <w:tcPr>
            <w:tcW w:w="712" w:type="pct"/>
            <w:tcBorders>
              <w:top w:val="nil"/>
              <w:left w:val="nil"/>
              <w:bottom w:val="nil"/>
              <w:right w:val="nil"/>
              <w:tl2br w:val="nil"/>
              <w:tr2bl w:val="nil"/>
            </w:tcBorders>
            <w:noWrap/>
            <w:vAlign w:val="center"/>
          </w:tcPr>
          <w:p>
            <w:pPr>
              <w:rPr>
                <w:rFonts w:ascii="SimSun" w:eastAsia="SimSun"/>
                <w:color w:val="000000"/>
                <w:sz w:val="18"/>
              </w:rPr>
            </w:pPr>
          </w:p>
        </w:tc>
        <w:tc>
          <w:tcPr>
            <w:tcW w:w="617" w:type="pct"/>
            <w:tcBorders>
              <w:top w:val="nil"/>
              <w:left w:val="nil"/>
              <w:bottom w:val="nil"/>
              <w:right w:val="nil"/>
              <w:tl2br w:val="nil"/>
              <w:tr2bl w:val="nil"/>
            </w:tcBorders>
            <w:noWrap/>
            <w:vAlign w:val="center"/>
          </w:tcPr>
          <w:p>
            <w:pPr>
              <w:rPr>
                <w:rFonts w:ascii="SimSun" w:eastAsia="SimSun"/>
                <w:color w:val="000000"/>
                <w:sz w:val="18"/>
              </w:rPr>
            </w:pPr>
          </w:p>
        </w:tc>
        <w:tc>
          <w:tcPr>
            <w:tcW w:w="783" w:type="pct"/>
            <w:tcBorders>
              <w:top w:val="nil"/>
              <w:left w:val="nil"/>
              <w:bottom w:val="nil"/>
              <w:right w:val="nil"/>
              <w:tl2br w:val="nil"/>
              <w:tr2bl w:val="nil"/>
            </w:tcBorders>
            <w:noWrap/>
            <w:vAlign w:val="center"/>
          </w:tcPr>
          <w:p>
            <w:pPr>
              <w:rPr>
                <w:rFonts w:ascii="SimSun" w:eastAsia="SimSun"/>
                <w:color w:val="000000"/>
                <w:sz w:val="18"/>
              </w:rPr>
            </w:pPr>
          </w:p>
        </w:tc>
        <w:tc>
          <w:tcPr>
            <w:tcW w:w="200" w:type="pct"/>
            <w:tcBorders>
              <w:top w:val="nil"/>
              <w:left w:val="nil"/>
              <w:bottom w:val="nil"/>
              <w:right w:val="nil"/>
              <w:tl2br w:val="nil"/>
              <w:tr2bl w:val="nil"/>
            </w:tcBorders>
            <w:noWrap/>
            <w:vAlign w:val="center"/>
          </w:tcPr>
          <w:p>
            <w:pPr>
              <w:rPr>
                <w:rFonts w:ascii="SimSun" w:eastAsia="SimSun"/>
                <w:color w:val="000000"/>
                <w:sz w:val="18"/>
              </w:rPr>
            </w:pPr>
          </w:p>
        </w:tc>
        <w:tc>
          <w:tcPr>
            <w:tcW w:w="587" w:type="pct"/>
            <w:tcBorders>
              <w:top w:val="nil"/>
              <w:left w:val="nil"/>
              <w:bottom w:val="nil"/>
              <w:right w:val="nil"/>
              <w:tl2br w:val="nil"/>
              <w:tr2bl w:val="nil"/>
            </w:tcBorders>
            <w:noWrap/>
            <w:vAlign w:val="center"/>
          </w:tcPr>
          <w:p>
            <w:pPr>
              <w:rPr>
                <w:rFonts w:ascii="SimSun" w:eastAsia="SimSun"/>
                <w:color w:val="000000"/>
                <w:sz w:val="18"/>
              </w:rPr>
            </w:pPr>
          </w:p>
        </w:tc>
        <w:tc>
          <w:tcPr>
            <w:tcW w:w="200" w:type="pct"/>
            <w:tcBorders>
              <w:top w:val="nil"/>
              <w:left w:val="nil"/>
              <w:bottom w:val="nil"/>
              <w:right w:val="nil"/>
              <w:tl2br w:val="nil"/>
              <w:tr2bl w:val="nil"/>
            </w:tcBorders>
            <w:noWrap/>
            <w:vAlign w:val="center"/>
          </w:tcPr>
          <w:p>
            <w:pPr>
              <w:rPr>
                <w:rFonts w:ascii="SimSun" w:eastAsia="SimSun"/>
                <w:color w:val="000000"/>
                <w:sz w:val="18"/>
              </w:rPr>
            </w:pPr>
          </w:p>
        </w:tc>
        <w:tc>
          <w:tcPr>
            <w:tcW w:w="391" w:type="pct"/>
            <w:tcBorders>
              <w:top w:val="nil"/>
              <w:left w:val="nil"/>
              <w:bottom w:val="nil"/>
              <w:right w:val="nil"/>
              <w:tl2br w:val="nil"/>
              <w:tr2bl w:val="nil"/>
            </w:tcBorders>
            <w:noWrap/>
            <w:vAlign w:val="center"/>
          </w:tcPr>
          <w:p>
            <w:pPr>
              <w:rPr>
                <w:rFonts w:ascii="SimSun" w:eastAsia="SimSun"/>
                <w:color w:val="000000"/>
                <w:sz w:val="18"/>
              </w:rPr>
            </w:pPr>
          </w:p>
        </w:tc>
        <w:tc>
          <w:tcPr>
            <w:tcW w:w="195" w:type="pct"/>
            <w:tcBorders>
              <w:top w:val="nil"/>
              <w:left w:val="nil"/>
              <w:bottom w:val="nil"/>
              <w:right w:val="nil"/>
              <w:tl2br w:val="nil"/>
              <w:tr2bl w:val="nil"/>
            </w:tcBorders>
            <w:noWrap/>
            <w:vAlign w:val="center"/>
          </w:tcPr>
          <w:p>
            <w:pPr>
              <w:rPr>
                <w:rFonts w:ascii="SimSun" w:eastAsia="SimSun"/>
                <w:color w:val="000000"/>
                <w:sz w:val="18"/>
              </w:rPr>
            </w:pPr>
          </w:p>
        </w:tc>
        <w:tc>
          <w:tcPr>
            <w:tcW w:w="175" w:type="pct"/>
            <w:tcBorders>
              <w:top w:val="nil"/>
              <w:left w:val="nil"/>
              <w:bottom w:val="nil"/>
              <w:right w:val="nil"/>
              <w:tl2br w:val="nil"/>
              <w:tr2bl w:val="nil"/>
            </w:tcBorders>
            <w:noWrap/>
            <w:vAlign w:val="center"/>
          </w:tcPr>
          <w:p>
            <w:pPr>
              <w:rPr>
                <w:rFonts w:ascii="SimSun" w:eastAsia="SimSun"/>
                <w:color w:val="000000"/>
                <w:sz w:val="18"/>
              </w:rPr>
            </w:pPr>
          </w:p>
        </w:tc>
        <w:tc>
          <w:tcPr>
            <w:tcW w:w="879" w:type="pct"/>
            <w:tcBorders>
              <w:top w:val="nil"/>
              <w:left w:val="nil"/>
              <w:bottom w:val="nil"/>
              <w:right w:val="nil"/>
              <w:tl2br w:val="nil"/>
              <w:tr2bl w:val="nil"/>
            </w:tcBorders>
            <w:noWrap/>
            <w:vAlign w:val="center"/>
          </w:tcPr>
          <w:p>
            <w:pPr>
              <w:rPr>
                <w:rFonts w:ascii="SimSun" w:eastAsia="SimSun"/>
                <w:color w:val="000000"/>
                <w:sz w:val="18"/>
              </w:rPr>
            </w:pPr>
          </w:p>
        </w:tc>
      </w:tr>
      <w:tr>
        <w:trPr>
          <w:trHeight w:val="899"/>
        </w:trPr>
        <w:tc>
          <w:tcPr>
            <w:tcW w:w="5000" w:type="pct"/>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部门预算项目支出绩效自评表（2024年度）</w:t>
            </w:r>
          </w:p>
        </w:tc>
      </w:tr>
      <w:tr>
        <w:trPr>
          <w:trHeight w:val="284"/>
        </w:trPr>
        <w:tc>
          <w:tcPr>
            <w:tcW w:w="968"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4031" w:type="pct"/>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51320022T000000400547-四川省阿坝州民族高级中学（阿坝州田径场）提升改造工程</w:t>
            </w:r>
          </w:p>
        </w:tc>
      </w:tr>
      <w:tr>
        <w:trPr>
          <w:trHeight w:val="509"/>
        </w:trPr>
        <w:tc>
          <w:tcPr>
            <w:tcW w:w="968"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238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州教育局部门</w:t>
            </w:r>
          </w:p>
        </w:tc>
        <w:tc>
          <w:tcPr>
            <w:tcW w:w="391" w:type="pct"/>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1250"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马师校</w:t>
            </w:r>
          </w:p>
        </w:tc>
      </w:tr>
      <w:tr>
        <w:trPr>
          <w:trHeight w:val="284"/>
        </w:trPr>
        <w:tc>
          <w:tcPr>
            <w:tcW w:w="255"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712"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238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1641" w:type="pct"/>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70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8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田径场现有彩钢瓦面积约为9000㎡，替换为骨架式膜结构。田径场整体提升改造。</w:t>
            </w:r>
          </w:p>
        </w:tc>
        <w:tc>
          <w:tcPr>
            <w:tcW w:w="1641" w:type="pct"/>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对照年度目标，说明相关任务目标的完成情况（100字以内）</w:t>
            </w:r>
          </w:p>
        </w:tc>
      </w:tr>
      <w:tr>
        <w:trPr>
          <w:trHeight w:val="68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4031" w:type="pct"/>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项目设备款、勘察设计费用尾款等</w:t>
            </w:r>
          </w:p>
        </w:tc>
      </w:tr>
      <w:tr>
        <w:trPr>
          <w:trHeight w:val="359"/>
        </w:trPr>
        <w:tc>
          <w:tcPr>
            <w:tcW w:w="255"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456.90</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456.90</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879"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456.90</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456.90</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255"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产出指标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数量指标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任务完成率</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95</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质量指标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项目合格率</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95</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时效指标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及时完成率</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95</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效益指标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社会效益指标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完善应急避险系统的需求</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满意度指标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服务对象满意度指标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全市人民满意度</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95</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成本指标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经济成本指标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项目总成本</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3749" w:type="pct"/>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SimSun" w:eastAsia="SimSun" w:cs="Arial"/>
                <w:color w:val="000000"/>
                <w:sz w:val="18"/>
              </w:rPr>
            </w:pPr>
            <w:r>
              <w:rPr>
                <w:rFonts w:ascii="SimSun" w:eastAsia="SimSun" w:cs="Arial"/>
                <w:color w:val="000000"/>
                <w:sz w:val="18"/>
              </w:rPr>
              <w:t>100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599"/>
        </w:trPr>
        <w:tc>
          <w:tcPr>
            <w:tcW w:w="2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4744"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该项目主要为了保证田径场的的正常使用，为田径场免费开放提供保障，项目为常年性项目。</w:t>
            </w:r>
          </w:p>
        </w:tc>
      </w:tr>
      <w:tr>
        <w:trPr>
          <w:trHeight w:val="569"/>
        </w:trPr>
        <w:tc>
          <w:tcPr>
            <w:tcW w:w="2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4744"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trPr>
        <w:tc>
          <w:tcPr>
            <w:tcW w:w="2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4744"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284"/>
        </w:trPr>
        <w:tc>
          <w:tcPr>
            <w:tcW w:w="2570"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项目负责人：谢然热知</w:t>
            </w:r>
          </w:p>
        </w:tc>
        <w:tc>
          <w:tcPr>
            <w:tcW w:w="2429" w:type="pct"/>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财务负责人：陈波</w:t>
            </w:r>
          </w:p>
        </w:tc>
      </w:tr>
    </w:tbl>
    <w:p>
      <w:r>
        <w:rPr>
          <w:rFonts w:ascii="SimSun" w:eastAsia="SimSun"/>
          <w:color w:val="000000"/>
          <w:sz w:val="18"/>
        </w:rPr>
        <w:br w:type="page"/>
      </w:r>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431"/>
        <w:gridCol w:w="1199"/>
        <w:gridCol w:w="1039"/>
        <w:gridCol w:w="1317"/>
        <w:gridCol w:w="338"/>
        <w:gridCol w:w="988"/>
        <w:gridCol w:w="338"/>
        <w:gridCol w:w="659"/>
        <w:gridCol w:w="329"/>
        <w:gridCol w:w="295"/>
        <w:gridCol w:w="1479"/>
      </w:tblGrid>
      <w:tr>
        <w:trPr>
          <w:trHeight w:val="284"/>
        </w:trPr>
        <w:tc>
          <w:tcPr>
            <w:tcW w:w="255" w:type="pct"/>
            <w:tcBorders>
              <w:top w:val="nil"/>
              <w:left w:val="nil"/>
              <w:bottom w:val="nil"/>
              <w:right w:val="nil"/>
              <w:tl2br w:val="nil"/>
              <w:tr2bl w:val="nil"/>
            </w:tcBorders>
            <w:noWrap/>
            <w:vAlign w:val="center"/>
          </w:tcPr>
          <w:p>
            <w:pPr>
              <w:rPr>
                <w:rFonts w:ascii="SimSun" w:eastAsia="SimSun"/>
                <w:color w:val="000000"/>
                <w:sz w:val="18"/>
              </w:rPr>
            </w:pPr>
          </w:p>
        </w:tc>
        <w:tc>
          <w:tcPr>
            <w:tcW w:w="712" w:type="pct"/>
            <w:tcBorders>
              <w:top w:val="nil"/>
              <w:left w:val="nil"/>
              <w:bottom w:val="nil"/>
              <w:right w:val="nil"/>
              <w:tl2br w:val="nil"/>
              <w:tr2bl w:val="nil"/>
            </w:tcBorders>
            <w:noWrap/>
            <w:vAlign w:val="center"/>
          </w:tcPr>
          <w:p>
            <w:pPr>
              <w:rPr>
                <w:rFonts w:ascii="SimSun" w:eastAsia="SimSun"/>
                <w:color w:val="000000"/>
                <w:sz w:val="18"/>
              </w:rPr>
            </w:pPr>
          </w:p>
        </w:tc>
        <w:tc>
          <w:tcPr>
            <w:tcW w:w="617" w:type="pct"/>
            <w:tcBorders>
              <w:top w:val="nil"/>
              <w:left w:val="nil"/>
              <w:bottom w:val="nil"/>
              <w:right w:val="nil"/>
              <w:tl2br w:val="nil"/>
              <w:tr2bl w:val="nil"/>
            </w:tcBorders>
            <w:noWrap/>
            <w:vAlign w:val="center"/>
          </w:tcPr>
          <w:p>
            <w:pPr>
              <w:rPr>
                <w:rFonts w:ascii="SimSun" w:eastAsia="SimSun"/>
                <w:color w:val="000000"/>
                <w:sz w:val="18"/>
              </w:rPr>
            </w:pPr>
          </w:p>
        </w:tc>
        <w:tc>
          <w:tcPr>
            <w:tcW w:w="783" w:type="pct"/>
            <w:tcBorders>
              <w:top w:val="nil"/>
              <w:left w:val="nil"/>
              <w:bottom w:val="nil"/>
              <w:right w:val="nil"/>
              <w:tl2br w:val="nil"/>
              <w:tr2bl w:val="nil"/>
            </w:tcBorders>
            <w:noWrap/>
            <w:vAlign w:val="center"/>
          </w:tcPr>
          <w:p>
            <w:pPr>
              <w:rPr>
                <w:rFonts w:ascii="SimSun" w:eastAsia="SimSun"/>
                <w:color w:val="000000"/>
                <w:sz w:val="18"/>
              </w:rPr>
            </w:pPr>
          </w:p>
        </w:tc>
        <w:tc>
          <w:tcPr>
            <w:tcW w:w="200" w:type="pct"/>
            <w:tcBorders>
              <w:top w:val="nil"/>
              <w:left w:val="nil"/>
              <w:bottom w:val="nil"/>
              <w:right w:val="nil"/>
              <w:tl2br w:val="nil"/>
              <w:tr2bl w:val="nil"/>
            </w:tcBorders>
            <w:noWrap/>
            <w:vAlign w:val="center"/>
          </w:tcPr>
          <w:p>
            <w:pPr>
              <w:rPr>
                <w:rFonts w:ascii="SimSun" w:eastAsia="SimSun"/>
                <w:color w:val="000000"/>
                <w:sz w:val="18"/>
              </w:rPr>
            </w:pPr>
          </w:p>
        </w:tc>
        <w:tc>
          <w:tcPr>
            <w:tcW w:w="587" w:type="pct"/>
            <w:tcBorders>
              <w:top w:val="nil"/>
              <w:left w:val="nil"/>
              <w:bottom w:val="nil"/>
              <w:right w:val="nil"/>
              <w:tl2br w:val="nil"/>
              <w:tr2bl w:val="nil"/>
            </w:tcBorders>
            <w:noWrap/>
            <w:vAlign w:val="center"/>
          </w:tcPr>
          <w:p>
            <w:pPr>
              <w:rPr>
                <w:rFonts w:ascii="SimSun" w:eastAsia="SimSun"/>
                <w:color w:val="000000"/>
                <w:sz w:val="18"/>
              </w:rPr>
            </w:pPr>
          </w:p>
        </w:tc>
        <w:tc>
          <w:tcPr>
            <w:tcW w:w="200" w:type="pct"/>
            <w:tcBorders>
              <w:top w:val="nil"/>
              <w:left w:val="nil"/>
              <w:bottom w:val="nil"/>
              <w:right w:val="nil"/>
              <w:tl2br w:val="nil"/>
              <w:tr2bl w:val="nil"/>
            </w:tcBorders>
            <w:noWrap/>
            <w:vAlign w:val="center"/>
          </w:tcPr>
          <w:p>
            <w:pPr>
              <w:rPr>
                <w:rFonts w:ascii="SimSun" w:eastAsia="SimSun"/>
                <w:color w:val="000000"/>
                <w:sz w:val="18"/>
              </w:rPr>
            </w:pPr>
          </w:p>
        </w:tc>
        <w:tc>
          <w:tcPr>
            <w:tcW w:w="391" w:type="pct"/>
            <w:tcBorders>
              <w:top w:val="nil"/>
              <w:left w:val="nil"/>
              <w:bottom w:val="nil"/>
              <w:right w:val="nil"/>
              <w:tl2br w:val="nil"/>
              <w:tr2bl w:val="nil"/>
            </w:tcBorders>
            <w:noWrap/>
            <w:vAlign w:val="center"/>
          </w:tcPr>
          <w:p>
            <w:pPr>
              <w:rPr>
                <w:rFonts w:ascii="SimSun" w:eastAsia="SimSun"/>
                <w:color w:val="000000"/>
                <w:sz w:val="18"/>
              </w:rPr>
            </w:pPr>
          </w:p>
        </w:tc>
        <w:tc>
          <w:tcPr>
            <w:tcW w:w="195" w:type="pct"/>
            <w:tcBorders>
              <w:top w:val="nil"/>
              <w:left w:val="nil"/>
              <w:bottom w:val="nil"/>
              <w:right w:val="nil"/>
              <w:tl2br w:val="nil"/>
              <w:tr2bl w:val="nil"/>
            </w:tcBorders>
            <w:noWrap/>
            <w:vAlign w:val="center"/>
          </w:tcPr>
          <w:p>
            <w:pPr>
              <w:rPr>
                <w:rFonts w:ascii="SimSun" w:eastAsia="SimSun"/>
                <w:color w:val="000000"/>
                <w:sz w:val="18"/>
              </w:rPr>
            </w:pPr>
          </w:p>
        </w:tc>
        <w:tc>
          <w:tcPr>
            <w:tcW w:w="175" w:type="pct"/>
            <w:tcBorders>
              <w:top w:val="nil"/>
              <w:left w:val="nil"/>
              <w:bottom w:val="nil"/>
              <w:right w:val="nil"/>
              <w:tl2br w:val="nil"/>
              <w:tr2bl w:val="nil"/>
            </w:tcBorders>
            <w:noWrap/>
            <w:vAlign w:val="center"/>
          </w:tcPr>
          <w:p>
            <w:pPr>
              <w:rPr>
                <w:rFonts w:ascii="SimSun" w:eastAsia="SimSun"/>
                <w:color w:val="000000"/>
                <w:sz w:val="18"/>
              </w:rPr>
            </w:pPr>
          </w:p>
        </w:tc>
        <w:tc>
          <w:tcPr>
            <w:tcW w:w="879" w:type="pct"/>
            <w:tcBorders>
              <w:top w:val="nil"/>
              <w:left w:val="nil"/>
              <w:bottom w:val="nil"/>
              <w:right w:val="nil"/>
              <w:tl2br w:val="nil"/>
              <w:tr2bl w:val="nil"/>
            </w:tcBorders>
            <w:noWrap/>
            <w:vAlign w:val="center"/>
          </w:tcPr>
          <w:p>
            <w:pPr>
              <w:rPr>
                <w:rFonts w:ascii="SimSun" w:eastAsia="SimSun"/>
                <w:color w:val="000000"/>
                <w:sz w:val="18"/>
              </w:rPr>
            </w:pPr>
          </w:p>
        </w:tc>
      </w:tr>
      <w:tr>
        <w:trPr>
          <w:trHeight w:val="899"/>
        </w:trPr>
        <w:tc>
          <w:tcPr>
            <w:tcW w:w="5000" w:type="pct"/>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部门预算项目支出绩效自评表（2024年度）</w:t>
            </w:r>
          </w:p>
        </w:tc>
      </w:tr>
      <w:tr>
        <w:trPr>
          <w:trHeight w:val="284"/>
        </w:trPr>
        <w:tc>
          <w:tcPr>
            <w:tcW w:w="968"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4031" w:type="pct"/>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51320023R000007728618-目标绩效奖（按月随工资发放70%部分）</w:t>
            </w:r>
          </w:p>
        </w:tc>
      </w:tr>
      <w:tr>
        <w:trPr>
          <w:trHeight w:val="509"/>
        </w:trPr>
        <w:tc>
          <w:tcPr>
            <w:tcW w:w="968"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238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州教育局部门</w:t>
            </w:r>
          </w:p>
        </w:tc>
        <w:tc>
          <w:tcPr>
            <w:tcW w:w="391" w:type="pct"/>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1250"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马师校</w:t>
            </w:r>
          </w:p>
        </w:tc>
      </w:tr>
      <w:tr>
        <w:trPr>
          <w:trHeight w:val="284"/>
        </w:trPr>
        <w:tc>
          <w:tcPr>
            <w:tcW w:w="255"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712"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238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1641" w:type="pct"/>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70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8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严格执行相关政策，保障工资及时、足额发放或社保及时、足额缴纳，预算编制科学合理，减少结余资金。</w:t>
            </w:r>
          </w:p>
        </w:tc>
        <w:tc>
          <w:tcPr>
            <w:tcW w:w="1641" w:type="pct"/>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对照年度目标，说明相关任务目标的完成情况（100字以内）</w:t>
            </w:r>
          </w:p>
        </w:tc>
      </w:tr>
      <w:tr>
        <w:trPr>
          <w:trHeight w:val="68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4031" w:type="pct"/>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按月工资发放</w:t>
            </w:r>
          </w:p>
        </w:tc>
      </w:tr>
      <w:tr>
        <w:trPr>
          <w:trHeight w:val="359"/>
        </w:trPr>
        <w:tc>
          <w:tcPr>
            <w:tcW w:w="255"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617.12</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617.12</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617.12</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879"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617.12</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617.12</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617.12</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255"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产出指标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数量指标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发放（缴纳）覆盖率</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60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60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效益指标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社会效益指标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足额保障率（参保率）</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3749" w:type="pct"/>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SimSun" w:eastAsia="SimSun" w:cs="Arial"/>
                <w:color w:val="000000"/>
                <w:sz w:val="18"/>
              </w:rPr>
            </w:pPr>
            <w:r>
              <w:rPr>
                <w:rFonts w:ascii="SimSun" w:eastAsia="SimSun" w:cs="Arial"/>
                <w:color w:val="000000"/>
                <w:sz w:val="18"/>
              </w:rPr>
              <w:t>100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599"/>
        </w:trPr>
        <w:tc>
          <w:tcPr>
            <w:tcW w:w="2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4744"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足额按时发放工资</w:t>
            </w:r>
          </w:p>
        </w:tc>
      </w:tr>
      <w:tr>
        <w:trPr>
          <w:trHeight w:val="569"/>
        </w:trPr>
        <w:tc>
          <w:tcPr>
            <w:tcW w:w="2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4744"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trPr>
        <w:tc>
          <w:tcPr>
            <w:tcW w:w="2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4744"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284"/>
        </w:trPr>
        <w:tc>
          <w:tcPr>
            <w:tcW w:w="2570"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项目负责人：王鑫宇</w:t>
            </w:r>
          </w:p>
        </w:tc>
        <w:tc>
          <w:tcPr>
            <w:tcW w:w="2429" w:type="pct"/>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财务负责人：陈波</w:t>
            </w:r>
          </w:p>
        </w:tc>
      </w:tr>
    </w:tbl>
    <w:p>
      <w:r>
        <w:rPr>
          <w:rFonts w:ascii="SimSun" w:eastAsia="SimSun"/>
          <w:color w:val="000000"/>
          <w:sz w:val="18"/>
        </w:rPr>
        <w:br w:type="page"/>
      </w:r>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430"/>
        <w:gridCol w:w="1199"/>
        <w:gridCol w:w="1039"/>
        <w:gridCol w:w="1317"/>
        <w:gridCol w:w="338"/>
        <w:gridCol w:w="988"/>
        <w:gridCol w:w="338"/>
        <w:gridCol w:w="659"/>
        <w:gridCol w:w="329"/>
        <w:gridCol w:w="295"/>
        <w:gridCol w:w="1480"/>
      </w:tblGrid>
      <w:tr>
        <w:trPr>
          <w:trHeight w:val="284"/>
        </w:trPr>
        <w:tc>
          <w:tcPr>
            <w:tcW w:w="255" w:type="pct"/>
            <w:tcBorders>
              <w:top w:val="nil"/>
              <w:left w:val="nil"/>
              <w:bottom w:val="nil"/>
              <w:right w:val="nil"/>
              <w:tl2br w:val="nil"/>
              <w:tr2bl w:val="nil"/>
            </w:tcBorders>
            <w:noWrap/>
            <w:vAlign w:val="center"/>
          </w:tcPr>
          <w:p>
            <w:pPr>
              <w:rPr>
                <w:rFonts w:ascii="SimSun" w:eastAsia="SimSun"/>
                <w:color w:val="000000"/>
                <w:sz w:val="18"/>
              </w:rPr>
            </w:pPr>
          </w:p>
        </w:tc>
        <w:tc>
          <w:tcPr>
            <w:tcW w:w="712" w:type="pct"/>
            <w:tcBorders>
              <w:top w:val="nil"/>
              <w:left w:val="nil"/>
              <w:bottom w:val="nil"/>
              <w:right w:val="nil"/>
              <w:tl2br w:val="nil"/>
              <w:tr2bl w:val="nil"/>
            </w:tcBorders>
            <w:noWrap/>
            <w:vAlign w:val="center"/>
          </w:tcPr>
          <w:p>
            <w:pPr>
              <w:rPr>
                <w:rFonts w:ascii="SimSun" w:eastAsia="SimSun"/>
                <w:color w:val="000000"/>
                <w:sz w:val="18"/>
              </w:rPr>
            </w:pPr>
          </w:p>
        </w:tc>
        <w:tc>
          <w:tcPr>
            <w:tcW w:w="617" w:type="pct"/>
            <w:tcBorders>
              <w:top w:val="nil"/>
              <w:left w:val="nil"/>
              <w:bottom w:val="nil"/>
              <w:right w:val="nil"/>
              <w:tl2br w:val="nil"/>
              <w:tr2bl w:val="nil"/>
            </w:tcBorders>
            <w:noWrap/>
            <w:vAlign w:val="center"/>
          </w:tcPr>
          <w:p>
            <w:pPr>
              <w:rPr>
                <w:rFonts w:ascii="SimSun" w:eastAsia="SimSun"/>
                <w:color w:val="000000"/>
                <w:sz w:val="18"/>
              </w:rPr>
            </w:pPr>
          </w:p>
        </w:tc>
        <w:tc>
          <w:tcPr>
            <w:tcW w:w="783" w:type="pct"/>
            <w:tcBorders>
              <w:top w:val="nil"/>
              <w:left w:val="nil"/>
              <w:bottom w:val="nil"/>
              <w:right w:val="nil"/>
              <w:tl2br w:val="nil"/>
              <w:tr2bl w:val="nil"/>
            </w:tcBorders>
            <w:noWrap/>
            <w:vAlign w:val="center"/>
          </w:tcPr>
          <w:p>
            <w:pPr>
              <w:rPr>
                <w:rFonts w:ascii="SimSun" w:eastAsia="SimSun"/>
                <w:color w:val="000000"/>
                <w:sz w:val="18"/>
              </w:rPr>
            </w:pPr>
          </w:p>
        </w:tc>
        <w:tc>
          <w:tcPr>
            <w:tcW w:w="200" w:type="pct"/>
            <w:tcBorders>
              <w:top w:val="nil"/>
              <w:left w:val="nil"/>
              <w:bottom w:val="nil"/>
              <w:right w:val="nil"/>
              <w:tl2br w:val="nil"/>
              <w:tr2bl w:val="nil"/>
            </w:tcBorders>
            <w:noWrap/>
            <w:vAlign w:val="center"/>
          </w:tcPr>
          <w:p>
            <w:pPr>
              <w:rPr>
                <w:rFonts w:ascii="SimSun" w:eastAsia="SimSun"/>
                <w:color w:val="000000"/>
                <w:sz w:val="18"/>
              </w:rPr>
            </w:pPr>
          </w:p>
        </w:tc>
        <w:tc>
          <w:tcPr>
            <w:tcW w:w="587" w:type="pct"/>
            <w:tcBorders>
              <w:top w:val="nil"/>
              <w:left w:val="nil"/>
              <w:bottom w:val="nil"/>
              <w:right w:val="nil"/>
              <w:tl2br w:val="nil"/>
              <w:tr2bl w:val="nil"/>
            </w:tcBorders>
            <w:noWrap/>
            <w:vAlign w:val="center"/>
          </w:tcPr>
          <w:p>
            <w:pPr>
              <w:rPr>
                <w:rFonts w:ascii="SimSun" w:eastAsia="SimSun"/>
                <w:color w:val="000000"/>
                <w:sz w:val="18"/>
              </w:rPr>
            </w:pPr>
          </w:p>
        </w:tc>
        <w:tc>
          <w:tcPr>
            <w:tcW w:w="200" w:type="pct"/>
            <w:tcBorders>
              <w:top w:val="nil"/>
              <w:left w:val="nil"/>
              <w:bottom w:val="nil"/>
              <w:right w:val="nil"/>
              <w:tl2br w:val="nil"/>
              <w:tr2bl w:val="nil"/>
            </w:tcBorders>
            <w:noWrap/>
            <w:vAlign w:val="center"/>
          </w:tcPr>
          <w:p>
            <w:pPr>
              <w:rPr>
                <w:rFonts w:ascii="SimSun" w:eastAsia="SimSun"/>
                <w:color w:val="000000"/>
                <w:sz w:val="18"/>
              </w:rPr>
            </w:pPr>
          </w:p>
        </w:tc>
        <w:tc>
          <w:tcPr>
            <w:tcW w:w="391" w:type="pct"/>
            <w:tcBorders>
              <w:top w:val="nil"/>
              <w:left w:val="nil"/>
              <w:bottom w:val="nil"/>
              <w:right w:val="nil"/>
              <w:tl2br w:val="nil"/>
              <w:tr2bl w:val="nil"/>
            </w:tcBorders>
            <w:noWrap/>
            <w:vAlign w:val="center"/>
          </w:tcPr>
          <w:p>
            <w:pPr>
              <w:rPr>
                <w:rFonts w:ascii="SimSun" w:eastAsia="SimSun"/>
                <w:color w:val="000000"/>
                <w:sz w:val="18"/>
              </w:rPr>
            </w:pPr>
          </w:p>
        </w:tc>
        <w:tc>
          <w:tcPr>
            <w:tcW w:w="195" w:type="pct"/>
            <w:tcBorders>
              <w:top w:val="nil"/>
              <w:left w:val="nil"/>
              <w:bottom w:val="nil"/>
              <w:right w:val="nil"/>
              <w:tl2br w:val="nil"/>
              <w:tr2bl w:val="nil"/>
            </w:tcBorders>
            <w:noWrap/>
            <w:vAlign w:val="center"/>
          </w:tcPr>
          <w:p>
            <w:pPr>
              <w:rPr>
                <w:rFonts w:ascii="SimSun" w:eastAsia="SimSun"/>
                <w:color w:val="000000"/>
                <w:sz w:val="18"/>
              </w:rPr>
            </w:pPr>
          </w:p>
        </w:tc>
        <w:tc>
          <w:tcPr>
            <w:tcW w:w="175" w:type="pct"/>
            <w:tcBorders>
              <w:top w:val="nil"/>
              <w:left w:val="nil"/>
              <w:bottom w:val="nil"/>
              <w:right w:val="nil"/>
              <w:tl2br w:val="nil"/>
              <w:tr2bl w:val="nil"/>
            </w:tcBorders>
            <w:noWrap/>
            <w:vAlign w:val="center"/>
          </w:tcPr>
          <w:p>
            <w:pPr>
              <w:rPr>
                <w:rFonts w:ascii="SimSun" w:eastAsia="SimSun"/>
                <w:color w:val="000000"/>
                <w:sz w:val="18"/>
              </w:rPr>
            </w:pPr>
          </w:p>
        </w:tc>
        <w:tc>
          <w:tcPr>
            <w:tcW w:w="879" w:type="pct"/>
            <w:tcBorders>
              <w:top w:val="nil"/>
              <w:left w:val="nil"/>
              <w:bottom w:val="nil"/>
              <w:right w:val="nil"/>
              <w:tl2br w:val="nil"/>
              <w:tr2bl w:val="nil"/>
            </w:tcBorders>
            <w:noWrap/>
            <w:vAlign w:val="center"/>
          </w:tcPr>
          <w:p>
            <w:pPr>
              <w:rPr>
                <w:rFonts w:ascii="SimSun" w:eastAsia="SimSun"/>
                <w:color w:val="000000"/>
                <w:sz w:val="18"/>
              </w:rPr>
            </w:pPr>
          </w:p>
        </w:tc>
      </w:tr>
      <w:tr>
        <w:trPr>
          <w:trHeight w:val="899"/>
        </w:trPr>
        <w:tc>
          <w:tcPr>
            <w:tcW w:w="5000" w:type="pct"/>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部门预算项目支出绩效自评表（2024年度）</w:t>
            </w:r>
          </w:p>
        </w:tc>
      </w:tr>
      <w:tr>
        <w:trPr>
          <w:trHeight w:val="284"/>
        </w:trPr>
        <w:tc>
          <w:tcPr>
            <w:tcW w:w="968"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4031" w:type="pct"/>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51320023R000008958406-年度考核奖预发（30%）</w:t>
            </w:r>
          </w:p>
        </w:tc>
      </w:tr>
      <w:tr>
        <w:trPr>
          <w:trHeight w:val="509"/>
        </w:trPr>
        <w:tc>
          <w:tcPr>
            <w:tcW w:w="968"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238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州教育局部门</w:t>
            </w:r>
          </w:p>
        </w:tc>
        <w:tc>
          <w:tcPr>
            <w:tcW w:w="391" w:type="pct"/>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1250"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马师校</w:t>
            </w:r>
          </w:p>
        </w:tc>
      </w:tr>
      <w:tr>
        <w:trPr>
          <w:trHeight w:val="284"/>
        </w:trPr>
        <w:tc>
          <w:tcPr>
            <w:tcW w:w="255"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712"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238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1641" w:type="pct"/>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70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8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严格执行相关政策，保障工资及时、足额发放或社保及时、足额缴纳，预算编制科学合理，减少结余资金。</w:t>
            </w:r>
          </w:p>
        </w:tc>
        <w:tc>
          <w:tcPr>
            <w:tcW w:w="1641" w:type="pct"/>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对照年度目标，说明相关任务目标的完成情况（100字以内）</w:t>
            </w:r>
          </w:p>
        </w:tc>
      </w:tr>
      <w:tr>
        <w:trPr>
          <w:trHeight w:val="68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4031" w:type="pct"/>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按月工资发放</w:t>
            </w:r>
          </w:p>
        </w:tc>
      </w:tr>
      <w:tr>
        <w:trPr>
          <w:trHeight w:val="359"/>
        </w:trPr>
        <w:tc>
          <w:tcPr>
            <w:tcW w:w="255"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216.06</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216.06</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879"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216.06</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216.06</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255"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3749" w:type="pct"/>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SimSun" w:eastAsia="SimSun" w:cs="Arial"/>
                <w:color w:val="000000"/>
                <w:sz w:val="18"/>
              </w:rPr>
            </w:pPr>
            <w:r>
              <w:rPr>
                <w:rFonts w:ascii="SimSun" w:eastAsia="SimSun" w:cs="Arial"/>
                <w:color w:val="000000"/>
                <w:sz w:val="18"/>
              </w:rPr>
              <w:t>100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599"/>
        </w:trPr>
        <w:tc>
          <w:tcPr>
            <w:tcW w:w="2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4744"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足额按时发放工资</w:t>
            </w:r>
          </w:p>
        </w:tc>
      </w:tr>
      <w:tr>
        <w:trPr>
          <w:trHeight w:val="569"/>
        </w:trPr>
        <w:tc>
          <w:tcPr>
            <w:tcW w:w="2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4744"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trPr>
        <w:tc>
          <w:tcPr>
            <w:tcW w:w="2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4744"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284"/>
        </w:trPr>
        <w:tc>
          <w:tcPr>
            <w:tcW w:w="2570"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项目负责人：王鑫宇</w:t>
            </w:r>
          </w:p>
        </w:tc>
        <w:tc>
          <w:tcPr>
            <w:tcW w:w="2429" w:type="pct"/>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财务负责人：陈波</w:t>
            </w:r>
          </w:p>
        </w:tc>
      </w:tr>
    </w:tbl>
    <w:p>
      <w:r>
        <w:rPr>
          <w:rFonts w:ascii="SimSun" w:eastAsia="SimSun"/>
          <w:color w:val="000000"/>
          <w:sz w:val="18"/>
        </w:rPr>
        <w:br w:type="page"/>
      </w:r>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430"/>
        <w:gridCol w:w="1199"/>
        <w:gridCol w:w="1039"/>
        <w:gridCol w:w="1317"/>
        <w:gridCol w:w="338"/>
        <w:gridCol w:w="988"/>
        <w:gridCol w:w="338"/>
        <w:gridCol w:w="659"/>
        <w:gridCol w:w="329"/>
        <w:gridCol w:w="295"/>
        <w:gridCol w:w="1480"/>
      </w:tblGrid>
      <w:tr>
        <w:trPr>
          <w:trHeight w:val="284"/>
        </w:trPr>
        <w:tc>
          <w:tcPr>
            <w:tcW w:w="255" w:type="pct"/>
            <w:tcBorders>
              <w:top w:val="nil"/>
              <w:left w:val="nil"/>
              <w:bottom w:val="nil"/>
              <w:right w:val="nil"/>
              <w:tl2br w:val="nil"/>
              <w:tr2bl w:val="nil"/>
            </w:tcBorders>
            <w:noWrap/>
            <w:vAlign w:val="center"/>
          </w:tcPr>
          <w:p>
            <w:pPr>
              <w:rPr>
                <w:rFonts w:ascii="SimSun" w:eastAsia="SimSun"/>
                <w:color w:val="000000"/>
                <w:sz w:val="18"/>
              </w:rPr>
            </w:pPr>
          </w:p>
        </w:tc>
        <w:tc>
          <w:tcPr>
            <w:tcW w:w="712" w:type="pct"/>
            <w:tcBorders>
              <w:top w:val="nil"/>
              <w:left w:val="nil"/>
              <w:bottom w:val="nil"/>
              <w:right w:val="nil"/>
              <w:tl2br w:val="nil"/>
              <w:tr2bl w:val="nil"/>
            </w:tcBorders>
            <w:noWrap/>
            <w:vAlign w:val="center"/>
          </w:tcPr>
          <w:p>
            <w:pPr>
              <w:rPr>
                <w:rFonts w:ascii="SimSun" w:eastAsia="SimSun"/>
                <w:color w:val="000000"/>
                <w:sz w:val="18"/>
              </w:rPr>
            </w:pPr>
          </w:p>
        </w:tc>
        <w:tc>
          <w:tcPr>
            <w:tcW w:w="617" w:type="pct"/>
            <w:tcBorders>
              <w:top w:val="nil"/>
              <w:left w:val="nil"/>
              <w:bottom w:val="nil"/>
              <w:right w:val="nil"/>
              <w:tl2br w:val="nil"/>
              <w:tr2bl w:val="nil"/>
            </w:tcBorders>
            <w:noWrap/>
            <w:vAlign w:val="center"/>
          </w:tcPr>
          <w:p>
            <w:pPr>
              <w:rPr>
                <w:rFonts w:ascii="SimSun" w:eastAsia="SimSun"/>
                <w:color w:val="000000"/>
                <w:sz w:val="18"/>
              </w:rPr>
            </w:pPr>
          </w:p>
        </w:tc>
        <w:tc>
          <w:tcPr>
            <w:tcW w:w="783" w:type="pct"/>
            <w:tcBorders>
              <w:top w:val="nil"/>
              <w:left w:val="nil"/>
              <w:bottom w:val="nil"/>
              <w:right w:val="nil"/>
              <w:tl2br w:val="nil"/>
              <w:tr2bl w:val="nil"/>
            </w:tcBorders>
            <w:noWrap/>
            <w:vAlign w:val="center"/>
          </w:tcPr>
          <w:p>
            <w:pPr>
              <w:rPr>
                <w:rFonts w:ascii="SimSun" w:eastAsia="SimSun"/>
                <w:color w:val="000000"/>
                <w:sz w:val="18"/>
              </w:rPr>
            </w:pPr>
          </w:p>
        </w:tc>
        <w:tc>
          <w:tcPr>
            <w:tcW w:w="200" w:type="pct"/>
            <w:tcBorders>
              <w:top w:val="nil"/>
              <w:left w:val="nil"/>
              <w:bottom w:val="nil"/>
              <w:right w:val="nil"/>
              <w:tl2br w:val="nil"/>
              <w:tr2bl w:val="nil"/>
            </w:tcBorders>
            <w:noWrap/>
            <w:vAlign w:val="center"/>
          </w:tcPr>
          <w:p>
            <w:pPr>
              <w:rPr>
                <w:rFonts w:ascii="SimSun" w:eastAsia="SimSun"/>
                <w:color w:val="000000"/>
                <w:sz w:val="18"/>
              </w:rPr>
            </w:pPr>
          </w:p>
        </w:tc>
        <w:tc>
          <w:tcPr>
            <w:tcW w:w="587" w:type="pct"/>
            <w:tcBorders>
              <w:top w:val="nil"/>
              <w:left w:val="nil"/>
              <w:bottom w:val="nil"/>
              <w:right w:val="nil"/>
              <w:tl2br w:val="nil"/>
              <w:tr2bl w:val="nil"/>
            </w:tcBorders>
            <w:noWrap/>
            <w:vAlign w:val="center"/>
          </w:tcPr>
          <w:p>
            <w:pPr>
              <w:rPr>
                <w:rFonts w:ascii="SimSun" w:eastAsia="SimSun"/>
                <w:color w:val="000000"/>
                <w:sz w:val="18"/>
              </w:rPr>
            </w:pPr>
          </w:p>
        </w:tc>
        <w:tc>
          <w:tcPr>
            <w:tcW w:w="200" w:type="pct"/>
            <w:tcBorders>
              <w:top w:val="nil"/>
              <w:left w:val="nil"/>
              <w:bottom w:val="nil"/>
              <w:right w:val="nil"/>
              <w:tl2br w:val="nil"/>
              <w:tr2bl w:val="nil"/>
            </w:tcBorders>
            <w:noWrap/>
            <w:vAlign w:val="center"/>
          </w:tcPr>
          <w:p>
            <w:pPr>
              <w:rPr>
                <w:rFonts w:ascii="SimSun" w:eastAsia="SimSun"/>
                <w:color w:val="000000"/>
                <w:sz w:val="18"/>
              </w:rPr>
            </w:pPr>
          </w:p>
        </w:tc>
        <w:tc>
          <w:tcPr>
            <w:tcW w:w="391" w:type="pct"/>
            <w:tcBorders>
              <w:top w:val="nil"/>
              <w:left w:val="nil"/>
              <w:bottom w:val="nil"/>
              <w:right w:val="nil"/>
              <w:tl2br w:val="nil"/>
              <w:tr2bl w:val="nil"/>
            </w:tcBorders>
            <w:noWrap/>
            <w:vAlign w:val="center"/>
          </w:tcPr>
          <w:p>
            <w:pPr>
              <w:rPr>
                <w:rFonts w:ascii="SimSun" w:eastAsia="SimSun"/>
                <w:color w:val="000000"/>
                <w:sz w:val="18"/>
              </w:rPr>
            </w:pPr>
          </w:p>
        </w:tc>
        <w:tc>
          <w:tcPr>
            <w:tcW w:w="195" w:type="pct"/>
            <w:tcBorders>
              <w:top w:val="nil"/>
              <w:left w:val="nil"/>
              <w:bottom w:val="nil"/>
              <w:right w:val="nil"/>
              <w:tl2br w:val="nil"/>
              <w:tr2bl w:val="nil"/>
            </w:tcBorders>
            <w:noWrap/>
            <w:vAlign w:val="center"/>
          </w:tcPr>
          <w:p>
            <w:pPr>
              <w:rPr>
                <w:rFonts w:ascii="SimSun" w:eastAsia="SimSun"/>
                <w:color w:val="000000"/>
                <w:sz w:val="18"/>
              </w:rPr>
            </w:pPr>
          </w:p>
        </w:tc>
        <w:tc>
          <w:tcPr>
            <w:tcW w:w="175" w:type="pct"/>
            <w:tcBorders>
              <w:top w:val="nil"/>
              <w:left w:val="nil"/>
              <w:bottom w:val="nil"/>
              <w:right w:val="nil"/>
              <w:tl2br w:val="nil"/>
              <w:tr2bl w:val="nil"/>
            </w:tcBorders>
            <w:noWrap/>
            <w:vAlign w:val="center"/>
          </w:tcPr>
          <w:p>
            <w:pPr>
              <w:rPr>
                <w:rFonts w:ascii="SimSun" w:eastAsia="SimSun"/>
                <w:color w:val="000000"/>
                <w:sz w:val="18"/>
              </w:rPr>
            </w:pPr>
          </w:p>
        </w:tc>
        <w:tc>
          <w:tcPr>
            <w:tcW w:w="879" w:type="pct"/>
            <w:tcBorders>
              <w:top w:val="nil"/>
              <w:left w:val="nil"/>
              <w:bottom w:val="nil"/>
              <w:right w:val="nil"/>
              <w:tl2br w:val="nil"/>
              <w:tr2bl w:val="nil"/>
            </w:tcBorders>
            <w:noWrap/>
            <w:vAlign w:val="center"/>
          </w:tcPr>
          <w:p>
            <w:pPr>
              <w:rPr>
                <w:rFonts w:ascii="SimSun" w:eastAsia="SimSun"/>
                <w:color w:val="000000"/>
                <w:sz w:val="18"/>
              </w:rPr>
            </w:pPr>
          </w:p>
        </w:tc>
      </w:tr>
      <w:tr>
        <w:trPr>
          <w:trHeight w:val="899"/>
        </w:trPr>
        <w:tc>
          <w:tcPr>
            <w:tcW w:w="5000" w:type="pct"/>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部门预算项目支出绩效自评表（2024年度）</w:t>
            </w:r>
          </w:p>
        </w:tc>
      </w:tr>
      <w:tr>
        <w:trPr>
          <w:trHeight w:val="284"/>
        </w:trPr>
        <w:tc>
          <w:tcPr>
            <w:tcW w:w="968"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4031" w:type="pct"/>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51320023R000009914893-工资性支出</w:t>
            </w:r>
          </w:p>
        </w:tc>
      </w:tr>
      <w:tr>
        <w:trPr>
          <w:trHeight w:val="509"/>
        </w:trPr>
        <w:tc>
          <w:tcPr>
            <w:tcW w:w="968"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238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州教育局部门</w:t>
            </w:r>
          </w:p>
        </w:tc>
        <w:tc>
          <w:tcPr>
            <w:tcW w:w="391" w:type="pct"/>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1250"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马师校</w:t>
            </w:r>
          </w:p>
        </w:tc>
      </w:tr>
      <w:tr>
        <w:trPr>
          <w:trHeight w:val="284"/>
        </w:trPr>
        <w:tc>
          <w:tcPr>
            <w:tcW w:w="255"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712"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238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1642" w:type="pct"/>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70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8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严格执行相关政策，保障工资及时、足额发放或社保及时、足额缴纳，预算编制科学合理，减少结余资金。</w:t>
            </w:r>
          </w:p>
        </w:tc>
        <w:tc>
          <w:tcPr>
            <w:tcW w:w="1642" w:type="pct"/>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对照年度目标，说明相关任务目标的完成情况（100字以内）</w:t>
            </w:r>
          </w:p>
        </w:tc>
      </w:tr>
      <w:tr>
        <w:trPr>
          <w:trHeight w:val="68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4031" w:type="pct"/>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按月工资发放</w:t>
            </w:r>
          </w:p>
        </w:tc>
      </w:tr>
      <w:tr>
        <w:trPr>
          <w:trHeight w:val="359"/>
        </w:trPr>
        <w:tc>
          <w:tcPr>
            <w:tcW w:w="255"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1,474.72</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1,539.69</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1,539.69</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879"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1,474.72</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1,539.69</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1,539.69</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255"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产出指标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数量指标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发放（缴纳）覆盖率</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60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60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效益指标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社会效益指标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足额保障率（参保率）</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3749" w:type="pct"/>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SimSun" w:eastAsia="SimSun" w:cs="Arial"/>
                <w:color w:val="000000"/>
                <w:sz w:val="18"/>
              </w:rPr>
            </w:pPr>
            <w:r>
              <w:rPr>
                <w:rFonts w:ascii="SimSun" w:eastAsia="SimSun" w:cs="Arial"/>
                <w:color w:val="000000"/>
                <w:sz w:val="18"/>
              </w:rPr>
              <w:t>100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599"/>
        </w:trPr>
        <w:tc>
          <w:tcPr>
            <w:tcW w:w="2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4744"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足额按时发放工资</w:t>
            </w:r>
          </w:p>
        </w:tc>
      </w:tr>
      <w:tr>
        <w:trPr>
          <w:trHeight w:val="569"/>
        </w:trPr>
        <w:tc>
          <w:tcPr>
            <w:tcW w:w="2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4744"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trPr>
        <w:tc>
          <w:tcPr>
            <w:tcW w:w="2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4744"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284"/>
        </w:trPr>
        <w:tc>
          <w:tcPr>
            <w:tcW w:w="2570"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项目负责人：王鑫宇</w:t>
            </w:r>
          </w:p>
        </w:tc>
        <w:tc>
          <w:tcPr>
            <w:tcW w:w="2429" w:type="pct"/>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财务负责人：陈波</w:t>
            </w:r>
          </w:p>
        </w:tc>
      </w:tr>
    </w:tbl>
    <w:p>
      <w:r>
        <w:rPr>
          <w:rFonts w:ascii="SimSun" w:eastAsia="SimSun"/>
          <w:color w:val="000000"/>
          <w:sz w:val="18"/>
        </w:rPr>
        <w:br w:type="page"/>
      </w:r>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430"/>
        <w:gridCol w:w="1199"/>
        <w:gridCol w:w="1039"/>
        <w:gridCol w:w="1317"/>
        <w:gridCol w:w="338"/>
        <w:gridCol w:w="988"/>
        <w:gridCol w:w="338"/>
        <w:gridCol w:w="659"/>
        <w:gridCol w:w="329"/>
        <w:gridCol w:w="295"/>
        <w:gridCol w:w="1480"/>
      </w:tblGrid>
      <w:tr>
        <w:trPr>
          <w:trHeight w:val="284"/>
        </w:trPr>
        <w:tc>
          <w:tcPr>
            <w:tcW w:w="255" w:type="pct"/>
            <w:tcBorders>
              <w:top w:val="nil"/>
              <w:left w:val="nil"/>
              <w:bottom w:val="nil"/>
              <w:right w:val="nil"/>
              <w:tl2br w:val="nil"/>
              <w:tr2bl w:val="nil"/>
            </w:tcBorders>
            <w:noWrap/>
            <w:vAlign w:val="center"/>
          </w:tcPr>
          <w:p>
            <w:pPr>
              <w:rPr>
                <w:rFonts w:ascii="SimSun" w:eastAsia="SimSun"/>
                <w:color w:val="000000"/>
                <w:sz w:val="18"/>
              </w:rPr>
            </w:pPr>
          </w:p>
        </w:tc>
        <w:tc>
          <w:tcPr>
            <w:tcW w:w="712" w:type="pct"/>
            <w:tcBorders>
              <w:top w:val="nil"/>
              <w:left w:val="nil"/>
              <w:bottom w:val="nil"/>
              <w:right w:val="nil"/>
              <w:tl2br w:val="nil"/>
              <w:tr2bl w:val="nil"/>
            </w:tcBorders>
            <w:noWrap/>
            <w:vAlign w:val="center"/>
          </w:tcPr>
          <w:p>
            <w:pPr>
              <w:rPr>
                <w:rFonts w:ascii="SimSun" w:eastAsia="SimSun"/>
                <w:color w:val="000000"/>
                <w:sz w:val="18"/>
              </w:rPr>
            </w:pPr>
          </w:p>
        </w:tc>
        <w:tc>
          <w:tcPr>
            <w:tcW w:w="617" w:type="pct"/>
            <w:tcBorders>
              <w:top w:val="nil"/>
              <w:left w:val="nil"/>
              <w:bottom w:val="nil"/>
              <w:right w:val="nil"/>
              <w:tl2br w:val="nil"/>
              <w:tr2bl w:val="nil"/>
            </w:tcBorders>
            <w:noWrap/>
            <w:vAlign w:val="center"/>
          </w:tcPr>
          <w:p>
            <w:pPr>
              <w:rPr>
                <w:rFonts w:ascii="SimSun" w:eastAsia="SimSun"/>
                <w:color w:val="000000"/>
                <w:sz w:val="18"/>
              </w:rPr>
            </w:pPr>
          </w:p>
        </w:tc>
        <w:tc>
          <w:tcPr>
            <w:tcW w:w="783" w:type="pct"/>
            <w:tcBorders>
              <w:top w:val="nil"/>
              <w:left w:val="nil"/>
              <w:bottom w:val="nil"/>
              <w:right w:val="nil"/>
              <w:tl2br w:val="nil"/>
              <w:tr2bl w:val="nil"/>
            </w:tcBorders>
            <w:noWrap/>
            <w:vAlign w:val="center"/>
          </w:tcPr>
          <w:p>
            <w:pPr>
              <w:rPr>
                <w:rFonts w:ascii="SimSun" w:eastAsia="SimSun"/>
                <w:color w:val="000000"/>
                <w:sz w:val="18"/>
              </w:rPr>
            </w:pPr>
          </w:p>
        </w:tc>
        <w:tc>
          <w:tcPr>
            <w:tcW w:w="200" w:type="pct"/>
            <w:tcBorders>
              <w:top w:val="nil"/>
              <w:left w:val="nil"/>
              <w:bottom w:val="nil"/>
              <w:right w:val="nil"/>
              <w:tl2br w:val="nil"/>
              <w:tr2bl w:val="nil"/>
            </w:tcBorders>
            <w:noWrap/>
            <w:vAlign w:val="center"/>
          </w:tcPr>
          <w:p>
            <w:pPr>
              <w:rPr>
                <w:rFonts w:ascii="SimSun" w:eastAsia="SimSun"/>
                <w:color w:val="000000"/>
                <w:sz w:val="18"/>
              </w:rPr>
            </w:pPr>
          </w:p>
        </w:tc>
        <w:tc>
          <w:tcPr>
            <w:tcW w:w="587" w:type="pct"/>
            <w:tcBorders>
              <w:top w:val="nil"/>
              <w:left w:val="nil"/>
              <w:bottom w:val="nil"/>
              <w:right w:val="nil"/>
              <w:tl2br w:val="nil"/>
              <w:tr2bl w:val="nil"/>
            </w:tcBorders>
            <w:noWrap/>
            <w:vAlign w:val="center"/>
          </w:tcPr>
          <w:p>
            <w:pPr>
              <w:rPr>
                <w:rFonts w:ascii="SimSun" w:eastAsia="SimSun"/>
                <w:color w:val="000000"/>
                <w:sz w:val="18"/>
              </w:rPr>
            </w:pPr>
          </w:p>
        </w:tc>
        <w:tc>
          <w:tcPr>
            <w:tcW w:w="200" w:type="pct"/>
            <w:tcBorders>
              <w:top w:val="nil"/>
              <w:left w:val="nil"/>
              <w:bottom w:val="nil"/>
              <w:right w:val="nil"/>
              <w:tl2br w:val="nil"/>
              <w:tr2bl w:val="nil"/>
            </w:tcBorders>
            <w:noWrap/>
            <w:vAlign w:val="center"/>
          </w:tcPr>
          <w:p>
            <w:pPr>
              <w:rPr>
                <w:rFonts w:ascii="SimSun" w:eastAsia="SimSun"/>
                <w:color w:val="000000"/>
                <w:sz w:val="18"/>
              </w:rPr>
            </w:pPr>
          </w:p>
        </w:tc>
        <w:tc>
          <w:tcPr>
            <w:tcW w:w="391" w:type="pct"/>
            <w:tcBorders>
              <w:top w:val="nil"/>
              <w:left w:val="nil"/>
              <w:bottom w:val="nil"/>
              <w:right w:val="nil"/>
              <w:tl2br w:val="nil"/>
              <w:tr2bl w:val="nil"/>
            </w:tcBorders>
            <w:noWrap/>
            <w:vAlign w:val="center"/>
          </w:tcPr>
          <w:p>
            <w:pPr>
              <w:rPr>
                <w:rFonts w:ascii="SimSun" w:eastAsia="SimSun"/>
                <w:color w:val="000000"/>
                <w:sz w:val="18"/>
              </w:rPr>
            </w:pPr>
          </w:p>
        </w:tc>
        <w:tc>
          <w:tcPr>
            <w:tcW w:w="195" w:type="pct"/>
            <w:tcBorders>
              <w:top w:val="nil"/>
              <w:left w:val="nil"/>
              <w:bottom w:val="nil"/>
              <w:right w:val="nil"/>
              <w:tl2br w:val="nil"/>
              <w:tr2bl w:val="nil"/>
            </w:tcBorders>
            <w:noWrap/>
            <w:vAlign w:val="center"/>
          </w:tcPr>
          <w:p>
            <w:pPr>
              <w:rPr>
                <w:rFonts w:ascii="SimSun" w:eastAsia="SimSun"/>
                <w:color w:val="000000"/>
                <w:sz w:val="18"/>
              </w:rPr>
            </w:pPr>
          </w:p>
        </w:tc>
        <w:tc>
          <w:tcPr>
            <w:tcW w:w="175" w:type="pct"/>
            <w:tcBorders>
              <w:top w:val="nil"/>
              <w:left w:val="nil"/>
              <w:bottom w:val="nil"/>
              <w:right w:val="nil"/>
              <w:tl2br w:val="nil"/>
              <w:tr2bl w:val="nil"/>
            </w:tcBorders>
            <w:noWrap/>
            <w:vAlign w:val="center"/>
          </w:tcPr>
          <w:p>
            <w:pPr>
              <w:rPr>
                <w:rFonts w:ascii="SimSun" w:eastAsia="SimSun"/>
                <w:color w:val="000000"/>
                <w:sz w:val="18"/>
              </w:rPr>
            </w:pPr>
          </w:p>
        </w:tc>
        <w:tc>
          <w:tcPr>
            <w:tcW w:w="879" w:type="pct"/>
            <w:tcBorders>
              <w:top w:val="nil"/>
              <w:left w:val="nil"/>
              <w:bottom w:val="nil"/>
              <w:right w:val="nil"/>
              <w:tl2br w:val="nil"/>
              <w:tr2bl w:val="nil"/>
            </w:tcBorders>
            <w:noWrap/>
            <w:vAlign w:val="center"/>
          </w:tcPr>
          <w:p>
            <w:pPr>
              <w:rPr>
                <w:rFonts w:ascii="SimSun" w:eastAsia="SimSun"/>
                <w:color w:val="000000"/>
                <w:sz w:val="18"/>
              </w:rPr>
            </w:pPr>
          </w:p>
        </w:tc>
      </w:tr>
      <w:tr>
        <w:trPr>
          <w:trHeight w:val="899"/>
        </w:trPr>
        <w:tc>
          <w:tcPr>
            <w:tcW w:w="5000" w:type="pct"/>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部门预算项目支出绩效自评表（2024年度）</w:t>
            </w:r>
          </w:p>
        </w:tc>
      </w:tr>
      <w:tr>
        <w:trPr>
          <w:trHeight w:val="284"/>
        </w:trPr>
        <w:tc>
          <w:tcPr>
            <w:tcW w:w="968"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4031" w:type="pct"/>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51320023R000009915221-单位缴费</w:t>
            </w:r>
          </w:p>
        </w:tc>
      </w:tr>
      <w:tr>
        <w:trPr>
          <w:trHeight w:val="509"/>
        </w:trPr>
        <w:tc>
          <w:tcPr>
            <w:tcW w:w="968"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238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州教育局部门</w:t>
            </w:r>
          </w:p>
        </w:tc>
        <w:tc>
          <w:tcPr>
            <w:tcW w:w="391" w:type="pct"/>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1250"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马师校</w:t>
            </w:r>
          </w:p>
        </w:tc>
      </w:tr>
      <w:tr>
        <w:trPr>
          <w:trHeight w:val="284"/>
        </w:trPr>
        <w:tc>
          <w:tcPr>
            <w:tcW w:w="255"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712"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238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1642" w:type="pct"/>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70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8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严格执行相关政策，保障工资及时、足额发放或社保及时、足额缴纳，预算编制科学合理，减少结余资金。</w:t>
            </w:r>
          </w:p>
        </w:tc>
        <w:tc>
          <w:tcPr>
            <w:tcW w:w="1642" w:type="pct"/>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对照年度目标，说明相关任务目标的完成情况（100字以内）</w:t>
            </w:r>
          </w:p>
        </w:tc>
      </w:tr>
      <w:tr>
        <w:trPr>
          <w:trHeight w:val="68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4031" w:type="pct"/>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事业单位缴费含工伤、养老、公积金等，依政策核算</w:t>
            </w:r>
          </w:p>
        </w:tc>
      </w:tr>
      <w:tr>
        <w:trPr>
          <w:trHeight w:val="359"/>
        </w:trPr>
        <w:tc>
          <w:tcPr>
            <w:tcW w:w="255"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1,092.13</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1,022.57</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1,022.57</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879"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1,092.13</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1,022.57</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1,022.57</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255"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产出指标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数量指标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发放（缴纳）覆盖率</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60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60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效益指标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社会效益指标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足额保障率（参保率）</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3749" w:type="pct"/>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SimSun" w:eastAsia="SimSun" w:cs="Arial"/>
                <w:color w:val="000000"/>
                <w:sz w:val="18"/>
              </w:rPr>
            </w:pPr>
            <w:r>
              <w:rPr>
                <w:rFonts w:ascii="SimSun" w:eastAsia="SimSun" w:cs="Arial"/>
                <w:color w:val="000000"/>
                <w:sz w:val="18"/>
              </w:rPr>
              <w:t>100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599"/>
        </w:trPr>
        <w:tc>
          <w:tcPr>
            <w:tcW w:w="2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4744"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按时缴纳各项保险</w:t>
            </w:r>
          </w:p>
        </w:tc>
      </w:tr>
      <w:tr>
        <w:trPr>
          <w:trHeight w:val="569"/>
        </w:trPr>
        <w:tc>
          <w:tcPr>
            <w:tcW w:w="2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4744"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trPr>
        <w:tc>
          <w:tcPr>
            <w:tcW w:w="2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4744"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284"/>
        </w:trPr>
        <w:tc>
          <w:tcPr>
            <w:tcW w:w="256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项目负责人：王鑫宇</w:t>
            </w:r>
          </w:p>
        </w:tc>
        <w:tc>
          <w:tcPr>
            <w:tcW w:w="2430" w:type="pct"/>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财务负责人：陈波</w:t>
            </w:r>
          </w:p>
        </w:tc>
      </w:tr>
    </w:tbl>
    <w:p>
      <w:r>
        <w:rPr>
          <w:rFonts w:ascii="SimSun" w:eastAsia="SimSun"/>
          <w:color w:val="000000"/>
          <w:sz w:val="18"/>
        </w:rPr>
        <w:br w:type="page"/>
      </w:r>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430"/>
        <w:gridCol w:w="1199"/>
        <w:gridCol w:w="1039"/>
        <w:gridCol w:w="1317"/>
        <w:gridCol w:w="338"/>
        <w:gridCol w:w="988"/>
        <w:gridCol w:w="338"/>
        <w:gridCol w:w="659"/>
        <w:gridCol w:w="329"/>
        <w:gridCol w:w="294"/>
        <w:gridCol w:w="1480"/>
      </w:tblGrid>
      <w:tr>
        <w:trPr>
          <w:trHeight w:val="284"/>
        </w:trPr>
        <w:tc>
          <w:tcPr>
            <w:tcW w:w="255" w:type="pct"/>
            <w:tcBorders>
              <w:top w:val="nil"/>
              <w:left w:val="nil"/>
              <w:bottom w:val="nil"/>
              <w:right w:val="nil"/>
              <w:tl2br w:val="nil"/>
              <w:tr2bl w:val="nil"/>
            </w:tcBorders>
            <w:noWrap/>
            <w:vAlign w:val="center"/>
          </w:tcPr>
          <w:p>
            <w:pPr>
              <w:rPr>
                <w:rFonts w:ascii="SimSun" w:eastAsia="SimSun"/>
                <w:color w:val="000000"/>
                <w:sz w:val="18"/>
              </w:rPr>
            </w:pPr>
          </w:p>
        </w:tc>
        <w:tc>
          <w:tcPr>
            <w:tcW w:w="712" w:type="pct"/>
            <w:tcBorders>
              <w:top w:val="nil"/>
              <w:left w:val="nil"/>
              <w:bottom w:val="nil"/>
              <w:right w:val="nil"/>
              <w:tl2br w:val="nil"/>
              <w:tr2bl w:val="nil"/>
            </w:tcBorders>
            <w:noWrap/>
            <w:vAlign w:val="center"/>
          </w:tcPr>
          <w:p>
            <w:pPr>
              <w:rPr>
                <w:rFonts w:ascii="SimSun" w:eastAsia="SimSun"/>
                <w:color w:val="000000"/>
                <w:sz w:val="18"/>
              </w:rPr>
            </w:pPr>
          </w:p>
        </w:tc>
        <w:tc>
          <w:tcPr>
            <w:tcW w:w="617" w:type="pct"/>
            <w:tcBorders>
              <w:top w:val="nil"/>
              <w:left w:val="nil"/>
              <w:bottom w:val="nil"/>
              <w:right w:val="nil"/>
              <w:tl2br w:val="nil"/>
              <w:tr2bl w:val="nil"/>
            </w:tcBorders>
            <w:noWrap/>
            <w:vAlign w:val="center"/>
          </w:tcPr>
          <w:p>
            <w:pPr>
              <w:rPr>
                <w:rFonts w:ascii="SimSun" w:eastAsia="SimSun"/>
                <w:color w:val="000000"/>
                <w:sz w:val="18"/>
              </w:rPr>
            </w:pPr>
          </w:p>
        </w:tc>
        <w:tc>
          <w:tcPr>
            <w:tcW w:w="783" w:type="pct"/>
            <w:tcBorders>
              <w:top w:val="nil"/>
              <w:left w:val="nil"/>
              <w:bottom w:val="nil"/>
              <w:right w:val="nil"/>
              <w:tl2br w:val="nil"/>
              <w:tr2bl w:val="nil"/>
            </w:tcBorders>
            <w:noWrap/>
            <w:vAlign w:val="center"/>
          </w:tcPr>
          <w:p>
            <w:pPr>
              <w:rPr>
                <w:rFonts w:ascii="SimSun" w:eastAsia="SimSun"/>
                <w:color w:val="000000"/>
                <w:sz w:val="18"/>
              </w:rPr>
            </w:pPr>
          </w:p>
        </w:tc>
        <w:tc>
          <w:tcPr>
            <w:tcW w:w="200" w:type="pct"/>
            <w:tcBorders>
              <w:top w:val="nil"/>
              <w:left w:val="nil"/>
              <w:bottom w:val="nil"/>
              <w:right w:val="nil"/>
              <w:tl2br w:val="nil"/>
              <w:tr2bl w:val="nil"/>
            </w:tcBorders>
            <w:noWrap/>
            <w:vAlign w:val="center"/>
          </w:tcPr>
          <w:p>
            <w:pPr>
              <w:rPr>
                <w:rFonts w:ascii="SimSun" w:eastAsia="SimSun"/>
                <w:color w:val="000000"/>
                <w:sz w:val="18"/>
              </w:rPr>
            </w:pPr>
          </w:p>
        </w:tc>
        <w:tc>
          <w:tcPr>
            <w:tcW w:w="587" w:type="pct"/>
            <w:tcBorders>
              <w:top w:val="nil"/>
              <w:left w:val="nil"/>
              <w:bottom w:val="nil"/>
              <w:right w:val="nil"/>
              <w:tl2br w:val="nil"/>
              <w:tr2bl w:val="nil"/>
            </w:tcBorders>
            <w:noWrap/>
            <w:vAlign w:val="center"/>
          </w:tcPr>
          <w:p>
            <w:pPr>
              <w:rPr>
                <w:rFonts w:ascii="SimSun" w:eastAsia="SimSun"/>
                <w:color w:val="000000"/>
                <w:sz w:val="18"/>
              </w:rPr>
            </w:pPr>
          </w:p>
        </w:tc>
        <w:tc>
          <w:tcPr>
            <w:tcW w:w="200" w:type="pct"/>
            <w:tcBorders>
              <w:top w:val="nil"/>
              <w:left w:val="nil"/>
              <w:bottom w:val="nil"/>
              <w:right w:val="nil"/>
              <w:tl2br w:val="nil"/>
              <w:tr2bl w:val="nil"/>
            </w:tcBorders>
            <w:noWrap/>
            <w:vAlign w:val="center"/>
          </w:tcPr>
          <w:p>
            <w:pPr>
              <w:rPr>
                <w:rFonts w:ascii="SimSun" w:eastAsia="SimSun"/>
                <w:color w:val="000000"/>
                <w:sz w:val="18"/>
              </w:rPr>
            </w:pPr>
          </w:p>
        </w:tc>
        <w:tc>
          <w:tcPr>
            <w:tcW w:w="391" w:type="pct"/>
            <w:tcBorders>
              <w:top w:val="nil"/>
              <w:left w:val="nil"/>
              <w:bottom w:val="nil"/>
              <w:right w:val="nil"/>
              <w:tl2br w:val="nil"/>
              <w:tr2bl w:val="nil"/>
            </w:tcBorders>
            <w:noWrap/>
            <w:vAlign w:val="center"/>
          </w:tcPr>
          <w:p>
            <w:pPr>
              <w:rPr>
                <w:rFonts w:ascii="SimSun" w:eastAsia="SimSun"/>
                <w:color w:val="000000"/>
                <w:sz w:val="18"/>
              </w:rPr>
            </w:pPr>
          </w:p>
        </w:tc>
        <w:tc>
          <w:tcPr>
            <w:tcW w:w="195" w:type="pct"/>
            <w:tcBorders>
              <w:top w:val="nil"/>
              <w:left w:val="nil"/>
              <w:bottom w:val="nil"/>
              <w:right w:val="nil"/>
              <w:tl2br w:val="nil"/>
              <w:tr2bl w:val="nil"/>
            </w:tcBorders>
            <w:noWrap/>
            <w:vAlign w:val="center"/>
          </w:tcPr>
          <w:p>
            <w:pPr>
              <w:rPr>
                <w:rFonts w:ascii="SimSun" w:eastAsia="SimSun"/>
                <w:color w:val="000000"/>
                <w:sz w:val="18"/>
              </w:rPr>
            </w:pPr>
          </w:p>
        </w:tc>
        <w:tc>
          <w:tcPr>
            <w:tcW w:w="175" w:type="pct"/>
            <w:tcBorders>
              <w:top w:val="nil"/>
              <w:left w:val="nil"/>
              <w:bottom w:val="nil"/>
              <w:right w:val="nil"/>
              <w:tl2br w:val="nil"/>
              <w:tr2bl w:val="nil"/>
            </w:tcBorders>
            <w:noWrap/>
            <w:vAlign w:val="center"/>
          </w:tcPr>
          <w:p>
            <w:pPr>
              <w:rPr>
                <w:rFonts w:ascii="SimSun" w:eastAsia="SimSun"/>
                <w:color w:val="000000"/>
                <w:sz w:val="18"/>
              </w:rPr>
            </w:pPr>
          </w:p>
        </w:tc>
        <w:tc>
          <w:tcPr>
            <w:tcW w:w="879" w:type="pct"/>
            <w:tcBorders>
              <w:top w:val="nil"/>
              <w:left w:val="nil"/>
              <w:bottom w:val="nil"/>
              <w:right w:val="nil"/>
              <w:tl2br w:val="nil"/>
              <w:tr2bl w:val="nil"/>
            </w:tcBorders>
            <w:noWrap/>
            <w:vAlign w:val="center"/>
          </w:tcPr>
          <w:p>
            <w:pPr>
              <w:rPr>
                <w:rFonts w:ascii="SimSun" w:eastAsia="SimSun"/>
                <w:color w:val="000000"/>
                <w:sz w:val="18"/>
              </w:rPr>
            </w:pPr>
          </w:p>
        </w:tc>
      </w:tr>
      <w:tr>
        <w:trPr>
          <w:trHeight w:val="899"/>
        </w:trPr>
        <w:tc>
          <w:tcPr>
            <w:tcW w:w="5000" w:type="pct"/>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部门预算项目支出绩效自评表（2024年度）</w:t>
            </w:r>
          </w:p>
        </w:tc>
      </w:tr>
      <w:tr>
        <w:trPr>
          <w:trHeight w:val="284"/>
        </w:trPr>
        <w:tc>
          <w:tcPr>
            <w:tcW w:w="968"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4031" w:type="pct"/>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51320023R000009915925-聘用人员经费</w:t>
            </w:r>
          </w:p>
        </w:tc>
      </w:tr>
      <w:tr>
        <w:trPr>
          <w:trHeight w:val="509"/>
        </w:trPr>
        <w:tc>
          <w:tcPr>
            <w:tcW w:w="968"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238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州教育局部门</w:t>
            </w:r>
          </w:p>
        </w:tc>
        <w:tc>
          <w:tcPr>
            <w:tcW w:w="391" w:type="pct"/>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1250"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马师校</w:t>
            </w:r>
          </w:p>
        </w:tc>
      </w:tr>
      <w:tr>
        <w:trPr>
          <w:trHeight w:val="284"/>
        </w:trPr>
        <w:tc>
          <w:tcPr>
            <w:tcW w:w="255"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712"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238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1642" w:type="pct"/>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70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8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严格执行相关政策，保障工资及时、足额发放或社保及时、足额缴纳，预算编制科学合理，减少结余资金。</w:t>
            </w:r>
          </w:p>
        </w:tc>
        <w:tc>
          <w:tcPr>
            <w:tcW w:w="1642" w:type="pct"/>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对照年度目标，说明相关任务目标的完成情况（100字以内）</w:t>
            </w:r>
          </w:p>
        </w:tc>
      </w:tr>
      <w:tr>
        <w:trPr>
          <w:trHeight w:val="68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4031" w:type="pct"/>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制定临聘计划，按流程招聘人员；核定并拨付聘用经费，监督使用；管理人员履职，评估项目实施成效</w:t>
            </w:r>
          </w:p>
        </w:tc>
      </w:tr>
      <w:tr>
        <w:trPr>
          <w:trHeight w:val="359"/>
        </w:trPr>
        <w:tc>
          <w:tcPr>
            <w:tcW w:w="255"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56.90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50.58</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50.58</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879"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56.90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50.58</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50.58</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255"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产出指标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数量指标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发放（缴纳）覆盖率</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60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60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效益指标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社会效益指标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足额保障率（参保率）</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3749" w:type="pct"/>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SimSun" w:eastAsia="SimSun" w:cs="Arial"/>
                <w:color w:val="000000"/>
                <w:sz w:val="18"/>
              </w:rPr>
            </w:pPr>
            <w:r>
              <w:rPr>
                <w:rFonts w:ascii="SimSun" w:eastAsia="SimSun" w:cs="Arial"/>
                <w:color w:val="000000"/>
                <w:sz w:val="18"/>
              </w:rPr>
              <w:t>100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599"/>
        </w:trPr>
        <w:tc>
          <w:tcPr>
            <w:tcW w:w="2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4744"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按预算进度执行</w:t>
            </w:r>
          </w:p>
        </w:tc>
      </w:tr>
      <w:tr>
        <w:trPr>
          <w:trHeight w:val="569"/>
        </w:trPr>
        <w:tc>
          <w:tcPr>
            <w:tcW w:w="2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4744"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trPr>
        <w:tc>
          <w:tcPr>
            <w:tcW w:w="2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4744"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284"/>
        </w:trPr>
        <w:tc>
          <w:tcPr>
            <w:tcW w:w="256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项目负责人：谢然热知</w:t>
            </w:r>
          </w:p>
        </w:tc>
        <w:tc>
          <w:tcPr>
            <w:tcW w:w="2430" w:type="pct"/>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财务负责人：陈波</w:t>
            </w:r>
          </w:p>
        </w:tc>
      </w:tr>
    </w:tbl>
    <w:p>
      <w:r>
        <w:rPr>
          <w:rFonts w:ascii="SimSun" w:eastAsia="SimSun"/>
          <w:color w:val="000000"/>
          <w:sz w:val="18"/>
        </w:rPr>
        <w:br w:type="page"/>
      </w:r>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430"/>
        <w:gridCol w:w="1199"/>
        <w:gridCol w:w="1039"/>
        <w:gridCol w:w="1317"/>
        <w:gridCol w:w="338"/>
        <w:gridCol w:w="988"/>
        <w:gridCol w:w="338"/>
        <w:gridCol w:w="659"/>
        <w:gridCol w:w="329"/>
        <w:gridCol w:w="294"/>
        <w:gridCol w:w="1480"/>
      </w:tblGrid>
      <w:tr>
        <w:trPr>
          <w:trHeight w:val="284"/>
        </w:trPr>
        <w:tc>
          <w:tcPr>
            <w:tcW w:w="255" w:type="pct"/>
            <w:tcBorders>
              <w:top w:val="nil"/>
              <w:left w:val="nil"/>
              <w:bottom w:val="nil"/>
              <w:right w:val="nil"/>
              <w:tl2br w:val="nil"/>
              <w:tr2bl w:val="nil"/>
            </w:tcBorders>
            <w:noWrap/>
            <w:vAlign w:val="center"/>
          </w:tcPr>
          <w:p>
            <w:pPr>
              <w:rPr>
                <w:rFonts w:ascii="SimSun" w:eastAsia="SimSun"/>
                <w:color w:val="000000"/>
                <w:sz w:val="18"/>
              </w:rPr>
            </w:pPr>
          </w:p>
        </w:tc>
        <w:tc>
          <w:tcPr>
            <w:tcW w:w="712" w:type="pct"/>
            <w:tcBorders>
              <w:top w:val="nil"/>
              <w:left w:val="nil"/>
              <w:bottom w:val="nil"/>
              <w:right w:val="nil"/>
              <w:tl2br w:val="nil"/>
              <w:tr2bl w:val="nil"/>
            </w:tcBorders>
            <w:noWrap/>
            <w:vAlign w:val="center"/>
          </w:tcPr>
          <w:p>
            <w:pPr>
              <w:rPr>
                <w:rFonts w:ascii="SimSun" w:eastAsia="SimSun"/>
                <w:color w:val="000000"/>
                <w:sz w:val="18"/>
              </w:rPr>
            </w:pPr>
          </w:p>
        </w:tc>
        <w:tc>
          <w:tcPr>
            <w:tcW w:w="617" w:type="pct"/>
            <w:tcBorders>
              <w:top w:val="nil"/>
              <w:left w:val="nil"/>
              <w:bottom w:val="nil"/>
              <w:right w:val="nil"/>
              <w:tl2br w:val="nil"/>
              <w:tr2bl w:val="nil"/>
            </w:tcBorders>
            <w:noWrap/>
            <w:vAlign w:val="center"/>
          </w:tcPr>
          <w:p>
            <w:pPr>
              <w:rPr>
                <w:rFonts w:ascii="SimSun" w:eastAsia="SimSun"/>
                <w:color w:val="000000"/>
                <w:sz w:val="18"/>
              </w:rPr>
            </w:pPr>
          </w:p>
        </w:tc>
        <w:tc>
          <w:tcPr>
            <w:tcW w:w="783" w:type="pct"/>
            <w:tcBorders>
              <w:top w:val="nil"/>
              <w:left w:val="nil"/>
              <w:bottom w:val="nil"/>
              <w:right w:val="nil"/>
              <w:tl2br w:val="nil"/>
              <w:tr2bl w:val="nil"/>
            </w:tcBorders>
            <w:noWrap/>
            <w:vAlign w:val="center"/>
          </w:tcPr>
          <w:p>
            <w:pPr>
              <w:rPr>
                <w:rFonts w:ascii="SimSun" w:eastAsia="SimSun"/>
                <w:color w:val="000000"/>
                <w:sz w:val="18"/>
              </w:rPr>
            </w:pPr>
          </w:p>
        </w:tc>
        <w:tc>
          <w:tcPr>
            <w:tcW w:w="200" w:type="pct"/>
            <w:tcBorders>
              <w:top w:val="nil"/>
              <w:left w:val="nil"/>
              <w:bottom w:val="nil"/>
              <w:right w:val="nil"/>
              <w:tl2br w:val="nil"/>
              <w:tr2bl w:val="nil"/>
            </w:tcBorders>
            <w:noWrap/>
            <w:vAlign w:val="center"/>
          </w:tcPr>
          <w:p>
            <w:pPr>
              <w:rPr>
                <w:rFonts w:ascii="SimSun" w:eastAsia="SimSun"/>
                <w:color w:val="000000"/>
                <w:sz w:val="18"/>
              </w:rPr>
            </w:pPr>
          </w:p>
        </w:tc>
        <w:tc>
          <w:tcPr>
            <w:tcW w:w="587" w:type="pct"/>
            <w:tcBorders>
              <w:top w:val="nil"/>
              <w:left w:val="nil"/>
              <w:bottom w:val="nil"/>
              <w:right w:val="nil"/>
              <w:tl2br w:val="nil"/>
              <w:tr2bl w:val="nil"/>
            </w:tcBorders>
            <w:noWrap/>
            <w:vAlign w:val="center"/>
          </w:tcPr>
          <w:p>
            <w:pPr>
              <w:rPr>
                <w:rFonts w:ascii="SimSun" w:eastAsia="SimSun"/>
                <w:color w:val="000000"/>
                <w:sz w:val="18"/>
              </w:rPr>
            </w:pPr>
          </w:p>
        </w:tc>
        <w:tc>
          <w:tcPr>
            <w:tcW w:w="200" w:type="pct"/>
            <w:tcBorders>
              <w:top w:val="nil"/>
              <w:left w:val="nil"/>
              <w:bottom w:val="nil"/>
              <w:right w:val="nil"/>
              <w:tl2br w:val="nil"/>
              <w:tr2bl w:val="nil"/>
            </w:tcBorders>
            <w:noWrap/>
            <w:vAlign w:val="center"/>
          </w:tcPr>
          <w:p>
            <w:pPr>
              <w:rPr>
                <w:rFonts w:ascii="SimSun" w:eastAsia="SimSun"/>
                <w:color w:val="000000"/>
                <w:sz w:val="18"/>
              </w:rPr>
            </w:pPr>
          </w:p>
        </w:tc>
        <w:tc>
          <w:tcPr>
            <w:tcW w:w="391" w:type="pct"/>
            <w:tcBorders>
              <w:top w:val="nil"/>
              <w:left w:val="nil"/>
              <w:bottom w:val="nil"/>
              <w:right w:val="nil"/>
              <w:tl2br w:val="nil"/>
              <w:tr2bl w:val="nil"/>
            </w:tcBorders>
            <w:noWrap/>
            <w:vAlign w:val="center"/>
          </w:tcPr>
          <w:p>
            <w:pPr>
              <w:rPr>
                <w:rFonts w:ascii="SimSun" w:eastAsia="SimSun"/>
                <w:color w:val="000000"/>
                <w:sz w:val="18"/>
              </w:rPr>
            </w:pPr>
          </w:p>
        </w:tc>
        <w:tc>
          <w:tcPr>
            <w:tcW w:w="195" w:type="pct"/>
            <w:tcBorders>
              <w:top w:val="nil"/>
              <w:left w:val="nil"/>
              <w:bottom w:val="nil"/>
              <w:right w:val="nil"/>
              <w:tl2br w:val="nil"/>
              <w:tr2bl w:val="nil"/>
            </w:tcBorders>
            <w:noWrap/>
            <w:vAlign w:val="center"/>
          </w:tcPr>
          <w:p>
            <w:pPr>
              <w:rPr>
                <w:rFonts w:ascii="SimSun" w:eastAsia="SimSun"/>
                <w:color w:val="000000"/>
                <w:sz w:val="18"/>
              </w:rPr>
            </w:pPr>
          </w:p>
        </w:tc>
        <w:tc>
          <w:tcPr>
            <w:tcW w:w="175" w:type="pct"/>
            <w:tcBorders>
              <w:top w:val="nil"/>
              <w:left w:val="nil"/>
              <w:bottom w:val="nil"/>
              <w:right w:val="nil"/>
              <w:tl2br w:val="nil"/>
              <w:tr2bl w:val="nil"/>
            </w:tcBorders>
            <w:noWrap/>
            <w:vAlign w:val="center"/>
          </w:tcPr>
          <w:p>
            <w:pPr>
              <w:rPr>
                <w:rFonts w:ascii="SimSun" w:eastAsia="SimSun"/>
                <w:color w:val="000000"/>
                <w:sz w:val="18"/>
              </w:rPr>
            </w:pPr>
          </w:p>
        </w:tc>
        <w:tc>
          <w:tcPr>
            <w:tcW w:w="879" w:type="pct"/>
            <w:tcBorders>
              <w:top w:val="nil"/>
              <w:left w:val="nil"/>
              <w:bottom w:val="nil"/>
              <w:right w:val="nil"/>
              <w:tl2br w:val="nil"/>
              <w:tr2bl w:val="nil"/>
            </w:tcBorders>
            <w:noWrap/>
            <w:vAlign w:val="center"/>
          </w:tcPr>
          <w:p>
            <w:pPr>
              <w:rPr>
                <w:rFonts w:ascii="SimSun" w:eastAsia="SimSun"/>
                <w:color w:val="000000"/>
                <w:sz w:val="18"/>
              </w:rPr>
            </w:pPr>
          </w:p>
        </w:tc>
      </w:tr>
      <w:tr>
        <w:trPr>
          <w:trHeight w:val="899"/>
        </w:trPr>
        <w:tc>
          <w:tcPr>
            <w:tcW w:w="5000" w:type="pct"/>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部门预算项目支出绩效自评表（2024年度）</w:t>
            </w:r>
          </w:p>
        </w:tc>
      </w:tr>
      <w:tr>
        <w:trPr>
          <w:trHeight w:val="284"/>
        </w:trPr>
        <w:tc>
          <w:tcPr>
            <w:tcW w:w="968"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4031" w:type="pct"/>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51320023R000009916588-其他支出</w:t>
            </w:r>
          </w:p>
        </w:tc>
      </w:tr>
      <w:tr>
        <w:trPr>
          <w:trHeight w:val="509"/>
        </w:trPr>
        <w:tc>
          <w:tcPr>
            <w:tcW w:w="968"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238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州教育局部门</w:t>
            </w:r>
          </w:p>
        </w:tc>
        <w:tc>
          <w:tcPr>
            <w:tcW w:w="391" w:type="pct"/>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1250"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马师校</w:t>
            </w:r>
          </w:p>
        </w:tc>
      </w:tr>
      <w:tr>
        <w:trPr>
          <w:trHeight w:val="284"/>
        </w:trPr>
        <w:tc>
          <w:tcPr>
            <w:tcW w:w="255"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712"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238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1642" w:type="pct"/>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70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8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严格执行相关政策，保障工资及时、足额发放或社保及时、足额缴纳，预算编制科学合理，减少结余资金。</w:t>
            </w:r>
          </w:p>
        </w:tc>
        <w:tc>
          <w:tcPr>
            <w:tcW w:w="1642" w:type="pct"/>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对照年度目标，说明相关任务目标的完成情况（100字以内）</w:t>
            </w:r>
          </w:p>
        </w:tc>
      </w:tr>
      <w:tr>
        <w:trPr>
          <w:trHeight w:val="68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4031" w:type="pct"/>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遗属生活补助</w:t>
            </w:r>
          </w:p>
        </w:tc>
      </w:tr>
      <w:tr>
        <w:trPr>
          <w:trHeight w:val="359"/>
        </w:trPr>
        <w:tc>
          <w:tcPr>
            <w:tcW w:w="255"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2.24</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2.24</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2.24</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879"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2.24</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2.24</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2.24</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255"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产出指标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数量指标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发放（缴纳）覆盖率</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60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60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效益指标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社会效益指标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足额保障率（参保率）</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3749" w:type="pct"/>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SimSun" w:eastAsia="SimSun" w:cs="Arial"/>
                <w:color w:val="000000"/>
                <w:sz w:val="18"/>
              </w:rPr>
            </w:pPr>
            <w:r>
              <w:rPr>
                <w:rFonts w:ascii="SimSun" w:eastAsia="SimSun" w:cs="Arial"/>
                <w:color w:val="000000"/>
                <w:sz w:val="18"/>
              </w:rPr>
              <w:t>100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599"/>
        </w:trPr>
        <w:tc>
          <w:tcPr>
            <w:tcW w:w="2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4744"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补助及时发放，基本保障遗属生活；流程规范，整体实施有效。</w:t>
            </w:r>
          </w:p>
        </w:tc>
      </w:tr>
      <w:tr>
        <w:trPr>
          <w:trHeight w:val="569"/>
        </w:trPr>
        <w:tc>
          <w:tcPr>
            <w:tcW w:w="2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4744"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trPr>
        <w:tc>
          <w:tcPr>
            <w:tcW w:w="2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4744"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284"/>
        </w:trPr>
        <w:tc>
          <w:tcPr>
            <w:tcW w:w="256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项目负责人：贺明帅</w:t>
            </w:r>
          </w:p>
        </w:tc>
        <w:tc>
          <w:tcPr>
            <w:tcW w:w="2430" w:type="pct"/>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财务负责人：陈波</w:t>
            </w:r>
          </w:p>
        </w:tc>
      </w:tr>
    </w:tbl>
    <w:p>
      <w:r>
        <w:rPr>
          <w:rFonts w:ascii="SimSun" w:eastAsia="SimSun"/>
          <w:color w:val="000000"/>
          <w:sz w:val="18"/>
        </w:rPr>
        <w:br w:type="page"/>
      </w:r>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430"/>
        <w:gridCol w:w="1199"/>
        <w:gridCol w:w="1039"/>
        <w:gridCol w:w="1317"/>
        <w:gridCol w:w="338"/>
        <w:gridCol w:w="988"/>
        <w:gridCol w:w="338"/>
        <w:gridCol w:w="659"/>
        <w:gridCol w:w="329"/>
        <w:gridCol w:w="294"/>
        <w:gridCol w:w="1480"/>
      </w:tblGrid>
      <w:tr>
        <w:trPr>
          <w:trHeight w:val="284"/>
        </w:trPr>
        <w:tc>
          <w:tcPr>
            <w:tcW w:w="255" w:type="pct"/>
            <w:tcBorders>
              <w:top w:val="nil"/>
              <w:left w:val="nil"/>
              <w:bottom w:val="nil"/>
              <w:right w:val="nil"/>
              <w:tl2br w:val="nil"/>
              <w:tr2bl w:val="nil"/>
            </w:tcBorders>
            <w:noWrap/>
            <w:vAlign w:val="center"/>
          </w:tcPr>
          <w:p>
            <w:pPr>
              <w:rPr>
                <w:rFonts w:ascii="SimSun" w:eastAsia="SimSun"/>
                <w:color w:val="000000"/>
                <w:sz w:val="18"/>
              </w:rPr>
            </w:pPr>
          </w:p>
        </w:tc>
        <w:tc>
          <w:tcPr>
            <w:tcW w:w="712" w:type="pct"/>
            <w:tcBorders>
              <w:top w:val="nil"/>
              <w:left w:val="nil"/>
              <w:bottom w:val="nil"/>
              <w:right w:val="nil"/>
              <w:tl2br w:val="nil"/>
              <w:tr2bl w:val="nil"/>
            </w:tcBorders>
            <w:noWrap/>
            <w:vAlign w:val="center"/>
          </w:tcPr>
          <w:p>
            <w:pPr>
              <w:rPr>
                <w:rFonts w:ascii="SimSun" w:eastAsia="SimSun"/>
                <w:color w:val="000000"/>
                <w:sz w:val="18"/>
              </w:rPr>
            </w:pPr>
          </w:p>
        </w:tc>
        <w:tc>
          <w:tcPr>
            <w:tcW w:w="617" w:type="pct"/>
            <w:tcBorders>
              <w:top w:val="nil"/>
              <w:left w:val="nil"/>
              <w:bottom w:val="nil"/>
              <w:right w:val="nil"/>
              <w:tl2br w:val="nil"/>
              <w:tr2bl w:val="nil"/>
            </w:tcBorders>
            <w:noWrap/>
            <w:vAlign w:val="center"/>
          </w:tcPr>
          <w:p>
            <w:pPr>
              <w:rPr>
                <w:rFonts w:ascii="SimSun" w:eastAsia="SimSun"/>
                <w:color w:val="000000"/>
                <w:sz w:val="18"/>
              </w:rPr>
            </w:pPr>
          </w:p>
        </w:tc>
        <w:tc>
          <w:tcPr>
            <w:tcW w:w="783" w:type="pct"/>
            <w:tcBorders>
              <w:top w:val="nil"/>
              <w:left w:val="nil"/>
              <w:bottom w:val="nil"/>
              <w:right w:val="nil"/>
              <w:tl2br w:val="nil"/>
              <w:tr2bl w:val="nil"/>
            </w:tcBorders>
            <w:noWrap/>
            <w:vAlign w:val="center"/>
          </w:tcPr>
          <w:p>
            <w:pPr>
              <w:rPr>
                <w:rFonts w:ascii="SimSun" w:eastAsia="SimSun"/>
                <w:color w:val="000000"/>
                <w:sz w:val="18"/>
              </w:rPr>
            </w:pPr>
          </w:p>
        </w:tc>
        <w:tc>
          <w:tcPr>
            <w:tcW w:w="200" w:type="pct"/>
            <w:tcBorders>
              <w:top w:val="nil"/>
              <w:left w:val="nil"/>
              <w:bottom w:val="nil"/>
              <w:right w:val="nil"/>
              <w:tl2br w:val="nil"/>
              <w:tr2bl w:val="nil"/>
            </w:tcBorders>
            <w:noWrap/>
            <w:vAlign w:val="center"/>
          </w:tcPr>
          <w:p>
            <w:pPr>
              <w:rPr>
                <w:rFonts w:ascii="SimSun" w:eastAsia="SimSun"/>
                <w:color w:val="000000"/>
                <w:sz w:val="18"/>
              </w:rPr>
            </w:pPr>
          </w:p>
        </w:tc>
        <w:tc>
          <w:tcPr>
            <w:tcW w:w="587" w:type="pct"/>
            <w:tcBorders>
              <w:top w:val="nil"/>
              <w:left w:val="nil"/>
              <w:bottom w:val="nil"/>
              <w:right w:val="nil"/>
              <w:tl2br w:val="nil"/>
              <w:tr2bl w:val="nil"/>
            </w:tcBorders>
            <w:noWrap/>
            <w:vAlign w:val="center"/>
          </w:tcPr>
          <w:p>
            <w:pPr>
              <w:rPr>
                <w:rFonts w:ascii="SimSun" w:eastAsia="SimSun"/>
                <w:color w:val="000000"/>
                <w:sz w:val="18"/>
              </w:rPr>
            </w:pPr>
          </w:p>
        </w:tc>
        <w:tc>
          <w:tcPr>
            <w:tcW w:w="200" w:type="pct"/>
            <w:tcBorders>
              <w:top w:val="nil"/>
              <w:left w:val="nil"/>
              <w:bottom w:val="nil"/>
              <w:right w:val="nil"/>
              <w:tl2br w:val="nil"/>
              <w:tr2bl w:val="nil"/>
            </w:tcBorders>
            <w:noWrap/>
            <w:vAlign w:val="center"/>
          </w:tcPr>
          <w:p>
            <w:pPr>
              <w:rPr>
                <w:rFonts w:ascii="SimSun" w:eastAsia="SimSun"/>
                <w:color w:val="000000"/>
                <w:sz w:val="18"/>
              </w:rPr>
            </w:pPr>
          </w:p>
        </w:tc>
        <w:tc>
          <w:tcPr>
            <w:tcW w:w="391" w:type="pct"/>
            <w:tcBorders>
              <w:top w:val="nil"/>
              <w:left w:val="nil"/>
              <w:bottom w:val="nil"/>
              <w:right w:val="nil"/>
              <w:tl2br w:val="nil"/>
              <w:tr2bl w:val="nil"/>
            </w:tcBorders>
            <w:noWrap/>
            <w:vAlign w:val="center"/>
          </w:tcPr>
          <w:p>
            <w:pPr>
              <w:rPr>
                <w:rFonts w:ascii="SimSun" w:eastAsia="SimSun"/>
                <w:color w:val="000000"/>
                <w:sz w:val="18"/>
              </w:rPr>
            </w:pPr>
          </w:p>
        </w:tc>
        <w:tc>
          <w:tcPr>
            <w:tcW w:w="195" w:type="pct"/>
            <w:tcBorders>
              <w:top w:val="nil"/>
              <w:left w:val="nil"/>
              <w:bottom w:val="nil"/>
              <w:right w:val="nil"/>
              <w:tl2br w:val="nil"/>
              <w:tr2bl w:val="nil"/>
            </w:tcBorders>
            <w:noWrap/>
            <w:vAlign w:val="center"/>
          </w:tcPr>
          <w:p>
            <w:pPr>
              <w:rPr>
                <w:rFonts w:ascii="SimSun" w:eastAsia="SimSun"/>
                <w:color w:val="000000"/>
                <w:sz w:val="18"/>
              </w:rPr>
            </w:pPr>
          </w:p>
        </w:tc>
        <w:tc>
          <w:tcPr>
            <w:tcW w:w="175" w:type="pct"/>
            <w:tcBorders>
              <w:top w:val="nil"/>
              <w:left w:val="nil"/>
              <w:bottom w:val="nil"/>
              <w:right w:val="nil"/>
              <w:tl2br w:val="nil"/>
              <w:tr2bl w:val="nil"/>
            </w:tcBorders>
            <w:noWrap/>
            <w:vAlign w:val="center"/>
          </w:tcPr>
          <w:p>
            <w:pPr>
              <w:rPr>
                <w:rFonts w:ascii="SimSun" w:eastAsia="SimSun"/>
                <w:color w:val="000000"/>
                <w:sz w:val="18"/>
              </w:rPr>
            </w:pPr>
          </w:p>
        </w:tc>
        <w:tc>
          <w:tcPr>
            <w:tcW w:w="879" w:type="pct"/>
            <w:tcBorders>
              <w:top w:val="nil"/>
              <w:left w:val="nil"/>
              <w:bottom w:val="nil"/>
              <w:right w:val="nil"/>
              <w:tl2br w:val="nil"/>
              <w:tr2bl w:val="nil"/>
            </w:tcBorders>
            <w:noWrap/>
            <w:vAlign w:val="center"/>
          </w:tcPr>
          <w:p>
            <w:pPr>
              <w:rPr>
                <w:rFonts w:ascii="SimSun" w:eastAsia="SimSun"/>
                <w:color w:val="000000"/>
                <w:sz w:val="18"/>
              </w:rPr>
            </w:pPr>
          </w:p>
        </w:tc>
      </w:tr>
      <w:tr>
        <w:trPr>
          <w:trHeight w:val="899"/>
        </w:trPr>
        <w:tc>
          <w:tcPr>
            <w:tcW w:w="5000" w:type="pct"/>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部门预算项目支出绩效自评表（2024年度）</w:t>
            </w:r>
          </w:p>
        </w:tc>
      </w:tr>
      <w:tr>
        <w:trPr>
          <w:trHeight w:val="284"/>
        </w:trPr>
        <w:tc>
          <w:tcPr>
            <w:tcW w:w="968"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4031" w:type="pct"/>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51320023T000008025028-保安聘用费</w:t>
            </w:r>
          </w:p>
        </w:tc>
      </w:tr>
      <w:tr>
        <w:trPr>
          <w:trHeight w:val="509"/>
        </w:trPr>
        <w:tc>
          <w:tcPr>
            <w:tcW w:w="968"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238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州教育局部门</w:t>
            </w:r>
          </w:p>
        </w:tc>
        <w:tc>
          <w:tcPr>
            <w:tcW w:w="391" w:type="pct"/>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1250"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马师校</w:t>
            </w:r>
          </w:p>
        </w:tc>
      </w:tr>
      <w:tr>
        <w:trPr>
          <w:trHeight w:val="284"/>
        </w:trPr>
        <w:tc>
          <w:tcPr>
            <w:tcW w:w="255"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712"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238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1642" w:type="pct"/>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70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8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保安聘用</w:t>
            </w:r>
          </w:p>
        </w:tc>
        <w:tc>
          <w:tcPr>
            <w:tcW w:w="1642" w:type="pct"/>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对照年度目标，说明相关任务目标的完成情况（100字以内）</w:t>
            </w:r>
          </w:p>
        </w:tc>
      </w:tr>
      <w:tr>
        <w:trPr>
          <w:trHeight w:val="68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4031" w:type="pct"/>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根据安保需求确定聘用人数与标准，经招标选定服务方，依规签订合同，按时拨付费用，监督保安履职。</w:t>
            </w:r>
          </w:p>
        </w:tc>
      </w:tr>
      <w:tr>
        <w:trPr>
          <w:trHeight w:val="359"/>
        </w:trPr>
        <w:tc>
          <w:tcPr>
            <w:tcW w:w="255"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19.80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19.80</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19.80</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879"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19.80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19.80</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19.80</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255"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产出指标</w:t>
            </w:r>
          </w:p>
        </w:tc>
        <w:tc>
          <w:tcPr>
            <w:tcW w:w="617"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数量指标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聘用保安人数</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人</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6</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17"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聘用工作完成率</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95</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质量指标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维护安全合格率</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95</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时效指标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保安聘用及时率</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95</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效益指标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社会效益指标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维护校园安全</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定性</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有效维护</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有效维护</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满意度指标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服务对象满意度指标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师生满意度</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95</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成本指标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经济成本指标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成本控制范围</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19.8</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万元</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19.8</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3749" w:type="pct"/>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SimSun" w:eastAsia="SimSun" w:cs="Arial"/>
                <w:color w:val="000000"/>
                <w:sz w:val="18"/>
              </w:rPr>
            </w:pPr>
            <w:r>
              <w:rPr>
                <w:rFonts w:ascii="SimSun" w:eastAsia="SimSun" w:cs="Arial"/>
                <w:color w:val="000000"/>
                <w:sz w:val="18"/>
              </w:rPr>
              <w:t>100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599"/>
        </w:trPr>
        <w:tc>
          <w:tcPr>
            <w:tcW w:w="2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4744"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该项目经费拨付及时、使用合规，保安履职到位，有效保障了校园安全，整体实施成效良好。仅需结合校园实际，适时优化人员配置与考核机制，提升服务精准性。</w:t>
            </w:r>
          </w:p>
        </w:tc>
      </w:tr>
      <w:tr>
        <w:trPr>
          <w:trHeight w:val="569"/>
        </w:trPr>
        <w:tc>
          <w:tcPr>
            <w:tcW w:w="2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4744"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trPr>
        <w:tc>
          <w:tcPr>
            <w:tcW w:w="2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4744"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284"/>
        </w:trPr>
        <w:tc>
          <w:tcPr>
            <w:tcW w:w="256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项目负责人：周德福</w:t>
            </w:r>
          </w:p>
        </w:tc>
        <w:tc>
          <w:tcPr>
            <w:tcW w:w="2430" w:type="pct"/>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财务负责人：陈波</w:t>
            </w:r>
          </w:p>
        </w:tc>
      </w:tr>
    </w:tbl>
    <w:p>
      <w:r>
        <w:rPr>
          <w:rFonts w:ascii="SimSun" w:eastAsia="SimSun"/>
          <w:color w:val="000000"/>
          <w:sz w:val="18"/>
        </w:rPr>
        <w:br w:type="page"/>
      </w:r>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430"/>
        <w:gridCol w:w="1199"/>
        <w:gridCol w:w="1039"/>
        <w:gridCol w:w="1317"/>
        <w:gridCol w:w="338"/>
        <w:gridCol w:w="988"/>
        <w:gridCol w:w="338"/>
        <w:gridCol w:w="659"/>
        <w:gridCol w:w="329"/>
        <w:gridCol w:w="294"/>
        <w:gridCol w:w="1480"/>
      </w:tblGrid>
      <w:tr>
        <w:trPr>
          <w:trHeight w:val="284"/>
        </w:trPr>
        <w:tc>
          <w:tcPr>
            <w:tcW w:w="255" w:type="pct"/>
            <w:tcBorders>
              <w:top w:val="nil"/>
              <w:left w:val="nil"/>
              <w:bottom w:val="nil"/>
              <w:right w:val="nil"/>
              <w:tl2br w:val="nil"/>
              <w:tr2bl w:val="nil"/>
            </w:tcBorders>
            <w:noWrap/>
            <w:vAlign w:val="center"/>
          </w:tcPr>
          <w:p>
            <w:pPr>
              <w:rPr>
                <w:rFonts w:ascii="SimSun" w:eastAsia="SimSun"/>
                <w:color w:val="000000"/>
                <w:sz w:val="18"/>
              </w:rPr>
            </w:pPr>
          </w:p>
        </w:tc>
        <w:tc>
          <w:tcPr>
            <w:tcW w:w="712" w:type="pct"/>
            <w:tcBorders>
              <w:top w:val="nil"/>
              <w:left w:val="nil"/>
              <w:bottom w:val="nil"/>
              <w:right w:val="nil"/>
              <w:tl2br w:val="nil"/>
              <w:tr2bl w:val="nil"/>
            </w:tcBorders>
            <w:noWrap/>
            <w:vAlign w:val="center"/>
          </w:tcPr>
          <w:p>
            <w:pPr>
              <w:rPr>
                <w:rFonts w:ascii="SimSun" w:eastAsia="SimSun"/>
                <w:color w:val="000000"/>
                <w:sz w:val="18"/>
              </w:rPr>
            </w:pPr>
          </w:p>
        </w:tc>
        <w:tc>
          <w:tcPr>
            <w:tcW w:w="617" w:type="pct"/>
            <w:tcBorders>
              <w:top w:val="nil"/>
              <w:left w:val="nil"/>
              <w:bottom w:val="nil"/>
              <w:right w:val="nil"/>
              <w:tl2br w:val="nil"/>
              <w:tr2bl w:val="nil"/>
            </w:tcBorders>
            <w:noWrap/>
            <w:vAlign w:val="center"/>
          </w:tcPr>
          <w:p>
            <w:pPr>
              <w:rPr>
                <w:rFonts w:ascii="SimSun" w:eastAsia="SimSun"/>
                <w:color w:val="000000"/>
                <w:sz w:val="18"/>
              </w:rPr>
            </w:pPr>
          </w:p>
        </w:tc>
        <w:tc>
          <w:tcPr>
            <w:tcW w:w="783" w:type="pct"/>
            <w:tcBorders>
              <w:top w:val="nil"/>
              <w:left w:val="nil"/>
              <w:bottom w:val="nil"/>
              <w:right w:val="nil"/>
              <w:tl2br w:val="nil"/>
              <w:tr2bl w:val="nil"/>
            </w:tcBorders>
            <w:noWrap/>
            <w:vAlign w:val="center"/>
          </w:tcPr>
          <w:p>
            <w:pPr>
              <w:rPr>
                <w:rFonts w:ascii="SimSun" w:eastAsia="SimSun"/>
                <w:color w:val="000000"/>
                <w:sz w:val="18"/>
              </w:rPr>
            </w:pPr>
          </w:p>
        </w:tc>
        <w:tc>
          <w:tcPr>
            <w:tcW w:w="200" w:type="pct"/>
            <w:tcBorders>
              <w:top w:val="nil"/>
              <w:left w:val="nil"/>
              <w:bottom w:val="nil"/>
              <w:right w:val="nil"/>
              <w:tl2br w:val="nil"/>
              <w:tr2bl w:val="nil"/>
            </w:tcBorders>
            <w:noWrap/>
            <w:vAlign w:val="center"/>
          </w:tcPr>
          <w:p>
            <w:pPr>
              <w:rPr>
                <w:rFonts w:ascii="SimSun" w:eastAsia="SimSun"/>
                <w:color w:val="000000"/>
                <w:sz w:val="18"/>
              </w:rPr>
            </w:pPr>
          </w:p>
        </w:tc>
        <w:tc>
          <w:tcPr>
            <w:tcW w:w="587" w:type="pct"/>
            <w:tcBorders>
              <w:top w:val="nil"/>
              <w:left w:val="nil"/>
              <w:bottom w:val="nil"/>
              <w:right w:val="nil"/>
              <w:tl2br w:val="nil"/>
              <w:tr2bl w:val="nil"/>
            </w:tcBorders>
            <w:noWrap/>
            <w:vAlign w:val="center"/>
          </w:tcPr>
          <w:p>
            <w:pPr>
              <w:rPr>
                <w:rFonts w:ascii="SimSun" w:eastAsia="SimSun"/>
                <w:color w:val="000000"/>
                <w:sz w:val="18"/>
              </w:rPr>
            </w:pPr>
          </w:p>
        </w:tc>
        <w:tc>
          <w:tcPr>
            <w:tcW w:w="200" w:type="pct"/>
            <w:tcBorders>
              <w:top w:val="nil"/>
              <w:left w:val="nil"/>
              <w:bottom w:val="nil"/>
              <w:right w:val="nil"/>
              <w:tl2br w:val="nil"/>
              <w:tr2bl w:val="nil"/>
            </w:tcBorders>
            <w:noWrap/>
            <w:vAlign w:val="center"/>
          </w:tcPr>
          <w:p>
            <w:pPr>
              <w:rPr>
                <w:rFonts w:ascii="SimSun" w:eastAsia="SimSun"/>
                <w:color w:val="000000"/>
                <w:sz w:val="18"/>
              </w:rPr>
            </w:pPr>
          </w:p>
        </w:tc>
        <w:tc>
          <w:tcPr>
            <w:tcW w:w="391" w:type="pct"/>
            <w:tcBorders>
              <w:top w:val="nil"/>
              <w:left w:val="nil"/>
              <w:bottom w:val="nil"/>
              <w:right w:val="nil"/>
              <w:tl2br w:val="nil"/>
              <w:tr2bl w:val="nil"/>
            </w:tcBorders>
            <w:noWrap/>
            <w:vAlign w:val="center"/>
          </w:tcPr>
          <w:p>
            <w:pPr>
              <w:rPr>
                <w:rFonts w:ascii="SimSun" w:eastAsia="SimSun"/>
                <w:color w:val="000000"/>
                <w:sz w:val="18"/>
              </w:rPr>
            </w:pPr>
          </w:p>
        </w:tc>
        <w:tc>
          <w:tcPr>
            <w:tcW w:w="195" w:type="pct"/>
            <w:tcBorders>
              <w:top w:val="nil"/>
              <w:left w:val="nil"/>
              <w:bottom w:val="nil"/>
              <w:right w:val="nil"/>
              <w:tl2br w:val="nil"/>
              <w:tr2bl w:val="nil"/>
            </w:tcBorders>
            <w:noWrap/>
            <w:vAlign w:val="center"/>
          </w:tcPr>
          <w:p>
            <w:pPr>
              <w:rPr>
                <w:rFonts w:ascii="SimSun" w:eastAsia="SimSun"/>
                <w:color w:val="000000"/>
                <w:sz w:val="18"/>
              </w:rPr>
            </w:pPr>
          </w:p>
        </w:tc>
        <w:tc>
          <w:tcPr>
            <w:tcW w:w="175" w:type="pct"/>
            <w:tcBorders>
              <w:top w:val="nil"/>
              <w:left w:val="nil"/>
              <w:bottom w:val="nil"/>
              <w:right w:val="nil"/>
              <w:tl2br w:val="nil"/>
              <w:tr2bl w:val="nil"/>
            </w:tcBorders>
            <w:noWrap/>
            <w:vAlign w:val="center"/>
          </w:tcPr>
          <w:p>
            <w:pPr>
              <w:rPr>
                <w:rFonts w:ascii="SimSun" w:eastAsia="SimSun"/>
                <w:color w:val="000000"/>
                <w:sz w:val="18"/>
              </w:rPr>
            </w:pPr>
          </w:p>
        </w:tc>
        <w:tc>
          <w:tcPr>
            <w:tcW w:w="879" w:type="pct"/>
            <w:tcBorders>
              <w:top w:val="nil"/>
              <w:left w:val="nil"/>
              <w:bottom w:val="nil"/>
              <w:right w:val="nil"/>
              <w:tl2br w:val="nil"/>
              <w:tr2bl w:val="nil"/>
            </w:tcBorders>
            <w:noWrap/>
            <w:vAlign w:val="center"/>
          </w:tcPr>
          <w:p>
            <w:pPr>
              <w:rPr>
                <w:rFonts w:ascii="SimSun" w:eastAsia="SimSun"/>
                <w:color w:val="000000"/>
                <w:sz w:val="18"/>
              </w:rPr>
            </w:pPr>
          </w:p>
        </w:tc>
      </w:tr>
      <w:tr>
        <w:trPr>
          <w:trHeight w:val="899"/>
        </w:trPr>
        <w:tc>
          <w:tcPr>
            <w:tcW w:w="5000" w:type="pct"/>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部门预算项目支出绩效自评表（2024年度）</w:t>
            </w:r>
          </w:p>
        </w:tc>
      </w:tr>
      <w:tr>
        <w:trPr>
          <w:trHeight w:val="284"/>
        </w:trPr>
        <w:tc>
          <w:tcPr>
            <w:tcW w:w="968"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4031" w:type="pct"/>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51320023Y000009917272-日常公用经费</w:t>
            </w:r>
          </w:p>
        </w:tc>
      </w:tr>
      <w:tr>
        <w:trPr>
          <w:trHeight w:val="509"/>
        </w:trPr>
        <w:tc>
          <w:tcPr>
            <w:tcW w:w="968"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238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州教育局部门</w:t>
            </w:r>
          </w:p>
        </w:tc>
        <w:tc>
          <w:tcPr>
            <w:tcW w:w="391" w:type="pct"/>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1250"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马师校</w:t>
            </w:r>
          </w:p>
        </w:tc>
      </w:tr>
      <w:tr>
        <w:trPr>
          <w:trHeight w:val="284"/>
        </w:trPr>
        <w:tc>
          <w:tcPr>
            <w:tcW w:w="255"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712"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238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1642" w:type="pct"/>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70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8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提高预算编制质量，严格执行预算，保障单位日常运转。</w:t>
            </w:r>
          </w:p>
        </w:tc>
        <w:tc>
          <w:tcPr>
            <w:tcW w:w="1642" w:type="pct"/>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对照年度目标，说明相关任务目标的完成情况（100字以内）</w:t>
            </w:r>
          </w:p>
        </w:tc>
      </w:tr>
      <w:tr>
        <w:trPr>
          <w:trHeight w:val="68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4031" w:type="pct"/>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 按预算编制标准，明确教学、办公、水电等经费使用范围；</w:t>
            </w:r>
          </w:p>
          <w:p>
            <w:pPr>
              <w:rPr>
                <w:rFonts w:ascii="SimSun" w:eastAsia="SimSun" w:cs="Arial"/>
                <w:color w:val="000000"/>
                <w:sz w:val="18"/>
              </w:rPr>
            </w:pPr>
            <w:r>
              <w:rPr>
                <w:rFonts w:ascii="SimSun" w:eastAsia="SimSun" w:cs="Arial"/>
                <w:color w:val="000000"/>
                <w:sz w:val="18"/>
              </w:rPr>
              <w:t>2. 依规审批报销，严控支出；</w:t>
            </w:r>
          </w:p>
          <w:p>
            <w:pPr>
              <w:rPr>
                <w:rFonts w:ascii="SimSun" w:eastAsia="SimSun" w:cs="Arial"/>
                <w:color w:val="000000"/>
                <w:sz w:val="18"/>
              </w:rPr>
            </w:pPr>
            <w:r>
              <w:rPr>
                <w:rFonts w:ascii="SimSun" w:eastAsia="SimSun" w:cs="Arial"/>
                <w:color w:val="000000"/>
                <w:sz w:val="18"/>
              </w:rPr>
              <w:t>3. 动态监控经费流向，定期核查使用情况，保障学校日常运转。</w:t>
            </w:r>
          </w:p>
        </w:tc>
      </w:tr>
      <w:tr>
        <w:trPr>
          <w:trHeight w:val="359"/>
        </w:trPr>
        <w:tc>
          <w:tcPr>
            <w:tcW w:w="255"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367.96</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339.44</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339.44</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879"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367.96</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339.44</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339.44</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255"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产出指标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数量指标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科目调整次数</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次</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3</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67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质量指标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预算编制准确率（计算方法为：∣（执行数-预算数）/预算数∣）</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4</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89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效益指标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经济效益指标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“三公经费”控制率[计算方法为：（三公经费实际支出数/预算安排数]×100%）</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65</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社会效益指标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运转保障率</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3749" w:type="pct"/>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599"/>
        </w:trPr>
        <w:tc>
          <w:tcPr>
            <w:tcW w:w="2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4744"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该项目经费保障有力，按规使用，有效支撑了教学、办公等日常运转。但存在部分支出把控不精细、资源配置待优化问题。整体实施有效，需强化预算精准性与过程监管，提升经费使用效益 。</w:t>
            </w:r>
          </w:p>
        </w:tc>
      </w:tr>
      <w:tr>
        <w:trPr>
          <w:trHeight w:val="569"/>
        </w:trPr>
        <w:tc>
          <w:tcPr>
            <w:tcW w:w="2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4744"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trPr>
        <w:tc>
          <w:tcPr>
            <w:tcW w:w="2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4744"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284"/>
        </w:trPr>
        <w:tc>
          <w:tcPr>
            <w:tcW w:w="256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项目负责人：谢然热知</w:t>
            </w:r>
          </w:p>
        </w:tc>
        <w:tc>
          <w:tcPr>
            <w:tcW w:w="2430" w:type="pct"/>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财务负责人：陈波</w:t>
            </w:r>
          </w:p>
        </w:tc>
      </w:tr>
    </w:tbl>
    <w:p>
      <w:r>
        <w:rPr>
          <w:rFonts w:ascii="SimSun" w:eastAsia="SimSun"/>
          <w:color w:val="000000"/>
          <w:sz w:val="18"/>
        </w:rPr>
        <w:br w:type="page"/>
      </w:r>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430"/>
        <w:gridCol w:w="1199"/>
        <w:gridCol w:w="1039"/>
        <w:gridCol w:w="1317"/>
        <w:gridCol w:w="338"/>
        <w:gridCol w:w="988"/>
        <w:gridCol w:w="338"/>
        <w:gridCol w:w="659"/>
        <w:gridCol w:w="329"/>
        <w:gridCol w:w="294"/>
        <w:gridCol w:w="1480"/>
      </w:tblGrid>
      <w:tr>
        <w:trPr>
          <w:trHeight w:val="284"/>
        </w:trPr>
        <w:tc>
          <w:tcPr>
            <w:tcW w:w="255" w:type="pct"/>
            <w:tcBorders>
              <w:top w:val="nil"/>
              <w:left w:val="nil"/>
              <w:bottom w:val="nil"/>
              <w:right w:val="nil"/>
              <w:tl2br w:val="nil"/>
              <w:tr2bl w:val="nil"/>
            </w:tcBorders>
            <w:noWrap/>
            <w:vAlign w:val="center"/>
          </w:tcPr>
          <w:p>
            <w:pPr>
              <w:rPr>
                <w:rFonts w:ascii="SimSun" w:eastAsia="SimSun"/>
                <w:color w:val="000000"/>
                <w:sz w:val="18"/>
              </w:rPr>
            </w:pPr>
          </w:p>
        </w:tc>
        <w:tc>
          <w:tcPr>
            <w:tcW w:w="712" w:type="pct"/>
            <w:tcBorders>
              <w:top w:val="nil"/>
              <w:left w:val="nil"/>
              <w:bottom w:val="nil"/>
              <w:right w:val="nil"/>
              <w:tl2br w:val="nil"/>
              <w:tr2bl w:val="nil"/>
            </w:tcBorders>
            <w:noWrap/>
            <w:vAlign w:val="center"/>
          </w:tcPr>
          <w:p>
            <w:pPr>
              <w:rPr>
                <w:rFonts w:ascii="SimSun" w:eastAsia="SimSun"/>
                <w:color w:val="000000"/>
                <w:sz w:val="18"/>
              </w:rPr>
            </w:pPr>
          </w:p>
        </w:tc>
        <w:tc>
          <w:tcPr>
            <w:tcW w:w="617" w:type="pct"/>
            <w:tcBorders>
              <w:top w:val="nil"/>
              <w:left w:val="nil"/>
              <w:bottom w:val="nil"/>
              <w:right w:val="nil"/>
              <w:tl2br w:val="nil"/>
              <w:tr2bl w:val="nil"/>
            </w:tcBorders>
            <w:noWrap/>
            <w:vAlign w:val="center"/>
          </w:tcPr>
          <w:p>
            <w:pPr>
              <w:rPr>
                <w:rFonts w:ascii="SimSun" w:eastAsia="SimSun"/>
                <w:color w:val="000000"/>
                <w:sz w:val="18"/>
              </w:rPr>
            </w:pPr>
          </w:p>
        </w:tc>
        <w:tc>
          <w:tcPr>
            <w:tcW w:w="783" w:type="pct"/>
            <w:tcBorders>
              <w:top w:val="nil"/>
              <w:left w:val="nil"/>
              <w:bottom w:val="nil"/>
              <w:right w:val="nil"/>
              <w:tl2br w:val="nil"/>
              <w:tr2bl w:val="nil"/>
            </w:tcBorders>
            <w:noWrap/>
            <w:vAlign w:val="center"/>
          </w:tcPr>
          <w:p>
            <w:pPr>
              <w:rPr>
                <w:rFonts w:ascii="SimSun" w:eastAsia="SimSun"/>
                <w:color w:val="000000"/>
                <w:sz w:val="18"/>
              </w:rPr>
            </w:pPr>
          </w:p>
        </w:tc>
        <w:tc>
          <w:tcPr>
            <w:tcW w:w="200" w:type="pct"/>
            <w:tcBorders>
              <w:top w:val="nil"/>
              <w:left w:val="nil"/>
              <w:bottom w:val="nil"/>
              <w:right w:val="nil"/>
              <w:tl2br w:val="nil"/>
              <w:tr2bl w:val="nil"/>
            </w:tcBorders>
            <w:noWrap/>
            <w:vAlign w:val="center"/>
          </w:tcPr>
          <w:p>
            <w:pPr>
              <w:rPr>
                <w:rFonts w:ascii="SimSun" w:eastAsia="SimSun"/>
                <w:color w:val="000000"/>
                <w:sz w:val="18"/>
              </w:rPr>
            </w:pPr>
          </w:p>
        </w:tc>
        <w:tc>
          <w:tcPr>
            <w:tcW w:w="587" w:type="pct"/>
            <w:tcBorders>
              <w:top w:val="nil"/>
              <w:left w:val="nil"/>
              <w:bottom w:val="nil"/>
              <w:right w:val="nil"/>
              <w:tl2br w:val="nil"/>
              <w:tr2bl w:val="nil"/>
            </w:tcBorders>
            <w:noWrap/>
            <w:vAlign w:val="center"/>
          </w:tcPr>
          <w:p>
            <w:pPr>
              <w:rPr>
                <w:rFonts w:ascii="SimSun" w:eastAsia="SimSun"/>
                <w:color w:val="000000"/>
                <w:sz w:val="18"/>
              </w:rPr>
            </w:pPr>
          </w:p>
        </w:tc>
        <w:tc>
          <w:tcPr>
            <w:tcW w:w="200" w:type="pct"/>
            <w:tcBorders>
              <w:top w:val="nil"/>
              <w:left w:val="nil"/>
              <w:bottom w:val="nil"/>
              <w:right w:val="nil"/>
              <w:tl2br w:val="nil"/>
              <w:tr2bl w:val="nil"/>
            </w:tcBorders>
            <w:noWrap/>
            <w:vAlign w:val="center"/>
          </w:tcPr>
          <w:p>
            <w:pPr>
              <w:rPr>
                <w:rFonts w:ascii="SimSun" w:eastAsia="SimSun"/>
                <w:color w:val="000000"/>
                <w:sz w:val="18"/>
              </w:rPr>
            </w:pPr>
          </w:p>
        </w:tc>
        <w:tc>
          <w:tcPr>
            <w:tcW w:w="391" w:type="pct"/>
            <w:tcBorders>
              <w:top w:val="nil"/>
              <w:left w:val="nil"/>
              <w:bottom w:val="nil"/>
              <w:right w:val="nil"/>
              <w:tl2br w:val="nil"/>
              <w:tr2bl w:val="nil"/>
            </w:tcBorders>
            <w:noWrap/>
            <w:vAlign w:val="center"/>
          </w:tcPr>
          <w:p>
            <w:pPr>
              <w:rPr>
                <w:rFonts w:ascii="SimSun" w:eastAsia="SimSun"/>
                <w:color w:val="000000"/>
                <w:sz w:val="18"/>
              </w:rPr>
            </w:pPr>
          </w:p>
        </w:tc>
        <w:tc>
          <w:tcPr>
            <w:tcW w:w="195" w:type="pct"/>
            <w:tcBorders>
              <w:top w:val="nil"/>
              <w:left w:val="nil"/>
              <w:bottom w:val="nil"/>
              <w:right w:val="nil"/>
              <w:tl2br w:val="nil"/>
              <w:tr2bl w:val="nil"/>
            </w:tcBorders>
            <w:noWrap/>
            <w:vAlign w:val="center"/>
          </w:tcPr>
          <w:p>
            <w:pPr>
              <w:rPr>
                <w:rFonts w:ascii="SimSun" w:eastAsia="SimSun"/>
                <w:color w:val="000000"/>
                <w:sz w:val="18"/>
              </w:rPr>
            </w:pPr>
          </w:p>
        </w:tc>
        <w:tc>
          <w:tcPr>
            <w:tcW w:w="175" w:type="pct"/>
            <w:tcBorders>
              <w:top w:val="nil"/>
              <w:left w:val="nil"/>
              <w:bottom w:val="nil"/>
              <w:right w:val="nil"/>
              <w:tl2br w:val="nil"/>
              <w:tr2bl w:val="nil"/>
            </w:tcBorders>
            <w:noWrap/>
            <w:vAlign w:val="center"/>
          </w:tcPr>
          <w:p>
            <w:pPr>
              <w:rPr>
                <w:rFonts w:ascii="SimSun" w:eastAsia="SimSun"/>
                <w:color w:val="000000"/>
                <w:sz w:val="18"/>
              </w:rPr>
            </w:pPr>
          </w:p>
        </w:tc>
        <w:tc>
          <w:tcPr>
            <w:tcW w:w="879" w:type="pct"/>
            <w:tcBorders>
              <w:top w:val="nil"/>
              <w:left w:val="nil"/>
              <w:bottom w:val="nil"/>
              <w:right w:val="nil"/>
              <w:tl2br w:val="nil"/>
              <w:tr2bl w:val="nil"/>
            </w:tcBorders>
            <w:noWrap/>
            <w:vAlign w:val="center"/>
          </w:tcPr>
          <w:p>
            <w:pPr>
              <w:rPr>
                <w:rFonts w:ascii="SimSun" w:eastAsia="SimSun"/>
                <w:color w:val="000000"/>
                <w:sz w:val="18"/>
              </w:rPr>
            </w:pPr>
          </w:p>
        </w:tc>
      </w:tr>
      <w:tr>
        <w:trPr>
          <w:trHeight w:val="899"/>
        </w:trPr>
        <w:tc>
          <w:tcPr>
            <w:tcW w:w="5000" w:type="pct"/>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部门预算项目支出绩效自评表（2024年度）</w:t>
            </w:r>
          </w:p>
        </w:tc>
      </w:tr>
      <w:tr>
        <w:trPr>
          <w:trHeight w:val="284"/>
        </w:trPr>
        <w:tc>
          <w:tcPr>
            <w:tcW w:w="968"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4031" w:type="pct"/>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51320024R000010654621-退休人员经费</w:t>
            </w:r>
          </w:p>
        </w:tc>
      </w:tr>
      <w:tr>
        <w:trPr>
          <w:trHeight w:val="509"/>
        </w:trPr>
        <w:tc>
          <w:tcPr>
            <w:tcW w:w="968"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238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州教育局部门</w:t>
            </w:r>
          </w:p>
        </w:tc>
        <w:tc>
          <w:tcPr>
            <w:tcW w:w="391" w:type="pct"/>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1250"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马师校</w:t>
            </w:r>
          </w:p>
        </w:tc>
      </w:tr>
      <w:tr>
        <w:trPr>
          <w:trHeight w:val="284"/>
        </w:trPr>
        <w:tc>
          <w:tcPr>
            <w:tcW w:w="255"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712"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238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1642" w:type="pct"/>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70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8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严格执行相关政策，保障工资及时、足额发放或社保及时、足额缴纳，预算编制科学合理，减少结余资金。</w:t>
            </w:r>
          </w:p>
        </w:tc>
        <w:tc>
          <w:tcPr>
            <w:tcW w:w="1642" w:type="pct"/>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对照年度目标，说明相关任务目标的完成情况（100字以内）</w:t>
            </w:r>
          </w:p>
        </w:tc>
      </w:tr>
      <w:tr>
        <w:trPr>
          <w:trHeight w:val="68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4031" w:type="pct"/>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退休人员经费</w:t>
            </w:r>
          </w:p>
        </w:tc>
      </w:tr>
      <w:tr>
        <w:trPr>
          <w:trHeight w:val="359"/>
        </w:trPr>
        <w:tc>
          <w:tcPr>
            <w:tcW w:w="255"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153.12</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145.30</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145.30</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879"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153.12</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145.30</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145.30</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255"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产出指标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数量指标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发放（缴纳）覆盖率</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60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60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效益指标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社会效益指标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足额保障率（参保率）</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3749" w:type="pct"/>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SimSun" w:eastAsia="SimSun" w:cs="Arial"/>
                <w:color w:val="000000"/>
                <w:sz w:val="18"/>
              </w:rPr>
            </w:pPr>
            <w:r>
              <w:rPr>
                <w:rFonts w:ascii="SimSun" w:eastAsia="SimSun" w:cs="Arial"/>
                <w:color w:val="000000"/>
                <w:sz w:val="18"/>
              </w:rPr>
              <w:t>100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599"/>
        </w:trPr>
        <w:tc>
          <w:tcPr>
            <w:tcW w:w="2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4744"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按预算执行</w:t>
            </w:r>
          </w:p>
        </w:tc>
      </w:tr>
      <w:tr>
        <w:trPr>
          <w:trHeight w:val="569"/>
        </w:trPr>
        <w:tc>
          <w:tcPr>
            <w:tcW w:w="2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4744"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trPr>
        <w:tc>
          <w:tcPr>
            <w:tcW w:w="2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4744"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284"/>
        </w:trPr>
        <w:tc>
          <w:tcPr>
            <w:tcW w:w="256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项目负责人：贺明帅</w:t>
            </w:r>
          </w:p>
        </w:tc>
        <w:tc>
          <w:tcPr>
            <w:tcW w:w="2430" w:type="pct"/>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财务负责人：陈波</w:t>
            </w:r>
          </w:p>
        </w:tc>
      </w:tr>
    </w:tbl>
    <w:p>
      <w:r>
        <w:rPr>
          <w:rFonts w:ascii="SimSun" w:eastAsia="SimSun"/>
          <w:color w:val="000000"/>
          <w:sz w:val="18"/>
        </w:rPr>
        <w:br w:type="page"/>
      </w:r>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430"/>
        <w:gridCol w:w="1199"/>
        <w:gridCol w:w="1039"/>
        <w:gridCol w:w="1317"/>
        <w:gridCol w:w="338"/>
        <w:gridCol w:w="988"/>
        <w:gridCol w:w="338"/>
        <w:gridCol w:w="659"/>
        <w:gridCol w:w="329"/>
        <w:gridCol w:w="294"/>
        <w:gridCol w:w="1480"/>
      </w:tblGrid>
      <w:tr>
        <w:trPr>
          <w:trHeight w:val="284"/>
        </w:trPr>
        <w:tc>
          <w:tcPr>
            <w:tcW w:w="255" w:type="pct"/>
            <w:tcBorders>
              <w:top w:val="nil"/>
              <w:left w:val="nil"/>
              <w:bottom w:val="nil"/>
              <w:right w:val="nil"/>
              <w:tl2br w:val="nil"/>
              <w:tr2bl w:val="nil"/>
            </w:tcBorders>
            <w:noWrap/>
            <w:vAlign w:val="center"/>
          </w:tcPr>
          <w:p>
            <w:pPr>
              <w:rPr>
                <w:rFonts w:ascii="SimSun" w:eastAsia="SimSun"/>
                <w:color w:val="000000"/>
                <w:sz w:val="18"/>
              </w:rPr>
            </w:pPr>
          </w:p>
        </w:tc>
        <w:tc>
          <w:tcPr>
            <w:tcW w:w="712" w:type="pct"/>
            <w:tcBorders>
              <w:top w:val="nil"/>
              <w:left w:val="nil"/>
              <w:bottom w:val="nil"/>
              <w:right w:val="nil"/>
              <w:tl2br w:val="nil"/>
              <w:tr2bl w:val="nil"/>
            </w:tcBorders>
            <w:noWrap/>
            <w:vAlign w:val="center"/>
          </w:tcPr>
          <w:p>
            <w:pPr>
              <w:rPr>
                <w:rFonts w:ascii="SimSun" w:eastAsia="SimSun"/>
                <w:color w:val="000000"/>
                <w:sz w:val="18"/>
              </w:rPr>
            </w:pPr>
          </w:p>
        </w:tc>
        <w:tc>
          <w:tcPr>
            <w:tcW w:w="617" w:type="pct"/>
            <w:tcBorders>
              <w:top w:val="nil"/>
              <w:left w:val="nil"/>
              <w:bottom w:val="nil"/>
              <w:right w:val="nil"/>
              <w:tl2br w:val="nil"/>
              <w:tr2bl w:val="nil"/>
            </w:tcBorders>
            <w:noWrap/>
            <w:vAlign w:val="center"/>
          </w:tcPr>
          <w:p>
            <w:pPr>
              <w:rPr>
                <w:rFonts w:ascii="SimSun" w:eastAsia="SimSun"/>
                <w:color w:val="000000"/>
                <w:sz w:val="18"/>
              </w:rPr>
            </w:pPr>
          </w:p>
        </w:tc>
        <w:tc>
          <w:tcPr>
            <w:tcW w:w="783" w:type="pct"/>
            <w:tcBorders>
              <w:top w:val="nil"/>
              <w:left w:val="nil"/>
              <w:bottom w:val="nil"/>
              <w:right w:val="nil"/>
              <w:tl2br w:val="nil"/>
              <w:tr2bl w:val="nil"/>
            </w:tcBorders>
            <w:noWrap/>
            <w:vAlign w:val="center"/>
          </w:tcPr>
          <w:p>
            <w:pPr>
              <w:rPr>
                <w:rFonts w:ascii="SimSun" w:eastAsia="SimSun"/>
                <w:color w:val="000000"/>
                <w:sz w:val="18"/>
              </w:rPr>
            </w:pPr>
          </w:p>
        </w:tc>
        <w:tc>
          <w:tcPr>
            <w:tcW w:w="200" w:type="pct"/>
            <w:tcBorders>
              <w:top w:val="nil"/>
              <w:left w:val="nil"/>
              <w:bottom w:val="nil"/>
              <w:right w:val="nil"/>
              <w:tl2br w:val="nil"/>
              <w:tr2bl w:val="nil"/>
            </w:tcBorders>
            <w:noWrap/>
            <w:vAlign w:val="center"/>
          </w:tcPr>
          <w:p>
            <w:pPr>
              <w:rPr>
                <w:rFonts w:ascii="SimSun" w:eastAsia="SimSun"/>
                <w:color w:val="000000"/>
                <w:sz w:val="18"/>
              </w:rPr>
            </w:pPr>
          </w:p>
        </w:tc>
        <w:tc>
          <w:tcPr>
            <w:tcW w:w="587" w:type="pct"/>
            <w:tcBorders>
              <w:top w:val="nil"/>
              <w:left w:val="nil"/>
              <w:bottom w:val="nil"/>
              <w:right w:val="nil"/>
              <w:tl2br w:val="nil"/>
              <w:tr2bl w:val="nil"/>
            </w:tcBorders>
            <w:noWrap/>
            <w:vAlign w:val="center"/>
          </w:tcPr>
          <w:p>
            <w:pPr>
              <w:rPr>
                <w:rFonts w:ascii="SimSun" w:eastAsia="SimSun"/>
                <w:color w:val="000000"/>
                <w:sz w:val="18"/>
              </w:rPr>
            </w:pPr>
          </w:p>
        </w:tc>
        <w:tc>
          <w:tcPr>
            <w:tcW w:w="200" w:type="pct"/>
            <w:tcBorders>
              <w:top w:val="nil"/>
              <w:left w:val="nil"/>
              <w:bottom w:val="nil"/>
              <w:right w:val="nil"/>
              <w:tl2br w:val="nil"/>
              <w:tr2bl w:val="nil"/>
            </w:tcBorders>
            <w:noWrap/>
            <w:vAlign w:val="center"/>
          </w:tcPr>
          <w:p>
            <w:pPr>
              <w:rPr>
                <w:rFonts w:ascii="SimSun" w:eastAsia="SimSun"/>
                <w:color w:val="000000"/>
                <w:sz w:val="18"/>
              </w:rPr>
            </w:pPr>
          </w:p>
        </w:tc>
        <w:tc>
          <w:tcPr>
            <w:tcW w:w="391" w:type="pct"/>
            <w:tcBorders>
              <w:top w:val="nil"/>
              <w:left w:val="nil"/>
              <w:bottom w:val="nil"/>
              <w:right w:val="nil"/>
              <w:tl2br w:val="nil"/>
              <w:tr2bl w:val="nil"/>
            </w:tcBorders>
            <w:noWrap/>
            <w:vAlign w:val="center"/>
          </w:tcPr>
          <w:p>
            <w:pPr>
              <w:rPr>
                <w:rFonts w:ascii="SimSun" w:eastAsia="SimSun"/>
                <w:color w:val="000000"/>
                <w:sz w:val="18"/>
              </w:rPr>
            </w:pPr>
          </w:p>
        </w:tc>
        <w:tc>
          <w:tcPr>
            <w:tcW w:w="195" w:type="pct"/>
            <w:tcBorders>
              <w:top w:val="nil"/>
              <w:left w:val="nil"/>
              <w:bottom w:val="nil"/>
              <w:right w:val="nil"/>
              <w:tl2br w:val="nil"/>
              <w:tr2bl w:val="nil"/>
            </w:tcBorders>
            <w:noWrap/>
            <w:vAlign w:val="center"/>
          </w:tcPr>
          <w:p>
            <w:pPr>
              <w:rPr>
                <w:rFonts w:ascii="SimSun" w:eastAsia="SimSun"/>
                <w:color w:val="000000"/>
                <w:sz w:val="18"/>
              </w:rPr>
            </w:pPr>
          </w:p>
        </w:tc>
        <w:tc>
          <w:tcPr>
            <w:tcW w:w="175" w:type="pct"/>
            <w:tcBorders>
              <w:top w:val="nil"/>
              <w:left w:val="nil"/>
              <w:bottom w:val="nil"/>
              <w:right w:val="nil"/>
              <w:tl2br w:val="nil"/>
              <w:tr2bl w:val="nil"/>
            </w:tcBorders>
            <w:noWrap/>
            <w:vAlign w:val="center"/>
          </w:tcPr>
          <w:p>
            <w:pPr>
              <w:rPr>
                <w:rFonts w:ascii="SimSun" w:eastAsia="SimSun"/>
                <w:color w:val="000000"/>
                <w:sz w:val="18"/>
              </w:rPr>
            </w:pPr>
          </w:p>
        </w:tc>
        <w:tc>
          <w:tcPr>
            <w:tcW w:w="879" w:type="pct"/>
            <w:tcBorders>
              <w:top w:val="nil"/>
              <w:left w:val="nil"/>
              <w:bottom w:val="nil"/>
              <w:right w:val="nil"/>
              <w:tl2br w:val="nil"/>
              <w:tr2bl w:val="nil"/>
            </w:tcBorders>
            <w:noWrap/>
            <w:vAlign w:val="center"/>
          </w:tcPr>
          <w:p>
            <w:pPr>
              <w:rPr>
                <w:rFonts w:ascii="SimSun" w:eastAsia="SimSun"/>
                <w:color w:val="000000"/>
                <w:sz w:val="18"/>
              </w:rPr>
            </w:pPr>
          </w:p>
        </w:tc>
      </w:tr>
      <w:tr>
        <w:trPr>
          <w:trHeight w:val="899"/>
        </w:trPr>
        <w:tc>
          <w:tcPr>
            <w:tcW w:w="5000" w:type="pct"/>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部门预算项目支出绩效自评表（2024年度）</w:t>
            </w:r>
          </w:p>
        </w:tc>
      </w:tr>
      <w:tr>
        <w:trPr>
          <w:trHeight w:val="284"/>
        </w:trPr>
        <w:tc>
          <w:tcPr>
            <w:tcW w:w="968"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4031" w:type="pct"/>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51320024T000010462222-四川省阿坝州民族高级中学校志编撰</w:t>
            </w:r>
          </w:p>
        </w:tc>
      </w:tr>
      <w:tr>
        <w:trPr>
          <w:trHeight w:val="509"/>
        </w:trPr>
        <w:tc>
          <w:tcPr>
            <w:tcW w:w="968"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238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州教育局部门</w:t>
            </w:r>
          </w:p>
        </w:tc>
        <w:tc>
          <w:tcPr>
            <w:tcW w:w="391" w:type="pct"/>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1250"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马师校</w:t>
            </w:r>
          </w:p>
        </w:tc>
      </w:tr>
      <w:tr>
        <w:trPr>
          <w:trHeight w:val="284"/>
        </w:trPr>
        <w:tc>
          <w:tcPr>
            <w:tcW w:w="255"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712"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238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1642" w:type="pct"/>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70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8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四川省阿坝州民族高级中学校志的编撰客观记述学校发展历程，发掘历史资源，展现办学特色，彰显办学成就，激发全体师生员工的爱校情怀。</w:t>
            </w:r>
          </w:p>
        </w:tc>
        <w:tc>
          <w:tcPr>
            <w:tcW w:w="1642" w:type="pct"/>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对照年度目标，说明相关任务目标的完成情况（100字以内）</w:t>
            </w:r>
          </w:p>
        </w:tc>
      </w:tr>
      <w:tr>
        <w:trPr>
          <w:trHeight w:val="68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4031" w:type="pct"/>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组建编撰团队，拟定篇目大纲。广泛搜集校史资料，实地走访、查阅档案。团队分工编写，反复审核校对，确保内容准确、逻辑连贯。</w:t>
            </w:r>
          </w:p>
        </w:tc>
      </w:tr>
      <w:tr>
        <w:trPr>
          <w:trHeight w:val="359"/>
        </w:trPr>
        <w:tc>
          <w:tcPr>
            <w:tcW w:w="255"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25.00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25.00</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25.00</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879"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25.00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25.00</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25.00</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255"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产出指标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数量指标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校志编撰完成率</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95</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质量指标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编撰书籍覆盖率</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95</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时效指标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及时完成率</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95</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效益指标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社会效益指标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提升教学质量</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定性</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有效提升</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有效提升</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满意度指标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满意度指标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教师满意度</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95</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成本指标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经济成本指标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成本控制范围</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30</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万元</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30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社会成本指标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保障教育发展</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定性</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有效保障</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有效保障</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3749" w:type="pct"/>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SimSun" w:eastAsia="SimSun" w:cs="Arial"/>
                <w:color w:val="000000"/>
                <w:sz w:val="18"/>
              </w:rPr>
            </w:pPr>
            <w:r>
              <w:rPr>
                <w:rFonts w:ascii="SimSun" w:eastAsia="SimSun" w:cs="Arial"/>
                <w:color w:val="000000"/>
                <w:sz w:val="18"/>
              </w:rPr>
              <w:t>100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599"/>
        </w:trPr>
        <w:tc>
          <w:tcPr>
            <w:tcW w:w="2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4744"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该项目团队专业尽责，资料收集全面，涵盖学校多方面发展。志书架构合理、内容详实，展现办学特色成果。但时间跨度大，部分资料整合稍显繁杂，总体成效显著，具较高存史资政育人价值。</w:t>
            </w:r>
          </w:p>
        </w:tc>
      </w:tr>
      <w:tr>
        <w:trPr>
          <w:trHeight w:val="569"/>
        </w:trPr>
        <w:tc>
          <w:tcPr>
            <w:tcW w:w="2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4744"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trPr>
        <w:tc>
          <w:tcPr>
            <w:tcW w:w="2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4744"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284"/>
        </w:trPr>
        <w:tc>
          <w:tcPr>
            <w:tcW w:w="256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项目负责人：梁廷茂</w:t>
            </w:r>
          </w:p>
        </w:tc>
        <w:tc>
          <w:tcPr>
            <w:tcW w:w="2430" w:type="pct"/>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财务负责人：陈波</w:t>
            </w:r>
          </w:p>
        </w:tc>
      </w:tr>
    </w:tbl>
    <w:p>
      <w:r>
        <w:rPr>
          <w:rFonts w:ascii="SimSun" w:eastAsia="SimSun"/>
          <w:color w:val="000000"/>
          <w:sz w:val="18"/>
        </w:rPr>
        <w:br w:type="page"/>
      </w:r>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430"/>
        <w:gridCol w:w="1199"/>
        <w:gridCol w:w="1039"/>
        <w:gridCol w:w="1317"/>
        <w:gridCol w:w="338"/>
        <w:gridCol w:w="988"/>
        <w:gridCol w:w="338"/>
        <w:gridCol w:w="659"/>
        <w:gridCol w:w="329"/>
        <w:gridCol w:w="294"/>
        <w:gridCol w:w="1480"/>
      </w:tblGrid>
      <w:tr>
        <w:trPr>
          <w:trHeight w:val="284"/>
        </w:trPr>
        <w:tc>
          <w:tcPr>
            <w:tcW w:w="255" w:type="pct"/>
            <w:tcBorders>
              <w:top w:val="nil"/>
              <w:left w:val="nil"/>
              <w:bottom w:val="nil"/>
              <w:right w:val="nil"/>
              <w:tl2br w:val="nil"/>
              <w:tr2bl w:val="nil"/>
            </w:tcBorders>
            <w:noWrap/>
            <w:vAlign w:val="center"/>
          </w:tcPr>
          <w:p>
            <w:pPr>
              <w:rPr>
                <w:rFonts w:ascii="SimSun" w:eastAsia="SimSun"/>
                <w:color w:val="000000"/>
                <w:sz w:val="18"/>
              </w:rPr>
            </w:pPr>
          </w:p>
        </w:tc>
        <w:tc>
          <w:tcPr>
            <w:tcW w:w="712" w:type="pct"/>
            <w:tcBorders>
              <w:top w:val="nil"/>
              <w:left w:val="nil"/>
              <w:bottom w:val="nil"/>
              <w:right w:val="nil"/>
              <w:tl2br w:val="nil"/>
              <w:tr2bl w:val="nil"/>
            </w:tcBorders>
            <w:noWrap/>
            <w:vAlign w:val="center"/>
          </w:tcPr>
          <w:p>
            <w:pPr>
              <w:rPr>
                <w:rFonts w:ascii="SimSun" w:eastAsia="SimSun"/>
                <w:color w:val="000000"/>
                <w:sz w:val="18"/>
              </w:rPr>
            </w:pPr>
          </w:p>
        </w:tc>
        <w:tc>
          <w:tcPr>
            <w:tcW w:w="617" w:type="pct"/>
            <w:tcBorders>
              <w:top w:val="nil"/>
              <w:left w:val="nil"/>
              <w:bottom w:val="nil"/>
              <w:right w:val="nil"/>
              <w:tl2br w:val="nil"/>
              <w:tr2bl w:val="nil"/>
            </w:tcBorders>
            <w:noWrap/>
            <w:vAlign w:val="center"/>
          </w:tcPr>
          <w:p>
            <w:pPr>
              <w:rPr>
                <w:rFonts w:ascii="SimSun" w:eastAsia="SimSun"/>
                <w:color w:val="000000"/>
                <w:sz w:val="18"/>
              </w:rPr>
            </w:pPr>
          </w:p>
        </w:tc>
        <w:tc>
          <w:tcPr>
            <w:tcW w:w="783" w:type="pct"/>
            <w:tcBorders>
              <w:top w:val="nil"/>
              <w:left w:val="nil"/>
              <w:bottom w:val="nil"/>
              <w:right w:val="nil"/>
              <w:tl2br w:val="nil"/>
              <w:tr2bl w:val="nil"/>
            </w:tcBorders>
            <w:noWrap/>
            <w:vAlign w:val="center"/>
          </w:tcPr>
          <w:p>
            <w:pPr>
              <w:rPr>
                <w:rFonts w:ascii="SimSun" w:eastAsia="SimSun"/>
                <w:color w:val="000000"/>
                <w:sz w:val="18"/>
              </w:rPr>
            </w:pPr>
          </w:p>
        </w:tc>
        <w:tc>
          <w:tcPr>
            <w:tcW w:w="200" w:type="pct"/>
            <w:tcBorders>
              <w:top w:val="nil"/>
              <w:left w:val="nil"/>
              <w:bottom w:val="nil"/>
              <w:right w:val="nil"/>
              <w:tl2br w:val="nil"/>
              <w:tr2bl w:val="nil"/>
            </w:tcBorders>
            <w:noWrap/>
            <w:vAlign w:val="center"/>
          </w:tcPr>
          <w:p>
            <w:pPr>
              <w:rPr>
                <w:rFonts w:ascii="SimSun" w:eastAsia="SimSun"/>
                <w:color w:val="000000"/>
                <w:sz w:val="18"/>
              </w:rPr>
            </w:pPr>
          </w:p>
        </w:tc>
        <w:tc>
          <w:tcPr>
            <w:tcW w:w="587" w:type="pct"/>
            <w:tcBorders>
              <w:top w:val="nil"/>
              <w:left w:val="nil"/>
              <w:bottom w:val="nil"/>
              <w:right w:val="nil"/>
              <w:tl2br w:val="nil"/>
              <w:tr2bl w:val="nil"/>
            </w:tcBorders>
            <w:noWrap/>
            <w:vAlign w:val="center"/>
          </w:tcPr>
          <w:p>
            <w:pPr>
              <w:rPr>
                <w:rFonts w:ascii="SimSun" w:eastAsia="SimSun"/>
                <w:color w:val="000000"/>
                <w:sz w:val="18"/>
              </w:rPr>
            </w:pPr>
          </w:p>
        </w:tc>
        <w:tc>
          <w:tcPr>
            <w:tcW w:w="200" w:type="pct"/>
            <w:tcBorders>
              <w:top w:val="nil"/>
              <w:left w:val="nil"/>
              <w:bottom w:val="nil"/>
              <w:right w:val="nil"/>
              <w:tl2br w:val="nil"/>
              <w:tr2bl w:val="nil"/>
            </w:tcBorders>
            <w:noWrap/>
            <w:vAlign w:val="center"/>
          </w:tcPr>
          <w:p>
            <w:pPr>
              <w:rPr>
                <w:rFonts w:ascii="SimSun" w:eastAsia="SimSun"/>
                <w:color w:val="000000"/>
                <w:sz w:val="18"/>
              </w:rPr>
            </w:pPr>
          </w:p>
        </w:tc>
        <w:tc>
          <w:tcPr>
            <w:tcW w:w="391" w:type="pct"/>
            <w:tcBorders>
              <w:top w:val="nil"/>
              <w:left w:val="nil"/>
              <w:bottom w:val="nil"/>
              <w:right w:val="nil"/>
              <w:tl2br w:val="nil"/>
              <w:tr2bl w:val="nil"/>
            </w:tcBorders>
            <w:noWrap/>
            <w:vAlign w:val="center"/>
          </w:tcPr>
          <w:p>
            <w:pPr>
              <w:rPr>
                <w:rFonts w:ascii="SimSun" w:eastAsia="SimSun"/>
                <w:color w:val="000000"/>
                <w:sz w:val="18"/>
              </w:rPr>
            </w:pPr>
          </w:p>
        </w:tc>
        <w:tc>
          <w:tcPr>
            <w:tcW w:w="195" w:type="pct"/>
            <w:tcBorders>
              <w:top w:val="nil"/>
              <w:left w:val="nil"/>
              <w:bottom w:val="nil"/>
              <w:right w:val="nil"/>
              <w:tl2br w:val="nil"/>
              <w:tr2bl w:val="nil"/>
            </w:tcBorders>
            <w:noWrap/>
            <w:vAlign w:val="center"/>
          </w:tcPr>
          <w:p>
            <w:pPr>
              <w:rPr>
                <w:rFonts w:ascii="SimSun" w:eastAsia="SimSun"/>
                <w:color w:val="000000"/>
                <w:sz w:val="18"/>
              </w:rPr>
            </w:pPr>
          </w:p>
        </w:tc>
        <w:tc>
          <w:tcPr>
            <w:tcW w:w="175" w:type="pct"/>
            <w:tcBorders>
              <w:top w:val="nil"/>
              <w:left w:val="nil"/>
              <w:bottom w:val="nil"/>
              <w:right w:val="nil"/>
              <w:tl2br w:val="nil"/>
              <w:tr2bl w:val="nil"/>
            </w:tcBorders>
            <w:noWrap/>
            <w:vAlign w:val="center"/>
          </w:tcPr>
          <w:p>
            <w:pPr>
              <w:rPr>
                <w:rFonts w:ascii="SimSun" w:eastAsia="SimSun"/>
                <w:color w:val="000000"/>
                <w:sz w:val="18"/>
              </w:rPr>
            </w:pPr>
          </w:p>
        </w:tc>
        <w:tc>
          <w:tcPr>
            <w:tcW w:w="879" w:type="pct"/>
            <w:tcBorders>
              <w:top w:val="nil"/>
              <w:left w:val="nil"/>
              <w:bottom w:val="nil"/>
              <w:right w:val="nil"/>
              <w:tl2br w:val="nil"/>
              <w:tr2bl w:val="nil"/>
            </w:tcBorders>
            <w:noWrap/>
            <w:vAlign w:val="center"/>
          </w:tcPr>
          <w:p>
            <w:pPr>
              <w:rPr>
                <w:rFonts w:ascii="SimSun" w:eastAsia="SimSun"/>
                <w:color w:val="000000"/>
                <w:sz w:val="18"/>
              </w:rPr>
            </w:pPr>
          </w:p>
        </w:tc>
      </w:tr>
      <w:tr>
        <w:trPr>
          <w:trHeight w:val="899"/>
        </w:trPr>
        <w:tc>
          <w:tcPr>
            <w:tcW w:w="5000" w:type="pct"/>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部门预算项目支出绩效自评表（2024年度）</w:t>
            </w:r>
          </w:p>
        </w:tc>
      </w:tr>
      <w:tr>
        <w:trPr>
          <w:trHeight w:val="284"/>
        </w:trPr>
        <w:tc>
          <w:tcPr>
            <w:tcW w:w="968"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4031" w:type="pct"/>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51320024T000010944204-教育系统优秀教师鼓励资金</w:t>
            </w:r>
          </w:p>
        </w:tc>
      </w:tr>
      <w:tr>
        <w:trPr>
          <w:trHeight w:val="509"/>
        </w:trPr>
        <w:tc>
          <w:tcPr>
            <w:tcW w:w="968"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238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州教育局部门</w:t>
            </w:r>
          </w:p>
        </w:tc>
        <w:tc>
          <w:tcPr>
            <w:tcW w:w="391" w:type="pct"/>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1250"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马师校</w:t>
            </w:r>
          </w:p>
        </w:tc>
      </w:tr>
      <w:tr>
        <w:trPr>
          <w:trHeight w:val="284"/>
        </w:trPr>
        <w:tc>
          <w:tcPr>
            <w:tcW w:w="255"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712"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238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1642" w:type="pct"/>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70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8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2023年教育系统优秀个人鼓励资金</w:t>
            </w:r>
          </w:p>
        </w:tc>
        <w:tc>
          <w:tcPr>
            <w:tcW w:w="1642" w:type="pct"/>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对照年度目标，说明相关任务目标的完成情况（100字以内）</w:t>
            </w:r>
          </w:p>
        </w:tc>
      </w:tr>
      <w:tr>
        <w:trPr>
          <w:trHeight w:val="68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4031" w:type="pct"/>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 制定评选标准与流程，组织学校推荐、初审；</w:t>
            </w:r>
          </w:p>
          <w:p>
            <w:pPr>
              <w:rPr>
                <w:rFonts w:ascii="SimSun" w:eastAsia="SimSun" w:cs="Arial"/>
                <w:color w:val="000000"/>
                <w:sz w:val="18"/>
              </w:rPr>
            </w:pPr>
            <w:r>
              <w:rPr>
                <w:rFonts w:ascii="SimSun" w:eastAsia="SimSun" w:cs="Arial"/>
                <w:color w:val="000000"/>
                <w:sz w:val="18"/>
              </w:rPr>
              <w:t>2. 复核评选优秀教师名单并公示；</w:t>
            </w:r>
          </w:p>
          <w:p>
            <w:pPr>
              <w:rPr>
                <w:rFonts w:ascii="SimSun" w:eastAsia="SimSun" w:cs="Arial"/>
                <w:color w:val="000000"/>
                <w:sz w:val="18"/>
              </w:rPr>
            </w:pPr>
            <w:r>
              <w:rPr>
                <w:rFonts w:ascii="SimSun" w:eastAsia="SimSun" w:cs="Arial"/>
                <w:color w:val="000000"/>
                <w:sz w:val="18"/>
              </w:rPr>
              <w:t>3. 按标准核定鼓励金，依规拨付发放，做好过程记录存档。</w:t>
            </w:r>
          </w:p>
        </w:tc>
      </w:tr>
      <w:tr>
        <w:trPr>
          <w:trHeight w:val="359"/>
        </w:trPr>
        <w:tc>
          <w:tcPr>
            <w:tcW w:w="255"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0.89</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0.89</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879"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0.89</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0.89</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255"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产出指标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数量指标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项目完成率</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95</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质量指标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资金划拨率</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95</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时效指标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及时完成率</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95</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效益指标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可持续发展指标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激励老师不断提高教育质量</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定性</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有效激励</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有效激励</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可持续影响指标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鼓励教师</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定性</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有效鼓励</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有效鼓励</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满意度指标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满意度指标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教师满意度</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成本指标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经济成本指标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成本范围控制</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0.9</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万元</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0.9</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3749" w:type="pct"/>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SimSun" w:eastAsia="SimSun" w:cs="Arial"/>
                <w:color w:val="000000"/>
                <w:sz w:val="18"/>
              </w:rPr>
            </w:pPr>
            <w:r>
              <w:rPr>
                <w:rFonts w:ascii="SimSun" w:eastAsia="SimSun" w:cs="Arial"/>
                <w:color w:val="000000"/>
                <w:sz w:val="18"/>
              </w:rPr>
              <w:t>100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599"/>
        </w:trPr>
        <w:tc>
          <w:tcPr>
            <w:tcW w:w="2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4744"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该项目评选公正、拨付及时，有效激发教师积极性。但部分评选细则可更贴合教学实际，整体实施成效良好，对提升教育教学质量起到正向激励作用</w:t>
            </w:r>
          </w:p>
        </w:tc>
      </w:tr>
      <w:tr>
        <w:trPr>
          <w:trHeight w:val="569"/>
        </w:trPr>
        <w:tc>
          <w:tcPr>
            <w:tcW w:w="2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4744"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trPr>
        <w:tc>
          <w:tcPr>
            <w:tcW w:w="2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4744"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284"/>
        </w:trPr>
        <w:tc>
          <w:tcPr>
            <w:tcW w:w="256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项目负责人：贺明帅</w:t>
            </w:r>
          </w:p>
        </w:tc>
        <w:tc>
          <w:tcPr>
            <w:tcW w:w="2430" w:type="pct"/>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财务负责人：陈波</w:t>
            </w:r>
          </w:p>
        </w:tc>
      </w:tr>
    </w:tbl>
    <w:p>
      <w:r>
        <w:rPr>
          <w:rFonts w:ascii="SimSun" w:eastAsia="SimSun"/>
          <w:color w:val="000000"/>
          <w:sz w:val="18"/>
        </w:rPr>
        <w:br w:type="page"/>
      </w:r>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430"/>
        <w:gridCol w:w="1199"/>
        <w:gridCol w:w="1039"/>
        <w:gridCol w:w="1317"/>
        <w:gridCol w:w="338"/>
        <w:gridCol w:w="988"/>
        <w:gridCol w:w="338"/>
        <w:gridCol w:w="659"/>
        <w:gridCol w:w="329"/>
        <w:gridCol w:w="294"/>
        <w:gridCol w:w="1480"/>
      </w:tblGrid>
      <w:tr>
        <w:trPr>
          <w:trHeight w:val="284"/>
        </w:trPr>
        <w:tc>
          <w:tcPr>
            <w:tcW w:w="255" w:type="pct"/>
            <w:tcBorders>
              <w:top w:val="nil"/>
              <w:left w:val="nil"/>
              <w:bottom w:val="nil"/>
              <w:right w:val="nil"/>
              <w:tl2br w:val="nil"/>
              <w:tr2bl w:val="nil"/>
            </w:tcBorders>
            <w:noWrap/>
            <w:vAlign w:val="center"/>
          </w:tcPr>
          <w:p>
            <w:pPr>
              <w:rPr>
                <w:rFonts w:ascii="SimSun" w:eastAsia="SimSun"/>
                <w:color w:val="000000"/>
                <w:sz w:val="18"/>
              </w:rPr>
            </w:pPr>
          </w:p>
        </w:tc>
        <w:tc>
          <w:tcPr>
            <w:tcW w:w="712" w:type="pct"/>
            <w:tcBorders>
              <w:top w:val="nil"/>
              <w:left w:val="nil"/>
              <w:bottom w:val="nil"/>
              <w:right w:val="nil"/>
              <w:tl2br w:val="nil"/>
              <w:tr2bl w:val="nil"/>
            </w:tcBorders>
            <w:noWrap/>
            <w:vAlign w:val="center"/>
          </w:tcPr>
          <w:p>
            <w:pPr>
              <w:rPr>
                <w:rFonts w:ascii="SimSun" w:eastAsia="SimSun"/>
                <w:color w:val="000000"/>
                <w:sz w:val="18"/>
              </w:rPr>
            </w:pPr>
          </w:p>
        </w:tc>
        <w:tc>
          <w:tcPr>
            <w:tcW w:w="617" w:type="pct"/>
            <w:tcBorders>
              <w:top w:val="nil"/>
              <w:left w:val="nil"/>
              <w:bottom w:val="nil"/>
              <w:right w:val="nil"/>
              <w:tl2br w:val="nil"/>
              <w:tr2bl w:val="nil"/>
            </w:tcBorders>
            <w:noWrap/>
            <w:vAlign w:val="center"/>
          </w:tcPr>
          <w:p>
            <w:pPr>
              <w:rPr>
                <w:rFonts w:ascii="SimSun" w:eastAsia="SimSun"/>
                <w:color w:val="000000"/>
                <w:sz w:val="18"/>
              </w:rPr>
            </w:pPr>
          </w:p>
        </w:tc>
        <w:tc>
          <w:tcPr>
            <w:tcW w:w="783" w:type="pct"/>
            <w:tcBorders>
              <w:top w:val="nil"/>
              <w:left w:val="nil"/>
              <w:bottom w:val="nil"/>
              <w:right w:val="nil"/>
              <w:tl2br w:val="nil"/>
              <w:tr2bl w:val="nil"/>
            </w:tcBorders>
            <w:noWrap/>
            <w:vAlign w:val="center"/>
          </w:tcPr>
          <w:p>
            <w:pPr>
              <w:rPr>
                <w:rFonts w:ascii="SimSun" w:eastAsia="SimSun"/>
                <w:color w:val="000000"/>
                <w:sz w:val="18"/>
              </w:rPr>
            </w:pPr>
          </w:p>
        </w:tc>
        <w:tc>
          <w:tcPr>
            <w:tcW w:w="200" w:type="pct"/>
            <w:tcBorders>
              <w:top w:val="nil"/>
              <w:left w:val="nil"/>
              <w:bottom w:val="nil"/>
              <w:right w:val="nil"/>
              <w:tl2br w:val="nil"/>
              <w:tr2bl w:val="nil"/>
            </w:tcBorders>
            <w:noWrap/>
            <w:vAlign w:val="center"/>
          </w:tcPr>
          <w:p>
            <w:pPr>
              <w:rPr>
                <w:rFonts w:ascii="SimSun" w:eastAsia="SimSun"/>
                <w:color w:val="000000"/>
                <w:sz w:val="18"/>
              </w:rPr>
            </w:pPr>
          </w:p>
        </w:tc>
        <w:tc>
          <w:tcPr>
            <w:tcW w:w="587" w:type="pct"/>
            <w:tcBorders>
              <w:top w:val="nil"/>
              <w:left w:val="nil"/>
              <w:bottom w:val="nil"/>
              <w:right w:val="nil"/>
              <w:tl2br w:val="nil"/>
              <w:tr2bl w:val="nil"/>
            </w:tcBorders>
            <w:noWrap/>
            <w:vAlign w:val="center"/>
          </w:tcPr>
          <w:p>
            <w:pPr>
              <w:rPr>
                <w:rFonts w:ascii="SimSun" w:eastAsia="SimSun"/>
                <w:color w:val="000000"/>
                <w:sz w:val="18"/>
              </w:rPr>
            </w:pPr>
          </w:p>
        </w:tc>
        <w:tc>
          <w:tcPr>
            <w:tcW w:w="200" w:type="pct"/>
            <w:tcBorders>
              <w:top w:val="nil"/>
              <w:left w:val="nil"/>
              <w:bottom w:val="nil"/>
              <w:right w:val="nil"/>
              <w:tl2br w:val="nil"/>
              <w:tr2bl w:val="nil"/>
            </w:tcBorders>
            <w:noWrap/>
            <w:vAlign w:val="center"/>
          </w:tcPr>
          <w:p>
            <w:pPr>
              <w:rPr>
                <w:rFonts w:ascii="SimSun" w:eastAsia="SimSun"/>
                <w:color w:val="000000"/>
                <w:sz w:val="18"/>
              </w:rPr>
            </w:pPr>
          </w:p>
        </w:tc>
        <w:tc>
          <w:tcPr>
            <w:tcW w:w="391" w:type="pct"/>
            <w:tcBorders>
              <w:top w:val="nil"/>
              <w:left w:val="nil"/>
              <w:bottom w:val="nil"/>
              <w:right w:val="nil"/>
              <w:tl2br w:val="nil"/>
              <w:tr2bl w:val="nil"/>
            </w:tcBorders>
            <w:noWrap/>
            <w:vAlign w:val="center"/>
          </w:tcPr>
          <w:p>
            <w:pPr>
              <w:rPr>
                <w:rFonts w:ascii="SimSun" w:eastAsia="SimSun"/>
                <w:color w:val="000000"/>
                <w:sz w:val="18"/>
              </w:rPr>
            </w:pPr>
          </w:p>
        </w:tc>
        <w:tc>
          <w:tcPr>
            <w:tcW w:w="195" w:type="pct"/>
            <w:tcBorders>
              <w:top w:val="nil"/>
              <w:left w:val="nil"/>
              <w:bottom w:val="nil"/>
              <w:right w:val="nil"/>
              <w:tl2br w:val="nil"/>
              <w:tr2bl w:val="nil"/>
            </w:tcBorders>
            <w:noWrap/>
            <w:vAlign w:val="center"/>
          </w:tcPr>
          <w:p>
            <w:pPr>
              <w:rPr>
                <w:rFonts w:ascii="SimSun" w:eastAsia="SimSun"/>
                <w:color w:val="000000"/>
                <w:sz w:val="18"/>
              </w:rPr>
            </w:pPr>
          </w:p>
        </w:tc>
        <w:tc>
          <w:tcPr>
            <w:tcW w:w="175" w:type="pct"/>
            <w:tcBorders>
              <w:top w:val="nil"/>
              <w:left w:val="nil"/>
              <w:bottom w:val="nil"/>
              <w:right w:val="nil"/>
              <w:tl2br w:val="nil"/>
              <w:tr2bl w:val="nil"/>
            </w:tcBorders>
            <w:noWrap/>
            <w:vAlign w:val="center"/>
          </w:tcPr>
          <w:p>
            <w:pPr>
              <w:rPr>
                <w:rFonts w:ascii="SimSun" w:eastAsia="SimSun"/>
                <w:color w:val="000000"/>
                <w:sz w:val="18"/>
              </w:rPr>
            </w:pPr>
          </w:p>
        </w:tc>
        <w:tc>
          <w:tcPr>
            <w:tcW w:w="879" w:type="pct"/>
            <w:tcBorders>
              <w:top w:val="nil"/>
              <w:left w:val="nil"/>
              <w:bottom w:val="nil"/>
              <w:right w:val="nil"/>
              <w:tl2br w:val="nil"/>
              <w:tr2bl w:val="nil"/>
            </w:tcBorders>
            <w:noWrap/>
            <w:vAlign w:val="center"/>
          </w:tcPr>
          <w:p>
            <w:pPr>
              <w:rPr>
                <w:rFonts w:ascii="SimSun" w:eastAsia="SimSun"/>
                <w:color w:val="000000"/>
                <w:sz w:val="18"/>
              </w:rPr>
            </w:pPr>
          </w:p>
        </w:tc>
      </w:tr>
      <w:tr>
        <w:trPr>
          <w:trHeight w:val="899"/>
        </w:trPr>
        <w:tc>
          <w:tcPr>
            <w:tcW w:w="5000" w:type="pct"/>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部门预算项目支出绩效自评表（2024年度）</w:t>
            </w:r>
          </w:p>
        </w:tc>
      </w:tr>
      <w:tr>
        <w:trPr>
          <w:trHeight w:val="284"/>
        </w:trPr>
        <w:tc>
          <w:tcPr>
            <w:tcW w:w="968"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4031" w:type="pct"/>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51320024T000011098777-州直属学校教师节慰问金</w:t>
            </w:r>
          </w:p>
        </w:tc>
      </w:tr>
      <w:tr>
        <w:trPr>
          <w:trHeight w:val="509"/>
        </w:trPr>
        <w:tc>
          <w:tcPr>
            <w:tcW w:w="968"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238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州教育局部门</w:t>
            </w:r>
          </w:p>
        </w:tc>
        <w:tc>
          <w:tcPr>
            <w:tcW w:w="391" w:type="pct"/>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1250"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马师校</w:t>
            </w:r>
          </w:p>
        </w:tc>
      </w:tr>
      <w:tr>
        <w:trPr>
          <w:trHeight w:val="284"/>
        </w:trPr>
        <w:tc>
          <w:tcPr>
            <w:tcW w:w="255"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712"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238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1642" w:type="pct"/>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70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8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教师节慰问金</w:t>
            </w:r>
          </w:p>
        </w:tc>
        <w:tc>
          <w:tcPr>
            <w:tcW w:w="1642" w:type="pct"/>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对照年度目标，说明相关任务目标的完成情况（100字以内）</w:t>
            </w:r>
          </w:p>
        </w:tc>
      </w:tr>
      <w:tr>
        <w:trPr>
          <w:trHeight w:val="68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4031" w:type="pct"/>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先依据财政预算确定慰问金标准，统计州属学校全体教师信息并审核，无误后公示名单。在教师节前，通过银行转账将慰问金精准发放到每位教师账户，全程留痕存档。</w:t>
            </w:r>
          </w:p>
        </w:tc>
      </w:tr>
      <w:tr>
        <w:trPr>
          <w:trHeight w:val="359"/>
        </w:trPr>
        <w:tc>
          <w:tcPr>
            <w:tcW w:w="255"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4.08</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4.08</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879"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4.08</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4.08</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255"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产出指标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数量指标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任务完成率</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95</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质量指标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项目覆盖率</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95</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时效指标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及时完成率</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95</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效益指标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社会效益指标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促进教育发展</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定性</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有效促进</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有效促进</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满意度指标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服务对象满意度指标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教师满意度</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95</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成本指标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经济成本指标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项目支出金额</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40800</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元</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40800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3749" w:type="pct"/>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SimSun" w:eastAsia="SimSun" w:cs="Arial"/>
                <w:color w:val="000000"/>
                <w:sz w:val="18"/>
              </w:rPr>
            </w:pPr>
            <w:r>
              <w:rPr>
                <w:rFonts w:ascii="SimSun" w:eastAsia="SimSun" w:cs="Arial"/>
                <w:color w:val="000000"/>
                <w:sz w:val="18"/>
              </w:rPr>
              <w:t>100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599"/>
        </w:trPr>
        <w:tc>
          <w:tcPr>
            <w:tcW w:w="2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4744"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该项目资金拨付及时、发放规范，有效传递了对州属学校教师的关怀，提升了教师职业幸福感。整体实施成效良好，仅需优化名单统计效率，进一步确保慰问金精准落实到每位符合条件的教师。</w:t>
            </w:r>
          </w:p>
        </w:tc>
      </w:tr>
      <w:tr>
        <w:trPr>
          <w:trHeight w:val="569"/>
        </w:trPr>
        <w:tc>
          <w:tcPr>
            <w:tcW w:w="2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4744"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trPr>
        <w:tc>
          <w:tcPr>
            <w:tcW w:w="2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4744"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284"/>
        </w:trPr>
        <w:tc>
          <w:tcPr>
            <w:tcW w:w="256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项目负责人：贺明帅</w:t>
            </w:r>
          </w:p>
        </w:tc>
        <w:tc>
          <w:tcPr>
            <w:tcW w:w="2430" w:type="pct"/>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财务负责人：陈波</w:t>
            </w:r>
          </w:p>
        </w:tc>
      </w:tr>
    </w:tbl>
    <w:p>
      <w:r>
        <w:rPr>
          <w:rFonts w:ascii="SimSun" w:eastAsia="SimSun"/>
          <w:color w:val="000000"/>
          <w:sz w:val="18"/>
        </w:rPr>
        <w:br w:type="page"/>
      </w:r>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430"/>
        <w:gridCol w:w="1199"/>
        <w:gridCol w:w="1039"/>
        <w:gridCol w:w="1317"/>
        <w:gridCol w:w="338"/>
        <w:gridCol w:w="988"/>
        <w:gridCol w:w="338"/>
        <w:gridCol w:w="659"/>
        <w:gridCol w:w="329"/>
        <w:gridCol w:w="294"/>
        <w:gridCol w:w="1480"/>
      </w:tblGrid>
      <w:tr>
        <w:trPr>
          <w:trHeight w:val="284"/>
        </w:trPr>
        <w:tc>
          <w:tcPr>
            <w:tcW w:w="255" w:type="pct"/>
            <w:tcBorders>
              <w:top w:val="nil"/>
              <w:left w:val="nil"/>
              <w:bottom w:val="nil"/>
              <w:right w:val="nil"/>
              <w:tl2br w:val="nil"/>
              <w:tr2bl w:val="nil"/>
            </w:tcBorders>
            <w:noWrap/>
            <w:vAlign w:val="center"/>
          </w:tcPr>
          <w:p>
            <w:pPr>
              <w:rPr>
                <w:rFonts w:ascii="SimSun" w:eastAsia="SimSun"/>
                <w:color w:val="000000"/>
                <w:sz w:val="18"/>
              </w:rPr>
            </w:pPr>
          </w:p>
        </w:tc>
        <w:tc>
          <w:tcPr>
            <w:tcW w:w="712" w:type="pct"/>
            <w:tcBorders>
              <w:top w:val="nil"/>
              <w:left w:val="nil"/>
              <w:bottom w:val="nil"/>
              <w:right w:val="nil"/>
              <w:tl2br w:val="nil"/>
              <w:tr2bl w:val="nil"/>
            </w:tcBorders>
            <w:noWrap/>
            <w:vAlign w:val="center"/>
          </w:tcPr>
          <w:p>
            <w:pPr>
              <w:rPr>
                <w:rFonts w:ascii="SimSun" w:eastAsia="SimSun"/>
                <w:color w:val="000000"/>
                <w:sz w:val="18"/>
              </w:rPr>
            </w:pPr>
          </w:p>
        </w:tc>
        <w:tc>
          <w:tcPr>
            <w:tcW w:w="617" w:type="pct"/>
            <w:tcBorders>
              <w:top w:val="nil"/>
              <w:left w:val="nil"/>
              <w:bottom w:val="nil"/>
              <w:right w:val="nil"/>
              <w:tl2br w:val="nil"/>
              <w:tr2bl w:val="nil"/>
            </w:tcBorders>
            <w:noWrap/>
            <w:vAlign w:val="center"/>
          </w:tcPr>
          <w:p>
            <w:pPr>
              <w:rPr>
                <w:rFonts w:ascii="SimSun" w:eastAsia="SimSun"/>
                <w:color w:val="000000"/>
                <w:sz w:val="18"/>
              </w:rPr>
            </w:pPr>
          </w:p>
        </w:tc>
        <w:tc>
          <w:tcPr>
            <w:tcW w:w="783" w:type="pct"/>
            <w:tcBorders>
              <w:top w:val="nil"/>
              <w:left w:val="nil"/>
              <w:bottom w:val="nil"/>
              <w:right w:val="nil"/>
              <w:tl2br w:val="nil"/>
              <w:tr2bl w:val="nil"/>
            </w:tcBorders>
            <w:noWrap/>
            <w:vAlign w:val="center"/>
          </w:tcPr>
          <w:p>
            <w:pPr>
              <w:rPr>
                <w:rFonts w:ascii="SimSun" w:eastAsia="SimSun"/>
                <w:color w:val="000000"/>
                <w:sz w:val="18"/>
              </w:rPr>
            </w:pPr>
          </w:p>
        </w:tc>
        <w:tc>
          <w:tcPr>
            <w:tcW w:w="200" w:type="pct"/>
            <w:tcBorders>
              <w:top w:val="nil"/>
              <w:left w:val="nil"/>
              <w:bottom w:val="nil"/>
              <w:right w:val="nil"/>
              <w:tl2br w:val="nil"/>
              <w:tr2bl w:val="nil"/>
            </w:tcBorders>
            <w:noWrap/>
            <w:vAlign w:val="center"/>
          </w:tcPr>
          <w:p>
            <w:pPr>
              <w:rPr>
                <w:rFonts w:ascii="SimSun" w:eastAsia="SimSun"/>
                <w:color w:val="000000"/>
                <w:sz w:val="18"/>
              </w:rPr>
            </w:pPr>
          </w:p>
        </w:tc>
        <w:tc>
          <w:tcPr>
            <w:tcW w:w="587" w:type="pct"/>
            <w:tcBorders>
              <w:top w:val="nil"/>
              <w:left w:val="nil"/>
              <w:bottom w:val="nil"/>
              <w:right w:val="nil"/>
              <w:tl2br w:val="nil"/>
              <w:tr2bl w:val="nil"/>
            </w:tcBorders>
            <w:noWrap/>
            <w:vAlign w:val="center"/>
          </w:tcPr>
          <w:p>
            <w:pPr>
              <w:rPr>
                <w:rFonts w:ascii="SimSun" w:eastAsia="SimSun"/>
                <w:color w:val="000000"/>
                <w:sz w:val="18"/>
              </w:rPr>
            </w:pPr>
          </w:p>
        </w:tc>
        <w:tc>
          <w:tcPr>
            <w:tcW w:w="200" w:type="pct"/>
            <w:tcBorders>
              <w:top w:val="nil"/>
              <w:left w:val="nil"/>
              <w:bottom w:val="nil"/>
              <w:right w:val="nil"/>
              <w:tl2br w:val="nil"/>
              <w:tr2bl w:val="nil"/>
            </w:tcBorders>
            <w:noWrap/>
            <w:vAlign w:val="center"/>
          </w:tcPr>
          <w:p>
            <w:pPr>
              <w:rPr>
                <w:rFonts w:ascii="SimSun" w:eastAsia="SimSun"/>
                <w:color w:val="000000"/>
                <w:sz w:val="18"/>
              </w:rPr>
            </w:pPr>
          </w:p>
        </w:tc>
        <w:tc>
          <w:tcPr>
            <w:tcW w:w="391" w:type="pct"/>
            <w:tcBorders>
              <w:top w:val="nil"/>
              <w:left w:val="nil"/>
              <w:bottom w:val="nil"/>
              <w:right w:val="nil"/>
              <w:tl2br w:val="nil"/>
              <w:tr2bl w:val="nil"/>
            </w:tcBorders>
            <w:noWrap/>
            <w:vAlign w:val="center"/>
          </w:tcPr>
          <w:p>
            <w:pPr>
              <w:rPr>
                <w:rFonts w:ascii="SimSun" w:eastAsia="SimSun"/>
                <w:color w:val="000000"/>
                <w:sz w:val="18"/>
              </w:rPr>
            </w:pPr>
          </w:p>
        </w:tc>
        <w:tc>
          <w:tcPr>
            <w:tcW w:w="195" w:type="pct"/>
            <w:tcBorders>
              <w:top w:val="nil"/>
              <w:left w:val="nil"/>
              <w:bottom w:val="nil"/>
              <w:right w:val="nil"/>
              <w:tl2br w:val="nil"/>
              <w:tr2bl w:val="nil"/>
            </w:tcBorders>
            <w:noWrap/>
            <w:vAlign w:val="center"/>
          </w:tcPr>
          <w:p>
            <w:pPr>
              <w:rPr>
                <w:rFonts w:ascii="SimSun" w:eastAsia="SimSun"/>
                <w:color w:val="000000"/>
                <w:sz w:val="18"/>
              </w:rPr>
            </w:pPr>
          </w:p>
        </w:tc>
        <w:tc>
          <w:tcPr>
            <w:tcW w:w="175" w:type="pct"/>
            <w:tcBorders>
              <w:top w:val="nil"/>
              <w:left w:val="nil"/>
              <w:bottom w:val="nil"/>
              <w:right w:val="nil"/>
              <w:tl2br w:val="nil"/>
              <w:tr2bl w:val="nil"/>
            </w:tcBorders>
            <w:noWrap/>
            <w:vAlign w:val="center"/>
          </w:tcPr>
          <w:p>
            <w:pPr>
              <w:rPr>
                <w:rFonts w:ascii="SimSun" w:eastAsia="SimSun"/>
                <w:color w:val="000000"/>
                <w:sz w:val="18"/>
              </w:rPr>
            </w:pPr>
          </w:p>
        </w:tc>
        <w:tc>
          <w:tcPr>
            <w:tcW w:w="879" w:type="pct"/>
            <w:tcBorders>
              <w:top w:val="nil"/>
              <w:left w:val="nil"/>
              <w:bottom w:val="nil"/>
              <w:right w:val="nil"/>
              <w:tl2br w:val="nil"/>
              <w:tr2bl w:val="nil"/>
            </w:tcBorders>
            <w:noWrap/>
            <w:vAlign w:val="center"/>
          </w:tcPr>
          <w:p>
            <w:pPr>
              <w:rPr>
                <w:rFonts w:ascii="SimSun" w:eastAsia="SimSun"/>
                <w:color w:val="000000"/>
                <w:sz w:val="18"/>
              </w:rPr>
            </w:pPr>
          </w:p>
        </w:tc>
      </w:tr>
      <w:tr>
        <w:trPr>
          <w:trHeight w:val="899"/>
        </w:trPr>
        <w:tc>
          <w:tcPr>
            <w:tcW w:w="5000" w:type="pct"/>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部门预算项目支出绩效自评表（2024年度）</w:t>
            </w:r>
          </w:p>
        </w:tc>
      </w:tr>
      <w:tr>
        <w:trPr>
          <w:trHeight w:val="284"/>
        </w:trPr>
        <w:tc>
          <w:tcPr>
            <w:tcW w:w="968"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4031" w:type="pct"/>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51320024T000011797128-2023年全州教育质量提升奖励部分资金</w:t>
            </w:r>
          </w:p>
        </w:tc>
      </w:tr>
      <w:tr>
        <w:trPr>
          <w:trHeight w:val="509"/>
        </w:trPr>
        <w:tc>
          <w:tcPr>
            <w:tcW w:w="968"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238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州教育局部门</w:t>
            </w:r>
          </w:p>
        </w:tc>
        <w:tc>
          <w:tcPr>
            <w:tcW w:w="391" w:type="pct"/>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1250"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马师校</w:t>
            </w:r>
          </w:p>
        </w:tc>
      </w:tr>
      <w:tr>
        <w:trPr>
          <w:trHeight w:val="284"/>
        </w:trPr>
        <w:tc>
          <w:tcPr>
            <w:tcW w:w="255"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712"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238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1642" w:type="pct"/>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70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8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2023年全州教育质量提升奖励部分资金</w:t>
            </w:r>
          </w:p>
        </w:tc>
        <w:tc>
          <w:tcPr>
            <w:tcW w:w="1642" w:type="pct"/>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对照年度目标，说明相关任务目标的完成情况（100字以内）</w:t>
            </w:r>
          </w:p>
        </w:tc>
      </w:tr>
      <w:tr>
        <w:trPr>
          <w:trHeight w:val="68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4031" w:type="pct"/>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先依据教育发展规划与目标，确定奖励标准和范围。组织学校申报，经初审、复核确定获奖名单。依规核算并发放奖励资金，全程接受监督，留存档案。</w:t>
            </w:r>
          </w:p>
        </w:tc>
      </w:tr>
      <w:tr>
        <w:trPr>
          <w:trHeight w:val="359"/>
        </w:trPr>
        <w:tc>
          <w:tcPr>
            <w:tcW w:w="255"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104.85</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104.85</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879"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104.85</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104.85</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255"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产出指标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数量指标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任务完成率</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95</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质量指标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项目覆盖率</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95</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时效指标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及时完成率</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95</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效益指标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社会效益指标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促进教育发展</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定性</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有效促进</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有效促进</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满意度指标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服务对象满意度指标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师生满意度</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成本指标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经济成本指标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项目支出金额</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251100</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元</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251100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3749" w:type="pct"/>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SimSun" w:eastAsia="SimSun" w:cs="Arial"/>
                <w:color w:val="000000"/>
                <w:sz w:val="18"/>
              </w:rPr>
            </w:pPr>
            <w:r>
              <w:rPr>
                <w:rFonts w:ascii="SimSun" w:eastAsia="SimSun" w:cs="Arial"/>
                <w:color w:val="000000"/>
                <w:sz w:val="18"/>
              </w:rPr>
              <w:t>100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599"/>
        </w:trPr>
        <w:tc>
          <w:tcPr>
            <w:tcW w:w="2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4744"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该项目评选公正、资金拨付及时，有效激励了学校提升教育质量，推动全州教育发展。但部分奖励标准可更细化，整体实施成效良好，需优化评审机制，进一步提升资金使用的精准性与激励效能。</w:t>
            </w:r>
          </w:p>
        </w:tc>
      </w:tr>
      <w:tr>
        <w:trPr>
          <w:trHeight w:val="569"/>
        </w:trPr>
        <w:tc>
          <w:tcPr>
            <w:tcW w:w="2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4744"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trPr>
        <w:tc>
          <w:tcPr>
            <w:tcW w:w="2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4744"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284"/>
        </w:trPr>
        <w:tc>
          <w:tcPr>
            <w:tcW w:w="256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项目负责人：贺明帅</w:t>
            </w:r>
          </w:p>
        </w:tc>
        <w:tc>
          <w:tcPr>
            <w:tcW w:w="2430" w:type="pct"/>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财务负责人：王鑫宇</w:t>
            </w:r>
          </w:p>
        </w:tc>
      </w:tr>
    </w:tbl>
    <w:p>
      <w:r>
        <w:rPr>
          <w:rFonts w:ascii="SimSun" w:eastAsia="SimSun"/>
          <w:color w:val="000000"/>
          <w:sz w:val="18"/>
        </w:rPr>
        <w:br w:type="page"/>
      </w:r>
    </w:p>
    <w:tbl>
      <w:tblPr>
        <w:jc w:val="left"/>
        <w:tblW w:w="5514" w:type="pct"/>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430"/>
        <w:gridCol w:w="1199"/>
        <w:gridCol w:w="1038"/>
        <w:gridCol w:w="1317"/>
        <w:gridCol w:w="338"/>
        <w:gridCol w:w="988"/>
        <w:gridCol w:w="338"/>
        <w:gridCol w:w="659"/>
        <w:gridCol w:w="434"/>
        <w:gridCol w:w="410"/>
        <w:gridCol w:w="2127"/>
      </w:tblGrid>
      <w:tr>
        <w:trPr>
          <w:trHeight w:val="284"/>
        </w:trPr>
        <w:tc>
          <w:tcPr>
            <w:tcW w:w="231" w:type="pct"/>
            <w:tcBorders>
              <w:top w:val="nil"/>
              <w:left w:val="nil"/>
              <w:bottom w:val="nil"/>
              <w:right w:val="nil"/>
              <w:tl2br w:val="nil"/>
              <w:tr2bl w:val="nil"/>
            </w:tcBorders>
            <w:noWrap/>
            <w:vAlign w:val="center"/>
          </w:tcPr>
          <w:p>
            <w:pPr>
              <w:rPr>
                <w:rFonts w:ascii="SimSun" w:eastAsia="SimSun"/>
                <w:color w:val="000000"/>
                <w:sz w:val="18"/>
              </w:rPr>
            </w:pPr>
          </w:p>
        </w:tc>
        <w:tc>
          <w:tcPr>
            <w:tcW w:w="646" w:type="pct"/>
            <w:tcBorders>
              <w:top w:val="nil"/>
              <w:left w:val="nil"/>
              <w:bottom w:val="nil"/>
              <w:right w:val="nil"/>
              <w:tl2br w:val="nil"/>
              <w:tr2bl w:val="nil"/>
            </w:tcBorders>
            <w:noWrap/>
            <w:vAlign w:val="center"/>
          </w:tcPr>
          <w:p>
            <w:pPr>
              <w:rPr>
                <w:rFonts w:ascii="SimSun" w:eastAsia="SimSun"/>
                <w:color w:val="000000"/>
                <w:sz w:val="18"/>
              </w:rPr>
            </w:pPr>
          </w:p>
        </w:tc>
        <w:tc>
          <w:tcPr>
            <w:tcW w:w="559" w:type="pct"/>
            <w:tcBorders>
              <w:top w:val="nil"/>
              <w:left w:val="nil"/>
              <w:bottom w:val="nil"/>
              <w:right w:val="nil"/>
              <w:tl2br w:val="nil"/>
              <w:tr2bl w:val="nil"/>
            </w:tcBorders>
            <w:noWrap/>
            <w:vAlign w:val="center"/>
          </w:tcPr>
          <w:p>
            <w:pPr>
              <w:rPr>
                <w:rFonts w:ascii="SimSun" w:eastAsia="SimSun"/>
                <w:color w:val="000000"/>
                <w:sz w:val="18"/>
              </w:rPr>
            </w:pPr>
          </w:p>
        </w:tc>
        <w:tc>
          <w:tcPr>
            <w:tcW w:w="709" w:type="pct"/>
            <w:tcBorders>
              <w:top w:val="nil"/>
              <w:left w:val="nil"/>
              <w:bottom w:val="nil"/>
              <w:right w:val="nil"/>
              <w:tl2br w:val="nil"/>
              <w:tr2bl w:val="nil"/>
            </w:tcBorders>
            <w:noWrap/>
            <w:vAlign w:val="center"/>
          </w:tcPr>
          <w:p>
            <w:pPr>
              <w:rPr>
                <w:rFonts w:ascii="SimSun" w:eastAsia="SimSun"/>
                <w:color w:val="000000"/>
                <w:sz w:val="18"/>
              </w:rPr>
            </w:pPr>
          </w:p>
        </w:tc>
        <w:tc>
          <w:tcPr>
            <w:tcW w:w="182" w:type="pct"/>
            <w:tcBorders>
              <w:top w:val="nil"/>
              <w:left w:val="nil"/>
              <w:bottom w:val="nil"/>
              <w:right w:val="nil"/>
              <w:tl2br w:val="nil"/>
              <w:tr2bl w:val="nil"/>
            </w:tcBorders>
            <w:noWrap/>
            <w:vAlign w:val="center"/>
          </w:tcPr>
          <w:p>
            <w:pPr>
              <w:rPr>
                <w:rFonts w:ascii="SimSun" w:eastAsia="SimSun"/>
                <w:color w:val="000000"/>
                <w:sz w:val="18"/>
              </w:rPr>
            </w:pPr>
          </w:p>
        </w:tc>
        <w:tc>
          <w:tcPr>
            <w:tcW w:w="532" w:type="pct"/>
            <w:tcBorders>
              <w:top w:val="nil"/>
              <w:left w:val="nil"/>
              <w:bottom w:val="nil"/>
              <w:right w:val="nil"/>
              <w:tl2br w:val="nil"/>
              <w:tr2bl w:val="nil"/>
            </w:tcBorders>
            <w:noWrap/>
            <w:vAlign w:val="center"/>
          </w:tcPr>
          <w:p>
            <w:pPr>
              <w:rPr>
                <w:rFonts w:ascii="SimSun" w:eastAsia="SimSun"/>
                <w:color w:val="000000"/>
                <w:sz w:val="18"/>
              </w:rPr>
            </w:pPr>
          </w:p>
        </w:tc>
        <w:tc>
          <w:tcPr>
            <w:tcW w:w="181" w:type="pct"/>
            <w:tcBorders>
              <w:top w:val="nil"/>
              <w:left w:val="nil"/>
              <w:bottom w:val="nil"/>
              <w:right w:val="nil"/>
              <w:tl2br w:val="nil"/>
              <w:tr2bl w:val="nil"/>
            </w:tcBorders>
            <w:noWrap/>
            <w:vAlign w:val="center"/>
          </w:tcPr>
          <w:p>
            <w:pPr>
              <w:rPr>
                <w:rFonts w:ascii="SimSun" w:eastAsia="SimSun"/>
                <w:color w:val="000000"/>
                <w:sz w:val="18"/>
              </w:rPr>
            </w:pPr>
          </w:p>
        </w:tc>
        <w:tc>
          <w:tcPr>
            <w:tcW w:w="355" w:type="pct"/>
            <w:tcBorders>
              <w:top w:val="nil"/>
              <w:left w:val="nil"/>
              <w:bottom w:val="nil"/>
              <w:right w:val="nil"/>
              <w:tl2br w:val="nil"/>
              <w:tr2bl w:val="nil"/>
            </w:tcBorders>
            <w:noWrap/>
            <w:vAlign w:val="center"/>
          </w:tcPr>
          <w:p>
            <w:pPr>
              <w:rPr>
                <w:rFonts w:ascii="SimSun" w:eastAsia="SimSun"/>
                <w:color w:val="000000"/>
                <w:sz w:val="18"/>
              </w:rPr>
            </w:pPr>
          </w:p>
        </w:tc>
        <w:tc>
          <w:tcPr>
            <w:tcW w:w="233" w:type="pct"/>
            <w:tcBorders>
              <w:top w:val="nil"/>
              <w:left w:val="nil"/>
              <w:bottom w:val="nil"/>
              <w:right w:val="nil"/>
              <w:tl2br w:val="nil"/>
              <w:tr2bl w:val="nil"/>
            </w:tcBorders>
            <w:noWrap/>
            <w:vAlign w:val="center"/>
          </w:tcPr>
          <w:p>
            <w:pPr>
              <w:rPr>
                <w:rFonts w:ascii="SimSun" w:eastAsia="SimSun"/>
                <w:color w:val="000000"/>
                <w:sz w:val="18"/>
              </w:rPr>
            </w:pPr>
          </w:p>
        </w:tc>
        <w:tc>
          <w:tcPr>
            <w:tcW w:w="220" w:type="pct"/>
            <w:tcBorders>
              <w:top w:val="nil"/>
              <w:left w:val="nil"/>
              <w:bottom w:val="nil"/>
              <w:right w:val="nil"/>
              <w:tl2br w:val="nil"/>
              <w:tr2bl w:val="nil"/>
            </w:tcBorders>
            <w:noWrap/>
            <w:vAlign w:val="center"/>
          </w:tcPr>
          <w:p>
            <w:pPr>
              <w:rPr>
                <w:rFonts w:ascii="SimSun" w:eastAsia="SimSun"/>
                <w:color w:val="000000"/>
                <w:sz w:val="18"/>
              </w:rPr>
            </w:pPr>
          </w:p>
        </w:tc>
        <w:tc>
          <w:tcPr>
            <w:tcW w:w="1146" w:type="pct"/>
            <w:tcBorders>
              <w:top w:val="nil"/>
              <w:left w:val="nil"/>
              <w:bottom w:val="nil"/>
              <w:right w:val="nil"/>
              <w:tl2br w:val="nil"/>
              <w:tr2bl w:val="nil"/>
            </w:tcBorders>
            <w:noWrap/>
            <w:vAlign w:val="center"/>
          </w:tcPr>
          <w:p>
            <w:pPr>
              <w:rPr>
                <w:rFonts w:ascii="SimSun" w:eastAsia="SimSun"/>
                <w:color w:val="000000"/>
                <w:sz w:val="18"/>
              </w:rPr>
            </w:pPr>
          </w:p>
        </w:tc>
      </w:tr>
      <w:tr>
        <w:trPr>
          <w:trHeight w:val="899"/>
        </w:trPr>
        <w:tc>
          <w:tcPr>
            <w:tcW w:w="5000" w:type="pct"/>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部门预算项目支出绩效自评表（2024年度）</w:t>
            </w:r>
          </w:p>
        </w:tc>
      </w:tr>
      <w:tr>
        <w:trPr>
          <w:trHeight w:val="284"/>
        </w:trPr>
        <w:tc>
          <w:tcPr>
            <w:tcW w:w="877"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4122" w:type="pct"/>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51320025R000012408768-年度考核奖（30%）</w:t>
            </w:r>
          </w:p>
        </w:tc>
      </w:tr>
      <w:tr>
        <w:trPr>
          <w:trHeight w:val="509"/>
        </w:trPr>
        <w:tc>
          <w:tcPr>
            <w:tcW w:w="877"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2166"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州教育局部门</w:t>
            </w:r>
          </w:p>
        </w:tc>
        <w:tc>
          <w:tcPr>
            <w:tcW w:w="355" w:type="pct"/>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1600"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马师校</w:t>
            </w:r>
          </w:p>
        </w:tc>
      </w:tr>
      <w:tr>
        <w:trPr>
          <w:trHeight w:val="284"/>
        </w:trPr>
        <w:tc>
          <w:tcPr>
            <w:tcW w:w="231"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646"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2166"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1956" w:type="pct"/>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70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66"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足额发放</w:t>
            </w:r>
          </w:p>
        </w:tc>
        <w:tc>
          <w:tcPr>
            <w:tcW w:w="1956" w:type="pct"/>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对照年度目标，说明相关任务目标的完成情况（100字以内）</w:t>
            </w:r>
          </w:p>
        </w:tc>
      </w:tr>
      <w:tr>
        <w:trPr>
          <w:trHeight w:val="68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4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4122" w:type="pct"/>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 明确年度考核奖发放范围、标准及考核细则；</w:t>
            </w:r>
          </w:p>
          <w:p>
            <w:pPr>
              <w:rPr>
                <w:rFonts w:ascii="SimSun" w:eastAsia="SimSun" w:cs="Arial"/>
                <w:color w:val="000000"/>
                <w:sz w:val="18"/>
              </w:rPr>
            </w:pPr>
            <w:r>
              <w:rPr>
                <w:rFonts w:ascii="SimSun" w:eastAsia="SimSun" w:cs="Arial"/>
                <w:color w:val="000000"/>
                <w:sz w:val="18"/>
              </w:rPr>
              <w:t>2. 组织各单位开展年度考核，确定考核等次；</w:t>
            </w:r>
          </w:p>
        </w:tc>
      </w:tr>
      <w:tr>
        <w:trPr>
          <w:trHeight w:val="359"/>
        </w:trPr>
        <w:tc>
          <w:tcPr>
            <w:tcW w:w="231"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64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55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70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896"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3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23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22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114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4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55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0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49.46</w:t>
            </w:r>
          </w:p>
        </w:tc>
        <w:tc>
          <w:tcPr>
            <w:tcW w:w="896"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49.46</w:t>
            </w:r>
          </w:p>
        </w:tc>
        <w:tc>
          <w:tcPr>
            <w:tcW w:w="3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23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2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146"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4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55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0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49.46</w:t>
            </w:r>
          </w:p>
        </w:tc>
        <w:tc>
          <w:tcPr>
            <w:tcW w:w="896"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49.46</w:t>
            </w:r>
          </w:p>
        </w:tc>
        <w:tc>
          <w:tcPr>
            <w:tcW w:w="3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23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2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213"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4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55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0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896"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3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2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213"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4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55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0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896"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3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3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2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213"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4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55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0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896"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3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3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2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213"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231"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64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55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70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1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53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18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3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23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22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114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4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55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70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1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53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18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3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3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22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114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3399" w:type="pct"/>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23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22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SimSun" w:eastAsia="SimSun" w:cs="Arial"/>
                <w:color w:val="000000"/>
                <w:sz w:val="18"/>
              </w:rPr>
            </w:pPr>
            <w:r>
              <w:rPr>
                <w:rFonts w:ascii="SimSun" w:eastAsia="SimSun" w:cs="Arial"/>
                <w:color w:val="000000"/>
                <w:sz w:val="18"/>
              </w:rPr>
              <w:t>100</w:t>
            </w:r>
          </w:p>
        </w:tc>
        <w:tc>
          <w:tcPr>
            <w:tcW w:w="1146"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599"/>
        </w:trPr>
        <w:tc>
          <w:tcPr>
            <w:tcW w:w="23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4768"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该项目考核标准贴合高中教学实际，流程规范、评选公正，奖金发放及时，有效激发教师工作热情。整体实施成效良好，仅需优化部分教学岗位考核指标，进一步提升激励的精准性与公平性。</w:t>
            </w:r>
          </w:p>
        </w:tc>
      </w:tr>
      <w:tr>
        <w:trPr>
          <w:trHeight w:val="569"/>
        </w:trPr>
        <w:tc>
          <w:tcPr>
            <w:tcW w:w="23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4768"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trPr>
        <w:tc>
          <w:tcPr>
            <w:tcW w:w="23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4768"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284"/>
        </w:trPr>
        <w:tc>
          <w:tcPr>
            <w:tcW w:w="232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项目负责人：贺明帅</w:t>
            </w:r>
          </w:p>
        </w:tc>
        <w:tc>
          <w:tcPr>
            <w:tcW w:w="2670" w:type="pct"/>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财务负责人：陈波</w:t>
            </w:r>
          </w:p>
        </w:tc>
      </w:tr>
    </w:tbl>
    <w:p>
      <w:r>
        <w:rPr>
          <w:rFonts w:ascii="SimSun" w:eastAsia="SimSun"/>
          <w:color w:val="000000"/>
          <w:sz w:val="18"/>
        </w:rPr>
        <w:br w:type="page"/>
      </w:r>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430"/>
        <w:gridCol w:w="1199"/>
        <w:gridCol w:w="1039"/>
        <w:gridCol w:w="1317"/>
        <w:gridCol w:w="338"/>
        <w:gridCol w:w="988"/>
        <w:gridCol w:w="338"/>
        <w:gridCol w:w="659"/>
        <w:gridCol w:w="329"/>
        <w:gridCol w:w="294"/>
        <w:gridCol w:w="1480"/>
      </w:tblGrid>
      <w:tr>
        <w:trPr>
          <w:trHeight w:val="284"/>
        </w:trPr>
        <w:tc>
          <w:tcPr>
            <w:tcW w:w="255" w:type="pct"/>
            <w:tcBorders>
              <w:top w:val="nil"/>
              <w:left w:val="nil"/>
              <w:bottom w:val="nil"/>
              <w:right w:val="nil"/>
              <w:tl2br w:val="nil"/>
              <w:tr2bl w:val="nil"/>
            </w:tcBorders>
            <w:noWrap/>
            <w:vAlign w:val="center"/>
          </w:tcPr>
          <w:p>
            <w:pPr>
              <w:rPr>
                <w:rFonts w:ascii="SimSun" w:eastAsia="SimSun"/>
                <w:color w:val="000000"/>
                <w:sz w:val="18"/>
              </w:rPr>
            </w:pPr>
          </w:p>
        </w:tc>
        <w:tc>
          <w:tcPr>
            <w:tcW w:w="712" w:type="pct"/>
            <w:tcBorders>
              <w:top w:val="nil"/>
              <w:left w:val="nil"/>
              <w:bottom w:val="nil"/>
              <w:right w:val="nil"/>
              <w:tl2br w:val="nil"/>
              <w:tr2bl w:val="nil"/>
            </w:tcBorders>
            <w:noWrap/>
            <w:vAlign w:val="center"/>
          </w:tcPr>
          <w:p>
            <w:pPr>
              <w:rPr>
                <w:rFonts w:ascii="SimSun" w:eastAsia="SimSun"/>
                <w:color w:val="000000"/>
                <w:sz w:val="18"/>
              </w:rPr>
            </w:pPr>
          </w:p>
        </w:tc>
        <w:tc>
          <w:tcPr>
            <w:tcW w:w="617" w:type="pct"/>
            <w:tcBorders>
              <w:top w:val="nil"/>
              <w:left w:val="nil"/>
              <w:bottom w:val="nil"/>
              <w:right w:val="nil"/>
              <w:tl2br w:val="nil"/>
              <w:tr2bl w:val="nil"/>
            </w:tcBorders>
            <w:noWrap/>
            <w:vAlign w:val="center"/>
          </w:tcPr>
          <w:p>
            <w:pPr>
              <w:rPr>
                <w:rFonts w:ascii="SimSun" w:eastAsia="SimSun"/>
                <w:color w:val="000000"/>
                <w:sz w:val="18"/>
              </w:rPr>
            </w:pPr>
          </w:p>
        </w:tc>
        <w:tc>
          <w:tcPr>
            <w:tcW w:w="783" w:type="pct"/>
            <w:tcBorders>
              <w:top w:val="nil"/>
              <w:left w:val="nil"/>
              <w:bottom w:val="nil"/>
              <w:right w:val="nil"/>
              <w:tl2br w:val="nil"/>
              <w:tr2bl w:val="nil"/>
            </w:tcBorders>
            <w:noWrap/>
            <w:vAlign w:val="center"/>
          </w:tcPr>
          <w:p>
            <w:pPr>
              <w:rPr>
                <w:rFonts w:ascii="SimSun" w:eastAsia="SimSun"/>
                <w:color w:val="000000"/>
                <w:sz w:val="18"/>
              </w:rPr>
            </w:pPr>
          </w:p>
        </w:tc>
        <w:tc>
          <w:tcPr>
            <w:tcW w:w="200" w:type="pct"/>
            <w:tcBorders>
              <w:top w:val="nil"/>
              <w:left w:val="nil"/>
              <w:bottom w:val="nil"/>
              <w:right w:val="nil"/>
              <w:tl2br w:val="nil"/>
              <w:tr2bl w:val="nil"/>
            </w:tcBorders>
            <w:noWrap/>
            <w:vAlign w:val="center"/>
          </w:tcPr>
          <w:p>
            <w:pPr>
              <w:rPr>
                <w:rFonts w:ascii="SimSun" w:eastAsia="SimSun"/>
                <w:color w:val="000000"/>
                <w:sz w:val="18"/>
              </w:rPr>
            </w:pPr>
          </w:p>
        </w:tc>
        <w:tc>
          <w:tcPr>
            <w:tcW w:w="587" w:type="pct"/>
            <w:tcBorders>
              <w:top w:val="nil"/>
              <w:left w:val="nil"/>
              <w:bottom w:val="nil"/>
              <w:right w:val="nil"/>
              <w:tl2br w:val="nil"/>
              <w:tr2bl w:val="nil"/>
            </w:tcBorders>
            <w:noWrap/>
            <w:vAlign w:val="center"/>
          </w:tcPr>
          <w:p>
            <w:pPr>
              <w:rPr>
                <w:rFonts w:ascii="SimSun" w:eastAsia="SimSun"/>
                <w:color w:val="000000"/>
                <w:sz w:val="18"/>
              </w:rPr>
            </w:pPr>
          </w:p>
        </w:tc>
        <w:tc>
          <w:tcPr>
            <w:tcW w:w="200" w:type="pct"/>
            <w:tcBorders>
              <w:top w:val="nil"/>
              <w:left w:val="nil"/>
              <w:bottom w:val="nil"/>
              <w:right w:val="nil"/>
              <w:tl2br w:val="nil"/>
              <w:tr2bl w:val="nil"/>
            </w:tcBorders>
            <w:noWrap/>
            <w:vAlign w:val="center"/>
          </w:tcPr>
          <w:p>
            <w:pPr>
              <w:rPr>
                <w:rFonts w:ascii="SimSun" w:eastAsia="SimSun"/>
                <w:color w:val="000000"/>
                <w:sz w:val="18"/>
              </w:rPr>
            </w:pPr>
          </w:p>
        </w:tc>
        <w:tc>
          <w:tcPr>
            <w:tcW w:w="391" w:type="pct"/>
            <w:tcBorders>
              <w:top w:val="nil"/>
              <w:left w:val="nil"/>
              <w:bottom w:val="nil"/>
              <w:right w:val="nil"/>
              <w:tl2br w:val="nil"/>
              <w:tr2bl w:val="nil"/>
            </w:tcBorders>
            <w:noWrap/>
            <w:vAlign w:val="center"/>
          </w:tcPr>
          <w:p>
            <w:pPr>
              <w:rPr>
                <w:rFonts w:ascii="SimSun" w:eastAsia="SimSun"/>
                <w:color w:val="000000"/>
                <w:sz w:val="18"/>
              </w:rPr>
            </w:pPr>
          </w:p>
        </w:tc>
        <w:tc>
          <w:tcPr>
            <w:tcW w:w="195" w:type="pct"/>
            <w:tcBorders>
              <w:top w:val="nil"/>
              <w:left w:val="nil"/>
              <w:bottom w:val="nil"/>
              <w:right w:val="nil"/>
              <w:tl2br w:val="nil"/>
              <w:tr2bl w:val="nil"/>
            </w:tcBorders>
            <w:noWrap/>
            <w:vAlign w:val="center"/>
          </w:tcPr>
          <w:p>
            <w:pPr>
              <w:rPr>
                <w:rFonts w:ascii="SimSun" w:eastAsia="SimSun"/>
                <w:color w:val="000000"/>
                <w:sz w:val="18"/>
              </w:rPr>
            </w:pPr>
          </w:p>
        </w:tc>
        <w:tc>
          <w:tcPr>
            <w:tcW w:w="175" w:type="pct"/>
            <w:tcBorders>
              <w:top w:val="nil"/>
              <w:left w:val="nil"/>
              <w:bottom w:val="nil"/>
              <w:right w:val="nil"/>
              <w:tl2br w:val="nil"/>
              <w:tr2bl w:val="nil"/>
            </w:tcBorders>
            <w:noWrap/>
            <w:vAlign w:val="center"/>
          </w:tcPr>
          <w:p>
            <w:pPr>
              <w:rPr>
                <w:rFonts w:ascii="SimSun" w:eastAsia="SimSun"/>
                <w:color w:val="000000"/>
                <w:sz w:val="18"/>
              </w:rPr>
            </w:pPr>
          </w:p>
        </w:tc>
        <w:tc>
          <w:tcPr>
            <w:tcW w:w="879" w:type="pct"/>
            <w:tcBorders>
              <w:top w:val="nil"/>
              <w:left w:val="nil"/>
              <w:bottom w:val="nil"/>
              <w:right w:val="nil"/>
              <w:tl2br w:val="nil"/>
              <w:tr2bl w:val="nil"/>
            </w:tcBorders>
            <w:noWrap/>
            <w:vAlign w:val="center"/>
          </w:tcPr>
          <w:p>
            <w:pPr>
              <w:rPr>
                <w:rFonts w:ascii="SimSun" w:eastAsia="SimSun"/>
                <w:color w:val="000000"/>
                <w:sz w:val="18"/>
              </w:rPr>
            </w:pPr>
          </w:p>
        </w:tc>
      </w:tr>
      <w:tr>
        <w:trPr>
          <w:trHeight w:val="899"/>
        </w:trPr>
        <w:tc>
          <w:tcPr>
            <w:tcW w:w="5000" w:type="pct"/>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部门预算项目支出绩效自评表（2024年度）</w:t>
            </w:r>
          </w:p>
        </w:tc>
      </w:tr>
      <w:tr>
        <w:trPr>
          <w:trHeight w:val="284"/>
        </w:trPr>
        <w:tc>
          <w:tcPr>
            <w:tcW w:w="968"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4031" w:type="pct"/>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51320025T000012136478-学生食堂食材配送服务采购项目</w:t>
            </w:r>
          </w:p>
        </w:tc>
      </w:tr>
      <w:tr>
        <w:trPr>
          <w:trHeight w:val="509"/>
        </w:trPr>
        <w:tc>
          <w:tcPr>
            <w:tcW w:w="968"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238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州教育局部门</w:t>
            </w:r>
          </w:p>
        </w:tc>
        <w:tc>
          <w:tcPr>
            <w:tcW w:w="391" w:type="pct"/>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1250"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马师校</w:t>
            </w:r>
          </w:p>
        </w:tc>
      </w:tr>
      <w:tr>
        <w:trPr>
          <w:trHeight w:val="284"/>
        </w:trPr>
        <w:tc>
          <w:tcPr>
            <w:tcW w:w="255"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712"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238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1642" w:type="pct"/>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70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8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通过食材采购，确保采购的食材新鲜、安全、符合国家相关质量标准，提供丰富多样的食材选择，满足学生的营养需求和口味偏好，有利于建立稳定可靠的供应链，保障食材的及时供应和食品安全。</w:t>
            </w:r>
          </w:p>
        </w:tc>
        <w:tc>
          <w:tcPr>
            <w:tcW w:w="1642" w:type="pct"/>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对照年度目标，说明相关任务目标的完成情况（100字以内）</w:t>
            </w:r>
          </w:p>
        </w:tc>
      </w:tr>
      <w:tr>
        <w:trPr>
          <w:trHeight w:val="68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4031" w:type="pct"/>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 统计学生食堂食材需求，制定采购方案；</w:t>
            </w:r>
          </w:p>
          <w:p>
            <w:pPr>
              <w:rPr>
                <w:rFonts w:ascii="SimSun" w:eastAsia="SimSun" w:cs="Arial"/>
                <w:color w:val="000000"/>
                <w:sz w:val="18"/>
              </w:rPr>
            </w:pPr>
            <w:r>
              <w:rPr>
                <w:rFonts w:ascii="SimSun" w:eastAsia="SimSun" w:cs="Arial"/>
                <w:color w:val="000000"/>
                <w:sz w:val="18"/>
              </w:rPr>
              <w:t>2. 收取学生生活费并专户管理，通过招标选定配送商；</w:t>
            </w:r>
          </w:p>
          <w:p>
            <w:pPr>
              <w:rPr>
                <w:rFonts w:ascii="SimSun" w:eastAsia="SimSun" w:cs="Arial"/>
                <w:color w:val="000000"/>
                <w:sz w:val="18"/>
              </w:rPr>
            </w:pPr>
            <w:r>
              <w:rPr>
                <w:rFonts w:ascii="SimSun" w:eastAsia="SimSun" w:cs="Arial"/>
                <w:color w:val="000000"/>
                <w:sz w:val="18"/>
              </w:rPr>
              <w:t>3. 按协议验收食材，用学生生活费支付费用，全程监督质量与资金使用。</w:t>
            </w:r>
          </w:p>
        </w:tc>
      </w:tr>
      <w:tr>
        <w:trPr>
          <w:trHeight w:val="359"/>
        </w:trPr>
        <w:tc>
          <w:tcPr>
            <w:tcW w:w="255"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95.35</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95.35</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879"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95.35</w:t>
            </w: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95.35</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988"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878"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255"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产出指标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数量指标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项目完成率</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95</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17"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质量指标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食品安全合规率</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17"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新鲜度达标率</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95</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时效指标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食材提供及时性</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效益指标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社会效益指标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促进教育发展</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定性</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有效促进</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有效促进</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满意度指标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服务对象满意度指标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学生满意度</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95</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成本指标</w:t>
            </w:r>
          </w:p>
        </w:tc>
        <w:tc>
          <w:tcPr>
            <w:tcW w:w="6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经济成本指标</w:t>
            </w:r>
          </w:p>
        </w:tc>
        <w:tc>
          <w:tcPr>
            <w:tcW w:w="7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每年320万元</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8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320</w:t>
            </w:r>
          </w:p>
        </w:tc>
        <w:tc>
          <w:tcPr>
            <w:tcW w:w="20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320</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3749" w:type="pct"/>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19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SimSun" w:eastAsia="SimSun" w:cs="Arial"/>
                <w:color w:val="000000"/>
                <w:sz w:val="18"/>
              </w:rPr>
            </w:pPr>
            <w:r>
              <w:rPr>
                <w:rFonts w:ascii="SimSun" w:eastAsia="SimSun" w:cs="Arial"/>
                <w:color w:val="000000"/>
                <w:sz w:val="18"/>
              </w:rPr>
              <w:t>100</w:t>
            </w:r>
          </w:p>
        </w:tc>
        <w:tc>
          <w:tcPr>
            <w:tcW w:w="879"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599"/>
        </w:trPr>
        <w:tc>
          <w:tcPr>
            <w:tcW w:w="2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4744"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该项目通过专户管理学生生活费支付食材费，配送流程规范，食材质量达标，保障了食堂运转。</w:t>
            </w:r>
          </w:p>
        </w:tc>
      </w:tr>
      <w:tr>
        <w:trPr>
          <w:trHeight w:val="569"/>
        </w:trPr>
        <w:tc>
          <w:tcPr>
            <w:tcW w:w="2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4744"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trPr>
        <w:tc>
          <w:tcPr>
            <w:tcW w:w="2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4744"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284"/>
        </w:trPr>
        <w:tc>
          <w:tcPr>
            <w:tcW w:w="256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项目负责人：谢然热知</w:t>
            </w:r>
          </w:p>
        </w:tc>
        <w:tc>
          <w:tcPr>
            <w:tcW w:w="2430" w:type="pct"/>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财务负责人：陈波</w:t>
            </w:r>
          </w:p>
        </w:tc>
      </w:tr>
    </w:tbl>
    <w:p>
      <w:r>
        <w:rPr>
          <w:rFonts w:ascii="SimSun" w:eastAsia="SimSun"/>
          <w:color w:val="000000"/>
          <w:sz w:val="18"/>
        </w:rPr>
        <w:br w:type="page"/>
      </w:r>
    </w:p>
    <w:tbl>
      <w:tblPr>
        <w:jc w:val="left"/>
        <w:tblW w:w="5554" w:type="pct"/>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430"/>
        <w:gridCol w:w="1199"/>
        <w:gridCol w:w="1038"/>
        <w:gridCol w:w="1317"/>
        <w:gridCol w:w="338"/>
        <w:gridCol w:w="988"/>
        <w:gridCol w:w="338"/>
        <w:gridCol w:w="659"/>
        <w:gridCol w:w="461"/>
        <w:gridCol w:w="614"/>
        <w:gridCol w:w="1963"/>
      </w:tblGrid>
      <w:tr>
        <w:trPr>
          <w:trHeight w:val="284"/>
        </w:trPr>
        <w:tc>
          <w:tcPr>
            <w:tcW w:w="229" w:type="pct"/>
            <w:tcBorders>
              <w:top w:val="nil"/>
              <w:left w:val="nil"/>
              <w:bottom w:val="nil"/>
              <w:right w:val="nil"/>
              <w:tl2br w:val="nil"/>
              <w:tr2bl w:val="nil"/>
            </w:tcBorders>
            <w:noWrap/>
            <w:vAlign w:val="center"/>
          </w:tcPr>
          <w:p>
            <w:pPr>
              <w:rPr>
                <w:rFonts w:ascii="SimSun" w:eastAsia="SimSun"/>
                <w:color w:val="000000"/>
                <w:sz w:val="18"/>
              </w:rPr>
            </w:pPr>
          </w:p>
        </w:tc>
        <w:tc>
          <w:tcPr>
            <w:tcW w:w="641" w:type="pct"/>
            <w:tcBorders>
              <w:top w:val="nil"/>
              <w:left w:val="nil"/>
              <w:bottom w:val="nil"/>
              <w:right w:val="nil"/>
              <w:tl2br w:val="nil"/>
              <w:tr2bl w:val="nil"/>
            </w:tcBorders>
            <w:noWrap/>
            <w:vAlign w:val="center"/>
          </w:tcPr>
          <w:p>
            <w:pPr>
              <w:rPr>
                <w:rFonts w:ascii="SimSun" w:eastAsia="SimSun"/>
                <w:color w:val="000000"/>
                <w:sz w:val="18"/>
              </w:rPr>
            </w:pPr>
          </w:p>
        </w:tc>
        <w:tc>
          <w:tcPr>
            <w:tcW w:w="555" w:type="pct"/>
            <w:tcBorders>
              <w:top w:val="nil"/>
              <w:left w:val="nil"/>
              <w:bottom w:val="nil"/>
              <w:right w:val="nil"/>
              <w:tl2br w:val="nil"/>
              <w:tr2bl w:val="nil"/>
            </w:tcBorders>
            <w:noWrap/>
            <w:vAlign w:val="center"/>
          </w:tcPr>
          <w:p>
            <w:pPr>
              <w:rPr>
                <w:rFonts w:ascii="SimSun" w:eastAsia="SimSun"/>
                <w:color w:val="000000"/>
                <w:sz w:val="18"/>
              </w:rPr>
            </w:pPr>
          </w:p>
        </w:tc>
        <w:tc>
          <w:tcPr>
            <w:tcW w:w="704" w:type="pct"/>
            <w:tcBorders>
              <w:top w:val="nil"/>
              <w:left w:val="nil"/>
              <w:bottom w:val="nil"/>
              <w:right w:val="nil"/>
              <w:tl2br w:val="nil"/>
              <w:tr2bl w:val="nil"/>
            </w:tcBorders>
            <w:noWrap/>
            <w:vAlign w:val="center"/>
          </w:tcPr>
          <w:p>
            <w:pPr>
              <w:rPr>
                <w:rFonts w:ascii="SimSun" w:eastAsia="SimSun"/>
                <w:color w:val="000000"/>
                <w:sz w:val="18"/>
              </w:rPr>
            </w:pPr>
          </w:p>
        </w:tc>
        <w:tc>
          <w:tcPr>
            <w:tcW w:w="180" w:type="pct"/>
            <w:tcBorders>
              <w:top w:val="nil"/>
              <w:left w:val="nil"/>
              <w:bottom w:val="nil"/>
              <w:right w:val="nil"/>
              <w:tl2br w:val="nil"/>
              <w:tr2bl w:val="nil"/>
            </w:tcBorders>
            <w:noWrap/>
            <w:vAlign w:val="center"/>
          </w:tcPr>
          <w:p>
            <w:pPr>
              <w:rPr>
                <w:rFonts w:ascii="SimSun" w:eastAsia="SimSun"/>
                <w:color w:val="000000"/>
                <w:sz w:val="18"/>
              </w:rPr>
            </w:pPr>
          </w:p>
        </w:tc>
        <w:tc>
          <w:tcPr>
            <w:tcW w:w="528" w:type="pct"/>
            <w:tcBorders>
              <w:top w:val="nil"/>
              <w:left w:val="nil"/>
              <w:bottom w:val="nil"/>
              <w:right w:val="nil"/>
              <w:tl2br w:val="nil"/>
              <w:tr2bl w:val="nil"/>
            </w:tcBorders>
            <w:noWrap/>
            <w:vAlign w:val="center"/>
          </w:tcPr>
          <w:p>
            <w:pPr>
              <w:rPr>
                <w:rFonts w:ascii="SimSun" w:eastAsia="SimSun"/>
                <w:color w:val="000000"/>
                <w:sz w:val="18"/>
              </w:rPr>
            </w:pPr>
          </w:p>
        </w:tc>
        <w:tc>
          <w:tcPr>
            <w:tcW w:w="180" w:type="pct"/>
            <w:tcBorders>
              <w:top w:val="nil"/>
              <w:left w:val="nil"/>
              <w:bottom w:val="nil"/>
              <w:right w:val="nil"/>
              <w:tl2br w:val="nil"/>
              <w:tr2bl w:val="nil"/>
            </w:tcBorders>
            <w:noWrap/>
            <w:vAlign w:val="center"/>
          </w:tcPr>
          <w:p>
            <w:pPr>
              <w:rPr>
                <w:rFonts w:ascii="SimSun" w:eastAsia="SimSun"/>
                <w:color w:val="000000"/>
                <w:sz w:val="18"/>
              </w:rPr>
            </w:pPr>
          </w:p>
        </w:tc>
        <w:tc>
          <w:tcPr>
            <w:tcW w:w="352" w:type="pct"/>
            <w:tcBorders>
              <w:top w:val="nil"/>
              <w:left w:val="nil"/>
              <w:bottom w:val="nil"/>
              <w:right w:val="nil"/>
              <w:tl2br w:val="nil"/>
              <w:tr2bl w:val="nil"/>
            </w:tcBorders>
            <w:noWrap/>
            <w:vAlign w:val="center"/>
          </w:tcPr>
          <w:p>
            <w:pPr>
              <w:rPr>
                <w:rFonts w:ascii="SimSun" w:eastAsia="SimSun"/>
                <w:color w:val="000000"/>
                <w:sz w:val="18"/>
              </w:rPr>
            </w:pPr>
          </w:p>
        </w:tc>
        <w:tc>
          <w:tcPr>
            <w:tcW w:w="246" w:type="pct"/>
            <w:tcBorders>
              <w:top w:val="nil"/>
              <w:left w:val="nil"/>
              <w:bottom w:val="nil"/>
              <w:right w:val="nil"/>
              <w:tl2br w:val="nil"/>
              <w:tr2bl w:val="nil"/>
            </w:tcBorders>
            <w:noWrap/>
            <w:vAlign w:val="center"/>
          </w:tcPr>
          <w:p>
            <w:pPr>
              <w:rPr>
                <w:rFonts w:ascii="SimSun" w:eastAsia="SimSun"/>
                <w:color w:val="000000"/>
                <w:sz w:val="18"/>
              </w:rPr>
            </w:pPr>
          </w:p>
        </w:tc>
        <w:tc>
          <w:tcPr>
            <w:tcW w:w="328" w:type="pct"/>
            <w:tcBorders>
              <w:top w:val="nil"/>
              <w:left w:val="nil"/>
              <w:bottom w:val="nil"/>
              <w:right w:val="nil"/>
              <w:tl2br w:val="nil"/>
              <w:tr2bl w:val="nil"/>
            </w:tcBorders>
            <w:noWrap/>
            <w:vAlign w:val="center"/>
          </w:tcPr>
          <w:p>
            <w:pPr>
              <w:rPr>
                <w:rFonts w:ascii="SimSun" w:eastAsia="SimSun"/>
                <w:color w:val="000000"/>
                <w:sz w:val="18"/>
              </w:rPr>
            </w:pPr>
          </w:p>
        </w:tc>
        <w:tc>
          <w:tcPr>
            <w:tcW w:w="1050" w:type="pct"/>
            <w:tcBorders>
              <w:top w:val="nil"/>
              <w:left w:val="nil"/>
              <w:bottom w:val="nil"/>
              <w:right w:val="nil"/>
              <w:tl2br w:val="nil"/>
              <w:tr2bl w:val="nil"/>
            </w:tcBorders>
            <w:noWrap/>
            <w:vAlign w:val="center"/>
          </w:tcPr>
          <w:p>
            <w:pPr>
              <w:rPr>
                <w:rFonts w:ascii="SimSun" w:eastAsia="SimSun"/>
                <w:color w:val="000000"/>
                <w:sz w:val="18"/>
              </w:rPr>
            </w:pPr>
          </w:p>
        </w:tc>
      </w:tr>
      <w:tr>
        <w:trPr>
          <w:trHeight w:val="899"/>
        </w:trPr>
        <w:tc>
          <w:tcPr>
            <w:tcW w:w="5000" w:type="pct"/>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部门预算项目支出绩效自评表（2024年度）</w:t>
            </w:r>
          </w:p>
        </w:tc>
      </w:tr>
      <w:tr>
        <w:trPr>
          <w:trHeight w:val="284"/>
        </w:trPr>
        <w:tc>
          <w:tcPr>
            <w:tcW w:w="871"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4128" w:type="pct"/>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51320025T000012348060-教育发展大会激励资金</w:t>
            </w:r>
          </w:p>
        </w:tc>
      </w:tr>
      <w:tr>
        <w:trPr>
          <w:trHeight w:val="509"/>
        </w:trPr>
        <w:tc>
          <w:tcPr>
            <w:tcW w:w="871"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2150"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州教育局部门</w:t>
            </w:r>
          </w:p>
        </w:tc>
        <w:tc>
          <w:tcPr>
            <w:tcW w:w="352" w:type="pct"/>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1625"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马师校</w:t>
            </w:r>
          </w:p>
        </w:tc>
      </w:tr>
      <w:tr>
        <w:trPr>
          <w:trHeight w:val="284"/>
        </w:trPr>
        <w:tc>
          <w:tcPr>
            <w:tcW w:w="229"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641"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2150"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1978" w:type="pct"/>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70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50"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奖励杰出贡献教师，优秀教师</w:t>
            </w:r>
          </w:p>
        </w:tc>
        <w:tc>
          <w:tcPr>
            <w:tcW w:w="1978" w:type="pct"/>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对照年度目标，说明相关任务目标的完成情况（100字以内）</w:t>
            </w:r>
          </w:p>
        </w:tc>
      </w:tr>
      <w:tr>
        <w:trPr>
          <w:trHeight w:val="68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4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4128" w:type="pct"/>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 明确教育发展大会激励对象及资金标准；</w:t>
            </w:r>
          </w:p>
          <w:p>
            <w:pPr>
              <w:rPr>
                <w:rFonts w:ascii="SimSun" w:eastAsia="SimSun" w:cs="Arial"/>
                <w:color w:val="000000"/>
                <w:sz w:val="18"/>
              </w:rPr>
            </w:pPr>
            <w:r>
              <w:rPr>
                <w:rFonts w:ascii="SimSun" w:eastAsia="SimSun" w:cs="Arial"/>
                <w:color w:val="000000"/>
                <w:sz w:val="18"/>
              </w:rPr>
              <w:t>2. 组织推荐、审核候选名单，公示无异议后确定激励对象；</w:t>
            </w:r>
          </w:p>
          <w:p>
            <w:pPr>
              <w:rPr>
                <w:rFonts w:ascii="SimSun" w:eastAsia="SimSun" w:cs="Arial"/>
                <w:color w:val="000000"/>
                <w:sz w:val="18"/>
              </w:rPr>
            </w:pPr>
            <w:r>
              <w:rPr>
                <w:rFonts w:ascii="SimSun" w:eastAsia="SimSun" w:cs="Arial"/>
                <w:color w:val="000000"/>
                <w:sz w:val="18"/>
              </w:rPr>
              <w:t>3. 依规核算资金，在大会期间或会后及时拨付发放，做好档案留存。</w:t>
            </w:r>
          </w:p>
        </w:tc>
      </w:tr>
      <w:tr>
        <w:trPr>
          <w:trHeight w:val="359"/>
        </w:trPr>
        <w:tc>
          <w:tcPr>
            <w:tcW w:w="229"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64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5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70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890"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35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24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32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105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4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5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0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1.80</w:t>
            </w:r>
          </w:p>
        </w:tc>
        <w:tc>
          <w:tcPr>
            <w:tcW w:w="890"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1.80</w:t>
            </w:r>
          </w:p>
        </w:tc>
        <w:tc>
          <w:tcPr>
            <w:tcW w:w="35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24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32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050"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4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5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0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1.80</w:t>
            </w:r>
          </w:p>
        </w:tc>
        <w:tc>
          <w:tcPr>
            <w:tcW w:w="890"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1.80</w:t>
            </w:r>
          </w:p>
        </w:tc>
        <w:tc>
          <w:tcPr>
            <w:tcW w:w="35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24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2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291"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4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5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0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890"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35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4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2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291"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4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5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0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890"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35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4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2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291"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4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5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0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890"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35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4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2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291"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229"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64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5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70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18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52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18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35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24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32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105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41"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产出指标</w:t>
            </w:r>
          </w:p>
        </w:tc>
        <w:tc>
          <w:tcPr>
            <w:tcW w:w="5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数量指标</w:t>
            </w:r>
          </w:p>
        </w:tc>
        <w:tc>
          <w:tcPr>
            <w:tcW w:w="70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项目完成率</w:t>
            </w:r>
          </w:p>
        </w:tc>
        <w:tc>
          <w:tcPr>
            <w:tcW w:w="18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18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5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95</w:t>
            </w:r>
          </w:p>
        </w:tc>
        <w:tc>
          <w:tcPr>
            <w:tcW w:w="24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32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105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质量指标</w:t>
            </w:r>
          </w:p>
        </w:tc>
        <w:tc>
          <w:tcPr>
            <w:tcW w:w="70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资金划拨率</w:t>
            </w:r>
          </w:p>
        </w:tc>
        <w:tc>
          <w:tcPr>
            <w:tcW w:w="18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18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5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95</w:t>
            </w:r>
          </w:p>
        </w:tc>
        <w:tc>
          <w:tcPr>
            <w:tcW w:w="24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32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05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时效指标</w:t>
            </w:r>
          </w:p>
        </w:tc>
        <w:tc>
          <w:tcPr>
            <w:tcW w:w="70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及时完成率</w:t>
            </w:r>
          </w:p>
        </w:tc>
        <w:tc>
          <w:tcPr>
            <w:tcW w:w="18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18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5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95</w:t>
            </w:r>
          </w:p>
        </w:tc>
        <w:tc>
          <w:tcPr>
            <w:tcW w:w="24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32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105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4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效益指标</w:t>
            </w:r>
          </w:p>
        </w:tc>
        <w:tc>
          <w:tcPr>
            <w:tcW w:w="5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可持续影响指标</w:t>
            </w:r>
          </w:p>
        </w:tc>
        <w:tc>
          <w:tcPr>
            <w:tcW w:w="70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鼓励优秀师生</w:t>
            </w:r>
          </w:p>
        </w:tc>
        <w:tc>
          <w:tcPr>
            <w:tcW w:w="18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定性</w:t>
            </w:r>
          </w:p>
        </w:tc>
        <w:tc>
          <w:tcPr>
            <w:tcW w:w="52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有效鼓励</w:t>
            </w:r>
          </w:p>
        </w:tc>
        <w:tc>
          <w:tcPr>
            <w:tcW w:w="18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35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有效鼓励</w:t>
            </w:r>
          </w:p>
        </w:tc>
        <w:tc>
          <w:tcPr>
            <w:tcW w:w="24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32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105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4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满意度指标</w:t>
            </w:r>
          </w:p>
        </w:tc>
        <w:tc>
          <w:tcPr>
            <w:tcW w:w="5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满意度指标</w:t>
            </w:r>
          </w:p>
        </w:tc>
        <w:tc>
          <w:tcPr>
            <w:tcW w:w="70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师生满意度</w:t>
            </w:r>
          </w:p>
        </w:tc>
        <w:tc>
          <w:tcPr>
            <w:tcW w:w="18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18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5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95</w:t>
            </w:r>
          </w:p>
        </w:tc>
        <w:tc>
          <w:tcPr>
            <w:tcW w:w="24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32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05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4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成本指标</w:t>
            </w:r>
          </w:p>
        </w:tc>
        <w:tc>
          <w:tcPr>
            <w:tcW w:w="55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经济成本指标</w:t>
            </w:r>
          </w:p>
        </w:tc>
        <w:tc>
          <w:tcPr>
            <w:tcW w:w="70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项目支出金额</w:t>
            </w:r>
          </w:p>
        </w:tc>
        <w:tc>
          <w:tcPr>
            <w:tcW w:w="18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2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18000</w:t>
            </w:r>
          </w:p>
        </w:tc>
        <w:tc>
          <w:tcPr>
            <w:tcW w:w="18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元</w:t>
            </w:r>
          </w:p>
        </w:tc>
        <w:tc>
          <w:tcPr>
            <w:tcW w:w="35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18000</w:t>
            </w:r>
          </w:p>
        </w:tc>
        <w:tc>
          <w:tcPr>
            <w:tcW w:w="24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32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05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3374" w:type="pct"/>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24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32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SimSun" w:eastAsia="SimSun" w:cs="Arial"/>
                <w:color w:val="000000"/>
                <w:sz w:val="18"/>
              </w:rPr>
            </w:pPr>
            <w:r>
              <w:rPr>
                <w:rFonts w:ascii="SimSun" w:eastAsia="SimSun" w:cs="Arial"/>
                <w:color w:val="000000"/>
                <w:sz w:val="18"/>
              </w:rPr>
              <w:t>100</w:t>
            </w:r>
          </w:p>
        </w:tc>
        <w:tc>
          <w:tcPr>
            <w:tcW w:w="1050"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599"/>
        </w:trPr>
        <w:tc>
          <w:tcPr>
            <w:tcW w:w="22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4770"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该项目激励对象明确、评选流程规范，资金拨付及时，有效表彰了教育发展先进单位与个人，激发了行业积极性。整体实施成效良好，仅需细化部分激励标准，强化后续激励效果跟踪，进一步发挥资金对教育发展的推动作用 。</w:t>
            </w:r>
          </w:p>
        </w:tc>
      </w:tr>
      <w:tr>
        <w:trPr>
          <w:trHeight w:val="569"/>
        </w:trPr>
        <w:tc>
          <w:tcPr>
            <w:tcW w:w="22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4770"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trPr>
        <w:tc>
          <w:tcPr>
            <w:tcW w:w="22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4770"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284"/>
        </w:trPr>
        <w:tc>
          <w:tcPr>
            <w:tcW w:w="2312"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项目负责人：贺明帅</w:t>
            </w:r>
          </w:p>
        </w:tc>
        <w:tc>
          <w:tcPr>
            <w:tcW w:w="2687" w:type="pct"/>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财务负责人：陈波</w:t>
            </w:r>
          </w:p>
        </w:tc>
      </w:tr>
    </w:tbl>
    <w:p>
      <w:r>
        <w:rPr>
          <w:rFonts w:ascii="SimSun" w:eastAsia="SimSun"/>
          <w:color w:val="000000"/>
          <w:sz w:val="18"/>
        </w:rPr>
        <w:br w:type="page"/>
      </w:r>
    </w:p>
    <w:tbl>
      <w:tblPr>
        <w:jc w:val="left"/>
        <w:tblW w:w="5725" w:type="pct"/>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523"/>
        <w:gridCol w:w="1106"/>
        <w:gridCol w:w="1038"/>
        <w:gridCol w:w="1317"/>
        <w:gridCol w:w="338"/>
        <w:gridCol w:w="988"/>
        <w:gridCol w:w="338"/>
        <w:gridCol w:w="659"/>
        <w:gridCol w:w="516"/>
        <w:gridCol w:w="463"/>
        <w:gridCol w:w="2345"/>
      </w:tblGrid>
      <w:tr>
        <w:trPr>
          <w:trHeight w:val="284"/>
        </w:trPr>
        <w:tc>
          <w:tcPr>
            <w:tcW w:w="271" w:type="pct"/>
            <w:tcBorders>
              <w:top w:val="nil"/>
              <w:left w:val="nil"/>
              <w:bottom w:val="nil"/>
              <w:right w:val="nil"/>
              <w:tl2br w:val="nil"/>
              <w:tr2bl w:val="nil"/>
            </w:tcBorders>
            <w:noWrap/>
            <w:vAlign w:val="center"/>
          </w:tcPr>
          <w:p>
            <w:pPr>
              <w:rPr>
                <w:rFonts w:ascii="SimSun" w:eastAsia="SimSun"/>
                <w:color w:val="000000"/>
                <w:sz w:val="18"/>
              </w:rPr>
            </w:pPr>
          </w:p>
        </w:tc>
        <w:tc>
          <w:tcPr>
            <w:tcW w:w="574" w:type="pct"/>
            <w:tcBorders>
              <w:top w:val="nil"/>
              <w:left w:val="nil"/>
              <w:bottom w:val="nil"/>
              <w:right w:val="nil"/>
              <w:tl2br w:val="nil"/>
              <w:tr2bl w:val="nil"/>
            </w:tcBorders>
            <w:noWrap/>
            <w:vAlign w:val="center"/>
          </w:tcPr>
          <w:p>
            <w:pPr>
              <w:rPr>
                <w:rFonts w:ascii="SimSun" w:eastAsia="SimSun"/>
                <w:color w:val="000000"/>
                <w:sz w:val="18"/>
              </w:rPr>
            </w:pPr>
          </w:p>
        </w:tc>
        <w:tc>
          <w:tcPr>
            <w:tcW w:w="539" w:type="pct"/>
            <w:tcBorders>
              <w:top w:val="nil"/>
              <w:left w:val="nil"/>
              <w:bottom w:val="nil"/>
              <w:right w:val="nil"/>
              <w:tl2br w:val="nil"/>
              <w:tr2bl w:val="nil"/>
            </w:tcBorders>
            <w:noWrap/>
            <w:vAlign w:val="center"/>
          </w:tcPr>
          <w:p>
            <w:pPr>
              <w:rPr>
                <w:rFonts w:ascii="SimSun" w:eastAsia="SimSun"/>
                <w:color w:val="000000"/>
                <w:sz w:val="18"/>
              </w:rPr>
            </w:pPr>
          </w:p>
        </w:tc>
        <w:tc>
          <w:tcPr>
            <w:tcW w:w="683" w:type="pct"/>
            <w:tcBorders>
              <w:top w:val="nil"/>
              <w:left w:val="nil"/>
              <w:bottom w:val="nil"/>
              <w:right w:val="nil"/>
              <w:tl2br w:val="nil"/>
              <w:tr2bl w:val="nil"/>
            </w:tcBorders>
            <w:noWrap/>
            <w:vAlign w:val="center"/>
          </w:tcPr>
          <w:p>
            <w:pPr>
              <w:rPr>
                <w:rFonts w:ascii="SimSun" w:eastAsia="SimSun"/>
                <w:color w:val="000000"/>
                <w:sz w:val="18"/>
              </w:rPr>
            </w:pPr>
          </w:p>
        </w:tc>
        <w:tc>
          <w:tcPr>
            <w:tcW w:w="175" w:type="pct"/>
            <w:tcBorders>
              <w:top w:val="nil"/>
              <w:left w:val="nil"/>
              <w:bottom w:val="nil"/>
              <w:right w:val="nil"/>
              <w:tl2br w:val="nil"/>
              <w:tr2bl w:val="nil"/>
            </w:tcBorders>
            <w:noWrap/>
            <w:vAlign w:val="center"/>
          </w:tcPr>
          <w:p>
            <w:pPr>
              <w:rPr>
                <w:rFonts w:ascii="SimSun" w:eastAsia="SimSun"/>
                <w:color w:val="000000"/>
                <w:sz w:val="18"/>
              </w:rPr>
            </w:pPr>
          </w:p>
        </w:tc>
        <w:tc>
          <w:tcPr>
            <w:tcW w:w="512" w:type="pct"/>
            <w:tcBorders>
              <w:top w:val="nil"/>
              <w:left w:val="nil"/>
              <w:bottom w:val="nil"/>
              <w:right w:val="nil"/>
              <w:tl2br w:val="nil"/>
              <w:tr2bl w:val="nil"/>
            </w:tcBorders>
            <w:noWrap/>
            <w:vAlign w:val="center"/>
          </w:tcPr>
          <w:p>
            <w:pPr>
              <w:rPr>
                <w:rFonts w:ascii="SimSun" w:eastAsia="SimSun"/>
                <w:color w:val="000000"/>
                <w:sz w:val="18"/>
              </w:rPr>
            </w:pPr>
          </w:p>
        </w:tc>
        <w:tc>
          <w:tcPr>
            <w:tcW w:w="175" w:type="pct"/>
            <w:tcBorders>
              <w:top w:val="nil"/>
              <w:left w:val="nil"/>
              <w:bottom w:val="nil"/>
              <w:right w:val="nil"/>
              <w:tl2br w:val="nil"/>
              <w:tr2bl w:val="nil"/>
            </w:tcBorders>
            <w:noWrap/>
            <w:vAlign w:val="center"/>
          </w:tcPr>
          <w:p>
            <w:pPr>
              <w:rPr>
                <w:rFonts w:ascii="SimSun" w:eastAsia="SimSun"/>
                <w:color w:val="000000"/>
                <w:sz w:val="18"/>
              </w:rPr>
            </w:pPr>
          </w:p>
        </w:tc>
        <w:tc>
          <w:tcPr>
            <w:tcW w:w="342" w:type="pct"/>
            <w:tcBorders>
              <w:top w:val="nil"/>
              <w:left w:val="nil"/>
              <w:bottom w:val="nil"/>
              <w:right w:val="nil"/>
              <w:tl2br w:val="nil"/>
              <w:tr2bl w:val="nil"/>
            </w:tcBorders>
            <w:noWrap/>
            <w:vAlign w:val="center"/>
          </w:tcPr>
          <w:p>
            <w:pPr>
              <w:rPr>
                <w:rFonts w:ascii="SimSun" w:eastAsia="SimSun"/>
                <w:color w:val="000000"/>
                <w:sz w:val="18"/>
              </w:rPr>
            </w:pPr>
          </w:p>
        </w:tc>
        <w:tc>
          <w:tcPr>
            <w:tcW w:w="268" w:type="pct"/>
            <w:tcBorders>
              <w:top w:val="nil"/>
              <w:left w:val="nil"/>
              <w:bottom w:val="nil"/>
              <w:right w:val="nil"/>
              <w:tl2br w:val="nil"/>
              <w:tr2bl w:val="nil"/>
            </w:tcBorders>
            <w:noWrap/>
            <w:vAlign w:val="center"/>
          </w:tcPr>
          <w:p>
            <w:pPr>
              <w:rPr>
                <w:rFonts w:ascii="SimSun" w:eastAsia="SimSun"/>
                <w:color w:val="000000"/>
                <w:sz w:val="18"/>
              </w:rPr>
            </w:pPr>
          </w:p>
        </w:tc>
        <w:tc>
          <w:tcPr>
            <w:tcW w:w="240" w:type="pct"/>
            <w:tcBorders>
              <w:top w:val="nil"/>
              <w:left w:val="nil"/>
              <w:bottom w:val="nil"/>
              <w:right w:val="nil"/>
              <w:tl2br w:val="nil"/>
              <w:tr2bl w:val="nil"/>
            </w:tcBorders>
            <w:noWrap/>
            <w:vAlign w:val="center"/>
          </w:tcPr>
          <w:p>
            <w:pPr>
              <w:rPr>
                <w:rFonts w:ascii="SimSun" w:eastAsia="SimSun"/>
                <w:color w:val="000000"/>
                <w:sz w:val="18"/>
              </w:rPr>
            </w:pPr>
          </w:p>
        </w:tc>
        <w:tc>
          <w:tcPr>
            <w:tcW w:w="1217" w:type="pct"/>
            <w:tcBorders>
              <w:top w:val="nil"/>
              <w:left w:val="nil"/>
              <w:bottom w:val="nil"/>
              <w:right w:val="nil"/>
              <w:tl2br w:val="nil"/>
              <w:tr2bl w:val="nil"/>
            </w:tcBorders>
            <w:noWrap/>
            <w:vAlign w:val="center"/>
          </w:tcPr>
          <w:p>
            <w:pPr>
              <w:rPr>
                <w:rFonts w:ascii="SimSun" w:eastAsia="SimSun"/>
                <w:color w:val="000000"/>
                <w:sz w:val="18"/>
              </w:rPr>
            </w:pPr>
          </w:p>
        </w:tc>
      </w:tr>
      <w:tr>
        <w:trPr>
          <w:trHeight w:val="899"/>
        </w:trPr>
        <w:tc>
          <w:tcPr>
            <w:tcW w:w="5000" w:type="pct"/>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部门预算项目支出绩效自评表（2024年度）</w:t>
            </w:r>
          </w:p>
        </w:tc>
      </w:tr>
      <w:tr>
        <w:trPr>
          <w:trHeight w:val="284"/>
        </w:trPr>
        <w:tc>
          <w:tcPr>
            <w:tcW w:w="845"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4154" w:type="pct"/>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51320025T000012445251-2023年全州教育提升奖</w:t>
            </w:r>
          </w:p>
        </w:tc>
      </w:tr>
      <w:tr>
        <w:trPr>
          <w:trHeight w:val="509"/>
        </w:trPr>
        <w:tc>
          <w:tcPr>
            <w:tcW w:w="845"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2086"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州教育局部门</w:t>
            </w:r>
          </w:p>
        </w:tc>
        <w:tc>
          <w:tcPr>
            <w:tcW w:w="342" w:type="pct"/>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1725"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马师校</w:t>
            </w:r>
          </w:p>
        </w:tc>
      </w:tr>
      <w:tr>
        <w:trPr>
          <w:trHeight w:val="284"/>
        </w:trPr>
        <w:tc>
          <w:tcPr>
            <w:tcW w:w="271"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574"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2086"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2068" w:type="pct"/>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70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086"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2023年全州教育质量提升</w:t>
            </w:r>
          </w:p>
        </w:tc>
        <w:tc>
          <w:tcPr>
            <w:tcW w:w="2068" w:type="pct"/>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对照年度目标，说明相关任务目标的完成情况（100字以内）</w:t>
            </w:r>
          </w:p>
        </w:tc>
      </w:tr>
      <w:tr>
        <w:trPr>
          <w:trHeight w:val="68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7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4154" w:type="pct"/>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制定全州教育提升奖评选标准、范围；公示无异议后，核算奖励资金，依规拨付发放，做好过程记录与存档</w:t>
            </w:r>
          </w:p>
        </w:tc>
      </w:tr>
      <w:tr>
        <w:trPr>
          <w:trHeight w:val="359"/>
        </w:trPr>
        <w:tc>
          <w:tcPr>
            <w:tcW w:w="271"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57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53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6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863"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34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26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24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12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7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53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6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25.11</w:t>
            </w:r>
          </w:p>
        </w:tc>
        <w:tc>
          <w:tcPr>
            <w:tcW w:w="863"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25.11</w:t>
            </w:r>
          </w:p>
        </w:tc>
        <w:tc>
          <w:tcPr>
            <w:tcW w:w="34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26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4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217"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7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53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6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25.11</w:t>
            </w:r>
          </w:p>
        </w:tc>
        <w:tc>
          <w:tcPr>
            <w:tcW w:w="863"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25.11</w:t>
            </w:r>
          </w:p>
        </w:tc>
        <w:tc>
          <w:tcPr>
            <w:tcW w:w="34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26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4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402"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7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53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6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863"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34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6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4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402"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7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53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6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863"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34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26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4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402"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7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53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6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863"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34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6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24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402"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271"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57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53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6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5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34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26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24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12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74"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产出指标</w:t>
            </w:r>
          </w:p>
        </w:tc>
        <w:tc>
          <w:tcPr>
            <w:tcW w:w="53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数量指标</w:t>
            </w:r>
          </w:p>
        </w:tc>
        <w:tc>
          <w:tcPr>
            <w:tcW w:w="6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任务完成率</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4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95</w:t>
            </w:r>
          </w:p>
        </w:tc>
        <w:tc>
          <w:tcPr>
            <w:tcW w:w="26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4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2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3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质量指标</w:t>
            </w:r>
          </w:p>
        </w:tc>
        <w:tc>
          <w:tcPr>
            <w:tcW w:w="6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项目覆盖率</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4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95</w:t>
            </w:r>
          </w:p>
        </w:tc>
        <w:tc>
          <w:tcPr>
            <w:tcW w:w="26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24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12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3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时效指标</w:t>
            </w:r>
          </w:p>
        </w:tc>
        <w:tc>
          <w:tcPr>
            <w:tcW w:w="6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及时完成率</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4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95</w:t>
            </w:r>
          </w:p>
        </w:tc>
        <w:tc>
          <w:tcPr>
            <w:tcW w:w="26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24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12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7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效益指标</w:t>
            </w:r>
          </w:p>
        </w:tc>
        <w:tc>
          <w:tcPr>
            <w:tcW w:w="53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社会效益指标</w:t>
            </w:r>
          </w:p>
        </w:tc>
        <w:tc>
          <w:tcPr>
            <w:tcW w:w="6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促进教育发展</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定性</w:t>
            </w:r>
          </w:p>
        </w:tc>
        <w:tc>
          <w:tcPr>
            <w:tcW w:w="5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有效促进</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34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有效促进</w:t>
            </w:r>
          </w:p>
        </w:tc>
        <w:tc>
          <w:tcPr>
            <w:tcW w:w="26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24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12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7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满意度指标</w:t>
            </w:r>
          </w:p>
        </w:tc>
        <w:tc>
          <w:tcPr>
            <w:tcW w:w="53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服务对象满意度指标</w:t>
            </w:r>
          </w:p>
        </w:tc>
        <w:tc>
          <w:tcPr>
            <w:tcW w:w="6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师生满意度</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4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95</w:t>
            </w:r>
          </w:p>
        </w:tc>
        <w:tc>
          <w:tcPr>
            <w:tcW w:w="26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4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2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7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成本指标</w:t>
            </w:r>
          </w:p>
        </w:tc>
        <w:tc>
          <w:tcPr>
            <w:tcW w:w="53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经济成本指标</w:t>
            </w:r>
          </w:p>
        </w:tc>
        <w:tc>
          <w:tcPr>
            <w:tcW w:w="68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项目支出金额</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51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251100</w:t>
            </w:r>
          </w:p>
        </w:tc>
        <w:tc>
          <w:tcPr>
            <w:tcW w:w="17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元</w:t>
            </w:r>
          </w:p>
        </w:tc>
        <w:tc>
          <w:tcPr>
            <w:tcW w:w="34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251100</w:t>
            </w:r>
          </w:p>
        </w:tc>
        <w:tc>
          <w:tcPr>
            <w:tcW w:w="26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24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2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3274" w:type="pct"/>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26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24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SimSun" w:eastAsia="SimSun" w:cs="Arial"/>
                <w:color w:val="000000"/>
                <w:sz w:val="18"/>
              </w:rPr>
            </w:pPr>
            <w:r>
              <w:rPr>
                <w:rFonts w:ascii="SimSun" w:eastAsia="SimSun" w:cs="Arial"/>
                <w:color w:val="000000"/>
                <w:sz w:val="18"/>
              </w:rPr>
              <w:t>100</w:t>
            </w:r>
          </w:p>
        </w:tc>
        <w:tc>
          <w:tcPr>
            <w:tcW w:w="1217"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599"/>
        </w:trPr>
        <w:tc>
          <w:tcPr>
            <w:tcW w:w="2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4728"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该项目评选标准明确，评选流程公开透明，确保了公平公正。资金发放及时，有效激励学校、教师积极提升教学质量，推动全州教育事业发展。整体成效显著，不过奖励覆盖范围可进一步扩大，以惠及更多教育从业者 。</w:t>
            </w:r>
          </w:p>
        </w:tc>
      </w:tr>
      <w:tr>
        <w:trPr>
          <w:trHeight w:val="569"/>
        </w:trPr>
        <w:tc>
          <w:tcPr>
            <w:tcW w:w="2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4728"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trPr>
        <w:tc>
          <w:tcPr>
            <w:tcW w:w="2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4728"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284"/>
        </w:trPr>
        <w:tc>
          <w:tcPr>
            <w:tcW w:w="2243"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项目负责人：贺明帅</w:t>
            </w:r>
          </w:p>
        </w:tc>
        <w:tc>
          <w:tcPr>
            <w:tcW w:w="2756" w:type="pct"/>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财务负责人：陈波</w:t>
            </w:r>
          </w:p>
        </w:tc>
      </w:tr>
    </w:tbl>
    <w:p>
      <w:r>
        <w:rPr>
          <w:rFonts w:ascii="SimSun" w:eastAsia="SimSun"/>
          <w:color w:val="000000"/>
          <w:sz w:val="18"/>
        </w:rPr>
        <w:br w:type="page"/>
      </w:r>
    </w:p>
    <w:tbl>
      <w:tblPr>
        <w:jc w:val="left"/>
        <w:tblInd w:w="-1617" w:type="dxa"/>
        <w:tblW w:w="6840" w:type="pct"/>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2047"/>
        <w:gridCol w:w="1199"/>
        <w:gridCol w:w="1038"/>
        <w:gridCol w:w="1317"/>
        <w:gridCol w:w="339"/>
        <w:gridCol w:w="988"/>
        <w:gridCol w:w="338"/>
        <w:gridCol w:w="764"/>
        <w:gridCol w:w="738"/>
        <w:gridCol w:w="395"/>
        <w:gridCol w:w="2267"/>
        <w:gridCol w:w="82"/>
      </w:tblGrid>
      <w:tr>
        <w:trPr>
          <w:trHeight w:val="284"/>
          <w:gridAfter w:val="1"/>
          <w:wAfter w:w="82" w:type="dxa"/>
        </w:trPr>
        <w:tc>
          <w:tcPr>
            <w:tcW w:w="889" w:type="pct"/>
            <w:tcBorders>
              <w:top w:val="nil"/>
              <w:left w:val="nil"/>
              <w:bottom w:val="nil"/>
              <w:right w:val="nil"/>
              <w:tl2br w:val="nil"/>
              <w:tr2bl w:val="nil"/>
            </w:tcBorders>
            <w:noWrap/>
            <w:vAlign w:val="center"/>
          </w:tcPr>
          <w:p>
            <w:pPr>
              <w:rPr>
                <w:rFonts w:ascii="SimSun" w:eastAsia="SimSun"/>
                <w:color w:val="000000"/>
                <w:sz w:val="18"/>
              </w:rPr>
            </w:pPr>
          </w:p>
        </w:tc>
        <w:tc>
          <w:tcPr>
            <w:tcW w:w="520" w:type="pct"/>
            <w:tcBorders>
              <w:top w:val="nil"/>
              <w:left w:val="nil"/>
              <w:bottom w:val="nil"/>
              <w:right w:val="nil"/>
              <w:tl2br w:val="nil"/>
              <w:tr2bl w:val="nil"/>
            </w:tcBorders>
            <w:noWrap/>
            <w:vAlign w:val="center"/>
          </w:tcPr>
          <w:p>
            <w:pPr>
              <w:rPr>
                <w:rFonts w:ascii="SimSun" w:eastAsia="SimSun"/>
                <w:color w:val="000000"/>
                <w:sz w:val="18"/>
              </w:rPr>
            </w:pPr>
          </w:p>
        </w:tc>
        <w:tc>
          <w:tcPr>
            <w:tcW w:w="450" w:type="pct"/>
            <w:tcBorders>
              <w:top w:val="nil"/>
              <w:left w:val="nil"/>
              <w:bottom w:val="nil"/>
              <w:right w:val="nil"/>
              <w:tl2br w:val="nil"/>
              <w:tr2bl w:val="nil"/>
            </w:tcBorders>
            <w:noWrap/>
            <w:vAlign w:val="center"/>
          </w:tcPr>
          <w:p>
            <w:pPr>
              <w:rPr>
                <w:rFonts w:ascii="SimSun" w:eastAsia="SimSun"/>
                <w:color w:val="000000"/>
                <w:sz w:val="18"/>
              </w:rPr>
            </w:pPr>
          </w:p>
        </w:tc>
        <w:tc>
          <w:tcPr>
            <w:tcW w:w="572" w:type="pct"/>
            <w:tcBorders>
              <w:top w:val="nil"/>
              <w:left w:val="nil"/>
              <w:bottom w:val="nil"/>
              <w:right w:val="nil"/>
              <w:tl2br w:val="nil"/>
              <w:tr2bl w:val="nil"/>
            </w:tcBorders>
            <w:noWrap/>
            <w:vAlign w:val="center"/>
          </w:tcPr>
          <w:p>
            <w:pPr>
              <w:rPr>
                <w:rFonts w:ascii="SimSun" w:eastAsia="SimSun"/>
                <w:color w:val="000000"/>
                <w:sz w:val="18"/>
              </w:rPr>
            </w:pPr>
          </w:p>
        </w:tc>
        <w:tc>
          <w:tcPr>
            <w:tcW w:w="147" w:type="pct"/>
            <w:tcBorders>
              <w:top w:val="nil"/>
              <w:left w:val="nil"/>
              <w:bottom w:val="nil"/>
              <w:right w:val="nil"/>
              <w:tl2br w:val="nil"/>
              <w:tr2bl w:val="nil"/>
            </w:tcBorders>
            <w:noWrap/>
            <w:vAlign w:val="center"/>
          </w:tcPr>
          <w:p>
            <w:pPr>
              <w:rPr>
                <w:rFonts w:ascii="SimSun" w:eastAsia="SimSun"/>
                <w:color w:val="000000"/>
                <w:sz w:val="18"/>
              </w:rPr>
            </w:pPr>
          </w:p>
        </w:tc>
        <w:tc>
          <w:tcPr>
            <w:tcW w:w="428" w:type="pct"/>
            <w:tcBorders>
              <w:top w:val="nil"/>
              <w:left w:val="nil"/>
              <w:bottom w:val="nil"/>
              <w:right w:val="nil"/>
              <w:tl2br w:val="nil"/>
              <w:tr2bl w:val="nil"/>
            </w:tcBorders>
            <w:noWrap/>
            <w:vAlign w:val="center"/>
          </w:tcPr>
          <w:p>
            <w:pPr>
              <w:rPr>
                <w:rFonts w:ascii="SimSun" w:eastAsia="SimSun"/>
                <w:color w:val="000000"/>
                <w:sz w:val="18"/>
              </w:rPr>
            </w:pPr>
          </w:p>
        </w:tc>
        <w:tc>
          <w:tcPr>
            <w:tcW w:w="146" w:type="pct"/>
            <w:tcBorders>
              <w:top w:val="nil"/>
              <w:left w:val="nil"/>
              <w:bottom w:val="nil"/>
              <w:right w:val="nil"/>
              <w:tl2br w:val="nil"/>
              <w:tr2bl w:val="nil"/>
            </w:tcBorders>
            <w:noWrap/>
            <w:vAlign w:val="center"/>
          </w:tcPr>
          <w:p>
            <w:pPr>
              <w:rPr>
                <w:rFonts w:ascii="SimSun" w:eastAsia="SimSun"/>
                <w:color w:val="000000"/>
                <w:sz w:val="18"/>
              </w:rPr>
            </w:pPr>
          </w:p>
        </w:tc>
        <w:tc>
          <w:tcPr>
            <w:tcW w:w="331" w:type="pct"/>
            <w:tcBorders>
              <w:top w:val="nil"/>
              <w:left w:val="nil"/>
              <w:bottom w:val="nil"/>
              <w:right w:val="nil"/>
              <w:tl2br w:val="nil"/>
              <w:tr2bl w:val="nil"/>
            </w:tcBorders>
            <w:noWrap/>
            <w:vAlign w:val="center"/>
          </w:tcPr>
          <w:p>
            <w:pPr>
              <w:rPr>
                <w:rFonts w:ascii="SimSun" w:eastAsia="SimSun"/>
                <w:color w:val="000000"/>
                <w:sz w:val="18"/>
              </w:rPr>
            </w:pPr>
          </w:p>
        </w:tc>
        <w:tc>
          <w:tcPr>
            <w:tcW w:w="320" w:type="pct"/>
            <w:tcBorders>
              <w:top w:val="nil"/>
              <w:left w:val="nil"/>
              <w:bottom w:val="nil"/>
              <w:right w:val="nil"/>
              <w:tl2br w:val="nil"/>
              <w:tr2bl w:val="nil"/>
            </w:tcBorders>
            <w:noWrap/>
            <w:vAlign w:val="center"/>
          </w:tcPr>
          <w:p>
            <w:pPr>
              <w:rPr>
                <w:rFonts w:ascii="SimSun" w:eastAsia="SimSun"/>
                <w:color w:val="000000"/>
                <w:sz w:val="18"/>
              </w:rPr>
            </w:pPr>
          </w:p>
        </w:tc>
        <w:tc>
          <w:tcPr>
            <w:tcW w:w="171" w:type="pct"/>
            <w:tcBorders>
              <w:top w:val="nil"/>
              <w:left w:val="nil"/>
              <w:bottom w:val="nil"/>
              <w:right w:val="nil"/>
              <w:tl2br w:val="nil"/>
              <w:tr2bl w:val="nil"/>
            </w:tcBorders>
            <w:noWrap/>
            <w:vAlign w:val="center"/>
          </w:tcPr>
          <w:p>
            <w:pPr>
              <w:rPr>
                <w:rFonts w:ascii="SimSun" w:eastAsia="SimSun"/>
                <w:color w:val="000000"/>
                <w:sz w:val="18"/>
              </w:rPr>
            </w:pPr>
          </w:p>
        </w:tc>
        <w:tc>
          <w:tcPr>
            <w:tcW w:w="984" w:type="pct"/>
            <w:tcBorders>
              <w:top w:val="nil"/>
              <w:left w:val="nil"/>
              <w:bottom w:val="nil"/>
              <w:right w:val="nil"/>
              <w:tl2br w:val="nil"/>
              <w:tr2bl w:val="nil"/>
            </w:tcBorders>
            <w:noWrap/>
            <w:vAlign w:val="center"/>
          </w:tcPr>
          <w:p>
            <w:pPr>
              <w:rPr>
                <w:rFonts w:ascii="SimSun" w:eastAsia="SimSun"/>
                <w:color w:val="000000"/>
                <w:sz w:val="18"/>
              </w:rPr>
            </w:pPr>
          </w:p>
        </w:tc>
      </w:tr>
      <w:tr>
        <w:trPr>
          <w:trHeight w:val="899"/>
          <w:gridAfter w:val="1"/>
          <w:wAfter w:w="82" w:type="dxa"/>
        </w:trPr>
        <w:tc>
          <w:tcPr>
            <w:tcW w:w="4964" w:type="pct"/>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部门预算项目支出绩效自评表（2024年度）</w:t>
            </w:r>
          </w:p>
        </w:tc>
      </w:tr>
      <w:tr>
        <w:trPr>
          <w:trHeight w:val="284"/>
          <w:gridAfter w:val="1"/>
          <w:wAfter w:w="82" w:type="dxa"/>
        </w:trPr>
        <w:tc>
          <w:tcPr>
            <w:tcW w:w="1410"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3553" w:type="pct"/>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51320025T000012468152-购笔记本电脑</w:t>
            </w:r>
          </w:p>
        </w:tc>
      </w:tr>
      <w:tr>
        <w:trPr>
          <w:trHeight w:val="509"/>
          <w:gridAfter w:val="1"/>
          <w:wAfter w:w="82" w:type="dxa"/>
        </w:trPr>
        <w:tc>
          <w:tcPr>
            <w:tcW w:w="1410"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1745"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州教育局部门</w:t>
            </w:r>
          </w:p>
        </w:tc>
        <w:tc>
          <w:tcPr>
            <w:tcW w:w="331" w:type="pct"/>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1476"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马师校</w:t>
            </w:r>
          </w:p>
        </w:tc>
      </w:tr>
      <w:tr>
        <w:trPr>
          <w:trHeight w:val="284"/>
          <w:gridAfter w:val="1"/>
          <w:wAfter w:w="82" w:type="dxa"/>
        </w:trPr>
        <w:tc>
          <w:tcPr>
            <w:tcW w:w="889"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520"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1745"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1808" w:type="pct"/>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704"/>
          <w:gridAfter w:val="1"/>
          <w:wAfter w:w="82" w:type="dxa"/>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45"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购笔记本电脑4台</w:t>
            </w:r>
          </w:p>
        </w:tc>
        <w:tc>
          <w:tcPr>
            <w:tcW w:w="1808" w:type="pct"/>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对照年度目标，说明相关任务目标的完成情况（100字以内）</w:t>
            </w:r>
          </w:p>
        </w:tc>
      </w:tr>
      <w:tr>
        <w:trPr>
          <w:trHeight w:val="689"/>
          <w:gridAfter w:val="1"/>
          <w:wAfter w:w="82" w:type="dxa"/>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3553" w:type="pct"/>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 统计办公所需笔记本电脑数量、配置要求，制定采购预算与方案；</w:t>
            </w:r>
          </w:p>
          <w:p>
            <w:pPr>
              <w:rPr>
                <w:rFonts w:ascii="SimSun" w:eastAsia="SimSun" w:cs="Arial"/>
                <w:color w:val="000000"/>
                <w:sz w:val="18"/>
              </w:rPr>
            </w:pPr>
            <w:r>
              <w:rPr>
                <w:rFonts w:ascii="SimSun" w:eastAsia="SimSun" w:cs="Arial"/>
                <w:color w:val="000000"/>
                <w:sz w:val="18"/>
              </w:rPr>
              <w:t>2. 按采购流程公开招标或询价，确定供应商并签订合同；</w:t>
            </w:r>
          </w:p>
          <w:p>
            <w:pPr>
              <w:rPr>
                <w:rFonts w:ascii="SimSun" w:eastAsia="SimSun" w:cs="Arial"/>
                <w:color w:val="000000"/>
                <w:sz w:val="18"/>
              </w:rPr>
            </w:pPr>
            <w:r>
              <w:rPr>
                <w:rFonts w:ascii="SimSun" w:eastAsia="SimSun" w:cs="Arial"/>
                <w:color w:val="000000"/>
                <w:sz w:val="18"/>
              </w:rPr>
              <w:t>3. 设备到货后验收型号、性能，合格后入库，再分发至办公人员，做好台账与资金支付。</w:t>
            </w:r>
          </w:p>
        </w:tc>
      </w:tr>
      <w:tr>
        <w:trPr>
          <w:trHeight w:val="359"/>
          <w:gridAfter w:val="1"/>
          <w:wAfter w:w="82" w:type="dxa"/>
        </w:trPr>
        <w:tc>
          <w:tcPr>
            <w:tcW w:w="889"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52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45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57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722"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33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32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98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gridAfter w:val="1"/>
          <w:wAfter w:w="82" w:type="dxa"/>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45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7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2.80</w:t>
            </w:r>
          </w:p>
        </w:tc>
        <w:tc>
          <w:tcPr>
            <w:tcW w:w="722"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1.39</w:t>
            </w:r>
          </w:p>
        </w:tc>
        <w:tc>
          <w:tcPr>
            <w:tcW w:w="33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49.71%</w:t>
            </w:r>
          </w:p>
        </w:tc>
        <w:tc>
          <w:tcPr>
            <w:tcW w:w="32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984"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gridAfter w:val="1"/>
          <w:wAfter w:w="82" w:type="dxa"/>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45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7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22"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33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32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54"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gridAfter w:val="1"/>
          <w:wAfter w:w="82" w:type="dxa"/>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45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7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722"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33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32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54"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gridAfter w:val="1"/>
          <w:wAfter w:w="82" w:type="dxa"/>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45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57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2.80</w:t>
            </w:r>
          </w:p>
        </w:tc>
        <w:tc>
          <w:tcPr>
            <w:tcW w:w="722"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1.39</w:t>
            </w:r>
          </w:p>
        </w:tc>
        <w:tc>
          <w:tcPr>
            <w:tcW w:w="33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49.71%</w:t>
            </w:r>
          </w:p>
        </w:tc>
        <w:tc>
          <w:tcPr>
            <w:tcW w:w="32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54"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gridAfter w:val="1"/>
          <w:wAfter w:w="82" w:type="dxa"/>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45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7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22"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33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32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154"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gridAfter w:val="1"/>
          <w:wAfter w:w="82" w:type="dxa"/>
        </w:trPr>
        <w:tc>
          <w:tcPr>
            <w:tcW w:w="889"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52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45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57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14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42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14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33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32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98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gridAfter w:val="1"/>
          <w:wAfter w:w="82" w:type="dxa"/>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0"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产出指标</w:t>
            </w:r>
          </w:p>
        </w:tc>
        <w:tc>
          <w:tcPr>
            <w:tcW w:w="45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数量指标</w:t>
            </w:r>
          </w:p>
        </w:tc>
        <w:tc>
          <w:tcPr>
            <w:tcW w:w="57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购买数量</w:t>
            </w:r>
          </w:p>
        </w:tc>
        <w:tc>
          <w:tcPr>
            <w:tcW w:w="14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42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4</w:t>
            </w:r>
          </w:p>
        </w:tc>
        <w:tc>
          <w:tcPr>
            <w:tcW w:w="14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台</w:t>
            </w:r>
          </w:p>
        </w:tc>
        <w:tc>
          <w:tcPr>
            <w:tcW w:w="33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4</w:t>
            </w:r>
          </w:p>
        </w:tc>
        <w:tc>
          <w:tcPr>
            <w:tcW w:w="32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98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gridAfter w:val="1"/>
          <w:wAfter w:w="82" w:type="dxa"/>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45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质量指标</w:t>
            </w:r>
          </w:p>
        </w:tc>
        <w:tc>
          <w:tcPr>
            <w:tcW w:w="57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产品合格率</w:t>
            </w:r>
          </w:p>
        </w:tc>
        <w:tc>
          <w:tcPr>
            <w:tcW w:w="14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42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14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3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W w:w="32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98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gridAfter w:val="1"/>
          <w:wAfter w:w="82" w:type="dxa"/>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45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时效指标</w:t>
            </w:r>
          </w:p>
        </w:tc>
        <w:tc>
          <w:tcPr>
            <w:tcW w:w="57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及时完成率</w:t>
            </w:r>
          </w:p>
        </w:tc>
        <w:tc>
          <w:tcPr>
            <w:tcW w:w="14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42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14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3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90</w:t>
            </w:r>
          </w:p>
        </w:tc>
        <w:tc>
          <w:tcPr>
            <w:tcW w:w="32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98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效益指标</w:t>
            </w:r>
          </w:p>
        </w:tc>
        <w:tc>
          <w:tcPr>
            <w:tcW w:w="45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可持续发展指标</w:t>
            </w:r>
          </w:p>
        </w:tc>
        <w:tc>
          <w:tcPr>
            <w:tcW w:w="57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可持续使用</w:t>
            </w:r>
          </w:p>
        </w:tc>
        <w:tc>
          <w:tcPr>
            <w:tcW w:w="14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定性</w:t>
            </w:r>
          </w:p>
        </w:tc>
        <w:tc>
          <w:tcPr>
            <w:tcW w:w="42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可持续</w:t>
            </w:r>
          </w:p>
        </w:tc>
        <w:tc>
          <w:tcPr>
            <w:tcW w:w="14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33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可持续</w:t>
            </w:r>
          </w:p>
        </w:tc>
        <w:tc>
          <w:tcPr>
            <w:tcW w:w="32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1020"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gridAfter w:val="1"/>
          <w:wAfter w:w="82" w:type="dxa"/>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满意度指标</w:t>
            </w:r>
          </w:p>
        </w:tc>
        <w:tc>
          <w:tcPr>
            <w:tcW w:w="45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服务对象满意度指标</w:t>
            </w:r>
          </w:p>
        </w:tc>
        <w:tc>
          <w:tcPr>
            <w:tcW w:w="57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教职工满意度</w:t>
            </w:r>
          </w:p>
        </w:tc>
        <w:tc>
          <w:tcPr>
            <w:tcW w:w="14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42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90</w:t>
            </w:r>
          </w:p>
        </w:tc>
        <w:tc>
          <w:tcPr>
            <w:tcW w:w="14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3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90</w:t>
            </w:r>
          </w:p>
        </w:tc>
        <w:tc>
          <w:tcPr>
            <w:tcW w:w="32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98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gridAfter w:val="1"/>
          <w:wAfter w:w="82" w:type="dxa"/>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成本指标</w:t>
            </w:r>
          </w:p>
        </w:tc>
        <w:tc>
          <w:tcPr>
            <w:tcW w:w="45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经济成本指标</w:t>
            </w:r>
          </w:p>
        </w:tc>
        <w:tc>
          <w:tcPr>
            <w:tcW w:w="57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经济成本</w:t>
            </w:r>
          </w:p>
        </w:tc>
        <w:tc>
          <w:tcPr>
            <w:tcW w:w="14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42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2.8</w:t>
            </w:r>
          </w:p>
        </w:tc>
        <w:tc>
          <w:tcPr>
            <w:tcW w:w="14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万元</w:t>
            </w:r>
          </w:p>
        </w:tc>
        <w:tc>
          <w:tcPr>
            <w:tcW w:w="33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2.8</w:t>
            </w:r>
          </w:p>
        </w:tc>
        <w:tc>
          <w:tcPr>
            <w:tcW w:w="32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20</w:t>
            </w:r>
          </w:p>
        </w:tc>
        <w:tc>
          <w:tcPr>
            <w:tcW w:w="98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gridAfter w:val="1"/>
          <w:wAfter w:w="82" w:type="dxa"/>
        </w:trPr>
        <w:tc>
          <w:tcPr>
            <w:tcW w:w="3487" w:type="pct"/>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32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SimSun" w:eastAsia="SimSun" w:cs="Arial"/>
                <w:color w:val="000000"/>
                <w:sz w:val="18"/>
              </w:rPr>
            </w:pPr>
            <w:r>
              <w:rPr>
                <w:rFonts w:ascii="SimSun" w:eastAsia="SimSun" w:cs="Arial"/>
                <w:color w:val="000000"/>
                <w:sz w:val="18"/>
              </w:rPr>
              <w:t>100</w:t>
            </w:r>
          </w:p>
        </w:tc>
        <w:tc>
          <w:tcPr>
            <w:tcW w:w="984"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599"/>
          <w:gridAfter w:val="1"/>
          <w:wAfter w:w="82" w:type="dxa"/>
        </w:trPr>
        <w:tc>
          <w:tcPr>
            <w:tcW w:w="88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4074"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该项目采购流程规范，笔记本电脑配置贴合办公需求，及时分发到位，有效提升了教职工办公效率。整体实施成效良好，仅需在采购前进一步细化各岗位配置需求，同时加强设备后续管护，提升资金使用效益 。</w:t>
            </w:r>
          </w:p>
        </w:tc>
      </w:tr>
      <w:tr>
        <w:trPr>
          <w:trHeight w:val="569"/>
          <w:gridAfter w:val="1"/>
          <w:wAfter w:w="82" w:type="dxa"/>
        </w:trPr>
        <w:tc>
          <w:tcPr>
            <w:tcW w:w="88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4074"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gridAfter w:val="1"/>
          <w:wAfter w:w="82" w:type="dxa"/>
        </w:trPr>
        <w:tc>
          <w:tcPr>
            <w:tcW w:w="88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4074"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284"/>
          <w:gridAfter w:val="1"/>
          <w:wAfter w:w="82" w:type="dxa"/>
        </w:trPr>
        <w:tc>
          <w:tcPr>
            <w:tcW w:w="2580"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项目负责人：谢然热知</w:t>
            </w:r>
          </w:p>
        </w:tc>
        <w:tc>
          <w:tcPr>
            <w:tcW w:w="2383" w:type="pct"/>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财务负责人：陈波</w:t>
            </w:r>
          </w:p>
        </w:tc>
      </w:tr>
    </w:tbl>
    <w:p>
      <w:r>
        <w:rPr>
          <w:rFonts w:ascii="SimSun" w:eastAsia="SimSun"/>
          <w:color w:val="000000"/>
          <w:sz w:val="18"/>
        </w:rPr>
        <w:br w:type="page"/>
      </w:r>
    </w:p>
    <w:tbl>
      <w:tblPr>
        <w:jc w:val="left"/>
        <w:tblInd w:w="-540" w:type="dxa"/>
        <w:tblW w:w="6005"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970"/>
        <w:gridCol w:w="1199"/>
        <w:gridCol w:w="1038"/>
        <w:gridCol w:w="1317"/>
        <w:gridCol w:w="338"/>
        <w:gridCol w:w="988"/>
        <w:gridCol w:w="338"/>
        <w:gridCol w:w="659"/>
        <w:gridCol w:w="329"/>
        <w:gridCol w:w="622"/>
        <w:gridCol w:w="2305"/>
      </w:tblGrid>
      <w:tr>
        <w:trPr>
          <w:trHeight w:val="284"/>
        </w:trPr>
        <w:tc>
          <w:tcPr>
            <w:tcW w:w="480" w:type="pct"/>
            <w:tcBorders>
              <w:top w:val="nil"/>
              <w:left w:val="nil"/>
              <w:bottom w:val="nil"/>
              <w:right w:val="nil"/>
              <w:tl2br w:val="nil"/>
              <w:tr2bl w:val="nil"/>
            </w:tcBorders>
            <w:noWrap/>
            <w:vAlign w:val="center"/>
          </w:tcPr>
          <w:p>
            <w:pPr>
              <w:rPr>
                <w:rFonts w:ascii="SimSun" w:eastAsia="SimSun"/>
                <w:color w:val="000000"/>
                <w:sz w:val="18"/>
              </w:rPr>
            </w:pPr>
          </w:p>
        </w:tc>
        <w:tc>
          <w:tcPr>
            <w:tcW w:w="593" w:type="pct"/>
            <w:tcBorders>
              <w:top w:val="nil"/>
              <w:left w:val="nil"/>
              <w:bottom w:val="nil"/>
              <w:right w:val="nil"/>
              <w:tl2br w:val="nil"/>
              <w:tr2bl w:val="nil"/>
            </w:tcBorders>
            <w:noWrap/>
            <w:vAlign w:val="center"/>
          </w:tcPr>
          <w:p>
            <w:pPr>
              <w:rPr>
                <w:rFonts w:ascii="SimSun" w:eastAsia="SimSun"/>
                <w:color w:val="000000"/>
                <w:sz w:val="18"/>
              </w:rPr>
            </w:pPr>
          </w:p>
        </w:tc>
        <w:tc>
          <w:tcPr>
            <w:tcW w:w="513" w:type="pct"/>
            <w:tcBorders>
              <w:top w:val="nil"/>
              <w:left w:val="nil"/>
              <w:bottom w:val="nil"/>
              <w:right w:val="nil"/>
              <w:tl2br w:val="nil"/>
              <w:tr2bl w:val="nil"/>
            </w:tcBorders>
            <w:noWrap/>
            <w:vAlign w:val="center"/>
          </w:tcPr>
          <w:p>
            <w:pPr>
              <w:rPr>
                <w:rFonts w:ascii="SimSun" w:eastAsia="SimSun"/>
                <w:color w:val="000000"/>
                <w:sz w:val="18"/>
              </w:rPr>
            </w:pPr>
          </w:p>
        </w:tc>
        <w:tc>
          <w:tcPr>
            <w:tcW w:w="651" w:type="pct"/>
            <w:tcBorders>
              <w:top w:val="nil"/>
              <w:left w:val="nil"/>
              <w:bottom w:val="nil"/>
              <w:right w:val="nil"/>
              <w:tl2br w:val="nil"/>
              <w:tr2bl w:val="nil"/>
            </w:tcBorders>
            <w:noWrap/>
            <w:vAlign w:val="center"/>
          </w:tcPr>
          <w:p>
            <w:pPr>
              <w:rPr>
                <w:rFonts w:ascii="SimSun" w:eastAsia="SimSun"/>
                <w:color w:val="000000"/>
                <w:sz w:val="18"/>
              </w:rPr>
            </w:pPr>
          </w:p>
        </w:tc>
        <w:tc>
          <w:tcPr>
            <w:tcW w:w="167" w:type="pct"/>
            <w:tcBorders>
              <w:top w:val="nil"/>
              <w:left w:val="nil"/>
              <w:bottom w:val="nil"/>
              <w:right w:val="nil"/>
              <w:tl2br w:val="nil"/>
              <w:tr2bl w:val="nil"/>
            </w:tcBorders>
            <w:noWrap/>
            <w:vAlign w:val="center"/>
          </w:tcPr>
          <w:p>
            <w:pPr>
              <w:rPr>
                <w:rFonts w:ascii="SimSun" w:eastAsia="SimSun"/>
                <w:color w:val="000000"/>
                <w:sz w:val="18"/>
              </w:rPr>
            </w:pPr>
          </w:p>
        </w:tc>
        <w:tc>
          <w:tcPr>
            <w:tcW w:w="488" w:type="pct"/>
            <w:tcBorders>
              <w:top w:val="nil"/>
              <w:left w:val="nil"/>
              <w:bottom w:val="nil"/>
              <w:right w:val="nil"/>
              <w:tl2br w:val="nil"/>
              <w:tr2bl w:val="nil"/>
            </w:tcBorders>
            <w:noWrap/>
            <w:vAlign w:val="center"/>
          </w:tcPr>
          <w:p>
            <w:pPr>
              <w:rPr>
                <w:rFonts w:ascii="SimSun" w:eastAsia="SimSun"/>
                <w:color w:val="000000"/>
                <w:sz w:val="18"/>
              </w:rPr>
            </w:pPr>
          </w:p>
        </w:tc>
        <w:tc>
          <w:tcPr>
            <w:tcW w:w="167" w:type="pct"/>
            <w:tcBorders>
              <w:top w:val="nil"/>
              <w:left w:val="nil"/>
              <w:bottom w:val="nil"/>
              <w:right w:val="nil"/>
              <w:tl2br w:val="nil"/>
              <w:tr2bl w:val="nil"/>
            </w:tcBorders>
            <w:noWrap/>
            <w:vAlign w:val="center"/>
          </w:tcPr>
          <w:p>
            <w:pPr>
              <w:rPr>
                <w:rFonts w:ascii="SimSun" w:eastAsia="SimSun"/>
                <w:color w:val="000000"/>
                <w:sz w:val="18"/>
              </w:rPr>
            </w:pPr>
          </w:p>
        </w:tc>
        <w:tc>
          <w:tcPr>
            <w:tcW w:w="326" w:type="pct"/>
            <w:tcBorders>
              <w:top w:val="nil"/>
              <w:left w:val="nil"/>
              <w:bottom w:val="nil"/>
              <w:right w:val="nil"/>
              <w:tl2br w:val="nil"/>
              <w:tr2bl w:val="nil"/>
            </w:tcBorders>
            <w:noWrap/>
            <w:vAlign w:val="center"/>
          </w:tcPr>
          <w:p>
            <w:pPr>
              <w:rPr>
                <w:rFonts w:ascii="SimSun" w:eastAsia="SimSun"/>
                <w:color w:val="000000"/>
                <w:sz w:val="18"/>
              </w:rPr>
            </w:pPr>
          </w:p>
        </w:tc>
        <w:tc>
          <w:tcPr>
            <w:tcW w:w="162" w:type="pct"/>
            <w:tcBorders>
              <w:top w:val="nil"/>
              <w:left w:val="nil"/>
              <w:bottom w:val="nil"/>
              <w:right w:val="nil"/>
              <w:tl2br w:val="nil"/>
              <w:tr2bl w:val="nil"/>
            </w:tcBorders>
            <w:noWrap/>
            <w:vAlign w:val="center"/>
          </w:tcPr>
          <w:p>
            <w:pPr>
              <w:rPr>
                <w:rFonts w:ascii="SimSun" w:eastAsia="SimSun"/>
                <w:color w:val="000000"/>
                <w:sz w:val="18"/>
              </w:rPr>
            </w:pPr>
          </w:p>
        </w:tc>
        <w:tc>
          <w:tcPr>
            <w:tcW w:w="308" w:type="pct"/>
            <w:tcBorders>
              <w:top w:val="nil"/>
              <w:left w:val="nil"/>
              <w:bottom w:val="nil"/>
              <w:right w:val="nil"/>
              <w:tl2br w:val="nil"/>
              <w:tr2bl w:val="nil"/>
            </w:tcBorders>
            <w:noWrap/>
            <w:vAlign w:val="center"/>
          </w:tcPr>
          <w:p>
            <w:pPr>
              <w:rPr>
                <w:rFonts w:ascii="SimSun" w:eastAsia="SimSun"/>
                <w:color w:val="000000"/>
                <w:sz w:val="18"/>
              </w:rPr>
            </w:pPr>
          </w:p>
        </w:tc>
        <w:tc>
          <w:tcPr>
            <w:tcW w:w="1140" w:type="pct"/>
            <w:tcBorders>
              <w:top w:val="nil"/>
              <w:left w:val="nil"/>
              <w:bottom w:val="nil"/>
              <w:right w:val="nil"/>
              <w:tl2br w:val="nil"/>
              <w:tr2bl w:val="nil"/>
            </w:tcBorders>
            <w:noWrap/>
            <w:vAlign w:val="center"/>
          </w:tcPr>
          <w:p>
            <w:pPr>
              <w:rPr>
                <w:rFonts w:ascii="SimSun" w:eastAsia="SimSun"/>
                <w:color w:val="000000"/>
                <w:sz w:val="18"/>
              </w:rPr>
            </w:pPr>
          </w:p>
        </w:tc>
      </w:tr>
      <w:tr>
        <w:trPr>
          <w:trHeight w:val="899"/>
        </w:trPr>
        <w:tc>
          <w:tcPr>
            <w:tcW w:w="5000" w:type="pct"/>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Arial"/>
                <w:b/>
                <w:i w:val="0"/>
                <w:color w:val="000000"/>
                <w:sz w:val="30"/>
              </w:rPr>
            </w:pPr>
            <w:r>
              <w:rPr>
                <w:rFonts w:ascii="黑体" w:eastAsia="黑体" w:cs="Arial"/>
                <w:b/>
                <w:i w:val="0"/>
                <w:color w:val="000000"/>
                <w:sz w:val="30"/>
              </w:rPr>
              <w:t>部门预算项目支出绩效自评表（2024年度）</w:t>
            </w:r>
          </w:p>
        </w:tc>
      </w:tr>
      <w:tr>
        <w:trPr>
          <w:trHeight w:val="284"/>
        </w:trPr>
        <w:tc>
          <w:tcPr>
            <w:tcW w:w="1073"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项目名称</w:t>
            </w:r>
          </w:p>
        </w:tc>
        <w:tc>
          <w:tcPr>
            <w:tcW w:w="3926" w:type="pct"/>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51320025Y000012357409-追加州级部门公务用车更新、购置经费</w:t>
            </w:r>
          </w:p>
        </w:tc>
      </w:tr>
      <w:tr>
        <w:trPr>
          <w:trHeight w:val="509"/>
        </w:trPr>
        <w:tc>
          <w:tcPr>
            <w:tcW w:w="1073"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主管部门</w:t>
            </w:r>
          </w:p>
        </w:tc>
        <w:tc>
          <w:tcPr>
            <w:tcW w:w="1988"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州教育局部门</w:t>
            </w:r>
          </w:p>
        </w:tc>
        <w:tc>
          <w:tcPr>
            <w:tcW w:w="326" w:type="pct"/>
            <w:tcBorders>
              <w:top w:val="nil"/>
              <w:left w:val="nil"/>
              <w:bottom w:val="nil"/>
              <w:right w:val="nil"/>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实施单位 （盖章）</w:t>
            </w:r>
          </w:p>
        </w:tc>
        <w:tc>
          <w:tcPr>
            <w:tcW w:w="1611"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马师校</w:t>
            </w:r>
          </w:p>
        </w:tc>
      </w:tr>
      <w:tr>
        <w:trPr>
          <w:trHeight w:val="284"/>
        </w:trPr>
        <w:tc>
          <w:tcPr>
            <w:tcW w:w="480"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项目基本情况</w:t>
            </w:r>
          </w:p>
        </w:tc>
        <w:tc>
          <w:tcPr>
            <w:tcW w:w="593"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1.项目年度目标完成情况</w:t>
            </w:r>
          </w:p>
        </w:tc>
        <w:tc>
          <w:tcPr>
            <w:tcW w:w="1988"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项目年度目标</w:t>
            </w:r>
          </w:p>
        </w:tc>
        <w:tc>
          <w:tcPr>
            <w:tcW w:w="1937" w:type="pct"/>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年度目标完成情况</w:t>
            </w:r>
          </w:p>
        </w:tc>
      </w:tr>
      <w:tr>
        <w:trPr>
          <w:trHeight w:val="70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2"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88"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left"/>
              <w:rPr>
                <w:rFonts w:ascii="SimSun" w:eastAsia="SimSun" w:cs="Arial"/>
                <w:color w:val="000000"/>
                <w:sz w:val="18"/>
              </w:rPr>
            </w:pPr>
            <w:r>
              <w:rPr>
                <w:rFonts w:ascii="SimSun" w:eastAsia="SimSun" w:cs="Arial"/>
                <w:color w:val="000000"/>
                <w:sz w:val="18"/>
              </w:rPr>
              <w:t>本年度加州级部门公务用车更新购置经费项目，计划采购1辆新车，已完成1辆，采购目标达成率100% 。经费预算59.8万元，实际支出59.8万元，预算执行率100%，采购车辆质量合格，按时交付，各项目标总体完成良好。</w:t>
            </w:r>
          </w:p>
        </w:tc>
        <w:tc>
          <w:tcPr>
            <w:tcW w:w="1937" w:type="pct"/>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对照年度目标，说明相关任务目标的完成情况（100字以内）</w:t>
            </w:r>
          </w:p>
        </w:tc>
      </w:tr>
      <w:tr>
        <w:trPr>
          <w:trHeight w:val="68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9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2.项目实施内容及过程概述</w:t>
            </w:r>
          </w:p>
        </w:tc>
        <w:tc>
          <w:tcPr>
            <w:tcW w:w="3926" w:type="pct"/>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left"/>
              <w:rPr>
                <w:rFonts w:ascii="SimSun" w:eastAsia="SimSun" w:cs="Arial"/>
                <w:color w:val="000000"/>
                <w:sz w:val="18"/>
              </w:rPr>
            </w:pPr>
            <w:r>
              <w:rPr>
                <w:rFonts w:ascii="SimSun" w:eastAsia="SimSun" w:cs="Arial"/>
                <w:color w:val="000000"/>
                <w:sz w:val="18"/>
              </w:rPr>
              <w:t>1. 需求调研与预算编制：全面摸排学校现有公务用车状况，结合日常办公、教学活动、师生出行保障等需求，确定需更新购置车辆的数量、车型及配置标准。依据市场行情，精准编制公务用车更新购置经费预算，提交上级部门审批。</w:t>
            </w:r>
          </w:p>
          <w:p>
            <w:pPr>
              <w:jc w:val="left"/>
              <w:rPr>
                <w:rFonts w:ascii="SimSun" w:eastAsia="SimSun" w:cs="Arial"/>
                <w:color w:val="000000"/>
                <w:sz w:val="18"/>
              </w:rPr>
            </w:pPr>
            <w:r>
              <w:rPr>
                <w:rFonts w:ascii="SimSun" w:eastAsia="SimSun" w:cs="Arial"/>
                <w:color w:val="000000"/>
                <w:sz w:val="18"/>
              </w:rPr>
              <w:t>2. 采购流程执行：获批后，严格遵循政府采购程序。</w:t>
            </w:r>
          </w:p>
          <w:p>
            <w:pPr>
              <w:jc w:val="left"/>
              <w:rPr>
                <w:rFonts w:ascii="SimSun" w:eastAsia="SimSun" w:cs="Arial"/>
                <w:color w:val="000000"/>
                <w:sz w:val="18"/>
              </w:rPr>
            </w:pPr>
            <w:r>
              <w:rPr>
                <w:rFonts w:ascii="SimSun" w:eastAsia="SimSun" w:cs="Arial"/>
                <w:color w:val="000000"/>
                <w:sz w:val="18"/>
              </w:rPr>
              <w:t>3. 车辆交付与后续管理：车辆到货后，联合专业机构仔细验收车辆外观、性能、随车配件及手续。验收合格后，办理车辆登记上牌，并及时分配至学校各使用部门。同时，做好经费支付凭证整理与台账登记，建立车辆使用管理制度 。</w:t>
            </w:r>
          </w:p>
        </w:tc>
      </w:tr>
      <w:tr>
        <w:trPr>
          <w:trHeight w:val="359"/>
        </w:trPr>
        <w:tc>
          <w:tcPr>
            <w:tcW w:w="480"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预算执行情况（10分）</w:t>
            </w:r>
          </w:p>
        </w:tc>
        <w:tc>
          <w:tcPr>
            <w:tcW w:w="59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年度预算数（万元）</w:t>
            </w:r>
          </w:p>
        </w:tc>
        <w:tc>
          <w:tcPr>
            <w:tcW w:w="51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年初预算</w:t>
            </w:r>
          </w:p>
        </w:tc>
        <w:tc>
          <w:tcPr>
            <w:tcW w:w="65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调整后预算数</w:t>
            </w:r>
          </w:p>
        </w:tc>
        <w:tc>
          <w:tcPr>
            <w:tcW w:w="823"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预算执行数</w:t>
            </w:r>
          </w:p>
        </w:tc>
        <w:tc>
          <w:tcPr>
            <w:tcW w:w="32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预算执行率</w:t>
            </w:r>
          </w:p>
        </w:tc>
        <w:tc>
          <w:tcPr>
            <w:tcW w:w="1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30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114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原因</w:t>
            </w: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9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总额</w:t>
            </w:r>
          </w:p>
        </w:tc>
        <w:tc>
          <w:tcPr>
            <w:tcW w:w="51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65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59.80</w:t>
            </w:r>
          </w:p>
        </w:tc>
        <w:tc>
          <w:tcPr>
            <w:tcW w:w="823"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59.80</w:t>
            </w:r>
          </w:p>
        </w:tc>
        <w:tc>
          <w:tcPr>
            <w:tcW w:w="32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1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30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w:t>
            </w:r>
          </w:p>
        </w:tc>
        <w:tc>
          <w:tcPr>
            <w:tcW w:w="1140"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b w:val="0"/>
                <w:i/>
                <w:color w:val="000000"/>
                <w:sz w:val="18"/>
              </w:rPr>
            </w:pPr>
            <w:r>
              <w:rPr>
                <w:rFonts w:ascii="simhei" w:eastAsia="simhei" w:cs="Arial"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9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其中：财政资金</w:t>
            </w:r>
          </w:p>
        </w:tc>
        <w:tc>
          <w:tcPr>
            <w:tcW w:w="51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65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59.80</w:t>
            </w:r>
          </w:p>
        </w:tc>
        <w:tc>
          <w:tcPr>
            <w:tcW w:w="823"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59.80</w:t>
            </w:r>
          </w:p>
        </w:tc>
        <w:tc>
          <w:tcPr>
            <w:tcW w:w="32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100.00%</w:t>
            </w:r>
          </w:p>
        </w:tc>
        <w:tc>
          <w:tcPr>
            <w:tcW w:w="1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0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204"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9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财政专户管理资金</w:t>
            </w:r>
          </w:p>
        </w:tc>
        <w:tc>
          <w:tcPr>
            <w:tcW w:w="51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65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823"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32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0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204"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9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单位资金</w:t>
            </w:r>
          </w:p>
        </w:tc>
        <w:tc>
          <w:tcPr>
            <w:tcW w:w="51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65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823"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32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0.00%</w:t>
            </w:r>
          </w:p>
        </w:tc>
        <w:tc>
          <w:tcPr>
            <w:tcW w:w="1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0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204"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9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其他资金</w:t>
            </w:r>
          </w:p>
        </w:tc>
        <w:tc>
          <w:tcPr>
            <w:tcW w:w="51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65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823"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p>
        </w:tc>
        <w:tc>
          <w:tcPr>
            <w:tcW w:w="32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30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w:t>
            </w:r>
          </w:p>
        </w:tc>
        <w:tc>
          <w:tcPr>
            <w:tcW w:w="1204"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480"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绩效指标（90分）</w:t>
            </w:r>
          </w:p>
        </w:tc>
        <w:tc>
          <w:tcPr>
            <w:tcW w:w="59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一级指标</w:t>
            </w:r>
          </w:p>
        </w:tc>
        <w:tc>
          <w:tcPr>
            <w:tcW w:w="51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二级指标</w:t>
            </w:r>
          </w:p>
        </w:tc>
        <w:tc>
          <w:tcPr>
            <w:tcW w:w="65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三级指标</w:t>
            </w:r>
          </w:p>
        </w:tc>
        <w:tc>
          <w:tcPr>
            <w:tcW w:w="16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指标性质</w:t>
            </w:r>
          </w:p>
        </w:tc>
        <w:tc>
          <w:tcPr>
            <w:tcW w:w="48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指标值</w:t>
            </w:r>
          </w:p>
        </w:tc>
        <w:tc>
          <w:tcPr>
            <w:tcW w:w="16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度量单位</w:t>
            </w:r>
          </w:p>
        </w:tc>
        <w:tc>
          <w:tcPr>
            <w:tcW w:w="32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完成值</w:t>
            </w:r>
          </w:p>
        </w:tc>
        <w:tc>
          <w:tcPr>
            <w:tcW w:w="1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权重</w:t>
            </w:r>
          </w:p>
        </w:tc>
        <w:tc>
          <w:tcPr>
            <w:tcW w:w="30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得分</w:t>
            </w:r>
          </w:p>
        </w:tc>
        <w:tc>
          <w:tcPr>
            <w:tcW w:w="114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未完成原因分析</w:t>
            </w:r>
          </w:p>
        </w:tc>
      </w:tr>
      <w:tr>
        <w:trPr>
          <w:trHeight w:val="344"/>
        </w:trPr>
        <w:tc>
          <w:tcPr>
            <w:tcW w:w="25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9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51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65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16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48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16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32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30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114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3388" w:type="pct"/>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合计</w:t>
            </w:r>
          </w:p>
        </w:tc>
        <w:tc>
          <w:tcPr>
            <w:tcW w:w="1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100</w:t>
            </w:r>
          </w:p>
        </w:tc>
        <w:tc>
          <w:tcPr>
            <w:tcW w:w="308"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SimSun" w:eastAsia="SimSun" w:cs="Arial"/>
                <w:color w:val="000000"/>
                <w:sz w:val="18"/>
              </w:rPr>
            </w:pPr>
            <w:r>
              <w:rPr>
                <w:rFonts w:ascii="SimSun" w:eastAsia="SimSun" w:cs="Arial"/>
                <w:color w:val="000000"/>
                <w:sz w:val="18"/>
              </w:rPr>
              <w:t>100</w:t>
            </w:r>
          </w:p>
        </w:tc>
        <w:tc>
          <w:tcPr>
            <w:tcW w:w="1140"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599"/>
        </w:trPr>
        <w:tc>
          <w:tcPr>
            <w:tcW w:w="48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评价结论</w:t>
            </w:r>
          </w:p>
        </w:tc>
        <w:tc>
          <w:tcPr>
            <w:tcW w:w="4519"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该项目采购流程严格遵循政府采购规定，车辆配置贴合学校公务出行（如教学活动、师生保障）需求，交付及时，有效改善了学校公务用车条件。整体实施规范、成效良好。仅需在后续加强车辆使用监管与维护，同时优化需求调研细节，进一步提升经费使用效益与车辆使用效率。</w:t>
            </w:r>
          </w:p>
        </w:tc>
      </w:tr>
      <w:tr>
        <w:trPr>
          <w:trHeight w:val="569"/>
        </w:trPr>
        <w:tc>
          <w:tcPr>
            <w:tcW w:w="48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存在问题</w:t>
            </w:r>
          </w:p>
        </w:tc>
        <w:tc>
          <w:tcPr>
            <w:tcW w:w="4519"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629"/>
        </w:trPr>
        <w:tc>
          <w:tcPr>
            <w:tcW w:w="48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Arial"/>
                <w:color w:val="000000"/>
                <w:sz w:val="18"/>
              </w:rPr>
            </w:pPr>
            <w:r>
              <w:rPr>
                <w:rFonts w:ascii="SimSun" w:eastAsia="SimSun" w:cs="Arial"/>
                <w:color w:val="000000"/>
                <w:sz w:val="18"/>
              </w:rPr>
              <w:t>改进措施</w:t>
            </w:r>
          </w:p>
        </w:tc>
        <w:tc>
          <w:tcPr>
            <w:tcW w:w="4519"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无</w:t>
            </w:r>
          </w:p>
        </w:tc>
      </w:tr>
      <w:tr>
        <w:trPr>
          <w:trHeight w:val="284"/>
        </w:trPr>
        <w:tc>
          <w:tcPr>
            <w:tcW w:w="2406"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项目负责人：贺明帅</w:t>
            </w:r>
          </w:p>
        </w:tc>
        <w:tc>
          <w:tcPr>
            <w:tcW w:w="2593" w:type="pct"/>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Arial" w:hAnsi="simhei"/>
                <w:color w:val="000000"/>
                <w:sz w:val="18"/>
              </w:rPr>
            </w:pPr>
            <w:r>
              <w:rPr>
                <w:rFonts w:ascii="simhei" w:eastAsia="simhei" w:cs="Arial" w:hAnsi="simhei"/>
                <w:color w:val="000000"/>
                <w:sz w:val="18"/>
              </w:rPr>
              <w:t>财务负责人：陈波</w:t>
            </w:r>
          </w:p>
        </w:tc>
      </w:tr>
      <w:tr>
        <w:trPr>
          <w:trHeight w:val="284"/>
        </w:trPr>
        <w:tc>
          <w:tcPr>
            <w:tcW w:w="480" w:type="pct"/>
            <w:tcBorders>
              <w:top w:val="nil"/>
              <w:left w:val="nil"/>
              <w:bottom w:val="nil"/>
              <w:right w:val="nil"/>
              <w:tl2br w:val="nil"/>
              <w:tr2bl w:val="nil"/>
            </w:tcBorders>
            <w:noWrap/>
            <w:vAlign w:val="center"/>
          </w:tcPr>
          <w:p>
            <w:pPr>
              <w:rPr>
                <w:rFonts w:ascii="SimSun" w:eastAsia="SimSun"/>
                <w:color w:val="000000"/>
                <w:sz w:val="18"/>
              </w:rPr>
            </w:pPr>
          </w:p>
        </w:tc>
        <w:tc>
          <w:tcPr>
            <w:tcW w:w="593" w:type="pct"/>
            <w:tcBorders>
              <w:top w:val="nil"/>
              <w:left w:val="nil"/>
              <w:bottom w:val="nil"/>
              <w:right w:val="nil"/>
              <w:tl2br w:val="nil"/>
              <w:tr2bl w:val="nil"/>
            </w:tcBorders>
            <w:noWrap/>
            <w:vAlign w:val="center"/>
          </w:tcPr>
          <w:p>
            <w:pPr>
              <w:rPr>
                <w:rFonts w:ascii="SimSun" w:eastAsia="SimSun"/>
                <w:color w:val="000000"/>
                <w:sz w:val="18"/>
              </w:rPr>
            </w:pPr>
          </w:p>
        </w:tc>
        <w:tc>
          <w:tcPr>
            <w:tcW w:w="513" w:type="pct"/>
            <w:tcBorders>
              <w:top w:val="nil"/>
              <w:left w:val="nil"/>
              <w:bottom w:val="nil"/>
              <w:right w:val="nil"/>
              <w:tl2br w:val="nil"/>
              <w:tr2bl w:val="nil"/>
            </w:tcBorders>
            <w:noWrap/>
            <w:vAlign w:val="center"/>
          </w:tcPr>
          <w:p>
            <w:pPr>
              <w:rPr>
                <w:rFonts w:ascii="SimSun" w:eastAsia="SimSun"/>
                <w:color w:val="000000"/>
                <w:sz w:val="18"/>
              </w:rPr>
            </w:pPr>
          </w:p>
        </w:tc>
        <w:tc>
          <w:tcPr>
            <w:tcW w:w="651" w:type="pct"/>
            <w:tcBorders>
              <w:top w:val="nil"/>
              <w:left w:val="nil"/>
              <w:bottom w:val="nil"/>
              <w:right w:val="nil"/>
              <w:tl2br w:val="nil"/>
              <w:tr2bl w:val="nil"/>
            </w:tcBorders>
            <w:noWrap/>
            <w:vAlign w:val="center"/>
          </w:tcPr>
          <w:p>
            <w:pPr>
              <w:rPr>
                <w:rFonts w:ascii="SimSun" w:eastAsia="SimSun"/>
                <w:color w:val="000000"/>
                <w:sz w:val="18"/>
              </w:rPr>
            </w:pPr>
          </w:p>
        </w:tc>
        <w:tc>
          <w:tcPr>
            <w:tcW w:w="167" w:type="pct"/>
            <w:tcBorders>
              <w:top w:val="nil"/>
              <w:left w:val="nil"/>
              <w:bottom w:val="nil"/>
              <w:right w:val="nil"/>
              <w:tl2br w:val="nil"/>
              <w:tr2bl w:val="nil"/>
            </w:tcBorders>
            <w:noWrap/>
            <w:vAlign w:val="center"/>
          </w:tcPr>
          <w:p>
            <w:pPr>
              <w:rPr>
                <w:rFonts w:ascii="SimSun" w:eastAsia="SimSun"/>
                <w:color w:val="000000"/>
                <w:sz w:val="18"/>
              </w:rPr>
            </w:pPr>
          </w:p>
        </w:tc>
        <w:tc>
          <w:tcPr>
            <w:tcW w:w="488" w:type="pct"/>
            <w:tcBorders>
              <w:top w:val="nil"/>
              <w:left w:val="nil"/>
              <w:bottom w:val="nil"/>
              <w:right w:val="nil"/>
              <w:tl2br w:val="nil"/>
              <w:tr2bl w:val="nil"/>
            </w:tcBorders>
            <w:noWrap/>
            <w:vAlign w:val="center"/>
          </w:tcPr>
          <w:p>
            <w:pPr>
              <w:rPr>
                <w:rFonts w:ascii="SimSun" w:eastAsia="SimSun"/>
                <w:color w:val="000000"/>
                <w:sz w:val="18"/>
              </w:rPr>
            </w:pPr>
          </w:p>
        </w:tc>
        <w:tc>
          <w:tcPr>
            <w:tcW w:w="167" w:type="pct"/>
            <w:tcBorders>
              <w:top w:val="nil"/>
              <w:left w:val="nil"/>
              <w:bottom w:val="nil"/>
              <w:right w:val="nil"/>
              <w:tl2br w:val="nil"/>
              <w:tr2bl w:val="nil"/>
            </w:tcBorders>
            <w:noWrap/>
            <w:vAlign w:val="center"/>
          </w:tcPr>
          <w:p>
            <w:pPr>
              <w:rPr>
                <w:rFonts w:ascii="SimSun" w:eastAsia="SimSun"/>
                <w:color w:val="000000"/>
                <w:sz w:val="18"/>
              </w:rPr>
            </w:pPr>
          </w:p>
        </w:tc>
        <w:tc>
          <w:tcPr>
            <w:tcW w:w="326" w:type="pct"/>
            <w:tcBorders>
              <w:top w:val="nil"/>
              <w:left w:val="nil"/>
              <w:bottom w:val="nil"/>
              <w:right w:val="nil"/>
              <w:tl2br w:val="nil"/>
              <w:tr2bl w:val="nil"/>
            </w:tcBorders>
            <w:noWrap/>
            <w:vAlign w:val="center"/>
          </w:tcPr>
          <w:p>
            <w:pPr>
              <w:rPr>
                <w:rFonts w:ascii="SimSun" w:eastAsia="SimSun"/>
                <w:color w:val="000000"/>
                <w:sz w:val="18"/>
              </w:rPr>
            </w:pPr>
          </w:p>
        </w:tc>
        <w:tc>
          <w:tcPr>
            <w:tcW w:w="162" w:type="pct"/>
            <w:tcBorders>
              <w:top w:val="nil"/>
              <w:left w:val="nil"/>
              <w:bottom w:val="nil"/>
              <w:right w:val="nil"/>
              <w:tl2br w:val="nil"/>
              <w:tr2bl w:val="nil"/>
            </w:tcBorders>
            <w:noWrap/>
            <w:vAlign w:val="center"/>
          </w:tcPr>
          <w:p>
            <w:pPr>
              <w:rPr>
                <w:rFonts w:ascii="SimSun" w:eastAsia="SimSun"/>
                <w:color w:val="000000"/>
                <w:sz w:val="18"/>
              </w:rPr>
            </w:pPr>
          </w:p>
        </w:tc>
        <w:tc>
          <w:tcPr>
            <w:tcW w:w="308" w:type="pct"/>
            <w:tcBorders>
              <w:top w:val="nil"/>
              <w:left w:val="nil"/>
              <w:bottom w:val="nil"/>
              <w:right w:val="nil"/>
              <w:tl2br w:val="nil"/>
              <w:tr2bl w:val="nil"/>
            </w:tcBorders>
            <w:noWrap/>
            <w:vAlign w:val="center"/>
          </w:tcPr>
          <w:p>
            <w:pPr>
              <w:rPr>
                <w:rFonts w:ascii="SimSun" w:eastAsia="SimSun"/>
                <w:color w:val="000000"/>
                <w:sz w:val="18"/>
              </w:rPr>
            </w:pPr>
          </w:p>
        </w:tc>
        <w:tc>
          <w:tcPr>
            <w:tcW w:w="1140" w:type="pct"/>
            <w:tcBorders>
              <w:top w:val="nil"/>
              <w:left w:val="nil"/>
              <w:bottom w:val="nil"/>
              <w:right w:val="nil"/>
              <w:tl2br w:val="nil"/>
              <w:tr2bl w:val="nil"/>
            </w:tcBorders>
            <w:noWrap/>
            <w:vAlign w:val="center"/>
          </w:tcPr>
          <w:p>
            <w:pPr>
              <w:rPr>
                <w:rFonts w:ascii="SimSun" w:eastAsia="SimSun"/>
                <w:color w:val="000000"/>
                <w:sz w:val="18"/>
              </w:rPr>
            </w:pPr>
          </w:p>
        </w:tc>
      </w:tr>
      <w:tr>
        <w:trPr>
          <w:trHeight w:val="284"/>
        </w:trPr>
        <w:tc>
          <w:tcPr>
            <w:tcW w:w="5000" w:type="pct"/>
            <w:gridSpan w:val="11"/>
            <w:tcBorders>
              <w:top w:val="nil"/>
              <w:left w:val="nil"/>
              <w:bottom w:val="nil"/>
              <w:right w:val="nil"/>
              <w:tl2br w:val="nil"/>
              <w:tr2bl w:val="nil"/>
            </w:tcBorders>
            <w:noWrap/>
            <w:vAlign w:val="center"/>
          </w:tcPr>
          <w:p>
            <w:pPr>
              <w:jc w:val="left"/>
              <w:rPr>
                <w:rFonts w:ascii="SimSun" w:eastAsia="SimSun" w:cs="Arial"/>
                <w:color w:val="000000"/>
                <w:sz w:val="18"/>
              </w:rPr>
            </w:pPr>
            <w:r>
              <w:rPr>
                <w:rFonts w:ascii="SimSun" w:eastAsia="SimSun" w:cs="Arial"/>
                <w:color w:val="000000"/>
                <w:sz w:val="18"/>
              </w:rPr>
              <w:t>1、报表说明:该报表查询项目信息、绩效目标信息、预算及执行情况，用于预算单位查询导出开展项目自评。</w:t>
            </w:r>
          </w:p>
        </w:tc>
      </w:tr>
      <w:tr>
        <w:trPr>
          <w:trHeight w:val="284"/>
        </w:trPr>
        <w:tc>
          <w:tcPr>
            <w:tcW w:w="5000" w:type="pct"/>
            <w:gridSpan w:val="11"/>
            <w:tcBorders>
              <w:top w:val="nil"/>
              <w:left w:val="nil"/>
              <w:bottom w:val="nil"/>
              <w:right w:val="nil"/>
              <w:tl2br w:val="nil"/>
              <w:tr2bl w:val="nil"/>
            </w:tcBorders>
            <w:noWrap/>
            <w:vAlign w:val="center"/>
          </w:tcPr>
          <w:p>
            <w:pPr>
              <w:jc w:val="left"/>
              <w:rPr>
                <w:rFonts w:ascii="SimSun" w:eastAsia="SimSun" w:cs="Arial"/>
                <w:color w:val="000000"/>
                <w:sz w:val="18"/>
              </w:rPr>
            </w:pPr>
            <w:r>
              <w:rPr>
                <w:rFonts w:ascii="SimSun" w:eastAsia="SimSun" w:cs="Arial"/>
                <w:color w:val="000000"/>
                <w:sz w:val="18"/>
              </w:rPr>
              <w:t>2、取数口径：部门项目绩效目标表信息，包括年初预算、追加预算、结转预算和调整预算的绩效目标（以项目的最终绩效目标为准）。</w:t>
            </w:r>
          </w:p>
        </w:tc>
      </w:tr>
      <w:tr>
        <w:trPr>
          <w:trHeight w:val="284"/>
        </w:trPr>
        <w:tc>
          <w:tcPr>
            <w:tcW w:w="5000" w:type="pct"/>
            <w:gridSpan w:val="11"/>
            <w:tcBorders>
              <w:top w:val="nil"/>
              <w:left w:val="nil"/>
              <w:bottom w:val="nil"/>
              <w:right w:val="nil"/>
              <w:tl2br w:val="nil"/>
              <w:tr2bl w:val="nil"/>
            </w:tcBorders>
            <w:noWrap/>
            <w:vAlign w:val="center"/>
          </w:tcPr>
          <w:p>
            <w:pPr>
              <w:jc w:val="left"/>
              <w:rPr>
                <w:rFonts w:ascii="SimSun" w:eastAsia="SimSun" w:cs="Arial"/>
                <w:color w:val="000000"/>
                <w:sz w:val="18"/>
              </w:rPr>
            </w:pPr>
            <w:r>
              <w:rPr>
                <w:rFonts w:ascii="SimSun" w:eastAsia="SimSun" w:cs="Arial"/>
                <w:color w:val="000000"/>
                <w:sz w:val="18"/>
              </w:rPr>
              <w:t>适用地区：全省范围</w:t>
            </w:r>
          </w:p>
        </w:tc>
      </w:tr>
      <w:tr>
        <w:trPr>
          <w:trHeight w:val="284"/>
        </w:trPr>
        <w:tc>
          <w:tcPr>
            <w:tcW w:w="5000" w:type="pct"/>
            <w:gridSpan w:val="11"/>
            <w:tcBorders>
              <w:top w:val="nil"/>
              <w:left w:val="nil"/>
              <w:bottom w:val="nil"/>
              <w:right w:val="nil"/>
              <w:tl2br w:val="nil"/>
              <w:tr2bl w:val="nil"/>
            </w:tcBorders>
            <w:noWrap/>
            <w:vAlign w:val="center"/>
          </w:tcPr>
          <w:p>
            <w:pPr>
              <w:jc w:val="left"/>
              <w:rPr>
                <w:rFonts w:ascii="SimSun" w:eastAsia="SimSun" w:cs="Arial"/>
                <w:color w:val="000000"/>
                <w:sz w:val="18"/>
              </w:rPr>
            </w:pPr>
            <w:r>
              <w:rPr>
                <w:rFonts w:ascii="SimSun" w:eastAsia="SimSun" w:cs="Arial"/>
                <w:color w:val="000000"/>
                <w:sz w:val="18"/>
              </w:rPr>
              <w:t>适用用户：部门用户、单位用户</w:t>
            </w:r>
          </w:p>
        </w:tc>
      </w:tr>
    </w:tbl>
    <w:p>
      <w:pPr>
        <w:pStyle w:val="17"/>
        <w:ind w:leftChars="0" w:left="0" w:firstLineChars="0" w:firstLine="0"/>
      </w:pPr>
    </w:p>
    <w:p>
      <w:pPr>
        <w:pStyle w:val="17"/>
        <w:ind w:right="-1364"/>
        <w:sectPr>
          <w:footerReference w:type="default" r:id="rId2"/>
          <w:footerReference w:type="first" r:id="rId3"/>
          <w:pgSz w:w="11906" w:h="16838"/>
          <w:pgMar w:top="1440" w:right="1800" w:bottom="1440" w:left="1800" w:header="851" w:footer="992" w:gutter="0"/>
          <w:pgNumType w:fmt="numberInDash" w:start="1"/>
          <w:titlePg/>
          <w:docGrid w:type="lines" w:linePitch="312" w:charSpace="0"/>
        </w:sectPr>
      </w:pPr>
    </w:p>
    <w:p>
      <w:pPr>
        <w:spacing w:line="600" w:lineRule="exact"/>
        <w:rPr>
          <w:rFonts w:eastAsia="仿宋_GB2312" w:cs="仿宋_GB2312"/>
          <w:sz w:val="32"/>
          <w:szCs w:val="32"/>
        </w:rPr>
      </w:pPr>
    </w:p>
    <w:p>
      <w:pPr>
        <w:pStyle w:val="35"/>
        <w:keepNext w:val="0"/>
        <w:keepLines w:val="0"/>
        <w:pageBreakBefore w:val="0"/>
        <w:widowControl w:val="0"/>
        <w:kinsoku/>
        <w:wordWrap/>
        <w:overflowPunct/>
        <w:topLinePunct w:val="0"/>
        <w:autoSpaceDE/>
        <w:autoSpaceDN/>
        <w:bidi w:val="0"/>
        <w:spacing w:line="578" w:lineRule="exact"/>
        <w:ind w:left="0"/>
        <w:jc w:val="center"/>
        <w:textAlignment w:val="auto"/>
        <w:rPr>
          <w:rFonts w:ascii="Times New Roman" w:eastAsia="楷体_GB2312" w:hAnsi="Times New Roman"/>
          <w:b/>
          <w:bCs/>
          <w:color w:val="auto"/>
          <w:kern w:val="2"/>
          <w:sz w:val="32"/>
          <w:szCs w:val="32"/>
          <w:highlight w:val="auto"/>
        </w:rPr>
      </w:pPr>
      <w:r>
        <w:rPr>
          <w:rFonts w:ascii="Times New Roman" w:eastAsia="楷体_GB2312" w:hAnsi="Times New Roman"/>
          <w:b/>
          <w:bCs/>
          <w:color w:val="auto"/>
          <w:kern w:val="2"/>
          <w:sz w:val="32"/>
          <w:szCs w:val="32"/>
          <w:highlight w:val="auto"/>
        </w:rPr>
        <w:t>追加州级部门公务用车更新、购置经费</w:t>
      </w:r>
    </w:p>
    <w:p>
      <w:pPr>
        <w:pStyle w:val="35"/>
        <w:keepNext w:val="0"/>
        <w:keepLines w:val="0"/>
        <w:pageBreakBefore w:val="0"/>
        <w:widowControl w:val="0"/>
        <w:kinsoku/>
        <w:wordWrap/>
        <w:overflowPunct/>
        <w:topLinePunct w:val="0"/>
        <w:autoSpaceDE/>
        <w:autoSpaceDN/>
        <w:bidi w:val="0"/>
        <w:spacing w:line="578" w:lineRule="exact"/>
        <w:ind w:left="0"/>
        <w:jc w:val="center"/>
        <w:textAlignment w:val="auto"/>
        <w:rPr>
          <w:rFonts w:ascii="Times New Roman" w:eastAsia="楷体_GB2312" w:hAnsi="Times New Roman"/>
          <w:b/>
          <w:bCs/>
          <w:color w:val="auto"/>
          <w:kern w:val="2"/>
          <w:sz w:val="32"/>
          <w:szCs w:val="32"/>
          <w:highlight w:val="auto"/>
        </w:rPr>
      </w:pPr>
      <w:r>
        <w:rPr>
          <w:rFonts w:ascii="Times New Roman" w:eastAsia="楷体_GB2312" w:hAnsi="Times New Roman"/>
          <w:b/>
          <w:bCs/>
          <w:color w:val="auto"/>
          <w:kern w:val="2"/>
          <w:sz w:val="32"/>
          <w:szCs w:val="32"/>
          <w:highlight w:val="auto"/>
        </w:rPr>
        <w:t>专项预算绩效自评报告</w:t>
      </w:r>
    </w:p>
    <w:p>
      <w:pPr>
        <w:pStyle w:val="35"/>
        <w:keepNext w:val="0"/>
        <w:keepLines w:val="0"/>
        <w:pageBreakBefore w:val="0"/>
        <w:widowControl w:val="0"/>
        <w:kinsoku/>
        <w:wordWrap/>
        <w:overflowPunct/>
        <w:topLinePunct w:val="0"/>
        <w:autoSpaceDE/>
        <w:autoSpaceDN/>
        <w:bidi w:val="0"/>
        <w:spacing w:line="578" w:lineRule="exact"/>
        <w:ind w:left="0" w:firstLine="640"/>
        <w:jc w:val="center"/>
        <w:textAlignment w:val="auto"/>
        <w:rPr>
          <w:rFonts w:ascii="Times New Roman" w:cs="Times New Roman" w:hAnsi="Times New Roman"/>
          <w:color w:val="auto"/>
          <w:kern w:val="2"/>
          <w:sz w:val="32"/>
          <w:szCs w:val="32"/>
          <w:lang w:bidi="ar-SA"/>
          <w:highlight w:val="auto"/>
        </w:rPr>
      </w:pPr>
    </w:p>
    <w:p>
      <w:pPr>
        <w:keepNext w:val="0"/>
        <w:keepLines w:val="0"/>
        <w:pageBreakBefore w:val="0"/>
        <w:widowControl w:val="0"/>
        <w:kinsoku/>
        <w:wordWrap/>
        <w:overflowPunct/>
        <w:topLinePunct w:val="0"/>
        <w:autoSpaceDE/>
        <w:autoSpaceDN/>
        <w:bidi w:val="0"/>
        <w:adjustRightInd w:val="0"/>
        <w:snapToGrid w:val="0"/>
        <w:spacing w:line="578" w:lineRule="exact"/>
        <w:ind w:left="0"/>
        <w:textAlignment w:val="auto"/>
        <w:rPr>
          <w:rFonts w:eastAsia="仿宋_GB2312" w:cs="仿宋_GB2312" w:hint="eastAsia"/>
          <w:b/>
          <w:bCs/>
          <w:sz w:val="32"/>
          <w:szCs w:val="32"/>
          <w:lang w:val="zh-CN" w:eastAsia="zh-CN" w:bidi="ar-SA"/>
          <w:highlight w:val="auto"/>
        </w:rPr>
      </w:pPr>
      <w:r>
        <w:rPr>
          <w:rFonts w:eastAsia="仿宋_GB2312" w:cs="仿宋_GB2312" w:hint="eastAsia"/>
          <w:b/>
          <w:bCs/>
          <w:sz w:val="32"/>
          <w:szCs w:val="32"/>
          <w:lang w:bidi="ar-SA"/>
          <w:highlight w:val="auto"/>
        </w:rPr>
        <w:t>一、</w:t>
      </w:r>
      <w:r>
        <w:rPr>
          <w:rFonts w:eastAsia="仿宋_GB2312" w:cs="仿宋_GB2312" w:hint="eastAsia"/>
          <w:b/>
          <w:bCs/>
          <w:sz w:val="32"/>
          <w:szCs w:val="32"/>
          <w:lang w:val="zh-CN" w:eastAsia="zh-CN" w:bidi="ar-SA"/>
          <w:highlight w:val="auto"/>
        </w:rPr>
        <w:t>项目概况</w:t>
      </w:r>
    </w:p>
    <w:p>
      <w:pPr>
        <w:keepNext w:val="0"/>
        <w:keepLines w:val="0"/>
        <w:pageBreakBefore w:val="0"/>
        <w:widowControl/>
        <w:kinsoku/>
        <w:wordWrap/>
        <w:overflowPunct/>
        <w:topLinePunct w:val="0"/>
        <w:autoSpaceDE/>
        <w:autoSpaceDN/>
        <w:bidi w:val="0"/>
        <w:adjustRightInd w:val="0"/>
        <w:snapToGrid w:val="0"/>
        <w:spacing w:line="578" w:lineRule="exact"/>
        <w:contextualSpacing/>
        <w:jc w:val="left"/>
        <w:textAlignment w:val="auto"/>
        <w:rPr>
          <w:rFonts w:ascii="Times New Roman" w:eastAsia="仿宋_GB2312" w:cs="Times New Roman" w:hAnsi="Times New Roman"/>
          <w:color w:val="auto"/>
          <w:kern w:val="0"/>
          <w:sz w:val="32"/>
          <w:szCs w:val="32"/>
          <w:u w:val="none"/>
          <w:shd w:val="clear" w:color="auto" w:fill="FFFFFF"/>
          <w:lang w:val="en-US" w:bidi="ar-SA"/>
          <w:highlight w:val="auto"/>
        </w:rPr>
      </w:pPr>
      <w:r>
        <w:rPr>
          <w:rFonts w:ascii="Times New Roman" w:eastAsia="楷体_GB2312" w:cs="Times New Roman" w:hAnsi="Times New Roman"/>
          <w:b/>
          <w:color w:val="auto"/>
          <w:sz w:val="32"/>
          <w:szCs w:val="32"/>
          <w:u w:val="none"/>
          <w:lang w:val="zh-CN" w:eastAsia="zh-CN" w:bidi="ar-SA"/>
          <w:highlight w:val="auto"/>
        </w:rPr>
        <w:t>（一）设立背景及基本情况。</w:t>
      </w:r>
      <w:r>
        <w:rPr>
          <w:rFonts w:eastAsia="仿宋_GB2312"/>
          <w:kern w:val="0"/>
          <w:sz w:val="32"/>
          <w:szCs w:val="32"/>
          <w:shd w:val="clear" w:color="auto" w:fill="FFFFFF"/>
          <w:lang w:val="zh-CN"/>
          <w:highlight w:val="auto"/>
        </w:rPr>
        <w:t>现有公务用车状况与当前工作需求之间的矛盾逐渐凸显。部分车辆购置年限已久，行驶里程数高，车况较差，频繁出现故障，维修成本不断攀升，不仅影响了公务出行的及时性与稳定性，还存在一定的安全隐患。</w:t>
      </w:r>
    </w:p>
    <w:p>
      <w:pPr>
        <w:keepNext w:val="0"/>
        <w:keepLines w:val="0"/>
        <w:pageBreakBefore w:val="0"/>
        <w:widowControl/>
        <w:kinsoku/>
        <w:wordWrap/>
        <w:overflowPunct/>
        <w:topLinePunct w:val="0"/>
        <w:autoSpaceDE/>
        <w:autoSpaceDN/>
        <w:adjustRightInd w:val="0"/>
        <w:snapToGrid w:val="0"/>
        <w:spacing w:line="578" w:lineRule="exact"/>
        <w:ind w:left="0"/>
        <w:contextualSpacing/>
        <w:jc w:val="left"/>
        <w:rPr>
          <w:rFonts w:eastAsia="仿宋_GB2312"/>
          <w:kern w:val="0"/>
          <w:sz w:val="32"/>
          <w:szCs w:val="32"/>
          <w:shd w:val="clear" w:color="auto" w:fill="FFFFFF"/>
          <w:lang w:val="zh-CN" w:eastAsia="zh-CN" w:bidi="ar-SA"/>
          <w:highlight w:val="auto"/>
        </w:rPr>
      </w:pPr>
      <w:r>
        <w:rPr>
          <w:rFonts w:ascii="Times New Roman" w:eastAsia="楷体_GB2312" w:cs="Times New Roman" w:hAnsi="Times New Roman"/>
          <w:b/>
          <w:color w:val="auto"/>
          <w:sz w:val="32"/>
          <w:szCs w:val="32"/>
          <w:u w:val="none"/>
          <w:lang w:val="zh-CN" w:eastAsia="zh-CN" w:bidi="ar-SA"/>
          <w:highlight w:val="auto"/>
        </w:rPr>
        <w:t>（二）</w:t>
      </w:r>
      <w:r>
        <w:rPr>
          <w:rFonts w:ascii="Times New Roman" w:eastAsia="楷体_GB2312" w:cs="Times New Roman" w:hAnsi="Times New Roman"/>
          <w:b/>
          <w:color w:val="auto"/>
          <w:sz w:val="32"/>
          <w:szCs w:val="32"/>
          <w:u w:val="none"/>
          <w:lang w:val="en-US" w:eastAsia="zh-CN" w:bidi="ar-SA"/>
          <w:highlight w:val="auto"/>
        </w:rPr>
        <w:t>实施目的及支持方向。</w:t>
      </w:r>
      <w:r>
        <w:rPr>
          <w:rFonts w:cs="Times New Roman" w:hint="eastAsia"/>
          <w:color w:val="auto"/>
          <w:kern w:val="0"/>
          <w:sz w:val="32"/>
          <w:szCs w:val="32"/>
          <w:u w:val="none"/>
          <w:shd w:val="clear" w:color="auto" w:fill="FFFFFF"/>
          <w:lang w:val="en-US" w:eastAsia="zh-CN" w:bidi="ar-SA"/>
          <w:highlight w:val="auto"/>
        </w:rPr>
        <w:t xml:space="preserve"> </w:t>
      </w:r>
      <w:r>
        <w:rPr>
          <w:rFonts w:eastAsia="仿宋_GB2312"/>
          <w:kern w:val="0"/>
          <w:sz w:val="32"/>
          <w:szCs w:val="32"/>
          <w:shd w:val="clear" w:color="auto" w:fill="FFFFFF"/>
          <w:lang w:val="zh-CN"/>
          <w:highlight w:val="auto"/>
        </w:rPr>
        <w:t>提升</w:t>
      </w:r>
      <w:r>
        <w:rPr>
          <w:rFonts w:eastAsia="仿宋_GB2312"/>
          <w:kern w:val="0"/>
          <w:sz w:val="32"/>
          <w:szCs w:val="32"/>
          <w:shd w:val="clear" w:color="auto" w:fill="FFFFFF"/>
          <w:lang w:val="zh-CN" w:eastAsia="zh-CN" w:bidi="ar-SA"/>
          <w:highlight w:val="auto"/>
        </w:rPr>
        <w:t>行政效率：更新购置性能更优、可靠性更强的公务用车，减少因车辆故障导致的公务延误，确保政府工作人员能够快速、准时地到达工作现场，高效处理各类事务，提高整体行政效能。</w:t>
      </w:r>
    </w:p>
    <w:p>
      <w:pPr>
        <w:keepNext w:val="0"/>
        <w:keepLines w:val="0"/>
        <w:pageBreakBefore w:val="0"/>
        <w:widowControl/>
        <w:kinsoku/>
        <w:wordWrap/>
        <w:overflowPunct/>
        <w:topLinePunct w:val="0"/>
        <w:autoSpaceDE/>
        <w:autoSpaceDN/>
        <w:adjustRightInd w:val="0"/>
        <w:snapToGrid w:val="0"/>
        <w:spacing w:line="578" w:lineRule="exact"/>
        <w:ind w:left="0"/>
        <w:contextualSpacing/>
        <w:jc w:val="left"/>
        <w:rPr>
          <w:rFonts w:eastAsia="仿宋_GB2312"/>
          <w:kern w:val="0"/>
          <w:sz w:val="32"/>
          <w:szCs w:val="32"/>
          <w:shd w:val="clear" w:color="auto" w:fill="FFFFFF"/>
          <w:lang w:val="zh-CN" w:eastAsia="zh-CN" w:bidi="ar-SA"/>
          <w:highlight w:val="auto"/>
        </w:rPr>
      </w:pPr>
      <w:r>
        <w:rPr>
          <w:rFonts w:eastAsia="仿宋_GB2312"/>
          <w:kern w:val="0"/>
          <w:sz w:val="32"/>
          <w:szCs w:val="32"/>
          <w:shd w:val="clear" w:color="auto" w:fill="FFFFFF"/>
          <w:lang w:val="zh-CN" w:eastAsia="zh-CN" w:bidi="ar-SA"/>
          <w:highlight w:val="auto"/>
        </w:rPr>
        <w:t>- 保障出行安全：淘汰老旧、安全性能下降的车辆，选用具备先进安全配置的新车，降低行车风险，为公务人员的出行提供坚实的安全保障。</w:t>
      </w:r>
    </w:p>
    <w:p>
      <w:pPr>
        <w:keepNext w:val="0"/>
        <w:keepLines w:val="0"/>
        <w:pageBreakBefore w:val="0"/>
        <w:widowControl/>
        <w:kinsoku/>
        <w:wordWrap/>
        <w:overflowPunct/>
        <w:topLinePunct w:val="0"/>
        <w:autoSpaceDE/>
        <w:autoSpaceDN/>
        <w:adjustRightInd w:val="0"/>
        <w:snapToGrid w:val="0"/>
        <w:spacing w:line="578" w:lineRule="exact"/>
        <w:ind w:left="0"/>
        <w:contextualSpacing/>
        <w:jc w:val="left"/>
        <w:rPr>
          <w:rFonts w:eastAsia="仿宋_GB2312"/>
          <w:kern w:val="0"/>
          <w:sz w:val="32"/>
          <w:szCs w:val="32"/>
          <w:shd w:val="clear" w:color="auto" w:fill="FFFFFF"/>
          <w:lang w:val="zh-CN" w:eastAsia="zh-CN" w:bidi="ar-SA"/>
          <w:highlight w:val="auto"/>
        </w:rPr>
      </w:pPr>
      <w:r>
        <w:rPr>
          <w:rFonts w:eastAsia="仿宋_GB2312"/>
          <w:kern w:val="0"/>
          <w:sz w:val="32"/>
          <w:szCs w:val="32"/>
          <w:shd w:val="clear" w:color="auto" w:fill="FFFFFF"/>
          <w:lang w:val="zh-CN" w:eastAsia="zh-CN" w:bidi="ar-SA"/>
          <w:highlight w:val="auto"/>
        </w:rPr>
        <w:t>- 规范公车管理：通过统一的更新购置项目，进一步完善公务用车的编制管理、资产登记等工作，优化车辆资源配置，避免公车私用等违规现象，加强廉政建设，提升公务用车管理的规范化、科学化水平。</w:t>
      </w:r>
    </w:p>
    <w:p>
      <w:pPr>
        <w:keepNext w:val="0"/>
        <w:keepLines w:val="0"/>
        <w:pageBreakBefore w:val="0"/>
        <w:widowControl/>
        <w:kinsoku/>
        <w:wordWrap/>
        <w:overflowPunct/>
        <w:topLinePunct w:val="0"/>
        <w:autoSpaceDE/>
        <w:autoSpaceDN/>
        <w:bidi w:val="0"/>
        <w:adjustRightInd w:val="0"/>
        <w:snapToGrid w:val="0"/>
        <w:spacing w:line="578" w:lineRule="exact"/>
        <w:ind w:left="0"/>
        <w:contextualSpacing/>
        <w:jc w:val="left"/>
        <w:textAlignment w:val="auto"/>
        <w:rPr>
          <w:rFonts w:eastAsia="仿宋_GB2312"/>
          <w:kern w:val="0"/>
          <w:sz w:val="32"/>
          <w:szCs w:val="32"/>
          <w:shd w:val="clear" w:color="auto" w:fill="FFFFFF"/>
          <w:lang w:val="zh-CN"/>
          <w:highlight w:val="auto"/>
        </w:rPr>
      </w:pPr>
      <w:r>
        <w:rPr>
          <w:rFonts w:ascii="Times New Roman" w:eastAsia="楷体_GB2312" w:cs="Times New Roman" w:hAnsi="Times New Roman"/>
          <w:b/>
          <w:color w:val="auto"/>
          <w:sz w:val="32"/>
          <w:szCs w:val="32"/>
          <w:u w:val="none"/>
          <w:lang w:val="en-US" w:eastAsia="zh-CN" w:bidi="ar-SA"/>
          <w:highlight w:val="auto"/>
        </w:rPr>
        <w:t>（三）预算安排及分配管理</w:t>
      </w:r>
      <w:r>
        <w:rPr>
          <w:rFonts w:ascii="Times New Roman" w:eastAsia="楷体_GB2312" w:cs="Times New Roman" w:hAnsi="Times New Roman"/>
          <w:b/>
          <w:color w:val="auto"/>
          <w:sz w:val="32"/>
          <w:szCs w:val="32"/>
          <w:u w:val="none"/>
          <w:lang w:val="zh-CN" w:eastAsia="zh-CN" w:bidi="ar-SA"/>
          <w:highlight w:val="auto"/>
        </w:rPr>
        <w:t>。</w:t>
      </w:r>
      <w:r>
        <w:rPr>
          <w:rFonts w:eastAsia="仿宋_GB2312"/>
          <w:kern w:val="0"/>
          <w:sz w:val="32"/>
          <w:szCs w:val="32"/>
          <w:shd w:val="clear" w:color="auto" w:fill="FFFFFF"/>
          <w:lang w:val="zh-CN"/>
          <w:highlight w:val="auto"/>
        </w:rPr>
        <w:t>年中预算安排60万元，项目实施期限为2024年</w:t>
      </w:r>
    </w:p>
    <w:p>
      <w:pPr>
        <w:keepNext w:val="0"/>
        <w:keepLines w:val="0"/>
        <w:pageBreakBefore w:val="0"/>
        <w:widowControl/>
        <w:kinsoku/>
        <w:wordWrap/>
        <w:overflowPunct/>
        <w:topLinePunct w:val="0"/>
        <w:autoSpaceDE/>
        <w:autoSpaceDN/>
        <w:bidi w:val="0"/>
        <w:adjustRightInd w:val="0"/>
        <w:snapToGrid w:val="0"/>
        <w:spacing w:line="578" w:lineRule="exact"/>
        <w:ind w:left="0" w:firstLineChars="50" w:firstLine="160"/>
        <w:contextualSpacing/>
        <w:jc w:val="left"/>
        <w:textAlignment w:val="auto"/>
        <w:rPr>
          <w:rFonts w:ascii="Times New Roman" w:eastAsia="楷体_GB2312" w:cs="Times New Roman" w:hAnsi="Times New Roman"/>
          <w:b/>
          <w:color w:val="auto"/>
          <w:sz w:val="32"/>
          <w:szCs w:val="32"/>
          <w:u w:val="none"/>
          <w:lang w:val="zh-CN" w:eastAsia="zh-CN" w:bidi="ar-SA"/>
          <w:highlight w:val="auto"/>
        </w:rPr>
      </w:pPr>
      <w:r>
        <w:rPr>
          <w:rFonts w:ascii="Times New Roman" w:eastAsia="楷体_GB2312" w:cs="Times New Roman" w:hAnsi="Times New Roman"/>
          <w:b/>
          <w:color w:val="auto"/>
          <w:sz w:val="32"/>
          <w:szCs w:val="32"/>
          <w:u w:val="none"/>
          <w:lang w:val="zh-CN" w:eastAsia="zh-CN" w:bidi="ar-SA"/>
          <w:highlight w:val="auto"/>
        </w:rPr>
        <w:t>（四）项目绩效目标设置。</w:t>
      </w:r>
    </w:p>
    <w:p>
      <w:pPr>
        <w:pStyle w:val="27"/>
        <w:ind w:leftChars="200" w:left="420"/>
        <w:rPr>
          <w:rFonts w:ascii="Times New Roman" w:eastAsia="仿宋_GB2312" w:cs="Times New Roman" w:hAnsi="Times New Roman"/>
          <w:b w:val="0"/>
          <w:color w:val="auto"/>
          <w:kern w:val="0"/>
          <w:sz w:val="32"/>
          <w:szCs w:val="32"/>
          <w:u w:val="none"/>
          <w:shd w:val="clear" w:color="auto" w:fill="FFFFFF"/>
          <w:lang w:val="zh-CN" w:eastAsia="zh-CN" w:bidi="ar-SA"/>
          <w:highlight w:val="auto"/>
        </w:rPr>
      </w:pPr>
      <w:r>
        <w:rPr>
          <w:rFonts w:ascii="Times New Roman" w:eastAsia="仿宋_GB2312" w:cs="Times New Roman" w:hAnsi="Times New Roman"/>
          <w:b w:val="0"/>
          <w:color w:val="auto"/>
          <w:kern w:val="0"/>
          <w:sz w:val="32"/>
          <w:szCs w:val="32"/>
          <w:u w:val="none"/>
          <w:shd w:val="clear" w:color="auto" w:fill="FFFFFF"/>
          <w:lang w:val="zh-CN" w:eastAsia="zh-CN" w:bidi="ar-SA"/>
          <w:highlight w:val="auto"/>
        </w:rPr>
        <w:t>通过科学规划与实施公务用车购置项目，实现加州级部门公务用车的更新换代，全面提升行政运行效率、保障公务出行安全、落实节能环保要求，构建科学规范、高效廉洁的公务用车管理体系，推动政府公共服务能力与治理水平高质量发展。</w:t>
      </w:r>
    </w:p>
    <w:p>
      <w:pPr>
        <w:keepNext w:val="0"/>
        <w:keepLines w:val="0"/>
        <w:pageBreakBefore w:val="0"/>
        <w:widowControl w:val="0"/>
        <w:kinsoku/>
        <w:wordWrap/>
        <w:overflowPunct/>
        <w:topLinePunct w:val="0"/>
        <w:autoSpaceDE/>
        <w:autoSpaceDN/>
        <w:bidi w:val="0"/>
        <w:adjustRightInd w:val="0"/>
        <w:snapToGrid w:val="0"/>
        <w:spacing w:line="578" w:lineRule="exact"/>
        <w:ind w:left="0"/>
        <w:textAlignment w:val="auto"/>
        <w:outlineLvl w:val="9"/>
        <w:rPr>
          <w:rFonts w:eastAsia="楷体_GB2312"/>
          <w:b/>
          <w:sz w:val="32"/>
          <w:szCs w:val="32"/>
          <w:lang w:val="zh-CN"/>
          <w:highlight w:val="auto"/>
        </w:rPr>
      </w:pPr>
      <w:r>
        <w:rPr>
          <w:rFonts w:eastAsia="楷体_GB2312"/>
          <w:b/>
          <w:sz w:val="32"/>
          <w:szCs w:val="32"/>
          <w:lang w:val="zh-CN"/>
          <w:highlight w:val="auto"/>
        </w:rPr>
        <w:t>二、评价实施</w:t>
      </w:r>
    </w:p>
    <w:p>
      <w:pPr>
        <w:keepNext w:val="0"/>
        <w:keepLines w:val="0"/>
        <w:pageBreakBefore w:val="0"/>
        <w:widowControl w:val="0"/>
        <w:kinsoku/>
        <w:wordWrap/>
        <w:overflowPunct/>
        <w:topLinePunct w:val="0"/>
        <w:autoSpaceDE/>
        <w:autoSpaceDN/>
        <w:bidi w:val="0"/>
        <w:spacing w:line="578" w:lineRule="exact"/>
        <w:ind w:left="0"/>
        <w:textAlignment w:val="auto"/>
        <w:outlineLvl w:val="9"/>
        <w:rPr>
          <w:rFonts w:ascii="Times New Roman" w:eastAsia="楷体_GB2312" w:cs="Times New Roman" w:hAnsi="Times New Roman"/>
          <w:b/>
          <w:color w:val="auto"/>
          <w:sz w:val="32"/>
          <w:szCs w:val="32"/>
          <w:u w:val="none"/>
          <w:lang w:val="zh-CN" w:eastAsia="zh-CN" w:bidi="ar-SA"/>
          <w:highlight w:val="auto"/>
        </w:rPr>
      </w:pPr>
      <w:r>
        <w:rPr>
          <w:rFonts w:ascii="Times New Roman" w:eastAsia="楷体_GB2312" w:cs="Times New Roman" w:hAnsi="Times New Roman"/>
          <w:b/>
          <w:color w:val="auto"/>
          <w:sz w:val="32"/>
          <w:szCs w:val="32"/>
          <w:u w:val="none"/>
          <w:lang w:val="zh-CN" w:eastAsia="zh-CN" w:bidi="ar-SA"/>
          <w:highlight w:val="auto"/>
        </w:rPr>
        <w:t>（一）评价目的。</w:t>
      </w:r>
    </w:p>
    <w:p>
      <w:pPr>
        <w:keepNext w:val="0"/>
        <w:keepLines w:val="0"/>
        <w:pageBreakBefore w:val="0"/>
        <w:widowControl w:val="0"/>
        <w:kinsoku/>
        <w:wordWrap/>
        <w:overflowPunct/>
        <w:topLinePunct w:val="0"/>
        <w:autoSpaceDE/>
        <w:autoSpaceDN/>
        <w:spacing w:line="578" w:lineRule="exact"/>
        <w:ind w:firstLine="640"/>
        <w:rPr>
          <w:rFonts w:eastAsia="仿宋_GB2312"/>
          <w:kern w:val="0"/>
          <w:sz w:val="32"/>
          <w:szCs w:val="32"/>
          <w:shd w:val="clear" w:color="auto" w:fill="FFFFFF"/>
          <w:lang w:val="zh-CN"/>
        </w:rPr>
      </w:pPr>
      <w:r>
        <w:rPr>
          <w:rFonts w:eastAsia="仿宋_GB2312"/>
          <w:kern w:val="0"/>
          <w:sz w:val="32"/>
          <w:szCs w:val="32"/>
          <w:shd w:val="clear" w:color="auto" w:fill="FFFFFF"/>
          <w:lang w:val="zh-CN"/>
        </w:rPr>
        <w:t>通过项目绩效自评 1. 验证项目实施效果：通过系统评价，检验公务用车购置项目是否达成提升行政效率、保障出行安全、落实环保政策、规范公车管理等预期目标，判断项目在数量、质量、时效、成本等维度的实际产出与绩效目标的契合度。2. 优化资源配置：分析项目资金使用效率及车辆资源配置合理性，识别资金浪费、配置冗余或不足等问题，为后续预算分配和车辆采购计划提供数据支撑，提升财政资金使用效益。3. 完善管理机制：发现项目实施过程中在采购流程、资产管理、使用监管等环节存在的漏洞与不足，推动建立科学规范的公务用车全生命周期管理制度，防范廉政风险</w:t>
      </w:r>
      <w:r>
        <w:rPr>
          <w:rFonts w:cs="Times New Roman" w:hint="eastAsia"/>
          <w:szCs w:val="32"/>
          <w:lang w:eastAsia="zh-CN" w:bidi="ar-SA"/>
        </w:rPr>
        <w:t>。</w:t>
      </w:r>
    </w:p>
    <w:p>
      <w:pPr>
        <w:keepNext w:val="0"/>
        <w:keepLines w:val="0"/>
        <w:pageBreakBefore w:val="0"/>
        <w:widowControl w:val="0"/>
        <w:kinsoku/>
        <w:wordWrap/>
        <w:overflowPunct/>
        <w:topLinePunct w:val="0"/>
        <w:autoSpaceDE/>
        <w:autoSpaceDN/>
        <w:bidi w:val="0"/>
        <w:adjustRightInd w:val="0"/>
        <w:snapToGrid w:val="0"/>
        <w:spacing w:line="578" w:lineRule="exact"/>
        <w:textAlignment w:val="auto"/>
        <w:outlineLvl w:val="9"/>
        <w:rPr>
          <w:rFonts w:ascii="Times New Roman" w:eastAsia="楷体_GB2312" w:cs="Times New Roman" w:hAnsi="Times New Roman"/>
          <w:b/>
          <w:color w:val="auto"/>
          <w:sz w:val="32"/>
          <w:szCs w:val="32"/>
          <w:u w:val="none"/>
          <w:lang w:val="zh-CN" w:eastAsia="zh-CN" w:bidi="ar-SA"/>
          <w:highlight w:val="auto"/>
        </w:rPr>
      </w:pPr>
      <w:r>
        <w:rPr>
          <w:rFonts w:ascii="Times New Roman" w:eastAsia="楷体_GB2312" w:cs="Times New Roman" w:hAnsi="Times New Roman"/>
          <w:b/>
          <w:color w:val="auto"/>
          <w:sz w:val="32"/>
          <w:szCs w:val="32"/>
          <w:u w:val="none"/>
          <w:lang w:val="zh-CN" w:eastAsia="zh-CN" w:bidi="ar-SA"/>
          <w:highlight w:val="auto"/>
        </w:rPr>
        <w:t>（二）预设问题及评价重点。</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textAlignment w:val="auto"/>
        <w:outlineLvl w:val="9"/>
        <w:rPr>
          <w:rFonts w:eastAsia="仿宋_GB2312"/>
          <w:kern w:val="0"/>
          <w:sz w:val="32"/>
          <w:szCs w:val="32"/>
          <w:shd w:val="clear" w:color="auto" w:fill="FFFFFF"/>
          <w:lang w:val="zh-CN" w:eastAsia="zh-CN" w:bidi="ar-SA"/>
        </w:rPr>
      </w:pPr>
      <w:r>
        <w:rPr>
          <w:rFonts w:eastAsia="仿宋_GB2312"/>
          <w:kern w:val="0"/>
          <w:sz w:val="32"/>
          <w:szCs w:val="32"/>
          <w:shd w:val="clear" w:color="auto" w:fill="FFFFFF"/>
          <w:lang w:val="zh-CN" w:eastAsia="zh-CN" w:bidi="ar-SA"/>
        </w:rPr>
        <w:t>采购流程是否严格遵循政府采购法规和程序？是否存在违规操作、围标串标等行为？</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textAlignment w:val="auto"/>
        <w:outlineLvl w:val="9"/>
        <w:rPr>
          <w:rFonts w:eastAsia="仿宋_GB2312"/>
          <w:kern w:val="0"/>
          <w:sz w:val="32"/>
          <w:szCs w:val="32"/>
          <w:shd w:val="clear" w:color="auto" w:fill="FFFFFF"/>
          <w:lang w:val="zh-CN" w:eastAsia="zh-CN" w:bidi="ar-SA"/>
        </w:rPr>
      </w:pPr>
      <w:r>
        <w:rPr>
          <w:rFonts w:eastAsia="仿宋_GB2312"/>
          <w:kern w:val="0"/>
          <w:sz w:val="32"/>
          <w:szCs w:val="32"/>
          <w:shd w:val="clear" w:color="auto" w:fill="FFFFFF"/>
          <w:lang w:val="zh-CN" w:eastAsia="zh-CN" w:bidi="ar-SA"/>
        </w:rPr>
        <w:t>车辆交付是否按时完成？新车验收是否严格执行质量标准，是否存在因质量问题导致的交付延迟或纠纷？</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textAlignment w:val="auto"/>
        <w:outlineLvl w:val="9"/>
        <w:rPr>
          <w:rFonts w:eastAsia="仿宋_GB2312"/>
          <w:kern w:val="0"/>
          <w:sz w:val="32"/>
          <w:szCs w:val="32"/>
          <w:shd w:val="clear" w:color="auto" w:fill="FFFFFF"/>
          <w:lang w:val="zh-CN" w:eastAsia="zh-CN" w:bidi="ar-SA"/>
        </w:rPr>
      </w:pPr>
      <w:r>
        <w:rPr>
          <w:rFonts w:eastAsia="仿宋_GB2312"/>
          <w:kern w:val="0"/>
          <w:sz w:val="32"/>
          <w:szCs w:val="32"/>
          <w:shd w:val="clear" w:color="auto" w:fill="FFFFFF"/>
          <w:lang w:val="zh-CN" w:eastAsia="zh-CN" w:bidi="ar-SA"/>
        </w:rPr>
        <w:t>项目预算是否合理？是否存在超预算、预算执行率低或资金闲置现象？资金使用是否规范？</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textAlignment w:val="auto"/>
        <w:outlineLvl w:val="9"/>
        <w:rPr>
          <w:rFonts w:eastAsia="仿宋_GB2312"/>
          <w:kern w:val="0"/>
          <w:sz w:val="32"/>
          <w:szCs w:val="32"/>
          <w:shd w:val="clear" w:color="auto" w:fill="FFFFFF"/>
          <w:lang w:val="zh-CN" w:eastAsia="zh-CN" w:bidi="ar-SA"/>
        </w:rPr>
      </w:pPr>
      <w:r>
        <w:rPr>
          <w:rFonts w:eastAsia="仿宋_GB2312"/>
          <w:kern w:val="0"/>
          <w:sz w:val="32"/>
          <w:szCs w:val="32"/>
          <w:shd w:val="clear" w:color="auto" w:fill="FFFFFF"/>
          <w:lang w:val="zh-CN" w:eastAsia="zh-CN" w:bidi="ar-SA"/>
        </w:rPr>
        <w:t>是否存在挪用、截留等问题？</w:t>
      </w:r>
    </w:p>
    <w:p>
      <w:pPr>
        <w:keepNext w:val="0"/>
        <w:keepLines w:val="0"/>
        <w:pageBreakBefore w:val="0"/>
        <w:widowControl w:val="0"/>
        <w:kinsoku/>
        <w:wordWrap/>
        <w:overflowPunct/>
        <w:topLinePunct w:val="0"/>
        <w:autoSpaceDE/>
        <w:autoSpaceDN/>
        <w:bidi w:val="0"/>
        <w:adjustRightInd w:val="0"/>
        <w:snapToGrid w:val="0"/>
        <w:spacing w:line="578" w:lineRule="exact"/>
        <w:textAlignment w:val="auto"/>
        <w:outlineLvl w:val="9"/>
        <w:rPr>
          <w:rFonts w:ascii="Times New Roman" w:cs="Times New Roman" w:hAnsi="Times New Roman"/>
          <w:szCs w:val="32"/>
          <w:lang w:val="zh-CN" w:eastAsia="zh-CN" w:bidi="ar-SA"/>
        </w:rPr>
      </w:pPr>
      <w:r>
        <w:rPr>
          <w:rFonts w:ascii="Times New Roman" w:eastAsia="楷体_GB2312" w:cs="Times New Roman" w:hAnsi="Times New Roman"/>
          <w:b/>
          <w:color w:val="auto"/>
          <w:sz w:val="32"/>
          <w:szCs w:val="32"/>
          <w:u w:val="none"/>
          <w:lang w:val="zh-CN" w:eastAsia="zh-CN" w:bidi="ar-SA"/>
          <w:highlight w:val="auto"/>
        </w:rPr>
        <w:t>（三）评价选点。</w:t>
      </w:r>
      <w:r>
        <w:rPr>
          <w:rFonts w:eastAsia="仿宋_GB2312"/>
          <w:kern w:val="0"/>
          <w:sz w:val="32"/>
          <w:szCs w:val="32"/>
          <w:shd w:val="clear" w:color="auto" w:fill="FFFFFF"/>
          <w:lang w:val="zh-CN" w:eastAsia="zh-CN"/>
        </w:rPr>
        <w:t>每月抽查</w:t>
      </w:r>
    </w:p>
    <w:p>
      <w:pPr>
        <w:keepNext w:val="0"/>
        <w:keepLines w:val="0"/>
        <w:pageBreakBefore w:val="0"/>
        <w:widowControl w:val="0"/>
        <w:kinsoku/>
        <w:wordWrap/>
        <w:overflowPunct/>
        <w:topLinePunct w:val="0"/>
        <w:autoSpaceDE/>
        <w:autoSpaceDN/>
        <w:spacing w:line="578" w:lineRule="exact"/>
        <w:ind w:left="0"/>
        <w:rPr>
          <w:rFonts w:eastAsia="仿宋_GB2312"/>
          <w:kern w:val="0"/>
          <w:sz w:val="32"/>
          <w:szCs w:val="32"/>
          <w:shd w:val="clear" w:color="auto" w:fill="FFFFFF"/>
          <w:lang w:val="zh-CN" w:bidi="ar-SA"/>
        </w:rPr>
      </w:pPr>
      <w:r>
        <w:rPr>
          <w:rFonts w:ascii="Times New Roman" w:eastAsia="楷体_GB2312" w:cs="Times New Roman" w:hAnsi="Times New Roman"/>
          <w:b/>
          <w:color w:val="auto"/>
          <w:sz w:val="32"/>
          <w:szCs w:val="32"/>
          <w:u w:val="none"/>
          <w:lang w:val="zh-CN" w:eastAsia="zh-CN" w:bidi="ar-SA"/>
          <w:highlight w:val="auto"/>
        </w:rPr>
        <w:t>（四）评价方法。</w:t>
      </w:r>
      <w:r>
        <w:rPr>
          <w:rFonts w:eastAsia="仿宋_GB2312"/>
          <w:kern w:val="0"/>
          <w:sz w:val="32"/>
          <w:szCs w:val="32"/>
          <w:shd w:val="clear" w:color="auto" w:fill="FFFFFF"/>
          <w:lang w:val="zh-CN" w:bidi="ar-SA"/>
        </w:rPr>
        <w:t>采用单位自评法、实地勘察法</w:t>
      </w:r>
    </w:p>
    <w:p>
      <w:pPr>
        <w:keepNext w:val="0"/>
        <w:keepLines w:val="0"/>
        <w:pageBreakBefore w:val="0"/>
        <w:widowControl w:val="0"/>
        <w:kinsoku/>
        <w:wordWrap/>
        <w:overflowPunct/>
        <w:topLinePunct w:val="0"/>
        <w:autoSpaceDE/>
        <w:autoSpaceDN/>
        <w:spacing w:line="578" w:lineRule="exact"/>
        <w:ind w:left="0"/>
        <w:rPr>
          <w:rFonts w:ascii="Times New Roman" w:eastAsia="仿宋_GB2312" w:cs="Times New Roman" w:hAnsi="Times New Roman" w:hint="eastAsia"/>
          <w:bCs/>
          <w:lang w:eastAsia="zh-CN" w:bidi="ar-SA"/>
        </w:rPr>
      </w:pPr>
      <w:r>
        <w:rPr>
          <w:rFonts w:ascii="Times New Roman" w:eastAsia="楷体_GB2312" w:cs="Times New Roman" w:hAnsi="Times New Roman"/>
          <w:b/>
          <w:color w:val="auto"/>
          <w:sz w:val="32"/>
          <w:szCs w:val="32"/>
          <w:u w:val="none"/>
          <w:lang w:val="zh-CN" w:eastAsia="zh-CN" w:bidi="ar-SA"/>
          <w:highlight w:val="auto"/>
        </w:rPr>
        <w:t>（五）评价组织。</w:t>
      </w:r>
      <w:r>
        <w:rPr>
          <w:rFonts w:eastAsia="仿宋_GB2312"/>
          <w:kern w:val="0"/>
          <w:sz w:val="32"/>
          <w:szCs w:val="32"/>
          <w:shd w:val="clear" w:color="auto" w:fill="FFFFFF"/>
          <w:lang w:val="zh-CN"/>
        </w:rPr>
        <w:t>评价组人员由总务处、办公室及司机组成。</w:t>
      </w:r>
    </w:p>
    <w:p>
      <w:pPr>
        <w:keepNext w:val="0"/>
        <w:keepLines w:val="0"/>
        <w:pageBreakBefore w:val="0"/>
        <w:widowControl w:val="0"/>
        <w:kinsoku/>
        <w:wordWrap/>
        <w:overflowPunct/>
        <w:topLinePunct w:val="0"/>
        <w:autoSpaceDE/>
        <w:autoSpaceDN/>
        <w:bidi w:val="0"/>
        <w:adjustRightInd w:val="0"/>
        <w:snapToGrid w:val="0"/>
        <w:spacing w:line="578" w:lineRule="exact"/>
        <w:ind w:left="0"/>
        <w:textAlignment w:val="auto"/>
        <w:rPr>
          <w:rFonts w:ascii="Times New Roman" w:cs="Times New Roman" w:hAnsi="Times New Roman"/>
          <w:color w:val="auto"/>
          <w:sz w:val="32"/>
          <w:szCs w:val="32"/>
          <w:u w:val="none"/>
          <w:lang w:val="zh-CN" w:eastAsia="zh-CN" w:bidi="ar-SA"/>
          <w:highlight w:val="auto"/>
        </w:rPr>
      </w:pPr>
      <w:r>
        <w:rPr>
          <w:rFonts w:ascii="Times New Roman" w:eastAsia="黑体" w:cs="Times New Roman" w:hAnsi="Times New Roman"/>
          <w:color w:val="auto"/>
          <w:sz w:val="32"/>
          <w:szCs w:val="32"/>
          <w:u w:val="none"/>
          <w:lang w:bidi="ar-SA"/>
          <w:highlight w:val="auto"/>
        </w:rPr>
        <w:t>三、</w:t>
      </w:r>
      <w:r>
        <w:rPr>
          <w:rFonts w:ascii="Times New Roman" w:eastAsia="黑体" w:cs="Times New Roman" w:hAnsi="Times New Roman"/>
          <w:color w:val="auto"/>
          <w:sz w:val="32"/>
          <w:szCs w:val="32"/>
          <w:u w:val="none"/>
          <w:lang w:eastAsia="zh-CN" w:bidi="ar-SA"/>
          <w:highlight w:val="auto"/>
        </w:rPr>
        <w:t>绩效分析</w:t>
      </w:r>
      <w:r>
        <w:rPr>
          <w:rFonts w:ascii="Times New Roman" w:cs="Times New Roman" w:hAnsi="Times New Roman"/>
          <w:color w:val="auto"/>
          <w:sz w:val="32"/>
          <w:szCs w:val="32"/>
          <w:u w:val="none"/>
          <w:lang w:val="zh-CN" w:eastAsia="zh-CN" w:bidi="ar-SA"/>
          <w:highlight w:val="auto"/>
        </w:rPr>
        <w:tab/>
      </w:r>
    </w:p>
    <w:p>
      <w:pPr>
        <w:keepNext w:val="0"/>
        <w:keepLines w:val="0"/>
        <w:pageBreakBefore w:val="0"/>
        <w:widowControl w:val="0"/>
        <w:kinsoku/>
        <w:wordWrap/>
        <w:overflowPunct/>
        <w:topLinePunct w:val="0"/>
        <w:autoSpaceDE/>
        <w:autoSpaceDN/>
        <w:spacing w:line="578" w:lineRule="exact"/>
        <w:ind w:firstLine="640"/>
        <w:rPr>
          <w:rFonts w:eastAsia="仿宋_GB2312"/>
          <w:kern w:val="0"/>
          <w:sz w:val="32"/>
          <w:szCs w:val="32"/>
          <w:shd w:val="clear" w:color="auto" w:fill="FFFFFF"/>
          <w:lang w:val="zh-CN" w:eastAsia="zh-CN"/>
        </w:rPr>
      </w:pPr>
      <w:r>
        <w:rPr>
          <w:rFonts w:eastAsia="仿宋_GB2312"/>
          <w:kern w:val="0"/>
          <w:sz w:val="32"/>
          <w:szCs w:val="32"/>
          <w:shd w:val="clear" w:color="auto" w:fill="FFFFFF"/>
          <w:lang w:val="zh-CN" w:eastAsia="zh-CN"/>
        </w:rPr>
        <w:t>根据项目预算绩效评价指标体系“通用指标”“专用指标”“个性指标”涉及二、三级指标进行逐项绩效分析并评分。</w:t>
      </w:r>
    </w:p>
    <w:p>
      <w:pPr>
        <w:keepNext w:val="0"/>
        <w:keepLines w:val="0"/>
        <w:pageBreakBefore w:val="0"/>
        <w:widowControl w:val="0"/>
        <w:kinsoku/>
        <w:wordWrap/>
        <w:overflowPunct/>
        <w:topLinePunct w:val="0"/>
        <w:autoSpaceDE/>
        <w:autoSpaceDN/>
        <w:spacing w:line="578" w:lineRule="exact"/>
        <w:ind w:left="0"/>
        <w:rPr>
          <w:rFonts w:eastAsia="仿宋_GB2312"/>
          <w:kern w:val="0"/>
          <w:sz w:val="32"/>
          <w:szCs w:val="32"/>
          <w:shd w:val="clear" w:color="auto" w:fill="FFFFFF"/>
          <w:lang w:val="zh-CN"/>
        </w:rPr>
      </w:pPr>
      <w:r>
        <w:rPr>
          <w:rFonts w:eastAsia="黑体"/>
          <w:sz w:val="32"/>
          <w:szCs w:val="32"/>
          <w:lang w:val="zh-CN"/>
          <w:highlight w:val="auto"/>
        </w:rPr>
        <w:t>（一）</w:t>
      </w:r>
      <w:r>
        <w:rPr>
          <w:rFonts w:eastAsia="黑体"/>
          <w:sz w:val="32"/>
          <w:szCs w:val="32"/>
          <w:lang w:val="en-US"/>
          <w:highlight w:val="auto"/>
        </w:rPr>
        <w:t>通用指标</w:t>
      </w:r>
      <w:r>
        <w:rPr>
          <w:rFonts w:eastAsia="黑体"/>
          <w:bCs/>
          <w:sz w:val="32"/>
          <w:szCs w:val="32"/>
          <w:lang w:val="zh-CN"/>
          <w:highlight w:val="auto"/>
        </w:rPr>
        <w:t>绩效分析。</w:t>
      </w:r>
    </w:p>
    <w:p>
      <w:pPr>
        <w:keepNext w:val="0"/>
        <w:keepLines w:val="0"/>
        <w:pageBreakBefore w:val="0"/>
        <w:widowControl w:val="0"/>
        <w:kinsoku/>
        <w:wordWrap/>
        <w:overflowPunct/>
        <w:topLinePunct w:val="0"/>
        <w:autoSpaceDE/>
        <w:autoSpaceDN/>
        <w:bidi w:val="0"/>
        <w:adjustRightInd/>
        <w:snapToGrid/>
        <w:spacing w:line="578" w:lineRule="exact"/>
        <w:ind w:firstLine="640"/>
        <w:jc w:val="left"/>
        <w:textAlignment w:val="auto"/>
        <w:outlineLvl w:val="9"/>
        <w:rPr>
          <w:rFonts w:eastAsia="仿宋_GB2312"/>
          <w:kern w:val="0"/>
          <w:sz w:val="32"/>
          <w:szCs w:val="32"/>
          <w:shd w:val="clear" w:color="auto" w:fill="FFFFFF"/>
          <w:lang w:val="zh-CN" w:bidi="ar-SA"/>
        </w:rPr>
      </w:pPr>
      <w:r>
        <w:rPr>
          <w:rFonts w:eastAsia="仿宋_GB2312"/>
          <w:kern w:val="0"/>
          <w:sz w:val="32"/>
          <w:szCs w:val="32"/>
          <w:shd w:val="clear" w:color="auto" w:fill="FFFFFF"/>
          <w:lang w:val="zh-CN" w:eastAsia="zh-CN"/>
        </w:rPr>
        <w:t>1.</w:t>
      </w:r>
      <w:r>
        <w:rPr>
          <w:rFonts w:eastAsia="仿宋_GB2312"/>
          <w:kern w:val="0"/>
          <w:sz w:val="32"/>
          <w:szCs w:val="32"/>
          <w:shd w:val="clear" w:color="auto" w:fill="FFFFFF"/>
          <w:lang w:val="zh-CN"/>
        </w:rPr>
        <w:t>项目</w:t>
      </w:r>
      <w:r>
        <w:rPr>
          <w:rFonts w:eastAsia="仿宋_GB2312"/>
          <w:kern w:val="0"/>
          <w:sz w:val="32"/>
          <w:szCs w:val="32"/>
          <w:shd w:val="clear" w:color="auto" w:fill="FFFFFF"/>
          <w:lang w:val="zh-CN" w:bidi="ar-SA"/>
        </w:rPr>
        <w:t>决策。项目决策程序规范，经过了充分的调研贺论证，符合学校的发展规划和学生的实际需求。</w:t>
      </w:r>
    </w:p>
    <w:p>
      <w:pPr>
        <w:pStyle w:val="27"/>
        <w:rPr>
          <w:rFonts w:ascii="Times New Roman" w:eastAsia="仿宋_GB2312" w:hAnsi="Times New Roman"/>
          <w:b w:val="0"/>
          <w:kern w:val="0"/>
          <w:sz w:val="32"/>
          <w:szCs w:val="32"/>
          <w:shd w:val="clear" w:color="auto" w:fill="FFFFFF"/>
          <w:lang w:val="zh-CN" w:bidi="ar-SA"/>
        </w:rPr>
      </w:pPr>
      <w:r>
        <w:rPr>
          <w:rFonts w:ascii="Times New Roman" w:eastAsia="仿宋_GB2312" w:hAnsi="Times New Roman"/>
          <w:b w:val="0"/>
          <w:kern w:val="0"/>
          <w:sz w:val="32"/>
          <w:szCs w:val="32"/>
          <w:shd w:val="clear" w:color="auto" w:fill="FFFFFF"/>
          <w:lang w:val="zh-CN" w:bidi="ar-SA"/>
        </w:rPr>
        <w:t>规划论证：制定了详细的项目规划和实施方案，论证充分</w:t>
      </w:r>
    </w:p>
    <w:p>
      <w:pPr>
        <w:jc w:val="left"/>
        <w:rPr>
          <w:rFonts w:eastAsia="仿宋_GB2312"/>
          <w:kern w:val="0"/>
          <w:sz w:val="32"/>
          <w:szCs w:val="32"/>
          <w:shd w:val="clear" w:color="auto" w:fill="FFFFFF"/>
          <w:lang w:val="zh-CN"/>
        </w:rPr>
      </w:pPr>
      <w:r>
        <w:rPr>
          <w:rFonts w:eastAsia="仿宋_GB2312"/>
          <w:kern w:val="0"/>
          <w:sz w:val="32"/>
          <w:szCs w:val="32"/>
          <w:shd w:val="clear" w:color="auto" w:fill="FFFFFF"/>
          <w:lang w:val="zh-CN" w:bidi="ar-SA"/>
        </w:rPr>
        <w:t>资金投向：资金投向合理，按合同进行支付</w:t>
      </w:r>
    </w:p>
    <w:p>
      <w:pPr>
        <w:keepNext w:val="0"/>
        <w:keepLines w:val="0"/>
        <w:pageBreakBefore w:val="0"/>
        <w:widowControl w:val="0"/>
        <w:kinsoku/>
        <w:wordWrap/>
        <w:overflowPunct/>
        <w:topLinePunct w:val="0"/>
        <w:autoSpaceDE/>
        <w:autoSpaceDN/>
        <w:bidi w:val="0"/>
        <w:adjustRightInd/>
        <w:snapToGrid/>
        <w:spacing w:line="578" w:lineRule="exact"/>
        <w:ind w:left="0" w:firstLineChars="150" w:firstLine="480"/>
        <w:jc w:val="left"/>
        <w:textAlignment w:val="auto"/>
        <w:outlineLvl w:val="9"/>
        <w:rPr>
          <w:rFonts w:eastAsia="仿宋_GB2312"/>
          <w:kern w:val="0"/>
          <w:sz w:val="32"/>
          <w:szCs w:val="32"/>
          <w:shd w:val="clear" w:color="auto" w:fill="FFFFFF"/>
          <w:lang w:val="zh-CN" w:bidi="ar-SA"/>
        </w:rPr>
      </w:pPr>
      <w:r>
        <w:rPr>
          <w:rFonts w:eastAsia="仿宋_GB2312"/>
          <w:kern w:val="0"/>
          <w:sz w:val="32"/>
          <w:szCs w:val="32"/>
          <w:shd w:val="clear" w:color="auto" w:fill="FFFFFF"/>
          <w:lang w:val="zh-CN" w:bidi="ar-SA"/>
        </w:rPr>
        <w:t>2.项目管理。围绕制度办法、分配管理、绩效监管进行绩效分析。</w:t>
      </w:r>
    </w:p>
    <w:p>
      <w:pPr>
        <w:keepNext w:val="0"/>
        <w:keepLines w:val="0"/>
        <w:pageBreakBefore w:val="0"/>
        <w:widowControl w:val="0"/>
        <w:kinsoku/>
        <w:wordWrap/>
        <w:overflowPunct/>
        <w:topLinePunct w:val="0"/>
        <w:autoSpaceDE/>
        <w:autoSpaceDN/>
        <w:bidi w:val="0"/>
        <w:adjustRightInd/>
        <w:snapToGrid/>
        <w:spacing w:line="578" w:lineRule="exact"/>
        <w:ind w:leftChars="200" w:left="420" w:firstLine="0"/>
        <w:jc w:val="left"/>
        <w:textAlignment w:val="auto"/>
        <w:outlineLvl w:val="9"/>
        <w:rPr>
          <w:rFonts w:eastAsia="仿宋_GB2312"/>
          <w:kern w:val="0"/>
          <w:sz w:val="32"/>
          <w:szCs w:val="32"/>
          <w:shd w:val="clear" w:color="auto" w:fill="FFFFFF"/>
          <w:lang w:val="zh-CN" w:bidi="ar-SA"/>
        </w:rPr>
      </w:pPr>
      <w:r>
        <w:rPr>
          <w:rFonts w:eastAsia="仿宋_GB2312"/>
          <w:kern w:val="0"/>
          <w:sz w:val="32"/>
          <w:szCs w:val="32"/>
          <w:shd w:val="clear" w:color="auto" w:fill="FFFFFF"/>
          <w:lang w:val="zh-CN" w:bidi="ar-SA"/>
        </w:rPr>
        <w:t>3.项目实施。围绕预算执行、资金使用进行绩效分析。</w:t>
      </w:r>
    </w:p>
    <w:p>
      <w:pPr>
        <w:keepNext w:val="0"/>
        <w:keepLines w:val="0"/>
        <w:pageBreakBefore w:val="0"/>
        <w:widowControl w:val="0"/>
        <w:kinsoku/>
        <w:wordWrap/>
        <w:overflowPunct/>
        <w:topLinePunct w:val="0"/>
        <w:autoSpaceDE/>
        <w:autoSpaceDN/>
        <w:bidi w:val="0"/>
        <w:adjustRightInd/>
        <w:snapToGrid/>
        <w:spacing w:line="578" w:lineRule="exact"/>
        <w:ind w:firstLineChars="150" w:firstLine="480"/>
        <w:jc w:val="left"/>
        <w:textAlignment w:val="auto"/>
        <w:outlineLvl w:val="9"/>
        <w:rPr>
          <w:rFonts w:eastAsia="仿宋_GB2312"/>
          <w:kern w:val="0"/>
          <w:sz w:val="32"/>
          <w:szCs w:val="32"/>
          <w:shd w:val="clear" w:color="auto" w:fill="FFFFFF"/>
          <w:lang w:val="zh-CN" w:bidi="ar-SA"/>
        </w:rPr>
      </w:pPr>
      <w:r>
        <w:rPr>
          <w:rFonts w:eastAsia="仿宋_GB2312"/>
          <w:kern w:val="0"/>
          <w:sz w:val="32"/>
          <w:szCs w:val="32"/>
          <w:shd w:val="clear" w:color="auto" w:fill="FFFFFF"/>
          <w:lang w:val="zh-CN" w:bidi="ar-SA"/>
        </w:rPr>
        <w:t>4.项目结果。共计购置1辆公务用车，主要用于日常办公出行，满足了各部门在城市内频繁开展业务交流与文件传递的需求；凭借其良好的通过性，保障了在路况复杂地区的调研、执法等工作顺利开展；</w:t>
      </w:r>
    </w:p>
    <w:p>
      <w:pPr>
        <w:keepNext w:val="0"/>
        <w:keepLines w:val="0"/>
        <w:pageBreakBefore w:val="0"/>
        <w:widowControl w:val="0"/>
        <w:kinsoku/>
        <w:wordWrap/>
        <w:overflowPunct/>
        <w:topLinePunct w:val="0"/>
        <w:autoSpaceDE/>
        <w:autoSpaceDN/>
        <w:bidi w:val="0"/>
        <w:adjustRightInd/>
        <w:snapToGrid/>
        <w:spacing w:line="578" w:lineRule="exact"/>
        <w:ind w:left="0"/>
        <w:textAlignment w:val="auto"/>
        <w:outlineLvl w:val="9"/>
        <w:rPr>
          <w:rFonts w:eastAsia="仿宋_GB2312"/>
          <w:kern w:val="0"/>
          <w:sz w:val="32"/>
          <w:szCs w:val="32"/>
          <w:shd w:val="clear" w:color="auto" w:fill="FFFFFF"/>
          <w:lang w:val="zh-CN" w:eastAsia="zh-CN"/>
        </w:rPr>
      </w:pPr>
      <w:r>
        <w:rPr>
          <w:rFonts w:ascii="Times New Roman" w:eastAsia="楷体_GB2312" w:cs="Times New Roman" w:hAnsi="Times New Roman"/>
          <w:b/>
          <w:color w:val="auto"/>
          <w:sz w:val="32"/>
          <w:szCs w:val="32"/>
          <w:u w:val="none"/>
          <w:lang w:val="zh-CN" w:eastAsia="zh-CN" w:bidi="ar-SA"/>
          <w:highlight w:val="auto"/>
        </w:rPr>
        <w:t>（二）</w:t>
      </w:r>
      <w:r>
        <w:rPr>
          <w:rFonts w:eastAsia="黑体"/>
          <w:sz w:val="32"/>
          <w:szCs w:val="32"/>
          <w:lang w:eastAsia="zh-CN" w:bidi="ar-SA"/>
          <w:highlight w:val="auto"/>
        </w:rPr>
        <w:t>专用指标</w:t>
      </w:r>
      <w:r>
        <w:rPr>
          <w:rFonts w:eastAsia="黑体"/>
          <w:bCs/>
          <w:sz w:val="32"/>
          <w:szCs w:val="32"/>
          <w:lang w:eastAsia="zh-CN" w:bidi="ar-SA"/>
          <w:highlight w:val="auto"/>
        </w:rPr>
        <w:t>绩效分析。</w:t>
      </w:r>
      <w:r>
        <w:rPr>
          <w:rFonts w:eastAsia="仿宋_GB2312"/>
          <w:kern w:val="0"/>
          <w:sz w:val="32"/>
          <w:szCs w:val="32"/>
          <w:shd w:val="clear" w:color="auto" w:fill="FFFFFF"/>
          <w:lang w:val="zh-CN" w:bidi="ar-SA"/>
        </w:rPr>
        <w:t>根</w:t>
      </w:r>
      <w:r>
        <w:rPr>
          <w:rFonts w:eastAsia="仿宋_GB2312"/>
          <w:kern w:val="0"/>
          <w:sz w:val="32"/>
          <w:szCs w:val="32"/>
          <w:shd w:val="clear" w:color="auto" w:fill="FFFFFF"/>
          <w:lang w:val="zh-CN" w:eastAsia="zh-CN"/>
        </w:rPr>
        <w:t>据专项预算项目资金支持对象选择所属指标进行绩效分析。支持对象包括产业发展、民生保障、基础设施、行政运转等方面。</w:t>
      </w:r>
    </w:p>
    <w:p>
      <w:pPr>
        <w:keepNext w:val="0"/>
        <w:keepLines w:val="0"/>
        <w:pageBreakBefore w:val="0"/>
        <w:widowControl w:val="0"/>
        <w:kinsoku/>
        <w:wordWrap/>
        <w:overflowPunct/>
        <w:topLinePunct w:val="0"/>
        <w:autoSpaceDE/>
        <w:autoSpaceDN/>
        <w:bidi w:val="0"/>
        <w:adjustRightInd/>
        <w:snapToGrid/>
        <w:spacing w:line="578" w:lineRule="exact"/>
        <w:ind w:left="0" w:firstLineChars="200" w:firstLine="640"/>
        <w:textAlignment w:val="auto"/>
        <w:outlineLvl w:val="9"/>
        <w:rPr>
          <w:rFonts w:eastAsia="仿宋_GB2312"/>
          <w:kern w:val="0"/>
          <w:sz w:val="32"/>
          <w:szCs w:val="32"/>
          <w:shd w:val="clear" w:color="auto" w:fill="FFFFFF"/>
          <w:lang w:val="zh-CN" w:eastAsia="zh-CN"/>
        </w:rPr>
      </w:pPr>
      <w:r>
        <w:rPr>
          <w:rFonts w:eastAsia="仿宋_GB2312"/>
          <w:kern w:val="0"/>
          <w:sz w:val="32"/>
          <w:szCs w:val="32"/>
          <w:shd w:val="clear" w:color="auto" w:fill="FFFFFF"/>
          <w:lang w:val="zh-CN" w:eastAsia="zh-CN"/>
        </w:rPr>
        <w:t>1.产业发展类。不涉及</w:t>
      </w:r>
    </w:p>
    <w:p>
      <w:pPr>
        <w:keepNext w:val="0"/>
        <w:keepLines w:val="0"/>
        <w:pageBreakBefore w:val="0"/>
        <w:widowControl w:val="0"/>
        <w:kinsoku/>
        <w:wordWrap/>
        <w:overflowPunct/>
        <w:topLinePunct w:val="0"/>
        <w:autoSpaceDE/>
        <w:autoSpaceDN/>
        <w:bidi w:val="0"/>
        <w:adjustRightInd/>
        <w:snapToGrid/>
        <w:spacing w:line="578" w:lineRule="exact"/>
        <w:ind w:left="0" w:firstLineChars="200" w:firstLine="640"/>
        <w:textAlignment w:val="auto"/>
        <w:outlineLvl w:val="9"/>
        <w:rPr>
          <w:rFonts w:eastAsia="仿宋_GB2312"/>
          <w:kern w:val="0"/>
          <w:sz w:val="32"/>
          <w:szCs w:val="32"/>
          <w:shd w:val="clear" w:color="auto" w:fill="FFFFFF"/>
          <w:lang w:val="zh-CN" w:eastAsia="zh-CN"/>
        </w:rPr>
      </w:pPr>
      <w:r>
        <w:rPr>
          <w:rFonts w:eastAsia="仿宋_GB2312"/>
          <w:kern w:val="0"/>
          <w:sz w:val="32"/>
          <w:szCs w:val="32"/>
          <w:shd w:val="clear" w:color="auto" w:fill="FFFFFF"/>
          <w:lang w:val="zh-CN" w:eastAsia="zh-CN"/>
        </w:rPr>
        <w:t>2.民生保障类。不涉及</w:t>
      </w:r>
    </w:p>
    <w:p>
      <w:pPr>
        <w:keepNext w:val="0"/>
        <w:keepLines w:val="0"/>
        <w:pageBreakBefore w:val="0"/>
        <w:widowControl w:val="0"/>
        <w:kinsoku/>
        <w:wordWrap/>
        <w:overflowPunct/>
        <w:topLinePunct w:val="0"/>
        <w:autoSpaceDE/>
        <w:autoSpaceDN/>
        <w:bidi w:val="0"/>
        <w:adjustRightInd/>
        <w:snapToGrid/>
        <w:spacing w:line="578" w:lineRule="exact"/>
        <w:ind w:left="0" w:firstLineChars="200" w:firstLine="640"/>
        <w:textAlignment w:val="auto"/>
        <w:outlineLvl w:val="9"/>
        <w:rPr>
          <w:rFonts w:eastAsia="仿宋_GB2312"/>
          <w:kern w:val="0"/>
          <w:sz w:val="32"/>
          <w:szCs w:val="32"/>
          <w:shd w:val="clear" w:color="auto" w:fill="FFFFFF"/>
          <w:lang w:val="zh-CN" w:eastAsia="zh-CN"/>
        </w:rPr>
      </w:pPr>
      <w:r>
        <w:rPr>
          <w:rFonts w:eastAsia="仿宋_GB2312"/>
          <w:kern w:val="0"/>
          <w:sz w:val="32"/>
          <w:szCs w:val="32"/>
          <w:shd w:val="clear" w:color="auto" w:fill="FFFFFF"/>
          <w:lang w:val="zh-CN" w:eastAsia="zh-CN"/>
        </w:rPr>
        <w:t>3.基础设施类。不涉及</w:t>
      </w:r>
    </w:p>
    <w:p>
      <w:pPr>
        <w:keepNext w:val="0"/>
        <w:keepLines w:val="0"/>
        <w:pageBreakBefore w:val="0"/>
        <w:widowControl w:val="0"/>
        <w:kinsoku/>
        <w:wordWrap/>
        <w:overflowPunct/>
        <w:topLinePunct w:val="0"/>
        <w:autoSpaceDE/>
        <w:autoSpaceDN/>
        <w:bidi w:val="0"/>
        <w:adjustRightInd/>
        <w:snapToGrid/>
        <w:spacing w:line="578" w:lineRule="exact"/>
        <w:ind w:left="0" w:firstLineChars="200" w:firstLine="640"/>
        <w:textAlignment w:val="auto"/>
        <w:outlineLvl w:val="9"/>
        <w:rPr>
          <w:rFonts w:eastAsia="仿宋_GB2312"/>
          <w:kern w:val="0"/>
          <w:sz w:val="32"/>
          <w:szCs w:val="32"/>
          <w:shd w:val="clear" w:color="auto" w:fill="FFFFFF"/>
          <w:lang w:val="zh-CN" w:eastAsia="zh-CN"/>
        </w:rPr>
      </w:pPr>
      <w:r>
        <w:rPr>
          <w:rFonts w:eastAsia="仿宋_GB2312"/>
          <w:kern w:val="0"/>
          <w:sz w:val="32"/>
          <w:szCs w:val="32"/>
          <w:shd w:val="clear" w:color="auto" w:fill="FFFFFF"/>
          <w:lang w:val="zh-CN" w:eastAsia="zh-CN"/>
        </w:rPr>
        <w:t xml:space="preserve">4.行政运转类。程序合规性、标准合规性进行，车辆性能与配置：购置车辆的性能和配置能够满足行政工作需要，先进的安全配置提升了行车安全性，良好的舒适性配置有助于减少公务人员长途出行的疲劳，进而提高工作效率。 </w:t>
      </w:r>
    </w:p>
    <w:p>
      <w:pPr>
        <w:keepNext w:val="0"/>
        <w:keepLines w:val="0"/>
        <w:pageBreakBefore w:val="0"/>
        <w:widowControl w:val="0"/>
        <w:kinsoku/>
        <w:wordWrap/>
        <w:overflowPunct/>
        <w:topLinePunct w:val="0"/>
        <w:autoSpaceDE/>
        <w:autoSpaceDN/>
        <w:bidi w:val="0"/>
        <w:adjustRightInd/>
        <w:snapToGrid/>
        <w:spacing w:line="578" w:lineRule="exact"/>
        <w:textAlignment w:val="auto"/>
        <w:outlineLvl w:val="9"/>
        <w:rPr>
          <w:rFonts w:eastAsia="仿宋_GB2312"/>
          <w:kern w:val="0"/>
          <w:sz w:val="32"/>
          <w:szCs w:val="32"/>
          <w:shd w:val="clear" w:color="auto" w:fill="FFFFFF"/>
          <w:lang w:val="zh-CN" w:eastAsia="zh-CN"/>
        </w:rPr>
      </w:pPr>
      <w:r>
        <w:rPr>
          <w:rFonts w:eastAsia="仿宋_GB2312"/>
          <w:kern w:val="0"/>
          <w:sz w:val="32"/>
          <w:szCs w:val="32"/>
          <w:shd w:val="clear" w:color="auto" w:fill="FFFFFF"/>
          <w:lang w:val="zh-CN" w:eastAsia="zh-CN"/>
        </w:rPr>
        <w:t>出行保障能力</w:t>
      </w:r>
    </w:p>
    <w:p>
      <w:pPr>
        <w:keepNext w:val="0"/>
        <w:keepLines w:val="0"/>
        <w:pageBreakBefore w:val="0"/>
        <w:widowControl w:val="0"/>
        <w:kinsoku/>
        <w:wordWrap/>
        <w:overflowPunct/>
        <w:topLinePunct w:val="0"/>
        <w:autoSpaceDE/>
        <w:autoSpaceDN/>
        <w:bidi w:val="0"/>
        <w:adjustRightInd/>
        <w:snapToGrid/>
        <w:spacing w:line="578" w:lineRule="exact"/>
        <w:textAlignment w:val="auto"/>
        <w:outlineLvl w:val="9"/>
        <w:rPr>
          <w:rFonts w:eastAsia="仿宋_GB2312"/>
          <w:kern w:val="0"/>
          <w:sz w:val="32"/>
          <w:szCs w:val="32"/>
          <w:shd w:val="clear" w:color="auto" w:fill="FFFFFF"/>
          <w:lang w:val="zh-CN" w:eastAsia="zh-CN"/>
        </w:rPr>
      </w:pPr>
      <w:r>
        <w:rPr>
          <w:rFonts w:eastAsia="仿宋_GB2312"/>
          <w:kern w:val="0"/>
          <w:sz w:val="32"/>
          <w:szCs w:val="32"/>
          <w:shd w:val="clear" w:color="auto" w:fill="FFFFFF"/>
          <w:lang w:val="zh-CN" w:eastAsia="zh-CN"/>
        </w:rPr>
        <w:t xml:space="preserve">及时性：新购置的公务用车交付及时，投入使用后，车辆故障率低，能够及时响应公务出行需求，减少了因车辆问题导致的出行延误，确保行政工作按时进行。 </w:t>
      </w:r>
    </w:p>
    <w:p>
      <w:pPr>
        <w:keepNext w:val="0"/>
        <w:keepLines w:val="0"/>
        <w:pageBreakBefore w:val="0"/>
        <w:widowControl w:val="0"/>
        <w:kinsoku/>
        <w:wordWrap/>
        <w:overflowPunct/>
        <w:topLinePunct w:val="0"/>
        <w:autoSpaceDE/>
        <w:autoSpaceDN/>
        <w:bidi w:val="0"/>
        <w:adjustRightInd/>
        <w:snapToGrid/>
        <w:spacing w:line="578" w:lineRule="exact"/>
        <w:textAlignment w:val="auto"/>
        <w:outlineLvl w:val="9"/>
        <w:rPr>
          <w:rFonts w:eastAsia="仿宋_GB2312"/>
          <w:kern w:val="0"/>
          <w:sz w:val="32"/>
          <w:szCs w:val="32"/>
          <w:shd w:val="clear" w:color="auto" w:fill="FFFFFF"/>
          <w:lang w:val="zh-CN" w:eastAsia="zh-CN"/>
        </w:rPr>
      </w:pPr>
      <w:r>
        <w:rPr>
          <w:rFonts w:eastAsia="仿宋_GB2312"/>
          <w:kern w:val="0"/>
          <w:sz w:val="32"/>
          <w:szCs w:val="32"/>
          <w:shd w:val="clear" w:color="auto" w:fill="FFFFFF"/>
          <w:lang w:val="zh-CN" w:eastAsia="zh-CN"/>
        </w:rPr>
        <w:t>可靠性：车辆的质量可靠，在各种路况和环境下都能稳定运行，无论是日常的常规公务活动，还是应对紧急突发事件，都能为行政运转提供有力的出行保障。</w:t>
      </w:r>
    </w:p>
    <w:p>
      <w:pPr>
        <w:keepNext w:val="0"/>
        <w:keepLines w:val="0"/>
        <w:pageBreakBefore w:val="0"/>
        <w:widowControl w:val="0"/>
        <w:kinsoku/>
        <w:wordWrap/>
        <w:overflowPunct/>
        <w:topLinePunct w:val="0"/>
        <w:autoSpaceDE/>
        <w:autoSpaceDN/>
        <w:bidi w:val="0"/>
        <w:adjustRightInd/>
        <w:snapToGrid/>
        <w:spacing w:line="578" w:lineRule="exact"/>
        <w:ind w:left="0"/>
        <w:textAlignment w:val="auto"/>
        <w:outlineLvl w:val="9"/>
        <w:rPr>
          <w:rFonts w:eastAsia="黑体"/>
          <w:bCs/>
          <w:sz w:val="32"/>
          <w:szCs w:val="32"/>
          <w:lang w:val="zh-CN"/>
          <w:highlight w:val="auto"/>
        </w:rPr>
      </w:pPr>
      <w:r>
        <w:rPr>
          <w:rFonts w:eastAsia="黑体"/>
          <w:sz w:val="32"/>
          <w:szCs w:val="32"/>
          <w:lang w:val="zh-CN"/>
          <w:highlight w:val="auto"/>
        </w:rPr>
        <w:t>（三）</w:t>
      </w:r>
      <w:r>
        <w:rPr>
          <w:rFonts w:eastAsia="黑体"/>
          <w:sz w:val="32"/>
          <w:szCs w:val="32"/>
          <w:lang w:val="en-US"/>
          <w:highlight w:val="auto"/>
        </w:rPr>
        <w:t>个性指标</w:t>
      </w:r>
      <w:r>
        <w:rPr>
          <w:rFonts w:eastAsia="黑体"/>
          <w:bCs/>
          <w:sz w:val="32"/>
          <w:szCs w:val="32"/>
          <w:lang w:val="zh-CN"/>
          <w:highlight w:val="auto"/>
        </w:rPr>
        <w:t>绩效分析。</w:t>
      </w:r>
    </w:p>
    <w:p>
      <w:pPr>
        <w:pStyle w:val="18"/>
        <w:pageBreakBefore w:val="0"/>
        <w:widowControl/>
        <w:tabs>
          <w:tab w:val="left" w:pos="2160"/>
        </w:tabs>
        <w:kinsoku/>
        <w:wordWrap/>
        <w:overflowPunct/>
        <w:topLinePunct w:val="0"/>
        <w:autoSpaceDE/>
        <w:autoSpaceDN/>
        <w:bidi w:val="0"/>
        <w:adjustRightInd/>
        <w:spacing w:line="600" w:lineRule="exact"/>
        <w:ind w:left="0" w:firstLineChars="200" w:firstLine="640"/>
        <w:textAlignment w:val="auto"/>
        <w:rPr>
          <w:rFonts w:ascii="Times New Roman" w:hAnsi="Times New Roman"/>
          <w:sz w:val="32"/>
          <w:szCs w:val="32"/>
          <w:shd w:val="clear" w:color="auto" w:fill="FFFFFF"/>
          <w:lang w:val="zh-CN" w:bidi="ar-SA"/>
        </w:rPr>
      </w:pPr>
      <w:r>
        <w:rPr>
          <w:rFonts w:ascii="Times New Roman" w:hAnsi="Times New Roman"/>
          <w:sz w:val="32"/>
          <w:szCs w:val="32"/>
          <w:shd w:val="clear" w:color="auto" w:fill="FFFFFF"/>
          <w:lang w:val="zh-CN" w:bidi="ar-SA"/>
        </w:rPr>
        <w:t>车辆投入使用后，制定了完善的公务用车管理制度，涵盖车辆使用审批、调度分配、维护保养、报废处置等环节。建立了信息化管理平台，实时监控车辆位置、行驶里程、油耗等信息，实现了车辆的精细化管理。同时，加强对驾驶员的培训与考核，定期组织安全驾驶、节能驾驶培训，有效降低了车辆使用成本，提高了车辆使用寿命 。</w:t>
      </w:r>
    </w:p>
    <w:p>
      <w:pPr>
        <w:pStyle w:val="18"/>
        <w:pageBreakBefore w:val="0"/>
        <w:widowControl/>
        <w:tabs>
          <w:tab w:val="left" w:pos="2160"/>
        </w:tabs>
        <w:kinsoku/>
        <w:wordWrap/>
        <w:overflowPunct/>
        <w:topLinePunct w:val="0"/>
        <w:autoSpaceDE/>
        <w:autoSpaceDN/>
        <w:bidi w:val="0"/>
        <w:adjustRightInd/>
        <w:spacing w:line="600" w:lineRule="exact"/>
        <w:textAlignment w:val="auto"/>
        <w:rPr>
          <w:rFonts w:ascii="Times New Roman" w:hAnsi="Times New Roman"/>
          <w:sz w:val="32"/>
          <w:szCs w:val="32"/>
          <w:shd w:val="clear" w:color="auto" w:fill="FFFFFF"/>
          <w:lang w:val="zh-CN" w:bidi="ar-SA"/>
        </w:rPr>
      </w:pPr>
      <w:r>
        <w:rPr>
          <w:rFonts w:ascii="Times New Roman" w:hAnsi="Times New Roman"/>
          <w:sz w:val="32"/>
          <w:szCs w:val="32"/>
          <w:shd w:val="clear" w:color="auto" w:fill="FFFFFF"/>
          <w:lang w:val="zh-CN" w:bidi="ar-SA"/>
        </w:rPr>
        <w:t>采购成本：通过规范的采购流程和充分的市场调研，车辆采购价格合理，未出现超预算采购的情况，有效控制了采购环节的成本。</w:t>
      </w:r>
    </w:p>
    <w:p>
      <w:pPr>
        <w:pStyle w:val="18"/>
        <w:pageBreakBefore w:val="0"/>
        <w:widowControl/>
        <w:tabs>
          <w:tab w:val="left" w:pos="2160"/>
        </w:tabs>
        <w:kinsoku/>
        <w:wordWrap/>
        <w:overflowPunct/>
        <w:topLinePunct w:val="0"/>
        <w:autoSpaceDE/>
        <w:autoSpaceDN/>
        <w:bidi w:val="0"/>
        <w:adjustRightInd/>
        <w:spacing w:line="600" w:lineRule="exact"/>
        <w:textAlignment w:val="auto"/>
        <w:rPr>
          <w:rFonts w:ascii="Times New Roman" w:hAnsi="Times New Roman"/>
          <w:sz w:val="32"/>
          <w:szCs w:val="32"/>
          <w:shd w:val="clear" w:color="auto" w:fill="FFFFFF"/>
          <w:lang w:val="zh-CN" w:bidi="ar-SA"/>
        </w:rPr>
      </w:pPr>
      <w:r>
        <w:rPr>
          <w:rFonts w:ascii="Times New Roman" w:hAnsi="Times New Roman"/>
          <w:sz w:val="32"/>
          <w:szCs w:val="32"/>
          <w:shd w:val="clear" w:color="auto" w:fill="FFFFFF"/>
          <w:lang w:val="zh-CN" w:bidi="ar-SA"/>
        </w:rPr>
        <w:t>使用成本：建立了完善的车辆使用管理制度，通过信息化管理平台对车辆油耗、维修保养等进行监控和管理，降低了车辆的使用成本，提高了资金使用效益。</w:t>
      </w:r>
    </w:p>
    <w:p>
      <w:pPr>
        <w:pStyle w:val="18"/>
        <w:pageBreakBefore w:val="0"/>
        <w:widowControl/>
        <w:tabs>
          <w:tab w:val="left" w:pos="2160"/>
        </w:tabs>
        <w:kinsoku/>
        <w:wordWrap/>
        <w:overflowPunct/>
        <w:topLinePunct w:val="0"/>
        <w:autoSpaceDE/>
        <w:autoSpaceDN/>
        <w:bidi w:val="0"/>
        <w:adjustRightInd/>
        <w:spacing w:line="600" w:lineRule="exact"/>
        <w:textAlignment w:val="auto"/>
        <w:rPr>
          <w:rFonts w:ascii="Times New Roman" w:hAnsi="Times New Roman"/>
          <w:sz w:val="32"/>
          <w:szCs w:val="32"/>
          <w:shd w:val="clear" w:color="auto" w:fill="FFFFFF"/>
          <w:lang w:val="zh-CN" w:bidi="ar-SA"/>
        </w:rPr>
      </w:pPr>
      <w:r>
        <w:rPr>
          <w:rFonts w:ascii="Times New Roman" w:hAnsi="Times New Roman"/>
          <w:sz w:val="32"/>
          <w:szCs w:val="32"/>
          <w:shd w:val="clear" w:color="auto" w:fill="FFFFFF"/>
          <w:lang w:val="zh-CN" w:bidi="ar-SA"/>
        </w:rPr>
        <w:t>工作效率提升</w:t>
      </w:r>
    </w:p>
    <w:p>
      <w:pPr>
        <w:pStyle w:val="18"/>
        <w:pageBreakBefore w:val="0"/>
        <w:widowControl/>
        <w:tabs>
          <w:tab w:val="left" w:pos="2160"/>
        </w:tabs>
        <w:kinsoku/>
        <w:wordWrap/>
        <w:overflowPunct/>
        <w:topLinePunct w:val="0"/>
        <w:autoSpaceDE/>
        <w:autoSpaceDN/>
        <w:bidi w:val="0"/>
        <w:adjustRightInd/>
        <w:spacing w:line="600" w:lineRule="exact"/>
        <w:textAlignment w:val="auto"/>
        <w:rPr>
          <w:rFonts w:ascii="Times New Roman" w:hAnsi="Times New Roman"/>
          <w:sz w:val="32"/>
          <w:szCs w:val="32"/>
          <w:shd w:val="clear" w:color="auto" w:fill="FFFFFF"/>
          <w:lang w:val="zh-CN" w:bidi="ar-SA"/>
        </w:rPr>
      </w:pPr>
      <w:r>
        <w:rPr>
          <w:rFonts w:ascii="Times New Roman" w:hAnsi="Times New Roman"/>
          <w:sz w:val="32"/>
          <w:szCs w:val="32"/>
          <w:shd w:val="clear" w:color="auto" w:fill="FFFFFF"/>
          <w:lang w:val="zh-CN" w:bidi="ar-SA"/>
        </w:rPr>
        <w:t>业务开展：车辆的更新换代使得公务人员能够更快速、便捷地到达工作地点，缩短了出行时间，增加了实际工作时间，提高了行政业务的开展效率。</w:t>
      </w:r>
    </w:p>
    <w:p>
      <w:pPr>
        <w:pStyle w:val="18"/>
        <w:pageBreakBefore w:val="0"/>
        <w:widowControl/>
        <w:tabs>
          <w:tab w:val="left" w:pos="2160"/>
        </w:tabs>
        <w:kinsoku/>
        <w:wordWrap/>
        <w:overflowPunct/>
        <w:topLinePunct w:val="0"/>
        <w:autoSpaceDE/>
        <w:autoSpaceDN/>
        <w:bidi w:val="0"/>
        <w:adjustRightInd/>
        <w:spacing w:line="600" w:lineRule="exact"/>
        <w:textAlignment w:val="auto"/>
        <w:rPr>
          <w:rFonts w:ascii="Times New Roman" w:hAnsi="Times New Roman"/>
          <w:sz w:val="32"/>
          <w:szCs w:val="32"/>
          <w:shd w:val="clear" w:color="auto" w:fill="FFFFFF"/>
          <w:lang w:val="zh-CN" w:bidi="ar-SA"/>
        </w:rPr>
      </w:pPr>
      <w:r>
        <w:rPr>
          <w:rFonts w:ascii="Times New Roman" w:hAnsi="Times New Roman"/>
          <w:sz w:val="32"/>
          <w:szCs w:val="32"/>
          <w:shd w:val="clear" w:color="auto" w:fill="FFFFFF"/>
          <w:lang w:val="zh-CN" w:bidi="ar-SA"/>
        </w:rPr>
        <w:t>部门协作：良好的车辆保障促进了部门之间的沟通与</w:t>
      </w:r>
    </w:p>
    <w:p>
      <w:pPr>
        <w:pStyle w:val="18"/>
        <w:pageBreakBefore w:val="0"/>
        <w:widowControl/>
        <w:tabs>
          <w:tab w:val="left" w:pos="2160"/>
        </w:tabs>
        <w:kinsoku/>
        <w:wordWrap/>
        <w:overflowPunct/>
        <w:topLinePunct w:val="0"/>
        <w:autoSpaceDE/>
        <w:autoSpaceDN/>
        <w:adjustRightInd/>
        <w:spacing w:line="600" w:lineRule="exact"/>
        <w:rPr>
          <w:rFonts w:ascii="Times New Roman" w:eastAsia="黑体" w:cs="Times New Roman" w:hAnsi="Times New Roman"/>
          <w:color w:val="auto"/>
          <w:sz w:val="32"/>
          <w:szCs w:val="32"/>
          <w:u w:val="none"/>
          <w:lang w:bidi="ar-SA"/>
          <w:highlight w:val="auto"/>
        </w:rPr>
      </w:pPr>
      <w:r>
        <w:rPr>
          <w:rFonts w:ascii="Times New Roman" w:eastAsia="黑体" w:cs="Times New Roman" w:hAnsi="Times New Roman"/>
          <w:color w:val="auto"/>
          <w:sz w:val="32"/>
          <w:szCs w:val="32"/>
          <w:u w:val="none"/>
          <w:lang w:eastAsia="zh-CN" w:bidi="ar-SA"/>
          <w:highlight w:val="auto"/>
        </w:rPr>
        <w:t>四</w:t>
      </w:r>
      <w:r>
        <w:rPr>
          <w:rFonts w:ascii="Times New Roman" w:eastAsia="黑体" w:cs="Times New Roman" w:hAnsi="Times New Roman"/>
          <w:color w:val="auto"/>
          <w:sz w:val="32"/>
          <w:szCs w:val="32"/>
          <w:u w:val="none"/>
          <w:lang w:bidi="ar-SA"/>
          <w:highlight w:val="auto"/>
        </w:rPr>
        <w:t>、评价结论</w:t>
      </w:r>
    </w:p>
    <w:p>
      <w:pPr>
        <w:pStyle w:val="18"/>
        <w:pageBreakBefore w:val="0"/>
        <w:widowControl/>
        <w:tabs>
          <w:tab w:val="left" w:pos="2160"/>
        </w:tabs>
        <w:kinsoku/>
        <w:wordWrap/>
        <w:overflowPunct/>
        <w:topLinePunct w:val="0"/>
        <w:autoSpaceDE/>
        <w:autoSpaceDN/>
        <w:adjustRightInd/>
        <w:spacing w:line="600" w:lineRule="exact"/>
        <w:ind w:left="0" w:firstLineChars="200" w:firstLine="640"/>
        <w:rPr>
          <w:rFonts w:ascii="Times New Roman" w:eastAsia="黑体" w:hAnsi="Times New Roman"/>
          <w:sz w:val="32"/>
          <w:szCs w:val="32"/>
        </w:rPr>
      </w:pPr>
      <w:r>
        <w:rPr>
          <w:rFonts w:ascii="Times New Roman" w:eastAsia="仿宋_GB2312" w:cs="Times New Roman" w:hAnsi="Times New Roman" w:hint="eastAsia"/>
          <w:kern w:val="0"/>
          <w:position w:val="0"/>
          <w:sz w:val="32"/>
          <w:szCs w:val="32"/>
          <w:lang w:val="en-US" w:eastAsia="zh-CN" w:bidi="ar-SA"/>
          <w:highlight w:val="auto"/>
        </w:rPr>
        <w:t>经过综合评价。本项目的绩效评价总分为95分</w:t>
      </w:r>
      <w:r>
        <w:rPr>
          <w:rFonts w:ascii="Times New Roman" w:eastAsia="仿宋_GB2312" w:cs="Times New Roman" w:hAnsi="Times New Roman"/>
          <w:kern w:val="0"/>
          <w:position w:val="0"/>
          <w:sz w:val="32"/>
          <w:szCs w:val="32"/>
          <w:lang w:val="en-US" w:eastAsia="zh-CN" w:bidi="ar-SA"/>
          <w:highlight w:val="auto"/>
        </w:rPr>
        <w:t>，</w:t>
      </w:r>
      <w:r>
        <w:rPr>
          <w:rFonts w:ascii="Times New Roman" w:eastAsia="仿宋_GB2312" w:cs="Times New Roman" w:hAnsi="Times New Roman" w:hint="eastAsia"/>
          <w:kern w:val="0"/>
          <w:position w:val="0"/>
          <w:sz w:val="32"/>
          <w:szCs w:val="32"/>
          <w:lang w:val="en-US" w:eastAsia="zh-CN" w:bidi="ar-SA"/>
          <w:highlight w:val="auto"/>
        </w:rPr>
        <w:t>评价等级为优秀。</w:t>
      </w:r>
    </w:p>
    <w:p>
      <w:pPr>
        <w:pStyle w:val="18"/>
        <w:pageBreakBefore w:val="0"/>
        <w:widowControl/>
        <w:tabs>
          <w:tab w:val="left" w:pos="2160"/>
        </w:tabs>
        <w:kinsoku/>
        <w:wordWrap/>
        <w:overflowPunct/>
        <w:topLinePunct w:val="0"/>
        <w:autoSpaceDE/>
        <w:autoSpaceDN/>
        <w:bidi w:val="0"/>
        <w:adjustRightInd/>
        <w:spacing w:line="600" w:lineRule="exact"/>
        <w:ind w:left="0"/>
        <w:textAlignment w:val="auto"/>
        <w:rPr>
          <w:rFonts w:ascii="Times New Roman" w:eastAsia="黑体" w:cs="Times New Roman" w:hAnsi="Times New Roman"/>
          <w:color w:val="auto"/>
          <w:sz w:val="32"/>
          <w:szCs w:val="32"/>
          <w:u w:val="none"/>
          <w:lang w:eastAsia="zh-CN" w:bidi="ar-SA"/>
          <w:highlight w:val="auto"/>
        </w:rPr>
      </w:pPr>
      <w:r>
        <w:rPr>
          <w:rFonts w:ascii="Times New Roman" w:eastAsia="黑体" w:cs="Times New Roman" w:hAnsi="Times New Roman"/>
          <w:color w:val="auto"/>
          <w:sz w:val="32"/>
          <w:szCs w:val="32"/>
          <w:u w:val="none"/>
          <w:lang w:eastAsia="zh-CN" w:bidi="ar-SA"/>
          <w:highlight w:val="auto"/>
        </w:rPr>
        <w:t>五、存在主要问题</w:t>
      </w:r>
    </w:p>
    <w:p>
      <w:pPr>
        <w:pStyle w:val="18"/>
        <w:pageBreakBefore w:val="0"/>
        <w:widowControl/>
        <w:tabs>
          <w:tab w:val="left" w:pos="2160"/>
        </w:tabs>
        <w:kinsoku/>
        <w:wordWrap/>
        <w:overflowPunct/>
        <w:topLinePunct w:val="0"/>
        <w:autoSpaceDE/>
        <w:autoSpaceDN/>
        <w:bidi w:val="0"/>
        <w:adjustRightInd/>
        <w:spacing w:line="600" w:lineRule="exact"/>
        <w:ind w:left="0" w:firstLineChars="200" w:firstLine="640"/>
        <w:textAlignment w:val="auto"/>
        <w:rPr>
          <w:rFonts w:ascii="Times New Roman" w:eastAsia="仿宋_GB2312" w:cs="Times New Roman" w:hAnsi="Times New Roman" w:hint="eastAsia"/>
          <w:kern w:val="0"/>
          <w:position w:val="0"/>
          <w:sz w:val="32"/>
          <w:szCs w:val="32"/>
          <w:lang w:val="en-US" w:eastAsia="zh-CN" w:bidi="ar-SA"/>
          <w:highlight w:val="auto"/>
        </w:rPr>
      </w:pPr>
      <w:r>
        <w:rPr>
          <w:rFonts w:ascii="Times New Roman" w:eastAsia="仿宋_GB2312" w:cs="Times New Roman" w:hAnsi="Times New Roman" w:hint="eastAsia"/>
          <w:kern w:val="0"/>
          <w:position w:val="0"/>
          <w:sz w:val="32"/>
          <w:szCs w:val="32"/>
          <w:lang w:val="en-US" w:eastAsia="zh-CN" w:bidi="ar-SA"/>
          <w:highlight w:val="auto"/>
        </w:rPr>
        <w:t>无</w:t>
      </w:r>
    </w:p>
    <w:p>
      <w:pPr>
        <w:pStyle w:val="18"/>
        <w:pageBreakBefore w:val="0"/>
        <w:widowControl/>
        <w:tabs>
          <w:tab w:val="left" w:pos="2160"/>
        </w:tabs>
        <w:kinsoku/>
        <w:wordWrap/>
        <w:overflowPunct/>
        <w:topLinePunct w:val="0"/>
        <w:autoSpaceDE/>
        <w:autoSpaceDN/>
        <w:bidi w:val="0"/>
        <w:adjustRightInd/>
        <w:spacing w:line="600" w:lineRule="exact"/>
        <w:textAlignment w:val="auto"/>
        <w:rPr>
          <w:rFonts w:ascii="Times New Roman" w:eastAsia="黑体" w:cs="Times New Roman" w:hAnsi="Times New Roman"/>
          <w:color w:val="auto"/>
          <w:kern w:val="0"/>
          <w:position w:val="3"/>
          <w:sz w:val="32"/>
          <w:szCs w:val="32"/>
          <w:u w:val="none"/>
          <w:lang w:val="zh-CN" w:eastAsia="zh-CN" w:bidi="ar-SA"/>
          <w:highlight w:val="auto"/>
        </w:rPr>
      </w:pPr>
      <w:r>
        <w:rPr>
          <w:rFonts w:ascii="Times New Roman" w:eastAsia="黑体" w:cs="Times New Roman" w:hAnsi="Times New Roman"/>
          <w:color w:val="auto"/>
          <w:kern w:val="0"/>
          <w:position w:val="3"/>
          <w:sz w:val="32"/>
          <w:szCs w:val="32"/>
          <w:u w:val="none"/>
          <w:lang w:val="zh-CN" w:eastAsia="zh-CN" w:bidi="ar-SA"/>
          <w:highlight w:val="auto"/>
        </w:rPr>
        <w:t>六、改进建议</w:t>
      </w:r>
    </w:p>
    <w:p>
      <w:pPr>
        <w:tabs>
          <w:tab w:val="left" w:pos="1911"/>
        </w:tabs>
        <w:jc w:val="left"/>
        <w:rPr>
          <w:rFonts w:eastAsia="仿宋_GB2312"/>
          <w:kern w:val="0"/>
          <w:sz w:val="32"/>
          <w:szCs w:val="32"/>
          <w:highlight w:val="auto"/>
        </w:rPr>
      </w:pPr>
      <w:r>
        <w:rPr>
          <w:rFonts w:eastAsia="仿宋_GB2312" w:hint="eastAsia"/>
          <w:kern w:val="0"/>
          <w:sz w:val="32"/>
          <w:szCs w:val="32"/>
          <w:highlight w:val="auto"/>
        </w:rPr>
        <w:t xml:space="preserve">   加强预算安排强化绩效目标检测。</w:t>
      </w:r>
    </w:p>
    <w:p>
      <w:pPr>
        <w:pStyle w:val="15"/>
        <w:jc w:val="left"/>
      </w:pPr>
    </w:p>
    <w:p>
      <w:pPr>
        <w:pStyle w:val="17"/>
        <w:ind w:leftChars="0" w:left="0" w:firstLineChars="0" w:firstLine="0"/>
        <w:jc w:val="both"/>
      </w:pPr>
    </w:p>
    <w:p>
      <w:pPr>
        <w:pStyle w:val="17"/>
        <w:jc w:val="both"/>
      </w:pPr>
    </w:p>
    <w:p>
      <w:pPr>
        <w:jc w:val="center"/>
        <w:rPr>
          <w:rFonts w:eastAsia="楷体_GB2312" w:cs="宋体"/>
          <w:b/>
          <w:bCs/>
          <w:sz w:val="32"/>
          <w:szCs w:val="32"/>
        </w:rPr>
      </w:pPr>
      <w:r>
        <w:rPr>
          <w:rFonts w:eastAsia="楷体_GB2312" w:cs="宋体"/>
          <w:b/>
          <w:bCs/>
          <w:sz w:val="32"/>
          <w:szCs w:val="32"/>
        </w:rPr>
        <w:t>四川省阿坝州民族高级中学</w:t>
      </w:r>
    </w:p>
    <w:p>
      <w:pPr>
        <w:jc w:val="center"/>
        <w:rPr>
          <w:rFonts w:eastAsia="楷体_GB2312" w:cs="宋体"/>
          <w:b/>
          <w:bCs/>
          <w:sz w:val="32"/>
          <w:szCs w:val="32"/>
        </w:rPr>
      </w:pPr>
      <w:r>
        <w:rPr>
          <w:rFonts w:eastAsia="楷体_GB2312" w:cs="宋体"/>
          <w:b/>
          <w:bCs/>
          <w:sz w:val="32"/>
          <w:szCs w:val="32"/>
        </w:rPr>
        <w:t>校志编撰服务专项预算绩效自评报告</w:t>
      </w:r>
    </w:p>
    <w:p>
      <w:pPr>
        <w:rPr>
          <w:rFonts w:ascii="宋体" w:eastAsia="宋体" w:cs="宋体"/>
          <w:color w:val="000000"/>
          <w:sz w:val="28"/>
          <w:szCs w:val="28"/>
        </w:rPr>
      </w:pPr>
      <w:r>
        <w:rPr>
          <w:rFonts w:ascii="宋体" w:eastAsia="宋体" w:cs="宋体"/>
          <w:color w:val="000000"/>
          <w:sz w:val="28"/>
          <w:szCs w:val="28"/>
        </w:rPr>
        <w:t xml:space="preserve"> </w:t>
      </w:r>
    </w:p>
    <w:p>
      <w:pPr>
        <w:rPr>
          <w:rFonts w:eastAsia="楷体_GB2312" w:cs="宋体"/>
          <w:b/>
          <w:bCs/>
          <w:sz w:val="32"/>
          <w:szCs w:val="32"/>
        </w:rPr>
      </w:pPr>
      <w:r>
        <w:rPr>
          <w:rFonts w:eastAsia="楷体_GB2312" w:cs="宋体"/>
          <w:b/>
          <w:bCs/>
          <w:sz w:val="32"/>
          <w:szCs w:val="32"/>
        </w:rPr>
        <w:t>一、项目概况</w:t>
      </w:r>
    </w:p>
    <w:p>
      <w:pPr>
        <w:rPr>
          <w:rFonts w:eastAsia="楷体_GB2312" w:cs="宋体"/>
          <w:b/>
          <w:bCs/>
          <w:sz w:val="32"/>
          <w:szCs w:val="32"/>
        </w:rPr>
      </w:pPr>
      <w:r>
        <w:rPr>
          <w:rFonts w:eastAsia="楷体_GB2312" w:cs="宋体"/>
          <w:b/>
          <w:bCs/>
          <w:sz w:val="32"/>
          <w:szCs w:val="32"/>
        </w:rPr>
        <w:t>（一）设立背景及基本情况</w:t>
      </w:r>
    </w:p>
    <w:p>
      <w:pPr>
        <w:ind w:firstLineChars="250" w:firstLine="800"/>
        <w:rPr>
          <w:rFonts w:eastAsia="仿宋_GB2312" w:cs="宋体" w:hint="eastAsia"/>
          <w:kern w:val="0"/>
          <w:sz w:val="32"/>
          <w:szCs w:val="32"/>
        </w:rPr>
      </w:pPr>
      <w:r>
        <w:rPr>
          <w:rFonts w:eastAsia="仿宋_GB2312" w:cs="宋体" w:hint="eastAsia"/>
          <w:kern w:val="0"/>
          <w:sz w:val="32"/>
          <w:szCs w:val="32"/>
        </w:rPr>
        <w:t>建校50周年是学校发展历程中的重要里程碑，校志作为记录学校历史、传承文化精神的重要载体，对于总结办学成果、凝聚师生校友情感、展现学校风貌具有深远意义。项目旨在系统梳理建校50年来在教育教学、学科建设、人才培养、校园文化等方面的发展脉络。主管部门为学校办公室，负责统筹协调校志编撰工作，组织资料收集、审核、印刷等全流程管理。</w:t>
      </w:r>
    </w:p>
    <w:p>
      <w:pPr>
        <w:rPr>
          <w:rFonts w:ascii="宋体" w:cs="宋体"/>
          <w:b/>
          <w:color w:val="000000"/>
          <w:sz w:val="28"/>
          <w:szCs w:val="28"/>
        </w:rPr>
      </w:pPr>
      <w:r>
        <w:rPr>
          <w:rFonts w:ascii="宋体" w:eastAsia="宋体" w:cs="宋体" w:hint="eastAsia"/>
          <w:b/>
          <w:color w:val="000000"/>
          <w:sz w:val="28"/>
          <w:szCs w:val="28"/>
        </w:rPr>
        <w:t>（二）实施目的及支持方向</w:t>
      </w:r>
    </w:p>
    <w:p>
      <w:pPr>
        <w:ind w:firstLineChars="250" w:firstLine="800"/>
        <w:rPr>
          <w:rFonts w:eastAsia="仿宋_GB2312" w:cs="宋体" w:hint="eastAsia"/>
          <w:kern w:val="0"/>
          <w:sz w:val="32"/>
          <w:szCs w:val="32"/>
        </w:rPr>
      </w:pPr>
      <w:r>
        <w:rPr>
          <w:rFonts w:eastAsia="仿宋_GB2312" w:cs="宋体" w:hint="eastAsia"/>
          <w:kern w:val="0"/>
          <w:sz w:val="32"/>
          <w:szCs w:val="32"/>
        </w:rPr>
        <w:t>学校制定《校志编撰专项资金管理办法》，明确资金专款专用原则。项目核心目标是完成校志高质量编撰与印刷，为校庆活动提供权威历史文献。支持方向主要涵盖资料收集、内容编撰、专家评审及印刷装订等环节，其中印刷费和装订费预算合计25万元，占项目总预算的100%，重点保障校志成品的装帧质量与印刷效果。</w:t>
      </w:r>
    </w:p>
    <w:p>
      <w:pPr>
        <w:rPr>
          <w:rFonts w:ascii="宋体" w:cs="宋体"/>
          <w:b/>
          <w:color w:val="000000"/>
          <w:sz w:val="28"/>
          <w:szCs w:val="28"/>
        </w:rPr>
      </w:pPr>
      <w:r>
        <w:rPr>
          <w:rFonts w:ascii="宋体" w:eastAsia="宋体" w:cs="宋体" w:hint="eastAsia"/>
          <w:b/>
          <w:color w:val="000000"/>
          <w:sz w:val="28"/>
          <w:szCs w:val="28"/>
        </w:rPr>
        <w:t>（三）预算安排及分配管理</w:t>
      </w:r>
    </w:p>
    <w:p>
      <w:pPr>
        <w:ind w:firstLineChars="250" w:firstLine="800"/>
        <w:rPr>
          <w:rFonts w:eastAsia="仿宋_GB2312" w:cs="宋体" w:hint="eastAsia"/>
          <w:kern w:val="0"/>
          <w:sz w:val="32"/>
          <w:szCs w:val="32"/>
        </w:rPr>
      </w:pPr>
      <w:r>
        <w:rPr>
          <w:rFonts w:eastAsia="仿宋_GB2312" w:cs="宋体" w:hint="eastAsia"/>
          <w:kern w:val="0"/>
          <w:sz w:val="32"/>
          <w:szCs w:val="32"/>
        </w:rPr>
        <w:t>印刷费和装订费预算25万元，资金分配依据市场调研价格及校志规格要求确定，通过公开询价方式选择优质印刷企业，确保费用合理、使用规范。</w:t>
      </w:r>
    </w:p>
    <w:p>
      <w:pPr>
        <w:rPr>
          <w:rFonts w:ascii="宋体" w:eastAsia="宋体" w:cs="宋体"/>
          <w:color w:val="000000"/>
          <w:sz w:val="28"/>
          <w:szCs w:val="28"/>
        </w:rPr>
      </w:pPr>
      <w:r>
        <w:rPr>
          <w:rFonts w:ascii="宋体" w:eastAsia="宋体" w:cs="宋体"/>
          <w:color w:val="000000"/>
          <w:sz w:val="28"/>
          <w:szCs w:val="28"/>
        </w:rPr>
        <w:t xml:space="preserve"> </w:t>
      </w:r>
    </w:p>
    <w:p>
      <w:pPr>
        <w:rPr>
          <w:rFonts w:ascii="宋体" w:cs="宋体"/>
          <w:b/>
          <w:color w:val="000000"/>
          <w:sz w:val="28"/>
          <w:szCs w:val="28"/>
        </w:rPr>
      </w:pPr>
      <w:r>
        <w:rPr>
          <w:rFonts w:ascii="宋体" w:eastAsia="宋体" w:cs="宋体" w:hint="eastAsia"/>
          <w:b/>
          <w:color w:val="000000"/>
          <w:sz w:val="28"/>
          <w:szCs w:val="28"/>
        </w:rPr>
        <w:t>（四）项目绩效目标设置</w:t>
      </w:r>
    </w:p>
    <w:p>
      <w:pPr>
        <w:ind w:firstLineChars="250" w:firstLine="800"/>
        <w:rPr>
          <w:rFonts w:eastAsia="仿宋_GB2312" w:cs="宋体" w:hint="eastAsia"/>
          <w:kern w:val="0"/>
          <w:sz w:val="32"/>
          <w:szCs w:val="32"/>
        </w:rPr>
      </w:pPr>
      <w:r>
        <w:rPr>
          <w:rFonts w:eastAsia="仿宋_GB2312" w:cs="宋体" w:hint="eastAsia"/>
          <w:kern w:val="0"/>
          <w:sz w:val="32"/>
          <w:szCs w:val="32"/>
        </w:rPr>
        <w:t>1. 整体目标：完成校志印刷装订</w:t>
      </w:r>
      <w:r>
        <w:rPr>
          <w:rFonts w:eastAsia="仿宋_GB2312" w:cs="宋体" w:hint="eastAsia"/>
          <w:kern w:val="0"/>
          <w:sz w:val="32"/>
          <w:szCs w:val="32"/>
          <w:lang w:val="en-US" w:eastAsia="zh-CN"/>
        </w:rPr>
        <w:t>2500</w:t>
      </w:r>
      <w:r>
        <w:rPr>
          <w:rFonts w:eastAsia="仿宋_GB2312" w:cs="宋体" w:hint="eastAsia"/>
          <w:kern w:val="0"/>
          <w:sz w:val="32"/>
          <w:szCs w:val="32"/>
        </w:rPr>
        <w:t>册，确保质量达标并按时交付。</w:t>
      </w:r>
    </w:p>
    <w:p>
      <w:pPr>
        <w:ind w:firstLineChars="250" w:firstLine="800"/>
        <w:rPr>
          <w:rFonts w:eastAsia="仿宋_GB2312" w:cs="宋体" w:hint="eastAsia"/>
          <w:kern w:val="0"/>
          <w:sz w:val="32"/>
          <w:szCs w:val="32"/>
        </w:rPr>
      </w:pPr>
      <w:r>
        <w:rPr>
          <w:rFonts w:eastAsia="仿宋_GB2312" w:cs="宋体" w:hint="eastAsia"/>
          <w:kern w:val="0"/>
          <w:sz w:val="32"/>
          <w:szCs w:val="32"/>
        </w:rPr>
        <w:t>2. 具体目标：印刷装订成本控制在25万元以内；采用环保纸张及精装工艺，成品符合校志设计标准；印刷误差率低于0.5%，装订牢固无脱页。</w:t>
      </w:r>
    </w:p>
    <w:p>
      <w:pPr>
        <w:ind w:firstLineChars="250" w:firstLine="800"/>
        <w:rPr>
          <w:rFonts w:eastAsia="仿宋_GB2312" w:cs="宋体" w:hint="eastAsia"/>
          <w:kern w:val="0"/>
          <w:sz w:val="32"/>
          <w:szCs w:val="32"/>
        </w:rPr>
      </w:pPr>
      <w:r>
        <w:rPr>
          <w:rFonts w:eastAsia="仿宋_GB2312" w:cs="宋体" w:hint="eastAsia"/>
          <w:kern w:val="0"/>
          <w:sz w:val="32"/>
          <w:szCs w:val="32"/>
        </w:rPr>
        <w:t>3. 自评工作：成立由学校办公室、财务处、审计处组成的自评小组，通过资料审查、实地验收、成本核算等方式开展绩效评价。</w:t>
      </w:r>
    </w:p>
    <w:p>
      <w:pPr>
        <w:rPr>
          <w:rFonts w:ascii="宋体" w:eastAsia="宋体" w:cs="宋体"/>
          <w:b/>
          <w:color w:val="000000"/>
          <w:sz w:val="28"/>
          <w:szCs w:val="28"/>
        </w:rPr>
      </w:pPr>
      <w:r>
        <w:rPr>
          <w:rFonts w:ascii="宋体" w:eastAsia="宋体" w:cs="宋体" w:hint="eastAsia"/>
          <w:b/>
          <w:color w:val="000000"/>
          <w:sz w:val="28"/>
          <w:szCs w:val="28"/>
        </w:rPr>
        <w:t>二、评价实施</w:t>
      </w:r>
    </w:p>
    <w:p>
      <w:pPr>
        <w:rPr>
          <w:rFonts w:ascii="宋体" w:cs="宋体"/>
          <w:b/>
          <w:color w:val="000000"/>
          <w:sz w:val="28"/>
          <w:szCs w:val="28"/>
        </w:rPr>
      </w:pPr>
      <w:r>
        <w:rPr>
          <w:rFonts w:ascii="宋体" w:eastAsia="宋体" w:cs="宋体" w:hint="eastAsia"/>
          <w:b/>
          <w:color w:val="000000"/>
          <w:sz w:val="28"/>
          <w:szCs w:val="28"/>
        </w:rPr>
        <w:t>（一）评价目的</w:t>
      </w:r>
    </w:p>
    <w:p>
      <w:pPr>
        <w:ind w:firstLineChars="250" w:firstLine="800"/>
        <w:rPr>
          <w:rFonts w:eastAsia="仿宋_GB2312" w:cs="宋体" w:hint="eastAsia"/>
          <w:kern w:val="0"/>
          <w:sz w:val="32"/>
          <w:szCs w:val="32"/>
        </w:rPr>
      </w:pPr>
      <w:r>
        <w:rPr>
          <w:rFonts w:eastAsia="仿宋_GB2312" w:cs="宋体" w:hint="eastAsia"/>
          <w:kern w:val="0"/>
          <w:sz w:val="32"/>
          <w:szCs w:val="32"/>
        </w:rPr>
        <w:t>核查印刷装订费用使用合规性，评估校志成品质量是否达到预期标准，总结成本控制经验，为后续印刷类项目提供参考。</w:t>
      </w:r>
    </w:p>
    <w:p>
      <w:pPr>
        <w:rPr>
          <w:rFonts w:ascii="宋体" w:cs="宋体" w:hint="eastAsia"/>
          <w:b/>
          <w:color w:val="000000"/>
          <w:sz w:val="28"/>
          <w:szCs w:val="28"/>
        </w:rPr>
      </w:pPr>
      <w:r>
        <w:rPr>
          <w:rFonts w:ascii="宋体" w:cs="宋体" w:hint="eastAsia"/>
          <w:b/>
          <w:color w:val="000000"/>
          <w:sz w:val="28"/>
          <w:szCs w:val="28"/>
        </w:rPr>
        <w:t>（二）预设问题及评价重点</w:t>
      </w:r>
    </w:p>
    <w:p>
      <w:pPr>
        <w:rPr>
          <w:rFonts w:ascii="宋体" w:eastAsia="宋体" w:cs="宋体"/>
          <w:color w:val="000000"/>
          <w:sz w:val="28"/>
          <w:szCs w:val="28"/>
        </w:rPr>
      </w:pPr>
      <w:r>
        <w:rPr>
          <w:rFonts w:eastAsia="仿宋_GB2312" w:cs="宋体" w:hint="eastAsia"/>
          <w:kern w:val="0"/>
          <w:sz w:val="32"/>
          <w:szCs w:val="32"/>
        </w:rPr>
        <w:t>预设问题包括：费用支出是否超预算、印刷工艺是否符合要求、装订质量是否达标。评价重点聚焦资金使用规范性、成品质量、成本效益匹配度。</w:t>
      </w:r>
    </w:p>
    <w:p>
      <w:pPr>
        <w:rPr>
          <w:rFonts w:ascii="宋体" w:cs="宋体"/>
          <w:b/>
          <w:color w:val="000000"/>
          <w:sz w:val="28"/>
          <w:szCs w:val="28"/>
        </w:rPr>
      </w:pPr>
      <w:r>
        <w:rPr>
          <w:rFonts w:ascii="宋体" w:eastAsia="宋体" w:cs="宋体" w:hint="eastAsia"/>
          <w:b/>
          <w:color w:val="000000"/>
          <w:sz w:val="28"/>
          <w:szCs w:val="28"/>
        </w:rPr>
        <w:t>（三）评价选点</w:t>
      </w:r>
    </w:p>
    <w:p>
      <w:pPr>
        <w:rPr>
          <w:rFonts w:eastAsia="仿宋_GB2312" w:cs="宋体" w:hint="eastAsia"/>
          <w:kern w:val="0"/>
          <w:sz w:val="32"/>
          <w:szCs w:val="32"/>
        </w:rPr>
      </w:pPr>
      <w:r>
        <w:rPr>
          <w:rFonts w:eastAsia="仿宋_GB2312" w:cs="宋体" w:hint="eastAsia"/>
          <w:kern w:val="0"/>
          <w:sz w:val="32"/>
          <w:szCs w:val="32"/>
        </w:rPr>
        <w:t>选取印刷企业生产车间、学校校志验收现场2个点位，检查印刷纸张质量、装订工艺及成品交付情况。</w:t>
      </w:r>
    </w:p>
    <w:p>
      <w:pPr>
        <w:rPr>
          <w:rFonts w:ascii="宋体" w:cs="宋体"/>
          <w:b/>
          <w:color w:val="000000"/>
          <w:sz w:val="28"/>
          <w:szCs w:val="28"/>
        </w:rPr>
      </w:pPr>
      <w:r>
        <w:rPr>
          <w:rFonts w:ascii="宋体" w:eastAsia="宋体" w:cs="宋体" w:hint="eastAsia"/>
          <w:b/>
          <w:color w:val="000000"/>
          <w:sz w:val="28"/>
          <w:szCs w:val="28"/>
        </w:rPr>
        <w:t>（四）评价方法</w:t>
      </w:r>
    </w:p>
    <w:p>
      <w:pPr>
        <w:rPr>
          <w:rFonts w:eastAsia="仿宋_GB2312" w:cs="宋体" w:hint="eastAsia"/>
          <w:kern w:val="0"/>
          <w:sz w:val="32"/>
          <w:szCs w:val="32"/>
        </w:rPr>
      </w:pPr>
      <w:r>
        <w:rPr>
          <w:rFonts w:eastAsia="仿宋_GB2312" w:cs="宋体" w:hint="eastAsia"/>
          <w:kern w:val="0"/>
          <w:sz w:val="32"/>
          <w:szCs w:val="32"/>
        </w:rPr>
        <w:t>1. 实地勘察法：现场查看印刷流程及成品质量。</w:t>
      </w:r>
    </w:p>
    <w:p>
      <w:pPr>
        <w:rPr>
          <w:rFonts w:eastAsia="仿宋_GB2312" w:cs="宋体" w:hint="eastAsia"/>
          <w:kern w:val="0"/>
          <w:sz w:val="32"/>
          <w:szCs w:val="32"/>
        </w:rPr>
      </w:pPr>
      <w:r>
        <w:rPr>
          <w:rFonts w:eastAsia="仿宋_GB2312" w:cs="宋体" w:hint="eastAsia"/>
          <w:kern w:val="0"/>
          <w:sz w:val="32"/>
          <w:szCs w:val="32"/>
        </w:rPr>
        <w:t>2. 案卷研究法：核查合同、发票、验收单等财务凭证。</w:t>
      </w:r>
    </w:p>
    <w:p>
      <w:pPr>
        <w:rPr>
          <w:rFonts w:eastAsia="仿宋_GB2312" w:cs="宋体" w:hint="eastAsia"/>
          <w:kern w:val="0"/>
          <w:sz w:val="32"/>
          <w:szCs w:val="32"/>
        </w:rPr>
      </w:pPr>
      <w:r>
        <w:rPr>
          <w:rFonts w:eastAsia="仿宋_GB2312" w:cs="宋体" w:hint="eastAsia"/>
          <w:kern w:val="0"/>
          <w:sz w:val="32"/>
          <w:szCs w:val="32"/>
        </w:rPr>
        <w:t>3. 专家评审法：邀请出版领域专家对校志印刷质量进行评估。</w:t>
      </w:r>
    </w:p>
    <w:p>
      <w:pPr>
        <w:rPr>
          <w:rFonts w:ascii="宋体" w:cs="宋体"/>
          <w:b/>
          <w:color w:val="000000"/>
          <w:sz w:val="28"/>
          <w:szCs w:val="28"/>
        </w:rPr>
      </w:pPr>
      <w:r>
        <w:rPr>
          <w:rFonts w:ascii="宋体" w:eastAsia="宋体" w:cs="宋体" w:hint="eastAsia"/>
          <w:b/>
          <w:color w:val="000000"/>
          <w:sz w:val="28"/>
          <w:szCs w:val="28"/>
        </w:rPr>
        <w:t>（五）评价组织</w:t>
      </w:r>
    </w:p>
    <w:p>
      <w:pPr>
        <w:rPr>
          <w:rFonts w:eastAsia="仿宋_GB2312" w:cs="宋体" w:hint="eastAsia"/>
          <w:kern w:val="0"/>
          <w:sz w:val="32"/>
          <w:szCs w:val="32"/>
        </w:rPr>
      </w:pPr>
      <w:r>
        <w:rPr>
          <w:rFonts w:eastAsia="仿宋_GB2312" w:cs="宋体" w:hint="eastAsia"/>
          <w:kern w:val="0"/>
          <w:sz w:val="32"/>
          <w:szCs w:val="32"/>
        </w:rPr>
        <w:t>评价组由学校办公室（负责统筹协调）、财务处（审核资金使用）、审计处（监督合规性）及出版专家（评估质量）组成，分工协作完成评价工作。</w:t>
      </w:r>
    </w:p>
    <w:p>
      <w:pPr>
        <w:rPr>
          <w:rFonts w:ascii="宋体" w:cs="宋体"/>
          <w:b/>
          <w:color w:val="000000"/>
          <w:sz w:val="28"/>
          <w:szCs w:val="28"/>
        </w:rPr>
      </w:pPr>
      <w:r>
        <w:rPr>
          <w:rFonts w:ascii="宋体" w:eastAsia="宋体" w:cs="宋体" w:hint="eastAsia"/>
          <w:b/>
          <w:color w:val="000000"/>
          <w:sz w:val="28"/>
          <w:szCs w:val="28"/>
        </w:rPr>
        <w:t>三、绩效分析</w:t>
      </w:r>
    </w:p>
    <w:p>
      <w:pPr>
        <w:rPr>
          <w:rFonts w:eastAsia="仿宋_GB2312" w:cs="宋体" w:hint="eastAsia"/>
          <w:kern w:val="0"/>
          <w:sz w:val="32"/>
          <w:szCs w:val="32"/>
        </w:rPr>
      </w:pPr>
      <w:r>
        <w:rPr>
          <w:rFonts w:eastAsia="仿宋_GB2312" w:cs="宋体" w:hint="eastAsia"/>
          <w:kern w:val="0"/>
          <w:sz w:val="32"/>
          <w:szCs w:val="32"/>
        </w:rPr>
        <w:t>（一）通用指标绩效分析</w:t>
      </w:r>
    </w:p>
    <w:p>
      <w:pPr>
        <w:rPr>
          <w:rFonts w:eastAsia="仿宋_GB2312" w:cs="宋体" w:hint="eastAsia"/>
          <w:kern w:val="0"/>
          <w:sz w:val="32"/>
          <w:szCs w:val="32"/>
        </w:rPr>
      </w:pPr>
      <w:r>
        <w:rPr>
          <w:rFonts w:eastAsia="仿宋_GB2312" w:cs="宋体" w:hint="eastAsia"/>
          <w:kern w:val="0"/>
          <w:sz w:val="32"/>
          <w:szCs w:val="32"/>
        </w:rPr>
        <w:t>1. 项目决策：印刷装订方案经学校办公会审议通过，决策程序规范；根据校志定位合理确定工艺标准，资金投向明确。</w:t>
      </w:r>
    </w:p>
    <w:p>
      <w:pPr>
        <w:rPr>
          <w:rFonts w:eastAsia="仿宋_GB2312" w:cs="宋体" w:hint="eastAsia"/>
          <w:kern w:val="0"/>
          <w:sz w:val="32"/>
          <w:szCs w:val="32"/>
        </w:rPr>
      </w:pPr>
      <w:r>
        <w:rPr>
          <w:rFonts w:eastAsia="仿宋_GB2312" w:cs="宋体" w:hint="eastAsia"/>
          <w:kern w:val="0"/>
          <w:sz w:val="32"/>
          <w:szCs w:val="32"/>
        </w:rPr>
        <w:t>2. 项目管理：严格执行《专项资金管理办法》，通过公开询价选定供应商，合同签订规范；建立费用支出台账，定期核查。</w:t>
      </w:r>
    </w:p>
    <w:p>
      <w:pPr>
        <w:rPr>
          <w:rFonts w:eastAsia="仿宋_GB2312" w:cs="宋体" w:hint="eastAsia"/>
          <w:kern w:val="0"/>
          <w:sz w:val="32"/>
          <w:szCs w:val="32"/>
        </w:rPr>
      </w:pPr>
      <w:r>
        <w:rPr>
          <w:rFonts w:eastAsia="仿宋_GB2312" w:cs="宋体" w:hint="eastAsia"/>
          <w:kern w:val="0"/>
          <w:sz w:val="32"/>
          <w:szCs w:val="32"/>
        </w:rPr>
        <w:t>3. 项目实施：实际支出</w:t>
      </w:r>
      <w:r>
        <w:rPr>
          <w:rFonts w:eastAsia="仿宋_GB2312" w:cs="宋体" w:hint="eastAsia"/>
          <w:kern w:val="0"/>
          <w:sz w:val="32"/>
          <w:szCs w:val="32"/>
          <w:lang w:val="en-US" w:eastAsia="zh-CN"/>
        </w:rPr>
        <w:t>25</w:t>
      </w:r>
      <w:r>
        <w:rPr>
          <w:rFonts w:eastAsia="仿宋_GB2312" w:cs="宋体" w:hint="eastAsia"/>
          <w:kern w:val="0"/>
          <w:sz w:val="32"/>
          <w:szCs w:val="32"/>
        </w:rPr>
        <w:t>万元，预算执行率</w:t>
      </w:r>
      <w:r>
        <w:rPr>
          <w:rFonts w:eastAsia="仿宋_GB2312" w:cs="宋体" w:hint="eastAsia"/>
          <w:kern w:val="0"/>
          <w:sz w:val="32"/>
          <w:szCs w:val="32"/>
          <w:lang w:val="en-US" w:eastAsia="zh-CN"/>
        </w:rPr>
        <w:t>100</w:t>
      </w:r>
      <w:r>
        <w:rPr>
          <w:rFonts w:eastAsia="仿宋_GB2312" w:cs="宋体" w:hint="eastAsia"/>
          <w:kern w:val="0"/>
          <w:sz w:val="32"/>
          <w:szCs w:val="32"/>
        </w:rPr>
        <w:t>%；资金使用符合合同约定，无违规现象。</w:t>
      </w:r>
    </w:p>
    <w:p>
      <w:pPr>
        <w:rPr>
          <w:rFonts w:eastAsia="仿宋_GB2312" w:cs="宋体"/>
          <w:kern w:val="0"/>
          <w:sz w:val="32"/>
          <w:szCs w:val="32"/>
        </w:rPr>
      </w:pPr>
      <w:r>
        <w:rPr>
          <w:rFonts w:eastAsia="仿宋_GB2312" w:cs="宋体" w:hint="eastAsia"/>
          <w:kern w:val="0"/>
          <w:sz w:val="32"/>
          <w:szCs w:val="32"/>
        </w:rPr>
        <w:t>4. 项目结果：按时交付校志</w:t>
      </w:r>
      <w:r>
        <w:rPr>
          <w:rFonts w:eastAsia="仿宋_GB2312" w:cs="宋体" w:hint="eastAsia"/>
          <w:kern w:val="0"/>
          <w:sz w:val="32"/>
          <w:szCs w:val="32"/>
          <w:lang w:val="en-US" w:eastAsia="zh-CN"/>
        </w:rPr>
        <w:t>2500</w:t>
      </w:r>
      <w:r>
        <w:rPr>
          <w:rFonts w:eastAsia="仿宋_GB2312" w:cs="宋体" w:hint="eastAsia"/>
          <w:kern w:val="0"/>
          <w:sz w:val="32"/>
          <w:szCs w:val="32"/>
        </w:rPr>
        <w:t>册，完成率100%，</w:t>
      </w:r>
    </w:p>
    <w:p>
      <w:pPr>
        <w:rPr>
          <w:rFonts w:eastAsia="仿宋_GB2312" w:cs="宋体" w:hint="eastAsia"/>
          <w:kern w:val="0"/>
          <w:sz w:val="32"/>
          <w:szCs w:val="32"/>
        </w:rPr>
      </w:pPr>
      <w:r>
        <w:rPr>
          <w:rFonts w:eastAsia="仿宋_GB2312" w:cs="宋体" w:hint="eastAsia"/>
          <w:kern w:val="0"/>
          <w:sz w:val="32"/>
          <w:szCs w:val="32"/>
        </w:rPr>
        <w:t>（二）专用指标绩效分析</w:t>
      </w:r>
    </w:p>
    <w:p>
      <w:pPr>
        <w:rPr>
          <w:rFonts w:eastAsia="仿宋_GB2312" w:cs="宋体" w:hint="eastAsia"/>
          <w:kern w:val="0"/>
          <w:sz w:val="32"/>
          <w:szCs w:val="32"/>
        </w:rPr>
      </w:pPr>
      <w:r>
        <w:rPr>
          <w:rFonts w:eastAsia="仿宋_GB2312" w:cs="宋体" w:hint="eastAsia"/>
          <w:kern w:val="0"/>
          <w:sz w:val="32"/>
          <w:szCs w:val="32"/>
        </w:rPr>
        <w:t>1. 质量符合性：纸张克重、色彩还原度等符合设计要求，但存在少量色差。</w:t>
      </w:r>
    </w:p>
    <w:p>
      <w:pPr>
        <w:rPr>
          <w:rFonts w:eastAsia="仿宋_GB2312" w:cs="宋体"/>
          <w:kern w:val="0"/>
          <w:sz w:val="32"/>
          <w:szCs w:val="32"/>
        </w:rPr>
      </w:pPr>
      <w:r>
        <w:rPr>
          <w:rFonts w:eastAsia="仿宋_GB2312" w:cs="宋体" w:hint="eastAsia"/>
          <w:kern w:val="0"/>
          <w:sz w:val="32"/>
          <w:szCs w:val="32"/>
        </w:rPr>
        <w:t>2. 成本合理性：费用控制在预算范围内，通过批量印刷降低单价，成本效益较高</w:t>
      </w:r>
      <w:r>
        <w:rPr>
          <w:rFonts w:eastAsia="仿宋_GB2312" w:cs="宋体"/>
          <w:kern w:val="0"/>
          <w:sz w:val="32"/>
          <w:szCs w:val="32"/>
        </w:rPr>
        <w:t>。</w:t>
      </w:r>
    </w:p>
    <w:p>
      <w:pPr>
        <w:rPr>
          <w:rFonts w:eastAsia="仿宋_GB2312" w:cs="宋体" w:hint="eastAsia"/>
          <w:kern w:val="0"/>
          <w:sz w:val="32"/>
          <w:szCs w:val="32"/>
        </w:rPr>
      </w:pPr>
      <w:r>
        <w:rPr>
          <w:rFonts w:eastAsia="仿宋_GB2312" w:cs="宋体" w:hint="eastAsia"/>
          <w:kern w:val="0"/>
          <w:sz w:val="32"/>
          <w:szCs w:val="32"/>
        </w:rPr>
        <w:t>3. 交付及时性：质量复检</w:t>
      </w:r>
      <w:r>
        <w:rPr>
          <w:rFonts w:eastAsia="仿宋_GB2312" w:cs="宋体"/>
          <w:kern w:val="0"/>
          <w:sz w:val="32"/>
          <w:szCs w:val="32"/>
        </w:rPr>
        <w:t>后及时交付。</w:t>
      </w:r>
      <w:r>
        <w:rPr>
          <w:rFonts w:eastAsia="仿宋_GB2312" w:cs="宋体" w:hint="eastAsia"/>
          <w:kern w:val="0"/>
          <w:sz w:val="32"/>
          <w:szCs w:val="32"/>
        </w:rPr>
        <w:t xml:space="preserve"> </w:t>
      </w:r>
    </w:p>
    <w:p>
      <w:pPr>
        <w:rPr>
          <w:rFonts w:eastAsia="仿宋_GB2312" w:cs="宋体" w:hint="eastAsia"/>
          <w:kern w:val="0"/>
          <w:sz w:val="32"/>
          <w:szCs w:val="32"/>
        </w:rPr>
      </w:pPr>
      <w:r>
        <w:rPr>
          <w:rFonts w:eastAsia="仿宋_GB2312" w:cs="宋体" w:hint="eastAsia"/>
          <w:kern w:val="0"/>
          <w:sz w:val="32"/>
          <w:szCs w:val="32"/>
        </w:rPr>
        <w:t>（三）个性指标绩效分析</w:t>
      </w:r>
    </w:p>
    <w:p>
      <w:pPr>
        <w:rPr>
          <w:rFonts w:eastAsia="仿宋_GB2312" w:cs="宋体" w:hint="eastAsia"/>
          <w:kern w:val="0"/>
          <w:sz w:val="32"/>
          <w:szCs w:val="32"/>
        </w:rPr>
      </w:pPr>
      <w:r>
        <w:rPr>
          <w:rFonts w:eastAsia="仿宋_GB2312" w:cs="宋体" w:hint="eastAsia"/>
          <w:kern w:val="0"/>
          <w:sz w:val="32"/>
          <w:szCs w:val="32"/>
        </w:rPr>
        <w:t>设定“装帧设计满意度”指标，通过师生及校友抽样调查，满意度达89%。</w:t>
      </w:r>
    </w:p>
    <w:p>
      <w:pPr>
        <w:rPr>
          <w:rFonts w:ascii="宋体" w:cs="宋体" w:hint="eastAsia"/>
          <w:b/>
          <w:color w:val="000000"/>
          <w:sz w:val="28"/>
          <w:szCs w:val="28"/>
        </w:rPr>
      </w:pPr>
      <w:r>
        <w:rPr>
          <w:rFonts w:ascii="宋体" w:cs="宋体" w:hint="eastAsia"/>
          <w:b/>
          <w:color w:val="000000"/>
          <w:sz w:val="28"/>
          <w:szCs w:val="28"/>
        </w:rPr>
        <w:t>四、评价结论</w:t>
      </w:r>
    </w:p>
    <w:p>
      <w:pPr>
        <w:ind w:firstLineChars="200" w:firstLine="640"/>
        <w:rPr>
          <w:rFonts w:eastAsia="仿宋_GB2312" w:cs="宋体" w:hint="eastAsia"/>
          <w:kern w:val="0"/>
          <w:sz w:val="32"/>
          <w:szCs w:val="32"/>
        </w:rPr>
      </w:pPr>
      <w:r>
        <w:rPr>
          <w:rFonts w:eastAsia="仿宋_GB2312" w:cs="宋体" w:hint="eastAsia"/>
          <w:kern w:val="0"/>
          <w:sz w:val="32"/>
          <w:szCs w:val="32"/>
        </w:rPr>
        <w:t>项目绩效自评总分为8</w:t>
      </w:r>
      <w:r>
        <w:rPr>
          <w:rFonts w:eastAsia="仿宋_GB2312" w:cs="宋体" w:hint="eastAsia"/>
          <w:kern w:val="0"/>
          <w:sz w:val="32"/>
          <w:szCs w:val="32"/>
          <w:lang w:val="en-US" w:eastAsia="zh-CN"/>
        </w:rPr>
        <w:t>7</w:t>
      </w:r>
      <w:r>
        <w:rPr>
          <w:rFonts w:eastAsia="仿宋_GB2312" w:cs="宋体" w:hint="eastAsia"/>
          <w:kern w:val="0"/>
          <w:sz w:val="32"/>
          <w:szCs w:val="32"/>
        </w:rPr>
        <w:t>分。印刷装订费用严格控制在预算范围内，校志成品基本达到质量标准，但存在交付延迟、少量色差等问题。总体而言，项目实现了资金规范使用和校志印刷的核心目标，需在质量管控和进度管理上进一步优化。</w:t>
      </w:r>
    </w:p>
    <w:p>
      <w:pPr>
        <w:rPr>
          <w:rFonts w:ascii="宋体" w:cs="宋体" w:hint="eastAsia"/>
          <w:b/>
          <w:color w:val="000000"/>
          <w:sz w:val="28"/>
          <w:szCs w:val="28"/>
        </w:rPr>
      </w:pPr>
      <w:r>
        <w:rPr>
          <w:rFonts w:ascii="宋体" w:cs="宋体" w:hint="eastAsia"/>
          <w:b/>
          <w:color w:val="000000"/>
          <w:sz w:val="28"/>
          <w:szCs w:val="28"/>
        </w:rPr>
        <w:t>五、存在主要问题</w:t>
      </w:r>
    </w:p>
    <w:p>
      <w:pPr>
        <w:rPr>
          <w:rFonts w:eastAsia="仿宋_GB2312" w:cs="宋体" w:hint="eastAsia"/>
          <w:kern w:val="0"/>
          <w:sz w:val="32"/>
          <w:szCs w:val="32"/>
        </w:rPr>
      </w:pPr>
      <w:r>
        <w:rPr>
          <w:rFonts w:ascii="宋体" w:eastAsia="宋体" w:cs="宋体"/>
          <w:color w:val="000000"/>
          <w:sz w:val="28"/>
          <w:szCs w:val="28"/>
        </w:rPr>
        <w:t>1</w:t>
      </w:r>
      <w:r>
        <w:rPr>
          <w:rFonts w:eastAsia="仿宋_GB2312" w:cs="宋体" w:hint="eastAsia"/>
          <w:kern w:val="0"/>
          <w:sz w:val="32"/>
          <w:szCs w:val="32"/>
        </w:rPr>
        <w:t>. 质量管控不足：印刷过程中对色彩校准监督不到位，导致部分页面色差。</w:t>
      </w:r>
    </w:p>
    <w:p>
      <w:pPr>
        <w:rPr>
          <w:rFonts w:eastAsia="仿宋_GB2312" w:cs="宋体" w:hint="eastAsia"/>
          <w:kern w:val="0"/>
          <w:sz w:val="32"/>
          <w:szCs w:val="32"/>
        </w:rPr>
      </w:pPr>
      <w:r>
        <w:rPr>
          <w:rFonts w:eastAsia="仿宋_GB2312" w:cs="宋体" w:hint="eastAsia"/>
          <w:kern w:val="0"/>
          <w:sz w:val="32"/>
          <w:szCs w:val="32"/>
        </w:rPr>
        <w:t>2. 进度管理滞后：因质量复检环节耗时较长，未能按时交付。</w:t>
      </w:r>
    </w:p>
    <w:p>
      <w:pPr>
        <w:rPr>
          <w:rFonts w:eastAsia="仿宋_GB2312" w:cs="宋体" w:hint="eastAsia"/>
          <w:kern w:val="0"/>
          <w:sz w:val="32"/>
          <w:szCs w:val="32"/>
        </w:rPr>
      </w:pPr>
      <w:r>
        <w:rPr>
          <w:rFonts w:eastAsia="仿宋_GB2312" w:cs="宋体" w:hint="eastAsia"/>
          <w:kern w:val="0"/>
          <w:sz w:val="32"/>
          <w:szCs w:val="32"/>
        </w:rPr>
        <w:t>3. 沟通协调不畅：供应商与校方在工艺细节上存在理解偏差，影响成品效果。</w:t>
      </w:r>
    </w:p>
    <w:p>
      <w:pPr>
        <w:rPr>
          <w:rFonts w:ascii="宋体" w:cs="宋体" w:hint="eastAsia"/>
          <w:b/>
          <w:color w:val="000000"/>
          <w:sz w:val="28"/>
          <w:szCs w:val="28"/>
        </w:rPr>
      </w:pPr>
      <w:r>
        <w:rPr>
          <w:rFonts w:ascii="宋体" w:cs="宋体" w:hint="eastAsia"/>
          <w:b/>
          <w:color w:val="000000"/>
          <w:sz w:val="28"/>
          <w:szCs w:val="28"/>
        </w:rPr>
        <w:t>六、改进建议</w:t>
      </w:r>
    </w:p>
    <w:p>
      <w:pPr>
        <w:rPr>
          <w:rFonts w:eastAsia="仿宋_GB2312" w:cs="宋体" w:hint="eastAsia"/>
          <w:kern w:val="0"/>
          <w:sz w:val="32"/>
          <w:szCs w:val="32"/>
        </w:rPr>
      </w:pPr>
      <w:r>
        <w:rPr>
          <w:rFonts w:eastAsia="仿宋_GB2312" w:cs="宋体" w:hint="eastAsia"/>
          <w:kern w:val="0"/>
          <w:sz w:val="32"/>
          <w:szCs w:val="32"/>
        </w:rPr>
        <w:t>1. 强化质量管控：在印刷前增加打样确认环节，明确色彩标准；安排专人驻场监督生产过程。</w:t>
      </w:r>
    </w:p>
    <w:p>
      <w:pPr>
        <w:rPr>
          <w:rFonts w:eastAsia="仿宋_GB2312" w:cs="宋体" w:hint="eastAsia"/>
          <w:kern w:val="0"/>
          <w:sz w:val="32"/>
          <w:szCs w:val="32"/>
        </w:rPr>
      </w:pPr>
      <w:r>
        <w:rPr>
          <w:rFonts w:eastAsia="仿宋_GB2312" w:cs="宋体" w:hint="eastAsia"/>
          <w:kern w:val="0"/>
          <w:sz w:val="32"/>
          <w:szCs w:val="32"/>
        </w:rPr>
        <w:t>2. 优化进度管理：制定详细生产进度表，预留质量复检缓冲期，定期召开进度协调会。</w:t>
      </w:r>
    </w:p>
    <w:p>
      <w:pPr>
        <w:numPr>
          <w:ilvl w:val="0"/>
          <w:numId w:val="2"/>
        </w:numPr>
        <w:rPr>
          <w:rFonts w:eastAsia="仿宋_GB2312" w:cs="宋体" w:hint="eastAsia"/>
          <w:kern w:val="0"/>
          <w:sz w:val="32"/>
          <w:szCs w:val="32"/>
        </w:rPr>
      </w:pPr>
      <w:r>
        <w:rPr>
          <w:rFonts w:eastAsia="仿宋_GB2312" w:cs="宋体" w:hint="eastAsia"/>
          <w:kern w:val="0"/>
          <w:sz w:val="32"/>
          <w:szCs w:val="32"/>
        </w:rPr>
        <w:t> 加强沟通协作：在合同中细化工艺标准和验收条款，建立供应商、设计方、校方三方沟通机制，避免信息误差。</w:t>
      </w:r>
    </w:p>
    <w:p>
      <w:pPr>
        <w:pStyle w:val="17"/>
        <w:jc w:val="both"/>
        <w:rPr>
          <w:rFonts w:hint="eastAsi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Times New Roman" w:eastAsia="仿宋_GB2312" w:cs="仿宋_GB2312" w:hAnsi="Times New Roman" w:hint="eastAsia"/>
          <w:b w:val="0"/>
          <w:bCs w:val="0"/>
          <w:kern w:val="0"/>
          <w:position w:val="0"/>
          <w:sz w:val="32"/>
          <w:szCs w:val="32"/>
          <w:lang w:val="en-US" w:eastAsia="zh-CN" w:bidi="ar-SA"/>
          <w:highlight w:val="auto"/>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Times New Roman" w:eastAsia="仿宋_GB2312" w:cs="仿宋_GB2312" w:hAnsi="Times New Roman" w:hint="eastAsia"/>
          <w:b w:val="0"/>
          <w:bCs w:val="0"/>
          <w:kern w:val="0"/>
          <w:position w:val="0"/>
          <w:sz w:val="32"/>
          <w:szCs w:val="32"/>
          <w:lang w:val="en-US" w:eastAsia="zh-CN" w:bidi="ar-SA"/>
          <w:highlight w:val="auto"/>
        </w:rPr>
      </w:pPr>
      <w:bookmarkStart w:id="58" w:name="_Toc15396618"/>
      <w:r>
        <w:rPr>
          <w:rFonts w:ascii="Times New Roman" w:eastAsia="仿宋_GB2312" w:cs="仿宋_GB2312" w:hAnsi="Times New Roman" w:hint="eastAsia"/>
          <w:b w:val="0"/>
          <w:bCs w:val="0"/>
          <w:kern w:val="0"/>
          <w:position w:val="0"/>
          <w:sz w:val="32"/>
          <w:szCs w:val="32"/>
          <w:lang w:val="en-US" w:eastAsia="zh-CN" w:bidi="ar-SA"/>
          <w:highlight w:val="auto"/>
        </w:rPr>
        <w:br w:type="page"/>
      </w:r>
    </w:p>
    <w:p>
      <w:pPr>
        <w:widowControl/>
        <w:jc w:val="center"/>
        <w:rPr>
          <w:rFonts w:ascii="Times New Roman" w:eastAsia="仿宋" w:hAnsi="Times New Roman" w:hint="eastAsia"/>
          <w:b w:val="0"/>
          <w:color w:val="auto"/>
          <w:highlight w:val="auto"/>
        </w:rPr>
      </w:pPr>
      <w:r>
        <w:rPr>
          <w:rFonts w:ascii="Times New Roman" w:eastAsia="黑体" w:hAnsi="Times New Roman" w:hint="eastAsia"/>
          <w:color w:val="auto"/>
          <w:sz w:val="44"/>
          <w:szCs w:val="44"/>
          <w:highlight w:val="auto"/>
        </w:rPr>
        <w:t>第</w:t>
      </w:r>
      <w:r>
        <w:rPr>
          <w:rStyle w:val="1Char"/>
          <w:rFonts w:ascii="Times New Roman" w:eastAsia="黑体" w:hAnsi="Times New Roman" w:hint="eastAsia"/>
          <w:b w:val="0"/>
          <w:color w:val="auto"/>
          <w:highlight w:val="auto"/>
        </w:rPr>
        <w:t>五部分 附表</w:t>
      </w:r>
      <w:bookmarkStart w:id="59" w:name="_Toc15396619"/>
      <w:bookmarkEnd w:id="53"/>
      <w:bookmarkEnd w:id="58"/>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一、收入支出决算总表</w:t>
      </w:r>
      <w:bookmarkEnd w:id="59"/>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60" w:name="_Toc15396620"/>
      <w:r>
        <w:rPr>
          <w:rFonts w:ascii="Times New Roman" w:eastAsia="仿宋_GB2312" w:cs="仿宋_GB2312" w:hAnsi="Times New Roman" w:hint="eastAsia"/>
          <w:color w:val="auto"/>
          <w:sz w:val="32"/>
          <w:szCs w:val="32"/>
          <w:highlight w:val="auto"/>
        </w:rPr>
        <w:t>二、收入决算表</w:t>
      </w:r>
      <w:bookmarkEnd w:id="60"/>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61" w:name="_Toc15396621"/>
      <w:r>
        <w:rPr>
          <w:rFonts w:ascii="Times New Roman" w:eastAsia="仿宋_GB2312" w:cs="仿宋_GB2312" w:hAnsi="Times New Roman" w:hint="eastAsia"/>
          <w:color w:val="auto"/>
          <w:sz w:val="32"/>
          <w:szCs w:val="32"/>
          <w:highlight w:val="auto"/>
        </w:rPr>
        <w:t>三、支出决算表</w:t>
      </w:r>
      <w:bookmarkEnd w:id="61"/>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62" w:name="_Toc15396622"/>
      <w:r>
        <w:rPr>
          <w:rFonts w:ascii="Times New Roman" w:eastAsia="仿宋_GB2312" w:cs="仿宋_GB2312" w:hAnsi="Times New Roman" w:hint="eastAsia"/>
          <w:color w:val="auto"/>
          <w:sz w:val="32"/>
          <w:szCs w:val="32"/>
          <w:highlight w:val="auto"/>
        </w:rPr>
        <w:t>四、财政拨款收入支出决算总表</w:t>
      </w:r>
      <w:bookmarkEnd w:id="62"/>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63" w:name="_Toc15396623"/>
      <w:r>
        <w:rPr>
          <w:rFonts w:ascii="Times New Roman" w:eastAsia="仿宋_GB2312" w:cs="仿宋_GB2312" w:hAnsi="Times New Roman" w:hint="eastAsia"/>
          <w:color w:val="auto"/>
          <w:sz w:val="32"/>
          <w:szCs w:val="32"/>
          <w:highlight w:val="auto"/>
        </w:rPr>
        <w:t>五、财政拨款支出决算明细表</w:t>
      </w:r>
      <w:bookmarkStart w:id="64" w:name="_Toc15396624"/>
      <w:bookmarkEnd w:id="63"/>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六、一般公共预算财政拨款支出决算表</w:t>
      </w:r>
      <w:bookmarkEnd w:id="64"/>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65" w:name="_Toc15396625"/>
      <w:r>
        <w:rPr>
          <w:rFonts w:ascii="Times New Roman" w:eastAsia="仿宋_GB2312" w:cs="仿宋_GB2312" w:hAnsi="Times New Roman" w:hint="eastAsia"/>
          <w:color w:val="auto"/>
          <w:sz w:val="32"/>
          <w:szCs w:val="32"/>
          <w:highlight w:val="auto"/>
        </w:rPr>
        <w:t>七、一般公共预算财政拨款支出决算明细表</w:t>
      </w:r>
      <w:bookmarkEnd w:id="65"/>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66" w:name="_Toc15396626"/>
      <w:r>
        <w:rPr>
          <w:rFonts w:ascii="Times New Roman" w:eastAsia="仿宋_GB2312" w:cs="仿宋_GB2312" w:hAnsi="Times New Roman" w:hint="eastAsia"/>
          <w:color w:val="auto"/>
          <w:sz w:val="32"/>
          <w:szCs w:val="32"/>
          <w:highlight w:val="auto"/>
        </w:rPr>
        <w:t>八、一般公共预算财政拨款基本支出决算表</w:t>
      </w:r>
      <w:bookmarkEnd w:id="66"/>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67" w:name="_Toc15396627"/>
      <w:r>
        <w:rPr>
          <w:rFonts w:ascii="Times New Roman" w:eastAsia="仿宋_GB2312" w:cs="仿宋_GB2312" w:hAnsi="Times New Roman" w:hint="eastAsia"/>
          <w:color w:val="auto"/>
          <w:sz w:val="32"/>
          <w:szCs w:val="32"/>
          <w:highlight w:val="auto"/>
        </w:rPr>
        <w:t>九、一般公共预算财政拨款项目支出决算表</w:t>
      </w:r>
      <w:bookmarkEnd w:id="67"/>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68" w:name="_Toc15396628"/>
      <w:r>
        <w:rPr>
          <w:rFonts w:ascii="Times New Roman" w:eastAsia="仿宋_GB2312" w:cs="仿宋_GB2312" w:hAnsi="Times New Roman" w:hint="eastAsia"/>
          <w:color w:val="auto"/>
          <w:sz w:val="32"/>
          <w:szCs w:val="32"/>
          <w:highlight w:val="auto"/>
        </w:rPr>
        <w:t>十、</w:t>
      </w:r>
      <w:bookmarkEnd w:id="68"/>
      <w:r>
        <w:rPr>
          <w:rFonts w:ascii="Times New Roman" w:eastAsia="仿宋_GB2312" w:cs="仿宋_GB2312" w:hAnsi="Times New Roman" w:hint="eastAsia"/>
          <w:color w:val="auto"/>
          <w:sz w:val="32"/>
          <w:szCs w:val="32"/>
          <w:highlight w:val="auto"/>
        </w:rPr>
        <w:t>政府性基金预算财政拨款收入支出决算表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69" w:name="_Toc15396629"/>
      <w:r>
        <w:rPr>
          <w:rFonts w:ascii="Times New Roman" w:eastAsia="仿宋_GB2312" w:cs="仿宋_GB2312" w:hAnsi="Times New Roman" w:hint="eastAsia"/>
          <w:color w:val="auto"/>
          <w:sz w:val="32"/>
          <w:szCs w:val="32"/>
          <w:highlight w:val="auto"/>
        </w:rPr>
        <w:t>十一、</w:t>
      </w:r>
      <w:bookmarkEnd w:id="69"/>
      <w:r>
        <w:rPr>
          <w:rFonts w:ascii="Times New Roman" w:eastAsia="仿宋_GB2312" w:cs="仿宋_GB2312" w:hAnsi="Times New Roman" w:hint="eastAsia"/>
          <w:color w:val="auto"/>
          <w:sz w:val="32"/>
          <w:szCs w:val="32"/>
          <w:highlight w:val="auto"/>
        </w:rPr>
        <w:t>国有资本经营预算</w:t>
      </w:r>
      <w:r>
        <w:rPr>
          <w:rFonts w:ascii="Times New Roman" w:eastAsia="仿宋_GB2312" w:cs="仿宋_GB2312" w:hAnsi="Times New Roman" w:hint="eastAsia"/>
          <w:color w:val="auto"/>
          <w:sz w:val="32"/>
          <w:szCs w:val="32"/>
          <w:lang w:eastAsia="zh-CN"/>
          <w:highlight w:val="auto"/>
        </w:rPr>
        <w:t>财政拨款收入</w:t>
      </w:r>
      <w:r>
        <w:rPr>
          <w:rFonts w:ascii="Times New Roman" w:eastAsia="仿宋_GB2312" w:cs="仿宋_GB2312" w:hAnsi="Times New Roman" w:hint="eastAsia"/>
          <w:color w:val="auto"/>
          <w:sz w:val="32"/>
          <w:szCs w:val="32"/>
          <w:highlight w:val="auto"/>
        </w:rPr>
        <w:t>支出决算表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70" w:name="_Toc15396630"/>
      <w:r>
        <w:rPr>
          <w:rFonts w:ascii="Times New Roman" w:eastAsia="仿宋_GB2312" w:cs="仿宋_GB2312" w:hAnsi="Times New Roman" w:hint="eastAsia"/>
          <w:color w:val="auto"/>
          <w:sz w:val="32"/>
          <w:szCs w:val="32"/>
          <w:highlight w:val="auto"/>
        </w:rPr>
        <w:t>十二、</w:t>
      </w:r>
      <w:bookmarkEnd w:id="70"/>
      <w:r>
        <w:rPr>
          <w:rFonts w:ascii="Times New Roman" w:eastAsia="仿宋_GB2312" w:cs="仿宋_GB2312" w:hAnsi="Times New Roman" w:hint="eastAsia"/>
          <w:color w:val="auto"/>
          <w:sz w:val="32"/>
          <w:szCs w:val="32"/>
          <w:lang w:eastAsia="zh-CN"/>
          <w:highlight w:val="auto"/>
        </w:rPr>
        <w:t>国有资本经营预算财政拨款支出决算表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lang w:eastAsia="zh-CN"/>
          <w:highlight w:val="auto"/>
        </w:rPr>
      </w:pPr>
      <w:bookmarkStart w:id="71" w:name="_Toc15396631"/>
      <w:r>
        <w:rPr>
          <w:rFonts w:ascii="Times New Roman" w:eastAsia="仿宋_GB2312" w:cs="仿宋_GB2312" w:hAnsi="Times New Roman" w:hint="eastAsia"/>
          <w:color w:val="auto"/>
          <w:sz w:val="32"/>
          <w:szCs w:val="32"/>
          <w:highlight w:val="auto"/>
        </w:rPr>
        <w:t>十三、</w:t>
      </w:r>
      <w:bookmarkEnd w:id="71"/>
      <w:r>
        <w:rPr>
          <w:rFonts w:ascii="Times New Roman" w:eastAsia="仿宋_GB2312" w:cs="仿宋_GB2312" w:hAnsi="Times New Roman" w:hint="eastAsia"/>
          <w:color w:val="auto"/>
          <w:sz w:val="32"/>
          <w:szCs w:val="32"/>
          <w:lang w:eastAsia="zh-CN"/>
          <w:highlight w:val="auto"/>
        </w:rPr>
        <w:t>财政拨款“三公”经费支出决算表</w:t>
      </w:r>
    </w:p>
    <w:p>
      <w:pPr>
        <w:rPr>
          <w:rFonts w:ascii="Times New Roman" w:hAnsi="Times New Roman" w:hint="eastAsia"/>
          <w:lang w:eastAsia="zh-CN"/>
        </w:rPr>
      </w:pPr>
    </w:p>
    <w:sectPr>
      <w:pgSz w:w="11906" w:h="16838"/>
      <w:pgMar w:top="1440" w:right="1800" w:bottom="1440" w:left="1800" w:header="851" w:footer="992" w:gutter="0"/>
      <w:pgNumType w:fmt="numberInDash" w:start="1"/>
      <w:titlePg/>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panose1 w:val="02020603050405020304"/>
    <w:charset w:val="01"/>
    <w:family w:val="auto"/>
    <w:pitch w:val="variable"/>
    <w:sig w:usb0="E0002EFF" w:usb1="C000785B" w:usb2="00000009" w:usb3="00000000" w:csb0="400001FF" w:csb1="FFFF0000"/>
  </w:font>
  <w:font w:name="方正小标宋简体">
    <w:altName w:val="微软雅黑"/>
    <w:panose1 w:val="03000509000000000000"/>
    <w:charset w:val="86"/>
    <w:family w:val="script"/>
    <w:pitch w:val="variable"/>
    <w:sig w:usb0="00000001" w:usb1="080E0000" w:usb2="00000000" w:usb3="00000000" w:csb0="00040000" w:csb1="00000000"/>
  </w:font>
  <w:font w:name="仿宋_GB2312">
    <w:altName w:val="仿宋"/>
    <w:panose1 w:val="02010609030101010101"/>
    <w:charset w:val="86"/>
    <w:family w:val="modern"/>
    <w:pitch w:val="variable"/>
    <w:sig w:usb0="00000001" w:usb1="080E0000" w:usb2="00000000" w:usb3="00000000" w:csb0="00040000" w:csb1="00000000"/>
  </w:font>
  <w:font w:name="黑体">
    <w:panose1 w:val="02010600030101010101"/>
    <w:charset w:val="86"/>
    <w:family w:val="auto"/>
    <w:pitch w:val="variable"/>
    <w:sig w:usb0="800002BF" w:usb1="38CF7CFA" w:usb2="00000016" w:usb3="00000000" w:csb0="00040001" w:csb1="00000000"/>
  </w:font>
  <w:font w:name="Arial">
    <w:panose1 w:val="020B0604020202020204"/>
    <w:charset w:val="01"/>
    <w:family w:val="swiss"/>
    <w:pitch w:val="variable"/>
    <w:sig w:usb0="E0002EFF" w:usb1="C000785B" w:usb2="00000009" w:usb3="00000000" w:csb0="400001FF" w:csb1="FFFF0000"/>
  </w:font>
  <w:font w:name="楷体_GB2312">
    <w:altName w:val="楷体"/>
    <w:panose1 w:val="02010609030101010101"/>
    <w:charset w:val="86"/>
    <w:family w:val="auto"/>
    <w:pitch w:val="variable"/>
    <w:sig w:usb0="00000001" w:usb1="080E0000" w:usb2="00000000" w:usb3="00000000" w:csb0="00040000" w:csb1="00000000"/>
  </w:font>
  <w:font w:name="??">
    <w:altName w:val="Segoe Print"/>
    <w:panose1 w:val="00000000000000000000"/>
    <w:charset w:val="00"/>
    <w:family w:val="roman"/>
    <w:pitch w:val="variable"/>
    <w:sig w:usb0="00000000" w:usb1="00000000" w:usb2="00000000" w:usb3="00000000" w:csb0="00000000" w:csb1="00000000"/>
  </w:font>
  <w:font w:name="宋体">
    <w:panose1 w:val="02010600030101010101"/>
    <w:charset w:val="86"/>
    <w:family w:val="auto"/>
    <w:pitch w:val="variable"/>
    <w:sig w:usb0="00000003" w:usb1="288F0000" w:usb2="00000006" w:usb3="00000000" w:csb0="00040001" w:csb1="00000000"/>
  </w:font>
  <w:font w:name="SimSun">
    <w:panose1 w:val="00000000000000000000"/>
    <w:charset w:val="00"/>
    <w:family w:val="auto"/>
    <w:pitch w:val="variable"/>
    <w:sig w:usb0="00000000" w:usb1="00000000" w:usb2="00000000" w:usb3="00000000" w:csb0="00000000" w:csb1="00000000"/>
  </w:font>
  <w:font w:name="simhei">
    <w:panose1 w:val="00000000000000000000"/>
    <w:charset w:val="00"/>
    <w:family w:val="auto"/>
    <w:pitch w:val="variable"/>
    <w:sig w:usb0="00000000" w:usb1="00000000" w:usb2="00000000" w:usb3="00000000" w:csb0="00000000" w:csb1="00000000"/>
  </w:font>
  <w:font w:name="微软雅黑">
    <w:panose1 w:val="020B0503020204020204"/>
    <w:charset w:val="86"/>
    <w:family w:val="auto"/>
    <w:pitch w:val="variable"/>
    <w:sig w:usb0="80000287" w:usb1="280F3C52" w:usb2="00000016" w:usb3="00000000" w:csb0="0004001F" w:csb1="00000000"/>
  </w:font>
  <w:font w:name="仿宋">
    <w:panose1 w:val="02010609060101010101"/>
    <w:charset w:val="86"/>
    <w:family w:val="modern"/>
    <w:pitch w:val="variable"/>
    <w:sig w:usb0="800002BF" w:usb1="38CF7CFA" w:usb2="00000016" w:usb3="00000000" w:csb0="00040001" w:csb1="00000000"/>
  </w:font>
  <w:font w:name="Cambria">
    <w:panose1 w:val="02040503050406030204"/>
    <w:charset w:val="00"/>
    <w:family w:val="roman"/>
    <w:pitch w:val="variable"/>
    <w:sig w:usb0="E00006FF" w:usb1="420024FF" w:usb2="02000000" w:usb3="00000000" w:csb0="2000019F" w:csb1="00000000"/>
  </w:font>
  <w:font w:name="Calibri">
    <w:panose1 w:val="020F0502020204030204"/>
    <w:charset w:val="00"/>
    <w:family w:val="swiss"/>
    <w:pitch w:val="variable"/>
    <w:sig w:usb0="E4002EFF" w:usb1="C000247B" w:usb2="00000009" w:usb3="00000000" w:csb0="200001FF"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1"/>
      <w:tabs>
        <w:tab w:val="center" w:pos="4153"/>
        <w:tab w:val="right" w:pos="8306"/>
      </w:tabs>
      <w:jc w:val="center"/>
    </w:pPr>
  </w:p>
  <w:p>
    <w:pPr>
      <w:pStyle w:val="21"/>
      <w:tabs>
        <w:tab w:val="center" w:pos="4153"/>
        <w:tab w:val="right" w:pos="8306"/>
      </w:tabs>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1"/>
      <w:tabs>
        <w:tab w:val="center" w:pos="4153"/>
        <w:tab w:val="right" w:pos="8306"/>
      </w:tabs>
    </w:pPr>
  </w:p>
</w:ft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D467A7FB"/>
    <w:multiLevelType w:val="multilevel"/>
    <w:tmpl w:val="D467A7FB"/>
    <w:lvl w:ilvl="0">
      <w:start w:val="1"/>
      <w:numFmt w:val="decimal"/>
      <w:lvlRestart w:val="0"/>
      <w:lvlText w:val="%1."/>
      <w:lvlJc w:val="left"/>
      <w:pPr>
        <w:ind w:left="1000" w:hanging="360"/>
      </w:pPr>
      <w:rPr>
        <w:rFonts w:ascii="仿宋" w:hAnsi="仿宋" w:eastAsia="仿宋" w:cs="仿宋" w:hint="default"/>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1">
    <w:nsid w:val="3A2D496C"/>
    <w:multiLevelType w:val="singleLevel"/>
    <w:tmpl w:val="3A2D496C"/>
    <w:lvl w:ilvl="0">
      <w:start w:val="3"/>
      <w:numFmt w:val="decimal"/>
      <w:lvlRestart w:val="0"/>
      <w:lvlText w:val="%1."/>
      <w:lvlJc w:val="left"/>
      <w:pPr>
        <w:ind w:left="0" w:hanging="0"/>
      </w:pPr>
    </w:lvl>
  </w:abstractNum>
  <w:num w:numId="1">
    <w:abstractNumId w:val="0"/>
  </w:num>
  <w:num w:numId="2">
    <w:abstractNumId w:val="1"/>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10"/>
  <w:bordersDoNotSurroundHeader/>
  <w:bordersDoNotSurroundFooter/>
  <w:documentProtection w:edit="readOnly"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next w:val="15"/>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link w:val="1Char"/>
    <w:pPr>
      <w:keepNext/>
      <w:keepLines/>
      <w:widowControl w:val="0"/>
      <w:spacing w:before="340" w:after="330" w:line="578" w:lineRule="auto"/>
      <w:outlineLvl w:val="0"/>
    </w:pPr>
    <w:rPr>
      <w:b/>
      <w:bCs/>
      <w:kern w:val="44"/>
      <w:sz w:val="44"/>
      <w:szCs w:val="44"/>
    </w:rPr>
  </w:style>
  <w:style w:type="character" w:customStyle="1" w:styleId="1Char">
    <w:name w:val="heading 1 Char"/>
    <w:basedOn w:val="10"/>
    <w:link w:val="1"/>
    <w:rPr>
      <w:rFonts w:ascii="Times New Roman" w:eastAsia="宋体" w:cs="Times New Roman" w:hAnsi="Times New Roman"/>
      <w:b/>
      <w:bCs/>
      <w:kern w:val="44"/>
      <w:sz w:val="44"/>
      <w:szCs w:val="44"/>
      <w:lang w:val="en-US" w:eastAsia="zh-CN" w:bidi="ar-SA"/>
    </w:rPr>
  </w:style>
  <w:style w:type="paragraph" w:styleId="2">
    <w:name w:val="heading 2"/>
    <w:basedOn w:val="0"/>
    <w:next w:val="0"/>
    <w:link w:val="2Char"/>
    <w:pPr>
      <w:keepNext/>
      <w:keepLines/>
      <w:widowControl w:val="0"/>
      <w:spacing w:before="260" w:after="260" w:line="415" w:lineRule="auto"/>
      <w:outlineLvl w:val="1"/>
    </w:pPr>
    <w:rPr>
      <w:rFonts w:ascii="Cambria" w:eastAsia="宋体" w:cs="Times New Roman" w:hAnsi="Cambria"/>
      <w:b/>
      <w:bCs/>
      <w:sz w:val="32"/>
      <w:szCs w:val="32"/>
    </w:rPr>
  </w:style>
  <w:style w:type="character" w:customStyle="1" w:styleId="2Char">
    <w:name w:val="heading 2 Char"/>
    <w:basedOn w:val="10"/>
    <w:link w:val="2"/>
    <w:rPr>
      <w:rFonts w:ascii="Cambria" w:eastAsia="宋体" w:cs="Times New Roman" w:hAnsi="Cambria"/>
      <w:b/>
      <w:bCs/>
      <w:kern w:val="2"/>
      <w:sz w:val="32"/>
      <w:szCs w:val="32"/>
      <w:lang w:val="en-US" w:eastAsia="zh-CN" w:bidi="ar-SA"/>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styleId="15">
    <w:name w:val="footnote text"/>
    <w:basedOn w:val="0"/>
    <w:next w:val="17"/>
    <w:pPr>
      <w:snapToGrid w:val="0"/>
      <w:jc w:val="left"/>
    </w:pPr>
    <w:rPr>
      <w:sz w:val="18"/>
      <w:szCs w:val="18"/>
    </w:rPr>
  </w:style>
  <w:style w:type="paragraph" w:styleId="16">
    <w:name w:val="Body Text Indent"/>
    <w:basedOn w:val="0"/>
    <w:next w:val="17"/>
    <w:pPr>
      <w:spacing w:after="120"/>
      <w:ind w:leftChars="200" w:left="200"/>
    </w:pPr>
    <w:rPr>
      <w:rFonts w:ascii="仿宋_GB2312" w:hAnsi="仿宋_GB2312"/>
      <w:szCs w:val="32"/>
    </w:rPr>
  </w:style>
  <w:style w:type="paragraph" w:styleId="17">
    <w:name w:val="Body Text First Indent 2"/>
    <w:basedOn w:val="16"/>
    <w:pPr>
      <w:ind w:firstLineChars="200" w:firstLine="200"/>
    </w:pPr>
  </w:style>
  <w:style w:type="paragraph" w:styleId="18">
    <w:name w:val="Body Text"/>
    <w:basedOn w:val="0"/>
    <w:pPr>
      <w:spacing w:beforeLines="30" w:before="30"/>
    </w:pPr>
    <w:rPr>
      <w:rFonts w:ascii="仿宋_GB2312" w:eastAsia="仿宋_GB2312"/>
      <w:kern w:val="0"/>
      <w:sz w:val="30"/>
    </w:rPr>
  </w:style>
  <w:style w:type="paragraph" w:styleId="19">
    <w:name w:val="toc 3"/>
    <w:basedOn w:val="0"/>
    <w:next w:val="0"/>
    <w:pPr>
      <w:tabs>
        <w:tab w:val="right" w:leader="dot" w:pos="8296"/>
      </w:tabs>
      <w:ind w:leftChars="400" w:left="400"/>
    </w:pPr>
  </w:style>
  <w:style w:type="paragraph" w:styleId="20">
    <w:name w:val="Balloon Text"/>
    <w:basedOn w:val="0"/>
    <w:rPr>
      <w:sz w:val="18"/>
      <w:szCs w:val="18"/>
    </w:rPr>
  </w:style>
  <w:style w:type="paragraph" w:styleId="21">
    <w:name w:val="footer"/>
    <w:basedOn w:val="0"/>
    <w:pPr>
      <w:tabs>
        <w:tab w:val="center" w:pos="4153"/>
        <w:tab w:val="right" w:pos="8306"/>
      </w:tabs>
      <w:snapToGrid w:val="0"/>
      <w:jc w:val="left"/>
    </w:pPr>
    <w:rPr>
      <w:rFonts w:ascii="Calibri" w:hAnsi="Calibri"/>
      <w:kern w:val="0"/>
      <w:sz w:val="18"/>
      <w:szCs w:val="18"/>
    </w:rPr>
  </w:style>
  <w:style w:type="paragraph" w:styleId="22">
    <w:name w:val="header"/>
    <w:basedOn w:val="0"/>
    <w:pPr>
      <w:pBdr>
        <w:bottom w:val="single" w:sz="6" w:space="1" w:color="auto"/>
      </w:pBdr>
      <w:tabs>
        <w:tab w:val="center" w:pos="4153"/>
        <w:tab w:val="right" w:pos="8306"/>
      </w:tabs>
      <w:snapToGrid w:val="0"/>
      <w:jc w:val="center"/>
    </w:pPr>
    <w:rPr>
      <w:rFonts w:ascii="Calibri" w:hAnsi="Calibri"/>
      <w:kern w:val="0"/>
      <w:sz w:val="18"/>
      <w:szCs w:val="18"/>
    </w:rPr>
  </w:style>
  <w:style w:type="paragraph" w:styleId="23">
    <w:name w:val="toc 1"/>
    <w:basedOn w:val="0"/>
    <w:next w:val="0"/>
    <w:pPr>
      <w:tabs>
        <w:tab w:val="right" w:leader="dot" w:pos="8296"/>
      </w:tabs>
      <w:spacing w:before="93"/>
      <w:jc w:val="center"/>
    </w:pPr>
    <w:rPr>
      <w:rFonts w:ascii="仿宋" w:eastAsia="仿宋"/>
      <w:sz w:val="28"/>
      <w:szCs w:val="28"/>
    </w:rPr>
  </w:style>
  <w:style w:type="paragraph" w:styleId="24">
    <w:name w:val="toc 2"/>
    <w:basedOn w:val="0"/>
    <w:next w:val="0"/>
    <w:pPr>
      <w:tabs>
        <w:tab w:val="right" w:leader="dot" w:pos="8296"/>
      </w:tabs>
      <w:ind w:leftChars="200" w:left="200"/>
    </w:pPr>
  </w:style>
  <w:style w:type="character" w:styleId="25">
    <w:name w:val="Strong"/>
    <w:basedOn w:val="10"/>
    <w:rPr>
      <w:b/>
    </w:rPr>
  </w:style>
  <w:style w:type="character" w:styleId="26">
    <w:name w:val="Hyperlink"/>
    <w:basedOn w:val="10"/>
    <w:rPr>
      <w:color w:val="0000FF"/>
      <w:u w:val="single"/>
    </w:rPr>
  </w:style>
  <w:style w:type="paragraph" w:customStyle="1" w:styleId="27">
    <w:name w:val="标题 5（有编号）（绿盟科技）"/>
    <w:next w:val="0"/>
    <w:pPr>
      <w:keepNext/>
      <w:keepLines/>
      <w:widowControl w:val="0"/>
      <w:spacing w:before="280" w:after="156" w:line="377" w:lineRule="auto"/>
      <w:jc w:val="left"/>
      <w:outlineLvl w:val="4"/>
    </w:pPr>
    <w:rPr>
      <w:rFonts w:ascii="Arial" w:eastAsia="黑体" w:cs="Times New Roman" w:hAnsi="Arial"/>
      <w:b/>
      <w:kern w:val="2"/>
      <w:sz w:val="24"/>
      <w:szCs w:val="28"/>
      <w:lang w:val="en-US" w:eastAsia="zh-CN" w:bidi="ar-SA"/>
    </w:rPr>
  </w:style>
  <w:style w:type="character" w:customStyle="1" w:styleId="28">
    <w:name w:val="Header Char"/>
    <w:basedOn w:val="10"/>
    <w:rPr>
      <w:rFonts w:ascii="Times New Roman" w:hAnsi="Times New Roman"/>
      <w:sz w:val="18"/>
      <w:szCs w:val="18"/>
    </w:rPr>
  </w:style>
  <w:style w:type="character" w:customStyle="1" w:styleId="29">
    <w:name w:val="Footer Char"/>
    <w:basedOn w:val="10"/>
    <w:rPr>
      <w:rFonts w:ascii="Times New Roman" w:hAnsi="Times New Roman"/>
      <w:sz w:val="18"/>
      <w:szCs w:val="18"/>
    </w:rPr>
  </w:style>
  <w:style w:type="character" w:customStyle="1" w:styleId="30">
    <w:name w:val="Body Text Char"/>
    <w:basedOn w:val="10"/>
    <w:rPr>
      <w:rFonts w:ascii="Times New Roman" w:hAnsi="Times New Roman"/>
      <w:szCs w:val="24"/>
    </w:rPr>
  </w:style>
  <w:style w:type="paragraph" w:customStyle="1" w:styleId="31">
    <w:name w:val="Default"/>
    <w:pPr>
      <w:widowControl w:val="0"/>
      <w:autoSpaceDE w:val="0"/>
      <w:autoSpaceDN w:val="0"/>
      <w:adjustRightInd w:val="0"/>
    </w:pPr>
    <w:rPr>
      <w:rFonts w:ascii="仿宋" w:eastAsia="仿宋" w:cs="仿宋"/>
      <w:color w:val="000000"/>
      <w:sz w:val="24"/>
      <w:szCs w:val="24"/>
      <w:lang w:val="en-US" w:eastAsia="zh-CN" w:bidi="ar-SA"/>
    </w:rPr>
  </w:style>
  <w:style w:type="paragraph" w:styleId="32">
    <w:name w:val="List Paragraph"/>
    <w:basedOn w:val="0"/>
    <w:pPr>
      <w:ind w:firstLineChars="200" w:firstLine="200"/>
    </w:pPr>
  </w:style>
  <w:style w:type="paragraph" w:customStyle="1" w:styleId="33">
    <w:name w:val="TOC 标题1"/>
    <w:basedOn w:val="1"/>
    <w:next w:val="0"/>
    <w:pPr>
      <w:keepNext/>
      <w:keepLines/>
      <w:widowControl/>
      <w:spacing w:before="480" w:after="0" w:line="276" w:lineRule="auto"/>
      <w:jc w:val="left"/>
      <w:outlineLvl w:val="9"/>
    </w:pPr>
    <w:rPr>
      <w:rFonts w:ascii="Cambria" w:eastAsia="宋体" w:cs="Times New Roman" w:hAnsi="Cambria"/>
      <w:color w:val="376092"/>
      <w:kern w:val="0"/>
      <w:sz w:val="28"/>
      <w:szCs w:val="28"/>
    </w:rPr>
  </w:style>
  <w:style w:type="paragraph" w:customStyle="1" w:styleId="34">
    <w:name w:val="TOC Heading"/>
    <w:basedOn w:val="1"/>
    <w:next w:val="0"/>
    <w:pPr>
      <w:keepNext/>
      <w:keepLines/>
      <w:widowControl/>
      <w:spacing w:before="480" w:after="0" w:line="276" w:lineRule="auto"/>
      <w:jc w:val="left"/>
      <w:outlineLvl w:val="9"/>
    </w:pPr>
    <w:rPr>
      <w:rFonts w:ascii="Cambria" w:eastAsia="宋体" w:cs="Times New Roman" w:hAnsi="Cambria"/>
      <w:color w:val="376092"/>
      <w:kern w:val="0"/>
      <w:sz w:val="28"/>
      <w:szCs w:val="28"/>
    </w:rPr>
  </w:style>
  <w:style w:type="paragraph" w:customStyle="1" w:styleId="35">
    <w:name w:val="四号正文"/>
    <w:basedOn w:val="0"/>
    <w:pPr>
      <w:spacing w:line="360" w:lineRule="auto"/>
    </w:pPr>
    <w:rPr>
      <w:rFonts w:ascii="??" w:eastAsia="宋体" w:hAnsi="??"/>
      <w:color w:val="000000"/>
      <w:kern w:val="0"/>
      <w:sz w:val="28"/>
      <w:szCs w:val="21"/>
      <w:lang w:val="zh-CN" w:eastAsia="zh-CN"/>
    </w:rPr>
  </w:style>
  <w:style w:type="paragraph" w:styleId="36">
    <w:name w:val="Normal (Web)"/>
    <w:basedOn w:val="0"/>
    <w:rPr>
      <w:sz w:val="24"/>
    </w:rPr>
  </w:style>
  <w:style w:type="paragraph" w:styleId="37">
    <w:name w:val="Title"/>
    <w:basedOn w:val="0"/>
    <w:pPr>
      <w:spacing w:before="240" w:after="60"/>
      <w:jc w:val="center"/>
      <w:outlineLvl w:val="0"/>
    </w:pPr>
    <w:rPr>
      <w:rFonts w:ascii="Times New Roman" w:hAnsi="Times New Roman"/>
      <w:b/>
      <w:sz w:val="32"/>
    </w:rPr>
  </w:style>
  <w:style w:type="character" w:customStyle="1" w:styleId="38">
    <w:name w:val="默认段落字体2"/>
    <w:rPr>
      <w:sz w:val="22"/>
    </w:rPr>
  </w:style>
  <w:style w:type="character" w:customStyle="1" w:styleId="39">
    <w:name w:val="默认段落字体1"/>
    <w:rPr>
      <w:sz w:val="22"/>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image" Target="media/2.bmp"/><Relationship Id="rId5" Type="http://schemas.openxmlformats.org/officeDocument/2006/relationships/image" Target="media/5.bmp"/><Relationship Id="rId6" Type="http://schemas.openxmlformats.org/officeDocument/2006/relationships/image" Target="media/8.bmp"/><Relationship Id="rId7" Type="http://schemas.openxmlformats.org/officeDocument/2006/relationships/image" Target="media/11.bmp"/><Relationship Id="rId8" Type="http://schemas.openxmlformats.org/officeDocument/2006/relationships/image" Target="media/14.bmp"/><Relationship Id="rId9" Type="http://schemas.openxmlformats.org/officeDocument/2006/relationships/image" Target="media/17.bmp"/><Relationship Id="rId10" Type="http://schemas.openxmlformats.org/officeDocument/2006/relationships/image" Target="media/20.bmp"/><Relationship Id="rId11" Type="http://schemas.openxmlformats.org/officeDocument/2006/relationships/styles" Target="styles.xml"/><Relationship Id="rId12" Type="http://schemas.openxmlformats.org/officeDocument/2006/relationships/numbering" Target="numbering.xml"/><Relationship Id="rId13" Type="http://schemas.openxmlformats.org/officeDocument/2006/relationships/fontTable" Target="fontTable.xml"/></Relationships>
</file>

<file path=docProps/app.xml><?xml version="1.0" encoding="utf-8"?>
<Properties xmlns="http://schemas.openxmlformats.org/officeDocument/2006/extended-properties">
  <Template>Normal.eit</Template>
  <TotalTime>985</TotalTime>
  <Application>Yozo_Office27021597764231179</Application>
  <Pages>1</Pages>
  <Words>1</Words>
  <Characters>2</Characters>
  <Lines>1</Lines>
  <Paragraphs>1</Paragraphs>
  <CharactersWithSpaces>2</CharactersWithSpaces>
  <Company>四川省财政厅</Company>
</Properties>
</file>

<file path=docProps/core.xml><?xml version="1.0" encoding="utf-8"?>
<cp:coreProperties xmlns:cp="http://schemas.openxmlformats.org/package/2006/metadata/core-properties" xmlns:dc="http://purl.org/dc/elements/1.1/" xmlns:dcterms="http://purl.org/dc/terms/" xmlns:xsi="http://www.w3.org/2001/XMLSchema-instance">
  <dc:title>四川省***</dc:title>
  <dc:creator>曹颖</dc:creator>
  <cp:lastModifiedBy>Administrator</cp:lastModifiedBy>
  <cp:revision>32</cp:revision>
  <cp:lastPrinted>2025-08-06T17:34:00Z</cp:lastPrinted>
  <dcterms:created xsi:type="dcterms:W3CDTF">2020-08-09T09:49:00Z</dcterms:created>
  <dcterms:modified xsi:type="dcterms:W3CDTF">2025-09-17T06:47:04Z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2052-11.8.2.11718</vt:lpwstr>
  </property>
  <property fmtid="{D5CDD505-2E9C-101B-9397-08002B2CF9AE}" pid="3" name="ICV">
    <vt:lpwstr>04787F2533EB45DC91BCDE4AB213247F</vt:lpwstr>
  </property>
</Properties>
</file>