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8359F">
      <w:bookmarkStart w:id="0" w:name="_Toc15396597"/>
      <w:bookmarkStart w:id="1" w:name="_Toc15377425"/>
      <w:bookmarkStart w:id="2" w:name="_Toc15377193"/>
      <w:bookmarkStart w:id="3" w:name="_Toc15396475"/>
      <w:bookmarkStart w:id="4" w:name="_Toc15378441"/>
      <w:bookmarkStart w:id="5" w:name="_Toc15306267"/>
    </w:p>
    <w:p w14:paraId="278E0CCC">
      <w:pPr>
        <w:pStyle w:val="5"/>
        <w:spacing w:before="93"/>
        <w:jc w:val="center"/>
        <w:rPr>
          <w:rFonts w:ascii="Times New Roman" w:eastAsia="方正小标宋简体"/>
          <w:kern w:val="2"/>
          <w:sz w:val="44"/>
          <w:szCs w:val="44"/>
        </w:rPr>
      </w:pPr>
    </w:p>
    <w:p w14:paraId="0F8DC781">
      <w:pPr>
        <w:pStyle w:val="5"/>
        <w:spacing w:before="93"/>
        <w:jc w:val="center"/>
        <w:rPr>
          <w:rFonts w:ascii="Times New Roman" w:eastAsia="方正小标宋简体"/>
          <w:kern w:val="2"/>
          <w:sz w:val="44"/>
          <w:szCs w:val="44"/>
        </w:rPr>
      </w:pPr>
    </w:p>
    <w:p w14:paraId="4D2B47BA">
      <w:pPr>
        <w:pStyle w:val="5"/>
        <w:spacing w:before="93"/>
        <w:jc w:val="center"/>
        <w:rPr>
          <w:rFonts w:ascii="Times New Roman" w:eastAsia="方正小标宋简体"/>
          <w:kern w:val="2"/>
          <w:sz w:val="44"/>
          <w:szCs w:val="44"/>
        </w:rPr>
      </w:pPr>
    </w:p>
    <w:p w14:paraId="106B7653">
      <w:pPr>
        <w:pStyle w:val="5"/>
        <w:spacing w:before="93"/>
        <w:jc w:val="center"/>
        <w:rPr>
          <w:rFonts w:ascii="Times New Roman" w:eastAsia="方正小标宋简体"/>
          <w:kern w:val="2"/>
          <w:sz w:val="44"/>
          <w:szCs w:val="44"/>
        </w:rPr>
      </w:pPr>
    </w:p>
    <w:bookmarkEnd w:id="0"/>
    <w:bookmarkEnd w:id="1"/>
    <w:bookmarkEnd w:id="2"/>
    <w:bookmarkEnd w:id="3"/>
    <w:bookmarkEnd w:id="4"/>
    <w:p w14:paraId="4642321C">
      <w:pPr>
        <w:pStyle w:val="5"/>
        <w:spacing w:before="93"/>
        <w:jc w:val="center"/>
        <w:rPr>
          <w:rFonts w:hint="eastAsia" w:ascii="Times New Roman" w:eastAsia="方正小标宋简体"/>
          <w:kern w:val="2"/>
          <w:sz w:val="44"/>
          <w:szCs w:val="44"/>
        </w:rPr>
      </w:pPr>
      <w:bookmarkStart w:id="6" w:name="_Toc15378442"/>
      <w:bookmarkStart w:id="7" w:name="_Toc15377194"/>
      <w:bookmarkStart w:id="8" w:name="_Toc15396598"/>
      <w:bookmarkStart w:id="9" w:name="_Toc15377426"/>
      <w:bookmarkStart w:id="10" w:name="_Toc15396476"/>
    </w:p>
    <w:p w14:paraId="402B4A6F">
      <w:pPr>
        <w:pStyle w:val="5"/>
        <w:spacing w:before="93"/>
        <w:jc w:val="center"/>
        <w:rPr>
          <w:rFonts w:hint="eastAsia" w:ascii="Times New Roman" w:eastAsia="方正小标宋简体"/>
          <w:kern w:val="2"/>
          <w:sz w:val="44"/>
          <w:szCs w:val="44"/>
        </w:rPr>
      </w:pPr>
    </w:p>
    <w:p w14:paraId="47AEF975">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2024年度</w:t>
      </w:r>
      <w:bookmarkEnd w:id="5"/>
      <w:bookmarkStart w:id="11" w:name="_Toc15306268"/>
      <w:r>
        <w:rPr>
          <w:rFonts w:hint="eastAsia" w:ascii="Times New Roman" w:eastAsia="方正小标宋简体"/>
          <w:kern w:val="2"/>
          <w:sz w:val="44"/>
          <w:szCs w:val="44"/>
        </w:rPr>
        <w:t>四川省阿坝州威州民族师范学校</w:t>
      </w:r>
      <w:r>
        <w:rPr>
          <w:rFonts w:hint="eastAsia" w:ascii="Times New Roman" w:eastAsia="方正小标宋简体"/>
          <w:kern w:val="2"/>
          <w:sz w:val="44"/>
          <w:szCs w:val="44"/>
          <w:lang w:val="en-US"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14:paraId="48525C46">
      <w:pPr>
        <w:widowControl/>
        <w:jc w:val="center"/>
        <w:rPr>
          <w:rFonts w:eastAsia="黑体"/>
          <w:sz w:val="48"/>
          <w:szCs w:val="48"/>
        </w:rPr>
      </w:pPr>
      <w:r>
        <w:rPr>
          <w:rFonts w:eastAsia="方正小标宋简体"/>
          <w:sz w:val="36"/>
          <w:szCs w:val="36"/>
        </w:rPr>
        <w:br w:type="page"/>
      </w:r>
      <w:r>
        <w:rPr>
          <w:rFonts w:hint="eastAsia" w:eastAsia="黑体"/>
          <w:sz w:val="48"/>
          <w:szCs w:val="48"/>
        </w:rPr>
        <w:t>目录</w:t>
      </w:r>
    </w:p>
    <w:p w14:paraId="3A675FA4">
      <w:pPr>
        <w:widowControl/>
        <w:jc w:val="center"/>
        <w:rPr>
          <w:rFonts w:eastAsia="黑体" w:cstheme="minorBidi"/>
          <w:sz w:val="28"/>
          <w:szCs w:val="28"/>
        </w:rPr>
      </w:pPr>
    </w:p>
    <w:p w14:paraId="3AB94423">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5</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21</w:t>
      </w:r>
      <w:r>
        <w:rPr>
          <w:rFonts w:hint="eastAsia" w:ascii="Times New Roman" w:hAnsi="Times New Roman" w:eastAsia="仿宋_GB2312" w:cs="仿宋_GB2312"/>
          <w:sz w:val="32"/>
          <w:szCs w:val="32"/>
        </w:rPr>
        <w:t>日</w:t>
      </w:r>
    </w:p>
    <w:p w14:paraId="63C0BCB0"/>
    <w:sdt>
      <w:sdtPr>
        <w:rPr>
          <w:rFonts w:ascii="宋体" w:hAnsi="宋体" w:eastAsia="宋体" w:cs="Times New Roman"/>
          <w:kern w:val="2"/>
          <w:sz w:val="21"/>
          <w:szCs w:val="24"/>
          <w:lang w:val="en-US" w:eastAsia="zh-CN" w:bidi="ar-SA"/>
        </w:rPr>
        <w:id w:val="147480850"/>
        <w15:color w:val="DBDBDB"/>
        <w:docPartObj>
          <w:docPartGallery w:val="Table of Contents"/>
          <w:docPartUnique/>
        </w:docPartObj>
      </w:sdtPr>
      <w:sdtContent>
        <w:p w14:paraId="205D683A">
          <w:pPr>
            <w:spacing w:before="0" w:beforeLines="0" w:after="0" w:afterLines="0" w:line="240" w:lineRule="auto"/>
            <w:ind w:left="0" w:leftChars="0" w:right="0" w:rightChars="0" w:firstLine="0" w:firstLineChars="0"/>
            <w:jc w:val="center"/>
          </w:pPr>
        </w:p>
        <w:p w14:paraId="588847D5">
          <w:pPr>
            <w:pStyle w:val="13"/>
            <w:tabs>
              <w:tab w:val="right" w:leader="dot" w:pos="8306"/>
              <w:tab w:val="clear" w:pos="8296"/>
            </w:tabs>
          </w:pPr>
          <w:r>
            <w:fldChar w:fldCharType="begin"/>
          </w:r>
          <w:r>
            <w:instrText xml:space="preserve">TOC \o "1-1" \h \u </w:instrText>
          </w:r>
          <w:r>
            <w:fldChar w:fldCharType="separate"/>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HYPERLINK \l _Toc3742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第一部分  部门概况</w:t>
          </w:r>
          <w:r>
            <w:rPr>
              <w:rFonts w:hint="eastAsia"/>
            </w:rPr>
            <w:tab/>
          </w:r>
          <w:r>
            <w:rPr>
              <w:rFonts w:hint="eastAsia"/>
            </w:rPr>
            <w:fldChar w:fldCharType="begin"/>
          </w:r>
          <w:r>
            <w:rPr>
              <w:rFonts w:hint="eastAsia"/>
            </w:rPr>
            <w:instrText xml:space="preserve"> PAGEREF _Toc3742 \h </w:instrText>
          </w:r>
          <w:r>
            <w:rPr>
              <w:rFonts w:hint="eastAsia"/>
            </w:rPr>
            <w:fldChar w:fldCharType="separate"/>
          </w:r>
          <w:r>
            <w:rPr>
              <w:rFonts w:hint="eastAsia"/>
            </w:rPr>
            <w:t>- 1 -</w:t>
          </w:r>
          <w:r>
            <w:rPr>
              <w:rFonts w:hint="eastAsia"/>
            </w:rPr>
            <w:fldChar w:fldCharType="end"/>
          </w:r>
          <w:r>
            <w:rPr>
              <w:rFonts w:hint="eastAsia" w:ascii="Times New Roman" w:hAnsi="Times New Roman" w:eastAsia="黑体" w:cs="黑体"/>
              <w:sz w:val="32"/>
              <w:szCs w:val="32"/>
            </w:rPr>
            <w:fldChar w:fldCharType="end"/>
          </w:r>
        </w:p>
        <w:p w14:paraId="11EAF9B9">
          <w:pPr>
            <w:pStyle w:val="13"/>
            <w:tabs>
              <w:tab w:val="right" w:leader="dot" w:pos="8306"/>
              <w:tab w:val="clear" w:pos="8296"/>
            </w:tabs>
          </w:pPr>
          <w:r>
            <w:fldChar w:fldCharType="begin"/>
          </w:r>
          <w:r>
            <w:instrText xml:space="preserve"> HYPERLINK \l _Toc22589 </w:instrText>
          </w:r>
          <w:r>
            <w:fldChar w:fldCharType="separate"/>
          </w:r>
          <w:r>
            <w:rPr>
              <w:rFonts w:hint="eastAsia" w:ascii="Times New Roman" w:hAnsi="Times New Roman" w:eastAsia="黑体"/>
            </w:rPr>
            <w:t>一、 部门职责</w:t>
          </w:r>
          <w:r>
            <w:tab/>
          </w:r>
          <w:bookmarkStart w:id="97" w:name="_GoBack"/>
          <w:bookmarkEnd w:id="97"/>
          <w:r>
            <w:fldChar w:fldCharType="begin"/>
          </w:r>
          <w:r>
            <w:instrText xml:space="preserve"> PAGEREF _Toc22589 \h </w:instrText>
          </w:r>
          <w:r>
            <w:fldChar w:fldCharType="separate"/>
          </w:r>
          <w:r>
            <w:t>- 1 -</w:t>
          </w:r>
          <w:r>
            <w:fldChar w:fldCharType="end"/>
          </w:r>
          <w:r>
            <w:fldChar w:fldCharType="end"/>
          </w:r>
        </w:p>
        <w:p w14:paraId="1ED1F65A">
          <w:pPr>
            <w:pStyle w:val="13"/>
            <w:tabs>
              <w:tab w:val="right" w:leader="dot" w:pos="8306"/>
              <w:tab w:val="clear" w:pos="8296"/>
            </w:tabs>
          </w:pPr>
          <w:r>
            <w:fldChar w:fldCharType="begin"/>
          </w:r>
          <w:r>
            <w:instrText xml:space="preserve"> HYPERLINK \l _Toc21649 </w:instrText>
          </w:r>
          <w:r>
            <w:fldChar w:fldCharType="separate"/>
          </w:r>
          <w:r>
            <w:rPr>
              <w:rFonts w:hint="eastAsia" w:ascii="Times New Roman" w:hAnsi="Times New Roman" w:eastAsia="黑体"/>
            </w:rPr>
            <w:t>二、机</w:t>
          </w:r>
          <w:r>
            <w:rPr>
              <w:rFonts w:hint="eastAsia" w:ascii="Times New Roman" w:hAnsi="Times New Roman" w:eastAsia="黑体"/>
              <w:bCs w:val="0"/>
            </w:rPr>
            <w:t>构设置</w:t>
          </w:r>
          <w:r>
            <w:tab/>
          </w:r>
          <w:r>
            <w:fldChar w:fldCharType="begin"/>
          </w:r>
          <w:r>
            <w:instrText xml:space="preserve"> PAGEREF _Toc21649 \h </w:instrText>
          </w:r>
          <w:r>
            <w:fldChar w:fldCharType="separate"/>
          </w:r>
          <w:r>
            <w:t>- 1 -</w:t>
          </w:r>
          <w:r>
            <w:fldChar w:fldCharType="end"/>
          </w:r>
          <w:r>
            <w:fldChar w:fldCharType="end"/>
          </w:r>
        </w:p>
        <w:p w14:paraId="24A73D09">
          <w:pPr>
            <w:pStyle w:val="13"/>
            <w:tabs>
              <w:tab w:val="right" w:leader="dot" w:pos="8306"/>
              <w:tab w:val="clear" w:pos="8296"/>
            </w:tabs>
          </w:pPr>
          <w:r>
            <w:fldChar w:fldCharType="begin"/>
          </w:r>
          <w:r>
            <w:instrText xml:space="preserve"> HYPERLINK \l _Toc5164 </w:instrText>
          </w:r>
          <w:r>
            <w:fldChar w:fldCharType="separate"/>
          </w:r>
          <w:r>
            <w:rPr>
              <w:rFonts w:hint="eastAsia" w:ascii="Times New Roman" w:hAnsi="Times New Roman" w:eastAsia="黑体" w:cs="黑体"/>
              <w:sz w:val="32"/>
              <w:szCs w:val="32"/>
            </w:rPr>
            <w:t>第二部分  2024年度部门决算情况说明</w:t>
          </w:r>
          <w:r>
            <w:tab/>
          </w:r>
          <w:r>
            <w:fldChar w:fldCharType="begin"/>
          </w:r>
          <w:r>
            <w:instrText xml:space="preserve"> PAGEREF _Toc5164 \h </w:instrText>
          </w:r>
          <w:r>
            <w:fldChar w:fldCharType="separate"/>
          </w:r>
          <w:r>
            <w:t>- 2 -</w:t>
          </w:r>
          <w:r>
            <w:fldChar w:fldCharType="end"/>
          </w:r>
          <w:r>
            <w:fldChar w:fldCharType="end"/>
          </w:r>
        </w:p>
        <w:p w14:paraId="61A68868">
          <w:pPr>
            <w:pStyle w:val="13"/>
            <w:tabs>
              <w:tab w:val="right" w:leader="dot" w:pos="8306"/>
              <w:tab w:val="clear" w:pos="8296"/>
            </w:tabs>
          </w:pPr>
          <w:r>
            <w:fldChar w:fldCharType="begin"/>
          </w:r>
          <w:r>
            <w:instrText xml:space="preserve"> HYPERLINK \l _Toc14080 </w:instrText>
          </w:r>
          <w:r>
            <w:fldChar w:fldCharType="separate"/>
          </w:r>
          <w:r>
            <w:rPr>
              <w:rFonts w:hint="eastAsia" w:eastAsia="黑体"/>
              <w:szCs w:val="32"/>
            </w:rPr>
            <w:t>一、收</w:t>
          </w:r>
          <w:r>
            <w:rPr>
              <w:rFonts w:hint="eastAsia" w:ascii="Times New Roman" w:hAnsi="Times New Roman" w:eastAsia="黑体"/>
            </w:rPr>
            <w:t>入支出决算总体情况说明</w:t>
          </w:r>
          <w:r>
            <w:tab/>
          </w:r>
          <w:r>
            <w:fldChar w:fldCharType="begin"/>
          </w:r>
          <w:r>
            <w:instrText xml:space="preserve"> PAGEREF _Toc14080 \h </w:instrText>
          </w:r>
          <w:r>
            <w:fldChar w:fldCharType="separate"/>
          </w:r>
          <w:r>
            <w:t>- 2 -</w:t>
          </w:r>
          <w:r>
            <w:fldChar w:fldCharType="end"/>
          </w:r>
          <w:r>
            <w:fldChar w:fldCharType="end"/>
          </w:r>
        </w:p>
        <w:p w14:paraId="5A7A5353">
          <w:pPr>
            <w:pStyle w:val="13"/>
            <w:tabs>
              <w:tab w:val="right" w:leader="dot" w:pos="8306"/>
              <w:tab w:val="clear" w:pos="8296"/>
            </w:tabs>
          </w:pPr>
          <w:r>
            <w:fldChar w:fldCharType="begin"/>
          </w:r>
          <w:r>
            <w:instrText xml:space="preserve"> HYPERLINK \l _Toc27462 </w:instrText>
          </w:r>
          <w:r>
            <w:fldChar w:fldCharType="separate"/>
          </w:r>
          <w:r>
            <w:rPr>
              <w:rFonts w:hint="eastAsia" w:eastAsia="黑体"/>
              <w:szCs w:val="32"/>
            </w:rPr>
            <w:t>二、收入决算情况说明</w:t>
          </w:r>
          <w:r>
            <w:tab/>
          </w:r>
          <w:r>
            <w:fldChar w:fldCharType="begin"/>
          </w:r>
          <w:r>
            <w:instrText xml:space="preserve"> PAGEREF _Toc27462 \h </w:instrText>
          </w:r>
          <w:r>
            <w:fldChar w:fldCharType="separate"/>
          </w:r>
          <w:r>
            <w:t>- 2 -</w:t>
          </w:r>
          <w:r>
            <w:fldChar w:fldCharType="end"/>
          </w:r>
          <w:r>
            <w:fldChar w:fldCharType="end"/>
          </w:r>
        </w:p>
        <w:p w14:paraId="5A13942D">
          <w:pPr>
            <w:pStyle w:val="13"/>
            <w:tabs>
              <w:tab w:val="right" w:leader="dot" w:pos="8306"/>
              <w:tab w:val="clear" w:pos="8296"/>
            </w:tabs>
          </w:pPr>
          <w:r>
            <w:fldChar w:fldCharType="begin"/>
          </w:r>
          <w:r>
            <w:instrText xml:space="preserve"> HYPERLINK \l _Toc29470 </w:instrText>
          </w:r>
          <w:r>
            <w:fldChar w:fldCharType="separate"/>
          </w:r>
          <w:r>
            <w:rPr>
              <w:rFonts w:hint="eastAsia" w:eastAsia="黑体"/>
              <w:szCs w:val="32"/>
            </w:rPr>
            <w:t>三、支</w:t>
          </w:r>
          <w:r>
            <w:rPr>
              <w:rFonts w:hint="eastAsia" w:ascii="Times New Roman" w:hAnsi="Times New Roman" w:eastAsia="黑体"/>
            </w:rPr>
            <w:t>出决算情况说明</w:t>
          </w:r>
          <w:r>
            <w:tab/>
          </w:r>
          <w:r>
            <w:fldChar w:fldCharType="begin"/>
          </w:r>
          <w:r>
            <w:instrText xml:space="preserve"> PAGEREF _Toc29470 \h </w:instrText>
          </w:r>
          <w:r>
            <w:fldChar w:fldCharType="separate"/>
          </w:r>
          <w:r>
            <w:t>- 3 -</w:t>
          </w:r>
          <w:r>
            <w:fldChar w:fldCharType="end"/>
          </w:r>
          <w:r>
            <w:fldChar w:fldCharType="end"/>
          </w:r>
        </w:p>
        <w:p w14:paraId="54519C70">
          <w:pPr>
            <w:pStyle w:val="13"/>
            <w:tabs>
              <w:tab w:val="right" w:leader="dot" w:pos="8306"/>
              <w:tab w:val="clear" w:pos="8296"/>
            </w:tabs>
          </w:pPr>
          <w:r>
            <w:fldChar w:fldCharType="begin"/>
          </w:r>
          <w:r>
            <w:instrText xml:space="preserve"> HYPERLINK \l _Toc15561 </w:instrText>
          </w:r>
          <w:r>
            <w:fldChar w:fldCharType="separate"/>
          </w:r>
          <w:r>
            <w:rPr>
              <w:rFonts w:hint="eastAsia" w:eastAsia="黑体"/>
              <w:szCs w:val="32"/>
            </w:rPr>
            <w:t>四、财</w:t>
          </w:r>
          <w:r>
            <w:rPr>
              <w:rFonts w:hint="eastAsia" w:ascii="Times New Roman" w:hAnsi="Times New Roman" w:eastAsia="黑体"/>
            </w:rPr>
            <w:t>政拨款收入支出决算总体情况说明</w:t>
          </w:r>
          <w:r>
            <w:tab/>
          </w:r>
          <w:r>
            <w:fldChar w:fldCharType="begin"/>
          </w:r>
          <w:r>
            <w:instrText xml:space="preserve"> PAGEREF _Toc15561 \h </w:instrText>
          </w:r>
          <w:r>
            <w:fldChar w:fldCharType="separate"/>
          </w:r>
          <w:r>
            <w:t>- 3 -</w:t>
          </w:r>
          <w:r>
            <w:fldChar w:fldCharType="end"/>
          </w:r>
          <w:r>
            <w:fldChar w:fldCharType="end"/>
          </w:r>
        </w:p>
        <w:p w14:paraId="7E76A35B">
          <w:pPr>
            <w:pStyle w:val="13"/>
            <w:tabs>
              <w:tab w:val="right" w:leader="dot" w:pos="8306"/>
              <w:tab w:val="clear" w:pos="8296"/>
            </w:tabs>
          </w:pPr>
          <w:r>
            <w:fldChar w:fldCharType="begin"/>
          </w:r>
          <w:r>
            <w:instrText xml:space="preserve"> HYPERLINK \l _Toc3746 </w:instrText>
          </w:r>
          <w:r>
            <w:fldChar w:fldCharType="separate"/>
          </w:r>
          <w:r>
            <w:rPr>
              <w:rFonts w:hint="eastAsia" w:eastAsia="黑体"/>
              <w:szCs w:val="32"/>
            </w:rPr>
            <w:t>五、一</w:t>
          </w:r>
          <w:r>
            <w:rPr>
              <w:rFonts w:hint="eastAsia" w:ascii="Times New Roman" w:hAnsi="Times New Roman" w:eastAsia="黑体"/>
            </w:rPr>
            <w:t>般公共预算财政拨款支出决算情况说明</w:t>
          </w:r>
          <w:r>
            <w:tab/>
          </w:r>
          <w:r>
            <w:fldChar w:fldCharType="begin"/>
          </w:r>
          <w:r>
            <w:instrText xml:space="preserve"> PAGEREF _Toc3746 \h </w:instrText>
          </w:r>
          <w:r>
            <w:fldChar w:fldCharType="separate"/>
          </w:r>
          <w:r>
            <w:t>- 4 -</w:t>
          </w:r>
          <w:r>
            <w:fldChar w:fldCharType="end"/>
          </w:r>
          <w:r>
            <w:fldChar w:fldCharType="end"/>
          </w:r>
        </w:p>
        <w:p w14:paraId="75038492">
          <w:pPr>
            <w:pStyle w:val="13"/>
            <w:tabs>
              <w:tab w:val="right" w:leader="dot" w:pos="8306"/>
              <w:tab w:val="clear" w:pos="8296"/>
            </w:tabs>
          </w:pPr>
          <w:r>
            <w:fldChar w:fldCharType="begin"/>
          </w:r>
          <w:r>
            <w:instrText xml:space="preserve"> HYPERLINK \l _Toc21817 </w:instrText>
          </w:r>
          <w:r>
            <w:fldChar w:fldCharType="separate"/>
          </w:r>
          <w:r>
            <w:rPr>
              <w:rFonts w:hint="eastAsia" w:eastAsia="黑体"/>
              <w:szCs w:val="32"/>
            </w:rPr>
            <w:t>六、一</w:t>
          </w:r>
          <w:r>
            <w:rPr>
              <w:rFonts w:hint="eastAsia" w:ascii="Times New Roman" w:hAnsi="Times New Roman" w:eastAsia="黑体"/>
            </w:rPr>
            <w:t>般公共预算财政拨款基本支出决算情况说明</w:t>
          </w:r>
          <w:r>
            <w:tab/>
          </w:r>
          <w:r>
            <w:fldChar w:fldCharType="begin"/>
          </w:r>
          <w:r>
            <w:instrText xml:space="preserve"> PAGEREF _Toc21817 \h </w:instrText>
          </w:r>
          <w:r>
            <w:fldChar w:fldCharType="separate"/>
          </w:r>
          <w:r>
            <w:t>- 7 -</w:t>
          </w:r>
          <w:r>
            <w:fldChar w:fldCharType="end"/>
          </w:r>
          <w:r>
            <w:fldChar w:fldCharType="end"/>
          </w:r>
        </w:p>
        <w:p w14:paraId="6F30071D">
          <w:pPr>
            <w:pStyle w:val="13"/>
            <w:tabs>
              <w:tab w:val="right" w:leader="dot" w:pos="8306"/>
              <w:tab w:val="clear" w:pos="8296"/>
            </w:tabs>
          </w:pPr>
          <w:r>
            <w:fldChar w:fldCharType="begin"/>
          </w:r>
          <w:r>
            <w:instrText xml:space="preserve"> HYPERLINK \l _Toc13059 </w:instrText>
          </w:r>
          <w:r>
            <w:fldChar w:fldCharType="separate"/>
          </w:r>
          <w:r>
            <w:rPr>
              <w:rFonts w:hint="eastAsia" w:eastAsia="黑体"/>
              <w:szCs w:val="32"/>
            </w:rPr>
            <w:t>七、</w:t>
          </w:r>
          <w:r>
            <w:rPr>
              <w:rFonts w:hint="eastAsia" w:ascii="Times New Roman" w:hAnsi="Times New Roman" w:eastAsia="黑体"/>
            </w:rPr>
            <w:t>财政拨款“三公”经费支出决算情况说明</w:t>
          </w:r>
          <w:r>
            <w:tab/>
          </w:r>
          <w:r>
            <w:fldChar w:fldCharType="begin"/>
          </w:r>
          <w:r>
            <w:instrText xml:space="preserve"> PAGEREF _Toc13059 \h </w:instrText>
          </w:r>
          <w:r>
            <w:fldChar w:fldCharType="separate"/>
          </w:r>
          <w:r>
            <w:t>- 7 -</w:t>
          </w:r>
          <w:r>
            <w:fldChar w:fldCharType="end"/>
          </w:r>
          <w:r>
            <w:fldChar w:fldCharType="end"/>
          </w:r>
        </w:p>
        <w:p w14:paraId="7466568B">
          <w:pPr>
            <w:pStyle w:val="13"/>
            <w:tabs>
              <w:tab w:val="right" w:leader="dot" w:pos="8306"/>
              <w:tab w:val="clear" w:pos="8296"/>
            </w:tabs>
          </w:pPr>
          <w:r>
            <w:fldChar w:fldCharType="begin"/>
          </w:r>
          <w:r>
            <w:instrText xml:space="preserve"> HYPERLINK \l _Toc4907 </w:instrText>
          </w:r>
          <w:r>
            <w:fldChar w:fldCharType="separate"/>
          </w:r>
          <w:r>
            <w:rPr>
              <w:rFonts w:hint="eastAsia" w:eastAsia="黑体"/>
              <w:szCs w:val="32"/>
            </w:rPr>
            <w:t>八、</w:t>
          </w:r>
          <w:r>
            <w:rPr>
              <w:rFonts w:hint="eastAsia" w:ascii="Times New Roman" w:hAnsi="Times New Roman" w:eastAsia="黑体"/>
            </w:rPr>
            <w:t>政府性基金预算支出决算情况说明</w:t>
          </w:r>
          <w:r>
            <w:tab/>
          </w:r>
          <w:r>
            <w:fldChar w:fldCharType="begin"/>
          </w:r>
          <w:r>
            <w:instrText xml:space="preserve"> PAGEREF _Toc4907 \h </w:instrText>
          </w:r>
          <w:r>
            <w:fldChar w:fldCharType="separate"/>
          </w:r>
          <w:r>
            <w:t>- 9 -</w:t>
          </w:r>
          <w:r>
            <w:fldChar w:fldCharType="end"/>
          </w:r>
          <w:r>
            <w:fldChar w:fldCharType="end"/>
          </w:r>
        </w:p>
        <w:p w14:paraId="63E9372A">
          <w:pPr>
            <w:pStyle w:val="13"/>
            <w:tabs>
              <w:tab w:val="right" w:leader="dot" w:pos="8306"/>
              <w:tab w:val="clear" w:pos="8296"/>
            </w:tabs>
          </w:pPr>
          <w:r>
            <w:fldChar w:fldCharType="begin"/>
          </w:r>
          <w:r>
            <w:instrText xml:space="preserve"> HYPERLINK \l _Toc7054 </w:instrText>
          </w:r>
          <w:r>
            <w:fldChar w:fldCharType="separate"/>
          </w:r>
          <w:r>
            <w:rPr>
              <w:rFonts w:hint="eastAsia" w:ascii="Times New Roman" w:hAnsi="Times New Roman" w:eastAsia="黑体"/>
            </w:rPr>
            <w:t>九、国有资本经营预算支出决算情况说明</w:t>
          </w:r>
          <w:r>
            <w:tab/>
          </w:r>
          <w:r>
            <w:fldChar w:fldCharType="begin"/>
          </w:r>
          <w:r>
            <w:instrText xml:space="preserve"> PAGEREF _Toc7054 \h </w:instrText>
          </w:r>
          <w:r>
            <w:fldChar w:fldCharType="separate"/>
          </w:r>
          <w:r>
            <w:t>- 9 -</w:t>
          </w:r>
          <w:r>
            <w:fldChar w:fldCharType="end"/>
          </w:r>
          <w:r>
            <w:fldChar w:fldCharType="end"/>
          </w:r>
        </w:p>
        <w:p w14:paraId="71416931">
          <w:pPr>
            <w:pStyle w:val="13"/>
            <w:tabs>
              <w:tab w:val="right" w:leader="dot" w:pos="8306"/>
              <w:tab w:val="clear" w:pos="8296"/>
            </w:tabs>
          </w:pPr>
          <w:r>
            <w:fldChar w:fldCharType="begin"/>
          </w:r>
          <w:r>
            <w:instrText xml:space="preserve"> HYPERLINK \l _Toc1920 </w:instrText>
          </w:r>
          <w:r>
            <w:fldChar w:fldCharType="separate"/>
          </w:r>
          <w:r>
            <w:rPr>
              <w:rFonts w:hint="eastAsia" w:ascii="Times New Roman" w:hAnsi="Times New Roman" w:eastAsia="黑体"/>
            </w:rPr>
            <w:t>十、其他重要事项的情况说明</w:t>
          </w:r>
          <w:r>
            <w:tab/>
          </w:r>
          <w:r>
            <w:fldChar w:fldCharType="begin"/>
          </w:r>
          <w:r>
            <w:instrText xml:space="preserve"> PAGEREF _Toc1920 \h </w:instrText>
          </w:r>
          <w:r>
            <w:fldChar w:fldCharType="separate"/>
          </w:r>
          <w:r>
            <w:t>- 9 -</w:t>
          </w:r>
          <w:r>
            <w:fldChar w:fldCharType="end"/>
          </w:r>
          <w:r>
            <w:fldChar w:fldCharType="end"/>
          </w:r>
        </w:p>
        <w:p w14:paraId="41F0B9C9">
          <w:pPr>
            <w:pStyle w:val="13"/>
            <w:tabs>
              <w:tab w:val="right" w:leader="dot" w:pos="8306"/>
              <w:tab w:val="clear" w:pos="8296"/>
            </w:tabs>
          </w:pPr>
          <w:r>
            <w:fldChar w:fldCharType="begin"/>
          </w:r>
          <w:r>
            <w:instrText xml:space="preserve"> HYPERLINK \l _Toc30024 </w:instrText>
          </w:r>
          <w:r>
            <w:fldChar w:fldCharType="separate"/>
          </w:r>
          <w:r>
            <w:rPr>
              <w:rFonts w:hint="eastAsia" w:eastAsia="黑体"/>
              <w:szCs w:val="44"/>
            </w:rPr>
            <w:t>第三部分  名词解释</w:t>
          </w:r>
          <w:r>
            <w:tab/>
          </w:r>
          <w:r>
            <w:fldChar w:fldCharType="begin"/>
          </w:r>
          <w:r>
            <w:instrText xml:space="preserve"> PAGEREF _Toc30024 \h </w:instrText>
          </w:r>
          <w:r>
            <w:fldChar w:fldCharType="separate"/>
          </w:r>
          <w:r>
            <w:t>- 11 -</w:t>
          </w:r>
          <w:r>
            <w:fldChar w:fldCharType="end"/>
          </w:r>
          <w:r>
            <w:fldChar w:fldCharType="end"/>
          </w:r>
        </w:p>
        <w:p w14:paraId="5F1728C6">
          <w:pPr>
            <w:pStyle w:val="13"/>
            <w:tabs>
              <w:tab w:val="right" w:leader="dot" w:pos="8306"/>
              <w:tab w:val="clear" w:pos="8296"/>
            </w:tabs>
          </w:pPr>
          <w:r>
            <w:fldChar w:fldCharType="begin"/>
          </w:r>
          <w:r>
            <w:instrText xml:space="preserve"> HYPERLINK \l _Toc5191 </w:instrText>
          </w:r>
          <w:r>
            <w:fldChar w:fldCharType="separate"/>
          </w:r>
          <w:r>
            <w:rPr>
              <w:rFonts w:hint="eastAsia" w:eastAsia="黑体"/>
              <w:szCs w:val="44"/>
            </w:rPr>
            <w:t>第四部分  附件</w:t>
          </w:r>
          <w:r>
            <w:tab/>
          </w:r>
          <w:r>
            <w:fldChar w:fldCharType="begin"/>
          </w:r>
          <w:r>
            <w:instrText xml:space="preserve"> PAGEREF _Toc5191 \h </w:instrText>
          </w:r>
          <w:r>
            <w:fldChar w:fldCharType="separate"/>
          </w:r>
          <w:r>
            <w:t>- 14 -</w:t>
          </w:r>
          <w:r>
            <w:fldChar w:fldCharType="end"/>
          </w:r>
          <w:r>
            <w:fldChar w:fldCharType="end"/>
          </w:r>
        </w:p>
        <w:p w14:paraId="449443B9">
          <w:pPr>
            <w:pStyle w:val="13"/>
            <w:tabs>
              <w:tab w:val="right" w:leader="dot" w:pos="8306"/>
              <w:tab w:val="clear" w:pos="8296"/>
            </w:tabs>
          </w:pPr>
          <w:r>
            <w:fldChar w:fldCharType="begin"/>
          </w:r>
          <w:r>
            <w:instrText xml:space="preserve"> HYPERLINK \l _Toc18100 </w:instrText>
          </w:r>
          <w:r>
            <w:fldChar w:fldCharType="separate"/>
          </w:r>
          <w:r>
            <w:rPr>
              <w:rFonts w:hint="eastAsia" w:eastAsia="黑体"/>
              <w:szCs w:val="44"/>
            </w:rPr>
            <w:t>第</w:t>
          </w:r>
          <w:r>
            <w:rPr>
              <w:rFonts w:hint="eastAsia" w:eastAsia="黑体"/>
            </w:rPr>
            <w:t>五部分 附表</w:t>
          </w:r>
          <w:r>
            <w:tab/>
          </w:r>
          <w:r>
            <w:fldChar w:fldCharType="begin"/>
          </w:r>
          <w:r>
            <w:instrText xml:space="preserve"> PAGEREF _Toc18100 \h </w:instrText>
          </w:r>
          <w:r>
            <w:fldChar w:fldCharType="separate"/>
          </w:r>
          <w:r>
            <w:t>- 15 -</w:t>
          </w:r>
          <w:r>
            <w:fldChar w:fldCharType="end"/>
          </w:r>
          <w:r>
            <w:fldChar w:fldCharType="end"/>
          </w:r>
        </w:p>
        <w:p w14:paraId="4307CEA1">
          <w:pPr>
            <w:pStyle w:val="13"/>
            <w:tabs>
              <w:tab w:val="right" w:leader="dot" w:pos="8306"/>
              <w:tab w:val="clear" w:pos="8296"/>
            </w:tabs>
          </w:pPr>
          <w:r>
            <w:fldChar w:fldCharType="begin"/>
          </w:r>
          <w:r>
            <w:instrText xml:space="preserve"> HYPERLINK \l _Toc26592 </w:instrText>
          </w:r>
          <w:r>
            <w:fldChar w:fldCharType="separate"/>
          </w:r>
          <w:r>
            <w:rPr>
              <w:rFonts w:hint="eastAsia" w:eastAsia="仿宋_GB2312" w:cs="仿宋_GB2312"/>
              <w:szCs w:val="32"/>
            </w:rPr>
            <w:t>一、收入支出决算总表</w:t>
          </w:r>
          <w:r>
            <w:tab/>
          </w:r>
          <w:r>
            <w:fldChar w:fldCharType="begin"/>
          </w:r>
          <w:r>
            <w:instrText xml:space="preserve"> PAGEREF _Toc26592 \h </w:instrText>
          </w:r>
          <w:r>
            <w:fldChar w:fldCharType="separate"/>
          </w:r>
          <w:r>
            <w:t>- 15 -</w:t>
          </w:r>
          <w:r>
            <w:fldChar w:fldCharType="end"/>
          </w:r>
          <w:r>
            <w:fldChar w:fldCharType="end"/>
          </w:r>
        </w:p>
        <w:p w14:paraId="4E9387A4">
          <w:pPr>
            <w:pStyle w:val="13"/>
            <w:tabs>
              <w:tab w:val="right" w:leader="dot" w:pos="8306"/>
              <w:tab w:val="clear" w:pos="8296"/>
            </w:tabs>
          </w:pPr>
          <w:r>
            <w:fldChar w:fldCharType="begin"/>
          </w:r>
          <w:r>
            <w:instrText xml:space="preserve"> HYPERLINK \l _Toc26356 </w:instrText>
          </w:r>
          <w:r>
            <w:fldChar w:fldCharType="separate"/>
          </w:r>
          <w:r>
            <w:rPr>
              <w:rFonts w:hint="eastAsia" w:eastAsia="仿宋_GB2312" w:cs="仿宋_GB2312"/>
              <w:szCs w:val="32"/>
            </w:rPr>
            <w:t>二、收入决算表</w:t>
          </w:r>
          <w:r>
            <w:tab/>
          </w:r>
          <w:r>
            <w:fldChar w:fldCharType="begin"/>
          </w:r>
          <w:r>
            <w:instrText xml:space="preserve"> PAGEREF _Toc26356 \h </w:instrText>
          </w:r>
          <w:r>
            <w:fldChar w:fldCharType="separate"/>
          </w:r>
          <w:r>
            <w:t>- 15 -</w:t>
          </w:r>
          <w:r>
            <w:fldChar w:fldCharType="end"/>
          </w:r>
          <w:r>
            <w:fldChar w:fldCharType="end"/>
          </w:r>
        </w:p>
        <w:p w14:paraId="7412CAA9">
          <w:pPr>
            <w:pStyle w:val="13"/>
            <w:tabs>
              <w:tab w:val="right" w:leader="dot" w:pos="8306"/>
              <w:tab w:val="clear" w:pos="8296"/>
            </w:tabs>
          </w:pPr>
          <w:r>
            <w:fldChar w:fldCharType="begin"/>
          </w:r>
          <w:r>
            <w:instrText xml:space="preserve"> HYPERLINK \l _Toc24092 </w:instrText>
          </w:r>
          <w:r>
            <w:fldChar w:fldCharType="separate"/>
          </w:r>
          <w:r>
            <w:rPr>
              <w:rFonts w:hint="eastAsia" w:eastAsia="仿宋_GB2312" w:cs="仿宋_GB2312"/>
              <w:szCs w:val="32"/>
            </w:rPr>
            <w:t>三、支出决算表</w:t>
          </w:r>
          <w:r>
            <w:tab/>
          </w:r>
          <w:r>
            <w:fldChar w:fldCharType="begin"/>
          </w:r>
          <w:r>
            <w:instrText xml:space="preserve"> PAGEREF _Toc24092 \h </w:instrText>
          </w:r>
          <w:r>
            <w:fldChar w:fldCharType="separate"/>
          </w:r>
          <w:r>
            <w:t>- 15 -</w:t>
          </w:r>
          <w:r>
            <w:fldChar w:fldCharType="end"/>
          </w:r>
          <w:r>
            <w:fldChar w:fldCharType="end"/>
          </w:r>
        </w:p>
        <w:p w14:paraId="32B9FE60">
          <w:pPr>
            <w:pStyle w:val="13"/>
            <w:tabs>
              <w:tab w:val="right" w:leader="dot" w:pos="8306"/>
              <w:tab w:val="clear" w:pos="8296"/>
            </w:tabs>
          </w:pPr>
          <w:r>
            <w:fldChar w:fldCharType="begin"/>
          </w:r>
          <w:r>
            <w:instrText xml:space="preserve"> HYPERLINK \l _Toc1769 </w:instrText>
          </w:r>
          <w:r>
            <w:fldChar w:fldCharType="separate"/>
          </w:r>
          <w:r>
            <w:rPr>
              <w:rFonts w:hint="eastAsia" w:eastAsia="仿宋_GB2312" w:cs="仿宋_GB2312"/>
              <w:szCs w:val="32"/>
            </w:rPr>
            <w:t>四、财政拨款收入支出决算总表</w:t>
          </w:r>
          <w:r>
            <w:tab/>
          </w:r>
          <w:r>
            <w:fldChar w:fldCharType="begin"/>
          </w:r>
          <w:r>
            <w:instrText xml:space="preserve"> PAGEREF _Toc1769 \h </w:instrText>
          </w:r>
          <w:r>
            <w:fldChar w:fldCharType="separate"/>
          </w:r>
          <w:r>
            <w:t>- 15 -</w:t>
          </w:r>
          <w:r>
            <w:fldChar w:fldCharType="end"/>
          </w:r>
          <w:r>
            <w:fldChar w:fldCharType="end"/>
          </w:r>
        </w:p>
        <w:p w14:paraId="662BB565">
          <w:pPr>
            <w:pStyle w:val="13"/>
            <w:tabs>
              <w:tab w:val="right" w:leader="dot" w:pos="8306"/>
              <w:tab w:val="clear" w:pos="8296"/>
            </w:tabs>
          </w:pPr>
          <w:r>
            <w:fldChar w:fldCharType="begin"/>
          </w:r>
          <w:r>
            <w:instrText xml:space="preserve"> HYPERLINK \l _Toc24423 </w:instrText>
          </w:r>
          <w:r>
            <w:fldChar w:fldCharType="separate"/>
          </w:r>
          <w:r>
            <w:rPr>
              <w:rFonts w:hint="eastAsia" w:eastAsia="仿宋_GB2312" w:cs="仿宋_GB2312"/>
              <w:szCs w:val="32"/>
            </w:rPr>
            <w:t>五、财政拨款支出决算明细表</w:t>
          </w:r>
          <w:r>
            <w:tab/>
          </w:r>
          <w:r>
            <w:fldChar w:fldCharType="begin"/>
          </w:r>
          <w:r>
            <w:instrText xml:space="preserve"> PAGEREF _Toc24423 \h </w:instrText>
          </w:r>
          <w:r>
            <w:fldChar w:fldCharType="separate"/>
          </w:r>
          <w:r>
            <w:t>- 15 -</w:t>
          </w:r>
          <w:r>
            <w:fldChar w:fldCharType="end"/>
          </w:r>
          <w:r>
            <w:fldChar w:fldCharType="end"/>
          </w:r>
        </w:p>
        <w:p w14:paraId="3A4537E1">
          <w:pPr>
            <w:pStyle w:val="13"/>
            <w:tabs>
              <w:tab w:val="right" w:leader="dot" w:pos="8306"/>
              <w:tab w:val="clear" w:pos="8296"/>
            </w:tabs>
          </w:pPr>
          <w:r>
            <w:fldChar w:fldCharType="begin"/>
          </w:r>
          <w:r>
            <w:instrText xml:space="preserve"> HYPERLINK \l _Toc9263 </w:instrText>
          </w:r>
          <w:r>
            <w:fldChar w:fldCharType="separate"/>
          </w:r>
          <w:r>
            <w:rPr>
              <w:rFonts w:hint="eastAsia" w:eastAsia="仿宋_GB2312" w:cs="仿宋_GB2312"/>
              <w:szCs w:val="32"/>
            </w:rPr>
            <w:t>六、一般公共预算财政拨款支出决算表</w:t>
          </w:r>
          <w:r>
            <w:tab/>
          </w:r>
          <w:r>
            <w:fldChar w:fldCharType="begin"/>
          </w:r>
          <w:r>
            <w:instrText xml:space="preserve"> PAGEREF _Toc9263 \h </w:instrText>
          </w:r>
          <w:r>
            <w:fldChar w:fldCharType="separate"/>
          </w:r>
          <w:r>
            <w:t>- 15 -</w:t>
          </w:r>
          <w:r>
            <w:fldChar w:fldCharType="end"/>
          </w:r>
          <w:r>
            <w:fldChar w:fldCharType="end"/>
          </w:r>
        </w:p>
        <w:p w14:paraId="59950898">
          <w:pPr>
            <w:pStyle w:val="13"/>
            <w:tabs>
              <w:tab w:val="right" w:leader="dot" w:pos="8306"/>
              <w:tab w:val="clear" w:pos="8296"/>
            </w:tabs>
          </w:pPr>
          <w:r>
            <w:fldChar w:fldCharType="begin"/>
          </w:r>
          <w:r>
            <w:instrText xml:space="preserve"> HYPERLINK \l _Toc22083 </w:instrText>
          </w:r>
          <w:r>
            <w:fldChar w:fldCharType="separate"/>
          </w:r>
          <w:r>
            <w:rPr>
              <w:rFonts w:hint="eastAsia" w:eastAsia="仿宋_GB2312" w:cs="仿宋_GB2312"/>
              <w:szCs w:val="32"/>
            </w:rPr>
            <w:t>七、一般公共预算财政拨款支出决算明细表</w:t>
          </w:r>
          <w:r>
            <w:tab/>
          </w:r>
          <w:r>
            <w:fldChar w:fldCharType="begin"/>
          </w:r>
          <w:r>
            <w:instrText xml:space="preserve"> PAGEREF _Toc22083 \h </w:instrText>
          </w:r>
          <w:r>
            <w:fldChar w:fldCharType="separate"/>
          </w:r>
          <w:r>
            <w:t>- 15 -</w:t>
          </w:r>
          <w:r>
            <w:fldChar w:fldCharType="end"/>
          </w:r>
          <w:r>
            <w:fldChar w:fldCharType="end"/>
          </w:r>
        </w:p>
        <w:p w14:paraId="78F7C7AE">
          <w:pPr>
            <w:pStyle w:val="13"/>
            <w:tabs>
              <w:tab w:val="right" w:leader="dot" w:pos="8306"/>
              <w:tab w:val="clear" w:pos="8296"/>
            </w:tabs>
          </w:pPr>
          <w:r>
            <w:fldChar w:fldCharType="begin"/>
          </w:r>
          <w:r>
            <w:instrText xml:space="preserve"> HYPERLINK \l _Toc15663 </w:instrText>
          </w:r>
          <w:r>
            <w:fldChar w:fldCharType="separate"/>
          </w:r>
          <w:r>
            <w:rPr>
              <w:rFonts w:hint="eastAsia" w:eastAsia="仿宋_GB2312" w:cs="仿宋_GB2312"/>
              <w:szCs w:val="32"/>
            </w:rPr>
            <w:t>八、一般公共预算财政拨款基本支出决算表</w:t>
          </w:r>
          <w:r>
            <w:tab/>
          </w:r>
          <w:r>
            <w:fldChar w:fldCharType="begin"/>
          </w:r>
          <w:r>
            <w:instrText xml:space="preserve"> PAGEREF _Toc15663 \h </w:instrText>
          </w:r>
          <w:r>
            <w:fldChar w:fldCharType="separate"/>
          </w:r>
          <w:r>
            <w:t>- 15 -</w:t>
          </w:r>
          <w:r>
            <w:fldChar w:fldCharType="end"/>
          </w:r>
          <w:r>
            <w:fldChar w:fldCharType="end"/>
          </w:r>
        </w:p>
        <w:p w14:paraId="1E9805D4">
          <w:pPr>
            <w:pStyle w:val="13"/>
            <w:tabs>
              <w:tab w:val="right" w:leader="dot" w:pos="8306"/>
              <w:tab w:val="clear" w:pos="8296"/>
            </w:tabs>
          </w:pPr>
          <w:r>
            <w:fldChar w:fldCharType="begin"/>
          </w:r>
          <w:r>
            <w:instrText xml:space="preserve"> HYPERLINK \l _Toc21919 </w:instrText>
          </w:r>
          <w:r>
            <w:fldChar w:fldCharType="separate"/>
          </w:r>
          <w:r>
            <w:rPr>
              <w:rFonts w:hint="eastAsia" w:eastAsia="仿宋_GB2312" w:cs="仿宋_GB2312"/>
              <w:szCs w:val="32"/>
            </w:rPr>
            <w:t>九、一般公共预算财政拨款项目支出决算表</w:t>
          </w:r>
          <w:r>
            <w:tab/>
          </w:r>
          <w:r>
            <w:fldChar w:fldCharType="begin"/>
          </w:r>
          <w:r>
            <w:instrText xml:space="preserve"> PAGEREF _Toc21919 \h </w:instrText>
          </w:r>
          <w:r>
            <w:fldChar w:fldCharType="separate"/>
          </w:r>
          <w:r>
            <w:t>- 15 -</w:t>
          </w:r>
          <w:r>
            <w:fldChar w:fldCharType="end"/>
          </w:r>
          <w:r>
            <w:fldChar w:fldCharType="end"/>
          </w:r>
        </w:p>
        <w:p w14:paraId="1BF22B08">
          <w:pPr>
            <w:pStyle w:val="13"/>
            <w:tabs>
              <w:tab w:val="right" w:leader="dot" w:pos="8306"/>
              <w:tab w:val="clear" w:pos="8296"/>
            </w:tabs>
          </w:pPr>
          <w:r>
            <w:fldChar w:fldCharType="begin"/>
          </w:r>
          <w:r>
            <w:instrText xml:space="preserve"> HYPERLINK \l _Toc5796 </w:instrText>
          </w:r>
          <w:r>
            <w:fldChar w:fldCharType="separate"/>
          </w:r>
          <w:r>
            <w:rPr>
              <w:rFonts w:hint="eastAsia" w:eastAsia="仿宋_GB2312" w:cs="仿宋_GB2312"/>
              <w:szCs w:val="32"/>
            </w:rPr>
            <w:t>十、政府性基金预算财政拨款收入支出决算表</w:t>
          </w:r>
          <w:r>
            <w:tab/>
          </w:r>
          <w:r>
            <w:fldChar w:fldCharType="begin"/>
          </w:r>
          <w:r>
            <w:instrText xml:space="preserve"> PAGEREF _Toc5796 \h </w:instrText>
          </w:r>
          <w:r>
            <w:fldChar w:fldCharType="separate"/>
          </w:r>
          <w:r>
            <w:t>- 15 -</w:t>
          </w:r>
          <w:r>
            <w:fldChar w:fldCharType="end"/>
          </w:r>
          <w:r>
            <w:fldChar w:fldCharType="end"/>
          </w:r>
        </w:p>
        <w:p w14:paraId="7697A6C7">
          <w:pPr>
            <w:pStyle w:val="13"/>
            <w:tabs>
              <w:tab w:val="right" w:leader="dot" w:pos="8306"/>
              <w:tab w:val="clear" w:pos="8296"/>
            </w:tabs>
          </w:pPr>
          <w:r>
            <w:fldChar w:fldCharType="begin"/>
          </w:r>
          <w:r>
            <w:instrText xml:space="preserve"> HYPERLINK \l _Toc7880 </w:instrText>
          </w:r>
          <w:r>
            <w:fldChar w:fldCharType="separate"/>
          </w:r>
          <w:r>
            <w:rPr>
              <w:rFonts w:hint="eastAsia" w:eastAsia="仿宋_GB2312" w:cs="仿宋_GB2312"/>
              <w:szCs w:val="32"/>
            </w:rPr>
            <w:t>十一、国有资本经营预算财政拨款收入支出决算表</w:t>
          </w:r>
          <w:r>
            <w:tab/>
          </w:r>
          <w:r>
            <w:fldChar w:fldCharType="begin"/>
          </w:r>
          <w:r>
            <w:instrText xml:space="preserve"> PAGEREF _Toc7880 \h </w:instrText>
          </w:r>
          <w:r>
            <w:fldChar w:fldCharType="separate"/>
          </w:r>
          <w:r>
            <w:t>- 15 -</w:t>
          </w:r>
          <w:r>
            <w:fldChar w:fldCharType="end"/>
          </w:r>
          <w:r>
            <w:fldChar w:fldCharType="end"/>
          </w:r>
        </w:p>
        <w:p w14:paraId="26BC1CD5">
          <w:pPr>
            <w:pStyle w:val="13"/>
            <w:tabs>
              <w:tab w:val="right" w:leader="dot" w:pos="8306"/>
              <w:tab w:val="clear" w:pos="8296"/>
            </w:tabs>
          </w:pPr>
          <w:r>
            <w:fldChar w:fldCharType="begin"/>
          </w:r>
          <w:r>
            <w:instrText xml:space="preserve"> HYPERLINK \l _Toc9783 </w:instrText>
          </w:r>
          <w:r>
            <w:fldChar w:fldCharType="separate"/>
          </w:r>
          <w:r>
            <w:rPr>
              <w:rFonts w:hint="eastAsia" w:eastAsia="仿宋_GB2312" w:cs="仿宋_GB2312"/>
              <w:szCs w:val="32"/>
            </w:rPr>
            <w:t>十二、国有资本经营预算财政拨款支出决算表</w:t>
          </w:r>
          <w:r>
            <w:tab/>
          </w:r>
          <w:r>
            <w:fldChar w:fldCharType="begin"/>
          </w:r>
          <w:r>
            <w:instrText xml:space="preserve"> PAGEREF _Toc9783 \h </w:instrText>
          </w:r>
          <w:r>
            <w:fldChar w:fldCharType="separate"/>
          </w:r>
          <w:r>
            <w:t>- 15 -</w:t>
          </w:r>
          <w:r>
            <w:fldChar w:fldCharType="end"/>
          </w:r>
          <w:r>
            <w:fldChar w:fldCharType="end"/>
          </w:r>
        </w:p>
        <w:p w14:paraId="0622CA60">
          <w:pPr>
            <w:pStyle w:val="13"/>
            <w:tabs>
              <w:tab w:val="right" w:leader="dot" w:pos="8306"/>
              <w:tab w:val="clear" w:pos="8296"/>
            </w:tabs>
          </w:pPr>
          <w:r>
            <w:fldChar w:fldCharType="begin"/>
          </w:r>
          <w:r>
            <w:instrText xml:space="preserve"> HYPERLINK \l _Toc27656 </w:instrText>
          </w:r>
          <w:r>
            <w:fldChar w:fldCharType="separate"/>
          </w:r>
          <w:r>
            <w:rPr>
              <w:rFonts w:hint="eastAsia" w:eastAsia="仿宋_GB2312" w:cs="仿宋_GB2312"/>
              <w:szCs w:val="32"/>
            </w:rPr>
            <w:t>十三、财政拨款“三公”经费支出决算表</w:t>
          </w:r>
          <w:r>
            <w:tab/>
          </w:r>
          <w:r>
            <w:fldChar w:fldCharType="begin"/>
          </w:r>
          <w:r>
            <w:instrText xml:space="preserve"> PAGEREF _Toc27656 \h </w:instrText>
          </w:r>
          <w:r>
            <w:fldChar w:fldCharType="separate"/>
          </w:r>
          <w:r>
            <w:t>- 15 -</w:t>
          </w:r>
          <w:r>
            <w:fldChar w:fldCharType="end"/>
          </w:r>
          <w:r>
            <w:fldChar w:fldCharType="end"/>
          </w:r>
        </w:p>
        <w:p w14:paraId="444323BA">
          <w:r>
            <w:fldChar w:fldCharType="end"/>
          </w:r>
        </w:p>
      </w:sdtContent>
    </w:sdt>
    <w:p w14:paraId="1AD6407E"/>
    <w:p w14:paraId="39A29689">
      <w:pPr>
        <w:pStyle w:val="2"/>
        <w:jc w:val="center"/>
        <w:rPr>
          <w:rFonts w:hint="eastAsia" w:eastAsia="方正小标宋简体" w:cs="方正小标宋简体"/>
          <w:b w:val="0"/>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bookmarkStart w:id="12" w:name="_Toc15396599"/>
      <w:bookmarkStart w:id="13" w:name="_Toc15377196"/>
      <w:bookmarkStart w:id="14" w:name="_Toc3742"/>
    </w:p>
    <w:p w14:paraId="7A0BB24A">
      <w:pPr>
        <w:pStyle w:val="2"/>
        <w:jc w:val="center"/>
        <w:rPr>
          <w:rStyle w:val="30"/>
          <w:rFonts w:eastAsia="方正小标宋简体" w:cs="方正小标宋简体"/>
          <w:b/>
          <w:bCs w:val="0"/>
        </w:rPr>
      </w:pPr>
      <w:r>
        <w:rPr>
          <w:rFonts w:hint="eastAsia" w:eastAsia="方正小标宋简体" w:cs="方正小标宋简体"/>
          <w:b w:val="0"/>
        </w:rPr>
        <w:t xml:space="preserve">第一部分  </w:t>
      </w:r>
      <w:r>
        <w:rPr>
          <w:rStyle w:val="30"/>
          <w:rFonts w:hint="eastAsia" w:eastAsia="方正小标宋简体" w:cs="方正小标宋简体"/>
          <w:b w:val="0"/>
          <w:bCs w:val="0"/>
        </w:rPr>
        <w:t>部门概况</w:t>
      </w:r>
      <w:bookmarkEnd w:id="12"/>
      <w:bookmarkEnd w:id="13"/>
      <w:bookmarkEnd w:id="14"/>
    </w:p>
    <w:p w14:paraId="6E8BE59E">
      <w:pPr>
        <w:widowControl/>
        <w:jc w:val="left"/>
        <w:rPr>
          <w:rFonts w:eastAsia="黑体"/>
          <w:sz w:val="32"/>
          <w:szCs w:val="32"/>
        </w:rPr>
      </w:pPr>
    </w:p>
    <w:p w14:paraId="77367542">
      <w:pPr>
        <w:pStyle w:val="3"/>
        <w:numPr>
          <w:ilvl w:val="0"/>
          <w:numId w:val="1"/>
        </w:numPr>
        <w:outlineLvl w:val="0"/>
        <w:rPr>
          <w:rFonts w:hint="eastAsia" w:ascii="Times New Roman" w:hAnsi="Times New Roman" w:eastAsia="黑体"/>
          <w:b w:val="0"/>
        </w:rPr>
      </w:pPr>
      <w:bookmarkStart w:id="15" w:name="_Toc22589"/>
      <w:r>
        <w:rPr>
          <w:rFonts w:hint="eastAsia" w:ascii="Times New Roman" w:hAnsi="Times New Roman" w:eastAsia="黑体"/>
          <w:b w:val="0"/>
        </w:rPr>
        <w:t>部门职责</w:t>
      </w:r>
      <w:bookmarkEnd w:id="15"/>
    </w:p>
    <w:p w14:paraId="0D8CA6A4">
      <w:pPr>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本单位的职能、职责是培养政治立场坚定、对党忠诚、拥护党的路线方针政策、爱岗敬业、勇于创新、专特兼备、知识够用、技能过硬、德智体美劳全面发展、善于在农牧区教书育人、具有专科（中专）学历的小学及幼儿园教师，促进民族教育事业健康发展；组织全校教师积极从事教育学、政治学、数学等学科中专学历教育和小学教学研究、幼儿教学研究；积极开展在职小学教师和在职幼儿教师学历补偿教育、继续教育等。</w:t>
      </w:r>
    </w:p>
    <w:p w14:paraId="020F2A88">
      <w:pPr>
        <w:pStyle w:val="3"/>
        <w:outlineLvl w:val="0"/>
        <w:rPr>
          <w:rStyle w:val="31"/>
          <w:rFonts w:ascii="Times New Roman" w:hAnsi="Times New Roman"/>
          <w:b w:val="0"/>
          <w:bCs w:val="0"/>
        </w:rPr>
      </w:pPr>
      <w:bookmarkStart w:id="16" w:name="_Toc15377200"/>
      <w:bookmarkStart w:id="17" w:name="_Toc15396601"/>
      <w:bookmarkStart w:id="18" w:name="_Toc21649"/>
      <w:r>
        <w:rPr>
          <w:rFonts w:hint="eastAsia" w:ascii="Times New Roman" w:hAnsi="Times New Roman" w:eastAsia="黑体"/>
          <w:b w:val="0"/>
        </w:rPr>
        <w:t>二、机</w:t>
      </w:r>
      <w:r>
        <w:rPr>
          <w:rStyle w:val="31"/>
          <w:rFonts w:hint="eastAsia" w:ascii="Times New Roman" w:hAnsi="Times New Roman" w:eastAsia="黑体"/>
          <w:b w:val="0"/>
          <w:bCs w:val="0"/>
        </w:rPr>
        <w:t>构设置</w:t>
      </w:r>
      <w:bookmarkEnd w:id="16"/>
      <w:bookmarkEnd w:id="17"/>
      <w:bookmarkEnd w:id="18"/>
    </w:p>
    <w:p w14:paraId="295113B1">
      <w:pPr>
        <w:ind w:firstLine="800" w:firstLineChars="250"/>
        <w:rPr>
          <w:rFonts w:eastAsia="仿宋"/>
          <w:kern w:val="0"/>
          <w:sz w:val="32"/>
          <w:szCs w:val="32"/>
        </w:rPr>
      </w:pPr>
      <w:r>
        <w:rPr>
          <w:rFonts w:hint="eastAsia" w:ascii="仿宋_GB2312" w:hAnsi="仿宋_GB2312" w:eastAsia="仿宋_GB2312" w:cs="仿宋_GB2312"/>
          <w:sz w:val="32"/>
          <w:szCs w:val="32"/>
        </w:rPr>
        <w:t>本单位本年度纳入本套决算编制范围的独立编制机构数共1个，比上年增加0个；独立核算机构数共1个，比上年增加0个。</w:t>
      </w:r>
      <w:r>
        <w:rPr>
          <w:rFonts w:eastAsia="仿宋"/>
          <w:sz w:val="32"/>
          <w:szCs w:val="32"/>
        </w:rPr>
        <w:br w:type="page"/>
      </w:r>
    </w:p>
    <w:p w14:paraId="533D2F2E">
      <w:pPr>
        <w:pStyle w:val="2"/>
        <w:jc w:val="center"/>
        <w:rPr>
          <w:rFonts w:eastAsia="方正小标宋简体" w:cs="方正小标宋简体"/>
          <w:b w:val="0"/>
        </w:rPr>
      </w:pPr>
      <w:bookmarkStart w:id="19" w:name="_Toc15396602"/>
      <w:bookmarkStart w:id="20" w:name="_Toc15377204"/>
      <w:bookmarkStart w:id="21" w:name="_Toc5164"/>
      <w:r>
        <w:rPr>
          <w:rFonts w:hint="eastAsia" w:eastAsia="方正小标宋简体" w:cs="方正小标宋简体"/>
          <w:b w:val="0"/>
        </w:rPr>
        <w:t>第二部分  2024年度部门决算情况说明</w:t>
      </w:r>
      <w:bookmarkEnd w:id="19"/>
      <w:bookmarkEnd w:id="20"/>
      <w:bookmarkEnd w:id="21"/>
    </w:p>
    <w:p w14:paraId="6B57631A"/>
    <w:p w14:paraId="61C442B7">
      <w:pPr>
        <w:pStyle w:val="29"/>
        <w:spacing w:line="600" w:lineRule="exact"/>
        <w:ind w:firstLine="640" w:firstLineChars="200"/>
        <w:outlineLvl w:val="0"/>
        <w:rPr>
          <w:rStyle w:val="31"/>
          <w:rFonts w:ascii="Times New Roman" w:hAnsi="Times New Roman" w:eastAsia="黑体"/>
          <w:b w:val="0"/>
        </w:rPr>
      </w:pPr>
      <w:bookmarkStart w:id="22" w:name="_Toc15377205"/>
      <w:bookmarkStart w:id="23" w:name="_Toc15396603"/>
      <w:bookmarkStart w:id="24" w:name="_Toc14080"/>
      <w:r>
        <w:rPr>
          <w:rFonts w:hint="eastAsia" w:eastAsia="黑体"/>
          <w:sz w:val="32"/>
          <w:szCs w:val="32"/>
        </w:rPr>
        <w:t>一、收</w:t>
      </w:r>
      <w:r>
        <w:rPr>
          <w:rStyle w:val="31"/>
          <w:rFonts w:hint="eastAsia" w:ascii="Times New Roman" w:hAnsi="Times New Roman" w:eastAsia="黑体"/>
          <w:b w:val="0"/>
        </w:rPr>
        <w:t>入支出决算总体情况说明</w:t>
      </w:r>
      <w:bookmarkEnd w:id="22"/>
      <w:bookmarkEnd w:id="23"/>
      <w:bookmarkEnd w:id="24"/>
    </w:p>
    <w:p w14:paraId="6B020F35">
      <w:pPr>
        <w:pStyle w:val="29"/>
        <w:spacing w:line="600" w:lineRule="exact"/>
        <w:ind w:firstLine="640"/>
        <w:outlineLvl w:val="9"/>
        <w:rPr>
          <w:rFonts w:hint="eastAsia" w:eastAsia="仿宋_GB2312" w:cs="仿宋_GB2312"/>
          <w:sz w:val="32"/>
          <w:szCs w:val="32"/>
          <w:lang w:eastAsia="zh-CN"/>
        </w:rPr>
      </w:pPr>
      <w:r>
        <w:rPr>
          <w:rFonts w:hint="eastAsia" w:eastAsia="仿宋_GB2312" w:cs="仿宋_GB2312"/>
          <w:sz w:val="32"/>
          <w:szCs w:val="32"/>
        </w:rPr>
        <w:t>2024年度收入、支出总计均为</w:t>
      </w:r>
      <w:r>
        <w:rPr>
          <w:rFonts w:hint="eastAsia" w:ascii="仿宋_GB2312" w:hAnsi="仿宋_GB2312" w:eastAsia="仿宋_GB2312" w:cs="仿宋_GB2312"/>
          <w:sz w:val="32"/>
          <w:szCs w:val="32"/>
          <w:lang w:val="en-US" w:eastAsia="zh-CN"/>
        </w:rPr>
        <w:t>3986.36</w:t>
      </w:r>
      <w:r>
        <w:rPr>
          <w:rFonts w:hint="eastAsia" w:eastAsia="仿宋_GB2312" w:cs="仿宋_GB2312"/>
          <w:sz w:val="32"/>
          <w:szCs w:val="32"/>
        </w:rPr>
        <w:t>万元。与2023年度相比，收入、支出总计各增加</w:t>
      </w:r>
      <w:r>
        <w:rPr>
          <w:rFonts w:hint="eastAsia" w:eastAsia="仿宋_GB2312" w:cs="仿宋_GB2312"/>
          <w:sz w:val="32"/>
          <w:szCs w:val="32"/>
          <w:lang w:val="en-US" w:eastAsia="zh-CN"/>
        </w:rPr>
        <w:t>319.58</w:t>
      </w:r>
      <w:r>
        <w:rPr>
          <w:rFonts w:hint="eastAsia" w:eastAsia="仿宋_GB2312" w:cs="仿宋_GB2312"/>
          <w:sz w:val="32"/>
          <w:szCs w:val="32"/>
        </w:rPr>
        <w:t>万元，增长</w:t>
      </w:r>
      <w:r>
        <w:rPr>
          <w:rFonts w:hint="eastAsia" w:eastAsia="仿宋_GB2312" w:cs="仿宋_GB2312"/>
          <w:sz w:val="32"/>
          <w:szCs w:val="32"/>
          <w:lang w:val="en-US" w:eastAsia="zh-CN"/>
        </w:rPr>
        <w:t>8.7</w:t>
      </w:r>
      <w:r>
        <w:rPr>
          <w:rFonts w:hint="eastAsia" w:eastAsia="仿宋_GB2312" w:cs="仿宋_GB2312"/>
          <w:sz w:val="32"/>
          <w:szCs w:val="32"/>
        </w:rPr>
        <w:t>%。主要变动原因是“三名工程”专项资金增加229万</w:t>
      </w:r>
      <w:r>
        <w:rPr>
          <w:rFonts w:hint="eastAsia" w:eastAsia="仿宋_GB2312" w:cs="仿宋_GB2312"/>
          <w:sz w:val="32"/>
          <w:szCs w:val="32"/>
          <w:lang w:eastAsia="zh-CN"/>
        </w:rPr>
        <w:t>。</w:t>
      </w:r>
    </w:p>
    <w:p w14:paraId="4E52C700">
      <w:pPr>
        <w:pStyle w:val="29"/>
        <w:spacing w:line="600" w:lineRule="exact"/>
        <w:ind w:firstLine="640"/>
        <w:jc w:val="center"/>
        <w:outlineLvl w:val="9"/>
        <w:rPr>
          <w:rFonts w:eastAsia="仿宋_GB2312" w:cs="仿宋_GB2312"/>
          <w:sz w:val="32"/>
          <w:szCs w:val="32"/>
        </w:rPr>
      </w:pPr>
      <w:r>
        <w:drawing>
          <wp:anchor distT="0" distB="0" distL="114300" distR="114300" simplePos="0" relativeHeight="251660288" behindDoc="0" locked="0" layoutInCell="1" allowOverlap="1">
            <wp:simplePos x="0" y="0"/>
            <wp:positionH relativeFrom="column">
              <wp:posOffset>258445</wp:posOffset>
            </wp:positionH>
            <wp:positionV relativeFrom="paragraph">
              <wp:posOffset>316230</wp:posOffset>
            </wp:positionV>
            <wp:extent cx="5012055" cy="2753360"/>
            <wp:effectExtent l="4445" t="4445" r="12700" b="10795"/>
            <wp:wrapSquare wrapText="bothSides"/>
            <wp:docPr id="3"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eastAsia="仿宋_GB2312" w:cs="仿宋_GB2312"/>
          <w:sz w:val="32"/>
          <w:szCs w:val="32"/>
        </w:rPr>
        <w:t>（图1：收入、支出决算总计变动情况图）（柱状图）</w:t>
      </w:r>
    </w:p>
    <w:p w14:paraId="07592078">
      <w:pPr>
        <w:pStyle w:val="29"/>
        <w:spacing w:line="600" w:lineRule="exact"/>
        <w:ind w:firstLine="640" w:firstLineChars="200"/>
        <w:outlineLvl w:val="0"/>
        <w:rPr>
          <w:rFonts w:eastAsia="黑体"/>
          <w:sz w:val="32"/>
          <w:szCs w:val="32"/>
        </w:rPr>
      </w:pPr>
      <w:bookmarkStart w:id="25" w:name="_Toc15396604"/>
      <w:bookmarkStart w:id="26" w:name="_Toc15377206"/>
      <w:bookmarkStart w:id="27" w:name="_Toc27462"/>
      <w:r>
        <w:rPr>
          <w:rFonts w:hint="eastAsia" w:eastAsia="黑体"/>
          <w:sz w:val="32"/>
          <w:szCs w:val="32"/>
        </w:rPr>
        <w:t>二、收入决算情况说明</w:t>
      </w:r>
      <w:bookmarkEnd w:id="25"/>
      <w:bookmarkEnd w:id="26"/>
      <w:bookmarkEnd w:id="27"/>
    </w:p>
    <w:p w14:paraId="00EAB0F8">
      <w:pPr>
        <w:pStyle w:val="29"/>
        <w:spacing w:line="600" w:lineRule="exact"/>
        <w:ind w:firstLine="640"/>
        <w:jc w:val="left"/>
        <w:outlineLvl w:val="9"/>
        <w:rPr>
          <w:rFonts w:eastAsia="仿宋_GB2312" w:cs="仿宋_GB2312"/>
          <w:b/>
          <w:bCs/>
          <w:sz w:val="32"/>
          <w:szCs w:val="32"/>
        </w:rPr>
      </w:pPr>
      <w:r>
        <w:rPr>
          <w:rFonts w:hint="eastAsia" w:ascii="仿宋_GB2312" w:hAnsi="仿宋_GB2312" w:eastAsia="仿宋_GB2312" w:cs="仿宋_GB2312"/>
          <w:sz w:val="32"/>
          <w:szCs w:val="32"/>
        </w:rPr>
        <w:t>2024年度本年收入合计3986.36万元，其中：一般公共预算财政拨款收入3959.85万元，占99.3%；事业收入26.51万元，占0.</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w:t>
      </w:r>
    </w:p>
    <w:p w14:paraId="47DA684E">
      <w:pPr>
        <w:ind w:firstLine="525" w:firstLineChars="250"/>
        <w:jc w:val="center"/>
        <w:rPr>
          <w:rFonts w:eastAsia="仿宋_GB2312" w:cs="仿宋_GB2312"/>
          <w:sz w:val="32"/>
          <w:szCs w:val="32"/>
        </w:rPr>
      </w:pPr>
      <w:r>
        <w:drawing>
          <wp:inline distT="0" distB="0" distL="114300" distR="114300">
            <wp:extent cx="5273675" cy="2635250"/>
            <wp:effectExtent l="4445" t="4445" r="5080" b="14605"/>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r>
        <w:rPr>
          <w:rFonts w:hint="eastAsia" w:eastAsia="仿宋_GB2312" w:cs="仿宋_GB2312"/>
          <w:sz w:val="32"/>
          <w:szCs w:val="32"/>
        </w:rPr>
        <w:t>（图2：收入决算结构图）</w:t>
      </w:r>
    </w:p>
    <w:p w14:paraId="7D954DA0">
      <w:pPr>
        <w:pStyle w:val="29"/>
        <w:spacing w:line="600" w:lineRule="exact"/>
        <w:ind w:firstLine="640" w:firstLineChars="200"/>
        <w:outlineLvl w:val="0"/>
        <w:rPr>
          <w:rStyle w:val="31"/>
          <w:rFonts w:ascii="Times New Roman" w:hAnsi="Times New Roman" w:eastAsia="黑体"/>
          <w:b w:val="0"/>
        </w:rPr>
      </w:pPr>
      <w:bookmarkStart w:id="28" w:name="_Toc15377207"/>
      <w:bookmarkStart w:id="29" w:name="_Toc15396605"/>
      <w:bookmarkStart w:id="30" w:name="_Toc29470"/>
      <w:r>
        <w:rPr>
          <w:rFonts w:hint="eastAsia" w:eastAsia="黑体"/>
          <w:sz w:val="32"/>
          <w:szCs w:val="32"/>
        </w:rPr>
        <w:t>三、支</w:t>
      </w:r>
      <w:r>
        <w:rPr>
          <w:rStyle w:val="31"/>
          <w:rFonts w:hint="eastAsia" w:ascii="Times New Roman" w:hAnsi="Times New Roman" w:eastAsia="黑体"/>
          <w:b w:val="0"/>
        </w:rPr>
        <w:t>出决算情况说明</w:t>
      </w:r>
      <w:bookmarkEnd w:id="28"/>
      <w:bookmarkEnd w:id="29"/>
      <w:bookmarkEnd w:id="30"/>
    </w:p>
    <w:p w14:paraId="5ADEC559">
      <w:pPr>
        <w:pStyle w:val="29"/>
        <w:spacing w:line="600" w:lineRule="exact"/>
        <w:ind w:firstLine="640"/>
        <w:jc w:val="left"/>
        <w:outlineLvl w:val="9"/>
        <w:rPr>
          <w:rFonts w:eastAsia="仿宋_GB2312" w:cs="仿宋_GB2312"/>
          <w:sz w:val="32"/>
          <w:szCs w:val="32"/>
        </w:rPr>
      </w:pPr>
      <w:r>
        <w:rPr>
          <w:rFonts w:hint="eastAsia" w:ascii="仿宋_GB2312" w:hAnsi="仿宋_GB2312" w:eastAsia="仿宋_GB2312" w:cs="仿宋_GB2312"/>
          <w:sz w:val="32"/>
          <w:szCs w:val="32"/>
        </w:rPr>
        <w:t>2024年度本年支出合计3986.36万元，其中：基本支出2913.16万元，占</w:t>
      </w:r>
      <w:r>
        <w:rPr>
          <w:rFonts w:hint="eastAsia" w:ascii="仿宋_GB2312" w:hAnsi="仿宋_GB2312" w:eastAsia="仿宋_GB2312" w:cs="仿宋_GB2312"/>
          <w:sz w:val="32"/>
          <w:szCs w:val="32"/>
          <w:lang w:val="en-US" w:eastAsia="zh-CN"/>
        </w:rPr>
        <w:t>73.1</w:t>
      </w:r>
      <w:r>
        <w:rPr>
          <w:rFonts w:hint="eastAsia" w:ascii="仿宋_GB2312" w:hAnsi="仿宋_GB2312" w:eastAsia="仿宋_GB2312" w:cs="仿宋_GB2312"/>
          <w:sz w:val="32"/>
          <w:szCs w:val="32"/>
        </w:rPr>
        <w:t>%；项目支出1073.2万元，占</w:t>
      </w:r>
      <w:r>
        <w:rPr>
          <w:rFonts w:hint="eastAsia" w:ascii="仿宋_GB2312" w:hAnsi="仿宋_GB2312" w:eastAsia="仿宋_GB2312" w:cs="仿宋_GB2312"/>
          <w:sz w:val="32"/>
          <w:szCs w:val="32"/>
          <w:lang w:val="en-US" w:eastAsia="zh-CN"/>
        </w:rPr>
        <w:t>26.9</w:t>
      </w:r>
      <w:r>
        <w:rPr>
          <w:rFonts w:hint="eastAsia" w:ascii="仿宋_GB2312" w:hAnsi="仿宋_GB2312" w:eastAsia="仿宋_GB2312" w:cs="仿宋_GB2312"/>
          <w:sz w:val="32"/>
          <w:szCs w:val="32"/>
        </w:rPr>
        <w:t>%。</w:t>
      </w:r>
    </w:p>
    <w:p w14:paraId="3A624E2F">
      <w:pPr>
        <w:ind w:firstLine="525" w:firstLineChars="250"/>
        <w:jc w:val="center"/>
        <w:rPr>
          <w:rFonts w:hint="eastAsia" w:eastAsia="仿宋_GB2312" w:cs="仿宋_GB2312"/>
          <w:sz w:val="32"/>
          <w:szCs w:val="32"/>
        </w:rPr>
      </w:pPr>
      <w:r>
        <w:drawing>
          <wp:inline distT="0" distB="0" distL="114300" distR="114300">
            <wp:extent cx="4756150" cy="2667000"/>
            <wp:effectExtent l="4445" t="5080" r="14605" b="7620"/>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49F604B">
      <w:pPr>
        <w:ind w:firstLine="800" w:firstLineChars="250"/>
        <w:jc w:val="center"/>
        <w:rPr>
          <w:rFonts w:eastAsia="仿宋_GB2312" w:cs="仿宋_GB2312"/>
          <w:sz w:val="32"/>
          <w:szCs w:val="32"/>
        </w:rPr>
      </w:pPr>
      <w:r>
        <w:rPr>
          <w:rFonts w:hint="eastAsia" w:eastAsia="仿宋_GB2312" w:cs="仿宋_GB2312"/>
          <w:sz w:val="32"/>
          <w:szCs w:val="32"/>
        </w:rPr>
        <w:t>（图3：支出决算结构图）</w:t>
      </w:r>
    </w:p>
    <w:p w14:paraId="54075097">
      <w:pPr>
        <w:spacing w:line="600" w:lineRule="exact"/>
        <w:ind w:firstLine="640" w:firstLineChars="200"/>
        <w:outlineLvl w:val="0"/>
        <w:rPr>
          <w:rStyle w:val="31"/>
          <w:rFonts w:ascii="Times New Roman" w:hAnsi="Times New Roman" w:eastAsia="黑体"/>
          <w:b w:val="0"/>
        </w:rPr>
      </w:pPr>
      <w:bookmarkStart w:id="31" w:name="_Toc15396606"/>
      <w:bookmarkStart w:id="32" w:name="_Toc15377208"/>
      <w:bookmarkStart w:id="33" w:name="_Toc15561"/>
      <w:r>
        <w:rPr>
          <w:rFonts w:hint="eastAsia" w:eastAsia="黑体"/>
          <w:sz w:val="32"/>
          <w:szCs w:val="32"/>
        </w:rPr>
        <w:t>四、财</w:t>
      </w:r>
      <w:r>
        <w:rPr>
          <w:rStyle w:val="31"/>
          <w:rFonts w:hint="eastAsia" w:ascii="Times New Roman" w:hAnsi="Times New Roman" w:eastAsia="黑体"/>
          <w:b w:val="0"/>
        </w:rPr>
        <w:t>政拨款收入支出决算总体情况说明</w:t>
      </w:r>
      <w:bookmarkEnd w:id="31"/>
      <w:bookmarkEnd w:id="32"/>
      <w:bookmarkEnd w:id="33"/>
    </w:p>
    <w:p w14:paraId="128B05D7">
      <w:pPr>
        <w:spacing w:line="600" w:lineRule="exact"/>
        <w:ind w:firstLine="640"/>
        <w:rPr>
          <w:rFonts w:hint="eastAsia"/>
          <w:lang w:val="en-US" w:eastAsia="zh-CN"/>
        </w:rPr>
      </w:pPr>
      <w:r>
        <w:rPr>
          <w:rFonts w:hint="eastAsia" w:eastAsia="仿宋_GB2312" w:cs="仿宋_GB2312"/>
          <w:sz w:val="32"/>
          <w:szCs w:val="32"/>
        </w:rPr>
        <w:t>2024年度财政拨款收入、支出总计均为</w:t>
      </w:r>
      <w:r>
        <w:rPr>
          <w:rFonts w:hint="eastAsia" w:ascii="仿宋_GB2312" w:hAnsi="仿宋_GB2312" w:eastAsia="仿宋_GB2312" w:cs="仿宋_GB2312"/>
          <w:sz w:val="32"/>
          <w:szCs w:val="32"/>
        </w:rPr>
        <w:t>3959.85</w:t>
      </w:r>
      <w:r>
        <w:rPr>
          <w:rFonts w:hint="eastAsia" w:eastAsia="仿宋_GB2312" w:cs="仿宋_GB2312"/>
          <w:sz w:val="32"/>
          <w:szCs w:val="32"/>
        </w:rPr>
        <w:t>万元。与2023年度相比，财政拨款收入总计、支出总计各增加</w:t>
      </w:r>
      <w:r>
        <w:rPr>
          <w:rFonts w:hint="eastAsia" w:eastAsia="仿宋_GB2312" w:cs="仿宋_GB2312"/>
          <w:sz w:val="32"/>
          <w:szCs w:val="32"/>
          <w:lang w:val="en-US" w:eastAsia="zh-CN"/>
        </w:rPr>
        <w:t>318.18</w:t>
      </w:r>
      <w:r>
        <w:rPr>
          <w:rFonts w:hint="eastAsia" w:eastAsia="仿宋_GB2312" w:cs="仿宋_GB2312"/>
          <w:sz w:val="32"/>
          <w:szCs w:val="32"/>
        </w:rPr>
        <w:t>万元，增长</w:t>
      </w:r>
      <w:r>
        <w:rPr>
          <w:rFonts w:hint="eastAsia" w:eastAsia="仿宋_GB2312" w:cs="仿宋_GB2312"/>
          <w:sz w:val="32"/>
          <w:szCs w:val="32"/>
          <w:lang w:val="en-US" w:eastAsia="zh-CN"/>
        </w:rPr>
        <w:t>8.7</w:t>
      </w:r>
      <w:r>
        <w:rPr>
          <w:rFonts w:hint="eastAsia" w:eastAsia="仿宋_GB2312" w:cs="仿宋_GB2312"/>
          <w:sz w:val="32"/>
          <w:szCs w:val="32"/>
        </w:rPr>
        <w:t>%。主要变动原因是“三名工程”专项资金增加229万</w:t>
      </w:r>
      <w:r>
        <w:rPr>
          <w:rFonts w:hint="eastAsia" w:eastAsia="仿宋_GB2312" w:cs="仿宋_GB2312"/>
          <w:sz w:val="32"/>
          <w:szCs w:val="32"/>
          <w:lang w:eastAsia="zh-CN"/>
        </w:rPr>
        <w:t>。</w:t>
      </w:r>
    </w:p>
    <w:p w14:paraId="5562EED1">
      <w:pPr>
        <w:spacing w:line="600" w:lineRule="exact"/>
        <w:ind w:firstLine="420" w:firstLineChars="200"/>
        <w:rPr>
          <w:rFonts w:hint="eastAsia" w:eastAsia="仿宋_GB2312" w:cs="仿宋_GB2312"/>
          <w:sz w:val="32"/>
          <w:szCs w:val="32"/>
        </w:rPr>
      </w:pPr>
      <w:r>
        <w:drawing>
          <wp:anchor distT="0" distB="0" distL="114300" distR="114300" simplePos="0" relativeHeight="251661312" behindDoc="0" locked="0" layoutInCell="1" allowOverlap="1">
            <wp:simplePos x="0" y="0"/>
            <wp:positionH relativeFrom="column">
              <wp:posOffset>423545</wp:posOffset>
            </wp:positionH>
            <wp:positionV relativeFrom="paragraph">
              <wp:posOffset>220345</wp:posOffset>
            </wp:positionV>
            <wp:extent cx="4653915" cy="2667000"/>
            <wp:effectExtent l="4445" t="4445" r="15240" b="8255"/>
            <wp:wrapSquare wrapText="bothSides"/>
            <wp:docPr id="6"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40D36788">
      <w:pPr>
        <w:spacing w:line="600" w:lineRule="exact"/>
        <w:ind w:firstLine="640" w:firstLineChars="200"/>
        <w:rPr>
          <w:rFonts w:hint="eastAsia" w:eastAsia="仿宋_GB2312" w:cs="仿宋_GB2312"/>
          <w:sz w:val="32"/>
          <w:szCs w:val="32"/>
        </w:rPr>
      </w:pPr>
    </w:p>
    <w:p w14:paraId="7E104019">
      <w:pPr>
        <w:spacing w:line="600" w:lineRule="exact"/>
        <w:ind w:firstLine="640" w:firstLineChars="200"/>
        <w:rPr>
          <w:rFonts w:hint="eastAsia" w:eastAsia="仿宋_GB2312" w:cs="仿宋_GB2312"/>
          <w:sz w:val="32"/>
          <w:szCs w:val="32"/>
        </w:rPr>
      </w:pPr>
    </w:p>
    <w:p w14:paraId="0CDEDF65">
      <w:pPr>
        <w:spacing w:line="600" w:lineRule="exact"/>
        <w:ind w:firstLine="640" w:firstLineChars="200"/>
        <w:rPr>
          <w:rFonts w:hint="eastAsia" w:eastAsia="仿宋_GB2312" w:cs="仿宋_GB2312"/>
          <w:sz w:val="32"/>
          <w:szCs w:val="32"/>
        </w:rPr>
      </w:pPr>
    </w:p>
    <w:p w14:paraId="7857B0BE">
      <w:pPr>
        <w:spacing w:line="600" w:lineRule="exact"/>
        <w:ind w:firstLine="640" w:firstLineChars="200"/>
        <w:rPr>
          <w:rFonts w:hint="eastAsia" w:eastAsia="仿宋_GB2312" w:cs="仿宋_GB2312"/>
          <w:sz w:val="32"/>
          <w:szCs w:val="32"/>
        </w:rPr>
      </w:pPr>
    </w:p>
    <w:p w14:paraId="75996C7D">
      <w:pPr>
        <w:spacing w:line="600" w:lineRule="exact"/>
        <w:ind w:firstLine="640" w:firstLineChars="200"/>
        <w:rPr>
          <w:rFonts w:hint="eastAsia" w:eastAsia="仿宋_GB2312" w:cs="仿宋_GB2312"/>
          <w:sz w:val="32"/>
          <w:szCs w:val="32"/>
        </w:rPr>
      </w:pPr>
    </w:p>
    <w:p w14:paraId="1756ADA2">
      <w:pPr>
        <w:spacing w:line="600" w:lineRule="exact"/>
        <w:ind w:firstLine="640" w:firstLineChars="200"/>
        <w:rPr>
          <w:rFonts w:hint="eastAsia" w:eastAsia="仿宋_GB2312" w:cs="仿宋_GB2312"/>
          <w:sz w:val="32"/>
          <w:szCs w:val="32"/>
        </w:rPr>
      </w:pPr>
    </w:p>
    <w:p w14:paraId="2E8761A6">
      <w:pPr>
        <w:spacing w:line="600" w:lineRule="exact"/>
        <w:ind w:firstLine="640" w:firstLineChars="200"/>
        <w:rPr>
          <w:rFonts w:hint="eastAsia" w:eastAsia="仿宋_GB2312" w:cs="仿宋_GB2312"/>
          <w:sz w:val="32"/>
          <w:szCs w:val="32"/>
        </w:rPr>
      </w:pPr>
    </w:p>
    <w:p w14:paraId="5840B9D9">
      <w:pPr>
        <w:spacing w:line="600" w:lineRule="exact"/>
        <w:ind w:firstLine="640" w:firstLineChars="200"/>
        <w:jc w:val="center"/>
        <w:rPr>
          <w:rFonts w:eastAsia="仿宋_GB2312" w:cs="仿宋_GB2312"/>
          <w:sz w:val="32"/>
          <w:szCs w:val="32"/>
        </w:rPr>
      </w:pPr>
      <w:r>
        <w:rPr>
          <w:rFonts w:hint="eastAsia" w:eastAsia="仿宋_GB2312" w:cs="仿宋_GB2312"/>
          <w:sz w:val="32"/>
          <w:szCs w:val="32"/>
        </w:rPr>
        <w:t>（图4：财政拨款收、支决算总计变动情况）</w:t>
      </w:r>
    </w:p>
    <w:p w14:paraId="588454DC">
      <w:pPr>
        <w:spacing w:line="600" w:lineRule="exact"/>
        <w:ind w:firstLine="640" w:firstLineChars="200"/>
        <w:outlineLvl w:val="0"/>
        <w:rPr>
          <w:rStyle w:val="31"/>
          <w:rFonts w:ascii="Times New Roman" w:hAnsi="Times New Roman" w:eastAsia="黑体"/>
          <w:b w:val="0"/>
        </w:rPr>
      </w:pPr>
      <w:bookmarkStart w:id="34" w:name="_Toc15377209"/>
      <w:bookmarkStart w:id="35" w:name="_Toc15396607"/>
      <w:bookmarkStart w:id="36" w:name="_Toc3746"/>
      <w:r>
        <w:rPr>
          <w:rFonts w:hint="eastAsia" w:eastAsia="黑体"/>
          <w:sz w:val="32"/>
          <w:szCs w:val="32"/>
        </w:rPr>
        <w:t>五、</w:t>
      </w:r>
      <w:r>
        <w:rPr>
          <w:rFonts w:hint="eastAsia" w:eastAsia="黑体"/>
          <w:b/>
          <w:sz w:val="32"/>
          <w:szCs w:val="32"/>
        </w:rPr>
        <w:t>一</w:t>
      </w:r>
      <w:r>
        <w:rPr>
          <w:rStyle w:val="31"/>
          <w:rFonts w:hint="eastAsia" w:ascii="Times New Roman" w:hAnsi="Times New Roman" w:eastAsia="黑体"/>
          <w:b w:val="0"/>
        </w:rPr>
        <w:t>般公共预算财政拨款支出决算情况说明</w:t>
      </w:r>
      <w:bookmarkEnd w:id="34"/>
      <w:bookmarkEnd w:id="35"/>
      <w:bookmarkEnd w:id="36"/>
    </w:p>
    <w:p w14:paraId="1F541FFE">
      <w:pPr>
        <w:spacing w:line="600" w:lineRule="exact"/>
        <w:ind w:firstLine="643" w:firstLineChars="200"/>
        <w:outlineLvl w:val="9"/>
        <w:rPr>
          <w:rFonts w:eastAsia="楷体_GB2312" w:cs="楷体_GB2312"/>
          <w:b/>
          <w:sz w:val="32"/>
          <w:szCs w:val="32"/>
        </w:rPr>
      </w:pPr>
      <w:bookmarkStart w:id="37" w:name="_Toc15377210"/>
      <w:r>
        <w:rPr>
          <w:rFonts w:hint="eastAsia" w:eastAsia="楷体_GB2312" w:cs="楷体_GB2312"/>
          <w:b/>
          <w:sz w:val="32"/>
          <w:szCs w:val="32"/>
        </w:rPr>
        <w:t>（一）一般公共预算财政拨款支出决算总体情况</w:t>
      </w:r>
      <w:bookmarkEnd w:id="37"/>
    </w:p>
    <w:p w14:paraId="16FB2FBF">
      <w:pPr>
        <w:spacing w:line="600" w:lineRule="exact"/>
        <w:ind w:firstLine="640"/>
        <w:rPr>
          <w:rFonts w:hint="eastAsia" w:ascii="仿宋_GB2312" w:hAnsi="仿宋_GB2312" w:eastAsia="仿宋_GB2312" w:cs="仿宋_GB2312"/>
          <w:sz w:val="32"/>
          <w:szCs w:val="32"/>
          <w:lang w:eastAsia="zh-CN"/>
        </w:rPr>
      </w:pPr>
      <w:r>
        <w:rPr>
          <w:rFonts w:hint="eastAsia" w:eastAsia="仿宋_GB2312" w:cs="仿宋_GB2312"/>
          <w:sz w:val="32"/>
          <w:szCs w:val="32"/>
          <w:lang w:val="en-US" w:eastAsia="zh-CN"/>
        </w:rPr>
        <w:t>2024</w:t>
      </w:r>
      <w:r>
        <w:rPr>
          <w:rFonts w:hint="eastAsia" w:ascii="仿宋_GB2312" w:hAnsi="仿宋_GB2312" w:eastAsia="仿宋_GB2312" w:cs="仿宋_GB2312"/>
          <w:sz w:val="32"/>
          <w:szCs w:val="32"/>
        </w:rPr>
        <w:t>年度一般公共预算财政拨款支出</w:t>
      </w:r>
      <w:r>
        <w:rPr>
          <w:rFonts w:hint="eastAsia" w:eastAsia="仿宋_GB2312" w:cs="仿宋_GB2312"/>
          <w:sz w:val="32"/>
          <w:szCs w:val="32"/>
          <w:lang w:val="en-US" w:eastAsia="zh-CN"/>
        </w:rPr>
        <w:t>3959.85</w:t>
      </w:r>
      <w:r>
        <w:rPr>
          <w:rFonts w:hint="eastAsia" w:ascii="仿宋_GB2312" w:hAnsi="仿宋_GB2312" w:eastAsia="仿宋_GB2312" w:cs="仿宋_GB2312"/>
          <w:sz w:val="32"/>
          <w:szCs w:val="32"/>
        </w:rPr>
        <w:t>万元，占本年支出合计的</w:t>
      </w:r>
      <w:r>
        <w:rPr>
          <w:rFonts w:hint="eastAsia" w:eastAsia="仿宋_GB2312" w:cs="仿宋_GB2312"/>
          <w:sz w:val="32"/>
          <w:szCs w:val="32"/>
          <w:lang w:val="en-US" w:eastAsia="zh-CN"/>
        </w:rPr>
        <w:t>99.3%</w:t>
      </w:r>
      <w:r>
        <w:rPr>
          <w:rFonts w:hint="eastAsia" w:ascii="仿宋_GB2312" w:hAnsi="仿宋_GB2312" w:eastAsia="仿宋_GB2312" w:cs="仿宋_GB2312"/>
          <w:sz w:val="32"/>
          <w:szCs w:val="32"/>
        </w:rPr>
        <w:t>。与</w:t>
      </w:r>
      <w:r>
        <w:rPr>
          <w:rFonts w:hint="eastAsia" w:eastAsia="仿宋_GB2312" w:cs="仿宋_GB2312"/>
          <w:sz w:val="32"/>
          <w:szCs w:val="32"/>
          <w:lang w:val="en-US" w:eastAsia="zh-CN"/>
        </w:rPr>
        <w:t>2023</w:t>
      </w:r>
      <w:r>
        <w:rPr>
          <w:rFonts w:hint="eastAsia" w:ascii="仿宋_GB2312" w:hAnsi="仿宋_GB2312" w:eastAsia="仿宋_GB2312" w:cs="仿宋_GB2312"/>
          <w:sz w:val="32"/>
          <w:szCs w:val="32"/>
        </w:rPr>
        <w:t>年度相比，一般公共预算财政拨款支出增加</w:t>
      </w:r>
      <w:r>
        <w:rPr>
          <w:rFonts w:hint="eastAsia" w:eastAsia="仿宋_GB2312" w:cs="仿宋_GB2312"/>
          <w:sz w:val="32"/>
          <w:szCs w:val="32"/>
          <w:lang w:val="en-US" w:eastAsia="zh-CN"/>
        </w:rPr>
        <w:t>318.18</w:t>
      </w:r>
      <w:r>
        <w:rPr>
          <w:rFonts w:hint="eastAsia" w:ascii="仿宋_GB2312" w:hAnsi="仿宋_GB2312" w:eastAsia="仿宋_GB2312" w:cs="仿宋_GB2312"/>
          <w:sz w:val="32"/>
          <w:szCs w:val="32"/>
        </w:rPr>
        <w:t>万元，</w:t>
      </w:r>
      <w:r>
        <w:rPr>
          <w:rFonts w:hint="eastAsia" w:eastAsia="仿宋_GB2312" w:cs="仿宋_GB2312"/>
          <w:sz w:val="32"/>
          <w:szCs w:val="32"/>
          <w:lang w:val="en-US" w:eastAsia="zh-CN"/>
        </w:rPr>
        <w:t>增长8.7</w:t>
      </w:r>
      <w:r>
        <w:rPr>
          <w:rFonts w:hint="eastAsia" w:eastAsia="仿宋_GB2312" w:cs="仿宋_GB2312"/>
          <w:sz w:val="32"/>
          <w:szCs w:val="32"/>
        </w:rPr>
        <w:t>%</w:t>
      </w:r>
      <w:r>
        <w:rPr>
          <w:rFonts w:hint="eastAsia" w:ascii="仿宋_GB2312" w:hAnsi="仿宋_GB2312" w:eastAsia="仿宋_GB2312" w:cs="仿宋_GB2312"/>
          <w:sz w:val="32"/>
          <w:szCs w:val="32"/>
        </w:rPr>
        <w:t>。主要变动原因是“三名工程”专项资金增加229万</w:t>
      </w:r>
      <w:r>
        <w:rPr>
          <w:rFonts w:hint="eastAsia" w:ascii="仿宋_GB2312" w:hAnsi="仿宋_GB2312" w:eastAsia="仿宋_GB2312" w:cs="仿宋_GB2312"/>
          <w:sz w:val="32"/>
          <w:szCs w:val="32"/>
          <w:lang w:eastAsia="zh-CN"/>
        </w:rPr>
        <w:t>。</w:t>
      </w:r>
    </w:p>
    <w:p w14:paraId="6DAB8112">
      <w:pPr>
        <w:pStyle w:val="8"/>
        <w:jc w:val="center"/>
        <w:rPr>
          <w:rFonts w:hint="eastAsia" w:ascii="仿宋_GB2312" w:hAnsi="仿宋_GB2312" w:eastAsia="仿宋_GB2312" w:cs="仿宋_GB2312"/>
          <w:sz w:val="32"/>
          <w:szCs w:val="32"/>
          <w:lang w:val="en-US" w:eastAsia="zh-CN"/>
        </w:rPr>
      </w:pPr>
      <w:r>
        <w:drawing>
          <wp:inline distT="0" distB="0" distL="114300" distR="114300">
            <wp:extent cx="4162425" cy="2844800"/>
            <wp:effectExtent l="4445" t="4445" r="11430" b="8255"/>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5886741">
      <w:pPr>
        <w:spacing w:line="600" w:lineRule="exact"/>
        <w:ind w:firstLine="640"/>
        <w:jc w:val="center"/>
        <w:rPr>
          <w:rFonts w:eastAsia="仿宋_GB2312" w:cs="仿宋_GB2312"/>
          <w:sz w:val="32"/>
          <w:szCs w:val="32"/>
        </w:rPr>
      </w:pPr>
      <w:r>
        <w:rPr>
          <w:rFonts w:hint="eastAsia" w:eastAsia="仿宋_GB2312" w:cs="仿宋_GB2312"/>
          <w:sz w:val="32"/>
          <w:szCs w:val="32"/>
        </w:rPr>
        <w:t>（图5：一般公共预算财政拨款支出决算变动情况）</w:t>
      </w:r>
    </w:p>
    <w:p w14:paraId="69AEC7DB">
      <w:pPr>
        <w:spacing w:line="600" w:lineRule="exact"/>
        <w:ind w:firstLine="643" w:firstLineChars="200"/>
        <w:outlineLvl w:val="9"/>
        <w:rPr>
          <w:rFonts w:eastAsia="楷体_GB2312" w:cs="楷体_GB2312"/>
          <w:b/>
          <w:sz w:val="32"/>
          <w:szCs w:val="32"/>
        </w:rPr>
      </w:pPr>
      <w:bookmarkStart w:id="38" w:name="_Toc15377211"/>
      <w:r>
        <w:rPr>
          <w:rFonts w:hint="eastAsia" w:eastAsia="楷体_GB2312" w:cs="楷体_GB2312"/>
          <w:b/>
          <w:sz w:val="32"/>
          <w:szCs w:val="32"/>
        </w:rPr>
        <w:t>（二）一般公共预算财政拨款支出决算结构情况</w:t>
      </w:r>
      <w:bookmarkEnd w:id="38"/>
    </w:p>
    <w:p w14:paraId="4F68F9B5">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2024年度一般公共预算财政拨款支出</w:t>
      </w:r>
      <w:r>
        <w:rPr>
          <w:rFonts w:hint="eastAsia" w:eastAsia="仿宋_GB2312" w:cs="仿宋_GB2312"/>
          <w:sz w:val="32"/>
          <w:szCs w:val="32"/>
          <w:lang w:val="en-US" w:eastAsia="zh-CN"/>
        </w:rPr>
        <w:t>3959.85</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，主要用于以下方面：教育支出</w:t>
      </w:r>
      <w:r>
        <w:rPr>
          <w:rFonts w:hint="eastAsia" w:eastAsia="仿宋_GB2312" w:cs="仿宋_GB2312"/>
          <w:sz w:val="32"/>
          <w:szCs w:val="32"/>
          <w:lang w:val="en-US" w:eastAsia="zh-CN"/>
        </w:rPr>
        <w:t>3312.3</w:t>
      </w:r>
      <w:r>
        <w:rPr>
          <w:rFonts w:hint="eastAsia" w:eastAsia="仿宋_GB2312" w:cs="仿宋_GB2312"/>
          <w:sz w:val="32"/>
          <w:szCs w:val="32"/>
        </w:rPr>
        <w:t>万元，占83.</w:t>
      </w:r>
      <w:r>
        <w:rPr>
          <w:rFonts w:hint="eastAsia" w:eastAsia="仿宋_GB2312" w:cs="仿宋_GB2312"/>
          <w:sz w:val="32"/>
          <w:szCs w:val="32"/>
          <w:lang w:val="en-US" w:eastAsia="zh-CN"/>
        </w:rPr>
        <w:t>7</w:t>
      </w:r>
      <w:r>
        <w:rPr>
          <w:rFonts w:hint="eastAsia" w:eastAsia="仿宋_GB2312" w:cs="仿宋_GB2312"/>
          <w:sz w:val="32"/>
          <w:szCs w:val="32"/>
        </w:rPr>
        <w:t>%；社会保障和就业支出</w:t>
      </w:r>
      <w:r>
        <w:rPr>
          <w:rFonts w:hint="eastAsia" w:eastAsia="仿宋_GB2312" w:cs="仿宋_GB2312"/>
          <w:sz w:val="32"/>
          <w:szCs w:val="32"/>
          <w:lang w:val="en-US" w:eastAsia="zh-CN"/>
        </w:rPr>
        <w:t>321.66</w:t>
      </w:r>
      <w:r>
        <w:rPr>
          <w:rFonts w:hint="eastAsia" w:eastAsia="仿宋_GB2312" w:cs="仿宋_GB2312"/>
          <w:sz w:val="32"/>
          <w:szCs w:val="32"/>
        </w:rPr>
        <w:t>万元，占8.1%；卫生健康支出</w:t>
      </w:r>
      <w:r>
        <w:rPr>
          <w:rFonts w:hint="eastAsia" w:eastAsia="仿宋_GB2312" w:cs="仿宋_GB2312"/>
          <w:sz w:val="32"/>
          <w:szCs w:val="32"/>
          <w:lang w:val="en-US" w:eastAsia="zh-CN"/>
        </w:rPr>
        <w:t>150.13</w:t>
      </w:r>
      <w:r>
        <w:rPr>
          <w:rFonts w:hint="eastAsia" w:eastAsia="仿宋_GB2312" w:cs="仿宋_GB2312"/>
          <w:sz w:val="32"/>
          <w:szCs w:val="32"/>
        </w:rPr>
        <w:t>万元，占3.</w:t>
      </w:r>
      <w:r>
        <w:rPr>
          <w:rFonts w:hint="eastAsia" w:eastAsia="仿宋_GB2312" w:cs="仿宋_GB2312"/>
          <w:sz w:val="32"/>
          <w:szCs w:val="32"/>
          <w:lang w:val="en-US" w:eastAsia="zh-CN"/>
        </w:rPr>
        <w:t>8</w:t>
      </w:r>
      <w:r>
        <w:rPr>
          <w:rFonts w:hint="eastAsia" w:eastAsia="仿宋_GB2312" w:cs="仿宋_GB2312"/>
          <w:sz w:val="32"/>
          <w:szCs w:val="32"/>
        </w:rPr>
        <w:t>%；住房保障支出</w:t>
      </w:r>
      <w:r>
        <w:rPr>
          <w:rFonts w:hint="eastAsia" w:eastAsia="仿宋_GB2312" w:cs="仿宋_GB2312"/>
          <w:sz w:val="32"/>
          <w:szCs w:val="32"/>
          <w:lang w:val="en-US" w:eastAsia="zh-CN"/>
        </w:rPr>
        <w:t>175.76</w:t>
      </w:r>
      <w:r>
        <w:rPr>
          <w:rFonts w:hint="eastAsia" w:eastAsia="仿宋_GB2312" w:cs="仿宋_GB2312"/>
          <w:sz w:val="32"/>
          <w:szCs w:val="32"/>
        </w:rPr>
        <w:t>万元，占4.</w:t>
      </w:r>
      <w:r>
        <w:rPr>
          <w:rFonts w:hint="eastAsia" w:eastAsia="仿宋_GB2312" w:cs="仿宋_GB2312"/>
          <w:sz w:val="32"/>
          <w:szCs w:val="32"/>
          <w:lang w:val="en-US" w:eastAsia="zh-CN"/>
        </w:rPr>
        <w:t>4</w:t>
      </w:r>
      <w:r>
        <w:rPr>
          <w:rFonts w:hint="eastAsia" w:eastAsia="仿宋_GB2312" w:cs="仿宋_GB2312"/>
          <w:sz w:val="32"/>
          <w:szCs w:val="32"/>
        </w:rPr>
        <w:t>%</w:t>
      </w:r>
      <w:r>
        <w:rPr>
          <w:rFonts w:hint="eastAsia" w:eastAsia="仿宋_GB2312" w:cs="仿宋_GB2312"/>
          <w:sz w:val="32"/>
          <w:szCs w:val="32"/>
          <w:lang w:eastAsia="zh-CN"/>
        </w:rPr>
        <w:t>。</w:t>
      </w:r>
    </w:p>
    <w:p w14:paraId="42067CA7">
      <w:pPr>
        <w:pStyle w:val="14"/>
        <w:jc w:val="center"/>
        <w:rPr>
          <w:rFonts w:hint="eastAsia" w:eastAsia="仿宋_GB2312" w:cs="仿宋_GB2312"/>
          <w:sz w:val="32"/>
          <w:szCs w:val="32"/>
          <w:lang w:eastAsia="zh-CN"/>
        </w:rPr>
      </w:pPr>
      <w:r>
        <w:drawing>
          <wp:inline distT="0" distB="0" distL="114300" distR="114300">
            <wp:extent cx="4824095" cy="2311400"/>
            <wp:effectExtent l="4445" t="5080" r="10160" b="7620"/>
            <wp:docPr id="9"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213ACD41">
      <w:pPr>
        <w:spacing w:line="600" w:lineRule="exact"/>
        <w:ind w:firstLine="640"/>
        <w:jc w:val="center"/>
        <w:rPr>
          <w:rFonts w:eastAsia="仿宋_GB2312" w:cs="仿宋_GB2312"/>
          <w:sz w:val="32"/>
          <w:szCs w:val="32"/>
        </w:rPr>
      </w:pPr>
      <w:r>
        <w:rPr>
          <w:rFonts w:hint="eastAsia" w:eastAsia="仿宋_GB2312" w:cs="仿宋_GB2312"/>
          <w:sz w:val="32"/>
          <w:szCs w:val="32"/>
        </w:rPr>
        <w:t>（图6：一般公共预算财政拨款支出决算结构）</w:t>
      </w:r>
    </w:p>
    <w:p w14:paraId="2933DF04">
      <w:pPr>
        <w:spacing w:line="600" w:lineRule="exact"/>
        <w:ind w:firstLine="643" w:firstLineChars="200"/>
        <w:outlineLvl w:val="9"/>
        <w:rPr>
          <w:rFonts w:eastAsia="楷体_GB2312" w:cs="楷体_GB2312"/>
          <w:b/>
          <w:sz w:val="32"/>
          <w:szCs w:val="32"/>
        </w:rPr>
      </w:pPr>
      <w:bookmarkStart w:id="39" w:name="_Toc15377212"/>
      <w:r>
        <w:rPr>
          <w:rFonts w:hint="eastAsia" w:eastAsia="楷体_GB2312" w:cs="楷体_GB2312"/>
          <w:b/>
          <w:sz w:val="32"/>
          <w:szCs w:val="32"/>
        </w:rPr>
        <w:t>（三）一般公共预算财政拨款支出决算具体情况</w:t>
      </w:r>
      <w:bookmarkEnd w:id="39"/>
    </w:p>
    <w:p w14:paraId="0C547C3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eastAsia="仿宋_GB2312" w:cs="仿宋_GB2312"/>
          <w:sz w:val="32"/>
          <w:szCs w:val="32"/>
        </w:rPr>
      </w:pPr>
      <w:bookmarkStart w:id="40" w:name="_Toc15378460"/>
      <w:bookmarkStart w:id="41" w:name="_Toc15377444"/>
      <w:bookmarkStart w:id="42" w:name="_Toc15377213"/>
      <w:r>
        <w:rPr>
          <w:rFonts w:hint="eastAsia" w:eastAsia="仿宋_GB2312" w:cs="仿宋_GB2312"/>
          <w:sz w:val="32"/>
          <w:szCs w:val="32"/>
        </w:rPr>
        <w:t>2024年度一般公共预算财政拨款支出决算数为</w:t>
      </w:r>
      <w:r>
        <w:rPr>
          <w:rFonts w:hint="eastAsia" w:ascii="仿宋_GB2312" w:hAnsi="仿宋_GB2312" w:eastAsia="仿宋_GB2312" w:cs="仿宋_GB2312"/>
          <w:sz w:val="32"/>
          <w:szCs w:val="32"/>
          <w:lang w:val="en-US" w:eastAsia="zh-CN"/>
        </w:rPr>
        <w:t>3959.85</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40"/>
      <w:bookmarkEnd w:id="41"/>
      <w:bookmarkEnd w:id="42"/>
    </w:p>
    <w:p w14:paraId="5084D60C">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教育支出（类）职业教育（款）中等职业教育（项）:支出决算为3302.3万元，完成预算100%，决算数与预算数持平。</w:t>
      </w:r>
    </w:p>
    <w:p w14:paraId="3E6CFB05">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教育支出（类）职业教育（款）</w:t>
      </w:r>
      <w:r>
        <w:rPr>
          <w:rFonts w:hint="eastAsia" w:eastAsia="仿宋_GB2312" w:cs="仿宋_GB2312"/>
          <w:sz w:val="32"/>
          <w:szCs w:val="32"/>
          <w:lang w:val="en-US" w:eastAsia="zh-CN"/>
        </w:rPr>
        <w:t>其他教育支出</w:t>
      </w:r>
      <w:r>
        <w:rPr>
          <w:rFonts w:hint="eastAsia" w:eastAsia="仿宋_GB2312" w:cs="仿宋_GB2312"/>
          <w:sz w:val="32"/>
          <w:szCs w:val="32"/>
        </w:rPr>
        <w:t>（项）:支出决算为10万元，完成预算100%，决算数与预算数持平。</w:t>
      </w:r>
    </w:p>
    <w:p w14:paraId="46AB094E">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社会保障和就业支出（类）行政事业单位养老支出（款）机关事业单位基本养老保险缴费支出（项）:支出决算为216.27万元，完成预算100%，决算数与预算数持平。</w:t>
      </w:r>
    </w:p>
    <w:p w14:paraId="2B44C64D">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社会保障和就业支出（类）行政事业单位养老支出（款）机关事业单位职业年金缴费支出（项）:支出决算为105.39万元，完成预算100%，决算数与预算数持平。</w:t>
      </w:r>
    </w:p>
    <w:p w14:paraId="66D35930">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卫生健康支出（类）行政事业单位医疗（款）事业单位医疗（项）:支出决算为118.98万元，完成预算100%，决算数与预算数持平。</w:t>
      </w:r>
    </w:p>
    <w:p w14:paraId="67C31D9C">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卫生健康支出（类）行政事业单位医疗（款）其他行政事业单位医疗支出（项）:支出决算为31.16万元，完成预算100%，决算数与预算数持平。</w:t>
      </w:r>
    </w:p>
    <w:p w14:paraId="04DC6053">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住房保障支出（类）住房改革支出（款）住房公积金（项）:支出决算为172.56万元，完成预算100%，决算数与预算数持平。</w:t>
      </w:r>
    </w:p>
    <w:p w14:paraId="7F96F2B7">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住房保障支出（类）住房改革支出（款）购房补贴（项）:支出决算为3.2万元，完成预算100%，决算数与预算数持平。</w:t>
      </w:r>
    </w:p>
    <w:p w14:paraId="09FFB682">
      <w:pPr>
        <w:tabs>
          <w:tab w:val="right" w:pos="8306"/>
        </w:tabs>
        <w:spacing w:line="600" w:lineRule="exact"/>
        <w:ind w:firstLine="640" w:firstLineChars="0"/>
        <w:outlineLvl w:val="0"/>
        <w:rPr>
          <w:rStyle w:val="31"/>
          <w:rFonts w:ascii="Times New Roman" w:hAnsi="Times New Roman"/>
        </w:rPr>
      </w:pPr>
      <w:bookmarkStart w:id="43" w:name="_Toc15396608"/>
      <w:bookmarkStart w:id="44" w:name="_Toc15377214"/>
      <w:bookmarkStart w:id="45" w:name="_Toc21817"/>
      <w:r>
        <w:rPr>
          <w:rFonts w:hint="eastAsia" w:eastAsia="黑体"/>
          <w:sz w:val="32"/>
          <w:szCs w:val="32"/>
        </w:rPr>
        <w:t>六</w:t>
      </w:r>
      <w:r>
        <w:rPr>
          <w:rFonts w:hint="eastAsia" w:eastAsia="黑体"/>
          <w:b/>
          <w:sz w:val="32"/>
          <w:szCs w:val="32"/>
        </w:rPr>
        <w:t>、一</w:t>
      </w:r>
      <w:r>
        <w:rPr>
          <w:rStyle w:val="31"/>
          <w:rFonts w:hint="eastAsia" w:ascii="Times New Roman" w:hAnsi="Times New Roman" w:eastAsia="黑体"/>
          <w:b w:val="0"/>
        </w:rPr>
        <w:t>般公共预算财政拨款基本支出决算情况说明</w:t>
      </w:r>
      <w:bookmarkEnd w:id="43"/>
      <w:bookmarkEnd w:id="44"/>
      <w:bookmarkEnd w:id="45"/>
      <w:r>
        <w:rPr>
          <w:rStyle w:val="31"/>
          <w:rFonts w:ascii="Times New Roman" w:hAnsi="Times New Roman" w:eastAsia="黑体"/>
          <w:b w:val="0"/>
        </w:rPr>
        <w:tab/>
      </w:r>
    </w:p>
    <w:p w14:paraId="7A6B2C5F">
      <w:pPr>
        <w:spacing w:line="600" w:lineRule="exact"/>
        <w:ind w:firstLine="640"/>
        <w:rPr>
          <w:rFonts w:eastAsia="仿宋_GB2312" w:cs="仿宋_GB2312"/>
          <w:sz w:val="32"/>
          <w:szCs w:val="32"/>
        </w:rPr>
      </w:pPr>
      <w:r>
        <w:rPr>
          <w:rFonts w:hint="eastAsia" w:eastAsia="仿宋_GB2312" w:cs="仿宋_GB2312"/>
          <w:sz w:val="32"/>
          <w:szCs w:val="32"/>
        </w:rPr>
        <w:t>2024年度一般公共预算财政拨款基本支出</w:t>
      </w:r>
      <w:r>
        <w:rPr>
          <w:rFonts w:hint="eastAsia" w:ascii="仿宋_GB2312" w:hAnsi="仿宋_GB2312" w:eastAsia="仿宋_GB2312" w:cs="仿宋_GB2312"/>
          <w:sz w:val="32"/>
          <w:szCs w:val="32"/>
          <w:lang w:val="en-US" w:eastAsia="zh-CN"/>
        </w:rPr>
        <w:t>2913.16</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33CEB30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ascii="仿宋_GB2312" w:hAnsi="仿宋_GB2312" w:eastAsia="仿宋_GB2312" w:cs="仿宋_GB2312"/>
          <w:sz w:val="32"/>
          <w:szCs w:val="32"/>
        </w:rPr>
        <w:t>2667.16万</w:t>
      </w:r>
      <w:r>
        <w:rPr>
          <w:rFonts w:hint="eastAsia" w:eastAsia="仿宋_GB2312" w:cs="仿宋_GB2312"/>
          <w:sz w:val="32"/>
          <w:szCs w:val="32"/>
        </w:rPr>
        <w:t>元，主要包括：基本工资、津贴补贴、奖金、伙食补助费、绩效工资、机关事业单位基本养老保险缴费、职业年金缴费、</w:t>
      </w:r>
      <w:r>
        <w:rPr>
          <w:rFonts w:hint="eastAsia" w:eastAsia="仿宋_GB2312" w:cs="仿宋_GB2312"/>
          <w:sz w:val="32"/>
          <w:szCs w:val="32"/>
          <w:lang w:val="en-US" w:eastAsia="zh-CN"/>
        </w:rPr>
        <w:t>职工基本医疗保险缴费、</w:t>
      </w:r>
      <w:r>
        <w:rPr>
          <w:rFonts w:hint="eastAsia" w:eastAsia="仿宋_GB2312" w:cs="仿宋_GB2312"/>
          <w:sz w:val="32"/>
          <w:szCs w:val="32"/>
        </w:rPr>
        <w:t>其他社会保障缴费、住房公积金、</w:t>
      </w:r>
      <w:r>
        <w:rPr>
          <w:rFonts w:hint="eastAsia" w:eastAsia="仿宋_GB2312" w:cs="仿宋_GB2312"/>
          <w:sz w:val="32"/>
          <w:szCs w:val="32"/>
          <w:lang w:val="en-US" w:eastAsia="zh-CN"/>
        </w:rPr>
        <w:t>其他工资福利支出、抚恤金、生活补助、助学金、奖励金</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lang w:val="en-US" w:eastAsia="zh-CN"/>
        </w:rPr>
        <w:t>246</w:t>
      </w:r>
      <w:r>
        <w:rPr>
          <w:rFonts w:hint="eastAsia" w:ascii="仿宋_GB2312" w:hAnsi="仿宋_GB2312" w:eastAsia="仿宋_GB2312" w:cs="仿宋_GB2312"/>
          <w:sz w:val="32"/>
          <w:szCs w:val="32"/>
        </w:rPr>
        <w:t>万</w:t>
      </w:r>
      <w:r>
        <w:rPr>
          <w:rFonts w:hint="eastAsia" w:eastAsia="仿宋_GB2312" w:cs="仿宋_GB2312"/>
          <w:sz w:val="32"/>
          <w:szCs w:val="32"/>
        </w:rPr>
        <w:t>元，主要包括：办公费、水费、电费、邮电费、物业管理费、差旅费、维修（护）费、会议费、培训费、公务接待费、工会经费、福利费、公务用车运行维护费、</w:t>
      </w:r>
      <w:r>
        <w:rPr>
          <w:rFonts w:hint="eastAsia" w:eastAsia="仿宋_GB2312" w:cs="仿宋_GB2312"/>
          <w:sz w:val="32"/>
          <w:szCs w:val="32"/>
          <w:lang w:val="en-US" w:eastAsia="zh-CN"/>
        </w:rPr>
        <w:t>办公设备购置</w:t>
      </w:r>
      <w:r>
        <w:rPr>
          <w:rFonts w:hint="eastAsia" w:eastAsia="仿宋_GB2312" w:cs="仿宋_GB2312"/>
          <w:sz w:val="32"/>
          <w:szCs w:val="32"/>
        </w:rPr>
        <w:t>。</w:t>
      </w:r>
    </w:p>
    <w:p w14:paraId="475093D4">
      <w:pPr>
        <w:spacing w:line="600" w:lineRule="exact"/>
        <w:ind w:firstLine="640" w:firstLineChars="0"/>
        <w:outlineLvl w:val="0"/>
        <w:rPr>
          <w:rStyle w:val="31"/>
          <w:rFonts w:ascii="Times New Roman" w:hAnsi="Times New Roman" w:eastAsia="黑体"/>
          <w:b w:val="0"/>
        </w:rPr>
      </w:pPr>
      <w:bookmarkStart w:id="46" w:name="_Toc15377215"/>
      <w:bookmarkStart w:id="47" w:name="_Toc15396609"/>
      <w:bookmarkStart w:id="48" w:name="_Toc13059"/>
      <w:r>
        <w:rPr>
          <w:rFonts w:hint="eastAsia" w:eastAsia="黑体"/>
          <w:sz w:val="32"/>
          <w:szCs w:val="32"/>
        </w:rPr>
        <w:t>七、</w:t>
      </w:r>
      <w:r>
        <w:rPr>
          <w:rStyle w:val="31"/>
          <w:rFonts w:hint="eastAsia" w:ascii="Times New Roman" w:hAnsi="Times New Roman" w:eastAsia="黑体"/>
          <w:b w:val="0"/>
        </w:rPr>
        <w:t>财政拨款</w:t>
      </w:r>
      <w:r>
        <w:rPr>
          <w:rStyle w:val="31"/>
          <w:rFonts w:hint="eastAsia" w:ascii="Times New Roman" w:hAnsi="Times New Roman" w:eastAsia="黑体"/>
        </w:rPr>
        <w:t>“</w:t>
      </w:r>
      <w:r>
        <w:rPr>
          <w:rStyle w:val="31"/>
          <w:rFonts w:hint="eastAsia" w:ascii="Times New Roman" w:hAnsi="Times New Roman" w:eastAsia="黑体"/>
          <w:b w:val="0"/>
        </w:rPr>
        <w:t>三公”经费支出决算情况说明</w:t>
      </w:r>
      <w:bookmarkEnd w:id="46"/>
      <w:bookmarkEnd w:id="47"/>
      <w:bookmarkEnd w:id="48"/>
    </w:p>
    <w:p w14:paraId="55E32413">
      <w:pPr>
        <w:spacing w:line="600" w:lineRule="exact"/>
        <w:ind w:firstLine="643" w:firstLineChars="200"/>
        <w:outlineLvl w:val="9"/>
        <w:rPr>
          <w:rFonts w:eastAsia="楷体_GB2312" w:cs="楷体_GB2312"/>
          <w:b/>
          <w:sz w:val="32"/>
          <w:szCs w:val="32"/>
        </w:rPr>
      </w:pPr>
      <w:bookmarkStart w:id="49" w:name="_Toc15377216"/>
      <w:r>
        <w:rPr>
          <w:rFonts w:hint="eastAsia" w:eastAsia="楷体_GB2312" w:cs="楷体_GB2312"/>
          <w:b/>
          <w:sz w:val="32"/>
          <w:szCs w:val="32"/>
        </w:rPr>
        <w:t>（一）“三公”经费财政拨款支出决算总体情况说明</w:t>
      </w:r>
      <w:bookmarkEnd w:id="49"/>
    </w:p>
    <w:p w14:paraId="650FFC8B">
      <w:p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2024年度“三公”经费财政拨款支出决算为</w:t>
      </w:r>
      <w:r>
        <w:rPr>
          <w:rFonts w:hint="eastAsia" w:ascii="仿宋_GB2312" w:hAnsi="仿宋_GB2312" w:eastAsia="仿宋_GB2312" w:cs="仿宋_GB2312"/>
          <w:sz w:val="32"/>
          <w:szCs w:val="32"/>
          <w:lang w:val="en-US" w:eastAsia="zh-CN"/>
        </w:rPr>
        <w:t>10.39</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eastAsia="仿宋_GB2312" w:cs="仿宋_GB2312"/>
          <w:sz w:val="32"/>
          <w:szCs w:val="32"/>
        </w:rPr>
        <w:t>较上年度</w:t>
      </w:r>
      <w:r>
        <w:rPr>
          <w:rFonts w:hint="eastAsia" w:eastAsia="仿宋_GB2312" w:cs="仿宋_GB2312"/>
          <w:sz w:val="32"/>
          <w:szCs w:val="32"/>
          <w:lang w:val="en-US" w:eastAsia="zh-CN"/>
        </w:rPr>
        <w:t>减少0.25</w:t>
      </w:r>
      <w:r>
        <w:rPr>
          <w:rFonts w:hint="eastAsia" w:eastAsia="仿宋_GB2312" w:cs="仿宋_GB2312"/>
          <w:sz w:val="32"/>
          <w:szCs w:val="32"/>
        </w:rPr>
        <w:t>万元，</w:t>
      </w:r>
      <w:r>
        <w:rPr>
          <w:rFonts w:hint="eastAsia" w:eastAsia="仿宋_GB2312" w:cs="仿宋_GB2312"/>
          <w:sz w:val="32"/>
          <w:szCs w:val="32"/>
          <w:lang w:val="en-US" w:eastAsia="zh-CN"/>
        </w:rPr>
        <w:t>下降2.3</w:t>
      </w:r>
      <w:r>
        <w:rPr>
          <w:rFonts w:hint="eastAsia" w:eastAsia="仿宋_GB2312" w:cs="仿宋_GB2312"/>
          <w:sz w:val="32"/>
          <w:szCs w:val="32"/>
        </w:rPr>
        <w:t>%。决算数与预算数持平</w:t>
      </w:r>
      <w:r>
        <w:rPr>
          <w:rFonts w:hint="eastAsia" w:eastAsia="仿宋_GB2312" w:cs="仿宋_GB2312"/>
          <w:sz w:val="32"/>
          <w:szCs w:val="32"/>
          <w:lang w:eastAsia="zh-CN"/>
        </w:rPr>
        <w:t>。</w:t>
      </w:r>
    </w:p>
    <w:p w14:paraId="181B4920">
      <w:pPr>
        <w:spacing w:line="600" w:lineRule="exact"/>
        <w:ind w:firstLine="643" w:firstLineChars="200"/>
        <w:outlineLvl w:val="9"/>
        <w:rPr>
          <w:rFonts w:eastAsia="楷体_GB2312" w:cs="楷体_GB2312"/>
          <w:b/>
          <w:sz w:val="32"/>
          <w:szCs w:val="32"/>
        </w:rPr>
      </w:pPr>
      <w:bookmarkStart w:id="50" w:name="_Toc15377217"/>
      <w:r>
        <w:rPr>
          <w:rFonts w:hint="eastAsia" w:eastAsia="楷体_GB2312" w:cs="楷体_GB2312"/>
          <w:b/>
          <w:sz w:val="32"/>
          <w:szCs w:val="32"/>
        </w:rPr>
        <w:t>（二）“三公”经费财政拨款支出决算具体情况说明</w:t>
      </w:r>
      <w:bookmarkEnd w:id="50"/>
    </w:p>
    <w:p w14:paraId="30FD928A">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2024年度“三公”经费财政拨款支出决算中，因公出国（境）费支出决算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9.42</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90.7</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0.97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9.3</w:t>
      </w:r>
      <w:r>
        <w:rPr>
          <w:rFonts w:hint="eastAsia" w:ascii="仿宋_GB2312" w:hAnsi="仿宋_GB2312" w:eastAsia="仿宋_GB2312" w:cs="仿宋_GB2312"/>
          <w:sz w:val="32"/>
          <w:szCs w:val="32"/>
        </w:rPr>
        <w:t>%。具体情况如下：</w:t>
      </w:r>
    </w:p>
    <w:p w14:paraId="67C45CBE">
      <w:pPr>
        <w:pStyle w:val="8"/>
        <w:jc w:val="center"/>
        <w:rPr>
          <w:rFonts w:hint="eastAsia" w:ascii="仿宋_GB2312" w:hAnsi="仿宋_GB2312" w:eastAsia="仿宋_GB2312" w:cs="仿宋_GB2312"/>
          <w:sz w:val="32"/>
          <w:szCs w:val="32"/>
        </w:rPr>
      </w:pPr>
      <w:r>
        <w:drawing>
          <wp:inline distT="0" distB="0" distL="114300" distR="114300">
            <wp:extent cx="4539615" cy="2740025"/>
            <wp:effectExtent l="4445" t="4445" r="15240" b="11430"/>
            <wp:docPr id="10"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26A8CFB">
      <w:pPr>
        <w:spacing w:line="600" w:lineRule="exact"/>
        <w:ind w:firstLine="640"/>
        <w:jc w:val="center"/>
        <w:rPr>
          <w:rFonts w:eastAsia="仿宋_GB2312" w:cs="仿宋_GB2312"/>
          <w:sz w:val="32"/>
          <w:szCs w:val="32"/>
        </w:rPr>
      </w:pPr>
      <w:r>
        <w:rPr>
          <w:rFonts w:hint="eastAsia" w:eastAsia="仿宋_GB2312" w:cs="仿宋_GB2312"/>
          <w:sz w:val="32"/>
          <w:szCs w:val="32"/>
        </w:rPr>
        <w:t>（图7：“三公”经费财政拨款支出结构）</w:t>
      </w:r>
    </w:p>
    <w:p w14:paraId="13095D98">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。因公出国（境）支出决算</w:t>
      </w:r>
      <w:r>
        <w:rPr>
          <w:rFonts w:hint="eastAsia" w:eastAsia="仿宋_GB2312" w:cs="仿宋_GB2312"/>
          <w:sz w:val="32"/>
          <w:szCs w:val="32"/>
          <w:lang w:val="en-US" w:eastAsia="zh-CN"/>
        </w:rPr>
        <w:t>与</w:t>
      </w:r>
      <w:r>
        <w:rPr>
          <w:rFonts w:hint="eastAsia" w:eastAsia="仿宋_GB2312" w:cs="仿宋_GB2312"/>
          <w:sz w:val="32"/>
          <w:szCs w:val="32"/>
        </w:rPr>
        <w:t>2023年</w:t>
      </w:r>
      <w:r>
        <w:rPr>
          <w:rFonts w:hint="eastAsia" w:eastAsia="仿宋_GB2312" w:cs="仿宋_GB2312"/>
          <w:sz w:val="32"/>
          <w:szCs w:val="32"/>
          <w:lang w:val="en-US" w:eastAsia="zh-CN"/>
        </w:rPr>
        <w:t>持平</w:t>
      </w:r>
      <w:r>
        <w:rPr>
          <w:rFonts w:hint="eastAsia" w:eastAsia="仿宋_GB2312" w:cs="仿宋_GB2312"/>
          <w:sz w:val="32"/>
          <w:szCs w:val="32"/>
        </w:rPr>
        <w:t>。</w:t>
      </w:r>
    </w:p>
    <w:p w14:paraId="46B9BD6F">
      <w:p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b/>
          <w:bCs/>
          <w:sz w:val="32"/>
          <w:szCs w:val="32"/>
          <w:lang w:val="en-US" w:eastAsia="zh-CN"/>
        </w:rPr>
        <w:t>9.42</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公务用车购置及运行维护费支出决算比2023年度减少</w:t>
      </w:r>
      <w:r>
        <w:rPr>
          <w:rFonts w:hint="eastAsia" w:eastAsia="仿宋_GB2312" w:cs="仿宋_GB2312"/>
          <w:sz w:val="32"/>
          <w:szCs w:val="32"/>
          <w:lang w:val="en-US" w:eastAsia="zh-CN"/>
        </w:rPr>
        <w:t>0.64</w:t>
      </w:r>
      <w:r>
        <w:rPr>
          <w:rFonts w:hint="eastAsia" w:eastAsia="仿宋_GB2312" w:cs="仿宋_GB2312"/>
          <w:sz w:val="32"/>
          <w:szCs w:val="32"/>
        </w:rPr>
        <w:t>万元，下降</w:t>
      </w:r>
      <w:r>
        <w:rPr>
          <w:rFonts w:hint="eastAsia" w:eastAsia="仿宋_GB2312" w:cs="仿宋_GB2312"/>
          <w:sz w:val="32"/>
          <w:szCs w:val="32"/>
          <w:lang w:val="en-US" w:eastAsia="zh-CN"/>
        </w:rPr>
        <w:t>6.4</w:t>
      </w:r>
      <w:r>
        <w:rPr>
          <w:rFonts w:hint="eastAsia" w:eastAsia="仿宋_GB2312" w:cs="仿宋_GB2312"/>
          <w:sz w:val="32"/>
          <w:szCs w:val="32"/>
        </w:rPr>
        <w:t>%。主要原因是公车维修</w:t>
      </w:r>
      <w:r>
        <w:rPr>
          <w:rFonts w:hint="eastAsia" w:eastAsia="仿宋_GB2312" w:cs="仿宋_GB2312"/>
          <w:sz w:val="32"/>
          <w:szCs w:val="32"/>
          <w:lang w:val="en-US" w:eastAsia="zh-CN"/>
        </w:rPr>
        <w:t>减少。</w:t>
      </w:r>
    </w:p>
    <w:p w14:paraId="2F80BDA2">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辆。截至2024年12月31日，单位共有公务用车</w:t>
      </w:r>
      <w:r>
        <w:rPr>
          <w:rFonts w:hint="eastAsia" w:eastAsia="仿宋_GB2312" w:cs="仿宋_GB2312"/>
          <w:sz w:val="32"/>
          <w:szCs w:val="32"/>
          <w:lang w:val="en-US" w:eastAsia="zh-CN"/>
        </w:rPr>
        <w:t>1</w:t>
      </w:r>
      <w:r>
        <w:rPr>
          <w:rFonts w:hint="eastAsia" w:eastAsia="仿宋_GB2312" w:cs="仿宋_GB2312"/>
          <w:sz w:val="32"/>
          <w:szCs w:val="32"/>
        </w:rPr>
        <w:t>辆，其中：越野车</w:t>
      </w:r>
      <w:r>
        <w:rPr>
          <w:rFonts w:hint="eastAsia" w:eastAsia="仿宋_GB2312" w:cs="仿宋_GB2312"/>
          <w:sz w:val="32"/>
          <w:szCs w:val="32"/>
          <w:lang w:val="en-US" w:eastAsia="zh-CN"/>
        </w:rPr>
        <w:t>1</w:t>
      </w:r>
      <w:r>
        <w:rPr>
          <w:rFonts w:hint="eastAsia" w:eastAsia="仿宋_GB2312" w:cs="仿宋_GB2312"/>
          <w:sz w:val="32"/>
          <w:szCs w:val="32"/>
        </w:rPr>
        <w:t>辆。</w:t>
      </w:r>
    </w:p>
    <w:p w14:paraId="1ECD7BDF">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9.42</w:t>
      </w:r>
      <w:r>
        <w:rPr>
          <w:rFonts w:hint="eastAsia" w:eastAsia="仿宋_GB2312" w:cs="仿宋_GB2312"/>
          <w:sz w:val="32"/>
          <w:szCs w:val="32"/>
        </w:rPr>
        <w:t>万元。主要用于日常公务运行</w:t>
      </w:r>
      <w:r>
        <w:rPr>
          <w:rFonts w:hint="eastAsia" w:eastAsia="仿宋_GB2312" w:cs="仿宋_GB2312"/>
          <w:sz w:val="32"/>
          <w:szCs w:val="32"/>
          <w:lang w:val="en-US" w:eastAsia="zh-CN"/>
        </w:rPr>
        <w:t>等</w:t>
      </w:r>
      <w:r>
        <w:rPr>
          <w:rFonts w:hint="eastAsia" w:eastAsia="仿宋_GB2312" w:cs="仿宋_GB2312"/>
          <w:sz w:val="32"/>
          <w:szCs w:val="32"/>
        </w:rPr>
        <w:t>所需的公务用车燃料费、维修费、过路过桥费、保险费等支出。</w:t>
      </w:r>
    </w:p>
    <w:p w14:paraId="24D7788E">
      <w:pPr>
        <w:spacing w:line="600" w:lineRule="exact"/>
        <w:ind w:firstLine="640"/>
        <w:rPr>
          <w:rFonts w:eastAsia="仿宋_GB2312" w:cs="仿宋_GB2312"/>
          <w:sz w:val="32"/>
          <w:szCs w:val="32"/>
        </w:rPr>
      </w:pPr>
      <w:r>
        <w:rPr>
          <w:rFonts w:hint="eastAsia" w:eastAsia="仿宋_GB2312" w:cs="仿宋_GB2312"/>
          <w:b/>
          <w:bCs/>
          <w:sz w:val="32"/>
          <w:szCs w:val="32"/>
        </w:rPr>
        <w:t>3.公务接待费支出</w:t>
      </w:r>
      <w:r>
        <w:rPr>
          <w:rFonts w:hint="eastAsia" w:ascii="仿宋_GB2312" w:hAnsi="仿宋_GB2312" w:eastAsia="仿宋_GB2312" w:cs="仿宋_GB2312"/>
          <w:b/>
          <w:bCs/>
          <w:sz w:val="32"/>
          <w:szCs w:val="32"/>
          <w:lang w:val="en-US" w:eastAsia="zh-CN"/>
        </w:rPr>
        <w:t>0.97</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公务接待费支出决算比2023年度增加</w:t>
      </w:r>
      <w:r>
        <w:rPr>
          <w:rFonts w:hint="eastAsia" w:eastAsia="仿宋_GB2312" w:cs="仿宋_GB2312"/>
          <w:sz w:val="32"/>
          <w:szCs w:val="32"/>
          <w:lang w:val="en-US" w:eastAsia="zh-CN"/>
        </w:rPr>
        <w:t>0.4</w:t>
      </w:r>
      <w:r>
        <w:rPr>
          <w:rFonts w:hint="eastAsia" w:eastAsia="仿宋_GB2312" w:cs="仿宋_GB2312"/>
          <w:sz w:val="32"/>
          <w:szCs w:val="32"/>
        </w:rPr>
        <w:t>万元，增长</w:t>
      </w:r>
      <w:r>
        <w:rPr>
          <w:rFonts w:hint="eastAsia" w:eastAsia="仿宋_GB2312" w:cs="仿宋_GB2312"/>
          <w:sz w:val="32"/>
          <w:szCs w:val="32"/>
          <w:lang w:val="en-US" w:eastAsia="zh-CN"/>
        </w:rPr>
        <w:t>70.2</w:t>
      </w:r>
      <w:r>
        <w:rPr>
          <w:rFonts w:hint="eastAsia" w:eastAsia="仿宋_GB2312" w:cs="仿宋_GB2312"/>
          <w:sz w:val="32"/>
          <w:szCs w:val="32"/>
        </w:rPr>
        <w:t>%。主要原因是“三名工程”建设专家评审、学校转型发展评审。其中：</w:t>
      </w:r>
    </w:p>
    <w:p w14:paraId="296FD5FD">
      <w:pPr>
        <w:spacing w:line="600" w:lineRule="exact"/>
        <w:ind w:firstLine="640"/>
        <w:rPr>
          <w:rFonts w:eastAsia="仿宋_GB2312" w:cs="仿宋_GB2312"/>
          <w:sz w:val="32"/>
          <w:szCs w:val="32"/>
        </w:rPr>
      </w:pPr>
      <w:r>
        <w:rPr>
          <w:rFonts w:hint="eastAsia" w:eastAsia="仿宋_GB2312" w:cs="仿宋_GB2312"/>
          <w:sz w:val="32"/>
          <w:szCs w:val="32"/>
        </w:rPr>
        <w:t>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0.97</w:t>
      </w:r>
      <w:r>
        <w:rPr>
          <w:rFonts w:hint="eastAsia" w:ascii="仿宋_GB2312" w:hAnsi="仿宋_GB2312" w:eastAsia="仿宋_GB2312" w:cs="仿宋_GB2312"/>
          <w:sz w:val="32"/>
          <w:szCs w:val="32"/>
        </w:rPr>
        <w:t>万</w:t>
      </w:r>
      <w:r>
        <w:rPr>
          <w:rFonts w:hint="eastAsia" w:eastAsia="仿宋_GB2312" w:cs="仿宋_GB2312"/>
          <w:sz w:val="32"/>
          <w:szCs w:val="32"/>
        </w:rPr>
        <w:t>元，主要用于开展业务活动发生的交通费、住宿费、用餐费等。国内公务接</w:t>
      </w:r>
      <w:r>
        <w:rPr>
          <w:rFonts w:hint="eastAsia" w:ascii="仿宋_GB2312" w:hAnsi="仿宋_GB2312" w:eastAsia="仿宋_GB2312" w:cs="仿宋_GB2312"/>
          <w:sz w:val="32"/>
          <w:szCs w:val="32"/>
        </w:rPr>
        <w:t>待</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190</w:t>
      </w:r>
      <w:r>
        <w:rPr>
          <w:rFonts w:hint="eastAsia" w:eastAsia="仿宋_GB2312" w:cs="仿宋_GB2312"/>
          <w:sz w:val="32"/>
          <w:szCs w:val="32"/>
        </w:rPr>
        <w:t>人次（不包括陪同人员），共计支出</w:t>
      </w:r>
      <w:r>
        <w:rPr>
          <w:rFonts w:hint="eastAsia" w:eastAsia="仿宋_GB2312" w:cs="仿宋_GB2312"/>
          <w:sz w:val="32"/>
          <w:szCs w:val="32"/>
          <w:lang w:val="en-US" w:eastAsia="zh-CN"/>
        </w:rPr>
        <w:t>0.97</w:t>
      </w:r>
      <w:r>
        <w:rPr>
          <w:rFonts w:hint="eastAsia" w:eastAsia="仿宋_GB2312" w:cs="仿宋_GB2312"/>
          <w:sz w:val="32"/>
          <w:szCs w:val="32"/>
        </w:rPr>
        <w:t>万元，具体内容包括：上海摄影家企业家捐助接待费、省教育厅到校调研。</w:t>
      </w:r>
    </w:p>
    <w:p w14:paraId="2E2996EB">
      <w:pPr>
        <w:spacing w:line="600" w:lineRule="exact"/>
        <w:ind w:firstLine="640"/>
        <w:rPr>
          <w:rFonts w:eastAsia="仿宋_GB2312" w:cs="仿宋_GB2312"/>
          <w:sz w:val="32"/>
          <w:szCs w:val="32"/>
        </w:rPr>
      </w:pPr>
      <w:r>
        <w:rPr>
          <w:rFonts w:hint="eastAsia" w:eastAsia="仿宋_GB2312" w:cs="仿宋_GB2312"/>
          <w:sz w:val="32"/>
          <w:szCs w:val="32"/>
        </w:rPr>
        <w:t>外事接待支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万元。外事接待</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人次（不包括陪同人员），共计支出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w:t>
      </w:r>
    </w:p>
    <w:p w14:paraId="47228CBE">
      <w:pPr>
        <w:spacing w:line="600" w:lineRule="exact"/>
        <w:ind w:firstLine="640" w:firstLineChars="0"/>
        <w:outlineLvl w:val="0"/>
        <w:rPr>
          <w:rStyle w:val="31"/>
          <w:rFonts w:ascii="Times New Roman" w:hAnsi="Times New Roman" w:eastAsia="黑体"/>
        </w:rPr>
      </w:pPr>
      <w:bookmarkStart w:id="51" w:name="_Toc15396610"/>
      <w:bookmarkStart w:id="52" w:name="_Toc15377218"/>
      <w:bookmarkStart w:id="53" w:name="_Toc4907"/>
      <w:r>
        <w:rPr>
          <w:rFonts w:hint="eastAsia" w:eastAsia="黑体"/>
          <w:sz w:val="32"/>
          <w:szCs w:val="32"/>
        </w:rPr>
        <w:t>八、</w:t>
      </w:r>
      <w:r>
        <w:rPr>
          <w:rStyle w:val="31"/>
          <w:rFonts w:hint="eastAsia" w:ascii="Times New Roman" w:hAnsi="Times New Roman" w:eastAsia="黑体"/>
          <w:b w:val="0"/>
        </w:rPr>
        <w:t>政府性基金预算支出决算情况说明</w:t>
      </w:r>
      <w:bookmarkEnd w:id="51"/>
      <w:bookmarkEnd w:id="52"/>
      <w:bookmarkEnd w:id="53"/>
    </w:p>
    <w:p w14:paraId="469BDC26">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2024年度政府性基金预算财政拨款支出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eastAsia="仿宋_GB2312" w:cs="仿宋_GB2312"/>
          <w:sz w:val="32"/>
          <w:szCs w:val="32"/>
        </w:rPr>
        <w:t>。</w:t>
      </w:r>
    </w:p>
    <w:p w14:paraId="4A9A739A">
      <w:pPr>
        <w:spacing w:line="600" w:lineRule="exact"/>
        <w:ind w:left="630" w:leftChars="0"/>
        <w:outlineLvl w:val="0"/>
        <w:rPr>
          <w:rStyle w:val="31"/>
          <w:rFonts w:ascii="Times New Roman" w:hAnsi="Times New Roman" w:eastAsia="黑体"/>
          <w:b w:val="0"/>
        </w:rPr>
      </w:pPr>
      <w:bookmarkStart w:id="54" w:name="_Toc15377219"/>
      <w:bookmarkStart w:id="55" w:name="_Toc15396611"/>
      <w:bookmarkStart w:id="56" w:name="_Toc7054"/>
      <w:r>
        <w:rPr>
          <w:rStyle w:val="31"/>
          <w:rFonts w:hint="eastAsia" w:ascii="Times New Roman" w:hAnsi="Times New Roman" w:eastAsia="黑体"/>
          <w:b w:val="0"/>
        </w:rPr>
        <w:t>九、国有资本经营预算支出决算情况说明</w:t>
      </w:r>
      <w:bookmarkEnd w:id="54"/>
      <w:bookmarkEnd w:id="55"/>
      <w:bookmarkEnd w:id="56"/>
    </w:p>
    <w:p w14:paraId="7AE95F82">
      <w:pPr>
        <w:spacing w:line="600" w:lineRule="exact"/>
        <w:ind w:firstLine="640"/>
        <w:rPr>
          <w:rFonts w:eastAsia="仿宋_GB2312" w:cs="仿宋_GB2312"/>
          <w:sz w:val="32"/>
          <w:szCs w:val="32"/>
        </w:rPr>
      </w:pPr>
      <w:r>
        <w:rPr>
          <w:rFonts w:hint="eastAsia" w:eastAsia="仿宋_GB2312" w:cs="仿宋_GB2312"/>
          <w:sz w:val="32"/>
          <w:szCs w:val="32"/>
        </w:rPr>
        <w:t>2024年度国有资本经营预算财政拨款支出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eastAsia="仿宋_GB2312" w:cs="仿宋_GB2312"/>
          <w:sz w:val="32"/>
          <w:szCs w:val="32"/>
        </w:rPr>
        <w:t>。</w:t>
      </w:r>
    </w:p>
    <w:p w14:paraId="2CA2FA4F">
      <w:pPr>
        <w:spacing w:line="600" w:lineRule="exact"/>
        <w:ind w:left="630" w:leftChars="0"/>
        <w:outlineLvl w:val="0"/>
        <w:rPr>
          <w:rStyle w:val="31"/>
          <w:rFonts w:ascii="Times New Roman" w:hAnsi="Times New Roman" w:eastAsia="黑体"/>
          <w:b w:val="0"/>
        </w:rPr>
      </w:pPr>
      <w:bookmarkStart w:id="57" w:name="_Toc15396612"/>
      <w:bookmarkStart w:id="58" w:name="_Toc15377221"/>
      <w:bookmarkStart w:id="59" w:name="_Toc1920"/>
      <w:r>
        <w:rPr>
          <w:rStyle w:val="31"/>
          <w:rFonts w:hint="eastAsia" w:ascii="Times New Roman" w:hAnsi="Times New Roman" w:eastAsia="黑体"/>
          <w:b w:val="0"/>
        </w:rPr>
        <w:t>十、其他重要事项的情况说明</w:t>
      </w:r>
      <w:bookmarkEnd w:id="57"/>
      <w:bookmarkEnd w:id="58"/>
      <w:bookmarkEnd w:id="59"/>
    </w:p>
    <w:p w14:paraId="2635AD73">
      <w:pPr>
        <w:spacing w:line="600" w:lineRule="exact"/>
        <w:ind w:firstLine="643" w:firstLineChars="200"/>
        <w:outlineLvl w:val="9"/>
        <w:rPr>
          <w:rFonts w:eastAsia="楷体_GB2312" w:cs="楷体_GB2312"/>
          <w:b/>
          <w:sz w:val="32"/>
          <w:szCs w:val="32"/>
        </w:rPr>
      </w:pPr>
      <w:bookmarkStart w:id="60" w:name="_Toc15377222"/>
      <w:r>
        <w:rPr>
          <w:rFonts w:hint="eastAsia" w:eastAsia="楷体_GB2312" w:cs="楷体_GB2312"/>
          <w:b/>
          <w:sz w:val="32"/>
          <w:szCs w:val="32"/>
        </w:rPr>
        <w:t>（一）机关运行经费支出情况</w:t>
      </w:r>
      <w:bookmarkEnd w:id="60"/>
    </w:p>
    <w:p w14:paraId="7B010C1B">
      <w:pPr>
        <w:spacing w:line="600" w:lineRule="exact"/>
        <w:ind w:firstLine="640"/>
        <w:rPr>
          <w:rFonts w:eastAsia="仿宋_GB2312" w:cs="仿宋_GB2312"/>
          <w:sz w:val="32"/>
          <w:szCs w:val="32"/>
        </w:rPr>
      </w:pPr>
      <w:r>
        <w:rPr>
          <w:rFonts w:hint="eastAsia" w:eastAsia="仿宋_GB2312" w:cs="仿宋_GB2312"/>
          <w:sz w:val="32"/>
          <w:szCs w:val="32"/>
        </w:rPr>
        <w:t>2024年度</w:t>
      </w:r>
      <w:r>
        <w:rPr>
          <w:rFonts w:hint="eastAsia" w:ascii="仿宋_GB2312" w:hAnsi="仿宋_GB2312" w:eastAsia="仿宋_GB2312" w:cs="仿宋_GB2312"/>
          <w:sz w:val="32"/>
          <w:szCs w:val="32"/>
        </w:rPr>
        <w:t>，四川省阿坝州威州民族师范学校机关运行经费支出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元，与2023年度决算数持平。</w:t>
      </w:r>
    </w:p>
    <w:p w14:paraId="55FA91AE">
      <w:pPr>
        <w:spacing w:line="600" w:lineRule="exact"/>
        <w:ind w:firstLine="643" w:firstLineChars="200"/>
        <w:outlineLvl w:val="9"/>
        <w:rPr>
          <w:rFonts w:eastAsia="楷体_GB2312" w:cs="楷体_GB2312"/>
          <w:b/>
          <w:sz w:val="32"/>
          <w:szCs w:val="32"/>
        </w:rPr>
      </w:pPr>
      <w:bookmarkStart w:id="61" w:name="_Toc15377223"/>
      <w:r>
        <w:rPr>
          <w:rFonts w:hint="eastAsia" w:eastAsia="楷体_GB2312" w:cs="楷体_GB2312"/>
          <w:b/>
          <w:sz w:val="32"/>
          <w:szCs w:val="32"/>
        </w:rPr>
        <w:t>（二）政府采购支出情况</w:t>
      </w:r>
      <w:bookmarkEnd w:id="61"/>
    </w:p>
    <w:p w14:paraId="013F198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2024年度，四川省阿坝州威州民族师范学校政府采购支出总额</w:t>
      </w:r>
      <w:r>
        <w:rPr>
          <w:rFonts w:hint="eastAsia" w:ascii="仿宋_GB2312" w:hAnsi="仿宋_GB2312" w:eastAsia="仿宋_GB2312" w:cs="仿宋_GB2312"/>
          <w:sz w:val="32"/>
          <w:szCs w:val="32"/>
          <w:lang w:val="en-US" w:eastAsia="zh-CN"/>
        </w:rPr>
        <w:t>402.82</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353.91</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48.91</w:t>
      </w:r>
      <w:r>
        <w:rPr>
          <w:rFonts w:hint="eastAsia" w:ascii="仿宋_GB2312" w:hAnsi="仿宋_GB2312" w:eastAsia="仿宋_GB2312" w:cs="仿宋_GB2312"/>
          <w:sz w:val="32"/>
          <w:szCs w:val="32"/>
        </w:rPr>
        <w:t>万元。主要用于“三名工程”建设2024年师资培训项目</w:t>
      </w:r>
      <w:r>
        <w:rPr>
          <w:rFonts w:hint="eastAsia" w:ascii="仿宋_GB2312" w:hAnsi="仿宋_GB2312" w:eastAsia="仿宋_GB2312" w:cs="仿宋_GB2312"/>
          <w:sz w:val="32"/>
          <w:szCs w:val="32"/>
          <w:lang w:eastAsia="zh-CN"/>
        </w:rPr>
        <w:t>、录播教室建设项自、</w:t>
      </w:r>
      <w:r>
        <w:rPr>
          <w:rFonts w:hint="eastAsia" w:ascii="仿宋_GB2312" w:hAnsi="仿宋_GB2312" w:eastAsia="仿宋_GB2312" w:cs="仿宋_GB2312"/>
          <w:sz w:val="32"/>
          <w:szCs w:val="32"/>
          <w:lang w:val="en-US" w:eastAsia="zh-CN"/>
        </w:rPr>
        <w:t>幼</w:t>
      </w:r>
      <w:r>
        <w:rPr>
          <w:rFonts w:hint="eastAsia" w:ascii="仿宋_GB2312" w:hAnsi="仿宋_GB2312" w:eastAsia="仿宋_GB2312" w:cs="仿宋_GB2312"/>
          <w:sz w:val="32"/>
          <w:szCs w:val="32"/>
          <w:lang w:eastAsia="zh-CN"/>
        </w:rPr>
        <w:t>儿保育专业实训挙货选实习设备采购项目</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。授予中小企业合同金额</w:t>
      </w:r>
      <w:r>
        <w:rPr>
          <w:rFonts w:hint="eastAsia" w:ascii="仿宋_GB2312" w:hAnsi="仿宋_GB2312" w:eastAsia="仿宋_GB2312" w:cs="仿宋_GB2312"/>
          <w:sz w:val="32"/>
          <w:szCs w:val="32"/>
          <w:lang w:val="en-US" w:eastAsia="zh-CN"/>
        </w:rPr>
        <w:t>384.75</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95.5</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384.75</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95.5</w:t>
      </w:r>
      <w:r>
        <w:rPr>
          <w:rFonts w:hint="eastAsia" w:ascii="仿宋_GB2312" w:hAnsi="仿宋_GB2312" w:eastAsia="仿宋_GB2312" w:cs="仿宋_GB2312"/>
          <w:sz w:val="32"/>
          <w:szCs w:val="32"/>
        </w:rPr>
        <w:t>%。</w:t>
      </w:r>
    </w:p>
    <w:p w14:paraId="45302635">
      <w:pPr>
        <w:spacing w:line="600" w:lineRule="exact"/>
        <w:ind w:firstLine="643" w:firstLineChars="200"/>
        <w:outlineLvl w:val="9"/>
        <w:rPr>
          <w:rFonts w:eastAsia="楷体_GB2312" w:cs="楷体_GB2312"/>
          <w:b/>
          <w:sz w:val="32"/>
          <w:szCs w:val="32"/>
        </w:rPr>
      </w:pPr>
      <w:bookmarkStart w:id="62" w:name="_Toc15377224"/>
      <w:r>
        <w:rPr>
          <w:rFonts w:hint="eastAsia" w:eastAsia="楷体_GB2312" w:cs="楷体_GB2312"/>
          <w:b/>
          <w:sz w:val="32"/>
          <w:szCs w:val="32"/>
        </w:rPr>
        <w:t>（三）国有资产占有使用情况</w:t>
      </w:r>
      <w:bookmarkEnd w:id="62"/>
    </w:p>
    <w:p w14:paraId="1C776524">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截至2024年12月31日，四川省阿坝州威州民族师范学校共有车辆</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辆，其中：主要负责人用车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辆、机要通信用车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辆、应急保障用车</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辆、其他用车</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辆。单价100万元（含）以上设备（不含车辆）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43666F02">
      <w:pPr>
        <w:spacing w:line="600" w:lineRule="exact"/>
        <w:ind w:firstLine="643" w:firstLineChars="200"/>
        <w:outlineLvl w:val="9"/>
        <w:rPr>
          <w:rFonts w:eastAsia="楷体_GB2312" w:cs="楷体_GB2312"/>
          <w:b/>
          <w:sz w:val="32"/>
          <w:szCs w:val="32"/>
        </w:rPr>
      </w:pPr>
      <w:r>
        <w:rPr>
          <w:rFonts w:hint="eastAsia" w:eastAsia="楷体_GB2312" w:cs="楷体_GB2312"/>
          <w:b/>
          <w:sz w:val="32"/>
          <w:szCs w:val="32"/>
        </w:rPr>
        <w:t>（四）预算绩效管理情况</w:t>
      </w:r>
    </w:p>
    <w:p w14:paraId="3BD5E36B">
      <w:pPr>
        <w:spacing w:line="600" w:lineRule="exact"/>
        <w:ind w:firstLine="640"/>
        <w:rPr>
          <w:rFonts w:hint="eastAsia" w:eastAsia="仿宋_GB2312" w:cs="仿宋_GB2312"/>
          <w:sz w:val="32"/>
          <w:szCs w:val="32"/>
        </w:rPr>
      </w:pPr>
      <w:r>
        <w:rPr>
          <w:rFonts w:hint="eastAsia" w:eastAsia="仿宋_GB2312" w:cs="仿宋_GB2312"/>
          <w:sz w:val="32"/>
          <w:szCs w:val="32"/>
        </w:rPr>
        <w:t>根据预算绩效管理要求，本单位在202</w:t>
      </w:r>
      <w:r>
        <w:rPr>
          <w:rFonts w:hint="eastAsia" w:eastAsia="仿宋_GB2312" w:cs="仿宋_GB2312"/>
          <w:sz w:val="32"/>
          <w:szCs w:val="32"/>
          <w:lang w:val="en-US" w:eastAsia="zh-CN"/>
        </w:rPr>
        <w:t>4</w:t>
      </w:r>
      <w:r>
        <w:rPr>
          <w:rFonts w:hint="eastAsia" w:eastAsia="仿宋_GB2312" w:cs="仿宋_GB2312"/>
          <w:sz w:val="32"/>
          <w:szCs w:val="32"/>
        </w:rPr>
        <w:t>年度预算编制阶段未开展项目绩效评估。</w:t>
      </w:r>
    </w:p>
    <w:p w14:paraId="4818AB03">
      <w:pPr>
        <w:rPr>
          <w:rFonts w:hint="eastAsia" w:eastAsia="仿宋_GB2312" w:cs="仿宋_GB2312"/>
          <w:sz w:val="32"/>
          <w:szCs w:val="32"/>
        </w:rPr>
      </w:pPr>
      <w:r>
        <w:rPr>
          <w:rFonts w:hint="eastAsia" w:eastAsia="仿宋_GB2312" w:cs="仿宋_GB2312"/>
          <w:sz w:val="32"/>
          <w:szCs w:val="32"/>
        </w:rPr>
        <w:br w:type="page"/>
      </w:r>
    </w:p>
    <w:p w14:paraId="4D9F259B">
      <w:pPr>
        <w:spacing w:line="600" w:lineRule="exact"/>
        <w:ind w:firstLine="640"/>
        <w:rPr>
          <w:rFonts w:eastAsia="仿宋_GB2312" w:cs="仿宋_GB2312"/>
          <w:sz w:val="32"/>
          <w:szCs w:val="32"/>
        </w:rPr>
      </w:pPr>
    </w:p>
    <w:p w14:paraId="6F45BA35">
      <w:pPr>
        <w:spacing w:line="600" w:lineRule="exact"/>
        <w:jc w:val="center"/>
        <w:outlineLvl w:val="0"/>
        <w:rPr>
          <w:rFonts w:eastAsia="黑体"/>
          <w:sz w:val="44"/>
          <w:szCs w:val="44"/>
        </w:rPr>
      </w:pPr>
      <w:bookmarkStart w:id="63" w:name="_Toc15377225"/>
      <w:bookmarkStart w:id="64" w:name="_Toc15396613"/>
      <w:bookmarkStart w:id="65" w:name="_Toc30024"/>
      <w:r>
        <w:rPr>
          <w:rFonts w:hint="eastAsia" w:eastAsia="黑体"/>
          <w:sz w:val="44"/>
          <w:szCs w:val="44"/>
        </w:rPr>
        <w:t>第三部分  名词解释</w:t>
      </w:r>
      <w:bookmarkEnd w:id="63"/>
      <w:bookmarkEnd w:id="64"/>
      <w:bookmarkEnd w:id="65"/>
    </w:p>
    <w:p w14:paraId="46850336">
      <w:pPr>
        <w:spacing w:line="600" w:lineRule="exact"/>
        <w:jc w:val="left"/>
        <w:rPr>
          <w:b/>
          <w:sz w:val="44"/>
          <w:szCs w:val="44"/>
        </w:rPr>
      </w:pPr>
    </w:p>
    <w:p w14:paraId="1EDFB467">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财政拨款收入：指单位从同级财政部门取得的财政预算资金。</w:t>
      </w:r>
    </w:p>
    <w:p w14:paraId="535A5634">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事业收入：指事业单位开展专业业务活动及辅助活动取得的收入。</w:t>
      </w:r>
    </w:p>
    <w:p w14:paraId="6B97E6FD">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教育支出（类）职业教育（款）中等职业教育（项）：反映各部门（不含人力资源社会保障部门）举办的中等职业教育支出。政府各部门对社会组织等举办的中等职业学校的资助，如捐赠、补贴等，也在本科目中反映。</w:t>
      </w:r>
    </w:p>
    <w:p w14:paraId="1449E4F0">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教育支出（类）职业教育（款）其他教育支出（项）：反映各部门（不含人力资源社会保障部门）反映除上述项目以外其他用于教育方面的支出。</w:t>
      </w:r>
    </w:p>
    <w:p w14:paraId="4EEEA5D4">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社会保障和就业支出（类）行政事业单位养老支出（款）机关事业单位基本养老保险缴费支出（项）：反映机关事业单位实施养老保险制度由单位缴纳的基本养老保险费支出。</w:t>
      </w:r>
    </w:p>
    <w:p w14:paraId="3F84C653">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社会保障和就业支出（类）行政事业单位养老支出（款）机关事业单位职业年金缴费支出（项）：反映机关事业单位实施养老保险制度由单位实际缴纳的职业年金支出。</w:t>
      </w:r>
    </w:p>
    <w:p w14:paraId="0F62DDBF">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卫生健康支出（类）行政事业单位医疗（款）事业单位医疗（项）：反映财政部门安排的事业单位基本医疗保险徽费经费，未参加医疗保险的事业单位的公费医疗经费，按国家规定享受离休人员待遇的医疗经费。</w:t>
      </w:r>
    </w:p>
    <w:p w14:paraId="0D77124D">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卫生健康支出（类）行政事业单位医疗（款）其他行政事业单位医疗支出（项）：反映除上述项目以外的其他用于行政事业单位医疗方面的 支出。</w:t>
      </w:r>
    </w:p>
    <w:p w14:paraId="6CE753C7">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int="eastAsia" w:eastAsia="仿宋_GB2312" w:cs="仿宋_GB2312"/>
          <w:sz w:val="32"/>
          <w:szCs w:val="32"/>
        </w:rPr>
      </w:pPr>
      <w:r>
        <w:rPr>
          <w:rFonts w:hint="eastAsia" w:eastAsia="仿宋_GB2312" w:cs="仿宋_GB2312"/>
          <w:sz w:val="32"/>
          <w:szCs w:val="32"/>
        </w:rPr>
        <w:t>住房保障支出（类）住房改革支出（款）购房补贴（项）：反映按房改政策规定，行政事业单位向符合条件职工(含离 退休人员)、军队(含武警)向转役复员离退休人员发放的用  于购买住房的补贴。</w:t>
      </w:r>
    </w:p>
    <w:p w14:paraId="7F64279E">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住房保障支出（类）住房改革支出（款）住房公积金（项）：反映行政事业单位按人力资源和社会保障部、财政部规定的基本工资和津贴补贴以及规定比例为职工缴纳的住房公积金。</w:t>
      </w:r>
    </w:p>
    <w:p w14:paraId="0AA8EFF7">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基本支出：指为保障机构正常运转、完成日常工作任务而发生的人员支出和公用支出。</w:t>
      </w:r>
    </w:p>
    <w:p w14:paraId="50C5AD18">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 xml:space="preserve">项目支出：指在基本支出之外为完成特定行政任务和事业发展目标所发生的支出。 </w:t>
      </w:r>
    </w:p>
    <w:p w14:paraId="2C1E157D">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经营支出：指事业单位在专业业务活动及其辅助活动之外开展非独立核算经营活动发生的支出。</w:t>
      </w:r>
    </w:p>
    <w:p w14:paraId="63C28601">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36E1A17">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eastAsia="仿宋_GB2312" w:cs="仿宋_GB2312"/>
          <w:sz w:val="32"/>
          <w:szCs w:val="32"/>
        </w:rPr>
      </w:pPr>
      <w:r>
        <w:rPr>
          <w:rFonts w:hint="eastAsia" w:eastAsia="仿宋_GB2312" w:cs="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596286A">
      <w:pPr>
        <w:spacing w:line="600" w:lineRule="exact"/>
        <w:jc w:val="center"/>
        <w:outlineLvl w:val="0"/>
        <w:rPr>
          <w:rStyle w:val="30"/>
          <w:rFonts w:eastAsia="黑体"/>
          <w:b w:val="0"/>
        </w:rPr>
      </w:pPr>
      <w:bookmarkStart w:id="66" w:name="_Toc15377226"/>
      <w:r>
        <w:rPr>
          <w:rFonts w:hint="eastAsia" w:eastAsia="仿宋_GB2312" w:cs="仿宋_GB2312"/>
          <w:sz w:val="32"/>
          <w:szCs w:val="32"/>
        </w:rPr>
        <w:br w:type="page"/>
      </w:r>
      <w:bookmarkStart w:id="67" w:name="_Toc15396614"/>
      <w:bookmarkStart w:id="68" w:name="_Toc5191"/>
      <w:r>
        <w:rPr>
          <w:rFonts w:hint="eastAsia" w:eastAsia="黑体"/>
          <w:sz w:val="44"/>
          <w:szCs w:val="44"/>
        </w:rPr>
        <w:t>第四部分  附件</w:t>
      </w:r>
      <w:bookmarkEnd w:id="67"/>
      <w:bookmarkEnd w:id="68"/>
    </w:p>
    <w:p w14:paraId="7BA44CB3">
      <w:pPr>
        <w:spacing w:line="572" w:lineRule="exact"/>
        <w:jc w:val="left"/>
        <w:outlineLvl w:val="9"/>
        <w:rPr>
          <w:rFonts w:eastAsia="黑体" w:cs="黑体"/>
          <w:color w:val="FF0000"/>
          <w:sz w:val="32"/>
          <w:szCs w:val="32"/>
        </w:rPr>
      </w:pPr>
    </w:p>
    <w:p w14:paraId="5D9F4B9C">
      <w:pPr>
        <w:spacing w:line="578" w:lineRule="exact"/>
        <w:ind w:firstLine="640"/>
        <w:rPr>
          <w:rFonts w:eastAsia="仿宋_GB2312" w:cs="仿宋_GB2312"/>
          <w:kern w:val="0"/>
          <w:sz w:val="32"/>
          <w:szCs w:val="32"/>
        </w:rPr>
      </w:pPr>
    </w:p>
    <w:p w14:paraId="4237FA01">
      <w:pPr>
        <w:spacing w:line="578" w:lineRule="exact"/>
        <w:ind w:firstLine="640"/>
        <w:rPr>
          <w:rFonts w:eastAsia="仿宋_GB2312" w:cs="仿宋_GB2312"/>
          <w:kern w:val="0"/>
          <w:sz w:val="32"/>
          <w:szCs w:val="32"/>
        </w:rPr>
      </w:pPr>
    </w:p>
    <w:p w14:paraId="661ABCB3">
      <w:pPr>
        <w:spacing w:line="578" w:lineRule="exact"/>
        <w:ind w:firstLine="640"/>
        <w:rPr>
          <w:rFonts w:eastAsia="仿宋_GB2312" w:cs="仿宋_GB2312"/>
          <w:kern w:val="0"/>
          <w:sz w:val="32"/>
          <w:szCs w:val="32"/>
        </w:rPr>
      </w:pPr>
      <w:bookmarkStart w:id="69" w:name="_Toc15396618"/>
      <w:r>
        <w:rPr>
          <w:rFonts w:hint="eastAsia" w:eastAsia="仿宋_GB2312" w:cs="仿宋_GB2312"/>
          <w:kern w:val="0"/>
          <w:sz w:val="32"/>
          <w:szCs w:val="32"/>
        </w:rPr>
        <w:br w:type="page"/>
      </w:r>
    </w:p>
    <w:p w14:paraId="7BE27C7C">
      <w:pPr>
        <w:widowControl/>
        <w:jc w:val="center"/>
        <w:outlineLvl w:val="0"/>
        <w:rPr>
          <w:rFonts w:eastAsia="仿宋"/>
        </w:rPr>
      </w:pPr>
      <w:bookmarkStart w:id="70" w:name="_Toc18100"/>
      <w:r>
        <w:rPr>
          <w:rFonts w:hint="eastAsia" w:eastAsia="黑体"/>
          <w:sz w:val="44"/>
          <w:szCs w:val="44"/>
        </w:rPr>
        <w:t>第</w:t>
      </w:r>
      <w:r>
        <w:rPr>
          <w:rStyle w:val="30"/>
          <w:rFonts w:hint="eastAsia" w:eastAsia="黑体"/>
          <w:b w:val="0"/>
        </w:rPr>
        <w:t>五部分 附表</w:t>
      </w:r>
      <w:bookmarkEnd w:id="66"/>
      <w:bookmarkEnd w:id="69"/>
      <w:bookmarkEnd w:id="70"/>
      <w:bookmarkStart w:id="71" w:name="_Toc15396619"/>
    </w:p>
    <w:p w14:paraId="227BAD2B">
      <w:pPr>
        <w:pStyle w:val="15"/>
        <w:adjustRightInd w:val="0"/>
        <w:snapToGrid w:val="0"/>
        <w:spacing w:line="560" w:lineRule="exact"/>
        <w:jc w:val="left"/>
        <w:rPr>
          <w:rFonts w:eastAsia="仿宋_GB2312" w:cs="仿宋_GB2312"/>
          <w:sz w:val="32"/>
          <w:szCs w:val="32"/>
        </w:rPr>
      </w:pPr>
    </w:p>
    <w:p w14:paraId="09ED9CFC">
      <w:pPr>
        <w:pStyle w:val="15"/>
        <w:adjustRightInd w:val="0"/>
        <w:snapToGrid w:val="0"/>
        <w:spacing w:line="560" w:lineRule="exact"/>
        <w:jc w:val="left"/>
        <w:outlineLvl w:val="0"/>
        <w:rPr>
          <w:rFonts w:eastAsia="仿宋_GB2312" w:cs="仿宋_GB2312"/>
          <w:sz w:val="32"/>
          <w:szCs w:val="32"/>
        </w:rPr>
      </w:pPr>
      <w:bookmarkStart w:id="72" w:name="_Toc26592"/>
      <w:r>
        <w:rPr>
          <w:rFonts w:hint="eastAsia" w:eastAsia="仿宋_GB2312" w:cs="仿宋_GB2312"/>
          <w:sz w:val="32"/>
          <w:szCs w:val="32"/>
        </w:rPr>
        <w:t>一、收入支出决算总表</w:t>
      </w:r>
      <w:bookmarkEnd w:id="71"/>
      <w:bookmarkEnd w:id="72"/>
    </w:p>
    <w:p w14:paraId="5254CF88">
      <w:pPr>
        <w:pStyle w:val="15"/>
        <w:adjustRightInd w:val="0"/>
        <w:snapToGrid w:val="0"/>
        <w:spacing w:line="560" w:lineRule="exact"/>
        <w:jc w:val="left"/>
        <w:outlineLvl w:val="0"/>
        <w:rPr>
          <w:rFonts w:hint="eastAsia" w:eastAsia="仿宋_GB2312" w:cs="仿宋_GB2312"/>
          <w:sz w:val="32"/>
          <w:szCs w:val="32"/>
        </w:rPr>
      </w:pPr>
      <w:bookmarkStart w:id="73" w:name="_Toc15396620"/>
      <w:bookmarkStart w:id="74" w:name="_Toc26356"/>
      <w:r>
        <w:rPr>
          <w:rFonts w:hint="eastAsia" w:eastAsia="仿宋_GB2312" w:cs="仿宋_GB2312"/>
          <w:sz w:val="32"/>
          <w:szCs w:val="32"/>
        </w:rPr>
        <w:t>二、收入决算表</w:t>
      </w:r>
      <w:bookmarkEnd w:id="73"/>
      <w:bookmarkEnd w:id="74"/>
    </w:p>
    <w:p w14:paraId="2F5F2926">
      <w:pPr>
        <w:pStyle w:val="15"/>
        <w:adjustRightInd w:val="0"/>
        <w:snapToGrid w:val="0"/>
        <w:spacing w:line="560" w:lineRule="exact"/>
        <w:jc w:val="left"/>
        <w:outlineLvl w:val="0"/>
        <w:rPr>
          <w:rFonts w:hint="eastAsia" w:eastAsia="仿宋_GB2312" w:cs="仿宋_GB2312"/>
          <w:sz w:val="32"/>
          <w:szCs w:val="32"/>
        </w:rPr>
      </w:pPr>
      <w:bookmarkStart w:id="75" w:name="_Toc15396621"/>
      <w:bookmarkStart w:id="76" w:name="_Toc24092"/>
      <w:r>
        <w:rPr>
          <w:rFonts w:hint="eastAsia" w:eastAsia="仿宋_GB2312" w:cs="仿宋_GB2312"/>
          <w:sz w:val="32"/>
          <w:szCs w:val="32"/>
        </w:rPr>
        <w:t>三、支出决算表</w:t>
      </w:r>
      <w:bookmarkEnd w:id="75"/>
      <w:bookmarkEnd w:id="76"/>
    </w:p>
    <w:p w14:paraId="6246EB0A">
      <w:pPr>
        <w:pStyle w:val="15"/>
        <w:adjustRightInd w:val="0"/>
        <w:snapToGrid w:val="0"/>
        <w:spacing w:line="560" w:lineRule="exact"/>
        <w:jc w:val="left"/>
        <w:outlineLvl w:val="0"/>
        <w:rPr>
          <w:rFonts w:hint="eastAsia" w:eastAsia="仿宋_GB2312" w:cs="仿宋_GB2312"/>
          <w:sz w:val="32"/>
          <w:szCs w:val="32"/>
        </w:rPr>
      </w:pPr>
      <w:bookmarkStart w:id="77" w:name="_Toc15396622"/>
      <w:bookmarkStart w:id="78" w:name="_Toc1769"/>
      <w:r>
        <w:rPr>
          <w:rFonts w:hint="eastAsia" w:eastAsia="仿宋_GB2312" w:cs="仿宋_GB2312"/>
          <w:sz w:val="32"/>
          <w:szCs w:val="32"/>
        </w:rPr>
        <w:t>四、财政拨款收入支出决算总表</w:t>
      </w:r>
      <w:bookmarkEnd w:id="77"/>
      <w:bookmarkEnd w:id="78"/>
    </w:p>
    <w:p w14:paraId="6BAEB6DE">
      <w:pPr>
        <w:pStyle w:val="15"/>
        <w:adjustRightInd w:val="0"/>
        <w:snapToGrid w:val="0"/>
        <w:spacing w:line="560" w:lineRule="exact"/>
        <w:jc w:val="left"/>
        <w:outlineLvl w:val="0"/>
        <w:rPr>
          <w:rFonts w:hint="eastAsia" w:eastAsia="仿宋_GB2312" w:cs="仿宋_GB2312"/>
          <w:sz w:val="32"/>
          <w:szCs w:val="32"/>
        </w:rPr>
      </w:pPr>
      <w:bookmarkStart w:id="79" w:name="_Toc15396623"/>
      <w:bookmarkStart w:id="80" w:name="_Toc24423"/>
      <w:r>
        <w:rPr>
          <w:rFonts w:hint="eastAsia" w:eastAsia="仿宋_GB2312" w:cs="仿宋_GB2312"/>
          <w:sz w:val="32"/>
          <w:szCs w:val="32"/>
        </w:rPr>
        <w:t>五、财政拨款支出决算明细表</w:t>
      </w:r>
      <w:bookmarkEnd w:id="79"/>
      <w:bookmarkEnd w:id="80"/>
      <w:bookmarkStart w:id="81" w:name="_Toc15396624"/>
    </w:p>
    <w:p w14:paraId="3D2920E5">
      <w:pPr>
        <w:pStyle w:val="15"/>
        <w:adjustRightInd w:val="0"/>
        <w:snapToGrid w:val="0"/>
        <w:spacing w:line="560" w:lineRule="exact"/>
        <w:jc w:val="left"/>
        <w:outlineLvl w:val="0"/>
        <w:rPr>
          <w:rFonts w:hint="eastAsia" w:eastAsia="仿宋_GB2312" w:cs="仿宋_GB2312"/>
          <w:sz w:val="32"/>
          <w:szCs w:val="32"/>
        </w:rPr>
      </w:pPr>
      <w:bookmarkStart w:id="82" w:name="_Toc9263"/>
      <w:r>
        <w:rPr>
          <w:rFonts w:hint="eastAsia" w:eastAsia="仿宋_GB2312" w:cs="仿宋_GB2312"/>
          <w:sz w:val="32"/>
          <w:szCs w:val="32"/>
        </w:rPr>
        <w:t>六、一般公共预算财政拨款支出决算表</w:t>
      </w:r>
      <w:bookmarkEnd w:id="81"/>
      <w:bookmarkEnd w:id="82"/>
    </w:p>
    <w:p w14:paraId="240F08B6">
      <w:pPr>
        <w:pStyle w:val="15"/>
        <w:adjustRightInd w:val="0"/>
        <w:snapToGrid w:val="0"/>
        <w:spacing w:line="560" w:lineRule="exact"/>
        <w:jc w:val="left"/>
        <w:outlineLvl w:val="0"/>
        <w:rPr>
          <w:rFonts w:hint="eastAsia" w:eastAsia="仿宋_GB2312" w:cs="仿宋_GB2312"/>
          <w:sz w:val="32"/>
          <w:szCs w:val="32"/>
        </w:rPr>
      </w:pPr>
      <w:bookmarkStart w:id="83" w:name="_Toc15396625"/>
      <w:bookmarkStart w:id="84" w:name="_Toc22083"/>
      <w:r>
        <w:rPr>
          <w:rFonts w:hint="eastAsia" w:eastAsia="仿宋_GB2312" w:cs="仿宋_GB2312"/>
          <w:sz w:val="32"/>
          <w:szCs w:val="32"/>
        </w:rPr>
        <w:t>七、一般公共预算财政拨款支出决算明细表</w:t>
      </w:r>
      <w:bookmarkEnd w:id="83"/>
      <w:bookmarkEnd w:id="84"/>
    </w:p>
    <w:p w14:paraId="2CA8AE20">
      <w:pPr>
        <w:pStyle w:val="15"/>
        <w:adjustRightInd w:val="0"/>
        <w:snapToGrid w:val="0"/>
        <w:spacing w:line="560" w:lineRule="exact"/>
        <w:jc w:val="left"/>
        <w:outlineLvl w:val="0"/>
        <w:rPr>
          <w:rFonts w:hint="eastAsia" w:eastAsia="仿宋_GB2312" w:cs="仿宋_GB2312"/>
          <w:sz w:val="32"/>
          <w:szCs w:val="32"/>
        </w:rPr>
      </w:pPr>
      <w:bookmarkStart w:id="85" w:name="_Toc15396626"/>
      <w:bookmarkStart w:id="86" w:name="_Toc15663"/>
      <w:r>
        <w:rPr>
          <w:rFonts w:hint="eastAsia" w:eastAsia="仿宋_GB2312" w:cs="仿宋_GB2312"/>
          <w:sz w:val="32"/>
          <w:szCs w:val="32"/>
        </w:rPr>
        <w:t>八、一般公共预算财政拨款基本支出决算表</w:t>
      </w:r>
      <w:bookmarkEnd w:id="85"/>
      <w:bookmarkEnd w:id="86"/>
    </w:p>
    <w:p w14:paraId="1021E5EC">
      <w:pPr>
        <w:pStyle w:val="15"/>
        <w:adjustRightInd w:val="0"/>
        <w:snapToGrid w:val="0"/>
        <w:spacing w:line="560" w:lineRule="exact"/>
        <w:jc w:val="left"/>
        <w:outlineLvl w:val="0"/>
        <w:rPr>
          <w:rFonts w:hint="eastAsia" w:eastAsia="仿宋_GB2312" w:cs="仿宋_GB2312"/>
          <w:sz w:val="32"/>
          <w:szCs w:val="32"/>
        </w:rPr>
      </w:pPr>
      <w:bookmarkStart w:id="87" w:name="_Toc15396627"/>
      <w:bookmarkStart w:id="88" w:name="_Toc21919"/>
      <w:r>
        <w:rPr>
          <w:rFonts w:hint="eastAsia" w:eastAsia="仿宋_GB2312" w:cs="仿宋_GB2312"/>
          <w:sz w:val="32"/>
          <w:szCs w:val="32"/>
        </w:rPr>
        <w:t>九、一般公共预算财政拨款项目支出决算表</w:t>
      </w:r>
      <w:bookmarkEnd w:id="87"/>
      <w:bookmarkEnd w:id="88"/>
    </w:p>
    <w:p w14:paraId="07043E00">
      <w:pPr>
        <w:pStyle w:val="15"/>
        <w:adjustRightInd w:val="0"/>
        <w:snapToGrid w:val="0"/>
        <w:spacing w:line="560" w:lineRule="exact"/>
        <w:jc w:val="left"/>
        <w:outlineLvl w:val="0"/>
        <w:rPr>
          <w:rFonts w:hint="eastAsia" w:eastAsia="仿宋_GB2312" w:cs="仿宋_GB2312"/>
          <w:sz w:val="32"/>
          <w:szCs w:val="32"/>
        </w:rPr>
      </w:pPr>
      <w:bookmarkStart w:id="89" w:name="_Toc15396628"/>
      <w:bookmarkStart w:id="90" w:name="_Toc5796"/>
      <w:r>
        <w:rPr>
          <w:rFonts w:hint="eastAsia" w:eastAsia="仿宋_GB2312" w:cs="仿宋_GB2312"/>
          <w:sz w:val="32"/>
          <w:szCs w:val="32"/>
        </w:rPr>
        <w:t>十、</w:t>
      </w:r>
      <w:bookmarkEnd w:id="89"/>
      <w:r>
        <w:rPr>
          <w:rFonts w:hint="eastAsia" w:eastAsia="仿宋_GB2312" w:cs="仿宋_GB2312"/>
          <w:sz w:val="32"/>
          <w:szCs w:val="32"/>
        </w:rPr>
        <w:t>政府性基金预算财政拨款收入支出决算表</w:t>
      </w:r>
      <w:bookmarkEnd w:id="90"/>
    </w:p>
    <w:p w14:paraId="7B15E922">
      <w:pPr>
        <w:pStyle w:val="15"/>
        <w:adjustRightInd w:val="0"/>
        <w:snapToGrid w:val="0"/>
        <w:spacing w:line="560" w:lineRule="exact"/>
        <w:jc w:val="left"/>
        <w:outlineLvl w:val="0"/>
        <w:rPr>
          <w:rFonts w:hint="eastAsia" w:eastAsia="仿宋_GB2312" w:cs="仿宋_GB2312"/>
          <w:sz w:val="32"/>
          <w:szCs w:val="32"/>
        </w:rPr>
      </w:pPr>
      <w:bookmarkStart w:id="91" w:name="_Toc15396629"/>
      <w:bookmarkStart w:id="92" w:name="_Toc7880"/>
      <w:r>
        <w:rPr>
          <w:rFonts w:hint="eastAsia" w:eastAsia="仿宋_GB2312" w:cs="仿宋_GB2312"/>
          <w:sz w:val="32"/>
          <w:szCs w:val="32"/>
        </w:rPr>
        <w:t>十一、</w:t>
      </w:r>
      <w:bookmarkEnd w:id="91"/>
      <w:r>
        <w:rPr>
          <w:rFonts w:hint="eastAsia" w:eastAsia="仿宋_GB2312" w:cs="仿宋_GB2312"/>
          <w:sz w:val="32"/>
          <w:szCs w:val="32"/>
        </w:rPr>
        <w:t>国有资本经营预算财政拨款收入支出决算表</w:t>
      </w:r>
      <w:bookmarkEnd w:id="92"/>
    </w:p>
    <w:p w14:paraId="0F22F1B4">
      <w:pPr>
        <w:pStyle w:val="15"/>
        <w:adjustRightInd w:val="0"/>
        <w:snapToGrid w:val="0"/>
        <w:spacing w:line="560" w:lineRule="exact"/>
        <w:jc w:val="left"/>
        <w:outlineLvl w:val="0"/>
        <w:rPr>
          <w:rFonts w:hint="eastAsia" w:eastAsia="仿宋_GB2312" w:cs="仿宋_GB2312"/>
          <w:sz w:val="32"/>
          <w:szCs w:val="32"/>
        </w:rPr>
      </w:pPr>
      <w:bookmarkStart w:id="93" w:name="_Toc15396630"/>
      <w:bookmarkStart w:id="94" w:name="_Toc9783"/>
      <w:r>
        <w:rPr>
          <w:rFonts w:hint="eastAsia" w:eastAsia="仿宋_GB2312" w:cs="仿宋_GB2312"/>
          <w:sz w:val="32"/>
          <w:szCs w:val="32"/>
        </w:rPr>
        <w:t>十二、</w:t>
      </w:r>
      <w:bookmarkEnd w:id="93"/>
      <w:r>
        <w:rPr>
          <w:rFonts w:hint="eastAsia" w:eastAsia="仿宋_GB2312" w:cs="仿宋_GB2312"/>
          <w:sz w:val="32"/>
          <w:szCs w:val="32"/>
        </w:rPr>
        <w:t>国有资本经营预算财政拨款支出决算表</w:t>
      </w:r>
      <w:bookmarkEnd w:id="94"/>
    </w:p>
    <w:p w14:paraId="3D830803">
      <w:pPr>
        <w:pStyle w:val="15"/>
        <w:adjustRightInd w:val="0"/>
        <w:snapToGrid w:val="0"/>
        <w:spacing w:line="560" w:lineRule="exact"/>
        <w:jc w:val="left"/>
        <w:outlineLvl w:val="0"/>
        <w:rPr>
          <w:rFonts w:hint="eastAsia" w:eastAsia="仿宋_GB2312" w:cs="仿宋_GB2312"/>
          <w:sz w:val="32"/>
          <w:szCs w:val="32"/>
        </w:rPr>
      </w:pPr>
      <w:bookmarkStart w:id="95" w:name="_Toc15396631"/>
      <w:bookmarkStart w:id="96" w:name="_Toc27656"/>
      <w:r>
        <w:rPr>
          <w:rFonts w:hint="eastAsia" w:eastAsia="仿宋_GB2312" w:cs="仿宋_GB2312"/>
          <w:sz w:val="32"/>
          <w:szCs w:val="32"/>
        </w:rPr>
        <w:t>十三、</w:t>
      </w:r>
      <w:bookmarkEnd w:id="95"/>
      <w:r>
        <w:rPr>
          <w:rFonts w:hint="eastAsia" w:eastAsia="仿宋_GB2312" w:cs="仿宋_GB2312"/>
          <w:sz w:val="32"/>
          <w:szCs w:val="32"/>
        </w:rPr>
        <w:t>财政拨款“三公”经费支出决算表</w:t>
      </w:r>
      <w:bookmarkEnd w:id="96"/>
    </w:p>
    <w:p w14:paraId="46D5F740">
      <w:pPr>
        <w:pStyle w:val="15"/>
        <w:adjustRightInd w:val="0"/>
        <w:snapToGrid w:val="0"/>
        <w:spacing w:line="560" w:lineRule="exact"/>
        <w:jc w:val="left"/>
        <w:outlineLvl w:val="9"/>
        <w:rPr>
          <w:rFonts w:hint="eastAsia" w:eastAsia="仿宋_GB2312" w:cs="仿宋_GB2312"/>
          <w:sz w:val="32"/>
          <w:szCs w:val="32"/>
        </w:rPr>
      </w:pPr>
    </w:p>
    <w:sectPr>
      <w:footerReference r:id="rId7" w:type="first"/>
      <w:footerReference r:id="rId6"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3000509000000000000"/>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_GB2312">
    <w:altName w:val="楷体"/>
    <w:panose1 w:val="00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Helvetica">
    <w:altName w:val="Arial"/>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94825">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9863A19">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9863A19">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1C1DB241">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71BF7">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AAD83F4">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14:paraId="1AAD83F4">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E4070">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D23F38">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FD23F38">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55382191">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C6B01">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6CA55">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B86CA55">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44D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BD144D"/>
    <w:multiLevelType w:val="singleLevel"/>
    <w:tmpl w:val="D8BD144D"/>
    <w:lvl w:ilvl="0" w:tentative="0">
      <w:start w:val="1"/>
      <w:numFmt w:val="decimal"/>
      <w:lvlText w:val="%1."/>
      <w:lvlJc w:val="left"/>
      <w:pPr>
        <w:ind w:left="425" w:hanging="425"/>
      </w:pPr>
      <w:rPr>
        <w:rFonts w:hint="default"/>
      </w:rPr>
    </w:lvl>
  </w:abstractNum>
  <w:abstractNum w:abstractNumId="1">
    <w:nsid w:val="3B094FC1"/>
    <w:multiLevelType w:val="singleLevel"/>
    <w:tmpl w:val="3B094FC1"/>
    <w:lvl w:ilvl="0" w:tentative="0">
      <w:start w:val="1"/>
      <w:numFmt w:val="decimal"/>
      <w:suff w:val="nothing"/>
      <w:lvlText w:val="%1．"/>
      <w:lvlJc w:val="left"/>
      <w:pPr>
        <w:ind w:left="0" w:firstLine="400"/>
      </w:pPr>
      <w:rPr>
        <w:rFonts w:hint="default"/>
      </w:rPr>
    </w:lvl>
  </w:abstractNum>
  <w:abstractNum w:abstractNumId="2">
    <w:nsid w:val="6DC0A874"/>
    <w:multiLevelType w:val="singleLevel"/>
    <w:tmpl w:val="6DC0A874"/>
    <w:lvl w:ilvl="0" w:tentative="0">
      <w:start w:val="1"/>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61E35DE"/>
    <w:rsid w:val="066E0107"/>
    <w:rsid w:val="07996F6E"/>
    <w:rsid w:val="07DFD8BA"/>
    <w:rsid w:val="09867E8F"/>
    <w:rsid w:val="0A2032A3"/>
    <w:rsid w:val="0CA8290A"/>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7E50567"/>
    <w:rsid w:val="186504BB"/>
    <w:rsid w:val="19A445FC"/>
    <w:rsid w:val="1BE8440E"/>
    <w:rsid w:val="1CC6347C"/>
    <w:rsid w:val="1D155CEE"/>
    <w:rsid w:val="1D1638FE"/>
    <w:rsid w:val="1E312DEB"/>
    <w:rsid w:val="1E740ACF"/>
    <w:rsid w:val="1FF35744"/>
    <w:rsid w:val="1FF6BC77"/>
    <w:rsid w:val="2186353C"/>
    <w:rsid w:val="21BE08C8"/>
    <w:rsid w:val="23860B96"/>
    <w:rsid w:val="240371BF"/>
    <w:rsid w:val="244F3473"/>
    <w:rsid w:val="24C97D99"/>
    <w:rsid w:val="25A718F0"/>
    <w:rsid w:val="25BB59F6"/>
    <w:rsid w:val="260F557C"/>
    <w:rsid w:val="26970054"/>
    <w:rsid w:val="281408E2"/>
    <w:rsid w:val="29FD04D3"/>
    <w:rsid w:val="2B43060F"/>
    <w:rsid w:val="2BFF7BC6"/>
    <w:rsid w:val="2C8A61B5"/>
    <w:rsid w:val="2DF04E50"/>
    <w:rsid w:val="2E586DFA"/>
    <w:rsid w:val="2F040D46"/>
    <w:rsid w:val="2F6B035B"/>
    <w:rsid w:val="2FAE5751"/>
    <w:rsid w:val="2FB1A395"/>
    <w:rsid w:val="2FD9A7D8"/>
    <w:rsid w:val="2FDBF714"/>
    <w:rsid w:val="30AB6865"/>
    <w:rsid w:val="319F7F4E"/>
    <w:rsid w:val="31E1050E"/>
    <w:rsid w:val="32BD1EF1"/>
    <w:rsid w:val="3304709D"/>
    <w:rsid w:val="33A773CB"/>
    <w:rsid w:val="349D6851"/>
    <w:rsid w:val="35E6413B"/>
    <w:rsid w:val="36011C8B"/>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F4CAE0"/>
    <w:rsid w:val="3FF7B227"/>
    <w:rsid w:val="44E268DA"/>
    <w:rsid w:val="450D13D7"/>
    <w:rsid w:val="45506656"/>
    <w:rsid w:val="486A6C7A"/>
    <w:rsid w:val="4A627F82"/>
    <w:rsid w:val="4B0E749A"/>
    <w:rsid w:val="4B2477C4"/>
    <w:rsid w:val="4B4F25DA"/>
    <w:rsid w:val="4BE068DB"/>
    <w:rsid w:val="4D577224"/>
    <w:rsid w:val="4DBF1CEB"/>
    <w:rsid w:val="4DF0007C"/>
    <w:rsid w:val="4EAB630A"/>
    <w:rsid w:val="4ECE2238"/>
    <w:rsid w:val="4F833267"/>
    <w:rsid w:val="4FE9BD67"/>
    <w:rsid w:val="4FFB052F"/>
    <w:rsid w:val="537E6D0A"/>
    <w:rsid w:val="53F74C96"/>
    <w:rsid w:val="55170BA8"/>
    <w:rsid w:val="553218C9"/>
    <w:rsid w:val="567E1AA5"/>
    <w:rsid w:val="56E47B74"/>
    <w:rsid w:val="57175D52"/>
    <w:rsid w:val="57BD3DD4"/>
    <w:rsid w:val="5AF92295"/>
    <w:rsid w:val="5B250254"/>
    <w:rsid w:val="5BDD79E6"/>
    <w:rsid w:val="5BF561CA"/>
    <w:rsid w:val="5BFF5DFC"/>
    <w:rsid w:val="5CD71FC4"/>
    <w:rsid w:val="5D1F11B5"/>
    <w:rsid w:val="5D695134"/>
    <w:rsid w:val="5DAE1B18"/>
    <w:rsid w:val="5DE7D9E5"/>
    <w:rsid w:val="5ECEC941"/>
    <w:rsid w:val="5FBF9FF3"/>
    <w:rsid w:val="5FCD4E2C"/>
    <w:rsid w:val="5FEF394A"/>
    <w:rsid w:val="5FF67715"/>
    <w:rsid w:val="62BF3928"/>
    <w:rsid w:val="63B3701E"/>
    <w:rsid w:val="647F5392"/>
    <w:rsid w:val="65E66580"/>
    <w:rsid w:val="664B1D71"/>
    <w:rsid w:val="664B4E8E"/>
    <w:rsid w:val="67277B67"/>
    <w:rsid w:val="67AA3209"/>
    <w:rsid w:val="698D0931"/>
    <w:rsid w:val="6A7FE5F3"/>
    <w:rsid w:val="6B053271"/>
    <w:rsid w:val="6BDD78B3"/>
    <w:rsid w:val="6C4A05C8"/>
    <w:rsid w:val="6C8742B8"/>
    <w:rsid w:val="6CC85DA9"/>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7F09CC"/>
    <w:rsid w:val="73AB61DA"/>
    <w:rsid w:val="73AD73D5"/>
    <w:rsid w:val="73B6EB34"/>
    <w:rsid w:val="73FA497D"/>
    <w:rsid w:val="744731E5"/>
    <w:rsid w:val="74BBD01D"/>
    <w:rsid w:val="74ED5379"/>
    <w:rsid w:val="75DEEEC2"/>
    <w:rsid w:val="75E32345"/>
    <w:rsid w:val="76E3355F"/>
    <w:rsid w:val="76FF5125"/>
    <w:rsid w:val="776F6FFA"/>
    <w:rsid w:val="778769C8"/>
    <w:rsid w:val="77A75DCA"/>
    <w:rsid w:val="77DC22F5"/>
    <w:rsid w:val="783E271A"/>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6"/>
    <w:link w:val="27"/>
    <w:qFormat/>
    <w:uiPriority w:val="99"/>
    <w:pPr>
      <w:spacing w:beforeLines="30"/>
    </w:pPr>
    <w:rPr>
      <w:rFonts w:ascii="仿宋_GB2312" w:eastAsia="仿宋_GB2312"/>
      <w:kern w:val="0"/>
      <w:sz w:val="30"/>
    </w:rPr>
  </w:style>
  <w:style w:type="paragraph" w:styleId="6">
    <w:name w:val="Body Text First Indent"/>
    <w:basedOn w:val="5"/>
    <w:unhideWhenUsed/>
    <w:qFormat/>
    <w:uiPriority w:val="99"/>
    <w:pPr>
      <w:tabs>
        <w:tab w:val="left" w:pos="2160"/>
      </w:tabs>
      <w:ind w:firstLine="420" w:firstLineChars="100"/>
    </w:pPr>
  </w:style>
  <w:style w:type="paragraph" w:styleId="7">
    <w:name w:val="Body Text Indent"/>
    <w:basedOn w:val="1"/>
    <w:next w:val="8"/>
    <w:qFormat/>
    <w:uiPriority w:val="0"/>
    <w:pPr>
      <w:spacing w:after="120"/>
      <w:ind w:left="200" w:leftChars="200"/>
    </w:pPr>
    <w:rPr>
      <w:rFonts w:ascii="仿宋_GB2312"/>
      <w:szCs w:val="32"/>
    </w:rPr>
  </w:style>
  <w:style w:type="paragraph" w:styleId="8">
    <w:name w:val="Body Text First Indent 2"/>
    <w:basedOn w:val="7"/>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semiHidden/>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paragraph" w:customStyle="1" w:styleId="21">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2">
    <w:name w:val="Header Char"/>
    <w:basedOn w:val="18"/>
    <w:semiHidden/>
    <w:qFormat/>
    <w:uiPriority w:val="99"/>
    <w:rPr>
      <w:rFonts w:ascii="Times New Roman" w:hAnsi="Times New Roman"/>
      <w:sz w:val="18"/>
      <w:szCs w:val="18"/>
    </w:rPr>
  </w:style>
  <w:style w:type="character" w:customStyle="1" w:styleId="23">
    <w:name w:val="页眉 字符"/>
    <w:link w:val="12"/>
    <w:semiHidden/>
    <w:qFormat/>
    <w:locked/>
    <w:uiPriority w:val="99"/>
    <w:rPr>
      <w:sz w:val="18"/>
    </w:rPr>
  </w:style>
  <w:style w:type="character" w:customStyle="1" w:styleId="24">
    <w:name w:val="Footer Char"/>
    <w:basedOn w:val="18"/>
    <w:semiHidden/>
    <w:qFormat/>
    <w:uiPriority w:val="99"/>
    <w:rPr>
      <w:rFonts w:ascii="Times New Roman" w:hAnsi="Times New Roman"/>
      <w:sz w:val="18"/>
      <w:szCs w:val="18"/>
    </w:rPr>
  </w:style>
  <w:style w:type="character" w:customStyle="1" w:styleId="25">
    <w:name w:val="页脚 字符"/>
    <w:link w:val="11"/>
    <w:qFormat/>
    <w:locked/>
    <w:uiPriority w:val="99"/>
    <w:rPr>
      <w:sz w:val="18"/>
    </w:rPr>
  </w:style>
  <w:style w:type="character" w:customStyle="1" w:styleId="26">
    <w:name w:val="Body Text Char"/>
    <w:basedOn w:val="18"/>
    <w:semiHidden/>
    <w:qFormat/>
    <w:uiPriority w:val="99"/>
    <w:rPr>
      <w:rFonts w:ascii="Times New Roman" w:hAnsi="Times New Roman"/>
      <w:szCs w:val="24"/>
    </w:rPr>
  </w:style>
  <w:style w:type="character" w:customStyle="1" w:styleId="27">
    <w:name w:val="正文文本 字符"/>
    <w:link w:val="5"/>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9">
    <w:name w:val="List Paragraph"/>
    <w:basedOn w:val="1"/>
    <w:qFormat/>
    <w:uiPriority w:val="34"/>
    <w:pPr>
      <w:ind w:firstLine="420" w:firstLineChars="200"/>
    </w:pPr>
  </w:style>
  <w:style w:type="character" w:customStyle="1" w:styleId="30">
    <w:name w:val="标题 1 字符"/>
    <w:basedOn w:val="18"/>
    <w:link w:val="2"/>
    <w:qFormat/>
    <w:uiPriority w:val="9"/>
    <w:rPr>
      <w:rFonts w:ascii="Times New Roman" w:hAnsi="Times New Roman"/>
      <w:b/>
      <w:bCs/>
      <w:kern w:val="44"/>
      <w:sz w:val="44"/>
      <w:szCs w:val="44"/>
    </w:rPr>
  </w:style>
  <w:style w:type="character" w:customStyle="1" w:styleId="31">
    <w:name w:val="标题 2 字符"/>
    <w:basedOn w:val="18"/>
    <w:link w:val="3"/>
    <w:qFormat/>
    <w:uiPriority w:val="9"/>
    <w:rPr>
      <w:rFonts w:asciiTheme="majorHAnsi" w:hAnsiTheme="majorHAnsi" w:eastAsiaTheme="majorEastAsia" w:cstheme="majorBidi"/>
      <w:b/>
      <w:bCs/>
      <w:kern w:val="2"/>
      <w:sz w:val="32"/>
      <w:szCs w:val="32"/>
    </w:rPr>
  </w:style>
  <w:style w:type="paragraph" w:customStyle="1" w:styleId="32">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字符"/>
    <w:basedOn w:val="18"/>
    <w:link w:val="10"/>
    <w:semiHidden/>
    <w:qFormat/>
    <w:uiPriority w:val="99"/>
    <w:rPr>
      <w:rFonts w:ascii="Times New Roman" w:hAnsi="Times New Roman"/>
      <w:kern w:val="2"/>
      <w:sz w:val="18"/>
      <w:szCs w:val="18"/>
    </w:rPr>
  </w:style>
  <w:style w:type="character" w:customStyle="1" w:styleId="34">
    <w:name w:val="标题 3 字符"/>
    <w:basedOn w:val="18"/>
    <w:link w:val="4"/>
    <w:qFormat/>
    <w:uiPriority w:val="9"/>
    <w:rPr>
      <w:rFonts w:ascii="Times New Roman" w:hAnsi="Times New Roman"/>
      <w:b/>
      <w:bCs/>
      <w:kern w:val="2"/>
      <w:sz w:val="32"/>
      <w:szCs w:val="32"/>
    </w:rPr>
  </w:style>
  <w:style w:type="paragraph" w:customStyle="1" w:styleId="35">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21556;&#24422;&#31062;\Desktop\3-&#22270;&#34920;&#29983;&#2510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21556;&#24422;&#31062;\Desktop\3-&#22270;&#34920;&#29983;&#2510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21556;&#24422;&#31062;\Desktop\3-&#22270;&#34920;&#29983;&#2510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21556;&#24422;&#31062;\Desktop\3-&#22270;&#34920;&#29983;&#25104;.xlsx"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C:\Users\&#21556;&#24422;&#31062;\Desktop\3-&#22270;&#34920;&#29983;&#25104;.xlsx"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C:\Users\&#21556;&#24422;&#31062;\Desktop\3-&#22270;&#34920;&#29983;&#25104;.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C:\Users\&#21556;&#24422;&#31062;\Desktop\3-&#22270;&#34920;&#29983;&#251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cap="all" spc="50" baseline="0">
                <a:solidFill>
                  <a:schemeClr val="tx1">
                    <a:lumMod val="65000"/>
                    <a:lumOff val="35000"/>
                  </a:schemeClr>
                </a:solidFill>
                <a:latin typeface="+mn-lt"/>
                <a:ea typeface="+mn-ea"/>
                <a:cs typeface="+mn-cs"/>
              </a:defRPr>
            </a:pPr>
            <a:r>
              <a:t>收、支决算总计变动情况图</a:t>
            </a:r>
          </a:p>
        </c:rich>
      </c:tx>
      <c:layout/>
      <c:overlay val="0"/>
      <c:spPr>
        <a:noFill/>
        <a:ln>
          <a:noFill/>
        </a:ln>
        <a:effectLst/>
      </c:spPr>
    </c:title>
    <c:autoTitleDeleted val="0"/>
    <c:plotArea>
      <c:layout>
        <c:manualLayout>
          <c:layoutTarget val="inner"/>
          <c:xMode val="edge"/>
          <c:yMode val="edge"/>
          <c:x val="0.0901558342835424"/>
          <c:y val="0.24169741697417"/>
          <c:w val="0.857899404535664"/>
          <c:h val="0.690590405904059"/>
        </c:manualLayout>
      </c:layout>
      <c:barChart>
        <c:barDir val="col"/>
        <c:grouping val="clustered"/>
        <c:varyColors val="0"/>
        <c:ser>
          <c:idx val="0"/>
          <c:order val="0"/>
          <c:spPr>
            <a:gradFill flip="none" rotWithShape="1">
              <a:gsLst>
                <a:gs pos="0">
                  <a:schemeClr val="accent1"/>
                </a:gs>
                <a:gs pos="75000">
                  <a:schemeClr val="accent1">
                    <a:lumMod val="60000"/>
                    <a:lumOff val="40000"/>
                  </a:schemeClr>
                </a:gs>
                <a:gs pos="51000">
                  <a:schemeClr val="accent1">
                    <a:alpha val="75000"/>
                  </a:schemeClr>
                </a:gs>
                <a:gs pos="100000">
                  <a:schemeClr val="accent1">
                    <a:lumMod val="20000"/>
                    <a:lumOff val="80000"/>
                    <a:alpha val="15000"/>
                  </a:schemeClr>
                </a:gs>
              </a:gsLst>
              <a:lin ang="5400000" scaled="0"/>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strRef>
              <c:f>'[3-图表生成.xlsx]Sheet1'!$A$3:$A$4</c:f>
              <c:strCache>
                <c:ptCount val="2"/>
                <c:pt idx="0">
                  <c:v>2023年（万元）</c:v>
                </c:pt>
                <c:pt idx="1">
                  <c:v>2024年（万元）</c:v>
                </c:pt>
              </c:strCache>
            </c:strRef>
          </c:cat>
          <c:val>
            <c:numRef>
              <c:f>'[3-图表生成.xlsx]Sheet1'!$B$3:$B$4</c:f>
              <c:numCache>
                <c:formatCode>#,##0.00</c:formatCode>
                <c:ptCount val="2"/>
                <c:pt idx="0">
                  <c:v>3666.78</c:v>
                </c:pt>
                <c:pt idx="1">
                  <c:v>3986.36</c:v>
                </c:pt>
              </c:numCache>
            </c:numRef>
          </c:val>
        </c:ser>
        <c:dLbls>
          <c:showLegendKey val="0"/>
          <c:showVal val="1"/>
          <c:showCatName val="0"/>
          <c:showSerName val="0"/>
          <c:showPercent val="0"/>
          <c:showBubbleSize val="0"/>
        </c:dLbls>
        <c:gapWidth val="355"/>
        <c:overlap val="-70"/>
        <c:axId val="658193259"/>
        <c:axId val="330015726"/>
      </c:barChart>
      <c:catAx>
        <c:axId val="658193259"/>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0015726"/>
        <c:crosses val="autoZero"/>
        <c:auto val="1"/>
        <c:lblAlgn val="ctr"/>
        <c:lblOffset val="100"/>
        <c:noMultiLvlLbl val="0"/>
      </c:catAx>
      <c:valAx>
        <c:axId val="330015726"/>
        <c:scaling>
          <c:orientation val="minMax"/>
        </c:scaling>
        <c:delete val="0"/>
        <c:axPos val="l"/>
        <c:majorGridlines>
          <c:spPr>
            <a:ln w="9525" cap="flat" cmpd="sng" algn="ctr">
              <a:gradFill>
                <a:gsLst>
                  <a:gs pos="100000">
                    <a:schemeClr val="tx1">
                      <a:lumMod val="5000"/>
                      <a:lumOff val="95000"/>
                    </a:schemeClr>
                  </a:gs>
                  <a:gs pos="0">
                    <a:schemeClr val="tx1">
                      <a:lumMod val="25000"/>
                      <a:lumOff val="75000"/>
                    </a:schemeClr>
                  </a:gs>
                </a:gsLst>
                <a:lin ang="5400000" scaled="0"/>
              </a:gra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58193259"/>
        <c:crosses val="autoZero"/>
        <c:crossBetween val="between"/>
      </c:valAx>
      <c:spPr>
        <a:noFill/>
        <a:ln>
          <a:noFill/>
        </a:ln>
        <a:effectLst/>
      </c:spPr>
    </c:plotArea>
    <c:plotVisOnly val="1"/>
    <c:dispBlanksAs val="gap"/>
    <c:showDLblsOverMax val="0"/>
    <c:extLst>
      <c:ext uri="{0b15fc19-7d7d-44ad-8c2d-2c3a37ce22c3}">
        <chartProps xmlns="https://web.wps.cn/et/2018/main" chartId="{31592fd5-fdcd-4dd5-9444-75d3a36f3f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收入决算结构图</a:t>
            </a:r>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99.3%</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0.</a:t>
                    </a:r>
                    <a:r>
                      <a:rPr lang="en-US" altLang="zh-CN"/>
                      <a:t>7</a:t>
                    </a:r>
                    <a:r>
                      <a:t>%</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'[3-图表生成.xlsx]Sheet1'!$I$3:$I$4</c:f>
              <c:strCache>
                <c:ptCount val="2"/>
                <c:pt idx="0">
                  <c:v>一般公共预算财政拨款收入</c:v>
                </c:pt>
                <c:pt idx="1">
                  <c:v>政府性基金预算财政拨款收入</c:v>
                </c:pt>
              </c:strCache>
            </c:strRef>
          </c:cat>
          <c:val>
            <c:numRef>
              <c:f>'[3-图表生成.xlsx]Sheet1'!$J$3:$J$4</c:f>
              <c:numCache>
                <c:formatCode>General</c:formatCode>
                <c:ptCount val="2"/>
                <c:pt idx="0">
                  <c:v>3986.36</c:v>
                </c:pt>
                <c:pt idx="1">
                  <c:v>26.51</c:v>
                </c:pt>
              </c:numCache>
            </c:numRef>
          </c:val>
        </c:ser>
        <c:dLbls>
          <c:showLegendKey val="0"/>
          <c:showVal val="0"/>
          <c:showCatName val="0"/>
          <c:showSerName val="0"/>
          <c:showPercent val="1"/>
          <c:showBubbleSize val="0"/>
          <c:showLeaderLines val="0"/>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2552446-3fba-499a-8e33-b892206dc82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支出决算结构图</a:t>
            </a:r>
          </a:p>
        </c:rich>
      </c:tx>
      <c:layout/>
      <c:overlay val="0"/>
      <c:spPr>
        <a:noFill/>
        <a:ln>
          <a:noFill/>
        </a:ln>
        <a:effectLst/>
      </c:spPr>
    </c:title>
    <c:autoTitleDeleted val="0"/>
    <c:plotArea>
      <c:layout>
        <c:manualLayout>
          <c:layoutTarget val="inner"/>
          <c:xMode val="edge"/>
          <c:yMode val="edge"/>
          <c:x val="0.290053404539386"/>
          <c:y val="0.33452380952381"/>
          <c:w val="0.369158878504673"/>
          <c:h val="0.658333333333333"/>
        </c:manualLayout>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73</a:t>
                    </a:r>
                    <a:r>
                      <a:rPr lang="en-US" altLang="zh-CN"/>
                      <a:t>.1</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26.9%</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'[3-图表生成.xlsx]Sheet1'!$O$3:$O$4</c:f>
              <c:strCache>
                <c:ptCount val="2"/>
                <c:pt idx="0">
                  <c:v>基本支出</c:v>
                </c:pt>
                <c:pt idx="1">
                  <c:v>项目支出</c:v>
                </c:pt>
              </c:strCache>
            </c:strRef>
          </c:cat>
          <c:val>
            <c:numRef>
              <c:f>'[3-图表生成.xlsx]Sheet1'!$P$3:$P$4</c:f>
              <c:numCache>
                <c:formatCode>General</c:formatCode>
                <c:ptCount val="2"/>
                <c:pt idx="0">
                  <c:v>2913.16</c:v>
                </c:pt>
                <c:pt idx="1" c:formatCode="#,##0.00">
                  <c:v>1073.2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67532ad-270a-4936-92cc-edc93d11d5c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'[3-图表生成.xlsx]Sheet1'!$A$25:$A$26</c:f>
              <c:strCache>
                <c:ptCount val="2"/>
                <c:pt idx="0">
                  <c:v>2023年（万元）</c:v>
                </c:pt>
                <c:pt idx="1">
                  <c:v>2024年（万元）</c:v>
                </c:pt>
              </c:strCache>
            </c:strRef>
          </c:cat>
          <c:val>
            <c:numRef>
              <c:f>'[3-图表生成.xlsx]Sheet1'!$B$25:$B$26</c:f>
              <c:numCache>
                <c:formatCode>#,##0.00</c:formatCode>
                <c:ptCount val="2"/>
                <c:pt idx="0">
                  <c:v>3641.67</c:v>
                </c:pt>
                <c:pt idx="1">
                  <c:v>3959.85</c:v>
                </c:pt>
              </c:numCache>
            </c:numRef>
          </c:val>
        </c:ser>
        <c:dLbls>
          <c:showLegendKey val="0"/>
          <c:showVal val="1"/>
          <c:showCatName val="0"/>
          <c:showSerName val="0"/>
          <c:showPercent val="0"/>
          <c:showBubbleSize val="0"/>
        </c:dLbls>
        <c:gapWidth val="150"/>
        <c:overlap val="0"/>
        <c:axId val="987151365"/>
        <c:axId val="911815620"/>
      </c:barChart>
      <c:catAx>
        <c:axId val="987151365"/>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11815620"/>
        <c:crosses val="autoZero"/>
        <c:auto val="1"/>
        <c:lblAlgn val="ctr"/>
        <c:lblOffset val="100"/>
        <c:noMultiLvlLbl val="0"/>
      </c:catAx>
      <c:valAx>
        <c:axId val="9118156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87151365"/>
        <c:crosses val="autoZero"/>
        <c:crossBetween val="between"/>
      </c:valAx>
      <c:spPr>
        <a:noFill/>
        <a:ln>
          <a:noFill/>
        </a:ln>
        <a:effectLst/>
      </c:spPr>
    </c:plotArea>
    <c:plotVisOnly val="1"/>
    <c:dispBlanksAs val="gap"/>
    <c:showDLblsOverMax val="0"/>
    <c:extLst>
      <c:ext uri="{0b15fc19-7d7d-44ad-8c2d-2c3a37ce22c3}">
        <chartProps xmlns="https://web.wps.cn/et/2018/main" chartId="{aed0eb63-c466-4a68-8715-e0d7d2daf06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'[3-图表生成.xlsx]Sheet1'!$A$46:$A$47</c:f>
              <c:strCache>
                <c:ptCount val="2"/>
                <c:pt idx="0">
                  <c:v>2023年（万元）</c:v>
                </c:pt>
                <c:pt idx="1">
                  <c:v>2024年（万元）</c:v>
                </c:pt>
              </c:strCache>
            </c:strRef>
          </c:cat>
          <c:val>
            <c:numRef>
              <c:f>'[3-图表生成.xlsx]Sheet1'!$B$46:$B$47</c:f>
              <c:numCache>
                <c:formatCode>#,##0.00</c:formatCode>
                <c:ptCount val="2"/>
                <c:pt idx="0">
                  <c:v>3641.67</c:v>
                </c:pt>
                <c:pt idx="1">
                  <c:v>3959.85</c:v>
                </c:pt>
              </c:numCache>
            </c:numRef>
          </c:val>
        </c:ser>
        <c:dLbls>
          <c:showLegendKey val="0"/>
          <c:showVal val="1"/>
          <c:showCatName val="0"/>
          <c:showSerName val="0"/>
          <c:showPercent val="0"/>
          <c:showBubbleSize val="0"/>
        </c:dLbls>
        <c:gapWidth val="219"/>
        <c:overlap val="-27"/>
        <c:axId val="928854141"/>
        <c:axId val="188393366"/>
      </c:barChart>
      <c:catAx>
        <c:axId val="92885414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88393366"/>
        <c:crosses val="autoZero"/>
        <c:auto val="1"/>
        <c:lblAlgn val="ctr"/>
        <c:lblOffset val="100"/>
        <c:noMultiLvlLbl val="0"/>
      </c:catAx>
      <c:valAx>
        <c:axId val="18839336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28854141"/>
        <c:crosses val="autoZero"/>
        <c:crossBetween val="between"/>
      </c:valAx>
      <c:spPr>
        <a:noFill/>
        <a:ln>
          <a:noFill/>
        </a:ln>
        <a:effectLst/>
      </c:spPr>
    </c:plotArea>
    <c:plotVisOnly val="1"/>
    <c:dispBlanksAs val="gap"/>
    <c:showDLblsOverMax val="0"/>
    <c:extLst>
      <c:ext uri="{0b15fc19-7d7d-44ad-8c2d-2c3a37ce22c3}">
        <chartProps xmlns="https://web.wps.cn/et/2018/main" chartId="{30eebbe2-0504-48ce-b805-efd4d2af0a9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a:t>
            </a:r>
          </a:p>
          <a:p>
            <a:pPr defTabSz="914400">
              <a:defRPr lang="zh-CN" sz="1400" b="0" i="0" u="none" strike="noStrike" kern="1200" spc="0" baseline="0">
                <a:solidFill>
                  <a:schemeClr val="tx1">
                    <a:lumMod val="65000"/>
                    <a:lumOff val="35000"/>
                  </a:schemeClr>
                </a:solidFill>
                <a:latin typeface="+mn-lt"/>
                <a:ea typeface="+mn-ea"/>
                <a:cs typeface="+mn-cs"/>
              </a:defRPr>
            </a:pPr>
            <a:r>
              <a:t>支出决算结构</a:t>
            </a:r>
          </a:p>
        </c:rich>
      </c:tx>
      <c:layout>
        <c:manualLayout>
          <c:xMode val="edge"/>
          <c:yMode val="edge"/>
          <c:x val="0.0108333333333333"/>
          <c:y val="0.0402777777777778"/>
        </c:manualLayout>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Lbl>
              <c:idx val="0"/>
              <c:layout>
                <c:manualLayout>
                  <c:x val="0.195"/>
                  <c:y val="-0.00555555555555556"/>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83.</a:t>
                    </a:r>
                    <a:r>
                      <a:rPr lang="en-US" altLang="zh-CN"/>
                      <a:t>7</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8.1%</a:t>
                    </a:r>
                  </a:p>
                </c:rich>
              </c:tx>
              <c:dLblPos val="outEnd"/>
              <c:showLegendKey val="0"/>
              <c:showVal val="0"/>
              <c:showCatName val="0"/>
              <c:showSerName val="0"/>
              <c:showPercent val="1"/>
              <c:showBubbleSize val="0"/>
              <c:extLst>
                <c:ext xmlns:c15="http://schemas.microsoft.com/office/drawing/2012/chart" uri="{CE6537A1-D6FC-4f65-9D91-7224C49458BB}"/>
              </c:extLst>
            </c:dLbl>
            <c:dLbl>
              <c:idx val="2"/>
              <c:layout>
                <c:manualLayout>
                  <c:x val="-0.118333333333333"/>
                  <c:y val="0.122222222222222"/>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3.</a:t>
                    </a:r>
                    <a:r>
                      <a:rPr lang="en-US" altLang="zh-CN"/>
                      <a:t>8</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14"/>
                  <c:y val="0.0277777777777778"/>
                </c:manualLayout>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4.</a:t>
                    </a:r>
                    <a:r>
                      <a:rPr lang="en-US" altLang="zh-CN"/>
                      <a:t>4</a:t>
                    </a:r>
                    <a:r>
                      <a:t>%</a:t>
                    </a:r>
                  </a:p>
                </c:rich>
              </c:tx>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'[3-图表生成.xlsx]Sheet1'!$I$26:$I$29</c:f>
              <c:strCache>
                <c:ptCount val="4"/>
                <c:pt idx="0">
                  <c:v>教育支出（类）</c:v>
                </c:pt>
                <c:pt idx="1">
                  <c:v>社会保障和就业支出</c:v>
                </c:pt>
                <c:pt idx="2">
                  <c:v>卫生健康支出</c:v>
                </c:pt>
                <c:pt idx="3">
                  <c:v>住房保障支出</c:v>
                </c:pt>
              </c:strCache>
            </c:strRef>
          </c:cat>
          <c:val>
            <c:numRef>
              <c:f>'[3-图表生成.xlsx]Sheet1'!$J$26:$J$29</c:f>
              <c:numCache>
                <c:formatCode>0.00_ </c:formatCode>
                <c:ptCount val="4"/>
                <c:pt idx="0">
                  <c:v>3312.3</c:v>
                </c:pt>
                <c:pt idx="1">
                  <c:v>321.66</c:v>
                </c:pt>
                <c:pt idx="2">
                  <c:v>150.13</c:v>
                </c:pt>
                <c:pt idx="3">
                  <c:v>175.76</c:v>
                </c:pt>
              </c:numCache>
            </c:numRef>
          </c:val>
        </c:ser>
        <c:ser>
          <c:idx val="1"/>
          <c:order val="1"/>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'[3-图表生成.xlsx]Sheet1'!$I$26:$I$29</c:f>
              <c:strCache>
                <c:ptCount val="4"/>
                <c:pt idx="0">
                  <c:v>教育支出（类）</c:v>
                </c:pt>
                <c:pt idx="1">
                  <c:v>社会保障和就业支出</c:v>
                </c:pt>
                <c:pt idx="2">
                  <c:v>卫生健康支出</c:v>
                </c:pt>
                <c:pt idx="3">
                  <c:v>住房保障支出</c:v>
                </c:pt>
              </c:strCache>
            </c:strRef>
          </c:cat>
          <c:val>
            <c:numRef>
              <c:f>'[3-图表生成.xlsx]Sheet1'!$K$26:$K$29</c:f>
              <c:numCache>
                <c:formatCode>0.00%</c:formatCode>
                <c:ptCount val="4"/>
                <c:pt idx="0">
                  <c:v>0.836471078449941</c:v>
                </c:pt>
                <c:pt idx="1">
                  <c:v>0.0812303496344559</c:v>
                </c:pt>
                <c:pt idx="2">
                  <c:v>0.0379130522620806</c:v>
                </c:pt>
                <c:pt idx="3">
                  <c:v>0.0443855196535222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l"/>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01e0d01-ffc0-40a0-bae1-0de0d493932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t>“</a:t>
            </a:r>
            <a:r>
              <a:rPr altLang="en-US"/>
              <a:t>三公</a:t>
            </a:r>
            <a:r>
              <a:rPr lang="en-US" altLang="zh-CN"/>
              <a:t>”</a:t>
            </a:r>
            <a:r>
              <a:rPr altLang="en-US"/>
              <a:t>经费财政拨款支出结构</a:t>
            </a:r>
            <a:endParaRPr altLang="en-US"/>
          </a:p>
        </c:rich>
      </c:tx>
      <c:layout/>
      <c:overlay val="0"/>
      <c:spPr>
        <a:noFill/>
        <a:ln>
          <a:noFill/>
        </a:ln>
        <a:effectLst/>
      </c:sp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Lbl>
              <c:idx val="0"/>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90.</a:t>
                    </a:r>
                    <a:r>
                      <a:rPr lang="en-US" altLang="zh-CN"/>
                      <a:t>7</a:t>
                    </a:r>
                    <a:r>
                      <a:t>%</a:t>
                    </a:r>
                  </a:p>
                </c:rich>
              </c:tx>
              <c:dLblPos val="inEnd"/>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900" b="0" i="0" u="none" strike="noStrike" kern="1200" baseline="0">
                        <a:solidFill>
                          <a:schemeClr val="tx1">
                            <a:lumMod val="75000"/>
                            <a:lumOff val="25000"/>
                          </a:schemeClr>
                        </a:solidFill>
                        <a:latin typeface="+mn-lt"/>
                        <a:ea typeface="+mn-ea"/>
                        <a:cs typeface="+mn-cs"/>
                      </a:defRPr>
                    </a:pPr>
                    <a:r>
                      <a:t>9.3%</a:t>
                    </a:r>
                  </a:p>
                </c:rich>
              </c:tx>
              <c:dLblPos val="inEnd"/>
              <c:showLegendKey val="0"/>
              <c:showVal val="0"/>
              <c:showCatName val="0"/>
              <c:showSerName val="0"/>
              <c:showPercent val="1"/>
              <c:showBubbleSize val="0"/>
              <c:extLst>
                <c:ext xmlns:c15="http://schemas.microsoft.com/office/drawing/2012/chart" uri="{CE6537A1-D6FC-4f65-9D91-7224C49458BB}"/>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'[3-图表生成.xlsx]Sheet1'!$I$42:$I$43</c:f>
              <c:strCache>
                <c:ptCount val="2"/>
                <c:pt idx="0">
                  <c:v>公务用车购置及运行维护费支出</c:v>
                </c:pt>
                <c:pt idx="1">
                  <c:v>公务接待费支出</c:v>
                </c:pt>
              </c:strCache>
            </c:strRef>
          </c:cat>
          <c:val>
            <c:numRef>
              <c:f>'[3-图表生成.xlsx]Sheet1'!$J$42:$J$43</c:f>
              <c:numCache>
                <c:formatCode>General</c:formatCode>
                <c:ptCount val="2"/>
                <c:pt idx="0">
                  <c:v>9.42</c:v>
                </c:pt>
                <c:pt idx="1">
                  <c:v>0.97</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287c7b1-b8e2-4fb5-bee5-4aeaadcb09a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0">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tx1">
                <a:lumMod val="5000"/>
                <a:lumOff val="95000"/>
              </a:schemeClr>
            </a:gs>
            <a:gs pos="0">
              <a:schemeClr val="tx1">
                <a:lumMod val="25000"/>
                <a:lumOff val="7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9087</Words>
  <Characters>9746</Characters>
  <Lines>60</Lines>
  <Paragraphs>17</Paragraphs>
  <TotalTime>10</TotalTime>
  <ScaleCrop>false</ScaleCrop>
  <LinksUpToDate>false</LinksUpToDate>
  <CharactersWithSpaces>9824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Mr.旧时光</cp:lastModifiedBy>
  <cp:lastPrinted>2025-08-06T17:34:00Z</cp:lastPrinted>
  <dcterms:modified xsi:type="dcterms:W3CDTF">2025-09-11T08:30:24Z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EF907A353DA547C8913F1D261D8F1619_13</vt:lpwstr>
  </property>
  <property fmtid="{D5CDD505-2E9C-101B-9397-08002B2CF9AE}" pid="4" name="KSOTemplateDocerSaveRecord">
    <vt:lpwstr>eyJoZGlkIjoiNGFlMDUwNWM0MTNlNTlkMWFhZmQ3ZWQzNmFhM2M4MGUiLCJ1c2VySWQiOiIzMTg5Nzk4OTQifQ==</vt:lpwstr>
  </property>
</Properties>
</file>